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19EFD1D" w14:textId="77777777" w:rsidR="00405CC4" w:rsidRPr="00DF6D96" w:rsidRDefault="00405CC4" w:rsidP="0030419F">
      <w:pPr>
        <w:pStyle w:val="1"/>
        <w:adjustRightInd w:val="0"/>
        <w:snapToGrid w:val="0"/>
        <w:spacing w:line="360" w:lineRule="auto"/>
        <w:rPr>
          <w:rFonts w:ascii="Book Antiqua" w:hAnsi="Book Antiqua"/>
          <w:b/>
          <w:color w:val="auto"/>
          <w:sz w:val="24"/>
          <w:szCs w:val="24"/>
          <w:lang w:eastAsia="zh-CN"/>
        </w:rPr>
      </w:pPr>
      <w:bookmarkStart w:id="0" w:name="OLE_LINK92"/>
      <w:bookmarkStart w:id="1" w:name="OLE_LINK93"/>
      <w:r w:rsidRPr="00DF6D96">
        <w:rPr>
          <w:rFonts w:ascii="Book Antiqua" w:hAnsi="Book Antiqua"/>
          <w:b/>
          <w:color w:val="auto"/>
          <w:sz w:val="24"/>
          <w:szCs w:val="24"/>
          <w:lang w:eastAsia="zh-CN"/>
        </w:rPr>
        <w:t xml:space="preserve">Name of </w:t>
      </w:r>
      <w:r w:rsidRPr="00C36569">
        <w:rPr>
          <w:rFonts w:ascii="Book Antiqua" w:hAnsi="Book Antiqua"/>
          <w:b/>
          <w:caps/>
          <w:color w:val="auto"/>
          <w:sz w:val="24"/>
          <w:szCs w:val="24"/>
          <w:lang w:eastAsia="zh-CN"/>
        </w:rPr>
        <w:t>j</w:t>
      </w:r>
      <w:r w:rsidRPr="00DF6D96">
        <w:rPr>
          <w:rFonts w:ascii="Book Antiqua" w:hAnsi="Book Antiqua"/>
          <w:b/>
          <w:color w:val="auto"/>
          <w:sz w:val="24"/>
          <w:szCs w:val="24"/>
          <w:lang w:eastAsia="zh-CN"/>
        </w:rPr>
        <w:t xml:space="preserve">ournal: </w:t>
      </w:r>
      <w:r w:rsidRPr="00DF6D96">
        <w:rPr>
          <w:rFonts w:ascii="Book Antiqua" w:hAnsi="Book Antiqua"/>
          <w:b/>
          <w:i/>
          <w:color w:val="auto"/>
          <w:sz w:val="24"/>
          <w:szCs w:val="24"/>
          <w:lang w:eastAsia="zh-CN"/>
        </w:rPr>
        <w:t>World Journal of Gastroenterology</w:t>
      </w:r>
    </w:p>
    <w:p w14:paraId="7B6133F3" w14:textId="7D237754" w:rsidR="00405CC4" w:rsidRPr="00DF6D96" w:rsidRDefault="00405CC4" w:rsidP="0030419F">
      <w:pPr>
        <w:pStyle w:val="1"/>
        <w:adjustRightInd w:val="0"/>
        <w:snapToGrid w:val="0"/>
        <w:spacing w:line="360" w:lineRule="auto"/>
        <w:rPr>
          <w:rFonts w:ascii="Book Antiqua" w:hAnsi="Book Antiqua"/>
          <w:b/>
          <w:color w:val="auto"/>
          <w:sz w:val="24"/>
          <w:szCs w:val="24"/>
          <w:lang w:eastAsia="zh-CN"/>
        </w:rPr>
      </w:pPr>
      <w:r w:rsidRPr="00DF6D96">
        <w:rPr>
          <w:rFonts w:ascii="Book Antiqua" w:hAnsi="Book Antiqua"/>
          <w:b/>
          <w:color w:val="auto"/>
          <w:sz w:val="24"/>
          <w:szCs w:val="24"/>
          <w:lang w:eastAsia="zh-CN"/>
        </w:rPr>
        <w:t>Manuscript NO: 37377</w:t>
      </w:r>
    </w:p>
    <w:p w14:paraId="3C250BAE" w14:textId="1583CDE4" w:rsidR="00913128" w:rsidRPr="00DF6D96" w:rsidRDefault="00405CC4" w:rsidP="0030419F">
      <w:pPr>
        <w:pStyle w:val="1"/>
        <w:adjustRightInd w:val="0"/>
        <w:snapToGrid w:val="0"/>
        <w:spacing w:line="360" w:lineRule="auto"/>
        <w:rPr>
          <w:rFonts w:ascii="Book Antiqua" w:hAnsi="Book Antiqua"/>
          <w:b/>
          <w:color w:val="auto"/>
          <w:sz w:val="24"/>
          <w:szCs w:val="24"/>
          <w:lang w:eastAsia="zh-CN"/>
        </w:rPr>
      </w:pPr>
      <w:r w:rsidRPr="00DF6D96">
        <w:rPr>
          <w:rFonts w:ascii="Book Antiqua" w:hAnsi="Book Antiqua"/>
          <w:b/>
          <w:color w:val="auto"/>
          <w:sz w:val="24"/>
          <w:szCs w:val="24"/>
          <w:lang w:eastAsia="zh-CN"/>
        </w:rPr>
        <w:t xml:space="preserve">Manuscript </w:t>
      </w:r>
      <w:r w:rsidRPr="00C36569">
        <w:rPr>
          <w:rFonts w:ascii="Book Antiqua" w:hAnsi="Book Antiqua"/>
          <w:b/>
          <w:caps/>
          <w:color w:val="auto"/>
          <w:sz w:val="24"/>
          <w:szCs w:val="24"/>
          <w:lang w:eastAsia="zh-CN"/>
        </w:rPr>
        <w:t>t</w:t>
      </w:r>
      <w:r w:rsidRPr="00DF6D96">
        <w:rPr>
          <w:rFonts w:ascii="Book Antiqua" w:hAnsi="Book Antiqua"/>
          <w:b/>
          <w:color w:val="auto"/>
          <w:sz w:val="24"/>
          <w:szCs w:val="24"/>
          <w:lang w:eastAsia="zh-CN"/>
        </w:rPr>
        <w:t xml:space="preserve">ype: </w:t>
      </w:r>
      <w:r w:rsidR="00913128" w:rsidRPr="00DF6D96">
        <w:rPr>
          <w:rFonts w:ascii="Book Antiqua" w:hAnsi="Book Antiqua"/>
          <w:b/>
          <w:color w:val="auto"/>
          <w:sz w:val="24"/>
          <w:szCs w:val="24"/>
          <w:lang w:eastAsia="zh-CN"/>
        </w:rPr>
        <w:t>ORIGINAL ARTICLE</w:t>
      </w:r>
    </w:p>
    <w:p w14:paraId="07D1B22C" w14:textId="77777777" w:rsidR="00913128" w:rsidRPr="00DF6D96" w:rsidRDefault="00913128" w:rsidP="0030419F">
      <w:pPr>
        <w:pStyle w:val="1"/>
        <w:adjustRightInd w:val="0"/>
        <w:snapToGrid w:val="0"/>
        <w:spacing w:line="360" w:lineRule="auto"/>
        <w:rPr>
          <w:rFonts w:ascii="Book Antiqua" w:hAnsi="Book Antiqua"/>
          <w:b/>
          <w:color w:val="auto"/>
          <w:sz w:val="24"/>
          <w:szCs w:val="24"/>
          <w:lang w:eastAsia="zh-CN"/>
        </w:rPr>
      </w:pPr>
    </w:p>
    <w:p w14:paraId="008F5917" w14:textId="12ACFC0F" w:rsidR="00405CC4" w:rsidRPr="00DF6D96" w:rsidRDefault="00405CC4" w:rsidP="0030419F">
      <w:pPr>
        <w:pStyle w:val="1"/>
        <w:adjustRightInd w:val="0"/>
        <w:snapToGrid w:val="0"/>
        <w:spacing w:line="360" w:lineRule="auto"/>
        <w:rPr>
          <w:rFonts w:ascii="Book Antiqua" w:hAnsi="Book Antiqua"/>
          <w:b/>
          <w:i/>
          <w:color w:val="auto"/>
          <w:sz w:val="24"/>
          <w:szCs w:val="24"/>
          <w:lang w:eastAsia="zh-CN"/>
        </w:rPr>
      </w:pPr>
      <w:r w:rsidRPr="00DF6D96">
        <w:rPr>
          <w:rFonts w:ascii="Book Antiqua" w:hAnsi="Book Antiqua"/>
          <w:b/>
          <w:i/>
          <w:color w:val="auto"/>
          <w:sz w:val="24"/>
          <w:szCs w:val="24"/>
          <w:lang w:eastAsia="zh-CN"/>
        </w:rPr>
        <w:t>Basic Study</w:t>
      </w:r>
    </w:p>
    <w:p w14:paraId="155E7CC7" w14:textId="046090F1" w:rsidR="00C35D84" w:rsidRPr="00DF6D96" w:rsidRDefault="00F7365A" w:rsidP="0030419F">
      <w:pPr>
        <w:pStyle w:val="1"/>
        <w:adjustRightInd w:val="0"/>
        <w:snapToGrid w:val="0"/>
        <w:spacing w:line="360" w:lineRule="auto"/>
        <w:rPr>
          <w:rFonts w:ascii="Book Antiqua" w:hAnsi="Book Antiqua"/>
          <w:b/>
          <w:color w:val="auto"/>
          <w:sz w:val="24"/>
          <w:szCs w:val="24"/>
          <w:lang w:eastAsia="zh-CN"/>
        </w:rPr>
      </w:pPr>
      <w:r w:rsidRPr="00F7365A">
        <w:rPr>
          <w:rFonts w:ascii="Book Antiqua" w:hAnsi="Book Antiqua"/>
          <w:b/>
          <w:color w:val="auto"/>
          <w:sz w:val="24"/>
          <w:szCs w:val="24"/>
        </w:rPr>
        <w:t>Proteinase-activated receptor-2</w:t>
      </w:r>
      <w:r w:rsidR="007C5683" w:rsidRPr="00DF6D96">
        <w:rPr>
          <w:rFonts w:ascii="Book Antiqua" w:hAnsi="Book Antiqua"/>
          <w:b/>
          <w:color w:val="auto"/>
          <w:sz w:val="24"/>
          <w:szCs w:val="24"/>
        </w:rPr>
        <w:t xml:space="preserve"> promotes tumor cell proliferation and metastasis by inducing </w:t>
      </w:r>
      <w:r w:rsidRPr="00F7365A">
        <w:rPr>
          <w:rFonts w:ascii="Book Antiqua" w:hAnsi="Book Antiqua"/>
          <w:b/>
          <w:color w:val="auto"/>
          <w:sz w:val="24"/>
          <w:szCs w:val="24"/>
        </w:rPr>
        <w:t>epithelial-mesenchymal transition</w:t>
      </w:r>
      <w:r w:rsidR="007C5683" w:rsidRPr="00DF6D96">
        <w:rPr>
          <w:rFonts w:ascii="Book Antiqua" w:hAnsi="Book Antiqua"/>
          <w:b/>
          <w:color w:val="auto"/>
          <w:sz w:val="24"/>
          <w:szCs w:val="24"/>
        </w:rPr>
        <w:t xml:space="preserve"> and predicts poor prognosis in hepatocellular carcinoma</w:t>
      </w:r>
      <w:bookmarkEnd w:id="0"/>
      <w:bookmarkEnd w:id="1"/>
    </w:p>
    <w:p w14:paraId="25DD699D" w14:textId="77777777" w:rsidR="00913128" w:rsidRPr="00DF6D96" w:rsidRDefault="00913128" w:rsidP="0030419F">
      <w:pPr>
        <w:pStyle w:val="1"/>
        <w:adjustRightInd w:val="0"/>
        <w:snapToGrid w:val="0"/>
        <w:spacing w:line="360" w:lineRule="auto"/>
        <w:rPr>
          <w:rFonts w:ascii="Book Antiqua" w:hAnsi="Book Antiqua"/>
          <w:b/>
          <w:color w:val="auto"/>
          <w:sz w:val="24"/>
          <w:szCs w:val="24"/>
          <w:lang w:eastAsia="zh-CN"/>
        </w:rPr>
      </w:pPr>
    </w:p>
    <w:p w14:paraId="6DDF2D65" w14:textId="51CD3AAC" w:rsidR="00913128" w:rsidRPr="00DF6D96" w:rsidRDefault="00913128" w:rsidP="0030419F">
      <w:pPr>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Sun</w:t>
      </w:r>
      <w:r w:rsidRPr="00DF6D96">
        <w:rPr>
          <w:rFonts w:ascii="Book Antiqua" w:hAnsi="Book Antiqua"/>
          <w:color w:val="auto"/>
          <w:sz w:val="24"/>
          <w:szCs w:val="24"/>
          <w:lang w:eastAsia="zh-CN"/>
        </w:rPr>
        <w:t xml:space="preserve"> </w:t>
      </w:r>
      <w:r w:rsidRPr="00DF6D96">
        <w:rPr>
          <w:rFonts w:ascii="Book Antiqua" w:hAnsi="Book Antiqua" w:hint="eastAsia"/>
          <w:color w:val="auto"/>
          <w:sz w:val="24"/>
          <w:szCs w:val="24"/>
          <w:lang w:eastAsia="zh-CN"/>
        </w:rPr>
        <w:t xml:space="preserve">L </w:t>
      </w:r>
      <w:r w:rsidRPr="00DF6D96">
        <w:rPr>
          <w:rFonts w:ascii="Book Antiqua" w:hAnsi="Book Antiqua"/>
          <w:i/>
          <w:color w:val="auto"/>
          <w:sz w:val="24"/>
          <w:szCs w:val="24"/>
          <w:lang w:eastAsia="zh-CN"/>
        </w:rPr>
        <w:t>et al.</w:t>
      </w:r>
      <w:r w:rsidRPr="00DF6D96">
        <w:rPr>
          <w:rFonts w:ascii="Book Antiqua" w:hAnsi="Book Antiqua"/>
          <w:color w:val="auto"/>
          <w:sz w:val="24"/>
          <w:szCs w:val="24"/>
          <w:lang w:eastAsia="zh-CN"/>
        </w:rPr>
        <w:t xml:space="preserve"> </w:t>
      </w:r>
      <w:r w:rsidRPr="00DF6D96">
        <w:rPr>
          <w:rFonts w:ascii="Book Antiqua" w:hAnsi="Book Antiqua"/>
          <w:color w:val="auto"/>
          <w:sz w:val="24"/>
          <w:szCs w:val="24"/>
        </w:rPr>
        <w:t>PAR2 promotes HCC</w:t>
      </w:r>
      <w:r w:rsidR="00562C27">
        <w:rPr>
          <w:rFonts w:ascii="Book Antiqua" w:hAnsi="Book Antiqua"/>
          <w:color w:val="auto"/>
          <w:sz w:val="24"/>
          <w:szCs w:val="24"/>
          <w:lang w:eastAsia="zh-CN"/>
        </w:rPr>
        <w:t xml:space="preserve"> proliferation and metastasis</w:t>
      </w:r>
    </w:p>
    <w:p w14:paraId="7C7E54C1" w14:textId="77777777" w:rsidR="00913128" w:rsidRPr="00DF6D96" w:rsidRDefault="00913128" w:rsidP="0030419F">
      <w:pPr>
        <w:pStyle w:val="1"/>
        <w:adjustRightInd w:val="0"/>
        <w:snapToGrid w:val="0"/>
        <w:spacing w:line="360" w:lineRule="auto"/>
        <w:rPr>
          <w:rFonts w:ascii="Book Antiqua" w:hAnsi="Book Antiqua"/>
          <w:b/>
          <w:color w:val="auto"/>
          <w:sz w:val="24"/>
          <w:szCs w:val="24"/>
          <w:lang w:eastAsia="zh-CN"/>
        </w:rPr>
      </w:pPr>
    </w:p>
    <w:p w14:paraId="64E596F0" w14:textId="6B21E2ED" w:rsidR="00BB7EA0" w:rsidRPr="0087610E" w:rsidRDefault="00BB7EA0" w:rsidP="0030419F">
      <w:pPr>
        <w:adjustRightInd w:val="0"/>
        <w:snapToGrid w:val="0"/>
        <w:spacing w:line="360" w:lineRule="auto"/>
        <w:rPr>
          <w:rFonts w:ascii="Book Antiqua" w:hAnsi="Book Antiqua"/>
          <w:color w:val="auto"/>
          <w:sz w:val="24"/>
          <w:szCs w:val="24"/>
          <w:lang w:eastAsia="zh-CN"/>
        </w:rPr>
      </w:pPr>
      <w:r w:rsidRPr="0087610E">
        <w:rPr>
          <w:rFonts w:ascii="Book Antiqua" w:hAnsi="Book Antiqua"/>
          <w:color w:val="auto"/>
          <w:sz w:val="24"/>
          <w:szCs w:val="24"/>
        </w:rPr>
        <w:t>Liang Sun, Pi</w:t>
      </w:r>
      <w:r w:rsidR="00913128" w:rsidRPr="0087610E">
        <w:rPr>
          <w:rFonts w:ascii="Book Antiqua" w:hAnsi="Book Antiqua" w:hint="eastAsia"/>
          <w:color w:val="auto"/>
          <w:sz w:val="24"/>
          <w:szCs w:val="24"/>
          <w:lang w:eastAsia="zh-CN"/>
        </w:rPr>
        <w:t>-</w:t>
      </w:r>
      <w:r w:rsidR="00913128" w:rsidRPr="0087610E">
        <w:rPr>
          <w:rFonts w:ascii="Book Antiqua" w:hAnsi="Book Antiqua"/>
          <w:color w:val="auto"/>
          <w:sz w:val="24"/>
          <w:szCs w:val="24"/>
        </w:rPr>
        <w:t>B</w:t>
      </w:r>
      <w:r w:rsidRPr="0087610E">
        <w:rPr>
          <w:rFonts w:ascii="Book Antiqua" w:hAnsi="Book Antiqua"/>
          <w:color w:val="auto"/>
          <w:sz w:val="24"/>
          <w:szCs w:val="24"/>
        </w:rPr>
        <w:t>ao Li, Yan</w:t>
      </w:r>
      <w:r w:rsidR="00913128" w:rsidRPr="0087610E">
        <w:rPr>
          <w:rFonts w:ascii="Book Antiqua" w:hAnsi="Book Antiqua" w:hint="eastAsia"/>
          <w:color w:val="auto"/>
          <w:sz w:val="24"/>
          <w:szCs w:val="24"/>
          <w:lang w:eastAsia="zh-CN"/>
        </w:rPr>
        <w:t>-</w:t>
      </w:r>
      <w:r w:rsidR="00913128" w:rsidRPr="0087610E">
        <w:rPr>
          <w:rFonts w:ascii="Book Antiqua" w:hAnsi="Book Antiqua"/>
          <w:color w:val="auto"/>
          <w:sz w:val="24"/>
          <w:szCs w:val="24"/>
        </w:rPr>
        <w:t>F</w:t>
      </w:r>
      <w:r w:rsidRPr="0087610E">
        <w:rPr>
          <w:rFonts w:ascii="Book Antiqua" w:hAnsi="Book Antiqua"/>
          <w:color w:val="auto"/>
          <w:sz w:val="24"/>
          <w:szCs w:val="24"/>
        </w:rPr>
        <w:t>en Yao, Ai</w:t>
      </w:r>
      <w:r w:rsidR="00913128" w:rsidRPr="0087610E">
        <w:rPr>
          <w:rFonts w:ascii="Book Antiqua" w:hAnsi="Book Antiqua" w:hint="eastAsia"/>
          <w:color w:val="auto"/>
          <w:sz w:val="24"/>
          <w:szCs w:val="24"/>
          <w:lang w:eastAsia="zh-CN"/>
        </w:rPr>
        <w:t>-</w:t>
      </w:r>
      <w:r w:rsidR="00913128" w:rsidRPr="0087610E">
        <w:rPr>
          <w:rFonts w:ascii="Book Antiqua" w:hAnsi="Book Antiqua"/>
          <w:color w:val="auto"/>
          <w:sz w:val="24"/>
          <w:szCs w:val="24"/>
        </w:rPr>
        <w:t>Y</w:t>
      </w:r>
      <w:r w:rsidRPr="0087610E">
        <w:rPr>
          <w:rFonts w:ascii="Book Antiqua" w:hAnsi="Book Antiqua"/>
          <w:color w:val="auto"/>
          <w:sz w:val="24"/>
          <w:szCs w:val="24"/>
        </w:rPr>
        <w:t>uan Xiu, Zhi Peng, Yu</w:t>
      </w:r>
      <w:r w:rsidR="00913128" w:rsidRPr="0087610E">
        <w:rPr>
          <w:rFonts w:ascii="Book Antiqua" w:hAnsi="Book Antiqua" w:hint="eastAsia"/>
          <w:color w:val="auto"/>
          <w:sz w:val="24"/>
          <w:szCs w:val="24"/>
          <w:lang w:eastAsia="zh-CN"/>
        </w:rPr>
        <w:t>-</w:t>
      </w:r>
      <w:r w:rsidR="00913128" w:rsidRPr="0087610E">
        <w:rPr>
          <w:rFonts w:ascii="Book Antiqua" w:hAnsi="Book Antiqua"/>
          <w:color w:val="auto"/>
          <w:sz w:val="24"/>
          <w:szCs w:val="24"/>
        </w:rPr>
        <w:t>H</w:t>
      </w:r>
      <w:r w:rsidRPr="0087610E">
        <w:rPr>
          <w:rFonts w:ascii="Book Antiqua" w:hAnsi="Book Antiqua"/>
          <w:color w:val="auto"/>
          <w:sz w:val="24"/>
          <w:szCs w:val="24"/>
        </w:rPr>
        <w:t>uan Bai, Yan</w:t>
      </w:r>
      <w:r w:rsidR="00913128" w:rsidRPr="0087610E">
        <w:rPr>
          <w:rFonts w:ascii="Book Antiqua" w:hAnsi="Book Antiqua" w:hint="eastAsia"/>
          <w:color w:val="auto"/>
          <w:sz w:val="24"/>
          <w:szCs w:val="24"/>
          <w:lang w:eastAsia="zh-CN"/>
        </w:rPr>
        <w:t>-</w:t>
      </w:r>
      <w:r w:rsidR="00913128" w:rsidRPr="0087610E">
        <w:rPr>
          <w:rFonts w:ascii="Book Antiqua" w:hAnsi="Book Antiqua"/>
          <w:color w:val="auto"/>
          <w:sz w:val="24"/>
          <w:szCs w:val="24"/>
        </w:rPr>
        <w:t>J</w:t>
      </w:r>
      <w:r w:rsidRPr="0087610E">
        <w:rPr>
          <w:rFonts w:ascii="Book Antiqua" w:hAnsi="Book Antiqua"/>
          <w:color w:val="auto"/>
          <w:sz w:val="24"/>
          <w:szCs w:val="24"/>
        </w:rPr>
        <w:t>ing Gao</w:t>
      </w:r>
    </w:p>
    <w:p w14:paraId="7EE4706A" w14:textId="77777777" w:rsidR="00405CC4" w:rsidRPr="00DF6D96" w:rsidRDefault="00405CC4" w:rsidP="0030419F">
      <w:pPr>
        <w:adjustRightInd w:val="0"/>
        <w:snapToGrid w:val="0"/>
        <w:spacing w:line="360" w:lineRule="auto"/>
        <w:rPr>
          <w:rFonts w:ascii="Book Antiqua" w:hAnsi="Book Antiqua"/>
          <w:color w:val="auto"/>
          <w:sz w:val="24"/>
          <w:szCs w:val="24"/>
          <w:lang w:eastAsia="zh-CN"/>
        </w:rPr>
      </w:pPr>
    </w:p>
    <w:p w14:paraId="3D4901E7" w14:textId="7077A43D" w:rsidR="00913128" w:rsidRPr="00DF6D96" w:rsidRDefault="00913128" w:rsidP="0030419F">
      <w:pPr>
        <w:adjustRightInd w:val="0"/>
        <w:snapToGrid w:val="0"/>
        <w:spacing w:line="360" w:lineRule="auto"/>
        <w:rPr>
          <w:rFonts w:ascii="Book Antiqua" w:hAnsi="Book Antiqua"/>
          <w:color w:val="auto"/>
          <w:sz w:val="24"/>
          <w:szCs w:val="24"/>
          <w:lang w:eastAsia="zh-CN"/>
        </w:rPr>
      </w:pPr>
      <w:r w:rsidRPr="00DF6D96">
        <w:rPr>
          <w:rFonts w:ascii="Book Antiqua" w:hAnsi="Book Antiqua"/>
          <w:b/>
          <w:color w:val="auto"/>
          <w:sz w:val="24"/>
          <w:szCs w:val="24"/>
        </w:rPr>
        <w:t>Liang Sun</w:t>
      </w:r>
      <w:r w:rsidRPr="00DF6D96">
        <w:rPr>
          <w:rFonts w:ascii="Book Antiqua" w:hAnsi="Book Antiqua" w:hint="eastAsia"/>
          <w:b/>
          <w:color w:val="auto"/>
          <w:sz w:val="24"/>
          <w:szCs w:val="24"/>
          <w:lang w:eastAsia="zh-CN"/>
        </w:rPr>
        <w:t xml:space="preserve">, </w:t>
      </w:r>
      <w:r w:rsidRPr="00DF6D96">
        <w:rPr>
          <w:rFonts w:ascii="Book Antiqua" w:hAnsi="Book Antiqua"/>
          <w:color w:val="auto"/>
          <w:sz w:val="24"/>
          <w:szCs w:val="24"/>
        </w:rPr>
        <w:t>Qilu Hospital of Shandong University, Jinan 250012, Shandong</w:t>
      </w:r>
      <w:r w:rsidRPr="00DF6D96">
        <w:rPr>
          <w:rFonts w:ascii="Book Antiqua" w:hAnsi="Book Antiqua" w:hint="eastAsia"/>
          <w:color w:val="auto"/>
          <w:sz w:val="24"/>
          <w:szCs w:val="24"/>
          <w:lang w:eastAsia="zh-CN"/>
        </w:rPr>
        <w:t xml:space="preserve"> </w:t>
      </w:r>
      <w:r w:rsidR="00655760" w:rsidRPr="00DF6D96">
        <w:rPr>
          <w:rFonts w:ascii="Book Antiqua" w:hAnsi="Book Antiqua"/>
          <w:color w:val="auto"/>
          <w:sz w:val="24"/>
          <w:szCs w:val="24"/>
          <w:lang w:eastAsia="zh-CN"/>
        </w:rPr>
        <w:t>P</w:t>
      </w:r>
      <w:r w:rsidRPr="00DF6D96">
        <w:rPr>
          <w:rFonts w:ascii="Book Antiqua" w:hAnsi="Book Antiqua" w:hint="eastAsia"/>
          <w:color w:val="auto"/>
          <w:sz w:val="24"/>
          <w:szCs w:val="24"/>
          <w:lang w:eastAsia="zh-CN"/>
        </w:rPr>
        <w:t>rovince</w:t>
      </w:r>
      <w:r w:rsidR="000657FC" w:rsidRPr="00DF6D96">
        <w:rPr>
          <w:rFonts w:ascii="Book Antiqua" w:hAnsi="Book Antiqua" w:hint="eastAsia"/>
          <w:color w:val="auto"/>
          <w:sz w:val="24"/>
          <w:szCs w:val="24"/>
          <w:lang w:eastAsia="zh-CN"/>
        </w:rPr>
        <w:t>,</w:t>
      </w:r>
      <w:r w:rsidRPr="00DF6D96">
        <w:rPr>
          <w:rFonts w:ascii="Book Antiqua" w:hAnsi="Book Antiqua" w:hint="eastAsia"/>
          <w:color w:val="auto"/>
          <w:sz w:val="24"/>
          <w:szCs w:val="24"/>
          <w:lang w:eastAsia="zh-CN"/>
        </w:rPr>
        <w:t xml:space="preserve"> </w:t>
      </w:r>
      <w:r w:rsidR="000657FC" w:rsidRPr="00DF6D96">
        <w:rPr>
          <w:rFonts w:ascii="Book Antiqua" w:hAnsi="Book Antiqua"/>
          <w:color w:val="auto"/>
          <w:sz w:val="24"/>
          <w:szCs w:val="24"/>
        </w:rPr>
        <w:t>China</w:t>
      </w:r>
    </w:p>
    <w:p w14:paraId="1EBC1047" w14:textId="77777777" w:rsidR="000657FC" w:rsidRPr="00DF6D96" w:rsidRDefault="000657FC" w:rsidP="0030419F">
      <w:pPr>
        <w:adjustRightInd w:val="0"/>
        <w:snapToGrid w:val="0"/>
        <w:spacing w:line="360" w:lineRule="auto"/>
        <w:rPr>
          <w:rFonts w:ascii="Book Antiqua" w:hAnsi="Book Antiqua"/>
          <w:color w:val="auto"/>
          <w:sz w:val="24"/>
          <w:szCs w:val="24"/>
          <w:lang w:eastAsia="zh-CN"/>
        </w:rPr>
      </w:pPr>
    </w:p>
    <w:p w14:paraId="2F0B71D8" w14:textId="1C29FA01" w:rsidR="000657FC" w:rsidRPr="00DF6D96" w:rsidRDefault="000657FC" w:rsidP="0030419F">
      <w:pPr>
        <w:adjustRightInd w:val="0"/>
        <w:snapToGrid w:val="0"/>
        <w:spacing w:line="360" w:lineRule="auto"/>
        <w:rPr>
          <w:rFonts w:ascii="Book Antiqua" w:hAnsi="Book Antiqua"/>
          <w:color w:val="auto"/>
          <w:sz w:val="24"/>
          <w:szCs w:val="24"/>
        </w:rPr>
      </w:pPr>
      <w:r w:rsidRPr="00DF6D96">
        <w:rPr>
          <w:rFonts w:ascii="Book Antiqua" w:hAnsi="Book Antiqua"/>
          <w:b/>
          <w:color w:val="auto"/>
          <w:sz w:val="24"/>
          <w:szCs w:val="24"/>
        </w:rPr>
        <w:t>Liang Sun</w:t>
      </w:r>
      <w:r w:rsidRPr="00DF6D96">
        <w:rPr>
          <w:rFonts w:ascii="Book Antiqua" w:hAnsi="Book Antiqua" w:hint="eastAsia"/>
          <w:b/>
          <w:color w:val="auto"/>
          <w:sz w:val="24"/>
          <w:szCs w:val="24"/>
          <w:lang w:eastAsia="zh-CN"/>
        </w:rPr>
        <w:t xml:space="preserve">, </w:t>
      </w:r>
      <w:r w:rsidRPr="00DF6D96">
        <w:rPr>
          <w:rFonts w:ascii="Book Antiqua" w:hAnsi="Book Antiqua"/>
          <w:b/>
          <w:color w:val="auto"/>
          <w:sz w:val="24"/>
          <w:szCs w:val="24"/>
        </w:rPr>
        <w:t>Pi</w:t>
      </w:r>
      <w:r w:rsidRPr="00DF6D96">
        <w:rPr>
          <w:rFonts w:ascii="Book Antiqua" w:hAnsi="Book Antiqua" w:hint="eastAsia"/>
          <w:b/>
          <w:color w:val="auto"/>
          <w:sz w:val="24"/>
          <w:szCs w:val="24"/>
          <w:lang w:eastAsia="zh-CN"/>
        </w:rPr>
        <w:t>-</w:t>
      </w:r>
      <w:r w:rsidRPr="00DF6D96">
        <w:rPr>
          <w:rFonts w:ascii="Book Antiqua" w:hAnsi="Book Antiqua"/>
          <w:b/>
          <w:color w:val="auto"/>
          <w:sz w:val="24"/>
          <w:szCs w:val="24"/>
        </w:rPr>
        <w:t>Bao Li</w:t>
      </w:r>
      <w:r w:rsidRPr="00DF6D96">
        <w:rPr>
          <w:rFonts w:ascii="Book Antiqua" w:hAnsi="Book Antiqua" w:hint="eastAsia"/>
          <w:b/>
          <w:color w:val="auto"/>
          <w:sz w:val="24"/>
          <w:szCs w:val="24"/>
          <w:lang w:eastAsia="zh-CN"/>
        </w:rPr>
        <w:t xml:space="preserve">, </w:t>
      </w:r>
      <w:r w:rsidRPr="00DF6D96">
        <w:rPr>
          <w:rFonts w:ascii="Book Antiqua" w:hAnsi="Book Antiqua"/>
          <w:b/>
          <w:color w:val="auto"/>
          <w:sz w:val="24"/>
          <w:szCs w:val="24"/>
        </w:rPr>
        <w:t>Yan</w:t>
      </w:r>
      <w:r w:rsidRPr="00DF6D96">
        <w:rPr>
          <w:rFonts w:ascii="Book Antiqua" w:hAnsi="Book Antiqua" w:hint="eastAsia"/>
          <w:b/>
          <w:color w:val="auto"/>
          <w:sz w:val="24"/>
          <w:szCs w:val="24"/>
          <w:lang w:eastAsia="zh-CN"/>
        </w:rPr>
        <w:t>-</w:t>
      </w:r>
      <w:r w:rsidRPr="00DF6D96">
        <w:rPr>
          <w:rFonts w:ascii="Book Antiqua" w:hAnsi="Book Antiqua"/>
          <w:b/>
          <w:color w:val="auto"/>
          <w:sz w:val="24"/>
          <w:szCs w:val="24"/>
        </w:rPr>
        <w:t>Fen Yao</w:t>
      </w:r>
      <w:r w:rsidRPr="00DF6D96">
        <w:rPr>
          <w:rFonts w:ascii="Book Antiqua" w:hAnsi="Book Antiqua" w:hint="eastAsia"/>
          <w:b/>
          <w:color w:val="auto"/>
          <w:sz w:val="24"/>
          <w:szCs w:val="24"/>
          <w:lang w:eastAsia="zh-CN"/>
        </w:rPr>
        <w:t xml:space="preserve">, </w:t>
      </w:r>
      <w:r w:rsidRPr="00DF6D96">
        <w:rPr>
          <w:rFonts w:ascii="Book Antiqua" w:hAnsi="Book Antiqua"/>
          <w:color w:val="auto"/>
          <w:sz w:val="24"/>
          <w:szCs w:val="24"/>
        </w:rPr>
        <w:t>Department of Critical Care Medicine, Shandong Traffic Hospital,</w:t>
      </w:r>
      <w:r w:rsidRPr="00DF6D96">
        <w:rPr>
          <w:rFonts w:ascii="Book Antiqua" w:hAnsi="Book Antiqua" w:hint="eastAsia"/>
          <w:color w:val="auto"/>
          <w:sz w:val="24"/>
          <w:szCs w:val="24"/>
          <w:lang w:eastAsia="zh-CN"/>
        </w:rPr>
        <w:t xml:space="preserve"> </w:t>
      </w:r>
      <w:r w:rsidRPr="00DF6D96">
        <w:rPr>
          <w:rFonts w:ascii="Book Antiqua" w:hAnsi="Book Antiqua"/>
          <w:color w:val="auto"/>
          <w:sz w:val="24"/>
          <w:szCs w:val="24"/>
        </w:rPr>
        <w:t>Jinan 250000, Shandong</w:t>
      </w:r>
      <w:r w:rsidRPr="00DF6D96">
        <w:rPr>
          <w:rFonts w:ascii="Book Antiqua" w:hAnsi="Book Antiqua" w:hint="eastAsia"/>
          <w:color w:val="auto"/>
          <w:sz w:val="24"/>
          <w:szCs w:val="24"/>
          <w:lang w:eastAsia="zh-CN"/>
        </w:rPr>
        <w:t xml:space="preserve"> </w:t>
      </w:r>
      <w:r w:rsidRPr="00C36569">
        <w:rPr>
          <w:rFonts w:ascii="Book Antiqua" w:hAnsi="Book Antiqua" w:hint="eastAsia"/>
          <w:caps/>
          <w:color w:val="auto"/>
          <w:sz w:val="24"/>
          <w:szCs w:val="24"/>
          <w:lang w:eastAsia="zh-CN"/>
        </w:rPr>
        <w:t>p</w:t>
      </w:r>
      <w:r w:rsidRPr="00DF6D96">
        <w:rPr>
          <w:rFonts w:ascii="Book Antiqua" w:hAnsi="Book Antiqua" w:hint="eastAsia"/>
          <w:color w:val="auto"/>
          <w:sz w:val="24"/>
          <w:szCs w:val="24"/>
          <w:lang w:eastAsia="zh-CN"/>
        </w:rPr>
        <w:t xml:space="preserve">rovince, </w:t>
      </w:r>
      <w:r w:rsidRPr="00DF6D96">
        <w:rPr>
          <w:rFonts w:ascii="Book Antiqua" w:hAnsi="Book Antiqua"/>
          <w:color w:val="auto"/>
          <w:sz w:val="24"/>
          <w:szCs w:val="24"/>
        </w:rPr>
        <w:t>China</w:t>
      </w:r>
    </w:p>
    <w:p w14:paraId="2FC9373B" w14:textId="060954EB" w:rsidR="000657FC" w:rsidRPr="00DF6D96" w:rsidRDefault="000657FC" w:rsidP="0030419F">
      <w:pPr>
        <w:adjustRightInd w:val="0"/>
        <w:snapToGrid w:val="0"/>
        <w:spacing w:line="360" w:lineRule="auto"/>
        <w:rPr>
          <w:rFonts w:ascii="Book Antiqua" w:hAnsi="Book Antiqua"/>
          <w:color w:val="auto"/>
          <w:sz w:val="24"/>
          <w:szCs w:val="24"/>
          <w:lang w:eastAsia="zh-CN"/>
        </w:rPr>
      </w:pPr>
    </w:p>
    <w:p w14:paraId="774C946C" w14:textId="77777777" w:rsidR="000657FC" w:rsidRPr="00DF6D96" w:rsidRDefault="000657FC" w:rsidP="0030419F">
      <w:pPr>
        <w:adjustRightInd w:val="0"/>
        <w:snapToGrid w:val="0"/>
        <w:spacing w:line="360" w:lineRule="auto"/>
        <w:rPr>
          <w:rFonts w:ascii="Book Antiqua" w:hAnsi="Book Antiqua"/>
          <w:color w:val="auto"/>
          <w:sz w:val="24"/>
          <w:szCs w:val="24"/>
        </w:rPr>
      </w:pPr>
      <w:r w:rsidRPr="00DF6D96">
        <w:rPr>
          <w:rFonts w:ascii="Book Antiqua" w:hAnsi="Book Antiqua"/>
          <w:b/>
          <w:color w:val="auto"/>
          <w:sz w:val="24"/>
          <w:szCs w:val="24"/>
        </w:rPr>
        <w:t>Ai</w:t>
      </w:r>
      <w:r w:rsidRPr="00DF6D96">
        <w:rPr>
          <w:rFonts w:ascii="Book Antiqua" w:hAnsi="Book Antiqua" w:hint="eastAsia"/>
          <w:b/>
          <w:color w:val="auto"/>
          <w:sz w:val="24"/>
          <w:szCs w:val="24"/>
          <w:lang w:eastAsia="zh-CN"/>
        </w:rPr>
        <w:t>-</w:t>
      </w:r>
      <w:r w:rsidRPr="00DF6D96">
        <w:rPr>
          <w:rFonts w:ascii="Book Antiqua" w:hAnsi="Book Antiqua"/>
          <w:b/>
          <w:color w:val="auto"/>
          <w:sz w:val="24"/>
          <w:szCs w:val="24"/>
        </w:rPr>
        <w:t>Yuan Xiu, Zhi Peng, Yu</w:t>
      </w:r>
      <w:r w:rsidRPr="00DF6D96">
        <w:rPr>
          <w:rFonts w:ascii="Book Antiqua" w:hAnsi="Book Antiqua" w:hint="eastAsia"/>
          <w:b/>
          <w:color w:val="auto"/>
          <w:sz w:val="24"/>
          <w:szCs w:val="24"/>
          <w:lang w:eastAsia="zh-CN"/>
        </w:rPr>
        <w:t>-</w:t>
      </w:r>
      <w:r w:rsidRPr="00DF6D96">
        <w:rPr>
          <w:rFonts w:ascii="Book Antiqua" w:hAnsi="Book Antiqua"/>
          <w:b/>
          <w:color w:val="auto"/>
          <w:sz w:val="24"/>
          <w:szCs w:val="24"/>
        </w:rPr>
        <w:t>Huan Bai, Yan</w:t>
      </w:r>
      <w:r w:rsidRPr="00DF6D96">
        <w:rPr>
          <w:rFonts w:ascii="Book Antiqua" w:hAnsi="Book Antiqua" w:hint="eastAsia"/>
          <w:b/>
          <w:color w:val="auto"/>
          <w:sz w:val="24"/>
          <w:szCs w:val="24"/>
          <w:lang w:eastAsia="zh-CN"/>
        </w:rPr>
        <w:t>-</w:t>
      </w:r>
      <w:r w:rsidRPr="00DF6D96">
        <w:rPr>
          <w:rFonts w:ascii="Book Antiqua" w:hAnsi="Book Antiqua"/>
          <w:b/>
          <w:color w:val="auto"/>
          <w:sz w:val="24"/>
          <w:szCs w:val="24"/>
        </w:rPr>
        <w:t>Jing Gao</w:t>
      </w:r>
      <w:r w:rsidRPr="00DF6D96">
        <w:rPr>
          <w:rFonts w:ascii="Book Antiqua" w:hAnsi="Book Antiqua" w:hint="eastAsia"/>
          <w:b/>
          <w:color w:val="auto"/>
          <w:sz w:val="24"/>
          <w:szCs w:val="24"/>
          <w:lang w:eastAsia="zh-CN"/>
        </w:rPr>
        <w:t xml:space="preserve">, </w:t>
      </w:r>
      <w:r w:rsidRPr="00DF6D96">
        <w:rPr>
          <w:rFonts w:ascii="Book Antiqua" w:hAnsi="Book Antiqua"/>
          <w:color w:val="auto"/>
          <w:sz w:val="24"/>
          <w:szCs w:val="24"/>
        </w:rPr>
        <w:t>Department of Gastroenterology, Qilu Hospital of Shandong University,</w:t>
      </w:r>
      <w:r w:rsidRPr="00DF6D96">
        <w:rPr>
          <w:rFonts w:ascii="Book Antiqua" w:hAnsi="Book Antiqua" w:hint="eastAsia"/>
          <w:color w:val="auto"/>
          <w:sz w:val="24"/>
          <w:szCs w:val="24"/>
          <w:lang w:eastAsia="zh-CN"/>
        </w:rPr>
        <w:t xml:space="preserve"> </w:t>
      </w:r>
      <w:r w:rsidRPr="00DF6D96">
        <w:rPr>
          <w:rFonts w:ascii="Book Antiqua" w:hAnsi="Book Antiqua"/>
          <w:color w:val="auto"/>
          <w:sz w:val="24"/>
          <w:szCs w:val="24"/>
        </w:rPr>
        <w:t>Jinan 250012, Shandong</w:t>
      </w:r>
      <w:r w:rsidRPr="00DF6D96">
        <w:rPr>
          <w:rFonts w:ascii="Book Antiqua" w:hAnsi="Book Antiqua" w:hint="eastAsia"/>
          <w:color w:val="auto"/>
          <w:sz w:val="24"/>
          <w:szCs w:val="24"/>
          <w:lang w:eastAsia="zh-CN"/>
        </w:rPr>
        <w:t xml:space="preserve"> </w:t>
      </w:r>
      <w:r w:rsidRPr="00C36569">
        <w:rPr>
          <w:rFonts w:ascii="Book Antiqua" w:hAnsi="Book Antiqua" w:hint="eastAsia"/>
          <w:caps/>
          <w:color w:val="auto"/>
          <w:sz w:val="24"/>
          <w:szCs w:val="24"/>
          <w:lang w:eastAsia="zh-CN"/>
        </w:rPr>
        <w:t>p</w:t>
      </w:r>
      <w:r w:rsidRPr="00DF6D96">
        <w:rPr>
          <w:rFonts w:ascii="Book Antiqua" w:hAnsi="Book Antiqua" w:hint="eastAsia"/>
          <w:color w:val="auto"/>
          <w:sz w:val="24"/>
          <w:szCs w:val="24"/>
          <w:lang w:eastAsia="zh-CN"/>
        </w:rPr>
        <w:t xml:space="preserve">rovince, </w:t>
      </w:r>
      <w:r w:rsidRPr="00DF6D96">
        <w:rPr>
          <w:rFonts w:ascii="Book Antiqua" w:hAnsi="Book Antiqua"/>
          <w:color w:val="auto"/>
          <w:sz w:val="24"/>
          <w:szCs w:val="24"/>
        </w:rPr>
        <w:t>China</w:t>
      </w:r>
    </w:p>
    <w:p w14:paraId="7CC13F59" w14:textId="553898D9" w:rsidR="00913128" w:rsidRPr="00DF6D96" w:rsidRDefault="00913128" w:rsidP="0030419F">
      <w:pPr>
        <w:adjustRightInd w:val="0"/>
        <w:snapToGrid w:val="0"/>
        <w:spacing w:line="360" w:lineRule="auto"/>
        <w:rPr>
          <w:rFonts w:ascii="Book Antiqua" w:hAnsi="Book Antiqua"/>
          <w:color w:val="auto"/>
          <w:sz w:val="24"/>
          <w:szCs w:val="24"/>
          <w:lang w:eastAsia="zh-CN"/>
        </w:rPr>
      </w:pPr>
    </w:p>
    <w:p w14:paraId="72AF42E9" w14:textId="3CB45A6D" w:rsidR="00DF6D96" w:rsidRPr="00DF6D96" w:rsidRDefault="00DF6D96" w:rsidP="0030419F">
      <w:pPr>
        <w:adjustRightInd w:val="0"/>
        <w:snapToGrid w:val="0"/>
        <w:spacing w:line="360" w:lineRule="auto"/>
        <w:rPr>
          <w:rFonts w:ascii="Book Antiqua" w:hAnsi="Book Antiqua"/>
          <w:b/>
          <w:color w:val="auto"/>
          <w:sz w:val="24"/>
          <w:szCs w:val="24"/>
          <w:lang w:eastAsia="zh-CN"/>
        </w:rPr>
      </w:pPr>
      <w:r w:rsidRPr="00DF6D96">
        <w:rPr>
          <w:rFonts w:ascii="Book Antiqua" w:hAnsi="Book Antiqua"/>
          <w:b/>
          <w:bCs/>
          <w:color w:val="auto"/>
          <w:sz w:val="24"/>
          <w:szCs w:val="24"/>
          <w:shd w:val="clear" w:color="auto" w:fill="FFFFFF"/>
        </w:rPr>
        <w:t>ORCID number</w:t>
      </w:r>
      <w:r w:rsidRPr="00DF6D96">
        <w:rPr>
          <w:rFonts w:ascii="Book Antiqua" w:hAnsi="Book Antiqua"/>
          <w:b/>
          <w:color w:val="auto"/>
          <w:sz w:val="24"/>
          <w:szCs w:val="24"/>
          <w:lang w:val="en-GB"/>
        </w:rPr>
        <w:t>:</w:t>
      </w:r>
      <w:r w:rsidRPr="00DF6D96">
        <w:rPr>
          <w:rFonts w:ascii="Book Antiqua" w:hAnsi="Book Antiqua" w:hint="eastAsia"/>
          <w:color w:val="auto"/>
          <w:sz w:val="24"/>
          <w:szCs w:val="24"/>
          <w:lang w:val="en-GB" w:eastAsia="zh-CN"/>
        </w:rPr>
        <w:t xml:space="preserve"> </w:t>
      </w:r>
      <w:r w:rsidRPr="00DF6D96">
        <w:rPr>
          <w:rFonts w:ascii="Book Antiqua" w:hAnsi="Book Antiqua"/>
          <w:color w:val="auto"/>
          <w:sz w:val="24"/>
          <w:szCs w:val="24"/>
        </w:rPr>
        <w:t>Liang Sun</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0000-0003-0308-8426</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Pi</w:t>
      </w:r>
      <w:r w:rsidRPr="00DF6D96">
        <w:rPr>
          <w:rFonts w:ascii="Book Antiqua" w:hAnsi="Book Antiqua" w:hint="eastAsia"/>
          <w:color w:val="auto"/>
          <w:sz w:val="24"/>
          <w:szCs w:val="24"/>
          <w:lang w:eastAsia="zh-CN"/>
        </w:rPr>
        <w:t>-</w:t>
      </w:r>
      <w:r w:rsidRPr="00DF6D96">
        <w:rPr>
          <w:rFonts w:ascii="Book Antiqua" w:hAnsi="Book Antiqua"/>
          <w:color w:val="auto"/>
          <w:sz w:val="24"/>
          <w:szCs w:val="24"/>
        </w:rPr>
        <w:t>Bao Li</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0000-0003-3944-5106</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Yan</w:t>
      </w:r>
      <w:r w:rsidRPr="00DF6D96">
        <w:rPr>
          <w:rFonts w:ascii="Book Antiqua" w:hAnsi="Book Antiqua" w:hint="eastAsia"/>
          <w:color w:val="auto"/>
          <w:sz w:val="24"/>
          <w:szCs w:val="24"/>
          <w:lang w:eastAsia="zh-CN"/>
        </w:rPr>
        <w:t>-</w:t>
      </w:r>
      <w:r w:rsidRPr="00DF6D96">
        <w:rPr>
          <w:rFonts w:ascii="Book Antiqua" w:hAnsi="Book Antiqua"/>
          <w:color w:val="auto"/>
          <w:sz w:val="24"/>
          <w:szCs w:val="24"/>
        </w:rPr>
        <w:t>Fen Yao</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0000-0002-5633-9172</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Ai</w:t>
      </w:r>
      <w:r w:rsidRPr="00DF6D96">
        <w:rPr>
          <w:rFonts w:ascii="Book Antiqua" w:hAnsi="Book Antiqua" w:hint="eastAsia"/>
          <w:color w:val="auto"/>
          <w:sz w:val="24"/>
          <w:szCs w:val="24"/>
          <w:lang w:eastAsia="zh-CN"/>
        </w:rPr>
        <w:t>-</w:t>
      </w:r>
      <w:r w:rsidRPr="00DF6D96">
        <w:rPr>
          <w:rFonts w:ascii="Book Antiqua" w:hAnsi="Book Antiqua"/>
          <w:color w:val="auto"/>
          <w:sz w:val="24"/>
          <w:szCs w:val="24"/>
        </w:rPr>
        <w:t>Yuan Xiu</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0000-0002-5009-8961</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Zhi Peng</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0000-0002-9612-5064</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Yu</w:t>
      </w:r>
      <w:r w:rsidRPr="00DF6D96">
        <w:rPr>
          <w:rFonts w:ascii="Book Antiqua" w:hAnsi="Book Antiqua" w:hint="eastAsia"/>
          <w:color w:val="auto"/>
          <w:sz w:val="24"/>
          <w:szCs w:val="24"/>
          <w:lang w:eastAsia="zh-CN"/>
        </w:rPr>
        <w:t>-</w:t>
      </w:r>
      <w:r w:rsidRPr="00DF6D96">
        <w:rPr>
          <w:rFonts w:ascii="Book Antiqua" w:hAnsi="Book Antiqua"/>
          <w:color w:val="auto"/>
          <w:sz w:val="24"/>
          <w:szCs w:val="24"/>
        </w:rPr>
        <w:t>Huan Bai</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0000-0002-2848-4639</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Yan</w:t>
      </w:r>
      <w:r w:rsidRPr="00DF6D96">
        <w:rPr>
          <w:rFonts w:ascii="Book Antiqua" w:hAnsi="Book Antiqua" w:hint="eastAsia"/>
          <w:color w:val="auto"/>
          <w:sz w:val="24"/>
          <w:szCs w:val="24"/>
          <w:lang w:eastAsia="zh-CN"/>
        </w:rPr>
        <w:t>-</w:t>
      </w:r>
      <w:r w:rsidRPr="00DF6D96">
        <w:rPr>
          <w:rFonts w:ascii="Book Antiqua" w:hAnsi="Book Antiqua"/>
          <w:color w:val="auto"/>
          <w:sz w:val="24"/>
          <w:szCs w:val="24"/>
        </w:rPr>
        <w:t>Jing Gao</w:t>
      </w:r>
      <w:r>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0000-0001-8153-3754</w:t>
      </w:r>
      <w:r>
        <w:rPr>
          <w:rFonts w:ascii="Book Antiqua" w:hAnsi="Book Antiqua" w:hint="eastAsia"/>
          <w:color w:val="auto"/>
          <w:sz w:val="24"/>
          <w:szCs w:val="24"/>
          <w:lang w:eastAsia="zh-CN"/>
        </w:rPr>
        <w:t>).</w:t>
      </w:r>
    </w:p>
    <w:p w14:paraId="2C5F5490" w14:textId="603BD6E0" w:rsidR="00DF6D96" w:rsidRPr="00DF6D96" w:rsidRDefault="00DF6D96" w:rsidP="0030419F">
      <w:pPr>
        <w:adjustRightInd w:val="0"/>
        <w:snapToGrid w:val="0"/>
        <w:spacing w:line="360" w:lineRule="auto"/>
        <w:rPr>
          <w:rFonts w:ascii="Book Antiqua" w:hAnsi="Book Antiqua"/>
          <w:b/>
          <w:color w:val="auto"/>
          <w:sz w:val="24"/>
          <w:szCs w:val="24"/>
          <w:lang w:eastAsia="zh-CN"/>
        </w:rPr>
      </w:pPr>
    </w:p>
    <w:p w14:paraId="06DC8A01" w14:textId="285796A7" w:rsidR="00DF6D96" w:rsidRDefault="00DF6D96"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b/>
          <w:color w:val="auto"/>
          <w:sz w:val="24"/>
          <w:szCs w:val="24"/>
        </w:rPr>
        <w:t>Author contributions:</w:t>
      </w:r>
      <w:r w:rsidRPr="00DF6D96">
        <w:rPr>
          <w:rFonts w:ascii="Book Antiqua" w:hAnsi="Book Antiqua"/>
          <w:color w:val="auto"/>
          <w:sz w:val="24"/>
          <w:szCs w:val="24"/>
        </w:rPr>
        <w:t xml:space="preserve"> </w:t>
      </w:r>
      <w:r w:rsidRPr="00DF6D96">
        <w:rPr>
          <w:rFonts w:ascii="Book Antiqua" w:hAnsi="Book Antiqua"/>
          <w:color w:val="auto"/>
          <w:sz w:val="24"/>
          <w:szCs w:val="24"/>
          <w:lang w:eastAsia="zh-CN"/>
        </w:rPr>
        <w:t>Sun L</w:t>
      </w:r>
      <w:r w:rsidRPr="00DF6D96">
        <w:rPr>
          <w:rFonts w:ascii="Book Antiqua" w:hAnsi="Book Antiqua"/>
          <w:color w:val="auto"/>
          <w:sz w:val="24"/>
          <w:szCs w:val="24"/>
        </w:rPr>
        <w:t xml:space="preserve"> </w:t>
      </w:r>
      <w:r w:rsidRPr="00DF6D96">
        <w:rPr>
          <w:rFonts w:ascii="Book Antiqua" w:hAnsi="Book Antiqua"/>
          <w:color w:val="auto"/>
          <w:sz w:val="24"/>
          <w:szCs w:val="24"/>
          <w:lang w:eastAsia="zh-CN"/>
        </w:rPr>
        <w:t xml:space="preserve">and </w:t>
      </w:r>
      <w:r w:rsidR="004A50F2" w:rsidRPr="00DF6D96">
        <w:rPr>
          <w:rFonts w:ascii="Book Antiqua" w:hAnsi="Book Antiqua"/>
          <w:color w:val="auto"/>
          <w:sz w:val="24"/>
          <w:szCs w:val="24"/>
        </w:rPr>
        <w:t>G</w:t>
      </w:r>
      <w:r w:rsidR="004A50F2" w:rsidRPr="00DF6D96">
        <w:rPr>
          <w:rFonts w:ascii="Book Antiqua" w:hAnsi="Book Antiqua"/>
          <w:color w:val="auto"/>
          <w:sz w:val="24"/>
          <w:szCs w:val="24"/>
          <w:lang w:eastAsia="zh-CN"/>
        </w:rPr>
        <w:t>ao YJ</w:t>
      </w:r>
      <w:r w:rsidR="004A50F2" w:rsidRPr="00DF6D96">
        <w:rPr>
          <w:rFonts w:ascii="Book Antiqua" w:hAnsi="Book Antiqua"/>
          <w:color w:val="auto"/>
          <w:sz w:val="24"/>
          <w:szCs w:val="24"/>
        </w:rPr>
        <w:t xml:space="preserve"> </w:t>
      </w:r>
      <w:r w:rsidRPr="00DF6D96">
        <w:rPr>
          <w:rFonts w:ascii="Book Antiqua" w:hAnsi="Book Antiqua"/>
          <w:color w:val="auto"/>
          <w:sz w:val="24"/>
          <w:szCs w:val="24"/>
        </w:rPr>
        <w:t>designed research; S</w:t>
      </w:r>
      <w:r w:rsidRPr="00DF6D96">
        <w:rPr>
          <w:rFonts w:ascii="Book Antiqua" w:hAnsi="Book Antiqua"/>
          <w:color w:val="auto"/>
          <w:sz w:val="24"/>
          <w:szCs w:val="24"/>
          <w:lang w:eastAsia="zh-CN"/>
        </w:rPr>
        <w:t xml:space="preserve">un L, Xiu AY and Peng Z </w:t>
      </w:r>
      <w:r w:rsidRPr="00DF6D96">
        <w:rPr>
          <w:rFonts w:ascii="Book Antiqua" w:hAnsi="Book Antiqua"/>
          <w:color w:val="auto"/>
          <w:sz w:val="24"/>
          <w:szCs w:val="24"/>
        </w:rPr>
        <w:t>performed research; L</w:t>
      </w:r>
      <w:r w:rsidRPr="00DF6D96">
        <w:rPr>
          <w:rFonts w:ascii="Book Antiqua" w:hAnsi="Book Antiqua"/>
          <w:color w:val="auto"/>
          <w:sz w:val="24"/>
          <w:szCs w:val="24"/>
          <w:lang w:eastAsia="zh-CN"/>
        </w:rPr>
        <w:t>i PB</w:t>
      </w:r>
      <w:r w:rsidRPr="00DF6D96">
        <w:rPr>
          <w:rFonts w:ascii="Book Antiqua" w:hAnsi="Book Antiqua"/>
          <w:color w:val="auto"/>
          <w:sz w:val="24"/>
          <w:szCs w:val="24"/>
        </w:rPr>
        <w:t xml:space="preserve"> </w:t>
      </w:r>
      <w:r w:rsidRPr="00DF6D96">
        <w:rPr>
          <w:rFonts w:ascii="Book Antiqua" w:hAnsi="Book Antiqua"/>
          <w:color w:val="auto"/>
          <w:sz w:val="24"/>
          <w:szCs w:val="24"/>
          <w:lang w:eastAsia="zh-CN"/>
        </w:rPr>
        <w:t xml:space="preserve">and Bai YH </w:t>
      </w:r>
      <w:r w:rsidRPr="00DF6D96">
        <w:rPr>
          <w:rFonts w:ascii="Book Antiqua" w:hAnsi="Book Antiqua"/>
          <w:color w:val="auto"/>
          <w:sz w:val="24"/>
          <w:szCs w:val="24"/>
        </w:rPr>
        <w:t xml:space="preserve">contributed new reagents </w:t>
      </w:r>
      <w:r w:rsidRPr="00DF6D96">
        <w:rPr>
          <w:rFonts w:ascii="Book Antiqua" w:hAnsi="Book Antiqua"/>
          <w:color w:val="auto"/>
          <w:sz w:val="24"/>
          <w:szCs w:val="24"/>
        </w:rPr>
        <w:lastRenderedPageBreak/>
        <w:t>or analytic tools; S</w:t>
      </w:r>
      <w:r w:rsidRPr="00DF6D96">
        <w:rPr>
          <w:rFonts w:ascii="Book Antiqua" w:hAnsi="Book Antiqua"/>
          <w:color w:val="auto"/>
          <w:sz w:val="24"/>
          <w:szCs w:val="24"/>
          <w:lang w:eastAsia="zh-CN"/>
        </w:rPr>
        <w:t>un L</w:t>
      </w:r>
      <w:r w:rsidRPr="00DF6D96">
        <w:rPr>
          <w:rFonts w:ascii="Book Antiqua" w:hAnsi="Book Antiqua"/>
          <w:color w:val="auto"/>
          <w:sz w:val="24"/>
          <w:szCs w:val="24"/>
        </w:rPr>
        <w:t xml:space="preserve"> </w:t>
      </w:r>
      <w:r w:rsidRPr="00DF6D96">
        <w:rPr>
          <w:rFonts w:ascii="Book Antiqua" w:hAnsi="Book Antiqua"/>
          <w:color w:val="auto"/>
          <w:sz w:val="24"/>
          <w:szCs w:val="24"/>
          <w:lang w:eastAsia="zh-CN"/>
        </w:rPr>
        <w:t xml:space="preserve">and Yao YF </w:t>
      </w:r>
      <w:r w:rsidRPr="00DF6D96">
        <w:rPr>
          <w:rFonts w:ascii="Book Antiqua" w:hAnsi="Book Antiqua"/>
          <w:color w:val="auto"/>
          <w:sz w:val="24"/>
          <w:szCs w:val="24"/>
        </w:rPr>
        <w:t>analyzed data; S</w:t>
      </w:r>
      <w:r w:rsidRPr="00DF6D96">
        <w:rPr>
          <w:rFonts w:ascii="Book Antiqua" w:hAnsi="Book Antiqua"/>
          <w:color w:val="auto"/>
          <w:sz w:val="24"/>
          <w:szCs w:val="24"/>
          <w:lang w:eastAsia="zh-CN"/>
        </w:rPr>
        <w:t>un L</w:t>
      </w:r>
      <w:r w:rsidRPr="00DF6D96">
        <w:rPr>
          <w:rFonts w:ascii="Book Antiqua" w:hAnsi="Book Antiqua"/>
          <w:color w:val="auto"/>
          <w:sz w:val="24"/>
          <w:szCs w:val="24"/>
        </w:rPr>
        <w:t xml:space="preserve"> wrote the paper.</w:t>
      </w:r>
    </w:p>
    <w:p w14:paraId="4D90DB76" w14:textId="77777777" w:rsidR="00EC01EB" w:rsidRDefault="00EC01EB" w:rsidP="0030419F">
      <w:pPr>
        <w:pStyle w:val="1"/>
        <w:adjustRightInd w:val="0"/>
        <w:snapToGrid w:val="0"/>
        <w:spacing w:line="360" w:lineRule="auto"/>
        <w:rPr>
          <w:rFonts w:ascii="Book Antiqua" w:hAnsi="Book Antiqua"/>
          <w:color w:val="auto"/>
          <w:sz w:val="24"/>
          <w:szCs w:val="24"/>
          <w:lang w:eastAsia="zh-CN"/>
        </w:rPr>
      </w:pPr>
    </w:p>
    <w:p w14:paraId="3C52B989" w14:textId="67A36F96" w:rsidR="00EC01EB" w:rsidRPr="00DF6D96" w:rsidRDefault="00EC01EB" w:rsidP="0030419F">
      <w:pPr>
        <w:pStyle w:val="1"/>
        <w:adjustRightInd w:val="0"/>
        <w:snapToGrid w:val="0"/>
        <w:spacing w:line="360" w:lineRule="auto"/>
        <w:rPr>
          <w:rFonts w:ascii="Book Antiqua" w:hAnsi="Book Antiqua"/>
          <w:color w:val="auto"/>
          <w:sz w:val="24"/>
          <w:szCs w:val="24"/>
        </w:rPr>
      </w:pPr>
      <w:r w:rsidRPr="00EC01EB">
        <w:rPr>
          <w:rFonts w:ascii="Book Antiqua" w:hAnsi="Book Antiqua"/>
          <w:b/>
          <w:color w:val="auto"/>
          <w:sz w:val="24"/>
          <w:szCs w:val="24"/>
        </w:rPr>
        <w:t>Supported by</w:t>
      </w:r>
      <w:r w:rsidRPr="00DF6D96">
        <w:rPr>
          <w:rFonts w:ascii="Book Antiqua" w:hAnsi="Book Antiqua"/>
          <w:color w:val="auto"/>
          <w:sz w:val="24"/>
          <w:szCs w:val="24"/>
        </w:rPr>
        <w:t xml:space="preserve"> Jinan college innovation plan</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No. 26010105081333</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and Shandong social development plan</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No. 26010104011343.</w:t>
      </w:r>
    </w:p>
    <w:p w14:paraId="4ED998FE" w14:textId="77777777" w:rsidR="004A50F2" w:rsidRDefault="004A50F2" w:rsidP="0030419F">
      <w:pPr>
        <w:pStyle w:val="1"/>
        <w:adjustRightInd w:val="0"/>
        <w:snapToGrid w:val="0"/>
        <w:spacing w:line="360" w:lineRule="auto"/>
        <w:rPr>
          <w:rFonts w:ascii="Book Antiqua" w:hAnsi="Book Antiqua"/>
          <w:color w:val="auto"/>
          <w:sz w:val="24"/>
          <w:szCs w:val="24"/>
          <w:lang w:eastAsia="zh-CN"/>
        </w:rPr>
      </w:pPr>
    </w:p>
    <w:p w14:paraId="0084EDE9" w14:textId="1924E4F8" w:rsidR="004A50F2" w:rsidRPr="00DF6D96" w:rsidRDefault="00EF5C74" w:rsidP="0030419F">
      <w:pPr>
        <w:pStyle w:val="1"/>
        <w:adjustRightInd w:val="0"/>
        <w:snapToGrid w:val="0"/>
        <w:spacing w:line="360" w:lineRule="auto"/>
        <w:rPr>
          <w:rFonts w:ascii="Book Antiqua" w:hAnsi="Book Antiqua"/>
          <w:color w:val="auto"/>
          <w:sz w:val="24"/>
          <w:szCs w:val="24"/>
        </w:rPr>
      </w:pPr>
      <w:r w:rsidRPr="00EF5C74">
        <w:rPr>
          <w:rFonts w:ascii="Book Antiqua" w:hAnsi="Book Antiqua"/>
          <w:b/>
          <w:color w:val="auto"/>
          <w:sz w:val="24"/>
          <w:szCs w:val="24"/>
        </w:rPr>
        <w:t>Institutional animal care and use committee statement:</w:t>
      </w:r>
      <w:r>
        <w:rPr>
          <w:rFonts w:ascii="Book Antiqua" w:hAnsi="Book Antiqua" w:hint="eastAsia"/>
          <w:b/>
          <w:color w:val="auto"/>
          <w:sz w:val="24"/>
          <w:szCs w:val="24"/>
          <w:lang w:eastAsia="zh-CN"/>
        </w:rPr>
        <w:t xml:space="preserve"> </w:t>
      </w:r>
      <w:r w:rsidR="004A50F2" w:rsidRPr="00DF6D96">
        <w:rPr>
          <w:rFonts w:ascii="Book Antiqua" w:hAnsi="Book Antiqua"/>
          <w:color w:val="auto"/>
          <w:sz w:val="24"/>
          <w:szCs w:val="24"/>
        </w:rPr>
        <w:t>The use and care of experimental animals were approved by the Institutional Animal Care and Use Committee, Qilu Hospital of Shandong University.</w:t>
      </w:r>
    </w:p>
    <w:p w14:paraId="6B6B0EF5" w14:textId="77777777" w:rsidR="004A50F2" w:rsidRPr="004A50F2" w:rsidRDefault="004A50F2" w:rsidP="0030419F">
      <w:pPr>
        <w:pStyle w:val="1"/>
        <w:adjustRightInd w:val="0"/>
        <w:snapToGrid w:val="0"/>
        <w:spacing w:line="360" w:lineRule="auto"/>
        <w:rPr>
          <w:rFonts w:ascii="Book Antiqua" w:hAnsi="Book Antiqua"/>
          <w:b/>
          <w:color w:val="auto"/>
          <w:sz w:val="24"/>
          <w:szCs w:val="24"/>
          <w:lang w:eastAsia="zh-CN"/>
        </w:rPr>
      </w:pPr>
    </w:p>
    <w:p w14:paraId="0529C634" w14:textId="77777777" w:rsidR="004A50F2" w:rsidRPr="00DF6D96" w:rsidRDefault="004A50F2" w:rsidP="0030419F">
      <w:pPr>
        <w:pStyle w:val="1"/>
        <w:adjustRightInd w:val="0"/>
        <w:snapToGrid w:val="0"/>
        <w:spacing w:line="360" w:lineRule="auto"/>
        <w:outlineLvl w:val="0"/>
        <w:rPr>
          <w:rFonts w:ascii="Book Antiqua" w:hAnsi="Book Antiqua"/>
          <w:color w:val="auto"/>
          <w:sz w:val="24"/>
          <w:szCs w:val="24"/>
        </w:rPr>
      </w:pPr>
      <w:r w:rsidRPr="004A50F2">
        <w:rPr>
          <w:rFonts w:ascii="Book Antiqua" w:hAnsi="Book Antiqua"/>
          <w:b/>
          <w:color w:val="auto"/>
          <w:sz w:val="24"/>
          <w:szCs w:val="24"/>
        </w:rPr>
        <w:t xml:space="preserve">Conflict-of-interest statement: </w:t>
      </w:r>
      <w:r w:rsidRPr="00DF6D96">
        <w:rPr>
          <w:rFonts w:ascii="Book Antiqua" w:hAnsi="Book Antiqua"/>
          <w:color w:val="auto"/>
          <w:sz w:val="24"/>
          <w:szCs w:val="24"/>
        </w:rPr>
        <w:t>The authors declare that they have no competing interests.</w:t>
      </w:r>
    </w:p>
    <w:p w14:paraId="2EA5780E" w14:textId="77777777" w:rsidR="004A50F2" w:rsidRPr="00DF6D96" w:rsidRDefault="004A50F2" w:rsidP="0030419F">
      <w:pPr>
        <w:pStyle w:val="1"/>
        <w:adjustRightInd w:val="0"/>
        <w:snapToGrid w:val="0"/>
        <w:spacing w:line="360" w:lineRule="auto"/>
        <w:rPr>
          <w:rFonts w:ascii="Book Antiqua" w:hAnsi="Book Antiqua"/>
          <w:color w:val="auto"/>
          <w:sz w:val="24"/>
          <w:szCs w:val="24"/>
        </w:rPr>
      </w:pPr>
    </w:p>
    <w:p w14:paraId="1CFB8FA6" w14:textId="77777777" w:rsidR="004A50F2" w:rsidRDefault="004A50F2" w:rsidP="0030419F">
      <w:pPr>
        <w:pStyle w:val="1"/>
        <w:adjustRightInd w:val="0"/>
        <w:snapToGrid w:val="0"/>
        <w:spacing w:line="360" w:lineRule="auto"/>
        <w:rPr>
          <w:rFonts w:ascii="Book Antiqua" w:hAnsi="Book Antiqua"/>
          <w:color w:val="auto"/>
          <w:sz w:val="24"/>
          <w:szCs w:val="24"/>
          <w:lang w:eastAsia="zh-CN"/>
        </w:rPr>
      </w:pPr>
      <w:r w:rsidRPr="004A50F2">
        <w:rPr>
          <w:rFonts w:ascii="Book Antiqua" w:hAnsi="Book Antiqua"/>
          <w:b/>
          <w:color w:val="auto"/>
          <w:sz w:val="24"/>
          <w:szCs w:val="24"/>
        </w:rPr>
        <w:t>Data sharing statement:</w:t>
      </w:r>
      <w:r w:rsidRPr="00DF6D96">
        <w:rPr>
          <w:rFonts w:ascii="Book Antiqua" w:hAnsi="Book Antiqua"/>
          <w:color w:val="auto"/>
          <w:sz w:val="24"/>
          <w:szCs w:val="24"/>
        </w:rPr>
        <w:t xml:space="preserve"> No additional data are available</w:t>
      </w:r>
      <w:r w:rsidRPr="00DF6D96">
        <w:rPr>
          <w:rFonts w:ascii="Book Antiqua" w:hAnsi="Book Antiqua"/>
          <w:color w:val="auto"/>
          <w:sz w:val="24"/>
          <w:szCs w:val="24"/>
          <w:lang w:eastAsia="zh-CN"/>
        </w:rPr>
        <w:t>.</w:t>
      </w:r>
    </w:p>
    <w:p w14:paraId="03C77199" w14:textId="77777777" w:rsidR="004A50F2" w:rsidRDefault="004A50F2" w:rsidP="0030419F">
      <w:pPr>
        <w:pStyle w:val="1"/>
        <w:adjustRightInd w:val="0"/>
        <w:snapToGrid w:val="0"/>
        <w:spacing w:line="360" w:lineRule="auto"/>
        <w:rPr>
          <w:rFonts w:ascii="Book Antiqua" w:hAnsi="Book Antiqua"/>
          <w:color w:val="auto"/>
          <w:sz w:val="24"/>
          <w:szCs w:val="24"/>
          <w:lang w:eastAsia="zh-CN"/>
        </w:rPr>
      </w:pPr>
    </w:p>
    <w:p w14:paraId="4410FC76" w14:textId="77777777" w:rsidR="004A50F2" w:rsidRPr="008743FE" w:rsidRDefault="004A50F2" w:rsidP="0030419F">
      <w:pPr>
        <w:adjustRightInd w:val="0"/>
        <w:snapToGrid w:val="0"/>
        <w:spacing w:line="360" w:lineRule="auto"/>
        <w:rPr>
          <w:rFonts w:ascii="Book Antiqua" w:hAnsi="Book Antiqua"/>
          <w:sz w:val="24"/>
          <w:szCs w:val="24"/>
        </w:rPr>
      </w:pPr>
      <w:r w:rsidRPr="008743FE">
        <w:rPr>
          <w:rFonts w:ascii="Book Antiqua" w:hAnsi="Book Antiqua"/>
          <w:b/>
          <w:sz w:val="24"/>
          <w:szCs w:val="24"/>
        </w:rPr>
        <w:t>Open-Access:</w:t>
      </w:r>
      <w:r w:rsidRPr="008743FE">
        <w:rPr>
          <w:rFonts w:ascii="Book Antiqua" w:hAnsi="Book Antiqua"/>
          <w:sz w:val="24"/>
          <w:szCs w:val="24"/>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55DA1B3" w14:textId="77777777" w:rsidR="004A50F2" w:rsidRPr="00DF6D96" w:rsidRDefault="004A50F2" w:rsidP="0030419F">
      <w:pPr>
        <w:pStyle w:val="1"/>
        <w:adjustRightInd w:val="0"/>
        <w:snapToGrid w:val="0"/>
        <w:spacing w:line="360" w:lineRule="auto"/>
        <w:rPr>
          <w:rFonts w:ascii="Book Antiqua" w:hAnsi="Book Antiqua"/>
          <w:color w:val="auto"/>
          <w:sz w:val="24"/>
          <w:szCs w:val="24"/>
          <w:lang w:eastAsia="zh-CN"/>
        </w:rPr>
      </w:pPr>
    </w:p>
    <w:p w14:paraId="7B2AA86F" w14:textId="77777777" w:rsidR="004A50F2" w:rsidRPr="00381549" w:rsidRDefault="004A50F2" w:rsidP="0030419F">
      <w:pPr>
        <w:snapToGrid w:val="0"/>
        <w:spacing w:line="360" w:lineRule="auto"/>
        <w:rPr>
          <w:rFonts w:ascii="Book Antiqua" w:hAnsi="Book Antiqua" w:cs="Arial Unicode MS"/>
          <w:sz w:val="24"/>
        </w:rPr>
      </w:pPr>
      <w:bookmarkStart w:id="2" w:name="OLE_LINK390"/>
      <w:bookmarkStart w:id="3" w:name="OLE_LINK391"/>
      <w:bookmarkStart w:id="4" w:name="OLE_LINK856"/>
      <w:r w:rsidRPr="00381549">
        <w:rPr>
          <w:rFonts w:ascii="Book Antiqua" w:hAnsi="Book Antiqua" w:cs="Arial Unicode MS"/>
          <w:b/>
          <w:sz w:val="24"/>
        </w:rPr>
        <w:t xml:space="preserve">Manuscript source: </w:t>
      </w:r>
      <w:bookmarkStart w:id="5" w:name="OLE_LINK389"/>
      <w:r w:rsidRPr="00381549">
        <w:rPr>
          <w:rFonts w:ascii="Book Antiqua" w:hAnsi="Book Antiqua" w:cs="Arial Unicode MS"/>
          <w:sz w:val="24"/>
        </w:rPr>
        <w:t xml:space="preserve">Unsolicited </w:t>
      </w:r>
      <w:bookmarkEnd w:id="5"/>
      <w:r w:rsidRPr="00381549">
        <w:rPr>
          <w:rFonts w:ascii="Book Antiqua" w:hAnsi="Book Antiqua" w:cs="Arial Unicode MS"/>
          <w:sz w:val="24"/>
        </w:rPr>
        <w:t>manuscript</w:t>
      </w:r>
    </w:p>
    <w:bookmarkEnd w:id="2"/>
    <w:bookmarkEnd w:id="3"/>
    <w:bookmarkEnd w:id="4"/>
    <w:p w14:paraId="0CCF1C7F" w14:textId="77777777" w:rsidR="004A50F2" w:rsidRDefault="004A50F2" w:rsidP="0030419F">
      <w:pPr>
        <w:pStyle w:val="1"/>
        <w:adjustRightInd w:val="0"/>
        <w:snapToGrid w:val="0"/>
        <w:spacing w:line="360" w:lineRule="auto"/>
        <w:rPr>
          <w:rFonts w:ascii="Book Antiqua" w:hAnsi="Book Antiqua"/>
          <w:color w:val="auto"/>
          <w:sz w:val="24"/>
          <w:szCs w:val="24"/>
          <w:lang w:eastAsia="zh-CN"/>
        </w:rPr>
      </w:pPr>
    </w:p>
    <w:p w14:paraId="6431FD54" w14:textId="198839E0" w:rsidR="004A50F2" w:rsidRDefault="004A50F2" w:rsidP="0030419F">
      <w:pPr>
        <w:pStyle w:val="1"/>
        <w:adjustRightInd w:val="0"/>
        <w:snapToGrid w:val="0"/>
        <w:spacing w:line="360" w:lineRule="auto"/>
        <w:rPr>
          <w:rFonts w:ascii="Book Antiqua" w:hAnsi="Book Antiqua"/>
          <w:color w:val="auto"/>
          <w:sz w:val="24"/>
          <w:szCs w:val="24"/>
          <w:lang w:eastAsia="zh-CN"/>
        </w:rPr>
      </w:pPr>
      <w:r w:rsidRPr="008743FE">
        <w:rPr>
          <w:rFonts w:ascii="Book Antiqua" w:hAnsi="Book Antiqua"/>
          <w:b/>
          <w:sz w:val="24"/>
          <w:szCs w:val="24"/>
        </w:rPr>
        <w:t>Correspondence to:</w:t>
      </w:r>
      <w:r>
        <w:rPr>
          <w:rFonts w:ascii="Book Antiqua" w:hAnsi="Book Antiqua" w:hint="eastAsia"/>
          <w:b/>
          <w:sz w:val="24"/>
          <w:szCs w:val="24"/>
          <w:lang w:eastAsia="zh-CN"/>
        </w:rPr>
        <w:t xml:space="preserve"> </w:t>
      </w:r>
      <w:r w:rsidR="00B2558B" w:rsidRPr="00B2558B">
        <w:rPr>
          <w:rFonts w:ascii="Book Antiqua" w:hAnsi="Book Antiqua"/>
          <w:b/>
          <w:color w:val="auto"/>
          <w:sz w:val="24"/>
          <w:szCs w:val="24"/>
        </w:rPr>
        <w:t>Yan</w:t>
      </w:r>
      <w:r w:rsidR="00B2558B" w:rsidRPr="00B2558B">
        <w:rPr>
          <w:rFonts w:ascii="Book Antiqua" w:hAnsi="Book Antiqua" w:hint="eastAsia"/>
          <w:b/>
          <w:color w:val="auto"/>
          <w:sz w:val="24"/>
          <w:szCs w:val="24"/>
          <w:lang w:eastAsia="zh-CN"/>
        </w:rPr>
        <w:t>-</w:t>
      </w:r>
      <w:r w:rsidR="00B2558B" w:rsidRPr="00B2558B">
        <w:rPr>
          <w:rFonts w:ascii="Book Antiqua" w:hAnsi="Book Antiqua"/>
          <w:b/>
          <w:color w:val="auto"/>
          <w:sz w:val="24"/>
          <w:szCs w:val="24"/>
        </w:rPr>
        <w:t>Jing Gao</w:t>
      </w:r>
      <w:r w:rsidR="00B2558B" w:rsidRPr="00B2558B">
        <w:rPr>
          <w:rFonts w:ascii="Book Antiqua" w:hAnsi="Book Antiqua" w:hint="eastAsia"/>
          <w:b/>
          <w:color w:val="auto"/>
          <w:sz w:val="24"/>
          <w:szCs w:val="24"/>
          <w:lang w:eastAsia="zh-CN"/>
        </w:rPr>
        <w:t xml:space="preserve">, </w:t>
      </w:r>
      <w:r w:rsidR="00B2558B" w:rsidRPr="00B2558B">
        <w:rPr>
          <w:rFonts w:ascii="Book Antiqua" w:hAnsi="Book Antiqua"/>
          <w:b/>
          <w:color w:val="auto"/>
          <w:sz w:val="24"/>
          <w:szCs w:val="24"/>
          <w:lang w:eastAsia="zh-CN"/>
        </w:rPr>
        <w:t>PhD</w:t>
      </w:r>
      <w:r w:rsidR="00B2558B" w:rsidRPr="00B2558B">
        <w:rPr>
          <w:rFonts w:ascii="Book Antiqua" w:hAnsi="Book Antiqua" w:hint="eastAsia"/>
          <w:b/>
          <w:color w:val="auto"/>
          <w:sz w:val="24"/>
          <w:szCs w:val="24"/>
          <w:lang w:eastAsia="zh-CN"/>
        </w:rPr>
        <w:t xml:space="preserve">, </w:t>
      </w:r>
      <w:r w:rsidR="00B2558B" w:rsidRPr="00B2558B">
        <w:rPr>
          <w:rFonts w:ascii="Book Antiqua" w:hAnsi="Book Antiqua"/>
          <w:b/>
          <w:color w:val="auto"/>
          <w:sz w:val="24"/>
          <w:szCs w:val="24"/>
          <w:lang w:eastAsia="zh-CN"/>
        </w:rPr>
        <w:t>Chief Doctor,</w:t>
      </w:r>
      <w:r w:rsidR="00B2558B" w:rsidRPr="00B2558B">
        <w:rPr>
          <w:rFonts w:ascii="Book Antiqua" w:hAnsi="Book Antiqua" w:hint="eastAsia"/>
          <w:b/>
          <w:color w:val="auto"/>
          <w:sz w:val="24"/>
          <w:szCs w:val="24"/>
          <w:lang w:eastAsia="zh-CN"/>
        </w:rPr>
        <w:t xml:space="preserve"> </w:t>
      </w:r>
      <w:r w:rsidR="00B2558B" w:rsidRPr="00B2558B">
        <w:rPr>
          <w:rFonts w:ascii="Book Antiqua" w:hAnsi="Book Antiqua"/>
          <w:b/>
          <w:color w:val="auto"/>
          <w:sz w:val="24"/>
          <w:szCs w:val="24"/>
          <w:lang w:eastAsia="zh-CN"/>
        </w:rPr>
        <w:t>Professor</w:t>
      </w:r>
      <w:r w:rsidR="00B2558B" w:rsidRPr="00B2558B">
        <w:rPr>
          <w:rFonts w:ascii="Book Antiqua" w:hAnsi="Book Antiqua" w:hint="eastAsia"/>
          <w:b/>
          <w:color w:val="auto"/>
          <w:sz w:val="24"/>
          <w:szCs w:val="24"/>
          <w:lang w:eastAsia="zh-CN"/>
        </w:rPr>
        <w:t xml:space="preserve">, </w:t>
      </w:r>
      <w:r w:rsidRPr="00DF6D96">
        <w:rPr>
          <w:rFonts w:ascii="Book Antiqua" w:hAnsi="Book Antiqua"/>
          <w:color w:val="auto"/>
          <w:sz w:val="24"/>
          <w:szCs w:val="24"/>
        </w:rPr>
        <w:t>Department of Gastroenterology, Qilu Hospital of Shandong University,</w:t>
      </w:r>
      <w:r>
        <w:rPr>
          <w:rFonts w:ascii="Book Antiqua" w:hAnsi="Book Antiqua" w:hint="eastAsia"/>
          <w:color w:val="auto"/>
          <w:sz w:val="24"/>
          <w:szCs w:val="24"/>
          <w:lang w:eastAsia="zh-CN"/>
        </w:rPr>
        <w:t xml:space="preserve"> </w:t>
      </w:r>
      <w:r w:rsidRPr="004A50F2">
        <w:rPr>
          <w:rFonts w:ascii="Book Antiqua" w:hAnsi="Book Antiqua"/>
          <w:color w:val="auto"/>
          <w:sz w:val="24"/>
          <w:szCs w:val="24"/>
          <w:lang w:eastAsia="zh-CN"/>
        </w:rPr>
        <w:t>No. 107 West Wenhua Road</w:t>
      </w:r>
      <w:r>
        <w:rPr>
          <w:rFonts w:ascii="Book Antiqua" w:hAnsi="Book Antiqua" w:hint="eastAsia"/>
          <w:color w:val="auto"/>
          <w:sz w:val="24"/>
          <w:szCs w:val="24"/>
          <w:lang w:eastAsia="zh-CN"/>
        </w:rPr>
        <w:t>,</w:t>
      </w:r>
      <w:r w:rsidRPr="00DF6D96">
        <w:rPr>
          <w:rFonts w:ascii="Book Antiqua" w:hAnsi="Book Antiqua" w:hint="eastAsia"/>
          <w:color w:val="auto"/>
          <w:sz w:val="24"/>
          <w:szCs w:val="24"/>
          <w:lang w:eastAsia="zh-CN"/>
        </w:rPr>
        <w:t xml:space="preserve"> </w:t>
      </w:r>
      <w:r w:rsidRPr="00DF6D96">
        <w:rPr>
          <w:rFonts w:ascii="Book Antiqua" w:hAnsi="Book Antiqua"/>
          <w:color w:val="auto"/>
          <w:sz w:val="24"/>
          <w:szCs w:val="24"/>
        </w:rPr>
        <w:t>Jinan 250012, Shandong</w:t>
      </w:r>
      <w:r w:rsidRPr="00DF6D96">
        <w:rPr>
          <w:rFonts w:ascii="Book Antiqua" w:hAnsi="Book Antiqua" w:hint="eastAsia"/>
          <w:color w:val="auto"/>
          <w:sz w:val="24"/>
          <w:szCs w:val="24"/>
          <w:lang w:eastAsia="zh-CN"/>
        </w:rPr>
        <w:t xml:space="preserve"> </w:t>
      </w:r>
      <w:r w:rsidRPr="00803BE4">
        <w:rPr>
          <w:rFonts w:ascii="Book Antiqua" w:hAnsi="Book Antiqua" w:hint="eastAsia"/>
          <w:caps/>
          <w:color w:val="auto"/>
          <w:sz w:val="24"/>
          <w:szCs w:val="24"/>
          <w:lang w:eastAsia="zh-CN"/>
        </w:rPr>
        <w:t>p</w:t>
      </w:r>
      <w:r w:rsidRPr="00DF6D96">
        <w:rPr>
          <w:rFonts w:ascii="Book Antiqua" w:hAnsi="Book Antiqua" w:hint="eastAsia"/>
          <w:color w:val="auto"/>
          <w:sz w:val="24"/>
          <w:szCs w:val="24"/>
          <w:lang w:eastAsia="zh-CN"/>
        </w:rPr>
        <w:t xml:space="preserve">rovince, </w:t>
      </w:r>
      <w:r w:rsidRPr="00DF6D96">
        <w:rPr>
          <w:rFonts w:ascii="Book Antiqua" w:hAnsi="Book Antiqua"/>
          <w:color w:val="auto"/>
          <w:sz w:val="24"/>
          <w:szCs w:val="24"/>
        </w:rPr>
        <w:t>China</w:t>
      </w:r>
      <w:r>
        <w:rPr>
          <w:rFonts w:ascii="Book Antiqua" w:hAnsi="Book Antiqua" w:hint="eastAsia"/>
          <w:color w:val="auto"/>
          <w:sz w:val="24"/>
          <w:szCs w:val="24"/>
          <w:lang w:eastAsia="zh-CN"/>
        </w:rPr>
        <w:t xml:space="preserve">. </w:t>
      </w:r>
      <w:hyperlink r:id="rId6" w:history="1">
        <w:r w:rsidRPr="004A50F2">
          <w:rPr>
            <w:rStyle w:val="Hyperlink"/>
            <w:rFonts w:ascii="Book Antiqua" w:hAnsi="Book Antiqua" w:hint="eastAsia"/>
            <w:color w:val="auto"/>
            <w:sz w:val="24"/>
            <w:szCs w:val="24"/>
            <w:u w:val="none"/>
          </w:rPr>
          <w:t>gaoyanjing@sdu.edu.cn</w:t>
        </w:r>
      </w:hyperlink>
    </w:p>
    <w:p w14:paraId="216F8E61" w14:textId="063FF5C4" w:rsidR="004A50F2" w:rsidRDefault="004A50F2" w:rsidP="0030419F">
      <w:pPr>
        <w:pStyle w:val="1"/>
        <w:adjustRightInd w:val="0"/>
        <w:snapToGrid w:val="0"/>
        <w:spacing w:line="360" w:lineRule="auto"/>
        <w:rPr>
          <w:rFonts w:ascii="Book Antiqua" w:hAnsi="Book Antiqua"/>
          <w:b/>
          <w:sz w:val="24"/>
          <w:szCs w:val="24"/>
          <w:lang w:eastAsia="zh-CN"/>
        </w:rPr>
      </w:pPr>
      <w:r w:rsidRPr="0014312C">
        <w:rPr>
          <w:rFonts w:ascii="Book Antiqua" w:hAnsi="Book Antiqua"/>
          <w:b/>
          <w:sz w:val="24"/>
          <w:szCs w:val="24"/>
        </w:rPr>
        <w:t>Telephone:</w:t>
      </w:r>
      <w:r w:rsidR="0014312C" w:rsidRPr="0014312C">
        <w:rPr>
          <w:rFonts w:hint="eastAsia"/>
        </w:rPr>
        <w:t xml:space="preserve"> </w:t>
      </w:r>
      <w:r w:rsidR="0014312C" w:rsidRPr="00562C27">
        <w:rPr>
          <w:rFonts w:ascii="Book Antiqua" w:hAnsi="Book Antiqua" w:hint="eastAsia"/>
          <w:sz w:val="24"/>
          <w:szCs w:val="24"/>
          <w:lang w:eastAsia="zh-CN"/>
        </w:rPr>
        <w:t>+86-531-86927544</w:t>
      </w:r>
    </w:p>
    <w:p w14:paraId="7E88A448" w14:textId="77777777" w:rsidR="00076218" w:rsidRDefault="00076218" w:rsidP="0030419F">
      <w:pPr>
        <w:pStyle w:val="1"/>
        <w:adjustRightInd w:val="0"/>
        <w:snapToGrid w:val="0"/>
        <w:spacing w:line="360" w:lineRule="auto"/>
        <w:rPr>
          <w:rFonts w:ascii="Book Antiqua" w:hAnsi="Book Antiqua"/>
          <w:b/>
          <w:sz w:val="24"/>
          <w:szCs w:val="24"/>
          <w:lang w:eastAsia="zh-CN"/>
        </w:rPr>
      </w:pPr>
    </w:p>
    <w:p w14:paraId="3F626CD3" w14:textId="773EAD99" w:rsidR="00076218" w:rsidRPr="008743FE" w:rsidRDefault="00076218" w:rsidP="0030419F">
      <w:pPr>
        <w:adjustRightInd w:val="0"/>
        <w:snapToGrid w:val="0"/>
        <w:spacing w:line="360" w:lineRule="auto"/>
        <w:rPr>
          <w:rFonts w:ascii="Book Antiqua" w:hAnsi="Book Antiqua"/>
          <w:sz w:val="24"/>
          <w:szCs w:val="24"/>
          <w:lang w:eastAsia="zh-CN"/>
        </w:rPr>
      </w:pPr>
      <w:r w:rsidRPr="008743FE">
        <w:rPr>
          <w:rFonts w:ascii="Book Antiqua" w:hAnsi="Book Antiqua"/>
          <w:b/>
          <w:sz w:val="24"/>
          <w:szCs w:val="24"/>
        </w:rPr>
        <w:lastRenderedPageBreak/>
        <w:t>Received:</w:t>
      </w:r>
      <w:r w:rsidRPr="008743FE">
        <w:rPr>
          <w:rFonts w:ascii="Book Antiqua" w:hAnsi="Book Antiqua"/>
          <w:sz w:val="24"/>
          <w:szCs w:val="24"/>
        </w:rPr>
        <w:t xml:space="preserve"> December </w:t>
      </w:r>
      <w:r>
        <w:rPr>
          <w:rFonts w:ascii="Book Antiqua" w:hAnsi="Book Antiqua" w:hint="eastAsia"/>
          <w:sz w:val="24"/>
          <w:szCs w:val="24"/>
          <w:lang w:eastAsia="zh-CN"/>
        </w:rPr>
        <w:t>8</w:t>
      </w:r>
      <w:r w:rsidRPr="008743FE">
        <w:rPr>
          <w:rFonts w:ascii="Book Antiqua" w:hAnsi="Book Antiqua"/>
          <w:sz w:val="24"/>
          <w:szCs w:val="24"/>
        </w:rPr>
        <w:t>, 201</w:t>
      </w:r>
      <w:r>
        <w:rPr>
          <w:rFonts w:ascii="Book Antiqua" w:hAnsi="Book Antiqua" w:hint="eastAsia"/>
          <w:sz w:val="24"/>
          <w:szCs w:val="24"/>
          <w:lang w:eastAsia="zh-CN"/>
        </w:rPr>
        <w:t>7</w:t>
      </w:r>
    </w:p>
    <w:p w14:paraId="7B3E5280" w14:textId="77777777" w:rsidR="00076218" w:rsidRPr="008743FE" w:rsidRDefault="00076218" w:rsidP="0030419F">
      <w:pPr>
        <w:adjustRightInd w:val="0"/>
        <w:snapToGrid w:val="0"/>
        <w:spacing w:line="360" w:lineRule="auto"/>
        <w:rPr>
          <w:rFonts w:ascii="Book Antiqua" w:hAnsi="Book Antiqua"/>
          <w:sz w:val="24"/>
          <w:szCs w:val="24"/>
          <w:lang w:eastAsia="zh-CN"/>
        </w:rPr>
      </w:pPr>
      <w:r w:rsidRPr="008743FE">
        <w:rPr>
          <w:rFonts w:ascii="Book Antiqua" w:hAnsi="Book Antiqua"/>
          <w:b/>
          <w:sz w:val="24"/>
          <w:szCs w:val="24"/>
        </w:rPr>
        <w:t>Peer-review started:</w:t>
      </w:r>
      <w:r w:rsidRPr="008743FE">
        <w:rPr>
          <w:rFonts w:ascii="Book Antiqua" w:hAnsi="Book Antiqua"/>
          <w:sz w:val="24"/>
          <w:szCs w:val="24"/>
        </w:rPr>
        <w:t xml:space="preserve"> December </w:t>
      </w:r>
      <w:r>
        <w:rPr>
          <w:rFonts w:ascii="Book Antiqua" w:hAnsi="Book Antiqua" w:hint="eastAsia"/>
          <w:sz w:val="24"/>
          <w:szCs w:val="24"/>
          <w:lang w:eastAsia="zh-CN"/>
        </w:rPr>
        <w:t>8</w:t>
      </w:r>
      <w:r w:rsidRPr="008743FE">
        <w:rPr>
          <w:rFonts w:ascii="Book Antiqua" w:hAnsi="Book Antiqua"/>
          <w:sz w:val="24"/>
          <w:szCs w:val="24"/>
        </w:rPr>
        <w:t>, 201</w:t>
      </w:r>
      <w:r>
        <w:rPr>
          <w:rFonts w:ascii="Book Antiqua" w:hAnsi="Book Antiqua" w:hint="eastAsia"/>
          <w:sz w:val="24"/>
          <w:szCs w:val="24"/>
          <w:lang w:eastAsia="zh-CN"/>
        </w:rPr>
        <w:t>7</w:t>
      </w:r>
    </w:p>
    <w:p w14:paraId="12E3FC70" w14:textId="265CA3E2" w:rsidR="00076218" w:rsidRPr="008743FE" w:rsidRDefault="00076218" w:rsidP="0030419F">
      <w:pPr>
        <w:adjustRightInd w:val="0"/>
        <w:snapToGrid w:val="0"/>
        <w:spacing w:line="360" w:lineRule="auto"/>
        <w:rPr>
          <w:rFonts w:ascii="Book Antiqua" w:hAnsi="Book Antiqua"/>
          <w:sz w:val="24"/>
          <w:szCs w:val="24"/>
          <w:lang w:eastAsia="zh-CN"/>
        </w:rPr>
      </w:pPr>
      <w:r w:rsidRPr="008743FE">
        <w:rPr>
          <w:rFonts w:ascii="Book Antiqua" w:hAnsi="Book Antiqua"/>
          <w:b/>
          <w:sz w:val="24"/>
          <w:szCs w:val="24"/>
        </w:rPr>
        <w:t>First decision:</w:t>
      </w:r>
      <w:r w:rsidRPr="008743FE">
        <w:rPr>
          <w:rFonts w:ascii="Book Antiqua" w:hAnsi="Book Antiqua"/>
          <w:sz w:val="24"/>
          <w:szCs w:val="24"/>
        </w:rPr>
        <w:t xml:space="preserve"> December </w:t>
      </w:r>
      <w:r>
        <w:rPr>
          <w:rFonts w:ascii="Book Antiqua" w:hAnsi="Book Antiqua" w:hint="eastAsia"/>
          <w:sz w:val="24"/>
          <w:szCs w:val="24"/>
          <w:lang w:eastAsia="zh-CN"/>
        </w:rPr>
        <w:t>20</w:t>
      </w:r>
      <w:r w:rsidRPr="008743FE">
        <w:rPr>
          <w:rFonts w:ascii="Book Antiqua" w:hAnsi="Book Antiqua"/>
          <w:sz w:val="24"/>
          <w:szCs w:val="24"/>
        </w:rPr>
        <w:t>, 201</w:t>
      </w:r>
      <w:r>
        <w:rPr>
          <w:rFonts w:ascii="Book Antiqua" w:hAnsi="Book Antiqua" w:hint="eastAsia"/>
          <w:sz w:val="24"/>
          <w:szCs w:val="24"/>
          <w:lang w:eastAsia="zh-CN"/>
        </w:rPr>
        <w:t>7</w:t>
      </w:r>
    </w:p>
    <w:p w14:paraId="4F57FD13" w14:textId="016DB5E1" w:rsidR="00076218" w:rsidRPr="008743FE" w:rsidRDefault="00076218" w:rsidP="0030419F">
      <w:pPr>
        <w:adjustRightInd w:val="0"/>
        <w:snapToGrid w:val="0"/>
        <w:spacing w:line="360" w:lineRule="auto"/>
        <w:rPr>
          <w:rFonts w:ascii="Book Antiqua" w:hAnsi="Book Antiqua"/>
          <w:sz w:val="24"/>
          <w:szCs w:val="24"/>
          <w:lang w:eastAsia="zh-CN"/>
        </w:rPr>
      </w:pPr>
      <w:r w:rsidRPr="008743FE">
        <w:rPr>
          <w:rFonts w:ascii="Book Antiqua" w:hAnsi="Book Antiqua"/>
          <w:b/>
          <w:sz w:val="24"/>
          <w:szCs w:val="24"/>
        </w:rPr>
        <w:t>Revised:</w:t>
      </w:r>
      <w:r w:rsidRPr="008743FE">
        <w:rPr>
          <w:rFonts w:ascii="Book Antiqua" w:hAnsi="Book Antiqua"/>
          <w:sz w:val="24"/>
          <w:szCs w:val="24"/>
        </w:rPr>
        <w:t xml:space="preserve"> December </w:t>
      </w:r>
      <w:r>
        <w:rPr>
          <w:rFonts w:ascii="Book Antiqua" w:hAnsi="Book Antiqua" w:hint="eastAsia"/>
          <w:sz w:val="24"/>
          <w:szCs w:val="24"/>
          <w:lang w:eastAsia="zh-CN"/>
        </w:rPr>
        <w:t>29</w:t>
      </w:r>
      <w:r w:rsidRPr="008743FE">
        <w:rPr>
          <w:rFonts w:ascii="Book Antiqua" w:hAnsi="Book Antiqua"/>
          <w:sz w:val="24"/>
          <w:szCs w:val="24"/>
        </w:rPr>
        <w:t>, 201</w:t>
      </w:r>
      <w:r>
        <w:rPr>
          <w:rFonts w:ascii="Book Antiqua" w:hAnsi="Book Antiqua" w:hint="eastAsia"/>
          <w:sz w:val="24"/>
          <w:szCs w:val="24"/>
          <w:lang w:eastAsia="zh-CN"/>
        </w:rPr>
        <w:t>7</w:t>
      </w:r>
    </w:p>
    <w:p w14:paraId="7D949811" w14:textId="72E197DF" w:rsidR="00076218" w:rsidRPr="008743FE" w:rsidRDefault="00076218" w:rsidP="0030419F">
      <w:pPr>
        <w:adjustRightInd w:val="0"/>
        <w:snapToGrid w:val="0"/>
        <w:spacing w:line="360" w:lineRule="auto"/>
        <w:rPr>
          <w:rFonts w:ascii="Book Antiqua" w:hAnsi="Book Antiqua"/>
          <w:sz w:val="24"/>
          <w:szCs w:val="24"/>
        </w:rPr>
      </w:pPr>
      <w:r w:rsidRPr="008743FE">
        <w:rPr>
          <w:rFonts w:ascii="Book Antiqua" w:hAnsi="Book Antiqua"/>
          <w:b/>
          <w:sz w:val="24"/>
          <w:szCs w:val="24"/>
        </w:rPr>
        <w:t>Accepted:</w:t>
      </w:r>
      <w:r w:rsidR="00334DC0" w:rsidRPr="00334DC0">
        <w:t xml:space="preserve"> </w:t>
      </w:r>
      <w:r w:rsidR="00334DC0" w:rsidRPr="00334DC0">
        <w:rPr>
          <w:rFonts w:ascii="Book Antiqua" w:hAnsi="Book Antiqua"/>
          <w:sz w:val="24"/>
          <w:szCs w:val="24"/>
        </w:rPr>
        <w:t>January 24, 2018</w:t>
      </w:r>
      <w:r w:rsidRPr="008743FE">
        <w:rPr>
          <w:rFonts w:ascii="Book Antiqua" w:hAnsi="Book Antiqua"/>
          <w:sz w:val="24"/>
          <w:szCs w:val="24"/>
        </w:rPr>
        <w:t xml:space="preserve"> </w:t>
      </w:r>
    </w:p>
    <w:p w14:paraId="489AC008" w14:textId="77777777" w:rsidR="00076218" w:rsidRPr="008743FE" w:rsidRDefault="00076218" w:rsidP="0030419F">
      <w:pPr>
        <w:adjustRightInd w:val="0"/>
        <w:snapToGrid w:val="0"/>
        <w:spacing w:line="360" w:lineRule="auto"/>
        <w:rPr>
          <w:rFonts w:ascii="Book Antiqua" w:hAnsi="Book Antiqua"/>
          <w:b/>
          <w:sz w:val="24"/>
          <w:szCs w:val="24"/>
        </w:rPr>
      </w:pPr>
      <w:r w:rsidRPr="008743FE">
        <w:rPr>
          <w:rFonts w:ascii="Book Antiqua" w:hAnsi="Book Antiqua"/>
          <w:b/>
          <w:sz w:val="24"/>
          <w:szCs w:val="24"/>
        </w:rPr>
        <w:t>Article in press:</w:t>
      </w:r>
    </w:p>
    <w:p w14:paraId="73C5D67C" w14:textId="77777777" w:rsidR="00076218" w:rsidRPr="008743FE" w:rsidRDefault="00076218" w:rsidP="0030419F">
      <w:pPr>
        <w:adjustRightInd w:val="0"/>
        <w:snapToGrid w:val="0"/>
        <w:spacing w:line="360" w:lineRule="auto"/>
        <w:rPr>
          <w:rFonts w:ascii="Book Antiqua" w:hAnsi="Book Antiqua"/>
          <w:b/>
          <w:sz w:val="24"/>
          <w:szCs w:val="24"/>
        </w:rPr>
      </w:pPr>
      <w:r w:rsidRPr="008743FE">
        <w:rPr>
          <w:rFonts w:ascii="Book Antiqua" w:hAnsi="Book Antiqua"/>
          <w:b/>
          <w:sz w:val="24"/>
          <w:szCs w:val="24"/>
        </w:rPr>
        <w:t>Published online:</w:t>
      </w:r>
    </w:p>
    <w:p w14:paraId="765AEE45" w14:textId="68E72731" w:rsidR="00076218" w:rsidRDefault="00076218" w:rsidP="0030419F">
      <w:pPr>
        <w:snapToGrid w:val="0"/>
        <w:spacing w:line="360" w:lineRule="auto"/>
        <w:rPr>
          <w:rFonts w:ascii="Book Antiqua" w:hAnsi="Book Antiqua"/>
          <w:b/>
          <w:color w:val="auto"/>
          <w:sz w:val="24"/>
          <w:szCs w:val="24"/>
        </w:rPr>
      </w:pPr>
      <w:r>
        <w:rPr>
          <w:rFonts w:ascii="Book Antiqua" w:hAnsi="Book Antiqua"/>
          <w:b/>
          <w:color w:val="auto"/>
          <w:sz w:val="24"/>
          <w:szCs w:val="24"/>
        </w:rPr>
        <w:br w:type="page"/>
      </w:r>
    </w:p>
    <w:p w14:paraId="2EF65930" w14:textId="77777777" w:rsidR="00C35D84" w:rsidRPr="00DF6D96" w:rsidRDefault="007C5683" w:rsidP="0030419F">
      <w:pPr>
        <w:pStyle w:val="1"/>
        <w:adjustRightInd w:val="0"/>
        <w:snapToGrid w:val="0"/>
        <w:spacing w:line="360" w:lineRule="auto"/>
        <w:outlineLvl w:val="0"/>
        <w:rPr>
          <w:rFonts w:ascii="Book Antiqua" w:hAnsi="Book Antiqua"/>
          <w:b/>
          <w:color w:val="auto"/>
          <w:sz w:val="24"/>
          <w:szCs w:val="24"/>
        </w:rPr>
      </w:pPr>
      <w:r w:rsidRPr="00DF6D96">
        <w:rPr>
          <w:rFonts w:ascii="Book Antiqua" w:hAnsi="Book Antiqua"/>
          <w:b/>
          <w:color w:val="auto"/>
          <w:sz w:val="24"/>
          <w:szCs w:val="24"/>
        </w:rPr>
        <w:lastRenderedPageBreak/>
        <w:t xml:space="preserve">Abstract </w:t>
      </w:r>
    </w:p>
    <w:p w14:paraId="274FDF4E" w14:textId="77777777" w:rsidR="00076218" w:rsidRDefault="000737B8" w:rsidP="0030419F">
      <w:pPr>
        <w:pStyle w:val="1"/>
        <w:adjustRightInd w:val="0"/>
        <w:snapToGrid w:val="0"/>
        <w:spacing w:line="360" w:lineRule="auto"/>
        <w:rPr>
          <w:rFonts w:ascii="Book Antiqua" w:hAnsi="Book Antiqua"/>
          <w:color w:val="auto"/>
          <w:sz w:val="24"/>
          <w:szCs w:val="24"/>
          <w:lang w:eastAsia="zh-CN"/>
        </w:rPr>
      </w:pPr>
      <w:bookmarkStart w:id="6" w:name="30j0zll" w:colFirst="0" w:colLast="0"/>
      <w:bookmarkStart w:id="7" w:name="gjdgxs" w:colFirst="0" w:colLast="0"/>
      <w:bookmarkEnd w:id="6"/>
      <w:bookmarkEnd w:id="7"/>
      <w:r w:rsidRPr="00076218">
        <w:rPr>
          <w:rFonts w:ascii="Book Antiqua" w:hAnsi="Book Antiqua"/>
          <w:b/>
          <w:i/>
          <w:color w:val="auto"/>
          <w:sz w:val="24"/>
          <w:szCs w:val="24"/>
        </w:rPr>
        <w:t>A</w:t>
      </w:r>
      <w:r w:rsidR="000B2F65" w:rsidRPr="00076218">
        <w:rPr>
          <w:rFonts w:ascii="Book Antiqua" w:hAnsi="Book Antiqua"/>
          <w:b/>
          <w:i/>
          <w:color w:val="auto"/>
          <w:sz w:val="24"/>
          <w:szCs w:val="24"/>
          <w:lang w:eastAsia="zh-CN"/>
        </w:rPr>
        <w:t>IM</w:t>
      </w:r>
    </w:p>
    <w:p w14:paraId="3BC84A53" w14:textId="2EDC285A" w:rsidR="00C35D84" w:rsidRDefault="001E1C46"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lang w:eastAsia="zh-CN"/>
        </w:rPr>
        <w:t xml:space="preserve">To clarify the role of </w:t>
      </w:r>
      <w:r w:rsidR="00F7365A" w:rsidRPr="00DF6D96">
        <w:rPr>
          <w:rFonts w:ascii="Book Antiqua" w:hAnsi="Book Antiqua"/>
          <w:color w:val="auto"/>
          <w:sz w:val="24"/>
          <w:szCs w:val="24"/>
        </w:rPr>
        <w:t>proteinase-activated receptor-2</w:t>
      </w:r>
      <w:r w:rsidR="00F7365A">
        <w:rPr>
          <w:rFonts w:ascii="Book Antiqua" w:hAnsi="Book Antiqua" w:hint="eastAsia"/>
          <w:color w:val="auto"/>
          <w:sz w:val="24"/>
          <w:szCs w:val="24"/>
          <w:lang w:eastAsia="zh-CN"/>
        </w:rPr>
        <w:t xml:space="preserve"> (</w:t>
      </w:r>
      <w:r w:rsidRPr="00DF6D96">
        <w:rPr>
          <w:rFonts w:ascii="Book Antiqua" w:hAnsi="Book Antiqua"/>
          <w:color w:val="auto"/>
          <w:sz w:val="24"/>
          <w:szCs w:val="24"/>
          <w:lang w:eastAsia="zh-CN"/>
        </w:rPr>
        <w:t>PAR2</w:t>
      </w:r>
      <w:r w:rsidR="00F7365A">
        <w:rPr>
          <w:rFonts w:ascii="Book Antiqua" w:hAnsi="Book Antiqua" w:hint="eastAsia"/>
          <w:color w:val="auto"/>
          <w:sz w:val="24"/>
          <w:szCs w:val="24"/>
          <w:lang w:eastAsia="zh-CN"/>
        </w:rPr>
        <w:t>)</w:t>
      </w:r>
      <w:r w:rsidRPr="00DF6D96">
        <w:rPr>
          <w:rFonts w:ascii="Book Antiqua" w:hAnsi="Book Antiqua"/>
          <w:color w:val="auto"/>
          <w:sz w:val="24"/>
          <w:szCs w:val="24"/>
          <w:lang w:eastAsia="zh-CN"/>
        </w:rPr>
        <w:t xml:space="preserve"> in </w:t>
      </w:r>
      <w:r w:rsidR="007C5683" w:rsidRPr="00DF6D96">
        <w:rPr>
          <w:rFonts w:ascii="Book Antiqua" w:hAnsi="Book Antiqua"/>
          <w:color w:val="auto"/>
          <w:sz w:val="24"/>
          <w:szCs w:val="24"/>
        </w:rPr>
        <w:t>hepatocellular carcinoma, especially in the process of metastasis</w:t>
      </w:r>
      <w:r w:rsidRPr="00DF6D96">
        <w:rPr>
          <w:rFonts w:ascii="Book Antiqua" w:hAnsi="Book Antiqua"/>
          <w:color w:val="auto"/>
          <w:sz w:val="24"/>
          <w:szCs w:val="24"/>
        </w:rPr>
        <w:t>.</w:t>
      </w:r>
    </w:p>
    <w:p w14:paraId="4A12B437" w14:textId="77777777" w:rsidR="00076218" w:rsidRPr="00DF6D96" w:rsidRDefault="00076218" w:rsidP="0030419F">
      <w:pPr>
        <w:pStyle w:val="1"/>
        <w:adjustRightInd w:val="0"/>
        <w:snapToGrid w:val="0"/>
        <w:spacing w:line="360" w:lineRule="auto"/>
        <w:rPr>
          <w:rFonts w:ascii="Book Antiqua" w:hAnsi="Book Antiqua"/>
          <w:color w:val="auto"/>
          <w:sz w:val="24"/>
          <w:szCs w:val="24"/>
          <w:lang w:eastAsia="zh-CN"/>
        </w:rPr>
      </w:pPr>
    </w:p>
    <w:p w14:paraId="4A9876B9" w14:textId="71B468E9" w:rsidR="00076218" w:rsidRPr="00076218" w:rsidRDefault="000B2F65" w:rsidP="0030419F">
      <w:pPr>
        <w:pStyle w:val="1"/>
        <w:adjustRightInd w:val="0"/>
        <w:snapToGrid w:val="0"/>
        <w:spacing w:line="360" w:lineRule="auto"/>
        <w:rPr>
          <w:rFonts w:ascii="Book Antiqua" w:hAnsi="Book Antiqua"/>
          <w:i/>
          <w:color w:val="auto"/>
          <w:sz w:val="24"/>
          <w:szCs w:val="24"/>
          <w:lang w:eastAsia="zh-CN"/>
        </w:rPr>
      </w:pPr>
      <w:r w:rsidRPr="00076218">
        <w:rPr>
          <w:rFonts w:ascii="Book Antiqua" w:hAnsi="Book Antiqua"/>
          <w:b/>
          <w:i/>
          <w:color w:val="auto"/>
          <w:sz w:val="24"/>
          <w:szCs w:val="24"/>
        </w:rPr>
        <w:t>METHODS</w:t>
      </w:r>
    </w:p>
    <w:p w14:paraId="0DD81B5C" w14:textId="567834DB" w:rsidR="00C35D84" w:rsidRDefault="00564144"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PAR2 </w:t>
      </w:r>
      <w:r w:rsidR="007C5683" w:rsidRPr="00DF6D96">
        <w:rPr>
          <w:rFonts w:ascii="Book Antiqua" w:hAnsi="Book Antiqua"/>
          <w:color w:val="auto"/>
          <w:sz w:val="24"/>
          <w:szCs w:val="24"/>
        </w:rPr>
        <w:t xml:space="preserve">expression levels were assessed by qRT-PCR and immunohistochemistry (IHC) </w:t>
      </w:r>
      <w:r w:rsidR="003C676B" w:rsidRPr="00DF6D96">
        <w:rPr>
          <w:rFonts w:ascii="Book Antiqua" w:hAnsi="Book Antiqua"/>
          <w:color w:val="auto"/>
          <w:sz w:val="24"/>
          <w:szCs w:val="24"/>
        </w:rPr>
        <w:t xml:space="preserve">in patient tissues and </w:t>
      </w:r>
      <w:r w:rsidR="007C5683" w:rsidRPr="00DF6D96">
        <w:rPr>
          <w:rFonts w:ascii="Book Antiqua" w:hAnsi="Book Antiqua"/>
          <w:color w:val="auto"/>
          <w:sz w:val="24"/>
          <w:szCs w:val="24"/>
        </w:rPr>
        <w:t xml:space="preserve">in hepatocellular carcinoma cell lines SMMC-7721 and HepG2. Cell proliferation </w:t>
      </w:r>
      <w:r w:rsidR="00760372" w:rsidRPr="00DF6D96">
        <w:rPr>
          <w:rFonts w:ascii="Book Antiqua" w:hAnsi="Book Antiqua"/>
          <w:color w:val="auto"/>
          <w:sz w:val="24"/>
          <w:szCs w:val="24"/>
        </w:rPr>
        <w:t xml:space="preserve">and metastasis were </w:t>
      </w:r>
      <w:r w:rsidR="007C5683" w:rsidRPr="00DF6D96">
        <w:rPr>
          <w:rFonts w:ascii="Book Antiqua" w:hAnsi="Book Antiqua"/>
          <w:color w:val="auto"/>
          <w:sz w:val="24"/>
          <w:szCs w:val="24"/>
        </w:rPr>
        <w:t xml:space="preserve">assessed </w:t>
      </w:r>
      <w:r w:rsidR="00760372" w:rsidRPr="00DF6D96">
        <w:rPr>
          <w:rFonts w:ascii="Book Antiqua" w:hAnsi="Book Antiqua"/>
          <w:color w:val="auto"/>
          <w:sz w:val="24"/>
          <w:szCs w:val="24"/>
        </w:rPr>
        <w:t xml:space="preserve">both </w:t>
      </w:r>
      <w:r w:rsidR="00C35D84" w:rsidRPr="00DF6D96">
        <w:rPr>
          <w:rFonts w:ascii="Book Antiqua" w:hAnsi="Book Antiqua"/>
          <w:i/>
          <w:color w:val="auto"/>
          <w:sz w:val="24"/>
          <w:szCs w:val="24"/>
        </w:rPr>
        <w:t>in vitro</w:t>
      </w:r>
      <w:r w:rsidR="007C5683" w:rsidRPr="00DF6D96">
        <w:rPr>
          <w:rFonts w:ascii="Book Antiqua" w:hAnsi="Book Antiqua"/>
          <w:color w:val="auto"/>
          <w:sz w:val="24"/>
          <w:szCs w:val="24"/>
        </w:rPr>
        <w:t xml:space="preserve"> and </w:t>
      </w:r>
      <w:r w:rsidR="00C35D84" w:rsidRPr="00DF6D96">
        <w:rPr>
          <w:rFonts w:ascii="Book Antiqua" w:hAnsi="Book Antiqua"/>
          <w:i/>
          <w:color w:val="auto"/>
          <w:sz w:val="24"/>
          <w:szCs w:val="24"/>
        </w:rPr>
        <w:t>in vivo</w:t>
      </w:r>
      <w:r w:rsidR="007C5683" w:rsidRPr="00DF6D96">
        <w:rPr>
          <w:rFonts w:ascii="Book Antiqua" w:hAnsi="Book Antiqua"/>
          <w:color w:val="auto"/>
          <w:sz w:val="24"/>
          <w:szCs w:val="24"/>
        </w:rPr>
        <w:t>. Immunoblot</w:t>
      </w:r>
      <w:r w:rsidR="003C676B" w:rsidRPr="00DF6D96">
        <w:rPr>
          <w:rFonts w:ascii="Book Antiqua" w:hAnsi="Book Antiqua"/>
          <w:color w:val="auto"/>
          <w:sz w:val="24"/>
          <w:szCs w:val="24"/>
        </w:rPr>
        <w:t>ting</w:t>
      </w:r>
      <w:r w:rsidR="007C5683" w:rsidRPr="00DF6D96">
        <w:rPr>
          <w:rFonts w:ascii="Book Antiqua" w:hAnsi="Book Antiqua"/>
          <w:color w:val="auto"/>
          <w:sz w:val="24"/>
          <w:szCs w:val="24"/>
        </w:rPr>
        <w:t xml:space="preserve"> was carried out to </w:t>
      </w:r>
      <w:r w:rsidR="003C676B" w:rsidRPr="00DF6D96">
        <w:rPr>
          <w:rFonts w:ascii="Book Antiqua" w:hAnsi="Book Antiqua"/>
          <w:color w:val="auto"/>
          <w:sz w:val="24"/>
          <w:szCs w:val="24"/>
        </w:rPr>
        <w:t xml:space="preserve">monitor </w:t>
      </w:r>
      <w:r w:rsidR="007C5683" w:rsidRPr="00DF6D96">
        <w:rPr>
          <w:rFonts w:ascii="Book Antiqua" w:hAnsi="Book Antiqua"/>
          <w:color w:val="auto"/>
          <w:sz w:val="24"/>
          <w:szCs w:val="24"/>
        </w:rPr>
        <w:t xml:space="preserve">the levels of </w:t>
      </w:r>
      <w:r w:rsidR="00F7365A" w:rsidRPr="00DF6D96">
        <w:rPr>
          <w:rFonts w:ascii="Book Antiqua" w:hAnsi="Book Antiqua"/>
          <w:color w:val="auto"/>
          <w:sz w:val="24"/>
          <w:szCs w:val="24"/>
        </w:rPr>
        <w:t xml:space="preserve">mitogen-activated protein kinase </w:t>
      </w:r>
      <w:r w:rsidR="00F7365A">
        <w:rPr>
          <w:rFonts w:ascii="Book Antiqua" w:hAnsi="Book Antiqua" w:hint="eastAsia"/>
          <w:color w:val="auto"/>
          <w:sz w:val="24"/>
          <w:szCs w:val="24"/>
          <w:lang w:eastAsia="zh-CN"/>
        </w:rPr>
        <w:t>(</w:t>
      </w:r>
      <w:r w:rsidR="007C5683" w:rsidRPr="00DF6D96">
        <w:rPr>
          <w:rFonts w:ascii="Book Antiqua" w:hAnsi="Book Antiqua"/>
          <w:color w:val="auto"/>
          <w:sz w:val="24"/>
          <w:szCs w:val="24"/>
        </w:rPr>
        <w:t>MAPK</w:t>
      </w:r>
      <w:r w:rsidR="00F7365A">
        <w:rPr>
          <w:rFonts w:ascii="Book Antiqua" w:hAnsi="Book Antiqua" w:hint="eastAsia"/>
          <w:color w:val="auto"/>
          <w:sz w:val="24"/>
          <w:szCs w:val="24"/>
          <w:lang w:eastAsia="zh-CN"/>
        </w:rPr>
        <w:t>)</w:t>
      </w:r>
      <w:r w:rsidR="007C5683" w:rsidRPr="00DF6D96">
        <w:rPr>
          <w:rFonts w:ascii="Book Antiqua" w:hAnsi="Book Antiqua"/>
          <w:color w:val="auto"/>
          <w:sz w:val="24"/>
          <w:szCs w:val="24"/>
        </w:rPr>
        <w:t xml:space="preserve"> and </w:t>
      </w:r>
      <w:r w:rsidR="00F7365A" w:rsidRPr="00DF6D96">
        <w:rPr>
          <w:rFonts w:ascii="Book Antiqua" w:hAnsi="Book Antiqua"/>
          <w:color w:val="auto"/>
          <w:sz w:val="24"/>
          <w:szCs w:val="24"/>
        </w:rPr>
        <w:t>epithelial-mesenchymal transition</w:t>
      </w:r>
      <w:r w:rsidR="0014312C">
        <w:rPr>
          <w:rFonts w:ascii="Book Antiqua" w:hAnsi="Book Antiqua" w:hint="eastAsia"/>
          <w:color w:val="auto"/>
          <w:sz w:val="24"/>
          <w:szCs w:val="24"/>
          <w:lang w:eastAsia="zh-CN"/>
        </w:rPr>
        <w:t xml:space="preserve"> </w:t>
      </w:r>
      <w:r w:rsidR="007C5683" w:rsidRPr="00DF6D96">
        <w:rPr>
          <w:rFonts w:ascii="Book Antiqua" w:hAnsi="Book Antiqua"/>
          <w:color w:val="auto"/>
          <w:sz w:val="24"/>
          <w:szCs w:val="24"/>
        </w:rPr>
        <w:t>markers.</w:t>
      </w:r>
    </w:p>
    <w:p w14:paraId="3129AE0D" w14:textId="77777777" w:rsidR="00076218" w:rsidRPr="00F7365A" w:rsidRDefault="00076218" w:rsidP="0030419F">
      <w:pPr>
        <w:pStyle w:val="1"/>
        <w:adjustRightInd w:val="0"/>
        <w:snapToGrid w:val="0"/>
        <w:spacing w:line="360" w:lineRule="auto"/>
        <w:rPr>
          <w:rFonts w:ascii="Book Antiqua" w:hAnsi="Book Antiqua"/>
          <w:color w:val="auto"/>
          <w:sz w:val="24"/>
          <w:szCs w:val="24"/>
          <w:lang w:eastAsia="zh-CN"/>
        </w:rPr>
      </w:pPr>
    </w:p>
    <w:p w14:paraId="270708DC" w14:textId="050B1973" w:rsidR="00076218" w:rsidRPr="00076218" w:rsidRDefault="000B2F65" w:rsidP="0030419F">
      <w:pPr>
        <w:pStyle w:val="1"/>
        <w:adjustRightInd w:val="0"/>
        <w:snapToGrid w:val="0"/>
        <w:spacing w:line="360" w:lineRule="auto"/>
        <w:rPr>
          <w:rFonts w:ascii="Book Antiqua" w:hAnsi="Book Antiqua"/>
          <w:i/>
          <w:color w:val="auto"/>
          <w:sz w:val="24"/>
          <w:szCs w:val="24"/>
          <w:lang w:eastAsia="zh-CN"/>
        </w:rPr>
      </w:pPr>
      <w:r w:rsidRPr="00076218">
        <w:rPr>
          <w:rFonts w:ascii="Book Antiqua" w:hAnsi="Book Antiqua"/>
          <w:b/>
          <w:i/>
          <w:color w:val="auto"/>
          <w:sz w:val="24"/>
          <w:szCs w:val="24"/>
        </w:rPr>
        <w:t>RESULTS</w:t>
      </w:r>
    </w:p>
    <w:p w14:paraId="369E5DA8" w14:textId="778CE85B"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The prognoses of patients with high PAR2 levels were poorer than those with low PAR2 levels. </w:t>
      </w:r>
      <w:r w:rsidR="00C238B2" w:rsidRPr="00DF6D96">
        <w:rPr>
          <w:rFonts w:ascii="Book Antiqua" w:hAnsi="Book Antiqua"/>
          <w:color w:val="auto"/>
          <w:sz w:val="24"/>
          <w:szCs w:val="24"/>
        </w:rPr>
        <w:t>Patients with high PAR2 levels had advanced tumor stages (</w:t>
      </w:r>
      <w:r w:rsidR="00C238B2" w:rsidRPr="00076218">
        <w:rPr>
          <w:rFonts w:ascii="Book Antiqua" w:hAnsi="Book Antiqua"/>
          <w:i/>
          <w:color w:val="auto"/>
          <w:sz w:val="24"/>
          <w:szCs w:val="24"/>
        </w:rPr>
        <w:t>P</w:t>
      </w:r>
      <w:r w:rsidR="00076218">
        <w:rPr>
          <w:rFonts w:ascii="Book Antiqua" w:hAnsi="Book Antiqua" w:hint="eastAsia"/>
          <w:color w:val="auto"/>
          <w:sz w:val="24"/>
          <w:szCs w:val="24"/>
          <w:lang w:eastAsia="zh-CN"/>
        </w:rPr>
        <w:t xml:space="preserve"> </w:t>
      </w:r>
      <w:r w:rsidR="00C238B2" w:rsidRPr="00DF6D96">
        <w:rPr>
          <w:rFonts w:ascii="Book Antiqua" w:hAnsi="Book Antiqua"/>
          <w:color w:val="auto"/>
          <w:sz w:val="24"/>
          <w:szCs w:val="24"/>
        </w:rPr>
        <w:t>=</w:t>
      </w:r>
      <w:r w:rsidR="00076218">
        <w:rPr>
          <w:rFonts w:ascii="Book Antiqua" w:hAnsi="Book Antiqua" w:hint="eastAsia"/>
          <w:color w:val="auto"/>
          <w:sz w:val="24"/>
          <w:szCs w:val="24"/>
          <w:lang w:eastAsia="zh-CN"/>
        </w:rPr>
        <w:t xml:space="preserve"> </w:t>
      </w:r>
      <w:r w:rsidR="00C238B2" w:rsidRPr="00DF6D96">
        <w:rPr>
          <w:rFonts w:ascii="Book Antiqua" w:hAnsi="Book Antiqua"/>
          <w:color w:val="auto"/>
          <w:sz w:val="24"/>
          <w:szCs w:val="24"/>
        </w:rPr>
        <w:t>0.001, chi-square test), larger tumor size (</w:t>
      </w:r>
      <w:r w:rsidR="00C238B2" w:rsidRPr="00076218">
        <w:rPr>
          <w:rFonts w:ascii="Book Antiqua" w:hAnsi="Book Antiqua"/>
          <w:i/>
          <w:color w:val="auto"/>
          <w:sz w:val="24"/>
          <w:szCs w:val="24"/>
        </w:rPr>
        <w:t>P</w:t>
      </w:r>
      <w:r w:rsidR="00076218">
        <w:rPr>
          <w:rFonts w:ascii="Book Antiqua" w:hAnsi="Book Antiqua" w:hint="eastAsia"/>
          <w:color w:val="auto"/>
          <w:sz w:val="24"/>
          <w:szCs w:val="24"/>
          <w:lang w:eastAsia="zh-CN"/>
        </w:rPr>
        <w:t xml:space="preserve"> </w:t>
      </w:r>
      <w:r w:rsidR="00C238B2" w:rsidRPr="00DF6D96">
        <w:rPr>
          <w:rFonts w:ascii="Book Antiqua" w:hAnsi="Book Antiqua"/>
          <w:color w:val="auto"/>
          <w:sz w:val="24"/>
          <w:szCs w:val="24"/>
        </w:rPr>
        <w:t>=</w:t>
      </w:r>
      <w:r w:rsidR="00076218">
        <w:rPr>
          <w:rFonts w:ascii="Book Antiqua" w:hAnsi="Book Antiqua" w:hint="eastAsia"/>
          <w:color w:val="auto"/>
          <w:sz w:val="24"/>
          <w:szCs w:val="24"/>
          <w:lang w:eastAsia="zh-CN"/>
        </w:rPr>
        <w:t xml:space="preserve"> </w:t>
      </w:r>
      <w:r w:rsidR="00C238B2" w:rsidRPr="00DF6D96">
        <w:rPr>
          <w:rFonts w:ascii="Book Antiqua" w:hAnsi="Book Antiqua"/>
          <w:color w:val="auto"/>
          <w:sz w:val="24"/>
          <w:szCs w:val="24"/>
        </w:rPr>
        <w:t>0.032, chi-square test), and high microvascular invasion rate</w:t>
      </w:r>
      <w:r w:rsidR="001F6B6E" w:rsidRPr="00DF6D96">
        <w:rPr>
          <w:rFonts w:ascii="Book Antiqua" w:hAnsi="Book Antiqua"/>
          <w:color w:val="auto"/>
          <w:sz w:val="24"/>
          <w:szCs w:val="24"/>
        </w:rPr>
        <w:t xml:space="preserve"> (</w:t>
      </w:r>
      <w:r w:rsidR="00076218" w:rsidRPr="00076218">
        <w:rPr>
          <w:rFonts w:ascii="Book Antiqua" w:hAnsi="Book Antiqua"/>
          <w:i/>
          <w:color w:val="auto"/>
          <w:sz w:val="24"/>
          <w:szCs w:val="24"/>
        </w:rPr>
        <w:t>P</w:t>
      </w:r>
      <w:r w:rsidR="00076218">
        <w:rPr>
          <w:rFonts w:ascii="Book Antiqua" w:hAnsi="Book Antiqua"/>
          <w:color w:val="auto"/>
          <w:sz w:val="24"/>
          <w:szCs w:val="24"/>
        </w:rPr>
        <w:t xml:space="preserve"> = </w:t>
      </w:r>
      <w:r w:rsidR="001F6B6E" w:rsidRPr="00DF6D96">
        <w:rPr>
          <w:rFonts w:ascii="Book Antiqua" w:hAnsi="Book Antiqua"/>
          <w:color w:val="auto"/>
          <w:sz w:val="24"/>
          <w:szCs w:val="24"/>
        </w:rPr>
        <w:t>0.037, chi-square test).</w:t>
      </w:r>
      <w:r w:rsidR="00C238B2" w:rsidRPr="00DF6D96">
        <w:rPr>
          <w:rFonts w:ascii="Book Antiqua" w:hAnsi="Book Antiqua"/>
          <w:color w:val="auto"/>
          <w:sz w:val="24"/>
          <w:szCs w:val="24"/>
        </w:rPr>
        <w:t xml:space="preserve"> </w:t>
      </w:r>
      <w:r w:rsidR="001F6B6E" w:rsidRPr="00DF6D96">
        <w:rPr>
          <w:rFonts w:ascii="Book Antiqua" w:hAnsi="Book Antiqua"/>
          <w:color w:val="auto"/>
          <w:sz w:val="24"/>
          <w:szCs w:val="24"/>
        </w:rPr>
        <w:t>T</w:t>
      </w:r>
      <w:r w:rsidR="001F6B6E" w:rsidRPr="00DF6D96">
        <w:rPr>
          <w:rFonts w:ascii="Book Antiqua" w:hAnsi="Book Antiqua"/>
          <w:color w:val="auto"/>
          <w:sz w:val="24"/>
          <w:szCs w:val="24"/>
          <w:lang w:eastAsia="zh-CN"/>
        </w:rPr>
        <w:t xml:space="preserve">he </w:t>
      </w:r>
      <w:r w:rsidRPr="00DF6D96">
        <w:rPr>
          <w:rFonts w:ascii="Book Antiqua" w:hAnsi="Book Antiqua"/>
          <w:color w:val="auto"/>
          <w:sz w:val="24"/>
          <w:szCs w:val="24"/>
        </w:rPr>
        <w:t xml:space="preserve">proliferation and metastasis </w:t>
      </w:r>
      <w:r w:rsidR="001F6B6E" w:rsidRPr="00DF6D96">
        <w:rPr>
          <w:rFonts w:ascii="Book Antiqua" w:hAnsi="Book Antiqua"/>
          <w:color w:val="auto"/>
          <w:sz w:val="24"/>
          <w:szCs w:val="24"/>
        </w:rPr>
        <w:t xml:space="preserve">ability </w:t>
      </w:r>
      <w:r w:rsidRPr="00DF6D96">
        <w:rPr>
          <w:rFonts w:ascii="Book Antiqua" w:hAnsi="Book Antiqua"/>
          <w:color w:val="auto"/>
          <w:sz w:val="24"/>
          <w:szCs w:val="24"/>
        </w:rPr>
        <w:t>of SMM</w:t>
      </w:r>
      <w:r w:rsidR="001F6B6E" w:rsidRPr="00DF6D96">
        <w:rPr>
          <w:rFonts w:ascii="Book Antiqua" w:hAnsi="Book Antiqua"/>
          <w:color w:val="auto"/>
          <w:sz w:val="24"/>
          <w:szCs w:val="24"/>
        </w:rPr>
        <w:t>C-7721 and HepG2 cells were increased after PAR2</w:t>
      </w:r>
      <w:r w:rsidR="00A35DA0" w:rsidRPr="00DF6D96">
        <w:rPr>
          <w:rFonts w:ascii="Book Antiqua" w:hAnsi="Book Antiqua"/>
          <w:color w:val="auto"/>
          <w:sz w:val="24"/>
          <w:szCs w:val="24"/>
        </w:rPr>
        <w:t xml:space="preserve"> overexpression</w:t>
      </w:r>
      <w:r w:rsidR="001F6B6E" w:rsidRPr="00DF6D96">
        <w:rPr>
          <w:rFonts w:ascii="Book Antiqua" w:hAnsi="Book Antiqua"/>
          <w:color w:val="auto"/>
          <w:sz w:val="24"/>
          <w:szCs w:val="24"/>
        </w:rPr>
        <w:t xml:space="preserve">, while knocking down of PAR2 </w:t>
      </w:r>
      <w:r w:rsidR="00A35DA0" w:rsidRPr="00DF6D96">
        <w:rPr>
          <w:rFonts w:ascii="Book Antiqua" w:hAnsi="Book Antiqua"/>
          <w:color w:val="auto"/>
          <w:sz w:val="24"/>
          <w:szCs w:val="24"/>
          <w:lang w:eastAsia="zh-CN"/>
        </w:rPr>
        <w:t xml:space="preserve">decreased the </w:t>
      </w:r>
      <w:r w:rsidR="00A35DA0" w:rsidRPr="00DF6D96">
        <w:rPr>
          <w:rFonts w:ascii="Book Antiqua" w:hAnsi="Book Antiqua"/>
          <w:color w:val="auto"/>
          <w:sz w:val="24"/>
          <w:szCs w:val="24"/>
        </w:rPr>
        <w:t>proliferation and metastasis ability of SMMC-7721 and HepG2 cells</w:t>
      </w:r>
      <w:r w:rsidR="001F6B6E" w:rsidRPr="00DF6D96">
        <w:rPr>
          <w:rFonts w:ascii="Book Antiqua" w:hAnsi="Book Antiqua"/>
          <w:color w:val="auto"/>
          <w:sz w:val="24"/>
          <w:szCs w:val="24"/>
          <w:lang w:eastAsia="zh-CN"/>
        </w:rPr>
        <w:t>.</w:t>
      </w:r>
      <w:r w:rsidR="00811426" w:rsidRPr="00DF6D96">
        <w:rPr>
          <w:rFonts w:ascii="Book Antiqua" w:hAnsi="Book Antiqua"/>
          <w:color w:val="auto"/>
          <w:sz w:val="24"/>
          <w:szCs w:val="24"/>
          <w:lang w:eastAsia="zh-CN"/>
        </w:rPr>
        <w:t xml:space="preserve"> </w:t>
      </w:r>
      <w:r w:rsidR="00F44114" w:rsidRPr="00DF6D96">
        <w:rPr>
          <w:rFonts w:ascii="Book Antiqua" w:hAnsi="Book Antiqua"/>
          <w:color w:val="auto"/>
          <w:sz w:val="24"/>
          <w:szCs w:val="24"/>
        </w:rPr>
        <w:t>Knocking down</w:t>
      </w:r>
      <w:r w:rsidR="00F44114" w:rsidRPr="00DF6D96">
        <w:rPr>
          <w:rFonts w:ascii="Book Antiqua" w:hAnsi="Book Antiqua"/>
          <w:color w:val="auto"/>
          <w:sz w:val="24"/>
          <w:szCs w:val="24"/>
          <w:lang w:eastAsia="zh-CN"/>
        </w:rPr>
        <w:t xml:space="preserve"> of </w:t>
      </w:r>
      <w:r w:rsidR="00811426" w:rsidRPr="00DF6D96">
        <w:rPr>
          <w:rFonts w:ascii="Book Antiqua" w:hAnsi="Book Antiqua"/>
          <w:color w:val="auto"/>
          <w:sz w:val="24"/>
          <w:szCs w:val="24"/>
          <w:lang w:eastAsia="zh-CN"/>
        </w:rPr>
        <w:t xml:space="preserve">PAR2 also </w:t>
      </w:r>
      <w:r w:rsidR="00F44114" w:rsidRPr="00DF6D96">
        <w:rPr>
          <w:rFonts w:ascii="Book Antiqua" w:hAnsi="Book Antiqua"/>
          <w:color w:val="auto"/>
          <w:sz w:val="24"/>
          <w:szCs w:val="24"/>
          <w:lang w:eastAsia="zh-CN"/>
        </w:rPr>
        <w:t xml:space="preserve">inhibited </w:t>
      </w:r>
      <w:r w:rsidR="004725C8" w:rsidRPr="00DF6D96">
        <w:rPr>
          <w:rFonts w:ascii="Book Antiqua" w:hAnsi="Book Antiqua"/>
          <w:color w:val="auto"/>
          <w:sz w:val="24"/>
          <w:szCs w:val="24"/>
        </w:rPr>
        <w:t>hepatocellular carcinoma</w:t>
      </w:r>
      <w:r w:rsidR="00A35DA0" w:rsidRPr="00DF6D96">
        <w:rPr>
          <w:rFonts w:ascii="Book Antiqua" w:hAnsi="Book Antiqua"/>
          <w:color w:val="auto"/>
          <w:sz w:val="24"/>
          <w:szCs w:val="24"/>
          <w:lang w:eastAsia="zh-CN"/>
        </w:rPr>
        <w:t xml:space="preserve"> </w:t>
      </w:r>
      <w:r w:rsidR="00F44114" w:rsidRPr="00DF6D96">
        <w:rPr>
          <w:rFonts w:ascii="Book Antiqua" w:hAnsi="Book Antiqua"/>
          <w:color w:val="auto"/>
          <w:sz w:val="24"/>
          <w:szCs w:val="24"/>
          <w:lang w:eastAsia="zh-CN"/>
        </w:rPr>
        <w:t xml:space="preserve">tumor </w:t>
      </w:r>
      <w:r w:rsidR="00A35DA0" w:rsidRPr="00DF6D96">
        <w:rPr>
          <w:rFonts w:ascii="Book Antiqua" w:hAnsi="Book Antiqua"/>
          <w:color w:val="auto"/>
          <w:sz w:val="24"/>
          <w:szCs w:val="24"/>
          <w:lang w:eastAsia="zh-CN"/>
        </w:rPr>
        <w:t xml:space="preserve">cell </w:t>
      </w:r>
      <w:r w:rsidR="00F44114" w:rsidRPr="00DF6D96">
        <w:rPr>
          <w:rFonts w:ascii="Book Antiqua" w:hAnsi="Book Antiqua"/>
          <w:color w:val="auto"/>
          <w:sz w:val="24"/>
          <w:szCs w:val="24"/>
          <w:lang w:eastAsia="zh-CN"/>
        </w:rPr>
        <w:t xml:space="preserve">growth and liver metastasis in nude mice. Mechanistically, PAR2 increased the proliferation ability of </w:t>
      </w:r>
      <w:r w:rsidR="00E60CDA" w:rsidRPr="00DF6D96">
        <w:rPr>
          <w:rFonts w:ascii="Book Antiqua" w:hAnsi="Book Antiqua"/>
          <w:color w:val="auto"/>
          <w:sz w:val="24"/>
          <w:szCs w:val="24"/>
        </w:rPr>
        <w:t>SMMC-7721 and HepG2</w:t>
      </w:r>
      <w:r w:rsidR="00F44114" w:rsidRPr="00DF6D96">
        <w:rPr>
          <w:rFonts w:ascii="Book Antiqua" w:hAnsi="Book Antiqua"/>
          <w:color w:val="auto"/>
          <w:sz w:val="24"/>
          <w:szCs w:val="24"/>
          <w:lang w:eastAsia="zh-CN"/>
        </w:rPr>
        <w:t xml:space="preserve"> cells</w:t>
      </w:r>
      <w:r w:rsidR="00F44114" w:rsidRPr="00DF6D96">
        <w:rPr>
          <w:rFonts w:ascii="Book Antiqua" w:hAnsi="Book Antiqua"/>
          <w:color w:val="auto"/>
          <w:sz w:val="24"/>
          <w:szCs w:val="24"/>
        </w:rPr>
        <w:t xml:space="preserve"> via ERK activation. A</w:t>
      </w:r>
      <w:r w:rsidR="00F44114" w:rsidRPr="00DF6D96">
        <w:rPr>
          <w:rFonts w:ascii="Book Antiqua" w:hAnsi="Book Antiqua"/>
          <w:color w:val="auto"/>
          <w:sz w:val="24"/>
          <w:szCs w:val="24"/>
          <w:lang w:eastAsia="zh-CN"/>
        </w:rPr>
        <w:t xml:space="preserve">ctivated ERK further </w:t>
      </w:r>
      <w:r w:rsidR="00F44114" w:rsidRPr="00DF6D96">
        <w:rPr>
          <w:rFonts w:ascii="Book Antiqua" w:hAnsi="Book Antiqua"/>
          <w:color w:val="auto"/>
          <w:sz w:val="24"/>
          <w:szCs w:val="24"/>
        </w:rPr>
        <w:t xml:space="preserve">promoted </w:t>
      </w:r>
      <w:r w:rsidR="00A35DA0" w:rsidRPr="00DF6D96">
        <w:rPr>
          <w:rFonts w:ascii="Book Antiqua" w:hAnsi="Book Antiqua"/>
          <w:color w:val="auto"/>
          <w:sz w:val="24"/>
          <w:szCs w:val="24"/>
          <w:lang w:eastAsia="zh-CN"/>
        </w:rPr>
        <w:t>the</w:t>
      </w:r>
      <w:r w:rsidRPr="00DF6D96">
        <w:rPr>
          <w:rFonts w:ascii="Book Antiqua" w:hAnsi="Book Antiqua"/>
          <w:color w:val="auto"/>
          <w:sz w:val="24"/>
          <w:szCs w:val="24"/>
        </w:rPr>
        <w:t xml:space="preserve"> epithelial-mesenchymal transition</w:t>
      </w:r>
      <w:r w:rsidR="00E60CDA" w:rsidRPr="00DF6D96">
        <w:rPr>
          <w:rFonts w:ascii="Book Antiqua" w:hAnsi="Book Antiqua"/>
          <w:color w:val="auto"/>
          <w:sz w:val="24"/>
          <w:szCs w:val="24"/>
        </w:rPr>
        <w:t xml:space="preserve"> of </w:t>
      </w:r>
      <w:r w:rsidR="00E60CDA" w:rsidRPr="00DF6D96">
        <w:rPr>
          <w:rFonts w:ascii="Book Antiqua" w:hAnsi="Book Antiqua"/>
          <w:color w:val="auto"/>
          <w:sz w:val="24"/>
          <w:szCs w:val="24"/>
          <w:lang w:eastAsia="zh-CN"/>
        </w:rPr>
        <w:t>these</w:t>
      </w:r>
      <w:r w:rsidR="00A35DA0" w:rsidRPr="00DF6D96">
        <w:rPr>
          <w:rFonts w:ascii="Book Antiqua" w:hAnsi="Book Antiqua"/>
          <w:color w:val="auto"/>
          <w:sz w:val="24"/>
          <w:szCs w:val="24"/>
          <w:lang w:eastAsia="zh-CN"/>
        </w:rPr>
        <w:t xml:space="preserve"> cells, which endowed </w:t>
      </w:r>
      <w:r w:rsidR="00E60CDA" w:rsidRPr="00DF6D96">
        <w:rPr>
          <w:rFonts w:ascii="Book Antiqua" w:hAnsi="Book Antiqua"/>
          <w:color w:val="auto"/>
          <w:sz w:val="24"/>
          <w:szCs w:val="24"/>
          <w:lang w:eastAsia="zh-CN"/>
        </w:rPr>
        <w:t>them</w:t>
      </w:r>
      <w:r w:rsidR="00A35DA0" w:rsidRPr="00DF6D96">
        <w:rPr>
          <w:rFonts w:ascii="Book Antiqua" w:hAnsi="Book Antiqua"/>
          <w:color w:val="auto"/>
          <w:sz w:val="24"/>
          <w:szCs w:val="24"/>
          <w:lang w:eastAsia="zh-CN"/>
        </w:rPr>
        <w:t xml:space="preserve"> with enhanced migration and invasion ability</w:t>
      </w:r>
      <w:r w:rsidRPr="00DF6D96">
        <w:rPr>
          <w:rFonts w:ascii="Book Antiqua" w:hAnsi="Book Antiqua"/>
          <w:color w:val="auto"/>
          <w:sz w:val="24"/>
          <w:szCs w:val="24"/>
        </w:rPr>
        <w:t xml:space="preserve">. </w:t>
      </w:r>
    </w:p>
    <w:p w14:paraId="3356D580" w14:textId="77777777" w:rsidR="004725C8" w:rsidRPr="00DF6D96" w:rsidRDefault="004725C8" w:rsidP="0030419F">
      <w:pPr>
        <w:pStyle w:val="1"/>
        <w:adjustRightInd w:val="0"/>
        <w:snapToGrid w:val="0"/>
        <w:spacing w:line="360" w:lineRule="auto"/>
        <w:rPr>
          <w:rFonts w:ascii="Book Antiqua" w:hAnsi="Book Antiqua"/>
          <w:color w:val="auto"/>
          <w:sz w:val="24"/>
          <w:szCs w:val="24"/>
          <w:lang w:eastAsia="zh-CN"/>
        </w:rPr>
      </w:pPr>
    </w:p>
    <w:p w14:paraId="09B49ECD" w14:textId="77777777" w:rsidR="004725C8" w:rsidRPr="004725C8" w:rsidRDefault="000B2F65" w:rsidP="0030419F">
      <w:pPr>
        <w:pStyle w:val="1"/>
        <w:adjustRightInd w:val="0"/>
        <w:snapToGrid w:val="0"/>
        <w:spacing w:line="360" w:lineRule="auto"/>
        <w:rPr>
          <w:rFonts w:ascii="Book Antiqua" w:hAnsi="Book Antiqua"/>
          <w:b/>
          <w:i/>
          <w:color w:val="auto"/>
          <w:sz w:val="24"/>
          <w:szCs w:val="24"/>
          <w:lang w:eastAsia="zh-CN"/>
        </w:rPr>
      </w:pPr>
      <w:r w:rsidRPr="004725C8">
        <w:rPr>
          <w:rFonts w:ascii="Book Antiqua" w:hAnsi="Book Antiqua"/>
          <w:b/>
          <w:i/>
          <w:color w:val="auto"/>
          <w:sz w:val="24"/>
          <w:szCs w:val="24"/>
        </w:rPr>
        <w:t>CONCLUSION</w:t>
      </w:r>
    </w:p>
    <w:p w14:paraId="747BC993" w14:textId="713CDEFC"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 xml:space="preserve">These data suggest that PAR2 plays an important role in the proliferation and metastasis of hepatocellular carcinoma. Therefore, targeting PAR2 may </w:t>
      </w:r>
      <w:r w:rsidRPr="00DF6D96">
        <w:rPr>
          <w:rFonts w:ascii="Book Antiqua" w:hAnsi="Book Antiqua"/>
          <w:color w:val="auto"/>
          <w:sz w:val="24"/>
          <w:szCs w:val="24"/>
        </w:rPr>
        <w:lastRenderedPageBreak/>
        <w:t xml:space="preserve">present a favorable anticancer </w:t>
      </w:r>
      <w:r w:rsidR="003C676B" w:rsidRPr="00DF6D96">
        <w:rPr>
          <w:rFonts w:ascii="Book Antiqua" w:hAnsi="Book Antiqua"/>
          <w:color w:val="auto"/>
          <w:sz w:val="24"/>
          <w:szCs w:val="24"/>
        </w:rPr>
        <w:t>target for treatment</w:t>
      </w:r>
      <w:r w:rsidRPr="00DF6D96">
        <w:rPr>
          <w:rFonts w:ascii="Book Antiqua" w:hAnsi="Book Antiqua"/>
          <w:color w:val="auto"/>
          <w:sz w:val="24"/>
          <w:szCs w:val="24"/>
        </w:rPr>
        <w:t>.</w:t>
      </w:r>
    </w:p>
    <w:p w14:paraId="4BF0FA8C" w14:textId="77777777" w:rsidR="00C35D84" w:rsidRPr="00DF6D96" w:rsidRDefault="00C35D84" w:rsidP="0030419F">
      <w:pPr>
        <w:pStyle w:val="1"/>
        <w:adjustRightInd w:val="0"/>
        <w:snapToGrid w:val="0"/>
        <w:spacing w:line="360" w:lineRule="auto"/>
        <w:rPr>
          <w:rFonts w:ascii="Book Antiqua" w:hAnsi="Book Antiqua"/>
          <w:color w:val="auto"/>
          <w:sz w:val="24"/>
          <w:szCs w:val="24"/>
        </w:rPr>
      </w:pPr>
    </w:p>
    <w:p w14:paraId="76C8A74B" w14:textId="4CDA390C" w:rsidR="00C35D84" w:rsidRPr="00DF6D96" w:rsidRDefault="007C5683" w:rsidP="0030419F">
      <w:pPr>
        <w:pStyle w:val="1"/>
        <w:adjustRightInd w:val="0"/>
        <w:snapToGrid w:val="0"/>
        <w:spacing w:line="360" w:lineRule="auto"/>
        <w:outlineLvl w:val="0"/>
        <w:rPr>
          <w:rFonts w:ascii="Book Antiqua" w:hAnsi="Book Antiqua"/>
          <w:b/>
          <w:color w:val="auto"/>
          <w:sz w:val="24"/>
          <w:szCs w:val="24"/>
          <w:lang w:eastAsia="zh-CN"/>
        </w:rPr>
      </w:pPr>
      <w:r w:rsidRPr="00DF6D96">
        <w:rPr>
          <w:rFonts w:ascii="Book Antiqua" w:hAnsi="Book Antiqua"/>
          <w:b/>
          <w:color w:val="auto"/>
          <w:sz w:val="24"/>
          <w:szCs w:val="24"/>
        </w:rPr>
        <w:t>Key</w:t>
      </w:r>
      <w:r w:rsidR="00562C27">
        <w:rPr>
          <w:rFonts w:ascii="Book Antiqua" w:hAnsi="Book Antiqua" w:hint="eastAsia"/>
          <w:b/>
          <w:color w:val="auto"/>
          <w:sz w:val="24"/>
          <w:szCs w:val="24"/>
          <w:lang w:eastAsia="zh-CN"/>
        </w:rPr>
        <w:t xml:space="preserve"> </w:t>
      </w:r>
      <w:r w:rsidRPr="00DF6D96">
        <w:rPr>
          <w:rFonts w:ascii="Book Antiqua" w:hAnsi="Book Antiqua"/>
          <w:b/>
          <w:color w:val="auto"/>
          <w:sz w:val="24"/>
          <w:szCs w:val="24"/>
        </w:rPr>
        <w:t>words:</w:t>
      </w:r>
      <w:bookmarkStart w:id="8" w:name="1fob9te" w:colFirst="0" w:colLast="0"/>
      <w:bookmarkStart w:id="9" w:name="3znysh7" w:colFirst="0" w:colLast="0"/>
      <w:bookmarkEnd w:id="8"/>
      <w:bookmarkEnd w:id="9"/>
      <w:r w:rsidRPr="00DF6D96">
        <w:rPr>
          <w:rFonts w:ascii="Book Antiqua" w:hAnsi="Book Antiqua"/>
          <w:b/>
          <w:color w:val="auto"/>
          <w:sz w:val="24"/>
          <w:szCs w:val="24"/>
        </w:rPr>
        <w:t xml:space="preserve"> </w:t>
      </w:r>
      <w:r w:rsidR="007E0ECE" w:rsidRPr="00DF6D96">
        <w:rPr>
          <w:rFonts w:ascii="Book Antiqua" w:hAnsi="Book Antiqua"/>
          <w:color w:val="auto"/>
          <w:sz w:val="24"/>
          <w:szCs w:val="24"/>
        </w:rPr>
        <w:t xml:space="preserve">Hepatocellular carcinoma; </w:t>
      </w:r>
      <w:r w:rsidR="00DA2049" w:rsidRPr="00DF6D96">
        <w:rPr>
          <w:rFonts w:ascii="Book Antiqua" w:hAnsi="Book Antiqua"/>
          <w:color w:val="auto"/>
          <w:sz w:val="24"/>
          <w:szCs w:val="24"/>
        </w:rPr>
        <w:t>Proteinase-activated receptor-2</w:t>
      </w:r>
      <w:r w:rsidR="007E0ECE" w:rsidRPr="00DF6D96">
        <w:rPr>
          <w:rFonts w:ascii="Book Antiqua" w:hAnsi="Book Antiqua"/>
          <w:color w:val="auto"/>
          <w:sz w:val="24"/>
          <w:szCs w:val="24"/>
        </w:rPr>
        <w:t>;</w:t>
      </w:r>
      <w:r w:rsidRPr="00DF6D96">
        <w:rPr>
          <w:rFonts w:ascii="Book Antiqua" w:hAnsi="Book Antiqua"/>
          <w:color w:val="auto"/>
          <w:sz w:val="24"/>
          <w:szCs w:val="24"/>
        </w:rPr>
        <w:t xml:space="preserve"> Ep</w:t>
      </w:r>
      <w:r w:rsidR="00562C27">
        <w:rPr>
          <w:rFonts w:ascii="Book Antiqua" w:hAnsi="Book Antiqua"/>
          <w:color w:val="auto"/>
          <w:sz w:val="24"/>
          <w:szCs w:val="24"/>
        </w:rPr>
        <w:t>ithelial-mesenchymal transition</w:t>
      </w:r>
    </w:p>
    <w:p w14:paraId="412CB153" w14:textId="77777777" w:rsidR="001A389E" w:rsidRPr="00562C27" w:rsidRDefault="001A389E" w:rsidP="0030419F">
      <w:pPr>
        <w:pStyle w:val="1"/>
        <w:tabs>
          <w:tab w:val="left" w:pos="3652"/>
        </w:tabs>
        <w:adjustRightInd w:val="0"/>
        <w:snapToGrid w:val="0"/>
        <w:spacing w:line="360" w:lineRule="auto"/>
        <w:rPr>
          <w:rFonts w:ascii="Book Antiqua" w:hAnsi="Book Antiqua"/>
          <w:color w:val="auto"/>
          <w:sz w:val="24"/>
          <w:szCs w:val="24"/>
          <w:lang w:eastAsia="zh-CN"/>
        </w:rPr>
      </w:pPr>
    </w:p>
    <w:p w14:paraId="0CA6DD4B" w14:textId="77777777" w:rsidR="004725C8" w:rsidRPr="009F19CA" w:rsidRDefault="004725C8" w:rsidP="0030419F">
      <w:pPr>
        <w:adjustRightInd w:val="0"/>
        <w:snapToGrid w:val="0"/>
        <w:spacing w:line="360" w:lineRule="auto"/>
        <w:rPr>
          <w:rFonts w:ascii="Book Antiqua" w:hAnsi="Book Antiqua" w:cs="Tahoma"/>
          <w:kern w:val="2"/>
          <w:sz w:val="24"/>
          <w:szCs w:val="24"/>
          <w:lang w:eastAsia="zh-CN"/>
        </w:rPr>
      </w:pPr>
      <w:bookmarkStart w:id="10" w:name="OLE_LINK148"/>
      <w:bookmarkStart w:id="11" w:name="OLE_LINK149"/>
      <w:bookmarkStart w:id="12" w:name="OLE_LINK200"/>
      <w:bookmarkStart w:id="13" w:name="OLE_LINK288"/>
      <w:bookmarkStart w:id="14" w:name="OLE_LINK1864"/>
      <w:bookmarkStart w:id="15" w:name="OLE_LINK16"/>
      <w:bookmarkStart w:id="16" w:name="OLE_LINK382"/>
      <w:bookmarkStart w:id="17" w:name="OLE_LINK306"/>
      <w:bookmarkStart w:id="18" w:name="OLE_LINK569"/>
      <w:bookmarkStart w:id="19" w:name="OLE_LINK682"/>
      <w:r w:rsidRPr="009F19CA">
        <w:rPr>
          <w:rFonts w:ascii="Book Antiqua" w:hAnsi="Book Antiqua" w:cs="Tahoma"/>
          <w:b/>
          <w:kern w:val="2"/>
          <w:sz w:val="24"/>
          <w:szCs w:val="24"/>
          <w:lang w:eastAsia="ja-JP"/>
        </w:rPr>
        <w:t>© The Author(s) 201</w:t>
      </w:r>
      <w:r>
        <w:rPr>
          <w:rFonts w:ascii="Book Antiqua" w:hAnsi="Book Antiqua" w:cs="Tahoma" w:hint="eastAsia"/>
          <w:b/>
          <w:kern w:val="2"/>
          <w:sz w:val="24"/>
          <w:szCs w:val="24"/>
          <w:lang w:eastAsia="zh-CN"/>
        </w:rPr>
        <w:t>8</w:t>
      </w:r>
      <w:r w:rsidRPr="009F19CA">
        <w:rPr>
          <w:rFonts w:ascii="Book Antiqua" w:hAnsi="Book Antiqua" w:cs="Tahoma"/>
          <w:b/>
          <w:kern w:val="2"/>
          <w:sz w:val="24"/>
          <w:szCs w:val="24"/>
          <w:lang w:eastAsia="ja-JP"/>
        </w:rPr>
        <w:t>.</w:t>
      </w:r>
      <w:r w:rsidRPr="009F19CA">
        <w:rPr>
          <w:rFonts w:ascii="Book Antiqua" w:hAnsi="Book Antiqua" w:cs="Tahoma"/>
          <w:kern w:val="2"/>
          <w:sz w:val="24"/>
          <w:szCs w:val="24"/>
          <w:lang w:eastAsia="ja-JP"/>
        </w:rPr>
        <w:t xml:space="preserve"> Published by Baishideng Publishing Group Inc. All rights reserved.</w:t>
      </w:r>
      <w:bookmarkEnd w:id="10"/>
      <w:bookmarkEnd w:id="11"/>
      <w:bookmarkEnd w:id="12"/>
      <w:bookmarkEnd w:id="13"/>
      <w:bookmarkEnd w:id="14"/>
      <w:bookmarkEnd w:id="15"/>
      <w:bookmarkEnd w:id="16"/>
      <w:bookmarkEnd w:id="17"/>
      <w:bookmarkEnd w:id="18"/>
      <w:bookmarkEnd w:id="19"/>
    </w:p>
    <w:p w14:paraId="3D8AB0A1" w14:textId="77777777" w:rsidR="004725C8" w:rsidRPr="004725C8" w:rsidRDefault="004725C8" w:rsidP="0030419F">
      <w:pPr>
        <w:pStyle w:val="1"/>
        <w:tabs>
          <w:tab w:val="left" w:pos="3652"/>
        </w:tabs>
        <w:adjustRightInd w:val="0"/>
        <w:snapToGrid w:val="0"/>
        <w:spacing w:line="360" w:lineRule="auto"/>
        <w:rPr>
          <w:rFonts w:ascii="Book Antiqua" w:hAnsi="Book Antiqua"/>
          <w:color w:val="auto"/>
          <w:sz w:val="24"/>
          <w:szCs w:val="24"/>
          <w:lang w:eastAsia="zh-CN"/>
        </w:rPr>
      </w:pPr>
    </w:p>
    <w:p w14:paraId="6A9BA12E" w14:textId="499A3ED5" w:rsidR="001A389E" w:rsidRPr="00DF6D96" w:rsidRDefault="001A389E" w:rsidP="0030419F">
      <w:pPr>
        <w:pStyle w:val="1"/>
        <w:tabs>
          <w:tab w:val="left" w:pos="3652"/>
        </w:tabs>
        <w:adjustRightInd w:val="0"/>
        <w:snapToGrid w:val="0"/>
        <w:spacing w:line="360" w:lineRule="auto"/>
        <w:rPr>
          <w:rFonts w:ascii="Book Antiqua" w:hAnsi="Book Antiqua"/>
          <w:color w:val="auto"/>
          <w:sz w:val="24"/>
          <w:szCs w:val="24"/>
          <w:lang w:eastAsia="zh-CN"/>
        </w:rPr>
      </w:pPr>
      <w:r w:rsidRPr="00DF6D96">
        <w:rPr>
          <w:rFonts w:ascii="Book Antiqua" w:hAnsi="Book Antiqua"/>
          <w:b/>
          <w:color w:val="auto"/>
          <w:sz w:val="24"/>
          <w:szCs w:val="24"/>
        </w:rPr>
        <w:t>C</w:t>
      </w:r>
      <w:r w:rsidRPr="00DF6D96">
        <w:rPr>
          <w:rFonts w:ascii="Book Antiqua" w:hAnsi="Book Antiqua"/>
          <w:b/>
          <w:color w:val="auto"/>
          <w:sz w:val="24"/>
          <w:szCs w:val="24"/>
          <w:lang w:eastAsia="zh-CN"/>
        </w:rPr>
        <w:t>ore tip:</w:t>
      </w:r>
      <w:r w:rsidRPr="00DF6D96">
        <w:rPr>
          <w:rFonts w:ascii="Book Antiqua" w:hAnsi="Book Antiqua"/>
          <w:color w:val="auto"/>
          <w:sz w:val="24"/>
          <w:szCs w:val="24"/>
          <w:lang w:eastAsia="zh-CN"/>
        </w:rPr>
        <w:t xml:space="preserve"> </w:t>
      </w:r>
      <w:r w:rsidR="004D091F" w:rsidRPr="00DF6D96">
        <w:rPr>
          <w:rFonts w:ascii="Book Antiqua" w:hAnsi="Book Antiqua"/>
          <w:color w:val="auto"/>
          <w:sz w:val="24"/>
          <w:szCs w:val="24"/>
        </w:rPr>
        <w:t xml:space="preserve">The role of </w:t>
      </w:r>
      <w:r w:rsidR="00F7365A" w:rsidRPr="00DF6D96">
        <w:rPr>
          <w:rFonts w:ascii="Book Antiqua" w:hAnsi="Book Antiqua"/>
          <w:color w:val="auto"/>
          <w:sz w:val="24"/>
          <w:szCs w:val="24"/>
        </w:rPr>
        <w:t>proteinase-activated receptor-2</w:t>
      </w:r>
      <w:r w:rsidR="00F7365A">
        <w:rPr>
          <w:rFonts w:ascii="Book Antiqua" w:hAnsi="Book Antiqua" w:hint="eastAsia"/>
          <w:color w:val="auto"/>
          <w:sz w:val="24"/>
          <w:szCs w:val="24"/>
          <w:lang w:eastAsia="zh-CN"/>
        </w:rPr>
        <w:t xml:space="preserve"> (</w:t>
      </w:r>
      <w:r w:rsidR="004D091F" w:rsidRPr="00DF6D96">
        <w:rPr>
          <w:rFonts w:ascii="Book Antiqua" w:hAnsi="Book Antiqua"/>
          <w:color w:val="auto"/>
          <w:sz w:val="24"/>
          <w:szCs w:val="24"/>
        </w:rPr>
        <w:t>PAR2</w:t>
      </w:r>
      <w:r w:rsidR="00F7365A">
        <w:rPr>
          <w:rFonts w:ascii="Book Antiqua" w:hAnsi="Book Antiqua" w:hint="eastAsia"/>
          <w:color w:val="auto"/>
          <w:sz w:val="24"/>
          <w:szCs w:val="24"/>
          <w:lang w:eastAsia="zh-CN"/>
        </w:rPr>
        <w:t>)</w:t>
      </w:r>
      <w:r w:rsidR="004D091F" w:rsidRPr="00DF6D96">
        <w:rPr>
          <w:rFonts w:ascii="Book Antiqua" w:hAnsi="Book Antiqua"/>
          <w:color w:val="auto"/>
          <w:sz w:val="24"/>
          <w:szCs w:val="24"/>
        </w:rPr>
        <w:t xml:space="preserve"> in tumor progression especially metastasis of </w:t>
      </w:r>
      <w:r w:rsidR="001E1F08" w:rsidRPr="00DF6D96">
        <w:rPr>
          <w:rFonts w:ascii="Book Antiqua" w:hAnsi="Book Antiqua"/>
          <w:color w:val="auto"/>
          <w:sz w:val="24"/>
          <w:szCs w:val="24"/>
        </w:rPr>
        <w:t xml:space="preserve">hepatocellular carcinoma </w:t>
      </w:r>
      <w:r w:rsidR="004D091F" w:rsidRPr="00DF6D96">
        <w:rPr>
          <w:rFonts w:ascii="Book Antiqua" w:hAnsi="Book Antiqua"/>
          <w:color w:val="auto"/>
          <w:sz w:val="24"/>
          <w:szCs w:val="24"/>
        </w:rPr>
        <w:t xml:space="preserve">and how </w:t>
      </w:r>
      <w:r w:rsidR="001E1F08" w:rsidRPr="00DF6D96">
        <w:rPr>
          <w:rFonts w:ascii="Book Antiqua" w:hAnsi="Book Antiqua"/>
          <w:color w:val="auto"/>
          <w:sz w:val="24"/>
          <w:szCs w:val="24"/>
        </w:rPr>
        <w:t xml:space="preserve">is </w:t>
      </w:r>
      <w:r w:rsidR="008874C4" w:rsidRPr="00DF6D96">
        <w:rPr>
          <w:rFonts w:ascii="Book Antiqua" w:hAnsi="Book Antiqua"/>
          <w:color w:val="auto"/>
          <w:sz w:val="24"/>
          <w:szCs w:val="24"/>
        </w:rPr>
        <w:t>it be regulated is</w:t>
      </w:r>
      <w:r w:rsidR="004D091F" w:rsidRPr="00DF6D96">
        <w:rPr>
          <w:rFonts w:ascii="Book Antiqua" w:hAnsi="Book Antiqua"/>
          <w:color w:val="auto"/>
          <w:sz w:val="24"/>
          <w:szCs w:val="24"/>
        </w:rPr>
        <w:t xml:space="preserve"> still unclear. In this study, we </w:t>
      </w:r>
      <w:r w:rsidR="008874C4" w:rsidRPr="00DF6D96">
        <w:rPr>
          <w:rFonts w:ascii="Book Antiqua" w:hAnsi="Book Antiqua"/>
          <w:color w:val="auto"/>
          <w:sz w:val="24"/>
          <w:szCs w:val="24"/>
        </w:rPr>
        <w:t xml:space="preserve">found </w:t>
      </w:r>
      <w:r w:rsidR="004D091F" w:rsidRPr="00DF6D96">
        <w:rPr>
          <w:rFonts w:ascii="Book Antiqua" w:hAnsi="Book Antiqua"/>
          <w:color w:val="auto"/>
          <w:sz w:val="24"/>
          <w:szCs w:val="24"/>
        </w:rPr>
        <w:t xml:space="preserve">that PAR2 </w:t>
      </w:r>
      <w:r w:rsidR="008874C4" w:rsidRPr="00DF6D96">
        <w:rPr>
          <w:rFonts w:ascii="Book Antiqua" w:hAnsi="Book Antiqua"/>
          <w:color w:val="auto"/>
          <w:sz w:val="24"/>
          <w:szCs w:val="24"/>
        </w:rPr>
        <w:t>was upregulated</w:t>
      </w:r>
      <w:r w:rsidR="008874C4" w:rsidRPr="00DF6D96">
        <w:rPr>
          <w:rFonts w:ascii="Book Antiqua" w:hAnsi="Book Antiqua"/>
          <w:color w:val="auto"/>
          <w:sz w:val="24"/>
          <w:szCs w:val="24"/>
          <w:lang w:eastAsia="zh-CN"/>
        </w:rPr>
        <w:t xml:space="preserve"> in </w:t>
      </w:r>
      <w:r w:rsidR="004725C8">
        <w:rPr>
          <w:rFonts w:ascii="Book Antiqua" w:hAnsi="Book Antiqua" w:hint="eastAsia"/>
          <w:color w:val="auto"/>
          <w:sz w:val="24"/>
          <w:szCs w:val="24"/>
          <w:lang w:eastAsia="zh-CN"/>
        </w:rPr>
        <w:t>h</w:t>
      </w:r>
      <w:r w:rsidR="004725C8" w:rsidRPr="00DF6D96">
        <w:rPr>
          <w:rFonts w:ascii="Book Antiqua" w:hAnsi="Book Antiqua"/>
          <w:color w:val="auto"/>
          <w:sz w:val="24"/>
          <w:szCs w:val="24"/>
        </w:rPr>
        <w:t>epatocellular carcinoma</w:t>
      </w:r>
      <w:r w:rsidR="004725C8" w:rsidRPr="00DF6D96">
        <w:rPr>
          <w:rFonts w:ascii="Book Antiqua" w:hAnsi="Book Antiqua"/>
          <w:color w:val="auto"/>
          <w:sz w:val="24"/>
          <w:szCs w:val="24"/>
          <w:lang w:eastAsia="zh-CN"/>
        </w:rPr>
        <w:t xml:space="preserve"> </w:t>
      </w:r>
      <w:r w:rsidR="004725C8">
        <w:rPr>
          <w:rFonts w:ascii="Book Antiqua" w:hAnsi="Book Antiqua" w:hint="eastAsia"/>
          <w:color w:val="auto"/>
          <w:sz w:val="24"/>
          <w:szCs w:val="24"/>
          <w:lang w:eastAsia="zh-CN"/>
        </w:rPr>
        <w:t>(</w:t>
      </w:r>
      <w:r w:rsidR="008874C4" w:rsidRPr="00DF6D96">
        <w:rPr>
          <w:rFonts w:ascii="Book Antiqua" w:hAnsi="Book Antiqua"/>
          <w:color w:val="auto"/>
          <w:sz w:val="24"/>
          <w:szCs w:val="24"/>
          <w:lang w:eastAsia="zh-CN"/>
        </w:rPr>
        <w:t>HCC</w:t>
      </w:r>
      <w:r w:rsidR="004725C8">
        <w:rPr>
          <w:rFonts w:ascii="Book Antiqua" w:hAnsi="Book Antiqua" w:hint="eastAsia"/>
          <w:color w:val="auto"/>
          <w:sz w:val="24"/>
          <w:szCs w:val="24"/>
          <w:lang w:eastAsia="zh-CN"/>
        </w:rPr>
        <w:t>)</w:t>
      </w:r>
      <w:r w:rsidR="008874C4" w:rsidRPr="00DF6D96">
        <w:rPr>
          <w:rFonts w:ascii="Book Antiqua" w:hAnsi="Book Antiqua"/>
          <w:color w:val="auto"/>
          <w:sz w:val="24"/>
          <w:szCs w:val="24"/>
          <w:lang w:eastAsia="zh-CN"/>
        </w:rPr>
        <w:t xml:space="preserve"> tumor tissues </w:t>
      </w:r>
      <w:r w:rsidR="004D091F" w:rsidRPr="00DF6D96">
        <w:rPr>
          <w:rFonts w:ascii="Book Antiqua" w:hAnsi="Book Antiqua"/>
          <w:color w:val="auto"/>
          <w:sz w:val="24"/>
          <w:szCs w:val="24"/>
        </w:rPr>
        <w:t xml:space="preserve">and related with poor prognosis in HCC patients. In addition, </w:t>
      </w:r>
      <w:r w:rsidR="008874C4" w:rsidRPr="00DF6D96">
        <w:rPr>
          <w:rFonts w:ascii="Book Antiqua" w:hAnsi="Book Antiqua"/>
          <w:color w:val="auto"/>
          <w:sz w:val="24"/>
          <w:szCs w:val="24"/>
        </w:rPr>
        <w:t xml:space="preserve">we proved that </w:t>
      </w:r>
      <w:r w:rsidR="004D091F" w:rsidRPr="00DF6D96">
        <w:rPr>
          <w:rFonts w:ascii="Book Antiqua" w:hAnsi="Book Antiqua"/>
          <w:color w:val="auto"/>
          <w:sz w:val="24"/>
          <w:szCs w:val="24"/>
        </w:rPr>
        <w:t xml:space="preserve">PAR2 </w:t>
      </w:r>
      <w:r w:rsidR="008874C4" w:rsidRPr="00DF6D96">
        <w:rPr>
          <w:rFonts w:ascii="Book Antiqua" w:hAnsi="Book Antiqua"/>
          <w:color w:val="auto"/>
          <w:sz w:val="24"/>
          <w:szCs w:val="24"/>
        </w:rPr>
        <w:t xml:space="preserve">could not only </w:t>
      </w:r>
      <w:r w:rsidR="004D091F" w:rsidRPr="00DF6D96">
        <w:rPr>
          <w:rFonts w:ascii="Book Antiqua" w:hAnsi="Book Antiqua"/>
          <w:color w:val="auto"/>
          <w:sz w:val="24"/>
          <w:szCs w:val="24"/>
        </w:rPr>
        <w:t xml:space="preserve">promote </w:t>
      </w:r>
      <w:r w:rsidR="008874C4" w:rsidRPr="00DF6D96">
        <w:rPr>
          <w:rFonts w:ascii="Book Antiqua" w:hAnsi="Book Antiqua"/>
          <w:color w:val="auto"/>
          <w:sz w:val="24"/>
          <w:szCs w:val="24"/>
        </w:rPr>
        <w:t xml:space="preserve">the </w:t>
      </w:r>
      <w:r w:rsidR="004D091F" w:rsidRPr="00DF6D96">
        <w:rPr>
          <w:rFonts w:ascii="Book Antiqua" w:hAnsi="Book Antiqua"/>
          <w:color w:val="auto"/>
          <w:sz w:val="24"/>
          <w:szCs w:val="24"/>
        </w:rPr>
        <w:t xml:space="preserve">proliferation and metastasis </w:t>
      </w:r>
      <w:r w:rsidR="008874C4" w:rsidRPr="00DF6D96">
        <w:rPr>
          <w:rFonts w:ascii="Book Antiqua" w:hAnsi="Book Antiqua"/>
          <w:color w:val="auto"/>
          <w:sz w:val="24"/>
          <w:szCs w:val="24"/>
        </w:rPr>
        <w:t xml:space="preserve">ability </w:t>
      </w:r>
      <w:r w:rsidR="004D091F" w:rsidRPr="00DF6D96">
        <w:rPr>
          <w:rFonts w:ascii="Book Antiqua" w:hAnsi="Book Antiqua"/>
          <w:color w:val="auto"/>
          <w:sz w:val="24"/>
          <w:szCs w:val="24"/>
        </w:rPr>
        <w:t xml:space="preserve">of SMMC-7721 and HepG2 cells </w:t>
      </w:r>
      <w:r w:rsidR="008874C4" w:rsidRPr="00DF6D96">
        <w:rPr>
          <w:rFonts w:ascii="Book Antiqua" w:hAnsi="Book Antiqua"/>
          <w:i/>
          <w:color w:val="auto"/>
          <w:sz w:val="24"/>
          <w:szCs w:val="24"/>
        </w:rPr>
        <w:t>in vitro</w:t>
      </w:r>
      <w:r w:rsidR="008874C4" w:rsidRPr="00DF6D96">
        <w:rPr>
          <w:rFonts w:ascii="Book Antiqua" w:hAnsi="Book Antiqua"/>
          <w:color w:val="auto"/>
          <w:sz w:val="24"/>
          <w:szCs w:val="24"/>
        </w:rPr>
        <w:t xml:space="preserve">, but also promoted </w:t>
      </w:r>
      <w:r w:rsidR="00D67BF0" w:rsidRPr="00DF6D96">
        <w:rPr>
          <w:rFonts w:ascii="Book Antiqua" w:hAnsi="Book Antiqua"/>
          <w:color w:val="auto"/>
          <w:sz w:val="24"/>
          <w:szCs w:val="24"/>
        </w:rPr>
        <w:t>xenograft tumor growth and HCC</w:t>
      </w:r>
      <w:r w:rsidR="00D67BF0" w:rsidRPr="00DF6D96">
        <w:rPr>
          <w:rFonts w:ascii="Book Antiqua" w:hAnsi="Book Antiqua"/>
          <w:color w:val="auto"/>
          <w:sz w:val="24"/>
          <w:szCs w:val="24"/>
          <w:lang w:eastAsia="zh-CN"/>
        </w:rPr>
        <w:t xml:space="preserve"> cell liver metastasis </w:t>
      </w:r>
      <w:r w:rsidR="00D67BF0" w:rsidRPr="00DF6D96">
        <w:rPr>
          <w:rFonts w:ascii="Book Antiqua" w:hAnsi="Book Antiqua"/>
          <w:i/>
          <w:color w:val="auto"/>
          <w:sz w:val="24"/>
          <w:szCs w:val="24"/>
          <w:lang w:eastAsia="zh-CN"/>
        </w:rPr>
        <w:t>in vivo</w:t>
      </w:r>
      <w:r w:rsidR="00D67BF0" w:rsidRPr="00DF6D96">
        <w:rPr>
          <w:rFonts w:ascii="Book Antiqua" w:hAnsi="Book Antiqua"/>
          <w:color w:val="auto"/>
          <w:sz w:val="24"/>
          <w:szCs w:val="24"/>
          <w:lang w:eastAsia="zh-CN"/>
        </w:rPr>
        <w:t>.</w:t>
      </w:r>
      <w:r w:rsidR="004D091F" w:rsidRPr="00DF6D96">
        <w:rPr>
          <w:rFonts w:ascii="Book Antiqua" w:hAnsi="Book Antiqua"/>
          <w:color w:val="auto"/>
          <w:sz w:val="24"/>
          <w:szCs w:val="24"/>
        </w:rPr>
        <w:t xml:space="preserve"> </w:t>
      </w:r>
      <w:r w:rsidR="00D67BF0" w:rsidRPr="00DF6D96">
        <w:rPr>
          <w:rFonts w:ascii="Book Antiqua" w:hAnsi="Book Antiqua"/>
          <w:color w:val="auto"/>
          <w:sz w:val="24"/>
          <w:szCs w:val="24"/>
        </w:rPr>
        <w:t>T</w:t>
      </w:r>
      <w:r w:rsidR="00D67BF0" w:rsidRPr="00DF6D96">
        <w:rPr>
          <w:rFonts w:ascii="Book Antiqua" w:hAnsi="Book Antiqua"/>
          <w:color w:val="auto"/>
          <w:sz w:val="24"/>
          <w:szCs w:val="24"/>
          <w:lang w:eastAsia="zh-CN"/>
        </w:rPr>
        <w:t xml:space="preserve">hese effects were mediated by the </w:t>
      </w:r>
      <w:r w:rsidR="00D67BF0" w:rsidRPr="00DF6D96">
        <w:rPr>
          <w:rFonts w:ascii="Book Antiqua" w:hAnsi="Book Antiqua"/>
          <w:color w:val="auto"/>
          <w:sz w:val="24"/>
          <w:szCs w:val="24"/>
        </w:rPr>
        <w:t>activation of ERK, which further</w:t>
      </w:r>
      <w:r w:rsidR="004D091F" w:rsidRPr="00DF6D96">
        <w:rPr>
          <w:rFonts w:ascii="Book Antiqua" w:hAnsi="Book Antiqua"/>
          <w:color w:val="auto"/>
          <w:sz w:val="24"/>
          <w:szCs w:val="24"/>
        </w:rPr>
        <w:t xml:space="preserve"> </w:t>
      </w:r>
      <w:r w:rsidR="00D67BF0" w:rsidRPr="00DF6D96">
        <w:rPr>
          <w:rFonts w:ascii="Book Antiqua" w:hAnsi="Book Antiqua"/>
          <w:color w:val="auto"/>
          <w:sz w:val="24"/>
          <w:szCs w:val="24"/>
        </w:rPr>
        <w:t xml:space="preserve">induced </w:t>
      </w:r>
      <w:r w:rsidR="00F7365A" w:rsidRPr="00DF6D96">
        <w:rPr>
          <w:rFonts w:ascii="Book Antiqua" w:hAnsi="Book Antiqua"/>
          <w:color w:val="auto"/>
          <w:sz w:val="24"/>
          <w:szCs w:val="24"/>
        </w:rPr>
        <w:t>epithelial-mesenchymal transition</w:t>
      </w:r>
      <w:r w:rsidR="00D67BF0" w:rsidRPr="00DF6D96">
        <w:rPr>
          <w:rFonts w:ascii="Book Antiqua" w:hAnsi="Book Antiqua"/>
          <w:color w:val="auto"/>
          <w:sz w:val="24"/>
          <w:szCs w:val="24"/>
        </w:rPr>
        <w:t xml:space="preserve"> of HCC cells</w:t>
      </w:r>
      <w:r w:rsidR="004D091F" w:rsidRPr="00DF6D96">
        <w:rPr>
          <w:rFonts w:ascii="Book Antiqua" w:hAnsi="Book Antiqua"/>
          <w:color w:val="auto"/>
          <w:sz w:val="24"/>
          <w:szCs w:val="24"/>
        </w:rPr>
        <w:t>.</w:t>
      </w:r>
    </w:p>
    <w:p w14:paraId="0AC6F1AB" w14:textId="6F834E5B" w:rsidR="00C35D84" w:rsidRDefault="00C35D84" w:rsidP="0030419F">
      <w:pPr>
        <w:pStyle w:val="1"/>
        <w:tabs>
          <w:tab w:val="left" w:pos="3652"/>
        </w:tabs>
        <w:adjustRightInd w:val="0"/>
        <w:snapToGrid w:val="0"/>
        <w:spacing w:line="360" w:lineRule="auto"/>
        <w:rPr>
          <w:rFonts w:ascii="Book Antiqua" w:hAnsi="Book Antiqua"/>
          <w:color w:val="auto"/>
          <w:sz w:val="24"/>
          <w:szCs w:val="24"/>
          <w:lang w:eastAsia="zh-CN"/>
        </w:rPr>
      </w:pPr>
    </w:p>
    <w:p w14:paraId="22ED0B79" w14:textId="59FBCA82" w:rsidR="004725C8" w:rsidRPr="004725C8" w:rsidRDefault="004725C8" w:rsidP="0030419F">
      <w:pPr>
        <w:pStyle w:val="1"/>
        <w:adjustRightInd w:val="0"/>
        <w:snapToGrid w:val="0"/>
        <w:spacing w:line="360" w:lineRule="auto"/>
        <w:rPr>
          <w:rFonts w:ascii="Book Antiqua" w:hAnsi="Book Antiqua"/>
          <w:b/>
          <w:color w:val="auto"/>
          <w:sz w:val="24"/>
          <w:szCs w:val="24"/>
          <w:lang w:eastAsia="zh-CN"/>
        </w:rPr>
      </w:pPr>
      <w:bookmarkStart w:id="20" w:name="OLE_LINK663"/>
      <w:bookmarkStart w:id="21" w:name="OLE_LINK664"/>
      <w:r w:rsidRPr="004725C8">
        <w:rPr>
          <w:rFonts w:ascii="Book Antiqua" w:hAnsi="Book Antiqua"/>
          <w:sz w:val="24"/>
          <w:szCs w:val="24"/>
        </w:rPr>
        <w:t>Sun</w:t>
      </w:r>
      <w:r>
        <w:rPr>
          <w:rFonts w:ascii="Book Antiqua" w:hAnsi="Book Antiqua" w:hint="eastAsia"/>
          <w:sz w:val="24"/>
          <w:szCs w:val="24"/>
          <w:lang w:eastAsia="zh-CN"/>
        </w:rPr>
        <w:t xml:space="preserve"> L</w:t>
      </w:r>
      <w:r>
        <w:rPr>
          <w:rFonts w:ascii="Book Antiqua" w:hAnsi="Book Antiqua"/>
          <w:sz w:val="24"/>
          <w:szCs w:val="24"/>
        </w:rPr>
        <w:t xml:space="preserve">, </w:t>
      </w:r>
      <w:r w:rsidRPr="004725C8">
        <w:rPr>
          <w:rFonts w:ascii="Book Antiqua" w:hAnsi="Book Antiqua"/>
          <w:sz w:val="24"/>
          <w:szCs w:val="24"/>
        </w:rPr>
        <w:t>Li</w:t>
      </w:r>
      <w:r>
        <w:rPr>
          <w:rFonts w:ascii="Book Antiqua" w:hAnsi="Book Antiqua" w:hint="eastAsia"/>
          <w:sz w:val="24"/>
          <w:szCs w:val="24"/>
          <w:lang w:eastAsia="zh-CN"/>
        </w:rPr>
        <w:t xml:space="preserve"> PB</w:t>
      </w:r>
      <w:r>
        <w:rPr>
          <w:rFonts w:ascii="Book Antiqua" w:hAnsi="Book Antiqua"/>
          <w:sz w:val="24"/>
          <w:szCs w:val="24"/>
        </w:rPr>
        <w:t xml:space="preserve">, </w:t>
      </w:r>
      <w:r w:rsidRPr="004725C8">
        <w:rPr>
          <w:rFonts w:ascii="Book Antiqua" w:hAnsi="Book Antiqua"/>
          <w:sz w:val="24"/>
          <w:szCs w:val="24"/>
        </w:rPr>
        <w:t>Yao</w:t>
      </w:r>
      <w:r>
        <w:rPr>
          <w:rFonts w:ascii="Book Antiqua" w:hAnsi="Book Antiqua" w:hint="eastAsia"/>
          <w:sz w:val="24"/>
          <w:szCs w:val="24"/>
          <w:lang w:eastAsia="zh-CN"/>
        </w:rPr>
        <w:t xml:space="preserve"> YF</w:t>
      </w:r>
      <w:r>
        <w:rPr>
          <w:rFonts w:ascii="Book Antiqua" w:hAnsi="Book Antiqua"/>
          <w:sz w:val="24"/>
          <w:szCs w:val="24"/>
        </w:rPr>
        <w:t xml:space="preserve">, </w:t>
      </w:r>
      <w:r w:rsidRPr="004725C8">
        <w:rPr>
          <w:rFonts w:ascii="Book Antiqua" w:hAnsi="Book Antiqua"/>
          <w:sz w:val="24"/>
          <w:szCs w:val="24"/>
        </w:rPr>
        <w:t>Xiu</w:t>
      </w:r>
      <w:r>
        <w:rPr>
          <w:rFonts w:ascii="Book Antiqua" w:hAnsi="Book Antiqua" w:hint="eastAsia"/>
          <w:sz w:val="24"/>
          <w:szCs w:val="24"/>
          <w:lang w:eastAsia="zh-CN"/>
        </w:rPr>
        <w:t xml:space="preserve"> AY</w:t>
      </w:r>
      <w:r w:rsidRPr="004725C8">
        <w:rPr>
          <w:rFonts w:ascii="Book Antiqua" w:hAnsi="Book Antiqua"/>
          <w:sz w:val="24"/>
          <w:szCs w:val="24"/>
        </w:rPr>
        <w:t>, Peng</w:t>
      </w:r>
      <w:r>
        <w:rPr>
          <w:rFonts w:ascii="Book Antiqua" w:hAnsi="Book Antiqua" w:hint="eastAsia"/>
          <w:sz w:val="24"/>
          <w:szCs w:val="24"/>
          <w:lang w:eastAsia="zh-CN"/>
        </w:rPr>
        <w:t xml:space="preserve"> Z</w:t>
      </w:r>
      <w:r w:rsidRPr="004725C8">
        <w:rPr>
          <w:rFonts w:ascii="Book Antiqua" w:hAnsi="Book Antiqua"/>
          <w:sz w:val="24"/>
          <w:szCs w:val="24"/>
        </w:rPr>
        <w:t>, Bai</w:t>
      </w:r>
      <w:r>
        <w:rPr>
          <w:rFonts w:ascii="Book Antiqua" w:hAnsi="Book Antiqua" w:hint="eastAsia"/>
          <w:sz w:val="24"/>
          <w:szCs w:val="24"/>
          <w:lang w:eastAsia="zh-CN"/>
        </w:rPr>
        <w:t xml:space="preserve"> YH</w:t>
      </w:r>
      <w:r w:rsidRPr="004725C8">
        <w:rPr>
          <w:rFonts w:ascii="Book Antiqua" w:hAnsi="Book Antiqua"/>
          <w:sz w:val="24"/>
          <w:szCs w:val="24"/>
        </w:rPr>
        <w:t>, Gao</w:t>
      </w:r>
      <w:r>
        <w:rPr>
          <w:rFonts w:ascii="Book Antiqua" w:hAnsi="Book Antiqua" w:hint="eastAsia"/>
          <w:sz w:val="24"/>
          <w:szCs w:val="24"/>
          <w:lang w:eastAsia="zh-CN"/>
        </w:rPr>
        <w:t xml:space="preserve"> YJ.</w:t>
      </w:r>
      <w:r w:rsidRPr="009F19CA">
        <w:rPr>
          <w:rFonts w:ascii="Book Antiqua" w:hAnsi="Book Antiqua"/>
          <w:sz w:val="24"/>
          <w:szCs w:val="24"/>
          <w:lang w:eastAsia="zh-CN"/>
        </w:rPr>
        <w:t xml:space="preserve"> </w:t>
      </w:r>
      <w:bookmarkStart w:id="22" w:name="OLE_LINK73"/>
      <w:bookmarkStart w:id="23" w:name="OLE_LINK74"/>
      <w:bookmarkStart w:id="24" w:name="OLE_LINK154"/>
      <w:bookmarkStart w:id="25" w:name="OLE_LINK289"/>
      <w:bookmarkStart w:id="26" w:name="OLE_LINK1826"/>
      <w:bookmarkStart w:id="27" w:name="OLE_LINK26"/>
      <w:bookmarkStart w:id="28" w:name="OLE_LINK385"/>
      <w:bookmarkStart w:id="29" w:name="OLE_LINK309"/>
      <w:bookmarkStart w:id="30" w:name="OLE_LINK424"/>
      <w:bookmarkStart w:id="31" w:name="OLE_LINK572"/>
      <w:bookmarkStart w:id="32" w:name="OLE_LINK577"/>
      <w:r w:rsidR="00CA58F2" w:rsidRPr="00CA58F2">
        <w:rPr>
          <w:rFonts w:ascii="Book Antiqua" w:hAnsi="Book Antiqua"/>
          <w:color w:val="auto"/>
          <w:sz w:val="24"/>
          <w:szCs w:val="24"/>
        </w:rPr>
        <w:t>Proteinase-activated receptor-2 promotes tumor cell proliferation and metastasis by inducing epithelial-mesenchymal transition and predicts poor prognosis in hepatocellular carcinoma</w:t>
      </w:r>
      <w:r w:rsidR="00CA58F2">
        <w:rPr>
          <w:rFonts w:ascii="Book Antiqua" w:hAnsi="Book Antiqua" w:hint="eastAsia"/>
          <w:color w:val="auto"/>
          <w:sz w:val="24"/>
          <w:szCs w:val="24"/>
          <w:lang w:eastAsia="zh-CN"/>
        </w:rPr>
        <w:t>.</w:t>
      </w:r>
      <w:r>
        <w:rPr>
          <w:rFonts w:ascii="Book Antiqua" w:hAnsi="Book Antiqua" w:hint="eastAsia"/>
          <w:color w:val="auto"/>
          <w:sz w:val="24"/>
          <w:szCs w:val="24"/>
          <w:lang w:eastAsia="zh-CN"/>
        </w:rPr>
        <w:t xml:space="preserve"> </w:t>
      </w:r>
      <w:r w:rsidRPr="009F19CA">
        <w:rPr>
          <w:rFonts w:ascii="Book Antiqua" w:hAnsi="Book Antiqua"/>
          <w:i/>
          <w:kern w:val="2"/>
          <w:sz w:val="24"/>
          <w:szCs w:val="24"/>
          <w:lang w:eastAsia="zh-CN"/>
        </w:rPr>
        <w:t>World J Gastroenterol</w:t>
      </w:r>
      <w:r w:rsidRPr="009F19CA">
        <w:rPr>
          <w:rFonts w:ascii="Book Antiqua" w:hAnsi="Book Antiqua"/>
          <w:kern w:val="2"/>
          <w:sz w:val="24"/>
          <w:szCs w:val="24"/>
          <w:lang w:eastAsia="zh-CN"/>
        </w:rPr>
        <w:t xml:space="preserve"> 201</w:t>
      </w:r>
      <w:r>
        <w:rPr>
          <w:rFonts w:ascii="Book Antiqua" w:hAnsi="Book Antiqua" w:hint="eastAsia"/>
          <w:kern w:val="2"/>
          <w:sz w:val="24"/>
          <w:szCs w:val="24"/>
          <w:lang w:eastAsia="zh-CN"/>
        </w:rPr>
        <w:t>8</w:t>
      </w:r>
      <w:r w:rsidRPr="009F19CA">
        <w:rPr>
          <w:rFonts w:ascii="Book Antiqua" w:hAnsi="Book Antiqua"/>
          <w:kern w:val="2"/>
          <w:sz w:val="24"/>
          <w:szCs w:val="24"/>
          <w:lang w:eastAsia="zh-CN"/>
        </w:rPr>
        <w:t>; In press</w:t>
      </w:r>
      <w:bookmarkEnd w:id="22"/>
      <w:bookmarkEnd w:id="23"/>
      <w:bookmarkEnd w:id="24"/>
      <w:bookmarkEnd w:id="25"/>
      <w:bookmarkEnd w:id="26"/>
      <w:bookmarkEnd w:id="27"/>
      <w:bookmarkEnd w:id="28"/>
      <w:bookmarkEnd w:id="29"/>
      <w:bookmarkEnd w:id="30"/>
      <w:bookmarkEnd w:id="31"/>
      <w:bookmarkEnd w:id="32"/>
    </w:p>
    <w:bookmarkEnd w:id="20"/>
    <w:bookmarkEnd w:id="21"/>
    <w:p w14:paraId="77B62D19" w14:textId="77777777" w:rsidR="004725C8" w:rsidRPr="00DF6D96" w:rsidRDefault="004725C8" w:rsidP="0030419F">
      <w:pPr>
        <w:pStyle w:val="1"/>
        <w:tabs>
          <w:tab w:val="left" w:pos="3652"/>
        </w:tabs>
        <w:adjustRightInd w:val="0"/>
        <w:snapToGrid w:val="0"/>
        <w:spacing w:line="360" w:lineRule="auto"/>
        <w:rPr>
          <w:rFonts w:ascii="Book Antiqua" w:hAnsi="Book Antiqua"/>
          <w:color w:val="auto"/>
          <w:sz w:val="24"/>
          <w:szCs w:val="24"/>
          <w:lang w:eastAsia="zh-CN"/>
        </w:rPr>
      </w:pPr>
    </w:p>
    <w:p w14:paraId="174E1B81" w14:textId="77777777" w:rsidR="00562C27" w:rsidRDefault="00562C27" w:rsidP="0030419F">
      <w:pPr>
        <w:snapToGrid w:val="0"/>
        <w:spacing w:line="360" w:lineRule="auto"/>
        <w:rPr>
          <w:rFonts w:ascii="Book Antiqua" w:hAnsi="Book Antiqua"/>
          <w:b/>
          <w:color w:val="auto"/>
          <w:sz w:val="24"/>
          <w:szCs w:val="24"/>
        </w:rPr>
      </w:pPr>
      <w:r>
        <w:rPr>
          <w:rFonts w:ascii="Book Antiqua" w:hAnsi="Book Antiqua"/>
          <w:b/>
          <w:color w:val="auto"/>
          <w:sz w:val="24"/>
          <w:szCs w:val="24"/>
        </w:rPr>
        <w:br w:type="page"/>
      </w:r>
    </w:p>
    <w:p w14:paraId="0D31E5B2" w14:textId="6ACB60D1" w:rsidR="00C35D84" w:rsidRPr="00DF6D96" w:rsidRDefault="004725C8" w:rsidP="0030419F">
      <w:pPr>
        <w:pStyle w:val="1"/>
        <w:adjustRightInd w:val="0"/>
        <w:snapToGrid w:val="0"/>
        <w:spacing w:line="360" w:lineRule="auto"/>
        <w:outlineLvl w:val="0"/>
        <w:rPr>
          <w:rFonts w:ascii="Book Antiqua" w:hAnsi="Book Antiqua"/>
          <w:b/>
          <w:color w:val="auto"/>
          <w:sz w:val="24"/>
          <w:szCs w:val="24"/>
          <w:lang w:eastAsia="zh-CN"/>
        </w:rPr>
      </w:pPr>
      <w:r w:rsidRPr="00DF6D96">
        <w:rPr>
          <w:rFonts w:ascii="Book Antiqua" w:hAnsi="Book Antiqua"/>
          <w:b/>
          <w:color w:val="auto"/>
          <w:sz w:val="24"/>
          <w:szCs w:val="24"/>
        </w:rPr>
        <w:lastRenderedPageBreak/>
        <w:t>I</w:t>
      </w:r>
      <w:r w:rsidRPr="00DF6D96">
        <w:rPr>
          <w:rFonts w:ascii="Book Antiqua" w:hAnsi="Book Antiqua"/>
          <w:b/>
          <w:color w:val="auto"/>
          <w:sz w:val="24"/>
          <w:szCs w:val="24"/>
          <w:lang w:eastAsia="zh-CN"/>
        </w:rPr>
        <w:t>NTRODUCTION</w:t>
      </w:r>
    </w:p>
    <w:p w14:paraId="4E459676" w14:textId="5EC4255C"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Hepatocellular carcinoma (HCC) is one of the mos</w:t>
      </w:r>
      <w:r w:rsidR="004725C8">
        <w:rPr>
          <w:rFonts w:ascii="Book Antiqua" w:hAnsi="Book Antiqua"/>
          <w:color w:val="auto"/>
          <w:sz w:val="24"/>
          <w:szCs w:val="24"/>
        </w:rPr>
        <w:t>t common malignancies worldwide</w:t>
      </w:r>
      <w:r w:rsidRPr="00DF6D96">
        <w:rPr>
          <w:rFonts w:ascii="Book Antiqua" w:hAnsi="Book Antiqua"/>
          <w:color w:val="auto"/>
          <w:sz w:val="24"/>
          <w:szCs w:val="24"/>
          <w:vertAlign w:val="superscript"/>
        </w:rPr>
        <w:t>[</w:t>
      </w:r>
      <w:hyperlink w:anchor="_49x2ik5">
        <w:r w:rsidRPr="00DF6D96">
          <w:rPr>
            <w:rFonts w:ascii="Book Antiqua" w:hAnsi="Book Antiqua"/>
            <w:color w:val="auto"/>
            <w:sz w:val="24"/>
            <w:szCs w:val="24"/>
            <w:vertAlign w:val="superscript"/>
          </w:rPr>
          <w:t>1</w:t>
        </w:r>
      </w:hyperlink>
      <w:r w:rsidRPr="00DF6D96">
        <w:rPr>
          <w:rFonts w:ascii="Book Antiqua" w:hAnsi="Book Antiqua"/>
          <w:color w:val="auto"/>
          <w:sz w:val="24"/>
          <w:szCs w:val="24"/>
          <w:vertAlign w:val="superscript"/>
        </w:rPr>
        <w:t>,</w:t>
      </w:r>
      <w:hyperlink w:anchor="_2p2csry">
        <w:r w:rsidRPr="00DF6D96">
          <w:rPr>
            <w:rFonts w:ascii="Book Antiqua" w:hAnsi="Book Antiqua"/>
            <w:color w:val="auto"/>
            <w:sz w:val="24"/>
            <w:szCs w:val="24"/>
            <w:vertAlign w:val="superscript"/>
          </w:rPr>
          <w:t>2</w:t>
        </w:r>
      </w:hyperlink>
      <w:r w:rsidR="00A3073D"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Surgical resection is the main strategy </w:t>
      </w:r>
      <w:r w:rsidR="004725C8">
        <w:rPr>
          <w:rFonts w:ascii="Book Antiqua" w:hAnsi="Book Antiqua"/>
          <w:color w:val="auto"/>
          <w:sz w:val="24"/>
          <w:szCs w:val="24"/>
        </w:rPr>
        <w:t>for treating this deadly lesion</w:t>
      </w:r>
      <w:r w:rsidRPr="00DF6D96">
        <w:rPr>
          <w:rFonts w:ascii="Book Antiqua" w:hAnsi="Book Antiqua"/>
          <w:color w:val="auto"/>
          <w:sz w:val="24"/>
          <w:szCs w:val="24"/>
          <w:vertAlign w:val="superscript"/>
        </w:rPr>
        <w:t>[</w:t>
      </w:r>
      <w:hyperlink w:anchor="_147n2zr">
        <w:r w:rsidRPr="00DF6D96">
          <w:rPr>
            <w:rFonts w:ascii="Book Antiqua" w:hAnsi="Book Antiqua"/>
            <w:color w:val="auto"/>
            <w:sz w:val="24"/>
            <w:szCs w:val="24"/>
            <w:vertAlign w:val="superscript"/>
          </w:rPr>
          <w:t>3</w:t>
        </w:r>
      </w:hyperlink>
      <w:r w:rsidR="000A7641" w:rsidRPr="00DF6D96">
        <w:rPr>
          <w:rFonts w:ascii="Book Antiqua" w:hAnsi="Book Antiqua"/>
          <w:color w:val="auto"/>
          <w:sz w:val="24"/>
          <w:szCs w:val="24"/>
          <w:vertAlign w:val="superscript"/>
        </w:rPr>
        <w:t>]</w:t>
      </w:r>
      <w:r w:rsidR="000A7641" w:rsidRPr="00DF6D96">
        <w:rPr>
          <w:rFonts w:ascii="Book Antiqua" w:hAnsi="Book Antiqua"/>
          <w:color w:val="auto"/>
          <w:sz w:val="24"/>
          <w:szCs w:val="24"/>
          <w:lang w:eastAsia="zh-CN"/>
        </w:rPr>
        <w:t>.</w:t>
      </w:r>
      <w:r w:rsidRPr="00DF6D96">
        <w:rPr>
          <w:rFonts w:ascii="Book Antiqua" w:hAnsi="Book Antiqua"/>
          <w:color w:val="auto"/>
          <w:sz w:val="24"/>
          <w:szCs w:val="24"/>
        </w:rPr>
        <w:t xml:space="preserve"> </w:t>
      </w:r>
      <w:r w:rsidR="000A7641" w:rsidRPr="00DF6D96">
        <w:rPr>
          <w:rFonts w:ascii="Book Antiqua" w:hAnsi="Book Antiqua"/>
          <w:color w:val="auto"/>
          <w:sz w:val="24"/>
          <w:szCs w:val="24"/>
          <w:lang w:eastAsia="zh-CN"/>
        </w:rPr>
        <w:t>U</w:t>
      </w:r>
      <w:r w:rsidRPr="00DF6D96">
        <w:rPr>
          <w:rFonts w:ascii="Book Antiqua" w:hAnsi="Book Antiqua"/>
          <w:color w:val="auto"/>
          <w:sz w:val="24"/>
          <w:szCs w:val="24"/>
        </w:rPr>
        <w:t>nfortunately, intrahepatic and extrahepatic metastases often occur in progressive and recurrent patients,</w:t>
      </w:r>
      <w:r w:rsidR="004725C8">
        <w:rPr>
          <w:rFonts w:ascii="Book Antiqua" w:hAnsi="Book Antiqua"/>
          <w:color w:val="auto"/>
          <w:sz w:val="24"/>
          <w:szCs w:val="24"/>
        </w:rPr>
        <w:t xml:space="preserve"> thus leading to poor prognoses</w:t>
      </w:r>
      <w:r w:rsidRPr="00DF6D96">
        <w:rPr>
          <w:rFonts w:ascii="Book Antiqua" w:hAnsi="Book Antiqua"/>
          <w:color w:val="auto"/>
          <w:sz w:val="24"/>
          <w:szCs w:val="24"/>
          <w:vertAlign w:val="superscript"/>
        </w:rPr>
        <w:t>[</w:t>
      </w:r>
      <w:hyperlink w:anchor="_3o7alnk">
        <w:r w:rsidRPr="00DF6D96">
          <w:rPr>
            <w:rFonts w:ascii="Book Antiqua" w:hAnsi="Book Antiqua"/>
            <w:color w:val="auto"/>
            <w:sz w:val="24"/>
            <w:szCs w:val="24"/>
            <w:vertAlign w:val="superscript"/>
          </w:rPr>
          <w:t>4</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Metastasis is a comprehensive process that facilitates cancer cell transition from a primary lesion to a metastatic foc</w:t>
      </w:r>
      <w:r w:rsidR="00157A9B" w:rsidRPr="00DF6D96">
        <w:rPr>
          <w:rFonts w:ascii="Book Antiqua" w:hAnsi="Book Antiqua"/>
          <w:color w:val="auto"/>
          <w:sz w:val="24"/>
          <w:szCs w:val="24"/>
        </w:rPr>
        <w:t>us</w:t>
      </w:r>
      <w:r w:rsidRPr="00DF6D96">
        <w:rPr>
          <w:rFonts w:ascii="Book Antiqua" w:hAnsi="Book Antiqua"/>
          <w:color w:val="auto"/>
          <w:sz w:val="24"/>
          <w:szCs w:val="24"/>
        </w:rPr>
        <w:t>. Many intrinsic cellular characteristics and extrinsic microenvironmental factors influence the metastatic</w:t>
      </w:r>
      <w:r w:rsidR="004725C8">
        <w:rPr>
          <w:rFonts w:ascii="Book Antiqua" w:hAnsi="Book Antiqua"/>
          <w:color w:val="auto"/>
          <w:sz w:val="24"/>
          <w:szCs w:val="24"/>
        </w:rPr>
        <w:t xml:space="preserve"> potential of HCC cells</w:t>
      </w:r>
      <w:r w:rsidRPr="00DF6D96">
        <w:rPr>
          <w:rFonts w:ascii="Book Antiqua" w:hAnsi="Book Antiqua"/>
          <w:color w:val="auto"/>
          <w:sz w:val="24"/>
          <w:szCs w:val="24"/>
          <w:vertAlign w:val="superscript"/>
        </w:rPr>
        <w:t>[</w:t>
      </w:r>
      <w:hyperlink w:anchor="_23ckvvd">
        <w:r w:rsidRPr="00DF6D96">
          <w:rPr>
            <w:rFonts w:ascii="Book Antiqua" w:hAnsi="Book Antiqua"/>
            <w:color w:val="auto"/>
            <w:sz w:val="24"/>
            <w:szCs w:val="24"/>
            <w:vertAlign w:val="superscript"/>
          </w:rPr>
          <w:t>5</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However, the underlying mechanisms that facilitate this process remain largely unknown, therefore</w:t>
      </w:r>
      <w:r w:rsidR="00157A9B" w:rsidRPr="00DF6D96">
        <w:rPr>
          <w:rFonts w:ascii="Book Antiqua" w:hAnsi="Book Antiqua"/>
          <w:color w:val="auto"/>
          <w:sz w:val="24"/>
          <w:szCs w:val="24"/>
        </w:rPr>
        <w:t xml:space="preserve">, it is critical to </w:t>
      </w:r>
      <w:r w:rsidRPr="00DF6D96">
        <w:rPr>
          <w:rFonts w:ascii="Book Antiqua" w:hAnsi="Book Antiqua"/>
          <w:color w:val="auto"/>
          <w:sz w:val="24"/>
          <w:szCs w:val="24"/>
        </w:rPr>
        <w:t xml:space="preserve">identify new targets for these patients, and then improve their </w:t>
      </w:r>
      <w:r w:rsidR="00157A9B" w:rsidRPr="00DF6D96">
        <w:rPr>
          <w:rFonts w:ascii="Book Antiqua" w:hAnsi="Book Antiqua"/>
          <w:color w:val="auto"/>
          <w:sz w:val="24"/>
          <w:szCs w:val="24"/>
        </w:rPr>
        <w:t xml:space="preserve">disease </w:t>
      </w:r>
      <w:r w:rsidRPr="00DF6D96">
        <w:rPr>
          <w:rFonts w:ascii="Book Antiqua" w:hAnsi="Book Antiqua"/>
          <w:color w:val="auto"/>
          <w:sz w:val="24"/>
          <w:szCs w:val="24"/>
        </w:rPr>
        <w:t>prognose</w:t>
      </w:r>
      <w:r w:rsidR="00157A9B" w:rsidRPr="00DF6D96">
        <w:rPr>
          <w:rFonts w:ascii="Book Antiqua" w:hAnsi="Book Antiqua"/>
          <w:color w:val="auto"/>
          <w:sz w:val="24"/>
          <w:szCs w:val="24"/>
        </w:rPr>
        <w:t>s</w:t>
      </w:r>
      <w:r w:rsidRPr="00DF6D96">
        <w:rPr>
          <w:rFonts w:ascii="Book Antiqua" w:hAnsi="Book Antiqua"/>
          <w:color w:val="auto"/>
          <w:sz w:val="24"/>
          <w:szCs w:val="24"/>
        </w:rPr>
        <w:t>.</w:t>
      </w:r>
    </w:p>
    <w:p w14:paraId="5EA9FA91" w14:textId="5ABF8AD1" w:rsidR="00C35D84" w:rsidRPr="00DF6D96" w:rsidRDefault="007C5683" w:rsidP="0030419F">
      <w:pPr>
        <w:pStyle w:val="1"/>
        <w:adjustRightInd w:val="0"/>
        <w:snapToGrid w:val="0"/>
        <w:spacing w:line="360" w:lineRule="auto"/>
        <w:ind w:firstLineChars="100" w:firstLine="240"/>
        <w:rPr>
          <w:rFonts w:ascii="Book Antiqua" w:hAnsi="Book Antiqua"/>
          <w:color w:val="auto"/>
          <w:sz w:val="24"/>
          <w:szCs w:val="24"/>
          <w:vertAlign w:val="superscript"/>
        </w:rPr>
      </w:pPr>
      <w:r w:rsidRPr="00DF6D96">
        <w:rPr>
          <w:rFonts w:ascii="Book Antiqua" w:hAnsi="Book Antiqua"/>
          <w:color w:val="auto"/>
          <w:sz w:val="24"/>
          <w:szCs w:val="24"/>
        </w:rPr>
        <w:t>Proteinase-Activated Receptor-2</w:t>
      </w:r>
      <w:r w:rsidR="00564144" w:rsidRPr="00DF6D96">
        <w:rPr>
          <w:rFonts w:ascii="Book Antiqua" w:hAnsi="Book Antiqua"/>
          <w:color w:val="auto"/>
          <w:sz w:val="24"/>
          <w:szCs w:val="24"/>
        </w:rPr>
        <w:t xml:space="preserve"> </w:t>
      </w:r>
      <w:r w:rsidRPr="00DF6D96">
        <w:rPr>
          <w:rFonts w:ascii="Book Antiqua" w:hAnsi="Book Antiqua"/>
          <w:color w:val="auto"/>
          <w:sz w:val="24"/>
          <w:szCs w:val="24"/>
        </w:rPr>
        <w:t>(PAR2) is a member of the G-pr</w:t>
      </w:r>
      <w:r w:rsidR="00F7365A">
        <w:rPr>
          <w:rFonts w:ascii="Book Antiqua" w:hAnsi="Book Antiqua"/>
          <w:color w:val="auto"/>
          <w:sz w:val="24"/>
          <w:szCs w:val="24"/>
        </w:rPr>
        <w:t>otein coupled receptor 1 family</w:t>
      </w:r>
      <w:r w:rsidRPr="00DF6D96">
        <w:rPr>
          <w:rFonts w:ascii="Book Antiqua" w:hAnsi="Book Antiqua"/>
          <w:color w:val="auto"/>
          <w:sz w:val="24"/>
          <w:szCs w:val="24"/>
          <w:vertAlign w:val="superscript"/>
        </w:rPr>
        <w:t>[</w:t>
      </w:r>
      <w:hyperlink w:anchor="_ihv636">
        <w:r w:rsidRPr="00DF6D96">
          <w:rPr>
            <w:rFonts w:ascii="Book Antiqua" w:hAnsi="Book Antiqua"/>
            <w:color w:val="auto"/>
            <w:sz w:val="24"/>
            <w:szCs w:val="24"/>
            <w:vertAlign w:val="superscript"/>
          </w:rPr>
          <w:t>6</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w:t>
      </w:r>
      <w:r w:rsidR="00564144" w:rsidRPr="00DF6D96">
        <w:rPr>
          <w:rFonts w:ascii="Book Antiqua" w:hAnsi="Book Antiqua"/>
          <w:color w:val="auto"/>
          <w:sz w:val="24"/>
          <w:szCs w:val="24"/>
        </w:rPr>
        <w:t>PAR2 downstream signaling</w:t>
      </w:r>
      <w:r w:rsidRPr="00DF6D96">
        <w:rPr>
          <w:rFonts w:ascii="Book Antiqua" w:hAnsi="Book Antiqua"/>
          <w:color w:val="auto"/>
          <w:sz w:val="24"/>
          <w:szCs w:val="24"/>
        </w:rPr>
        <w:t xml:space="preserve"> is mediated through several signaling pathways </w:t>
      </w:r>
      <w:r w:rsidR="00564144" w:rsidRPr="00DF6D96">
        <w:rPr>
          <w:rFonts w:ascii="Book Antiqua" w:hAnsi="Book Antiqua"/>
          <w:color w:val="auto"/>
          <w:sz w:val="24"/>
          <w:szCs w:val="24"/>
        </w:rPr>
        <w:t xml:space="preserve">such as intracellular calcium, </w:t>
      </w:r>
      <w:r w:rsidRPr="00DF6D96">
        <w:rPr>
          <w:rFonts w:ascii="Book Antiqua" w:hAnsi="Book Antiqua"/>
          <w:color w:val="auto"/>
          <w:sz w:val="24"/>
          <w:szCs w:val="24"/>
        </w:rPr>
        <w:t>phospholipase C (PLC), m</w:t>
      </w:r>
      <w:r w:rsidR="00F7365A">
        <w:rPr>
          <w:rFonts w:ascii="Book Antiqua" w:hAnsi="Book Antiqua"/>
          <w:color w:val="auto"/>
          <w:sz w:val="24"/>
          <w:szCs w:val="24"/>
        </w:rPr>
        <w:t>itogen-activated protein kinase</w:t>
      </w:r>
      <w:r w:rsidR="00F7365A">
        <w:rPr>
          <w:rFonts w:ascii="Book Antiqua" w:hAnsi="Book Antiqua" w:hint="eastAsia"/>
          <w:color w:val="auto"/>
          <w:sz w:val="24"/>
          <w:szCs w:val="24"/>
          <w:lang w:eastAsia="zh-CN"/>
        </w:rPr>
        <w:t xml:space="preserve"> </w:t>
      </w:r>
      <w:r w:rsidRPr="00DF6D96">
        <w:rPr>
          <w:rFonts w:ascii="Book Antiqua" w:hAnsi="Book Antiqua"/>
          <w:color w:val="auto"/>
          <w:sz w:val="24"/>
          <w:szCs w:val="24"/>
        </w:rPr>
        <w:t>(MAPK),</w:t>
      </w:r>
      <w:r w:rsidR="00FB0774" w:rsidRPr="00DF6D96">
        <w:rPr>
          <w:rFonts w:ascii="Book Antiqua" w:hAnsi="Book Antiqua"/>
          <w:color w:val="auto"/>
          <w:sz w:val="24"/>
          <w:szCs w:val="24"/>
        </w:rPr>
        <w:t xml:space="preserve"> Rho, and</w:t>
      </w:r>
      <w:r w:rsidR="00F7365A">
        <w:rPr>
          <w:rFonts w:ascii="Book Antiqua" w:hAnsi="Book Antiqua"/>
          <w:color w:val="auto"/>
          <w:sz w:val="24"/>
          <w:szCs w:val="24"/>
        </w:rPr>
        <w:t xml:space="preserve"> I-kappaB kinase/NF-kappaB</w:t>
      </w:r>
      <w:r w:rsidRPr="00DF6D96">
        <w:rPr>
          <w:rFonts w:ascii="Book Antiqua" w:hAnsi="Book Antiqua"/>
          <w:color w:val="auto"/>
          <w:sz w:val="24"/>
          <w:szCs w:val="24"/>
          <w:vertAlign w:val="superscript"/>
        </w:rPr>
        <w:t>[</w:t>
      </w:r>
      <w:hyperlink w:anchor="_32hioqz">
        <w:r w:rsidRPr="00DF6D96">
          <w:rPr>
            <w:rFonts w:ascii="Book Antiqua" w:hAnsi="Book Antiqua"/>
            <w:color w:val="auto"/>
            <w:sz w:val="24"/>
            <w:szCs w:val="24"/>
            <w:vertAlign w:val="superscript"/>
          </w:rPr>
          <w:t>7</w:t>
        </w:r>
      </w:hyperlink>
      <w:r w:rsidRPr="00DF6D96">
        <w:rPr>
          <w:rFonts w:ascii="Book Antiqua" w:hAnsi="Book Antiqua"/>
          <w:color w:val="auto"/>
          <w:sz w:val="24"/>
          <w:szCs w:val="24"/>
          <w:vertAlign w:val="superscript"/>
        </w:rPr>
        <w:t>,</w:t>
      </w:r>
      <w:hyperlink w:anchor="_1hmsyys">
        <w:r w:rsidRPr="00DF6D96">
          <w:rPr>
            <w:rFonts w:ascii="Book Antiqua" w:hAnsi="Book Antiqua"/>
            <w:color w:val="auto"/>
            <w:sz w:val="24"/>
            <w:szCs w:val="24"/>
            <w:vertAlign w:val="superscript"/>
          </w:rPr>
          <w:t>8</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w:t>
      </w:r>
      <w:r w:rsidR="00FB0774" w:rsidRPr="00DF6D96">
        <w:rPr>
          <w:rFonts w:ascii="Book Antiqua" w:hAnsi="Book Antiqua"/>
          <w:color w:val="auto"/>
          <w:sz w:val="24"/>
          <w:szCs w:val="24"/>
        </w:rPr>
        <w:t>It</w:t>
      </w:r>
      <w:r w:rsidRPr="00DF6D96">
        <w:rPr>
          <w:rFonts w:ascii="Book Antiqua" w:hAnsi="Book Antiqua"/>
          <w:color w:val="auto"/>
          <w:sz w:val="24"/>
          <w:szCs w:val="24"/>
        </w:rPr>
        <w:t xml:space="preserve"> </w:t>
      </w:r>
      <w:r w:rsidR="00FB0774" w:rsidRPr="00DF6D96">
        <w:rPr>
          <w:rFonts w:ascii="Book Antiqua" w:hAnsi="Book Antiqua"/>
          <w:color w:val="auto"/>
          <w:sz w:val="24"/>
          <w:szCs w:val="24"/>
        </w:rPr>
        <w:t xml:space="preserve">is </w:t>
      </w:r>
      <w:r w:rsidRPr="00DF6D96">
        <w:rPr>
          <w:rFonts w:ascii="Book Antiqua" w:hAnsi="Book Antiqua"/>
          <w:color w:val="auto"/>
          <w:sz w:val="24"/>
          <w:szCs w:val="24"/>
        </w:rPr>
        <w:t>also tra</w:t>
      </w:r>
      <w:r w:rsidR="00F7365A">
        <w:rPr>
          <w:rFonts w:ascii="Book Antiqua" w:hAnsi="Book Antiqua"/>
          <w:color w:val="auto"/>
          <w:sz w:val="24"/>
          <w:szCs w:val="24"/>
        </w:rPr>
        <w:t>nsactivated by cleaved F2R/PAR1</w:t>
      </w:r>
      <w:r w:rsidRPr="00DF6D96">
        <w:rPr>
          <w:rFonts w:ascii="Book Antiqua" w:hAnsi="Book Antiqua"/>
          <w:color w:val="auto"/>
          <w:sz w:val="24"/>
          <w:szCs w:val="24"/>
          <w:vertAlign w:val="superscript"/>
        </w:rPr>
        <w:t>[</w:t>
      </w:r>
      <w:hyperlink w:anchor="_41mghml">
        <w:r w:rsidRPr="00DF6D96">
          <w:rPr>
            <w:rFonts w:ascii="Book Antiqua" w:hAnsi="Book Antiqua"/>
            <w:color w:val="auto"/>
            <w:sz w:val="24"/>
            <w:szCs w:val="24"/>
            <w:vertAlign w:val="superscript"/>
          </w:rPr>
          <w:t>9</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P</w:t>
      </w:r>
      <w:r w:rsidR="00157A9B" w:rsidRPr="00DF6D96">
        <w:rPr>
          <w:rFonts w:ascii="Book Antiqua" w:hAnsi="Book Antiqua"/>
          <w:color w:val="auto"/>
          <w:sz w:val="24"/>
          <w:szCs w:val="24"/>
        </w:rPr>
        <w:t>AR</w:t>
      </w:r>
      <w:r w:rsidRPr="00DF6D96">
        <w:rPr>
          <w:rFonts w:ascii="Book Antiqua" w:hAnsi="Book Antiqua"/>
          <w:color w:val="auto"/>
          <w:sz w:val="24"/>
          <w:szCs w:val="24"/>
        </w:rPr>
        <w:t xml:space="preserve">2 is known to regulate physiological responses </w:t>
      </w:r>
      <w:r w:rsidR="00FB0774" w:rsidRPr="00DF6D96">
        <w:rPr>
          <w:rFonts w:ascii="Book Antiqua" w:hAnsi="Book Antiqua"/>
          <w:color w:val="auto"/>
          <w:sz w:val="24"/>
          <w:szCs w:val="24"/>
        </w:rPr>
        <w:t>such as</w:t>
      </w:r>
      <w:r w:rsidRPr="00DF6D96">
        <w:rPr>
          <w:rFonts w:ascii="Book Antiqua" w:hAnsi="Book Antiqua"/>
          <w:color w:val="auto"/>
          <w:sz w:val="24"/>
          <w:szCs w:val="24"/>
        </w:rPr>
        <w:t xml:space="preserve"> vasoregulation</w:t>
      </w:r>
      <w:r w:rsidR="00FB0774" w:rsidRPr="00DF6D96">
        <w:rPr>
          <w:rFonts w:ascii="Book Antiqua" w:hAnsi="Book Antiqua"/>
          <w:color w:val="auto"/>
          <w:sz w:val="24"/>
          <w:szCs w:val="24"/>
        </w:rPr>
        <w:t xml:space="preserve">, </w:t>
      </w:r>
      <w:r w:rsidRPr="00DF6D96">
        <w:rPr>
          <w:rFonts w:ascii="Book Antiqua" w:hAnsi="Book Antiqua"/>
          <w:color w:val="auto"/>
          <w:sz w:val="24"/>
          <w:szCs w:val="24"/>
        </w:rPr>
        <w:t>cell growth</w:t>
      </w:r>
      <w:r w:rsidR="00FB0774" w:rsidRPr="00DF6D96">
        <w:rPr>
          <w:rFonts w:ascii="Book Antiqua" w:hAnsi="Book Antiqua"/>
          <w:color w:val="auto"/>
          <w:sz w:val="24"/>
          <w:szCs w:val="24"/>
        </w:rPr>
        <w:t>,</w:t>
      </w:r>
      <w:r w:rsidRPr="00DF6D96">
        <w:rPr>
          <w:rFonts w:ascii="Book Antiqua" w:hAnsi="Book Antiqua"/>
          <w:color w:val="auto"/>
          <w:sz w:val="24"/>
          <w:szCs w:val="24"/>
        </w:rPr>
        <w:t xml:space="preserve"> inflammation</w:t>
      </w:r>
      <w:r w:rsidR="00FB0774" w:rsidRPr="00DF6D96">
        <w:rPr>
          <w:rFonts w:ascii="Book Antiqua" w:hAnsi="Book Antiqua"/>
          <w:color w:val="auto"/>
          <w:sz w:val="24"/>
          <w:szCs w:val="24"/>
        </w:rPr>
        <w:t>,</w:t>
      </w:r>
      <w:r w:rsidRPr="00DF6D96">
        <w:rPr>
          <w:rFonts w:ascii="Book Antiqua" w:hAnsi="Book Antiqua"/>
          <w:color w:val="auto"/>
          <w:sz w:val="24"/>
          <w:szCs w:val="24"/>
        </w:rPr>
        <w:t xml:space="preserve"> and nociception</w:t>
      </w:r>
      <w:r w:rsidRPr="00DF6D96">
        <w:rPr>
          <w:rFonts w:ascii="Book Antiqua" w:hAnsi="Book Antiqua"/>
          <w:color w:val="auto"/>
          <w:sz w:val="24"/>
          <w:szCs w:val="24"/>
          <w:vertAlign w:val="superscript"/>
        </w:rPr>
        <w:t>[</w:t>
      </w:r>
      <w:hyperlink w:anchor="_2grqrue">
        <w:r w:rsidRPr="00DF6D96">
          <w:rPr>
            <w:rFonts w:ascii="Book Antiqua" w:hAnsi="Book Antiqua"/>
            <w:color w:val="auto"/>
            <w:sz w:val="24"/>
            <w:szCs w:val="24"/>
            <w:vertAlign w:val="superscript"/>
          </w:rPr>
          <w:t>10</w:t>
        </w:r>
      </w:hyperlink>
      <w:r w:rsidRPr="00DF6D96">
        <w:rPr>
          <w:rFonts w:ascii="Book Antiqua" w:hAnsi="Book Antiqua"/>
          <w:color w:val="auto"/>
          <w:sz w:val="24"/>
          <w:szCs w:val="24"/>
          <w:vertAlign w:val="superscript"/>
        </w:rPr>
        <w:t>,</w:t>
      </w:r>
      <w:hyperlink w:anchor="_vx1227">
        <w:r w:rsidRPr="00DF6D96">
          <w:rPr>
            <w:rFonts w:ascii="Book Antiqua" w:hAnsi="Book Antiqua"/>
            <w:color w:val="auto"/>
            <w:sz w:val="24"/>
            <w:szCs w:val="24"/>
            <w:vertAlign w:val="superscript"/>
          </w:rPr>
          <w:t>11</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However, there is growing evidence that PAR2 also has an important function in tumors, especially</w:t>
      </w:r>
      <w:r w:rsidR="00F7365A">
        <w:rPr>
          <w:rFonts w:ascii="Book Antiqua" w:hAnsi="Book Antiqua"/>
          <w:color w:val="auto"/>
          <w:sz w:val="24"/>
          <w:szCs w:val="24"/>
        </w:rPr>
        <w:t xml:space="preserve"> in tumors of epithelial origin</w:t>
      </w:r>
      <w:r w:rsidRPr="00DF6D96">
        <w:rPr>
          <w:rFonts w:ascii="Book Antiqua" w:hAnsi="Book Antiqua"/>
          <w:color w:val="auto"/>
          <w:sz w:val="24"/>
          <w:szCs w:val="24"/>
          <w:vertAlign w:val="superscript"/>
        </w:rPr>
        <w:t>[</w:t>
      </w:r>
      <w:hyperlink w:anchor="_3fwokq0">
        <w:r w:rsidRPr="00DF6D96">
          <w:rPr>
            <w:rFonts w:ascii="Book Antiqua" w:hAnsi="Book Antiqua"/>
            <w:color w:val="auto"/>
            <w:sz w:val="24"/>
            <w:szCs w:val="24"/>
            <w:vertAlign w:val="superscript"/>
          </w:rPr>
          <w:t>12-15</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PAR2 is expressed in HCC tissues</w:t>
      </w:r>
      <w:r w:rsidR="00FB0774" w:rsidRPr="00DF6D96">
        <w:rPr>
          <w:rFonts w:ascii="Book Antiqua" w:hAnsi="Book Antiqua"/>
          <w:color w:val="auto"/>
          <w:sz w:val="24"/>
          <w:szCs w:val="24"/>
        </w:rPr>
        <w:t xml:space="preserve"> and</w:t>
      </w:r>
      <w:r w:rsidRPr="00DF6D96">
        <w:rPr>
          <w:rFonts w:ascii="Book Antiqua" w:hAnsi="Book Antiqua"/>
          <w:color w:val="auto"/>
          <w:sz w:val="24"/>
          <w:szCs w:val="24"/>
        </w:rPr>
        <w:t xml:space="preserve"> </w:t>
      </w:r>
      <w:r w:rsidR="00FB0774" w:rsidRPr="00DF6D96">
        <w:rPr>
          <w:rFonts w:ascii="Book Antiqua" w:hAnsi="Book Antiqua"/>
          <w:color w:val="auto"/>
          <w:sz w:val="24"/>
          <w:szCs w:val="24"/>
        </w:rPr>
        <w:t xml:space="preserve">multiple </w:t>
      </w:r>
      <w:r w:rsidRPr="00DF6D96">
        <w:rPr>
          <w:rFonts w:ascii="Book Antiqua" w:hAnsi="Book Antiqua"/>
          <w:color w:val="auto"/>
          <w:sz w:val="24"/>
          <w:szCs w:val="24"/>
        </w:rPr>
        <w:t>HCC cell lines</w:t>
      </w:r>
      <w:r w:rsidR="00FB0774" w:rsidRPr="00DF6D96">
        <w:rPr>
          <w:rFonts w:ascii="Book Antiqua" w:hAnsi="Book Antiqua"/>
          <w:color w:val="auto"/>
          <w:sz w:val="24"/>
          <w:szCs w:val="24"/>
        </w:rPr>
        <w:t>, where it</w:t>
      </w:r>
      <w:r w:rsidRPr="00DF6D96">
        <w:rPr>
          <w:rFonts w:ascii="Book Antiqua" w:hAnsi="Book Antiqua"/>
          <w:color w:val="auto"/>
          <w:sz w:val="24"/>
          <w:szCs w:val="24"/>
        </w:rPr>
        <w:t xml:space="preserve"> </w:t>
      </w:r>
      <w:r w:rsidR="00FB0774" w:rsidRPr="00DF6D96">
        <w:rPr>
          <w:rFonts w:ascii="Book Antiqua" w:hAnsi="Book Antiqua"/>
          <w:color w:val="auto"/>
          <w:sz w:val="24"/>
          <w:szCs w:val="24"/>
        </w:rPr>
        <w:t>promotes cancer</w:t>
      </w:r>
      <w:r w:rsidRPr="00DF6D96">
        <w:rPr>
          <w:rFonts w:ascii="Book Antiqua" w:hAnsi="Book Antiqua"/>
          <w:color w:val="auto"/>
          <w:sz w:val="24"/>
          <w:szCs w:val="24"/>
        </w:rPr>
        <w:t xml:space="preserve"> cell migration and invasion through different signaling pathways including [Ca</w:t>
      </w:r>
      <w:r w:rsidRPr="00DF6D96">
        <w:rPr>
          <w:rFonts w:ascii="Book Antiqua" w:hAnsi="Book Antiqua"/>
          <w:color w:val="auto"/>
          <w:sz w:val="24"/>
          <w:szCs w:val="24"/>
          <w:vertAlign w:val="superscript"/>
        </w:rPr>
        <w:t>2+</w:t>
      </w:r>
      <w:r w:rsidRPr="00DF6D96">
        <w:rPr>
          <w:rFonts w:ascii="Book Antiqua" w:hAnsi="Book Antiqua"/>
          <w:color w:val="auto"/>
          <w:sz w:val="24"/>
          <w:szCs w:val="24"/>
        </w:rPr>
        <w:t>]</w:t>
      </w:r>
      <w:r w:rsidRPr="00DF6D96">
        <w:rPr>
          <w:rFonts w:ascii="Book Antiqua" w:hAnsi="Book Antiqua"/>
          <w:color w:val="auto"/>
          <w:sz w:val="24"/>
          <w:szCs w:val="24"/>
          <w:vertAlign w:val="subscript"/>
        </w:rPr>
        <w:t>i</w:t>
      </w:r>
      <w:r w:rsidRPr="00DF6D96">
        <w:rPr>
          <w:rFonts w:ascii="Book Antiqua" w:hAnsi="Book Antiqua"/>
          <w:color w:val="auto"/>
          <w:sz w:val="24"/>
          <w:szCs w:val="24"/>
        </w:rPr>
        <w:t xml:space="preserve"> </w:t>
      </w:r>
      <w:r w:rsidR="00157A9B" w:rsidRPr="00DF6D96">
        <w:rPr>
          <w:rFonts w:ascii="Book Antiqua" w:hAnsi="Book Antiqua"/>
          <w:color w:val="auto"/>
          <w:sz w:val="24"/>
          <w:szCs w:val="24"/>
        </w:rPr>
        <w:t>mobilization</w:t>
      </w:r>
      <w:r w:rsidRPr="00DF6D96">
        <w:rPr>
          <w:rFonts w:ascii="Book Antiqua" w:hAnsi="Book Antiqua"/>
          <w:color w:val="auto"/>
          <w:sz w:val="24"/>
          <w:szCs w:val="24"/>
        </w:rPr>
        <w:t>, Src, Met, and p42/p44 MAPK</w:t>
      </w:r>
      <w:r w:rsidRPr="00DF6D96">
        <w:rPr>
          <w:rFonts w:ascii="Book Antiqua" w:hAnsi="Book Antiqua"/>
          <w:color w:val="auto"/>
          <w:sz w:val="24"/>
          <w:szCs w:val="24"/>
          <w:vertAlign w:val="superscript"/>
        </w:rPr>
        <w:t>[</w:t>
      </w:r>
      <w:hyperlink w:anchor="_19c6y18">
        <w:r w:rsidRPr="00DF6D96">
          <w:rPr>
            <w:rFonts w:ascii="Book Antiqua" w:hAnsi="Book Antiqua"/>
            <w:color w:val="auto"/>
            <w:sz w:val="24"/>
            <w:szCs w:val="24"/>
            <w:vertAlign w:val="superscript"/>
          </w:rPr>
          <w:t>16</w:t>
        </w:r>
      </w:hyperlink>
      <w:r w:rsidRPr="00DF6D96">
        <w:rPr>
          <w:rFonts w:ascii="Book Antiqua" w:hAnsi="Book Antiqua"/>
          <w:color w:val="auto"/>
          <w:sz w:val="24"/>
          <w:szCs w:val="24"/>
          <w:vertAlign w:val="superscript"/>
        </w:rPr>
        <w:t>,</w:t>
      </w:r>
      <w:hyperlink w:anchor="_3tbugp1">
        <w:r w:rsidRPr="00DF6D96">
          <w:rPr>
            <w:rFonts w:ascii="Book Antiqua" w:hAnsi="Book Antiqua"/>
            <w:color w:val="auto"/>
            <w:sz w:val="24"/>
            <w:szCs w:val="24"/>
            <w:vertAlign w:val="superscript"/>
          </w:rPr>
          <w:t>17</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P</w:t>
      </w:r>
      <w:r w:rsidR="00157A9B" w:rsidRPr="00DF6D96">
        <w:rPr>
          <w:rFonts w:ascii="Book Antiqua" w:hAnsi="Book Antiqua"/>
          <w:color w:val="auto"/>
          <w:sz w:val="24"/>
          <w:szCs w:val="24"/>
        </w:rPr>
        <w:t>AR</w:t>
      </w:r>
      <w:r w:rsidRPr="00DF6D96">
        <w:rPr>
          <w:rFonts w:ascii="Book Antiqua" w:hAnsi="Book Antiqua"/>
          <w:color w:val="auto"/>
          <w:sz w:val="24"/>
          <w:szCs w:val="24"/>
        </w:rPr>
        <w:t xml:space="preserve">2 also </w:t>
      </w:r>
      <w:r w:rsidR="00492105" w:rsidRPr="00DF6D96">
        <w:rPr>
          <w:rFonts w:ascii="Book Antiqua" w:hAnsi="Book Antiqua"/>
          <w:color w:val="auto"/>
          <w:sz w:val="24"/>
          <w:szCs w:val="24"/>
          <w:lang w:eastAsia="zh-CN"/>
        </w:rPr>
        <w:t>participates in</w:t>
      </w:r>
      <w:r w:rsidRPr="00DF6D96">
        <w:rPr>
          <w:rFonts w:ascii="Book Antiqua" w:hAnsi="Book Antiqua"/>
          <w:color w:val="auto"/>
          <w:sz w:val="24"/>
          <w:szCs w:val="24"/>
        </w:rPr>
        <w:t xml:space="preserve"> tumor initiation, self-renewal, and metastasis by regulating CD47</w:t>
      </w:r>
      <w:r w:rsidRPr="00DF6D96">
        <w:rPr>
          <w:rFonts w:ascii="Book Antiqua" w:hAnsi="Book Antiqua"/>
          <w:color w:val="auto"/>
          <w:sz w:val="24"/>
          <w:szCs w:val="24"/>
          <w:vertAlign w:val="superscript"/>
        </w:rPr>
        <w:t>+</w:t>
      </w:r>
      <w:r w:rsidR="00F7365A">
        <w:rPr>
          <w:rFonts w:ascii="Book Antiqua" w:hAnsi="Book Antiqua"/>
          <w:color w:val="auto"/>
          <w:sz w:val="24"/>
          <w:szCs w:val="24"/>
        </w:rPr>
        <w:t xml:space="preserve"> HCC stem cells</w:t>
      </w:r>
      <w:r w:rsidRPr="00DF6D96">
        <w:rPr>
          <w:rFonts w:ascii="Book Antiqua" w:hAnsi="Book Antiqua"/>
          <w:color w:val="auto"/>
          <w:sz w:val="24"/>
          <w:szCs w:val="24"/>
          <w:vertAlign w:val="superscript"/>
        </w:rPr>
        <w:t>[</w:t>
      </w:r>
      <w:hyperlink w:anchor="_28h4qwu">
        <w:r w:rsidRPr="00DF6D96">
          <w:rPr>
            <w:rFonts w:ascii="Book Antiqua" w:hAnsi="Book Antiqua"/>
            <w:color w:val="auto"/>
            <w:sz w:val="24"/>
            <w:szCs w:val="24"/>
            <w:vertAlign w:val="superscript"/>
          </w:rPr>
          <w:t>18</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Moreover, PAR2 in hepatic stell</w:t>
      </w:r>
      <w:r w:rsidR="000C2C97" w:rsidRPr="00DF6D96">
        <w:rPr>
          <w:rFonts w:ascii="Book Antiqua" w:hAnsi="Book Antiqua"/>
          <w:color w:val="auto"/>
          <w:sz w:val="24"/>
          <w:szCs w:val="24"/>
        </w:rPr>
        <w:t>ate cells (HSCs) plays a</w:t>
      </w:r>
      <w:r w:rsidR="0055447E" w:rsidRPr="00DF6D96">
        <w:rPr>
          <w:rFonts w:ascii="Book Antiqua" w:hAnsi="Book Antiqua"/>
          <w:color w:val="auto"/>
          <w:sz w:val="24"/>
          <w:szCs w:val="24"/>
        </w:rPr>
        <w:t>n</w:t>
      </w:r>
      <w:r w:rsidR="000C2C97" w:rsidRPr="00DF6D96">
        <w:rPr>
          <w:rFonts w:ascii="Book Antiqua" w:hAnsi="Book Antiqua"/>
          <w:color w:val="auto"/>
          <w:sz w:val="24"/>
          <w:szCs w:val="24"/>
        </w:rPr>
        <w:t xml:space="preserve"> important role in promoting HCC growth through</w:t>
      </w:r>
      <w:r w:rsidRPr="00DF6D96">
        <w:rPr>
          <w:rFonts w:ascii="Book Antiqua" w:hAnsi="Book Antiqua"/>
          <w:color w:val="auto"/>
          <w:sz w:val="24"/>
          <w:szCs w:val="24"/>
        </w:rPr>
        <w:t xml:space="preserve"> mediating migration and secretion of pro-ang</w:t>
      </w:r>
      <w:r w:rsidR="00F7365A">
        <w:rPr>
          <w:rFonts w:ascii="Book Antiqua" w:hAnsi="Book Antiqua"/>
          <w:color w:val="auto"/>
          <w:sz w:val="24"/>
          <w:szCs w:val="24"/>
        </w:rPr>
        <w:t>iogenic and pro-mitotic factors</w:t>
      </w:r>
      <w:r w:rsidRPr="00DF6D96">
        <w:rPr>
          <w:rFonts w:ascii="Book Antiqua" w:hAnsi="Book Antiqua"/>
          <w:color w:val="auto"/>
          <w:sz w:val="24"/>
          <w:szCs w:val="24"/>
          <w:vertAlign w:val="superscript"/>
        </w:rPr>
        <w:t>[</w:t>
      </w:r>
      <w:hyperlink w:anchor="_nmf14n">
        <w:r w:rsidRPr="00DF6D96">
          <w:rPr>
            <w:rFonts w:ascii="Book Antiqua" w:hAnsi="Book Antiqua"/>
            <w:color w:val="auto"/>
            <w:sz w:val="24"/>
            <w:szCs w:val="24"/>
            <w:vertAlign w:val="superscript"/>
          </w:rPr>
          <w:t>19</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In addition, TF/VIIa/PAR2 </w:t>
      </w:r>
      <w:r w:rsidR="00FB0774" w:rsidRPr="00DF6D96">
        <w:rPr>
          <w:rFonts w:ascii="Book Antiqua" w:hAnsi="Book Antiqua"/>
          <w:color w:val="auto"/>
          <w:sz w:val="24"/>
          <w:szCs w:val="24"/>
        </w:rPr>
        <w:t>signaling</w:t>
      </w:r>
      <w:r w:rsidRPr="00DF6D96">
        <w:rPr>
          <w:rFonts w:ascii="Book Antiqua" w:hAnsi="Book Antiqua"/>
          <w:color w:val="auto"/>
          <w:sz w:val="24"/>
          <w:szCs w:val="24"/>
        </w:rPr>
        <w:t xml:space="preserve"> is involved in</w:t>
      </w:r>
      <w:r w:rsidR="00F7365A">
        <w:rPr>
          <w:rFonts w:ascii="Book Antiqua" w:hAnsi="Book Antiqua"/>
          <w:color w:val="auto"/>
          <w:sz w:val="24"/>
          <w:szCs w:val="24"/>
        </w:rPr>
        <w:t xml:space="preserve"> mTOR mediated autophagy in HCC</w:t>
      </w:r>
      <w:r w:rsidRPr="00DF6D96">
        <w:rPr>
          <w:rFonts w:ascii="Book Antiqua" w:hAnsi="Book Antiqua"/>
          <w:color w:val="auto"/>
          <w:sz w:val="24"/>
          <w:szCs w:val="24"/>
          <w:vertAlign w:val="superscript"/>
        </w:rPr>
        <w:t>[</w:t>
      </w:r>
      <w:hyperlink w:anchor="_37m2jsg">
        <w:r w:rsidRPr="00DF6D96">
          <w:rPr>
            <w:rFonts w:ascii="Book Antiqua" w:hAnsi="Book Antiqua"/>
            <w:color w:val="auto"/>
            <w:sz w:val="24"/>
            <w:szCs w:val="24"/>
            <w:vertAlign w:val="superscript"/>
          </w:rPr>
          <w:t>20</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Collectively, these data suggest an important role for PAR2 in HCC progression. However, the role of PAR2 in HCC metastasis and its underlying mechanism is poorly understood.</w:t>
      </w:r>
    </w:p>
    <w:p w14:paraId="39FE7461" w14:textId="7C507274" w:rsidR="00C35D84" w:rsidRPr="00DF6D96" w:rsidRDefault="007C5683" w:rsidP="0030419F">
      <w:pPr>
        <w:pStyle w:val="1"/>
        <w:adjustRightInd w:val="0"/>
        <w:snapToGrid w:val="0"/>
        <w:spacing w:line="360" w:lineRule="auto"/>
        <w:ind w:firstLineChars="100" w:firstLine="240"/>
        <w:rPr>
          <w:rFonts w:ascii="Book Antiqua" w:hAnsi="Book Antiqua"/>
          <w:color w:val="auto"/>
          <w:sz w:val="24"/>
          <w:szCs w:val="24"/>
        </w:rPr>
      </w:pPr>
      <w:r w:rsidRPr="00DF6D96">
        <w:rPr>
          <w:rFonts w:ascii="Book Antiqua" w:hAnsi="Book Antiqua"/>
          <w:color w:val="auto"/>
          <w:sz w:val="24"/>
          <w:szCs w:val="24"/>
        </w:rPr>
        <w:lastRenderedPageBreak/>
        <w:t>Epithelial-mesenchymal transition (EMT) and its intermediate states have been identified as crucial drivers of organ</w:t>
      </w:r>
      <w:r w:rsidR="00F7365A">
        <w:rPr>
          <w:rFonts w:ascii="Book Antiqua" w:hAnsi="Book Antiqua"/>
          <w:color w:val="auto"/>
          <w:sz w:val="24"/>
          <w:szCs w:val="24"/>
        </w:rPr>
        <w:t xml:space="preserve"> fibrosis and tumor progression</w:t>
      </w:r>
      <w:r w:rsidRPr="00DF6D96">
        <w:rPr>
          <w:rFonts w:ascii="Book Antiqua" w:hAnsi="Book Antiqua"/>
          <w:color w:val="auto"/>
          <w:sz w:val="24"/>
          <w:szCs w:val="24"/>
          <w:vertAlign w:val="superscript"/>
        </w:rPr>
        <w:t>[</w:t>
      </w:r>
      <w:hyperlink w:anchor="_1mrcu09">
        <w:r w:rsidRPr="00DF6D96">
          <w:rPr>
            <w:rFonts w:ascii="Book Antiqua" w:hAnsi="Book Antiqua"/>
            <w:color w:val="auto"/>
            <w:sz w:val="24"/>
            <w:szCs w:val="24"/>
            <w:vertAlign w:val="superscript"/>
          </w:rPr>
          <w:t>21</w:t>
        </w:r>
      </w:hyperlink>
      <w:r w:rsidRPr="00DF6D96">
        <w:rPr>
          <w:rFonts w:ascii="Book Antiqua" w:hAnsi="Book Antiqua"/>
          <w:color w:val="auto"/>
          <w:sz w:val="24"/>
          <w:szCs w:val="24"/>
          <w:vertAlign w:val="superscript"/>
        </w:rPr>
        <w:t>,</w:t>
      </w:r>
      <w:hyperlink w:anchor="_46r0co2">
        <w:r w:rsidRPr="00DF6D96">
          <w:rPr>
            <w:rFonts w:ascii="Book Antiqua" w:hAnsi="Book Antiqua"/>
            <w:color w:val="auto"/>
            <w:sz w:val="24"/>
            <w:szCs w:val="24"/>
            <w:vertAlign w:val="superscript"/>
          </w:rPr>
          <w:t>22</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EMT is thought to be activated in cancer cells to allow for dissociation from the primary tumor and i</w:t>
      </w:r>
      <w:r w:rsidR="00F7365A">
        <w:rPr>
          <w:rFonts w:ascii="Book Antiqua" w:hAnsi="Book Antiqua"/>
          <w:color w:val="auto"/>
          <w:sz w:val="24"/>
          <w:szCs w:val="24"/>
        </w:rPr>
        <w:t>ntravasation into blood vessels</w:t>
      </w:r>
      <w:r w:rsidRPr="00DF6D96">
        <w:rPr>
          <w:rFonts w:ascii="Book Antiqua" w:hAnsi="Book Antiqua"/>
          <w:color w:val="auto"/>
          <w:sz w:val="24"/>
          <w:szCs w:val="24"/>
          <w:vertAlign w:val="superscript"/>
        </w:rPr>
        <w:t>[</w:t>
      </w:r>
      <w:hyperlink w:anchor="_2lwamvv">
        <w:r w:rsidRPr="00DF6D96">
          <w:rPr>
            <w:rFonts w:ascii="Book Antiqua" w:hAnsi="Book Antiqua"/>
            <w:color w:val="auto"/>
            <w:sz w:val="24"/>
            <w:szCs w:val="24"/>
            <w:vertAlign w:val="superscript"/>
          </w:rPr>
          <w:t>23</w:t>
        </w:r>
      </w:hyperlink>
      <w:r w:rsidRPr="00DF6D96">
        <w:rPr>
          <w:rFonts w:ascii="Book Antiqua" w:hAnsi="Book Antiqua"/>
          <w:color w:val="auto"/>
          <w:sz w:val="24"/>
          <w:szCs w:val="24"/>
          <w:vertAlign w:val="superscript"/>
        </w:rPr>
        <w:t>,</w:t>
      </w:r>
      <w:hyperlink w:anchor="_111kx3o">
        <w:r w:rsidRPr="00DF6D96">
          <w:rPr>
            <w:rFonts w:ascii="Book Antiqua" w:hAnsi="Book Antiqua"/>
            <w:color w:val="auto"/>
            <w:sz w:val="24"/>
            <w:szCs w:val="24"/>
            <w:vertAlign w:val="superscript"/>
          </w:rPr>
          <w:t>24</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However, the impact of PAR2</w:t>
      </w:r>
      <w:r w:rsidR="00157A9B" w:rsidRPr="00DF6D96">
        <w:rPr>
          <w:rFonts w:ascii="Book Antiqua" w:hAnsi="Book Antiqua"/>
          <w:color w:val="auto"/>
          <w:sz w:val="24"/>
          <w:szCs w:val="24"/>
        </w:rPr>
        <w:t>-</w:t>
      </w:r>
      <w:r w:rsidRPr="00DF6D96">
        <w:rPr>
          <w:rFonts w:ascii="Book Antiqua" w:hAnsi="Book Antiqua"/>
          <w:color w:val="auto"/>
          <w:sz w:val="24"/>
          <w:szCs w:val="24"/>
        </w:rPr>
        <w:t>associated EMT in cancer metastasis is still poorly understood.</w:t>
      </w:r>
      <w:r w:rsidR="003A0FEB" w:rsidRPr="00DF6D96">
        <w:rPr>
          <w:rFonts w:ascii="Book Antiqua" w:hAnsi="Book Antiqua"/>
          <w:color w:val="auto"/>
          <w:sz w:val="24"/>
          <w:szCs w:val="24"/>
        </w:rPr>
        <w:t xml:space="preserve"> Based on these findings, we sought to investigate the relationship between PAR2 expression and HCC prognosis and the underlying mechanisms of the EMT in HCC.</w:t>
      </w:r>
    </w:p>
    <w:p w14:paraId="71A10449" w14:textId="77777777" w:rsidR="00C35D84" w:rsidRPr="00DF6D96" w:rsidRDefault="00C35D84" w:rsidP="0030419F">
      <w:pPr>
        <w:pStyle w:val="1"/>
        <w:adjustRightInd w:val="0"/>
        <w:snapToGrid w:val="0"/>
        <w:spacing w:line="360" w:lineRule="auto"/>
        <w:rPr>
          <w:rFonts w:ascii="Book Antiqua" w:hAnsi="Book Antiqua"/>
          <w:color w:val="auto"/>
          <w:sz w:val="24"/>
          <w:szCs w:val="24"/>
        </w:rPr>
      </w:pPr>
    </w:p>
    <w:p w14:paraId="492E51D7" w14:textId="7DD52083" w:rsidR="00C35D84" w:rsidRPr="00DF6D96" w:rsidRDefault="00D72430" w:rsidP="0030419F">
      <w:pPr>
        <w:pStyle w:val="1"/>
        <w:adjustRightInd w:val="0"/>
        <w:snapToGrid w:val="0"/>
        <w:spacing w:line="360" w:lineRule="auto"/>
        <w:outlineLvl w:val="0"/>
        <w:rPr>
          <w:rFonts w:ascii="Book Antiqua" w:hAnsi="Book Antiqua"/>
          <w:b/>
          <w:color w:val="auto"/>
          <w:sz w:val="24"/>
          <w:szCs w:val="24"/>
        </w:rPr>
      </w:pPr>
      <w:r w:rsidRPr="00DF6D96">
        <w:rPr>
          <w:rFonts w:ascii="Book Antiqua" w:hAnsi="Book Antiqua"/>
          <w:b/>
          <w:color w:val="auto"/>
          <w:sz w:val="24"/>
          <w:szCs w:val="24"/>
        </w:rPr>
        <w:t>MATERIALS AND METHODS</w:t>
      </w:r>
    </w:p>
    <w:p w14:paraId="11067F8C"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Patients</w:t>
      </w:r>
    </w:p>
    <w:p w14:paraId="4157DA8D" w14:textId="16AEC073"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Cancer tissue paraffin sections were obtained with informed consent from 60 HCC patients undergoing radical resections between 2010 and 2012 in Qilu Hospital of Shandong University. Ethical consent was granted from the Institutional Ethics Committee, Qilu Hospital of Shandong University.</w:t>
      </w:r>
    </w:p>
    <w:p w14:paraId="744D374D"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62683201"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Immunohistochemistry and evaluation of PAR2 expression</w:t>
      </w:r>
    </w:p>
    <w:p w14:paraId="525347F3" w14:textId="2043E717" w:rsidR="00C35D84" w:rsidRDefault="000C2C97"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Immunohistochemistry</w:t>
      </w:r>
      <w:r w:rsidR="007C5683" w:rsidRPr="00DF6D96">
        <w:rPr>
          <w:rFonts w:ascii="Book Antiqua" w:hAnsi="Book Antiqua"/>
          <w:color w:val="auto"/>
          <w:sz w:val="24"/>
          <w:szCs w:val="24"/>
        </w:rPr>
        <w:t xml:space="preserve"> was performed using a standard immunoperoxidase staining </w:t>
      </w:r>
      <w:r w:rsidRPr="00DF6D96">
        <w:rPr>
          <w:rFonts w:ascii="Book Antiqua" w:hAnsi="Book Antiqua"/>
          <w:color w:val="auto"/>
          <w:sz w:val="24"/>
          <w:szCs w:val="24"/>
        </w:rPr>
        <w:t>method</w:t>
      </w:r>
      <w:r w:rsidR="007C5683" w:rsidRPr="00DF6D96">
        <w:rPr>
          <w:rFonts w:ascii="Book Antiqua" w:hAnsi="Book Antiqua"/>
          <w:color w:val="auto"/>
          <w:sz w:val="24"/>
          <w:szCs w:val="24"/>
        </w:rPr>
        <w:t xml:space="preserve">. </w:t>
      </w:r>
      <w:r w:rsidR="00911371" w:rsidRPr="00DF6D96">
        <w:rPr>
          <w:rFonts w:ascii="Book Antiqua" w:hAnsi="Book Antiqua"/>
          <w:color w:val="auto"/>
          <w:sz w:val="24"/>
          <w:szCs w:val="24"/>
        </w:rPr>
        <w:t>R</w:t>
      </w:r>
      <w:r w:rsidR="00911371" w:rsidRPr="00DF6D96">
        <w:rPr>
          <w:rFonts w:ascii="Book Antiqua" w:hAnsi="Book Antiqua"/>
          <w:color w:val="auto"/>
          <w:sz w:val="24"/>
          <w:szCs w:val="24"/>
          <w:lang w:eastAsia="zh-CN"/>
        </w:rPr>
        <w:t xml:space="preserve">abbit </w:t>
      </w:r>
      <w:r w:rsidR="00911371" w:rsidRPr="00DF6D96">
        <w:rPr>
          <w:rFonts w:ascii="Book Antiqua" w:hAnsi="Book Antiqua"/>
          <w:color w:val="auto"/>
          <w:sz w:val="24"/>
          <w:szCs w:val="24"/>
        </w:rPr>
        <w:t>a</w:t>
      </w:r>
      <w:r w:rsidR="00911371" w:rsidRPr="00DF6D96">
        <w:rPr>
          <w:rFonts w:ascii="Book Antiqua" w:hAnsi="Book Antiqua"/>
          <w:color w:val="auto"/>
          <w:sz w:val="24"/>
          <w:szCs w:val="24"/>
          <w:lang w:eastAsia="zh-CN"/>
        </w:rPr>
        <w:t>nti-PAR2 antibody</w:t>
      </w:r>
      <w:r w:rsidR="00EA5181" w:rsidRPr="00DF6D96">
        <w:rPr>
          <w:rFonts w:ascii="Book Antiqua" w:hAnsi="Book Antiqua"/>
          <w:color w:val="auto"/>
          <w:sz w:val="24"/>
          <w:szCs w:val="24"/>
          <w:lang w:eastAsia="zh-CN"/>
        </w:rPr>
        <w:t xml:space="preserve"> </w:t>
      </w:r>
      <w:r w:rsidR="00EA5181" w:rsidRPr="00DF6D96">
        <w:rPr>
          <w:rFonts w:ascii="Book Antiqua" w:hAnsi="Book Antiqua"/>
          <w:color w:val="auto"/>
          <w:sz w:val="24"/>
          <w:szCs w:val="24"/>
        </w:rPr>
        <w:t>(</w:t>
      </w:r>
      <w:r w:rsidR="00EA5181" w:rsidRPr="00DF6D96">
        <w:rPr>
          <w:rFonts w:ascii="Book Antiqua" w:hAnsi="Book Antiqua"/>
          <w:color w:val="auto"/>
          <w:sz w:val="24"/>
          <w:szCs w:val="24"/>
          <w:lang w:eastAsia="zh-CN"/>
        </w:rPr>
        <w:t>#6976)</w:t>
      </w:r>
      <w:r w:rsidR="00911371" w:rsidRPr="00DF6D96">
        <w:rPr>
          <w:rFonts w:ascii="Book Antiqua" w:hAnsi="Book Antiqua"/>
          <w:color w:val="auto"/>
          <w:sz w:val="24"/>
          <w:szCs w:val="24"/>
          <w:lang w:eastAsia="zh-CN"/>
        </w:rPr>
        <w:t xml:space="preserve"> was purchased from </w:t>
      </w:r>
      <w:r w:rsidR="00911371" w:rsidRPr="00DF6D96">
        <w:rPr>
          <w:rFonts w:ascii="Book Antiqua" w:hAnsi="Book Antiqua"/>
          <w:color w:val="auto"/>
          <w:sz w:val="24"/>
          <w:szCs w:val="24"/>
        </w:rPr>
        <w:t xml:space="preserve">Cell Signaling Technology (Danvers, </w:t>
      </w:r>
      <w:r w:rsidR="00EA69D9" w:rsidRPr="00EA69D9">
        <w:rPr>
          <w:rFonts w:ascii="Book Antiqua" w:hAnsi="Book Antiqua"/>
          <w:color w:val="auto"/>
          <w:sz w:val="24"/>
          <w:szCs w:val="24"/>
        </w:rPr>
        <w:t>United States</w:t>
      </w:r>
      <w:r w:rsidR="00911371" w:rsidRPr="00DF6D96">
        <w:rPr>
          <w:rFonts w:ascii="Book Antiqua" w:hAnsi="Book Antiqua"/>
          <w:color w:val="auto"/>
          <w:sz w:val="24"/>
          <w:szCs w:val="24"/>
        </w:rPr>
        <w:t>).</w:t>
      </w:r>
      <w:r w:rsidR="00911371" w:rsidRPr="00DF6D96">
        <w:rPr>
          <w:rFonts w:ascii="Book Antiqua" w:hAnsi="Book Antiqua"/>
          <w:color w:val="auto"/>
          <w:sz w:val="24"/>
          <w:szCs w:val="24"/>
          <w:lang w:eastAsia="zh-CN"/>
        </w:rPr>
        <w:t xml:space="preserve"> </w:t>
      </w:r>
      <w:r w:rsidR="007C5683" w:rsidRPr="00DF6D96">
        <w:rPr>
          <w:rFonts w:ascii="Book Antiqua" w:hAnsi="Book Antiqua"/>
          <w:color w:val="auto"/>
          <w:sz w:val="24"/>
          <w:szCs w:val="24"/>
        </w:rPr>
        <w:t xml:space="preserve">PAR2 expression in HCC </w:t>
      </w:r>
      <w:r w:rsidR="00FB0774" w:rsidRPr="00DF6D96">
        <w:rPr>
          <w:rFonts w:ascii="Book Antiqua" w:hAnsi="Book Antiqua"/>
          <w:color w:val="auto"/>
          <w:sz w:val="24"/>
          <w:szCs w:val="24"/>
        </w:rPr>
        <w:t xml:space="preserve">tissues </w:t>
      </w:r>
      <w:r w:rsidR="007C5683" w:rsidRPr="00DF6D96">
        <w:rPr>
          <w:rFonts w:ascii="Book Antiqua" w:hAnsi="Book Antiqua"/>
          <w:color w:val="auto"/>
          <w:sz w:val="24"/>
          <w:szCs w:val="24"/>
        </w:rPr>
        <w:t>was evaluated using methods described previously</w:t>
      </w:r>
      <w:r w:rsidR="007C5683" w:rsidRPr="00DF6D96">
        <w:rPr>
          <w:rFonts w:ascii="Book Antiqua" w:hAnsi="Book Antiqua"/>
          <w:color w:val="auto"/>
          <w:sz w:val="24"/>
          <w:szCs w:val="24"/>
          <w:vertAlign w:val="superscript"/>
        </w:rPr>
        <w:t>[</w:t>
      </w:r>
      <w:hyperlink w:anchor="_3l18frh">
        <w:r w:rsidR="007C5683" w:rsidRPr="00DF6D96">
          <w:rPr>
            <w:rFonts w:ascii="Book Antiqua" w:hAnsi="Book Antiqua"/>
            <w:color w:val="auto"/>
            <w:sz w:val="24"/>
            <w:szCs w:val="24"/>
            <w:vertAlign w:val="superscript"/>
          </w:rPr>
          <w:t>25</w:t>
        </w:r>
      </w:hyperlink>
      <w:r w:rsidR="007C5683" w:rsidRPr="00DF6D96">
        <w:rPr>
          <w:rFonts w:ascii="Book Antiqua" w:hAnsi="Book Antiqua"/>
          <w:color w:val="auto"/>
          <w:sz w:val="24"/>
          <w:szCs w:val="24"/>
          <w:vertAlign w:val="superscript"/>
        </w:rPr>
        <w:t>]</w:t>
      </w:r>
      <w:r w:rsidR="007C5683" w:rsidRPr="00DF6D96">
        <w:rPr>
          <w:rFonts w:ascii="Book Antiqua" w:hAnsi="Book Antiqua"/>
          <w:color w:val="auto"/>
          <w:sz w:val="24"/>
          <w:szCs w:val="24"/>
        </w:rPr>
        <w:t xml:space="preserve">. The scoring of PAR2 immunohistochemical staining was performed as follows: the degree of staining </w:t>
      </w:r>
      <w:r w:rsidR="00AD00C9" w:rsidRPr="00DF6D96">
        <w:rPr>
          <w:rFonts w:ascii="Book Antiqua" w:hAnsi="Book Antiqua"/>
          <w:color w:val="auto"/>
          <w:sz w:val="24"/>
          <w:szCs w:val="24"/>
        </w:rPr>
        <w:t>(</w:t>
      </w:r>
      <w:r w:rsidR="007C5683" w:rsidRPr="00DF6D96">
        <w:rPr>
          <w:rFonts w:ascii="Book Antiqua" w:hAnsi="Book Antiqua"/>
          <w:color w:val="auto"/>
          <w:sz w:val="24"/>
          <w:szCs w:val="24"/>
        </w:rPr>
        <w:t xml:space="preserve">yellow (1) and brown (2)) and the percentage of area staining positive </w:t>
      </w:r>
      <w:r w:rsidR="00EA69D9">
        <w:rPr>
          <w:rFonts w:ascii="Book Antiqua" w:hAnsi="Book Antiqua" w:hint="eastAsia"/>
          <w:color w:val="auto"/>
          <w:sz w:val="24"/>
          <w:szCs w:val="24"/>
          <w:lang w:eastAsia="zh-CN"/>
        </w:rPr>
        <w:t>[</w:t>
      </w:r>
      <w:r w:rsidR="007C5683" w:rsidRPr="00DF6D96">
        <w:rPr>
          <w:rFonts w:ascii="Book Antiqua" w:hAnsi="Book Antiqua"/>
          <w:color w:val="auto"/>
          <w:sz w:val="24"/>
          <w:szCs w:val="24"/>
        </w:rPr>
        <w:t>&lt;</w:t>
      </w:r>
      <w:r w:rsidR="00D72430">
        <w:rPr>
          <w:rFonts w:ascii="Book Antiqua" w:hAnsi="Book Antiqua" w:hint="eastAsia"/>
          <w:color w:val="auto"/>
          <w:sz w:val="24"/>
          <w:szCs w:val="24"/>
          <w:lang w:eastAsia="zh-CN"/>
        </w:rPr>
        <w:t xml:space="preserve"> </w:t>
      </w:r>
      <w:r w:rsidR="007C5683" w:rsidRPr="00DF6D96">
        <w:rPr>
          <w:rFonts w:ascii="Book Antiqua" w:hAnsi="Book Antiqua"/>
          <w:color w:val="auto"/>
          <w:sz w:val="24"/>
          <w:szCs w:val="24"/>
        </w:rPr>
        <w:t>50% (1) and &gt;50% (2)</w:t>
      </w:r>
      <w:r w:rsidR="00EA69D9">
        <w:rPr>
          <w:rFonts w:ascii="Book Antiqua" w:hAnsi="Book Antiqua" w:hint="eastAsia"/>
          <w:color w:val="auto"/>
          <w:sz w:val="24"/>
          <w:szCs w:val="24"/>
          <w:lang w:eastAsia="zh-CN"/>
        </w:rPr>
        <w:t>]</w:t>
      </w:r>
      <w:r w:rsidR="007C5683" w:rsidRPr="00DF6D96">
        <w:rPr>
          <w:rFonts w:ascii="Book Antiqua" w:hAnsi="Book Antiqua"/>
          <w:color w:val="auto"/>
          <w:sz w:val="24"/>
          <w:szCs w:val="24"/>
        </w:rPr>
        <w:t xml:space="preserve">. The final score was the product of the two parameters, and the samples were grouped as </w:t>
      </w:r>
      <w:r w:rsidR="00AD00C9" w:rsidRPr="00DF6D96">
        <w:rPr>
          <w:rFonts w:ascii="Book Antiqua" w:hAnsi="Book Antiqua"/>
          <w:color w:val="auto"/>
          <w:sz w:val="24"/>
          <w:szCs w:val="24"/>
        </w:rPr>
        <w:t xml:space="preserve">high </w:t>
      </w:r>
      <w:r w:rsidR="007C5683" w:rsidRPr="00DF6D96">
        <w:rPr>
          <w:rFonts w:ascii="Book Antiqua" w:hAnsi="Book Antiqua"/>
          <w:color w:val="auto"/>
          <w:sz w:val="24"/>
          <w:szCs w:val="24"/>
        </w:rPr>
        <w:t xml:space="preserve">PAR2 (2-4 point) </w:t>
      </w:r>
      <w:r w:rsidR="00157A9B" w:rsidRPr="00DF6D96">
        <w:rPr>
          <w:rFonts w:ascii="Book Antiqua" w:hAnsi="Book Antiqua"/>
          <w:color w:val="auto"/>
          <w:sz w:val="24"/>
          <w:szCs w:val="24"/>
        </w:rPr>
        <w:t xml:space="preserve">or </w:t>
      </w:r>
      <w:r w:rsidR="00AD00C9" w:rsidRPr="00DF6D96">
        <w:rPr>
          <w:rFonts w:ascii="Book Antiqua" w:hAnsi="Book Antiqua"/>
          <w:color w:val="auto"/>
          <w:sz w:val="24"/>
          <w:szCs w:val="24"/>
        </w:rPr>
        <w:t xml:space="preserve">low </w:t>
      </w:r>
      <w:r w:rsidR="007C5683" w:rsidRPr="00DF6D96">
        <w:rPr>
          <w:rFonts w:ascii="Book Antiqua" w:hAnsi="Book Antiqua"/>
          <w:color w:val="auto"/>
          <w:sz w:val="24"/>
          <w:szCs w:val="24"/>
        </w:rPr>
        <w:t>PAR2 (1).</w:t>
      </w:r>
      <w:r w:rsidR="005A4AD3" w:rsidRPr="00DF6D96">
        <w:rPr>
          <w:rFonts w:ascii="Book Antiqua" w:hAnsi="Book Antiqua"/>
          <w:color w:val="auto"/>
          <w:sz w:val="24"/>
          <w:szCs w:val="24"/>
        </w:rPr>
        <w:t xml:space="preserve"> T</w:t>
      </w:r>
      <w:r w:rsidR="005A4AD3" w:rsidRPr="00DF6D96">
        <w:rPr>
          <w:rFonts w:ascii="Book Antiqua" w:hAnsi="Book Antiqua"/>
          <w:color w:val="auto"/>
          <w:sz w:val="24"/>
          <w:szCs w:val="24"/>
          <w:lang w:eastAsia="zh-CN"/>
        </w:rPr>
        <w:t xml:space="preserve">wo </w:t>
      </w:r>
      <w:r w:rsidR="00911371" w:rsidRPr="00DF6D96">
        <w:rPr>
          <w:rFonts w:ascii="Book Antiqua" w:hAnsi="Book Antiqua"/>
          <w:color w:val="auto"/>
          <w:sz w:val="24"/>
          <w:szCs w:val="24"/>
          <w:lang w:eastAsia="zh-CN"/>
        </w:rPr>
        <w:t>experienced pathologists diagnosed the staining of PAR2.</w:t>
      </w:r>
    </w:p>
    <w:p w14:paraId="7A2D829B"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5FFC0B38"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Cell culture</w:t>
      </w:r>
    </w:p>
    <w:p w14:paraId="63474A4B" w14:textId="5CF5FE92"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HepG2 and SMMC-7721 cells were cultured at 37</w:t>
      </w:r>
      <w:r w:rsidR="00D72430">
        <w:rPr>
          <w:rFonts w:ascii="Book Antiqua" w:hAnsi="Book Antiqua" w:hint="eastAsia"/>
          <w:color w:val="auto"/>
          <w:sz w:val="24"/>
          <w:szCs w:val="24"/>
          <w:lang w:eastAsia="zh-CN"/>
        </w:rPr>
        <w:t xml:space="preserve"> </w:t>
      </w:r>
      <w:r w:rsidRPr="00DF6D96">
        <w:rPr>
          <w:rFonts w:ascii="Book Antiqua" w:hAnsi="Book Antiqua"/>
          <w:color w:val="auto"/>
          <w:sz w:val="24"/>
          <w:szCs w:val="24"/>
        </w:rPr>
        <w:t>°C in a humidified atmosphere containing 5% CO</w:t>
      </w:r>
      <w:r w:rsidR="00C35D84" w:rsidRPr="00DF6D96">
        <w:rPr>
          <w:rFonts w:ascii="Book Antiqua" w:hAnsi="Book Antiqua"/>
          <w:color w:val="auto"/>
          <w:sz w:val="24"/>
          <w:szCs w:val="24"/>
          <w:vertAlign w:val="subscript"/>
        </w:rPr>
        <w:t>2</w:t>
      </w:r>
      <w:r w:rsidRPr="00DF6D96">
        <w:rPr>
          <w:rFonts w:ascii="Book Antiqua" w:hAnsi="Book Antiqua"/>
          <w:color w:val="auto"/>
          <w:sz w:val="24"/>
          <w:szCs w:val="24"/>
        </w:rPr>
        <w:t xml:space="preserve">. Cells were cultured in </w:t>
      </w:r>
      <w:r w:rsidR="00AB7523" w:rsidRPr="00DF6D96">
        <w:rPr>
          <w:rFonts w:ascii="Book Antiqua" w:hAnsi="Book Antiqua"/>
          <w:color w:val="auto"/>
          <w:sz w:val="24"/>
          <w:szCs w:val="24"/>
        </w:rPr>
        <w:t>DMEM</w:t>
      </w:r>
      <w:r w:rsidRPr="00DF6D96">
        <w:rPr>
          <w:rFonts w:ascii="Book Antiqua" w:hAnsi="Book Antiqua"/>
          <w:color w:val="auto"/>
          <w:sz w:val="24"/>
          <w:szCs w:val="24"/>
        </w:rPr>
        <w:t xml:space="preserve"> (Gibco, NY, </w:t>
      </w:r>
      <w:r w:rsidR="00D72430" w:rsidRPr="00D72430">
        <w:rPr>
          <w:rFonts w:ascii="Book Antiqua" w:hAnsi="Book Antiqua"/>
          <w:color w:val="auto"/>
          <w:sz w:val="24"/>
          <w:szCs w:val="24"/>
        </w:rPr>
        <w:t>United States</w:t>
      </w:r>
      <w:r w:rsidRPr="00DF6D96">
        <w:rPr>
          <w:rFonts w:ascii="Book Antiqua" w:hAnsi="Book Antiqua"/>
          <w:color w:val="auto"/>
          <w:sz w:val="24"/>
          <w:szCs w:val="24"/>
        </w:rPr>
        <w:t>) supplemented with 10% fetal bovine serum (</w:t>
      </w:r>
      <w:r w:rsidR="00D72430" w:rsidRPr="00DF6D96">
        <w:rPr>
          <w:rFonts w:ascii="Book Antiqua" w:hAnsi="Book Antiqua"/>
          <w:color w:val="auto"/>
          <w:sz w:val="24"/>
          <w:szCs w:val="24"/>
        </w:rPr>
        <w:t xml:space="preserve">Gibco, NY, </w:t>
      </w:r>
      <w:r w:rsidR="00D72430" w:rsidRPr="00D72430">
        <w:rPr>
          <w:rFonts w:ascii="Book Antiqua" w:hAnsi="Book Antiqua"/>
          <w:color w:val="auto"/>
          <w:sz w:val="24"/>
          <w:szCs w:val="24"/>
        </w:rPr>
        <w:t xml:space="preserve">United </w:t>
      </w:r>
      <w:r w:rsidR="00D72430" w:rsidRPr="00D72430">
        <w:rPr>
          <w:rFonts w:ascii="Book Antiqua" w:hAnsi="Book Antiqua"/>
          <w:color w:val="auto"/>
          <w:sz w:val="24"/>
          <w:szCs w:val="24"/>
        </w:rPr>
        <w:lastRenderedPageBreak/>
        <w:t>States</w:t>
      </w:r>
      <w:r w:rsidRPr="00DF6D96">
        <w:rPr>
          <w:rFonts w:ascii="Book Antiqua" w:hAnsi="Book Antiqua"/>
          <w:color w:val="auto"/>
          <w:sz w:val="24"/>
          <w:szCs w:val="24"/>
        </w:rPr>
        <w:t xml:space="preserve">), </w:t>
      </w:r>
      <w:r w:rsidR="00AB7523" w:rsidRPr="00DF6D96">
        <w:rPr>
          <w:rFonts w:ascii="Book Antiqua" w:hAnsi="Book Antiqua"/>
          <w:color w:val="auto"/>
          <w:sz w:val="24"/>
          <w:szCs w:val="24"/>
        </w:rPr>
        <w:t xml:space="preserve">100 U/mL penicillin and </w:t>
      </w:r>
      <w:r w:rsidRPr="00DF6D96">
        <w:rPr>
          <w:rFonts w:ascii="Book Antiqua" w:hAnsi="Book Antiqua"/>
          <w:color w:val="auto"/>
          <w:sz w:val="24"/>
          <w:szCs w:val="24"/>
        </w:rPr>
        <w:t xml:space="preserve">100 μg/mL streptomycin (Hyclone, UT, </w:t>
      </w:r>
      <w:r w:rsidR="00D72430" w:rsidRPr="00D72430">
        <w:rPr>
          <w:rFonts w:ascii="Book Antiqua" w:hAnsi="Book Antiqua"/>
          <w:color w:val="auto"/>
          <w:sz w:val="24"/>
          <w:szCs w:val="24"/>
        </w:rPr>
        <w:t>United States</w:t>
      </w:r>
      <w:r w:rsidRPr="00DF6D96">
        <w:rPr>
          <w:rFonts w:ascii="Book Antiqua" w:hAnsi="Book Antiqua"/>
          <w:color w:val="auto"/>
          <w:sz w:val="24"/>
          <w:szCs w:val="24"/>
        </w:rPr>
        <w:t xml:space="preserve">). </w:t>
      </w:r>
    </w:p>
    <w:p w14:paraId="6433FDA7"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40FA0F1D"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Cell proliferation analysis</w:t>
      </w:r>
    </w:p>
    <w:p w14:paraId="5422ACA4" w14:textId="4CDE47E4" w:rsidR="00C35D84" w:rsidRDefault="00C35D84"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The </w:t>
      </w:r>
      <w:r w:rsidR="007C5683" w:rsidRPr="00DF6D96">
        <w:rPr>
          <w:rFonts w:ascii="Book Antiqua" w:hAnsi="Book Antiqua"/>
          <w:color w:val="auto"/>
          <w:sz w:val="24"/>
          <w:szCs w:val="24"/>
        </w:rPr>
        <w:t xml:space="preserve">CCK-8 assay (Tongren Chemical Research Institute, Kyushu, Japan) was used to measure cell proliferation. </w:t>
      </w:r>
      <w:bookmarkStart w:id="33" w:name="2et92p0" w:colFirst="0" w:colLast="0"/>
      <w:bookmarkStart w:id="34" w:name="tyjcwt" w:colFirst="0" w:colLast="0"/>
      <w:bookmarkEnd w:id="33"/>
      <w:bookmarkEnd w:id="34"/>
      <w:r w:rsidR="007C5683" w:rsidRPr="00DF6D96">
        <w:rPr>
          <w:rFonts w:ascii="Book Antiqua" w:hAnsi="Book Antiqua"/>
          <w:color w:val="auto"/>
          <w:sz w:val="24"/>
          <w:szCs w:val="24"/>
        </w:rPr>
        <w:t>HepG2 and SMMC-7721 cells in the exponential growth phase were seeded into a 96-well plate,</w:t>
      </w:r>
      <w:r w:rsidR="006A7EDD" w:rsidRPr="00DF6D96">
        <w:rPr>
          <w:rFonts w:ascii="Book Antiqua" w:eastAsia="Arial" w:hAnsi="Book Antiqua" w:cs="Arial"/>
          <w:color w:val="auto"/>
          <w:sz w:val="24"/>
          <w:szCs w:val="24"/>
        </w:rPr>
        <w:t xml:space="preserve"> 1000 cells per well</w:t>
      </w:r>
      <w:r w:rsidR="006A7EDD" w:rsidRPr="00DF6D96">
        <w:rPr>
          <w:rFonts w:ascii="Book Antiqua" w:hAnsi="Book Antiqua"/>
          <w:color w:val="auto"/>
          <w:sz w:val="24"/>
          <w:szCs w:val="24"/>
        </w:rPr>
        <w:t xml:space="preserve"> </w:t>
      </w:r>
      <w:r w:rsidR="007C5683" w:rsidRPr="00DF6D96">
        <w:rPr>
          <w:rFonts w:ascii="Book Antiqua" w:hAnsi="Book Antiqua"/>
          <w:color w:val="auto"/>
          <w:sz w:val="24"/>
          <w:szCs w:val="24"/>
        </w:rPr>
        <w:t xml:space="preserve">with </w:t>
      </w:r>
      <w:r w:rsidR="00157A9B" w:rsidRPr="00DF6D96">
        <w:rPr>
          <w:rFonts w:ascii="Book Antiqua" w:hAnsi="Book Antiqua"/>
          <w:color w:val="auto"/>
          <w:sz w:val="24"/>
          <w:szCs w:val="24"/>
        </w:rPr>
        <w:t>five</w:t>
      </w:r>
      <w:r w:rsidR="007C5683" w:rsidRPr="00DF6D96">
        <w:rPr>
          <w:rFonts w:ascii="Book Antiqua" w:hAnsi="Book Antiqua"/>
          <w:color w:val="auto"/>
          <w:sz w:val="24"/>
          <w:szCs w:val="24"/>
        </w:rPr>
        <w:t xml:space="preserve"> replicates. DMEM medium containing 10% FBS was used to culture the cells. At 6</w:t>
      </w:r>
      <w:r w:rsidR="00D72430">
        <w:rPr>
          <w:rFonts w:ascii="Book Antiqua" w:hAnsi="Book Antiqua" w:hint="eastAsia"/>
          <w:color w:val="auto"/>
          <w:sz w:val="24"/>
          <w:szCs w:val="24"/>
          <w:lang w:eastAsia="zh-CN"/>
        </w:rPr>
        <w:t xml:space="preserve"> h</w:t>
      </w:r>
      <w:r w:rsidR="007C5683" w:rsidRPr="00DF6D96">
        <w:rPr>
          <w:rFonts w:ascii="Book Antiqua" w:hAnsi="Book Antiqua"/>
          <w:color w:val="auto"/>
          <w:sz w:val="24"/>
          <w:szCs w:val="24"/>
        </w:rPr>
        <w:t>, 24</w:t>
      </w:r>
      <w:r w:rsidR="00D72430">
        <w:rPr>
          <w:rFonts w:ascii="Book Antiqua" w:hAnsi="Book Antiqua" w:hint="eastAsia"/>
          <w:color w:val="auto"/>
          <w:sz w:val="24"/>
          <w:szCs w:val="24"/>
          <w:lang w:eastAsia="zh-CN"/>
        </w:rPr>
        <w:t xml:space="preserve"> h</w:t>
      </w:r>
      <w:r w:rsidR="007C5683" w:rsidRPr="00DF6D96">
        <w:rPr>
          <w:rFonts w:ascii="Book Antiqua" w:hAnsi="Book Antiqua"/>
          <w:color w:val="auto"/>
          <w:sz w:val="24"/>
          <w:szCs w:val="24"/>
        </w:rPr>
        <w:t>, 48</w:t>
      </w:r>
      <w:r w:rsidR="00D72430">
        <w:rPr>
          <w:rFonts w:ascii="Book Antiqua" w:hAnsi="Book Antiqua" w:hint="eastAsia"/>
          <w:color w:val="auto"/>
          <w:sz w:val="24"/>
          <w:szCs w:val="24"/>
          <w:lang w:eastAsia="zh-CN"/>
        </w:rPr>
        <w:t xml:space="preserve"> h</w:t>
      </w:r>
      <w:r w:rsidR="007C5683" w:rsidRPr="00DF6D96">
        <w:rPr>
          <w:rFonts w:ascii="Book Antiqua" w:hAnsi="Book Antiqua"/>
          <w:color w:val="auto"/>
          <w:sz w:val="24"/>
          <w:szCs w:val="24"/>
        </w:rPr>
        <w:t>, 72</w:t>
      </w:r>
      <w:r w:rsidR="00D72430">
        <w:rPr>
          <w:rFonts w:ascii="Book Antiqua" w:hAnsi="Book Antiqua" w:hint="eastAsia"/>
          <w:color w:val="auto"/>
          <w:sz w:val="24"/>
          <w:szCs w:val="24"/>
          <w:lang w:eastAsia="zh-CN"/>
        </w:rPr>
        <w:t xml:space="preserve"> h</w:t>
      </w:r>
      <w:r w:rsidR="007C5683" w:rsidRPr="00DF6D96">
        <w:rPr>
          <w:rFonts w:ascii="Book Antiqua" w:hAnsi="Book Antiqua"/>
          <w:color w:val="auto"/>
          <w:sz w:val="24"/>
          <w:szCs w:val="24"/>
        </w:rPr>
        <w:t>, 96</w:t>
      </w:r>
      <w:r w:rsidR="00D72430">
        <w:rPr>
          <w:rFonts w:ascii="Book Antiqua" w:hAnsi="Book Antiqua" w:hint="eastAsia"/>
          <w:color w:val="auto"/>
          <w:sz w:val="24"/>
          <w:szCs w:val="24"/>
          <w:lang w:eastAsia="zh-CN"/>
        </w:rPr>
        <w:t xml:space="preserve"> h</w:t>
      </w:r>
      <w:r w:rsidR="007C5683" w:rsidRPr="00DF6D96">
        <w:rPr>
          <w:rFonts w:ascii="Book Antiqua" w:hAnsi="Book Antiqua"/>
          <w:color w:val="auto"/>
          <w:sz w:val="24"/>
          <w:szCs w:val="24"/>
        </w:rPr>
        <w:t>, or 120 h after plating the cells, 100 μL of DMEM containing 10 μL of CCK-8 solution w</w:t>
      </w:r>
      <w:r w:rsidR="00157A9B" w:rsidRPr="00DF6D96">
        <w:rPr>
          <w:rFonts w:ascii="Book Antiqua" w:hAnsi="Book Antiqua"/>
          <w:color w:val="auto"/>
          <w:sz w:val="24"/>
          <w:szCs w:val="24"/>
        </w:rPr>
        <w:t>as</w:t>
      </w:r>
      <w:r w:rsidR="007C5683" w:rsidRPr="00DF6D96">
        <w:rPr>
          <w:rFonts w:ascii="Book Antiqua" w:hAnsi="Book Antiqua"/>
          <w:color w:val="auto"/>
          <w:sz w:val="24"/>
          <w:szCs w:val="24"/>
        </w:rPr>
        <w:t xml:space="preserve"> added into each well. The wells were then incubated for 2 h at 37</w:t>
      </w:r>
      <w:r w:rsidR="00D72430">
        <w:rPr>
          <w:rFonts w:ascii="Book Antiqua" w:hAnsi="Book Antiqua" w:hint="eastAsia"/>
          <w:color w:val="auto"/>
          <w:sz w:val="24"/>
          <w:szCs w:val="24"/>
          <w:lang w:eastAsia="zh-CN"/>
        </w:rPr>
        <w:t xml:space="preserve"> </w:t>
      </w:r>
      <w:r w:rsidR="007C5683" w:rsidRPr="00DF6D96">
        <w:rPr>
          <w:rFonts w:ascii="Book Antiqua" w:hAnsi="Book Antiqua"/>
          <w:color w:val="auto"/>
          <w:sz w:val="24"/>
          <w:szCs w:val="24"/>
        </w:rPr>
        <w:t xml:space="preserve">°C, and the absorbance was measured at 450 nm. The absorbance at 6 h of each group was designated as baseline. </w:t>
      </w:r>
    </w:p>
    <w:p w14:paraId="23828F47"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5145F900"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Colony formation assay</w:t>
      </w:r>
    </w:p>
    <w:p w14:paraId="046E64A6" w14:textId="7B6F81C5"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500 cells/well were seeded in 6-wel</w:t>
      </w:r>
      <w:r w:rsidR="0003346E" w:rsidRPr="00DF6D96">
        <w:rPr>
          <w:rFonts w:ascii="Book Antiqua" w:hAnsi="Book Antiqua"/>
          <w:color w:val="auto"/>
          <w:sz w:val="24"/>
          <w:szCs w:val="24"/>
        </w:rPr>
        <w:t xml:space="preserve">l plates and cultured for 2 </w:t>
      </w:r>
      <w:r w:rsidR="0003346E" w:rsidRPr="00DF6D96">
        <w:rPr>
          <w:rFonts w:ascii="Book Antiqua" w:hAnsi="Book Antiqua"/>
          <w:color w:val="auto"/>
          <w:sz w:val="24"/>
          <w:szCs w:val="24"/>
          <w:lang w:eastAsia="zh-CN"/>
        </w:rPr>
        <w:t>wk</w:t>
      </w:r>
      <w:r w:rsidR="004F0ADF" w:rsidRPr="00DF6D96">
        <w:rPr>
          <w:rFonts w:ascii="Book Antiqua" w:hAnsi="Book Antiqua"/>
          <w:color w:val="auto"/>
          <w:sz w:val="24"/>
          <w:szCs w:val="24"/>
        </w:rPr>
        <w:t xml:space="preserve">. The </w:t>
      </w:r>
      <w:r w:rsidR="00BB5C5F" w:rsidRPr="00DF6D96">
        <w:rPr>
          <w:rFonts w:ascii="Book Antiqua" w:hAnsi="Book Antiqua"/>
          <w:color w:val="auto"/>
          <w:sz w:val="24"/>
          <w:szCs w:val="24"/>
          <w:lang w:eastAsia="zh-CN"/>
        </w:rPr>
        <w:t>gener</w:t>
      </w:r>
      <w:r w:rsidR="004F0ADF" w:rsidRPr="00DF6D96">
        <w:rPr>
          <w:rFonts w:ascii="Book Antiqua" w:hAnsi="Book Antiqua"/>
          <w:color w:val="auto"/>
          <w:sz w:val="24"/>
          <w:szCs w:val="24"/>
          <w:lang w:eastAsia="zh-CN"/>
        </w:rPr>
        <w:t>ated</w:t>
      </w:r>
      <w:r w:rsidRPr="00DF6D96">
        <w:rPr>
          <w:rFonts w:ascii="Book Antiqua" w:hAnsi="Book Antiqua"/>
          <w:color w:val="auto"/>
          <w:sz w:val="24"/>
          <w:szCs w:val="24"/>
        </w:rPr>
        <w:t xml:space="preserve"> colonies were fixed with 4% paraformaldehyde and</w:t>
      </w:r>
      <w:r w:rsidR="004F0ADF" w:rsidRPr="00DF6D96">
        <w:rPr>
          <w:rFonts w:ascii="Book Antiqua" w:hAnsi="Book Antiqua"/>
          <w:color w:val="auto"/>
          <w:sz w:val="24"/>
          <w:szCs w:val="24"/>
          <w:lang w:eastAsia="zh-CN"/>
        </w:rPr>
        <w:t xml:space="preserve"> then</w:t>
      </w:r>
      <w:r w:rsidRPr="00DF6D96">
        <w:rPr>
          <w:rFonts w:ascii="Book Antiqua" w:hAnsi="Book Antiqua"/>
          <w:color w:val="auto"/>
          <w:sz w:val="24"/>
          <w:szCs w:val="24"/>
        </w:rPr>
        <w:t xml:space="preserve"> stained with 5% </w:t>
      </w:r>
      <w:bookmarkStart w:id="35" w:name="3dy6vkm" w:colFirst="0" w:colLast="0"/>
      <w:bookmarkStart w:id="36" w:name="1t3h5sf" w:colFirst="0" w:colLast="0"/>
      <w:bookmarkEnd w:id="35"/>
      <w:bookmarkEnd w:id="36"/>
      <w:r w:rsidR="00D72430">
        <w:rPr>
          <w:rFonts w:ascii="Book Antiqua" w:hAnsi="Book Antiqua"/>
          <w:color w:val="auto"/>
          <w:sz w:val="24"/>
          <w:szCs w:val="24"/>
        </w:rPr>
        <w:t>Crystal Violet Dyes (Sigma</w:t>
      </w:r>
      <w:r w:rsidRPr="00DF6D96">
        <w:rPr>
          <w:rFonts w:ascii="Book Antiqua" w:hAnsi="Book Antiqua"/>
          <w:color w:val="auto"/>
          <w:sz w:val="24"/>
          <w:szCs w:val="24"/>
        </w:rPr>
        <w:t xml:space="preserve">, MO, </w:t>
      </w:r>
      <w:r w:rsidR="00D72430" w:rsidRPr="00D72430">
        <w:rPr>
          <w:rFonts w:ascii="Book Antiqua" w:hAnsi="Book Antiqua"/>
          <w:color w:val="auto"/>
          <w:sz w:val="24"/>
          <w:szCs w:val="24"/>
        </w:rPr>
        <w:t>United States</w:t>
      </w:r>
      <w:r w:rsidRPr="00DF6D96">
        <w:rPr>
          <w:rFonts w:ascii="Book Antiqua" w:hAnsi="Book Antiqua"/>
          <w:color w:val="auto"/>
          <w:sz w:val="24"/>
          <w:szCs w:val="24"/>
        </w:rPr>
        <w:t xml:space="preserve">). The total number of colonies </w:t>
      </w:r>
      <w:r w:rsidR="004F0ADF" w:rsidRPr="00DF6D96">
        <w:rPr>
          <w:rFonts w:ascii="Book Antiqua" w:hAnsi="Book Antiqua"/>
          <w:color w:val="auto"/>
          <w:sz w:val="24"/>
          <w:szCs w:val="24"/>
          <w:lang w:eastAsia="zh-CN"/>
        </w:rPr>
        <w:t xml:space="preserve">in each well </w:t>
      </w:r>
      <w:r w:rsidRPr="00DF6D96">
        <w:rPr>
          <w:rFonts w:ascii="Book Antiqua" w:hAnsi="Book Antiqua"/>
          <w:color w:val="auto"/>
          <w:sz w:val="24"/>
          <w:szCs w:val="24"/>
        </w:rPr>
        <w:t>was manually counted.</w:t>
      </w:r>
    </w:p>
    <w:p w14:paraId="7FD26D68"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1A17DA25"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Cell invasion and migration assay</w:t>
      </w:r>
    </w:p>
    <w:p w14:paraId="20188CDE" w14:textId="4FD9FEB0"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Cell </w:t>
      </w:r>
      <w:r w:rsidR="00CD2079" w:rsidRPr="00DF6D96">
        <w:rPr>
          <w:rFonts w:ascii="Book Antiqua" w:hAnsi="Book Antiqua"/>
          <w:color w:val="auto"/>
          <w:sz w:val="24"/>
          <w:szCs w:val="24"/>
        </w:rPr>
        <w:t xml:space="preserve">invasion and </w:t>
      </w:r>
      <w:r w:rsidRPr="00DF6D96">
        <w:rPr>
          <w:rFonts w:ascii="Book Antiqua" w:hAnsi="Book Antiqua"/>
          <w:color w:val="auto"/>
          <w:sz w:val="24"/>
          <w:szCs w:val="24"/>
        </w:rPr>
        <w:t xml:space="preserve">migration </w:t>
      </w:r>
      <w:r w:rsidR="00CD2079" w:rsidRPr="00DF6D96">
        <w:rPr>
          <w:rFonts w:ascii="Book Antiqua" w:hAnsi="Book Antiqua"/>
          <w:color w:val="auto"/>
          <w:sz w:val="24"/>
          <w:szCs w:val="24"/>
        </w:rPr>
        <w:t>assays were carried out</w:t>
      </w:r>
      <w:r w:rsidRPr="00DF6D96">
        <w:rPr>
          <w:rFonts w:ascii="Book Antiqua" w:hAnsi="Book Antiqua"/>
          <w:color w:val="auto"/>
          <w:sz w:val="24"/>
          <w:szCs w:val="24"/>
        </w:rPr>
        <w:t xml:space="preserve"> </w:t>
      </w:r>
      <w:r w:rsidR="00E90758" w:rsidRPr="00DF6D96">
        <w:rPr>
          <w:rFonts w:ascii="Book Antiqua" w:hAnsi="Book Antiqua"/>
          <w:color w:val="auto"/>
          <w:sz w:val="24"/>
          <w:szCs w:val="24"/>
        </w:rPr>
        <w:t xml:space="preserve">using </w:t>
      </w:r>
      <w:r w:rsidR="00CD2079" w:rsidRPr="00DF6D96">
        <w:rPr>
          <w:rFonts w:ascii="Book Antiqua" w:hAnsi="Book Antiqua"/>
          <w:color w:val="auto"/>
          <w:sz w:val="24"/>
          <w:szCs w:val="24"/>
        </w:rPr>
        <w:t>a 24-well plate and</w:t>
      </w:r>
      <w:r w:rsidRPr="00DF6D96">
        <w:rPr>
          <w:rFonts w:ascii="Book Antiqua" w:hAnsi="Book Antiqua"/>
          <w:color w:val="auto"/>
          <w:sz w:val="24"/>
          <w:szCs w:val="24"/>
        </w:rPr>
        <w:t xml:space="preserve"> 8-μm polyethylene terephthalate membrane filters (Costar, MA, </w:t>
      </w:r>
      <w:r w:rsidR="00D72430" w:rsidRPr="00D72430">
        <w:rPr>
          <w:rFonts w:ascii="Book Antiqua" w:hAnsi="Book Antiqua"/>
          <w:color w:val="auto"/>
          <w:sz w:val="24"/>
          <w:szCs w:val="24"/>
        </w:rPr>
        <w:t>United States</w:t>
      </w:r>
      <w:r w:rsidRPr="00DF6D96">
        <w:rPr>
          <w:rFonts w:ascii="Book Antiqua" w:hAnsi="Book Antiqua"/>
          <w:color w:val="auto"/>
          <w:sz w:val="24"/>
          <w:szCs w:val="24"/>
        </w:rPr>
        <w:t xml:space="preserve">). 200 </w:t>
      </w:r>
      <w:bookmarkStart w:id="37" w:name="17dp8vu" w:colFirst="0" w:colLast="0"/>
      <w:bookmarkStart w:id="38" w:name="3rdcrjn" w:colFirst="0" w:colLast="0"/>
      <w:bookmarkEnd w:id="37"/>
      <w:bookmarkEnd w:id="38"/>
      <w:r w:rsidRPr="00DF6D96">
        <w:rPr>
          <w:rFonts w:ascii="Book Antiqua" w:hAnsi="Book Antiqua"/>
          <w:color w:val="auto"/>
          <w:sz w:val="24"/>
          <w:szCs w:val="24"/>
        </w:rPr>
        <w:t xml:space="preserve">μL of serum-free medium </w:t>
      </w:r>
      <w:r w:rsidR="00CD2079" w:rsidRPr="00DF6D96">
        <w:rPr>
          <w:rFonts w:ascii="Book Antiqua" w:hAnsi="Book Antiqua"/>
          <w:color w:val="auto"/>
          <w:sz w:val="24"/>
          <w:szCs w:val="24"/>
        </w:rPr>
        <w:t>containing 3</w:t>
      </w:r>
      <w:r w:rsidR="00D72430">
        <w:rPr>
          <w:rFonts w:ascii="Book Antiqua" w:hAnsi="Book Antiqua" w:hint="eastAsia"/>
          <w:color w:val="auto"/>
          <w:sz w:val="24"/>
          <w:szCs w:val="24"/>
          <w:lang w:eastAsia="zh-CN"/>
        </w:rPr>
        <w:t xml:space="preserve"> </w:t>
      </w:r>
      <w:r w:rsidR="00CD2079" w:rsidRPr="00DF6D96">
        <w:rPr>
          <w:rFonts w:ascii="Book Antiqua" w:hAnsi="Book Antiqua"/>
          <w:color w:val="auto"/>
          <w:sz w:val="24"/>
          <w:szCs w:val="24"/>
        </w:rPr>
        <w:t>×</w:t>
      </w:r>
      <w:r w:rsidR="00D72430">
        <w:rPr>
          <w:rFonts w:ascii="Book Antiqua" w:hAnsi="Book Antiqua" w:hint="eastAsia"/>
          <w:color w:val="auto"/>
          <w:sz w:val="24"/>
          <w:szCs w:val="24"/>
          <w:lang w:eastAsia="zh-CN"/>
        </w:rPr>
        <w:t xml:space="preserve"> </w:t>
      </w:r>
      <w:r w:rsidR="00CD2079" w:rsidRPr="00DF6D96">
        <w:rPr>
          <w:rFonts w:ascii="Book Antiqua" w:hAnsi="Book Antiqua"/>
          <w:color w:val="auto"/>
          <w:sz w:val="24"/>
          <w:szCs w:val="24"/>
        </w:rPr>
        <w:t>10</w:t>
      </w:r>
      <w:r w:rsidR="00CD2079" w:rsidRPr="00DF6D96">
        <w:rPr>
          <w:rFonts w:ascii="Book Antiqua" w:hAnsi="Book Antiqua"/>
          <w:color w:val="auto"/>
          <w:sz w:val="24"/>
          <w:szCs w:val="24"/>
          <w:vertAlign w:val="superscript"/>
        </w:rPr>
        <w:t>4</w:t>
      </w:r>
      <w:r w:rsidR="00CD2079" w:rsidRPr="00DF6D96">
        <w:rPr>
          <w:rFonts w:ascii="Book Antiqua" w:hAnsi="Book Antiqua"/>
          <w:color w:val="auto"/>
          <w:sz w:val="24"/>
          <w:szCs w:val="24"/>
        </w:rPr>
        <w:t xml:space="preserve"> </w:t>
      </w:r>
      <w:bookmarkStart w:id="39" w:name="2s8eyo1" w:colFirst="0" w:colLast="0"/>
      <w:bookmarkStart w:id="40" w:name="4d34og8" w:colFirst="0" w:colLast="0"/>
      <w:bookmarkEnd w:id="39"/>
      <w:bookmarkEnd w:id="40"/>
      <w:r w:rsidR="00CD2079" w:rsidRPr="00DF6D96">
        <w:rPr>
          <w:rFonts w:ascii="Book Antiqua" w:hAnsi="Book Antiqua"/>
          <w:color w:val="auto"/>
          <w:sz w:val="24"/>
          <w:szCs w:val="24"/>
        </w:rPr>
        <w:t xml:space="preserve">HepG2 and SMMC-7721 cells </w:t>
      </w:r>
      <w:r w:rsidRPr="00DF6D96">
        <w:rPr>
          <w:rFonts w:ascii="Book Antiqua" w:hAnsi="Book Antiqua"/>
          <w:color w:val="auto"/>
          <w:sz w:val="24"/>
          <w:szCs w:val="24"/>
        </w:rPr>
        <w:t>we</w:t>
      </w:r>
      <w:r w:rsidR="00CD2079" w:rsidRPr="00DF6D96">
        <w:rPr>
          <w:rFonts w:ascii="Book Antiqua" w:hAnsi="Book Antiqua"/>
          <w:color w:val="auto"/>
          <w:sz w:val="24"/>
          <w:szCs w:val="24"/>
        </w:rPr>
        <w:t xml:space="preserve">re added to the upper chambers, </w:t>
      </w:r>
      <w:r w:rsidRPr="00DF6D96">
        <w:rPr>
          <w:rFonts w:ascii="Book Antiqua" w:hAnsi="Book Antiqua"/>
          <w:color w:val="auto"/>
          <w:sz w:val="24"/>
          <w:szCs w:val="24"/>
        </w:rPr>
        <w:t>which contained either uncoated</w:t>
      </w:r>
      <w:r w:rsidR="00CD2079" w:rsidRPr="00DF6D96">
        <w:rPr>
          <w:rFonts w:ascii="Book Antiqua" w:hAnsi="Book Antiqua"/>
          <w:color w:val="auto"/>
          <w:sz w:val="24"/>
          <w:szCs w:val="24"/>
        </w:rPr>
        <w:t xml:space="preserve"> (for migration assay)</w:t>
      </w:r>
      <w:r w:rsidRPr="00DF6D96">
        <w:rPr>
          <w:rFonts w:ascii="Book Antiqua" w:hAnsi="Book Antiqua"/>
          <w:color w:val="auto"/>
          <w:sz w:val="24"/>
          <w:szCs w:val="24"/>
        </w:rPr>
        <w:t xml:space="preserve"> or Matrigel coated </w:t>
      </w:r>
      <w:r w:rsidR="00CD2079" w:rsidRPr="00DF6D96">
        <w:rPr>
          <w:rFonts w:ascii="Book Antiqua" w:hAnsi="Book Antiqua"/>
          <w:color w:val="auto"/>
          <w:sz w:val="24"/>
          <w:szCs w:val="24"/>
        </w:rPr>
        <w:t xml:space="preserve">(for invasion assay) </w:t>
      </w:r>
      <w:r w:rsidRPr="00DF6D96">
        <w:rPr>
          <w:rFonts w:ascii="Book Antiqua" w:hAnsi="Book Antiqua"/>
          <w:color w:val="auto"/>
          <w:sz w:val="24"/>
          <w:szCs w:val="24"/>
        </w:rPr>
        <w:t xml:space="preserve">membranes. Each </w:t>
      </w:r>
      <w:r w:rsidR="004144D6" w:rsidRPr="00DF6D96">
        <w:rPr>
          <w:rFonts w:ascii="Book Antiqua" w:hAnsi="Book Antiqua"/>
          <w:color w:val="auto"/>
          <w:sz w:val="24"/>
          <w:szCs w:val="24"/>
        </w:rPr>
        <w:t xml:space="preserve">inferior </w:t>
      </w:r>
      <w:r w:rsidRPr="00DF6D96">
        <w:rPr>
          <w:rFonts w:ascii="Book Antiqua" w:hAnsi="Book Antiqua"/>
          <w:color w:val="auto"/>
          <w:sz w:val="24"/>
          <w:szCs w:val="24"/>
        </w:rPr>
        <w:t>chamber was filled</w:t>
      </w:r>
      <w:r w:rsidR="00C31CD1" w:rsidRPr="00DF6D96">
        <w:rPr>
          <w:rFonts w:ascii="Book Antiqua" w:hAnsi="Book Antiqua"/>
          <w:color w:val="auto"/>
          <w:sz w:val="24"/>
          <w:szCs w:val="24"/>
        </w:rPr>
        <w:t xml:space="preserve"> with 600 μL</w:t>
      </w:r>
      <w:r w:rsidR="00E90758" w:rsidRPr="00DF6D96">
        <w:rPr>
          <w:rFonts w:ascii="Book Antiqua" w:hAnsi="Book Antiqua"/>
          <w:color w:val="auto"/>
          <w:sz w:val="24"/>
          <w:szCs w:val="24"/>
        </w:rPr>
        <w:t xml:space="preserve"> </w:t>
      </w:r>
      <w:r w:rsidR="00CD2079" w:rsidRPr="00DF6D96">
        <w:rPr>
          <w:rFonts w:ascii="Book Antiqua" w:hAnsi="Book Antiqua"/>
          <w:color w:val="auto"/>
          <w:sz w:val="24"/>
          <w:szCs w:val="24"/>
        </w:rPr>
        <w:t>medium containing</w:t>
      </w:r>
      <w:r w:rsidRPr="00DF6D96">
        <w:rPr>
          <w:rFonts w:ascii="Book Antiqua" w:hAnsi="Book Antiqua"/>
          <w:color w:val="auto"/>
          <w:sz w:val="24"/>
          <w:szCs w:val="24"/>
        </w:rPr>
        <w:t xml:space="preserve"> 10% FBS. After 16 h of incu</w:t>
      </w:r>
      <w:r w:rsidR="00C31CD1" w:rsidRPr="00DF6D96">
        <w:rPr>
          <w:rFonts w:ascii="Book Antiqua" w:hAnsi="Book Antiqua"/>
          <w:color w:val="auto"/>
          <w:sz w:val="24"/>
          <w:szCs w:val="24"/>
        </w:rPr>
        <w:t>bation, the filters were taken out,</w:t>
      </w:r>
      <w:r w:rsidRPr="00DF6D96">
        <w:rPr>
          <w:rFonts w:ascii="Book Antiqua" w:hAnsi="Book Antiqua"/>
          <w:color w:val="auto"/>
          <w:sz w:val="24"/>
          <w:szCs w:val="24"/>
        </w:rPr>
        <w:t xml:space="preserve"> </w:t>
      </w:r>
      <w:r w:rsidR="00C31CD1" w:rsidRPr="00DF6D96">
        <w:rPr>
          <w:rFonts w:ascii="Book Antiqua" w:hAnsi="Book Antiqua"/>
          <w:color w:val="auto"/>
          <w:sz w:val="24"/>
          <w:szCs w:val="24"/>
        </w:rPr>
        <w:t>fixed with 4% paraformaldehyde for 30 min and stained with Crystal Violet Dyes for 30 min. T</w:t>
      </w:r>
      <w:r w:rsidRPr="00DF6D96">
        <w:rPr>
          <w:rFonts w:ascii="Book Antiqua" w:hAnsi="Book Antiqua"/>
          <w:color w:val="auto"/>
          <w:sz w:val="24"/>
          <w:szCs w:val="24"/>
        </w:rPr>
        <w:t>he</w:t>
      </w:r>
      <w:r w:rsidR="00C31CD1" w:rsidRPr="00DF6D96">
        <w:rPr>
          <w:rFonts w:ascii="Book Antiqua" w:hAnsi="Book Antiqua"/>
          <w:color w:val="auto"/>
          <w:sz w:val="24"/>
          <w:szCs w:val="24"/>
        </w:rPr>
        <w:t>n the</w:t>
      </w:r>
      <w:r w:rsidRPr="00DF6D96">
        <w:rPr>
          <w:rFonts w:ascii="Book Antiqua" w:hAnsi="Book Antiqua"/>
          <w:color w:val="auto"/>
          <w:sz w:val="24"/>
          <w:szCs w:val="24"/>
        </w:rPr>
        <w:t xml:space="preserve"> remaining cells on the upper sides of the filters were </w:t>
      </w:r>
      <w:r w:rsidR="00C31CD1" w:rsidRPr="00DF6D96">
        <w:rPr>
          <w:rFonts w:ascii="Book Antiqua" w:hAnsi="Book Antiqua"/>
          <w:color w:val="auto"/>
          <w:sz w:val="24"/>
          <w:szCs w:val="24"/>
        </w:rPr>
        <w:t>removed</w:t>
      </w:r>
      <w:r w:rsidRPr="00DF6D96">
        <w:rPr>
          <w:rFonts w:ascii="Book Antiqua" w:hAnsi="Book Antiqua"/>
          <w:color w:val="auto"/>
          <w:sz w:val="24"/>
          <w:szCs w:val="24"/>
        </w:rPr>
        <w:t xml:space="preserve"> using cotton swabs. </w:t>
      </w:r>
      <w:r w:rsidR="00557081" w:rsidRPr="00DF6D96">
        <w:rPr>
          <w:rFonts w:ascii="Book Antiqua" w:hAnsi="Book Antiqua"/>
          <w:color w:val="auto"/>
          <w:sz w:val="24"/>
          <w:szCs w:val="24"/>
        </w:rPr>
        <w:t>Migrated or invaded cells in 4</w:t>
      </w:r>
      <w:r w:rsidRPr="00DF6D96">
        <w:rPr>
          <w:rFonts w:ascii="Book Antiqua" w:hAnsi="Book Antiqua"/>
          <w:color w:val="auto"/>
          <w:sz w:val="24"/>
          <w:szCs w:val="24"/>
        </w:rPr>
        <w:t xml:space="preserve"> randomly chosen fields (×100 magnification) per well</w:t>
      </w:r>
      <w:r w:rsidR="00557081" w:rsidRPr="00DF6D96">
        <w:rPr>
          <w:rFonts w:ascii="Book Antiqua" w:hAnsi="Book Antiqua"/>
          <w:color w:val="auto"/>
          <w:sz w:val="24"/>
          <w:szCs w:val="24"/>
        </w:rPr>
        <w:t xml:space="preserve"> were counted</w:t>
      </w:r>
      <w:r w:rsidRPr="00DF6D96">
        <w:rPr>
          <w:rFonts w:ascii="Book Antiqua" w:hAnsi="Book Antiqua"/>
          <w:color w:val="auto"/>
          <w:sz w:val="24"/>
          <w:szCs w:val="24"/>
        </w:rPr>
        <w:t>.</w:t>
      </w:r>
    </w:p>
    <w:p w14:paraId="790C8518"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68E0E8CD"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Wound healing assay</w:t>
      </w:r>
    </w:p>
    <w:p w14:paraId="174FFD9B" w14:textId="107A49C6" w:rsidR="00C35D84" w:rsidRDefault="007C5683" w:rsidP="0030419F">
      <w:pPr>
        <w:pStyle w:val="1"/>
        <w:adjustRightInd w:val="0"/>
        <w:snapToGrid w:val="0"/>
        <w:spacing w:line="360" w:lineRule="auto"/>
        <w:rPr>
          <w:rFonts w:ascii="Book Antiqua" w:hAnsi="Book Antiqua"/>
          <w:color w:val="auto"/>
          <w:sz w:val="24"/>
          <w:szCs w:val="24"/>
          <w:lang w:eastAsia="zh-CN"/>
        </w:rPr>
      </w:pPr>
      <w:bookmarkStart w:id="41" w:name="26in1rg" w:colFirst="0" w:colLast="0"/>
      <w:bookmarkStart w:id="42" w:name="lnxbz9" w:colFirst="0" w:colLast="0"/>
      <w:bookmarkEnd w:id="41"/>
      <w:bookmarkEnd w:id="42"/>
      <w:r w:rsidRPr="00DF6D96">
        <w:rPr>
          <w:rFonts w:ascii="Book Antiqua" w:hAnsi="Book Antiqua"/>
          <w:color w:val="auto"/>
          <w:sz w:val="24"/>
          <w:szCs w:val="24"/>
        </w:rPr>
        <w:t xml:space="preserve">HepG2 and SMMC-7721 cells were seeded into 6-well plates and grown to </w:t>
      </w:r>
      <w:r w:rsidR="00A31F9F" w:rsidRPr="00DF6D96">
        <w:rPr>
          <w:rFonts w:ascii="Book Antiqua" w:hAnsi="Book Antiqua"/>
          <w:color w:val="auto"/>
          <w:sz w:val="24"/>
          <w:szCs w:val="24"/>
          <w:lang w:eastAsia="zh-CN"/>
        </w:rPr>
        <w:t xml:space="preserve">90% </w:t>
      </w:r>
      <w:r w:rsidRPr="00DF6D96">
        <w:rPr>
          <w:rFonts w:ascii="Book Antiqua" w:hAnsi="Book Antiqua"/>
          <w:color w:val="auto"/>
          <w:sz w:val="24"/>
          <w:szCs w:val="24"/>
        </w:rPr>
        <w:t xml:space="preserve">confluence. </w:t>
      </w:r>
      <w:r w:rsidR="009F1243" w:rsidRPr="00DF6D96">
        <w:rPr>
          <w:rFonts w:ascii="Book Antiqua" w:hAnsi="Book Antiqua"/>
          <w:color w:val="auto"/>
          <w:sz w:val="24"/>
          <w:szCs w:val="24"/>
        </w:rPr>
        <w:t>T</w:t>
      </w:r>
      <w:r w:rsidR="009F1243" w:rsidRPr="00DF6D96">
        <w:rPr>
          <w:rFonts w:ascii="Book Antiqua" w:hAnsi="Book Antiqua"/>
          <w:color w:val="auto"/>
          <w:sz w:val="24"/>
          <w:szCs w:val="24"/>
          <w:lang w:eastAsia="zh-CN"/>
        </w:rPr>
        <w:t xml:space="preserve">hen </w:t>
      </w:r>
      <w:r w:rsidRPr="00DF6D96">
        <w:rPr>
          <w:rFonts w:ascii="Book Antiqua" w:hAnsi="Book Antiqua"/>
          <w:color w:val="auto"/>
          <w:sz w:val="24"/>
          <w:szCs w:val="24"/>
        </w:rPr>
        <w:t xml:space="preserve">the confluent cell monolayers </w:t>
      </w:r>
      <w:r w:rsidR="009F1243" w:rsidRPr="00DF6D96">
        <w:rPr>
          <w:rFonts w:ascii="Book Antiqua" w:hAnsi="Book Antiqua"/>
          <w:color w:val="auto"/>
          <w:sz w:val="24"/>
          <w:szCs w:val="24"/>
          <w:lang w:eastAsia="zh-CN"/>
        </w:rPr>
        <w:t xml:space="preserve">were </w:t>
      </w:r>
      <w:r w:rsidR="009F1243" w:rsidRPr="00DF6D96">
        <w:rPr>
          <w:rFonts w:ascii="Book Antiqua" w:hAnsi="Book Antiqua"/>
          <w:color w:val="auto"/>
          <w:sz w:val="24"/>
          <w:szCs w:val="24"/>
        </w:rPr>
        <w:t xml:space="preserve">scraped </w:t>
      </w:r>
      <w:r w:rsidRPr="00DF6D96">
        <w:rPr>
          <w:rFonts w:ascii="Book Antiqua" w:hAnsi="Book Antiqua"/>
          <w:color w:val="auto"/>
          <w:sz w:val="24"/>
          <w:szCs w:val="24"/>
        </w:rPr>
        <w:t>with a 10 μL pipette tip</w:t>
      </w:r>
      <w:r w:rsidR="009F1243" w:rsidRPr="00DF6D96">
        <w:rPr>
          <w:rFonts w:ascii="Book Antiqua" w:hAnsi="Book Antiqua"/>
          <w:color w:val="auto"/>
          <w:sz w:val="24"/>
          <w:szCs w:val="24"/>
        </w:rPr>
        <w:t xml:space="preserve"> to create wounds</w:t>
      </w:r>
      <w:r w:rsidRPr="00DF6D96">
        <w:rPr>
          <w:rFonts w:ascii="Book Antiqua" w:hAnsi="Book Antiqua"/>
          <w:color w:val="auto"/>
          <w:sz w:val="24"/>
          <w:szCs w:val="24"/>
        </w:rPr>
        <w:t xml:space="preserve">. </w:t>
      </w:r>
      <w:r w:rsidR="009F1243" w:rsidRPr="00DF6D96">
        <w:rPr>
          <w:rFonts w:ascii="Book Antiqua" w:hAnsi="Book Antiqua"/>
          <w:color w:val="auto"/>
          <w:sz w:val="24"/>
          <w:szCs w:val="24"/>
        </w:rPr>
        <w:t>T</w:t>
      </w:r>
      <w:r w:rsidR="009F1243" w:rsidRPr="00DF6D96">
        <w:rPr>
          <w:rFonts w:ascii="Book Antiqua" w:hAnsi="Book Antiqua"/>
          <w:color w:val="auto"/>
          <w:sz w:val="24"/>
          <w:szCs w:val="24"/>
          <w:lang w:eastAsia="zh-CN"/>
        </w:rPr>
        <w:t xml:space="preserve">he </w:t>
      </w:r>
      <w:r w:rsidRPr="00DF6D96">
        <w:rPr>
          <w:rFonts w:ascii="Book Antiqua" w:hAnsi="Book Antiqua"/>
          <w:color w:val="auto"/>
          <w:sz w:val="24"/>
          <w:szCs w:val="24"/>
        </w:rPr>
        <w:t>cellular debris</w:t>
      </w:r>
      <w:r w:rsidR="009F1243" w:rsidRPr="00DF6D96">
        <w:rPr>
          <w:rFonts w:ascii="Book Antiqua" w:hAnsi="Book Antiqua"/>
          <w:color w:val="auto"/>
          <w:sz w:val="24"/>
          <w:szCs w:val="24"/>
        </w:rPr>
        <w:t xml:space="preserve"> were removed and cells were cultured in FBS-free medium</w:t>
      </w:r>
      <w:r w:rsidRPr="00DF6D96">
        <w:rPr>
          <w:rFonts w:ascii="Book Antiqua" w:hAnsi="Book Antiqua"/>
          <w:color w:val="auto"/>
          <w:sz w:val="24"/>
          <w:szCs w:val="24"/>
        </w:rPr>
        <w:t>. Pictures were taken under a microscope (Leica) at 0</w:t>
      </w:r>
      <w:r w:rsidR="00DA2049">
        <w:rPr>
          <w:rFonts w:ascii="Book Antiqua" w:hAnsi="Book Antiqua" w:hint="eastAsia"/>
          <w:color w:val="auto"/>
          <w:sz w:val="24"/>
          <w:szCs w:val="24"/>
          <w:lang w:eastAsia="zh-CN"/>
        </w:rPr>
        <w:t xml:space="preserve"> h</w:t>
      </w:r>
      <w:r w:rsidRPr="00DF6D96">
        <w:rPr>
          <w:rFonts w:ascii="Book Antiqua" w:hAnsi="Book Antiqua"/>
          <w:color w:val="auto"/>
          <w:sz w:val="24"/>
          <w:szCs w:val="24"/>
        </w:rPr>
        <w:t>, 24</w:t>
      </w:r>
      <w:r w:rsidR="00DA2049">
        <w:rPr>
          <w:rFonts w:ascii="Book Antiqua" w:hAnsi="Book Antiqua" w:hint="eastAsia"/>
          <w:color w:val="auto"/>
          <w:sz w:val="24"/>
          <w:szCs w:val="24"/>
          <w:lang w:eastAsia="zh-CN"/>
        </w:rPr>
        <w:t xml:space="preserve"> h</w:t>
      </w:r>
      <w:r w:rsidRPr="00DF6D96">
        <w:rPr>
          <w:rFonts w:ascii="Book Antiqua" w:hAnsi="Book Antiqua"/>
          <w:color w:val="auto"/>
          <w:sz w:val="24"/>
          <w:szCs w:val="24"/>
        </w:rPr>
        <w:t xml:space="preserve">, and 48 h. The </w:t>
      </w:r>
      <w:r w:rsidR="00B92CE8" w:rsidRPr="00DF6D96">
        <w:rPr>
          <w:rFonts w:ascii="Book Antiqua" w:hAnsi="Book Antiqua"/>
          <w:color w:val="auto"/>
          <w:sz w:val="24"/>
          <w:szCs w:val="24"/>
        </w:rPr>
        <w:t xml:space="preserve">differences in wound width represent the </w:t>
      </w:r>
      <w:r w:rsidRPr="00DF6D96">
        <w:rPr>
          <w:rFonts w:ascii="Book Antiqua" w:hAnsi="Book Antiqua"/>
          <w:color w:val="auto"/>
          <w:sz w:val="24"/>
          <w:szCs w:val="24"/>
        </w:rPr>
        <w:t>migration ability.</w:t>
      </w:r>
    </w:p>
    <w:p w14:paraId="705ADDC8"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72C0E3D2" w14:textId="77777777"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Plasmid construction and transfection</w:t>
      </w:r>
    </w:p>
    <w:p w14:paraId="01F5ACB1" w14:textId="77777777" w:rsidR="00D72430"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The coding region of PAR2 was cloned into a pcDNA3.1(+) plasmid at EcoR I and Xho I sites; this is referred to as pcDNA3.1-PAR2. Empty </w:t>
      </w:r>
      <w:r w:rsidR="0075440D" w:rsidRPr="00DF6D96">
        <w:rPr>
          <w:rFonts w:ascii="Book Antiqua" w:hAnsi="Book Antiqua"/>
          <w:color w:val="auto"/>
          <w:sz w:val="24"/>
          <w:szCs w:val="24"/>
        </w:rPr>
        <w:t xml:space="preserve">control vectors </w:t>
      </w:r>
      <w:r w:rsidRPr="00DF6D96">
        <w:rPr>
          <w:rFonts w:ascii="Book Antiqua" w:hAnsi="Book Antiqua"/>
          <w:color w:val="auto"/>
          <w:sz w:val="24"/>
          <w:szCs w:val="24"/>
        </w:rPr>
        <w:t xml:space="preserve">and pcDNA3.1-PAR2 vectors were transfected into HepG2 and SMMC-7721 cells using lipofectamine 2000 (Thermo, </w:t>
      </w:r>
      <w:r w:rsidR="00D72430" w:rsidRPr="00D72430">
        <w:rPr>
          <w:rFonts w:ascii="Book Antiqua" w:hAnsi="Book Antiqua"/>
          <w:color w:val="auto"/>
          <w:sz w:val="24"/>
          <w:szCs w:val="24"/>
        </w:rPr>
        <w:t>United States</w:t>
      </w:r>
      <w:r w:rsidRPr="00DF6D96">
        <w:rPr>
          <w:rFonts w:ascii="Book Antiqua" w:hAnsi="Book Antiqua"/>
          <w:color w:val="auto"/>
          <w:sz w:val="24"/>
          <w:szCs w:val="24"/>
        </w:rPr>
        <w:t xml:space="preserve">) </w:t>
      </w:r>
      <w:r w:rsidR="0075440D" w:rsidRPr="00DF6D96">
        <w:rPr>
          <w:rFonts w:ascii="Book Antiqua" w:hAnsi="Book Antiqua"/>
          <w:color w:val="auto"/>
          <w:sz w:val="24"/>
          <w:szCs w:val="24"/>
        </w:rPr>
        <w:t>per the</w:t>
      </w:r>
      <w:r w:rsidRPr="00DF6D96">
        <w:rPr>
          <w:rFonts w:ascii="Book Antiqua" w:hAnsi="Book Antiqua"/>
          <w:color w:val="auto"/>
          <w:sz w:val="24"/>
          <w:szCs w:val="24"/>
        </w:rPr>
        <w:t xml:space="preserve"> manufacturer’s instruction. Primer sequences for vector construction were as follows: Forward, 5’-GGAATTCTCGGGGCTTCCAGGAGGA-3’; Reverse, 5’-CCGCTCGAGTTCCCATCTGAGGACCTGG-3’. </w:t>
      </w:r>
    </w:p>
    <w:p w14:paraId="0645218D" w14:textId="77777777" w:rsidR="00D72430" w:rsidRDefault="00D72430" w:rsidP="0030419F">
      <w:pPr>
        <w:pStyle w:val="1"/>
        <w:adjustRightInd w:val="0"/>
        <w:snapToGrid w:val="0"/>
        <w:spacing w:line="360" w:lineRule="auto"/>
        <w:rPr>
          <w:rFonts w:ascii="Book Antiqua" w:hAnsi="Book Antiqua"/>
          <w:color w:val="auto"/>
          <w:sz w:val="24"/>
          <w:szCs w:val="24"/>
          <w:lang w:eastAsia="zh-CN"/>
        </w:rPr>
      </w:pPr>
    </w:p>
    <w:p w14:paraId="6EA28EAA" w14:textId="48EEA538" w:rsidR="00C35D84" w:rsidRPr="00D72430" w:rsidRDefault="007C5683" w:rsidP="0030419F">
      <w:pPr>
        <w:pStyle w:val="1"/>
        <w:adjustRightInd w:val="0"/>
        <w:snapToGrid w:val="0"/>
        <w:spacing w:line="360" w:lineRule="auto"/>
        <w:rPr>
          <w:rFonts w:ascii="Book Antiqua" w:hAnsi="Book Antiqua"/>
          <w:i/>
          <w:color w:val="auto"/>
          <w:sz w:val="24"/>
          <w:szCs w:val="24"/>
        </w:rPr>
      </w:pPr>
      <w:r w:rsidRPr="00D72430">
        <w:rPr>
          <w:rFonts w:ascii="Book Antiqua" w:hAnsi="Book Antiqua"/>
          <w:b/>
          <w:i/>
          <w:color w:val="auto"/>
          <w:sz w:val="24"/>
          <w:szCs w:val="24"/>
        </w:rPr>
        <w:t>Lentivirus-mediated RNA interference</w:t>
      </w:r>
    </w:p>
    <w:p w14:paraId="6D47F8E1" w14:textId="73A58E63" w:rsidR="00C35D84" w:rsidRDefault="005A5C0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pLKO.1 vectors</w:t>
      </w:r>
      <w:r w:rsidR="00C93F50" w:rsidRPr="00DF6D96">
        <w:rPr>
          <w:rFonts w:ascii="Book Antiqua" w:hAnsi="Book Antiqua"/>
          <w:color w:val="auto"/>
          <w:sz w:val="24"/>
          <w:szCs w:val="24"/>
        </w:rPr>
        <w:t xml:space="preserve"> </w:t>
      </w:r>
      <w:r w:rsidR="007C5683" w:rsidRPr="00DF6D96">
        <w:rPr>
          <w:rFonts w:ascii="Book Antiqua" w:hAnsi="Book Antiqua"/>
          <w:color w:val="auto"/>
          <w:sz w:val="24"/>
          <w:szCs w:val="24"/>
        </w:rPr>
        <w:t>encoding shRNA</w:t>
      </w:r>
      <w:r w:rsidR="00C93F50" w:rsidRPr="00DF6D96">
        <w:rPr>
          <w:rFonts w:ascii="Book Antiqua" w:hAnsi="Book Antiqua"/>
          <w:color w:val="auto"/>
          <w:sz w:val="24"/>
          <w:szCs w:val="24"/>
        </w:rPr>
        <w:t xml:space="preserve"> </w:t>
      </w:r>
      <w:r w:rsidR="007C5683" w:rsidRPr="00DF6D96">
        <w:rPr>
          <w:rFonts w:ascii="Book Antiqua" w:hAnsi="Book Antiqua"/>
          <w:color w:val="auto"/>
          <w:sz w:val="24"/>
          <w:szCs w:val="24"/>
        </w:rPr>
        <w:t xml:space="preserve">targeting human PAR2 were </w:t>
      </w:r>
      <w:r w:rsidR="00CA7C7D" w:rsidRPr="00DF6D96">
        <w:rPr>
          <w:rFonts w:ascii="Book Antiqua" w:hAnsi="Book Antiqua"/>
          <w:color w:val="auto"/>
          <w:sz w:val="24"/>
          <w:szCs w:val="24"/>
        </w:rPr>
        <w:t xml:space="preserve">purchased </w:t>
      </w:r>
      <w:r w:rsidR="007C5683" w:rsidRPr="00DF6D96">
        <w:rPr>
          <w:rFonts w:ascii="Book Antiqua" w:hAnsi="Book Antiqua"/>
          <w:color w:val="auto"/>
          <w:sz w:val="24"/>
          <w:szCs w:val="24"/>
        </w:rPr>
        <w:t>from Sigma (MISSION® shRNA lentivirus-mediated transduction system, SHCLNG-NM_005242). To generate lentivir</w:t>
      </w:r>
      <w:r w:rsidR="00CA7C7D" w:rsidRPr="00DF6D96">
        <w:rPr>
          <w:rFonts w:ascii="Book Antiqua" w:hAnsi="Book Antiqua"/>
          <w:color w:val="auto"/>
          <w:sz w:val="24"/>
          <w:szCs w:val="24"/>
        </w:rPr>
        <w:t>us</w:t>
      </w:r>
      <w:r w:rsidR="007C5683" w:rsidRPr="00DF6D96">
        <w:rPr>
          <w:rFonts w:ascii="Book Antiqua" w:hAnsi="Book Antiqua"/>
          <w:color w:val="auto"/>
          <w:sz w:val="24"/>
          <w:szCs w:val="24"/>
        </w:rPr>
        <w:t xml:space="preserve"> that express shRNA, HEK293T cells were cultured in DMEM </w:t>
      </w:r>
      <w:bookmarkStart w:id="43" w:name="1ksv4uv" w:colFirst="0" w:colLast="0"/>
      <w:bookmarkStart w:id="44" w:name="35nkun2" w:colFirst="0" w:colLast="0"/>
      <w:bookmarkEnd w:id="43"/>
      <w:bookmarkEnd w:id="44"/>
      <w:r w:rsidR="007C5683" w:rsidRPr="00DF6D96">
        <w:rPr>
          <w:rFonts w:ascii="Book Antiqua" w:hAnsi="Book Antiqua"/>
          <w:color w:val="auto"/>
          <w:sz w:val="24"/>
          <w:szCs w:val="24"/>
        </w:rPr>
        <w:t xml:space="preserve">(Gibco, NY, </w:t>
      </w:r>
      <w:r w:rsidR="00D72430" w:rsidRPr="00D72430">
        <w:rPr>
          <w:rFonts w:ascii="Book Antiqua" w:hAnsi="Book Antiqua"/>
          <w:color w:val="auto"/>
          <w:sz w:val="24"/>
          <w:szCs w:val="24"/>
        </w:rPr>
        <w:t>United States</w:t>
      </w:r>
      <w:r w:rsidR="007C5683" w:rsidRPr="00DF6D96">
        <w:rPr>
          <w:rFonts w:ascii="Book Antiqua" w:hAnsi="Book Antiqua"/>
          <w:color w:val="auto"/>
          <w:sz w:val="24"/>
          <w:szCs w:val="24"/>
        </w:rPr>
        <w:t>) supplemented with 10</w:t>
      </w:r>
      <w:r w:rsidR="00D72430">
        <w:rPr>
          <w:rFonts w:ascii="Book Antiqua" w:hAnsi="Book Antiqua"/>
          <w:color w:val="auto"/>
          <w:sz w:val="24"/>
          <w:szCs w:val="24"/>
        </w:rPr>
        <w:t>% FBS (Gibco</w:t>
      </w:r>
      <w:r w:rsidR="007C5683" w:rsidRPr="00DF6D96">
        <w:rPr>
          <w:rFonts w:ascii="Book Antiqua" w:hAnsi="Book Antiqua"/>
          <w:color w:val="auto"/>
          <w:sz w:val="24"/>
          <w:szCs w:val="24"/>
        </w:rPr>
        <w:t xml:space="preserve">, NY, </w:t>
      </w:r>
      <w:r w:rsidR="00D72430" w:rsidRPr="00D72430">
        <w:rPr>
          <w:rFonts w:ascii="Book Antiqua" w:hAnsi="Book Antiqua"/>
          <w:color w:val="auto"/>
          <w:sz w:val="24"/>
          <w:szCs w:val="24"/>
        </w:rPr>
        <w:t>United States</w:t>
      </w:r>
      <w:r w:rsidR="007C5683" w:rsidRPr="00DF6D96">
        <w:rPr>
          <w:rFonts w:ascii="Book Antiqua" w:hAnsi="Book Antiqua"/>
          <w:color w:val="auto"/>
          <w:sz w:val="24"/>
          <w:szCs w:val="24"/>
        </w:rPr>
        <w:t xml:space="preserve">). </w:t>
      </w:r>
      <w:r w:rsidR="00C93F50" w:rsidRPr="00DF6D96">
        <w:rPr>
          <w:rFonts w:ascii="Book Antiqua" w:hAnsi="Book Antiqua"/>
          <w:color w:val="auto"/>
          <w:sz w:val="24"/>
          <w:szCs w:val="24"/>
        </w:rPr>
        <w:t xml:space="preserve">Using polyethyleneimine, </w:t>
      </w:r>
      <w:r w:rsidR="00DD2898" w:rsidRPr="00DF6D96">
        <w:rPr>
          <w:rFonts w:ascii="Book Antiqua" w:hAnsi="Book Antiqua"/>
          <w:color w:val="auto"/>
          <w:sz w:val="24"/>
          <w:szCs w:val="24"/>
        </w:rPr>
        <w:t xml:space="preserve">we </w:t>
      </w:r>
      <w:r w:rsidR="007C5683" w:rsidRPr="00DF6D96">
        <w:rPr>
          <w:rFonts w:ascii="Book Antiqua" w:hAnsi="Book Antiqua"/>
          <w:color w:val="auto"/>
          <w:sz w:val="24"/>
          <w:szCs w:val="24"/>
        </w:rPr>
        <w:t xml:space="preserve">transfected </w:t>
      </w:r>
      <w:r w:rsidR="00426A8A" w:rsidRPr="00DF6D96">
        <w:rPr>
          <w:rFonts w:ascii="Book Antiqua" w:hAnsi="Book Antiqua"/>
          <w:color w:val="auto"/>
          <w:sz w:val="24"/>
          <w:szCs w:val="24"/>
        </w:rPr>
        <w:t>cells transiently with</w:t>
      </w:r>
      <w:r w:rsidR="00945927" w:rsidRPr="00DF6D96">
        <w:rPr>
          <w:rFonts w:ascii="Book Antiqua" w:hAnsi="Book Antiqua"/>
          <w:color w:val="auto"/>
          <w:sz w:val="24"/>
          <w:szCs w:val="24"/>
        </w:rPr>
        <w:t xml:space="preserve"> </w:t>
      </w:r>
      <w:r w:rsidR="007C5683" w:rsidRPr="00DF6D96">
        <w:rPr>
          <w:rFonts w:ascii="Book Antiqua" w:hAnsi="Book Antiqua"/>
          <w:color w:val="auto"/>
          <w:sz w:val="24"/>
          <w:szCs w:val="24"/>
        </w:rPr>
        <w:t xml:space="preserve">pLKO.1-derived plasmids combined with pRev, pEnv-VSV-G, and pMDLg. </w:t>
      </w:r>
      <w:r w:rsidR="00566259" w:rsidRPr="00DF6D96">
        <w:rPr>
          <w:rFonts w:ascii="Book Antiqua" w:hAnsi="Book Antiqua"/>
          <w:color w:val="auto"/>
          <w:sz w:val="24"/>
          <w:szCs w:val="24"/>
          <w:lang w:eastAsia="zh-CN"/>
        </w:rPr>
        <w:t>R</w:t>
      </w:r>
      <w:r w:rsidR="007C5683" w:rsidRPr="00DF6D96">
        <w:rPr>
          <w:rFonts w:ascii="Book Antiqua" w:hAnsi="Book Antiqua"/>
          <w:color w:val="auto"/>
          <w:sz w:val="24"/>
          <w:szCs w:val="24"/>
        </w:rPr>
        <w:t xml:space="preserve">etrovirus particles were collected </w:t>
      </w:r>
      <w:r w:rsidR="00426A8A" w:rsidRPr="00DF6D96">
        <w:rPr>
          <w:rFonts w:ascii="Book Antiqua" w:hAnsi="Book Antiqua"/>
          <w:color w:val="auto"/>
          <w:sz w:val="24"/>
          <w:szCs w:val="24"/>
        </w:rPr>
        <w:t>from the media</w:t>
      </w:r>
      <w:r w:rsidR="00566259" w:rsidRPr="00DF6D96">
        <w:rPr>
          <w:rFonts w:ascii="Book Antiqua" w:hAnsi="Book Antiqua"/>
          <w:color w:val="auto"/>
          <w:sz w:val="24"/>
          <w:szCs w:val="24"/>
        </w:rPr>
        <w:t xml:space="preserve"> </w:t>
      </w:r>
      <w:r w:rsidR="005E574D" w:rsidRPr="00DF6D96">
        <w:rPr>
          <w:rFonts w:ascii="Book Antiqua" w:hAnsi="Book Antiqua"/>
          <w:color w:val="auto"/>
          <w:sz w:val="24"/>
          <w:szCs w:val="24"/>
        </w:rPr>
        <w:t>a</w:t>
      </w:r>
      <w:r w:rsidR="00566259" w:rsidRPr="00DF6D96">
        <w:rPr>
          <w:rFonts w:ascii="Book Antiqua" w:hAnsi="Book Antiqua"/>
          <w:color w:val="auto"/>
          <w:sz w:val="24"/>
          <w:szCs w:val="24"/>
        </w:rPr>
        <w:t>fter 12</w:t>
      </w:r>
      <w:r w:rsidR="00DA2049">
        <w:rPr>
          <w:rFonts w:ascii="Book Antiqua" w:hAnsi="Book Antiqua" w:hint="eastAsia"/>
          <w:color w:val="auto"/>
          <w:sz w:val="24"/>
          <w:szCs w:val="24"/>
          <w:lang w:eastAsia="zh-CN"/>
        </w:rPr>
        <w:t xml:space="preserve"> h</w:t>
      </w:r>
      <w:r w:rsidR="00566259" w:rsidRPr="00DF6D96">
        <w:rPr>
          <w:rFonts w:ascii="Book Antiqua" w:hAnsi="Book Antiqua"/>
          <w:color w:val="auto"/>
          <w:sz w:val="24"/>
          <w:szCs w:val="24"/>
        </w:rPr>
        <w:t>, 24</w:t>
      </w:r>
      <w:r w:rsidR="00DA2049">
        <w:rPr>
          <w:rFonts w:ascii="Book Antiqua" w:hAnsi="Book Antiqua" w:hint="eastAsia"/>
          <w:color w:val="auto"/>
          <w:sz w:val="24"/>
          <w:szCs w:val="24"/>
          <w:lang w:eastAsia="zh-CN"/>
        </w:rPr>
        <w:t xml:space="preserve"> h</w:t>
      </w:r>
      <w:r w:rsidR="00566259" w:rsidRPr="00DF6D96">
        <w:rPr>
          <w:rFonts w:ascii="Book Antiqua" w:hAnsi="Book Antiqua"/>
          <w:color w:val="auto"/>
          <w:sz w:val="24"/>
          <w:szCs w:val="24"/>
        </w:rPr>
        <w:t>, and 48 h</w:t>
      </w:r>
      <w:r w:rsidR="007C5683" w:rsidRPr="00DF6D96">
        <w:rPr>
          <w:rFonts w:ascii="Book Antiqua" w:hAnsi="Book Antiqua"/>
          <w:color w:val="auto"/>
          <w:sz w:val="24"/>
          <w:szCs w:val="24"/>
          <w:vertAlign w:val="superscript"/>
        </w:rPr>
        <w:t>[</w:t>
      </w:r>
      <w:hyperlink w:anchor="_nmf14n">
        <w:r w:rsidR="007C5683" w:rsidRPr="00DF6D96">
          <w:rPr>
            <w:rFonts w:ascii="Book Antiqua" w:hAnsi="Book Antiqua"/>
            <w:color w:val="auto"/>
            <w:sz w:val="24"/>
            <w:szCs w:val="24"/>
            <w:vertAlign w:val="superscript"/>
          </w:rPr>
          <w:t>19</w:t>
        </w:r>
      </w:hyperlink>
      <w:r w:rsidR="007C5683" w:rsidRPr="00DF6D96">
        <w:rPr>
          <w:rFonts w:ascii="Book Antiqua" w:hAnsi="Book Antiqua"/>
          <w:color w:val="auto"/>
          <w:sz w:val="24"/>
          <w:szCs w:val="24"/>
          <w:vertAlign w:val="superscript"/>
        </w:rPr>
        <w:t>]</w:t>
      </w:r>
      <w:r w:rsidR="007C5683" w:rsidRPr="00DF6D96">
        <w:rPr>
          <w:rFonts w:ascii="Book Antiqua" w:hAnsi="Book Antiqua"/>
          <w:color w:val="auto"/>
          <w:sz w:val="24"/>
          <w:szCs w:val="24"/>
        </w:rPr>
        <w:t>. HepG2 and SMMC-7721 cells were infected three times with the</w:t>
      </w:r>
      <w:r w:rsidR="00C93F50" w:rsidRPr="00DF6D96">
        <w:rPr>
          <w:rFonts w:ascii="Book Antiqua" w:hAnsi="Book Antiqua"/>
          <w:color w:val="auto"/>
          <w:sz w:val="24"/>
          <w:szCs w:val="24"/>
        </w:rPr>
        <w:t xml:space="preserve"> retrovirus</w:t>
      </w:r>
      <w:r w:rsidR="0068451D" w:rsidRPr="00DF6D96">
        <w:rPr>
          <w:rFonts w:ascii="Book Antiqua" w:hAnsi="Book Antiqua"/>
          <w:color w:val="auto"/>
          <w:sz w:val="24"/>
          <w:szCs w:val="24"/>
        </w:rPr>
        <w:t xml:space="preserve"> particles with</w:t>
      </w:r>
      <w:r w:rsidR="007C5683" w:rsidRPr="00DF6D96">
        <w:rPr>
          <w:rFonts w:ascii="Book Antiqua" w:hAnsi="Book Antiqua"/>
          <w:color w:val="auto"/>
          <w:sz w:val="24"/>
          <w:szCs w:val="24"/>
        </w:rPr>
        <w:t xml:space="preserve"> 8.0 μg/mL polybrene. 48 h after </w:t>
      </w:r>
      <w:r w:rsidR="00945927" w:rsidRPr="00DF6D96">
        <w:rPr>
          <w:rFonts w:ascii="Book Antiqua" w:hAnsi="Book Antiqua"/>
          <w:color w:val="auto"/>
          <w:sz w:val="24"/>
          <w:szCs w:val="24"/>
        </w:rPr>
        <w:t xml:space="preserve">the </w:t>
      </w:r>
      <w:r w:rsidR="007C5683" w:rsidRPr="00DF6D96">
        <w:rPr>
          <w:rFonts w:ascii="Book Antiqua" w:hAnsi="Book Antiqua"/>
          <w:color w:val="auto"/>
          <w:sz w:val="24"/>
          <w:szCs w:val="24"/>
        </w:rPr>
        <w:t xml:space="preserve">transduction, transduced cells were selected </w:t>
      </w:r>
      <w:r w:rsidR="00C93F50" w:rsidRPr="00DF6D96">
        <w:rPr>
          <w:rFonts w:ascii="Book Antiqua" w:hAnsi="Book Antiqua"/>
          <w:color w:val="auto"/>
          <w:sz w:val="24"/>
          <w:szCs w:val="24"/>
        </w:rPr>
        <w:t xml:space="preserve">using </w:t>
      </w:r>
      <w:r w:rsidR="007C5683" w:rsidRPr="00DF6D96">
        <w:rPr>
          <w:rFonts w:ascii="Book Antiqua" w:hAnsi="Book Antiqua"/>
          <w:color w:val="auto"/>
          <w:sz w:val="24"/>
          <w:szCs w:val="24"/>
        </w:rPr>
        <w:t xml:space="preserve">2.0 μg/mL puromycin for one week. The efficiency of the </w:t>
      </w:r>
      <w:r w:rsidR="00C93F50" w:rsidRPr="00DF6D96">
        <w:rPr>
          <w:rFonts w:ascii="Book Antiqua" w:hAnsi="Book Antiqua"/>
          <w:color w:val="auto"/>
          <w:sz w:val="24"/>
          <w:szCs w:val="24"/>
        </w:rPr>
        <w:t xml:space="preserve">shRNA </w:t>
      </w:r>
      <w:r w:rsidR="007C5683" w:rsidRPr="00DF6D96">
        <w:rPr>
          <w:rFonts w:ascii="Book Antiqua" w:hAnsi="Book Antiqua"/>
          <w:color w:val="auto"/>
          <w:sz w:val="24"/>
          <w:szCs w:val="24"/>
        </w:rPr>
        <w:t xml:space="preserve">knockdown was </w:t>
      </w:r>
      <w:r w:rsidR="00C93F50" w:rsidRPr="00DF6D96">
        <w:rPr>
          <w:rFonts w:ascii="Book Antiqua" w:hAnsi="Book Antiqua"/>
          <w:color w:val="auto"/>
          <w:sz w:val="24"/>
          <w:szCs w:val="24"/>
        </w:rPr>
        <w:t xml:space="preserve">measured via </w:t>
      </w:r>
      <w:r w:rsidR="007C5683" w:rsidRPr="00DF6D96">
        <w:rPr>
          <w:rFonts w:ascii="Book Antiqua" w:hAnsi="Book Antiqua"/>
          <w:color w:val="auto"/>
          <w:sz w:val="24"/>
          <w:szCs w:val="24"/>
        </w:rPr>
        <w:t>quantitative real-time RT-PCR and immunoblot.</w:t>
      </w:r>
    </w:p>
    <w:p w14:paraId="40437100" w14:textId="77777777" w:rsidR="00D72430" w:rsidRPr="00DF6D96" w:rsidRDefault="00D72430" w:rsidP="0030419F">
      <w:pPr>
        <w:pStyle w:val="1"/>
        <w:adjustRightInd w:val="0"/>
        <w:snapToGrid w:val="0"/>
        <w:spacing w:line="360" w:lineRule="auto"/>
        <w:rPr>
          <w:rFonts w:ascii="Book Antiqua" w:hAnsi="Book Antiqua"/>
          <w:color w:val="auto"/>
          <w:sz w:val="24"/>
          <w:szCs w:val="24"/>
          <w:lang w:eastAsia="zh-CN"/>
        </w:rPr>
      </w:pPr>
    </w:p>
    <w:p w14:paraId="7D23C9F1" w14:textId="558707F9" w:rsidR="00C35D84" w:rsidRPr="00D72430" w:rsidRDefault="007C5683" w:rsidP="0030419F">
      <w:pPr>
        <w:pStyle w:val="1"/>
        <w:adjustRightInd w:val="0"/>
        <w:snapToGrid w:val="0"/>
        <w:spacing w:line="360" w:lineRule="auto"/>
        <w:outlineLvl w:val="0"/>
        <w:rPr>
          <w:rFonts w:ascii="Book Antiqua" w:hAnsi="Book Antiqua"/>
          <w:b/>
          <w:i/>
          <w:color w:val="auto"/>
          <w:sz w:val="24"/>
          <w:szCs w:val="24"/>
        </w:rPr>
      </w:pPr>
      <w:r w:rsidRPr="00D72430">
        <w:rPr>
          <w:rFonts w:ascii="Book Antiqua" w:hAnsi="Book Antiqua"/>
          <w:b/>
          <w:i/>
          <w:color w:val="auto"/>
          <w:sz w:val="24"/>
          <w:szCs w:val="24"/>
        </w:rPr>
        <w:t xml:space="preserve">RNA extraction and </w:t>
      </w:r>
      <w:r w:rsidR="00DB348B" w:rsidRPr="00D72430">
        <w:rPr>
          <w:rFonts w:ascii="Book Antiqua" w:hAnsi="Book Antiqua"/>
          <w:b/>
          <w:i/>
          <w:color w:val="auto"/>
          <w:sz w:val="24"/>
          <w:szCs w:val="24"/>
        </w:rPr>
        <w:t xml:space="preserve">quantitative </w:t>
      </w:r>
      <w:r w:rsidRPr="00D72430">
        <w:rPr>
          <w:rFonts w:ascii="Book Antiqua" w:hAnsi="Book Antiqua"/>
          <w:b/>
          <w:i/>
          <w:color w:val="auto"/>
          <w:sz w:val="24"/>
          <w:szCs w:val="24"/>
        </w:rPr>
        <w:t>real-time PCR</w:t>
      </w:r>
    </w:p>
    <w:p w14:paraId="61072CA4" w14:textId="2B188D48"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Total RNA was extracted from cultured cells </w:t>
      </w:r>
      <w:r w:rsidR="00215C14" w:rsidRPr="00DF6D96">
        <w:rPr>
          <w:rFonts w:ascii="Book Antiqua" w:hAnsi="Book Antiqua"/>
          <w:color w:val="auto"/>
          <w:sz w:val="24"/>
          <w:szCs w:val="24"/>
        </w:rPr>
        <w:t xml:space="preserve">using </w:t>
      </w:r>
      <w:r w:rsidRPr="00DF6D96">
        <w:rPr>
          <w:rFonts w:ascii="Book Antiqua" w:hAnsi="Book Antiqua"/>
          <w:color w:val="auto"/>
          <w:sz w:val="24"/>
          <w:szCs w:val="24"/>
        </w:rPr>
        <w:t xml:space="preserve">Trizol reagent (Takara, Japan). cDNA was synthesized from </w:t>
      </w:r>
      <w:r w:rsidR="00DB348B" w:rsidRPr="00DF6D96">
        <w:rPr>
          <w:rFonts w:ascii="Book Antiqua" w:hAnsi="Book Antiqua"/>
          <w:color w:val="auto"/>
          <w:sz w:val="24"/>
          <w:szCs w:val="24"/>
        </w:rPr>
        <w:t xml:space="preserve">at most </w:t>
      </w:r>
      <w:r w:rsidRPr="00DF6D96">
        <w:rPr>
          <w:rFonts w:ascii="Book Antiqua" w:hAnsi="Book Antiqua"/>
          <w:color w:val="auto"/>
          <w:sz w:val="24"/>
          <w:szCs w:val="24"/>
        </w:rPr>
        <w:t>1 μg of total RNA (</w:t>
      </w:r>
      <w:r w:rsidR="00F70C2A" w:rsidRPr="00DF6D96">
        <w:rPr>
          <w:rFonts w:ascii="Book Antiqua" w:hAnsi="Book Antiqua"/>
          <w:color w:val="auto"/>
          <w:sz w:val="24"/>
          <w:szCs w:val="24"/>
        </w:rPr>
        <w:t>Takara, Japan</w:t>
      </w:r>
      <w:r w:rsidRPr="00DF6D96">
        <w:rPr>
          <w:rFonts w:ascii="Book Antiqua" w:hAnsi="Book Antiqua"/>
          <w:color w:val="auto"/>
          <w:sz w:val="24"/>
          <w:szCs w:val="24"/>
        </w:rPr>
        <w:t>). RNA expression was measured by qRT-PCR using SYBR-Green (</w:t>
      </w:r>
      <w:r w:rsidR="00F70C2A" w:rsidRPr="00DF6D96">
        <w:rPr>
          <w:rFonts w:ascii="Book Antiqua" w:hAnsi="Book Antiqua"/>
          <w:color w:val="auto"/>
          <w:sz w:val="24"/>
          <w:szCs w:val="24"/>
        </w:rPr>
        <w:t>Takara, Japan</w:t>
      </w:r>
      <w:r w:rsidRPr="00DF6D96">
        <w:rPr>
          <w:rFonts w:ascii="Book Antiqua" w:hAnsi="Book Antiqua"/>
          <w:color w:val="auto"/>
          <w:sz w:val="24"/>
          <w:szCs w:val="24"/>
        </w:rPr>
        <w:t xml:space="preserve">) </w:t>
      </w:r>
      <w:r w:rsidR="00F70C2A" w:rsidRPr="00DF6D96">
        <w:rPr>
          <w:rFonts w:ascii="Book Antiqua" w:hAnsi="Book Antiqua"/>
          <w:color w:val="auto"/>
          <w:sz w:val="24"/>
          <w:szCs w:val="24"/>
          <w:lang w:eastAsia="zh-CN"/>
        </w:rPr>
        <w:t>according to</w:t>
      </w:r>
      <w:r w:rsidRPr="00DF6D96">
        <w:rPr>
          <w:rFonts w:ascii="Book Antiqua" w:hAnsi="Book Antiqua"/>
          <w:color w:val="auto"/>
          <w:sz w:val="24"/>
          <w:szCs w:val="24"/>
        </w:rPr>
        <w:t xml:space="preserve"> the manufacturer’s </w:t>
      </w:r>
      <w:r w:rsidR="00F70C2A" w:rsidRPr="00DF6D96">
        <w:rPr>
          <w:rFonts w:ascii="Book Antiqua" w:hAnsi="Book Antiqua"/>
          <w:color w:val="auto"/>
          <w:sz w:val="24"/>
          <w:szCs w:val="24"/>
        </w:rPr>
        <w:t>guidelines</w:t>
      </w:r>
      <w:r w:rsidRPr="00DF6D96">
        <w:rPr>
          <w:rFonts w:ascii="Book Antiqua" w:hAnsi="Book Antiqua"/>
          <w:color w:val="auto"/>
          <w:sz w:val="24"/>
          <w:szCs w:val="24"/>
        </w:rPr>
        <w:t xml:space="preserve">. Primers for PAR2 were forward: </w:t>
      </w:r>
      <w:r w:rsidR="00D72430" w:rsidRPr="00DF6D96">
        <w:rPr>
          <w:rFonts w:ascii="Book Antiqua" w:hAnsi="Book Antiqua"/>
          <w:color w:val="auto"/>
          <w:sz w:val="24"/>
          <w:szCs w:val="24"/>
        </w:rPr>
        <w:t>5’-</w:t>
      </w:r>
      <w:r w:rsidRPr="00DF6D96">
        <w:rPr>
          <w:rFonts w:ascii="Book Antiqua" w:hAnsi="Book Antiqua"/>
          <w:color w:val="auto"/>
          <w:sz w:val="24"/>
          <w:szCs w:val="24"/>
        </w:rPr>
        <w:t>GATGGCACATCCCACGTCACT</w:t>
      </w:r>
      <w:r w:rsidR="00D72430" w:rsidRPr="00DF6D96">
        <w:rPr>
          <w:rFonts w:ascii="Book Antiqua" w:hAnsi="Book Antiqua"/>
          <w:color w:val="auto"/>
          <w:sz w:val="24"/>
          <w:szCs w:val="24"/>
        </w:rPr>
        <w:t>-3’</w:t>
      </w:r>
      <w:r w:rsidRPr="00DF6D96">
        <w:rPr>
          <w:rFonts w:ascii="Book Antiqua" w:hAnsi="Book Antiqua"/>
          <w:color w:val="auto"/>
          <w:sz w:val="24"/>
          <w:szCs w:val="24"/>
        </w:rPr>
        <w:t xml:space="preserve">; reverse: </w:t>
      </w:r>
      <w:r w:rsidR="00D72430" w:rsidRPr="00DF6D96">
        <w:rPr>
          <w:rFonts w:ascii="Book Antiqua" w:hAnsi="Book Antiqua"/>
          <w:color w:val="auto"/>
          <w:sz w:val="24"/>
          <w:szCs w:val="24"/>
        </w:rPr>
        <w:t>5’-</w:t>
      </w:r>
      <w:r w:rsidRPr="00DF6D96">
        <w:rPr>
          <w:rFonts w:ascii="Book Antiqua" w:hAnsi="Book Antiqua"/>
          <w:color w:val="auto"/>
          <w:sz w:val="24"/>
          <w:szCs w:val="24"/>
        </w:rPr>
        <w:t>TTGGCAAACCCACCACAAACAC</w:t>
      </w:r>
      <w:r w:rsidR="009865A1" w:rsidRPr="00DF6D96">
        <w:rPr>
          <w:rFonts w:ascii="Book Antiqua" w:hAnsi="Book Antiqua"/>
          <w:color w:val="auto"/>
          <w:sz w:val="24"/>
          <w:szCs w:val="24"/>
        </w:rPr>
        <w:t>-3’</w:t>
      </w:r>
      <w:r w:rsidRPr="00DF6D96">
        <w:rPr>
          <w:rFonts w:ascii="Book Antiqua" w:hAnsi="Book Antiqua"/>
          <w:color w:val="auto"/>
          <w:sz w:val="24"/>
          <w:szCs w:val="24"/>
        </w:rPr>
        <w:t>. GAPDH was used as an endogenous control.</w:t>
      </w:r>
    </w:p>
    <w:p w14:paraId="2627B899" w14:textId="77777777" w:rsidR="009865A1" w:rsidRPr="00DF6D96" w:rsidRDefault="009865A1" w:rsidP="0030419F">
      <w:pPr>
        <w:pStyle w:val="1"/>
        <w:adjustRightInd w:val="0"/>
        <w:snapToGrid w:val="0"/>
        <w:spacing w:line="360" w:lineRule="auto"/>
        <w:rPr>
          <w:rFonts w:ascii="Book Antiqua" w:hAnsi="Book Antiqua"/>
          <w:color w:val="auto"/>
          <w:sz w:val="24"/>
          <w:szCs w:val="24"/>
          <w:lang w:eastAsia="zh-CN"/>
        </w:rPr>
      </w:pPr>
    </w:p>
    <w:p w14:paraId="6B4886C9" w14:textId="7CC86666" w:rsidR="00C35D84" w:rsidRPr="009865A1" w:rsidRDefault="007C5683" w:rsidP="0030419F">
      <w:pPr>
        <w:pStyle w:val="1"/>
        <w:adjustRightInd w:val="0"/>
        <w:snapToGrid w:val="0"/>
        <w:spacing w:line="360" w:lineRule="auto"/>
        <w:outlineLvl w:val="0"/>
        <w:rPr>
          <w:rFonts w:ascii="Book Antiqua" w:hAnsi="Book Antiqua"/>
          <w:b/>
          <w:i/>
          <w:color w:val="auto"/>
          <w:sz w:val="24"/>
          <w:szCs w:val="24"/>
        </w:rPr>
      </w:pPr>
      <w:r w:rsidRPr="009865A1">
        <w:rPr>
          <w:rFonts w:ascii="Book Antiqua" w:hAnsi="Book Antiqua"/>
          <w:b/>
          <w:i/>
          <w:color w:val="auto"/>
          <w:sz w:val="24"/>
          <w:szCs w:val="24"/>
        </w:rPr>
        <w:t>Immunoblot analysis</w:t>
      </w:r>
    </w:p>
    <w:p w14:paraId="5867CCD9" w14:textId="1957C331"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Rabbit anti-PAR2, anti-ERK, anti-phospho-ERK, </w:t>
      </w:r>
      <w:bookmarkStart w:id="45" w:name="44sinio" w:colFirst="0" w:colLast="0"/>
      <w:bookmarkEnd w:id="45"/>
      <w:r w:rsidRPr="00DF6D96">
        <w:rPr>
          <w:rFonts w:ascii="Book Antiqua" w:hAnsi="Book Antiqua"/>
          <w:color w:val="auto"/>
          <w:sz w:val="24"/>
          <w:szCs w:val="24"/>
        </w:rPr>
        <w:t xml:space="preserve">anti-E-cadherin, anti-N-cadherin, and anti-GAPDH antibodies were </w:t>
      </w:r>
      <w:r w:rsidR="00DF6899" w:rsidRPr="00DF6D96">
        <w:rPr>
          <w:rFonts w:ascii="Book Antiqua" w:hAnsi="Book Antiqua"/>
          <w:color w:val="auto"/>
          <w:sz w:val="24"/>
          <w:szCs w:val="24"/>
        </w:rPr>
        <w:t xml:space="preserve">obtained </w:t>
      </w:r>
      <w:r w:rsidRPr="00DF6D96">
        <w:rPr>
          <w:rFonts w:ascii="Book Antiqua" w:hAnsi="Book Antiqua"/>
          <w:color w:val="auto"/>
          <w:sz w:val="24"/>
          <w:szCs w:val="24"/>
        </w:rPr>
        <w:t xml:space="preserve">from Cell Signaling Technology (Danvers, </w:t>
      </w:r>
      <w:r w:rsidR="009865A1" w:rsidRPr="009865A1">
        <w:rPr>
          <w:rFonts w:ascii="Book Antiqua" w:hAnsi="Book Antiqua"/>
          <w:color w:val="auto"/>
          <w:sz w:val="24"/>
          <w:szCs w:val="24"/>
        </w:rPr>
        <w:t>United States</w:t>
      </w:r>
      <w:r w:rsidRPr="00DF6D96">
        <w:rPr>
          <w:rFonts w:ascii="Book Antiqua" w:hAnsi="Book Antiqua"/>
          <w:color w:val="auto"/>
          <w:sz w:val="24"/>
          <w:szCs w:val="24"/>
        </w:rPr>
        <w:t>). Cell lysates were prepared</w:t>
      </w:r>
      <w:r w:rsidR="009865A1">
        <w:rPr>
          <w:rFonts w:ascii="Book Antiqua" w:hAnsi="Book Antiqua"/>
          <w:color w:val="auto"/>
          <w:sz w:val="24"/>
          <w:szCs w:val="24"/>
        </w:rPr>
        <w:t xml:space="preserve"> in RIPA buffer (Sigma-Aldrich</w:t>
      </w:r>
      <w:r w:rsidRPr="00DF6D96">
        <w:rPr>
          <w:rFonts w:ascii="Book Antiqua" w:hAnsi="Book Antiqua"/>
          <w:color w:val="auto"/>
          <w:sz w:val="24"/>
          <w:szCs w:val="24"/>
        </w:rPr>
        <w:t xml:space="preserve">, MO, </w:t>
      </w:r>
      <w:r w:rsidR="009865A1" w:rsidRPr="009865A1">
        <w:rPr>
          <w:rFonts w:ascii="Book Antiqua" w:hAnsi="Book Antiqua"/>
          <w:color w:val="auto"/>
          <w:sz w:val="24"/>
          <w:szCs w:val="24"/>
        </w:rPr>
        <w:t>United States</w:t>
      </w:r>
      <w:r w:rsidRPr="00DF6D96">
        <w:rPr>
          <w:rFonts w:ascii="Book Antiqua" w:hAnsi="Book Antiqua"/>
          <w:color w:val="auto"/>
          <w:sz w:val="24"/>
          <w:szCs w:val="24"/>
        </w:rPr>
        <w:t>) where equal quantities of cell</w:t>
      </w:r>
      <w:r w:rsidR="009865A1">
        <w:rPr>
          <w:rFonts w:ascii="Book Antiqua" w:hAnsi="Book Antiqua"/>
          <w:color w:val="auto"/>
          <w:sz w:val="24"/>
          <w:szCs w:val="24"/>
        </w:rPr>
        <w:t>ular proteins were separated by</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 xml:space="preserve">sodium dodecyl sulfate-polyacrylamide gel electrophoresis and transferred onto polyvinylidene difluoride membranes. The membranes were blocked with skimmed milk, incubated with a primary antibody, washed with TBST three times, and then incubated with a secondary antibody (Cell Signaling Technology, </w:t>
      </w:r>
      <w:r w:rsidR="009865A1" w:rsidRPr="009865A1">
        <w:rPr>
          <w:rFonts w:ascii="Book Antiqua" w:hAnsi="Book Antiqua"/>
          <w:color w:val="auto"/>
          <w:sz w:val="24"/>
          <w:szCs w:val="24"/>
        </w:rPr>
        <w:t>GA</w:t>
      </w:r>
      <w:r w:rsidRPr="00DF6D96">
        <w:rPr>
          <w:rFonts w:ascii="Book Antiqua" w:hAnsi="Book Antiqua"/>
          <w:color w:val="auto"/>
          <w:sz w:val="24"/>
          <w:szCs w:val="24"/>
        </w:rPr>
        <w:t xml:space="preserve">, </w:t>
      </w:r>
      <w:r w:rsidR="009865A1" w:rsidRPr="009865A1">
        <w:rPr>
          <w:rFonts w:ascii="Book Antiqua" w:hAnsi="Book Antiqua"/>
          <w:color w:val="auto"/>
          <w:sz w:val="24"/>
          <w:szCs w:val="24"/>
        </w:rPr>
        <w:t>United States</w:t>
      </w:r>
      <w:r w:rsidRPr="00DF6D96">
        <w:rPr>
          <w:rFonts w:ascii="Book Antiqua" w:hAnsi="Book Antiqua"/>
          <w:color w:val="auto"/>
          <w:sz w:val="24"/>
          <w:szCs w:val="24"/>
        </w:rPr>
        <w:t>). After the secondary antibody incubation, the membranes were washed three more times with TBST, and the proteins were visualized by enhance</w:t>
      </w:r>
      <w:r w:rsidR="009865A1">
        <w:rPr>
          <w:rFonts w:ascii="Book Antiqua" w:hAnsi="Book Antiqua"/>
          <w:color w:val="auto"/>
          <w:sz w:val="24"/>
          <w:szCs w:val="24"/>
        </w:rPr>
        <w:t>d chemiluminescence (Millipore</w:t>
      </w:r>
      <w:r w:rsidRPr="00DF6D96">
        <w:rPr>
          <w:rFonts w:ascii="Book Antiqua" w:hAnsi="Book Antiqua"/>
          <w:color w:val="auto"/>
          <w:sz w:val="24"/>
          <w:szCs w:val="24"/>
        </w:rPr>
        <w:t>, MA</w:t>
      </w:r>
      <w:r w:rsidR="009865A1">
        <w:rPr>
          <w:rFonts w:ascii="Book Antiqua" w:hAnsi="Book Antiqua" w:hint="eastAsia"/>
          <w:color w:val="auto"/>
          <w:sz w:val="24"/>
          <w:szCs w:val="24"/>
          <w:lang w:eastAsia="zh-CN"/>
        </w:rPr>
        <w:t xml:space="preserve">, </w:t>
      </w:r>
      <w:r w:rsidR="009865A1" w:rsidRPr="009865A1">
        <w:rPr>
          <w:rFonts w:ascii="Book Antiqua" w:hAnsi="Book Antiqua"/>
          <w:color w:val="auto"/>
          <w:sz w:val="24"/>
          <w:szCs w:val="24"/>
        </w:rPr>
        <w:t>United States</w:t>
      </w:r>
      <w:r w:rsidRPr="00DF6D96">
        <w:rPr>
          <w:rFonts w:ascii="Book Antiqua" w:hAnsi="Book Antiqua"/>
          <w:color w:val="auto"/>
          <w:sz w:val="24"/>
          <w:szCs w:val="24"/>
        </w:rPr>
        <w:t>). GADPH was used as the</w:t>
      </w:r>
      <w:r w:rsidR="00215C14" w:rsidRPr="00DF6D96">
        <w:rPr>
          <w:rFonts w:ascii="Book Antiqua" w:hAnsi="Book Antiqua"/>
          <w:color w:val="auto"/>
          <w:sz w:val="24"/>
          <w:szCs w:val="24"/>
        </w:rPr>
        <w:t xml:space="preserve"> internal</w:t>
      </w:r>
      <w:r w:rsidRPr="00DF6D96">
        <w:rPr>
          <w:rFonts w:ascii="Book Antiqua" w:hAnsi="Book Antiqua"/>
          <w:color w:val="auto"/>
          <w:sz w:val="24"/>
          <w:szCs w:val="24"/>
        </w:rPr>
        <w:t xml:space="preserve"> loading control.</w:t>
      </w:r>
    </w:p>
    <w:p w14:paraId="56E7F468" w14:textId="77777777" w:rsidR="009865A1" w:rsidRPr="00DF6D96" w:rsidRDefault="009865A1" w:rsidP="0030419F">
      <w:pPr>
        <w:pStyle w:val="1"/>
        <w:adjustRightInd w:val="0"/>
        <w:snapToGrid w:val="0"/>
        <w:spacing w:line="360" w:lineRule="auto"/>
        <w:rPr>
          <w:rFonts w:ascii="Book Antiqua" w:hAnsi="Book Antiqua"/>
          <w:color w:val="auto"/>
          <w:sz w:val="24"/>
          <w:szCs w:val="24"/>
          <w:lang w:eastAsia="zh-CN"/>
        </w:rPr>
      </w:pPr>
    </w:p>
    <w:p w14:paraId="5442AD9E" w14:textId="77777777" w:rsidR="008F7001" w:rsidRPr="009865A1" w:rsidRDefault="008F7001" w:rsidP="0030419F">
      <w:pPr>
        <w:pStyle w:val="1"/>
        <w:adjustRightInd w:val="0"/>
        <w:snapToGrid w:val="0"/>
        <w:spacing w:line="360" w:lineRule="auto"/>
        <w:rPr>
          <w:rFonts w:ascii="Book Antiqua" w:hAnsi="Book Antiqua"/>
          <w:b/>
          <w:i/>
          <w:color w:val="auto"/>
          <w:sz w:val="24"/>
          <w:szCs w:val="24"/>
        </w:rPr>
      </w:pPr>
      <w:r w:rsidRPr="009865A1">
        <w:rPr>
          <w:rFonts w:ascii="Book Antiqua" w:hAnsi="Book Antiqua"/>
          <w:b/>
          <w:i/>
          <w:color w:val="auto"/>
          <w:sz w:val="24"/>
          <w:szCs w:val="24"/>
        </w:rPr>
        <w:t>Experimental animals</w:t>
      </w:r>
    </w:p>
    <w:p w14:paraId="28014862" w14:textId="26003DCA" w:rsidR="008F7001" w:rsidRDefault="008F7001"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 xml:space="preserve">Male </w:t>
      </w:r>
      <w:r w:rsidRPr="00DF6D96">
        <w:rPr>
          <w:rFonts w:ascii="Book Antiqua" w:hAnsi="Book Antiqua"/>
          <w:color w:val="auto"/>
          <w:sz w:val="24"/>
          <w:szCs w:val="24"/>
          <w:lang w:eastAsia="zh-CN"/>
        </w:rPr>
        <w:t>Balb/c</w:t>
      </w:r>
      <w:r w:rsidRPr="00DF6D96">
        <w:rPr>
          <w:rFonts w:ascii="Book Antiqua" w:hAnsi="Book Antiqua"/>
          <w:color w:val="auto"/>
          <w:sz w:val="24"/>
          <w:szCs w:val="24"/>
        </w:rPr>
        <w:t xml:space="preserve"> nude mice (aged 4 w</w:t>
      </w:r>
      <w:r w:rsidR="009865A1">
        <w:rPr>
          <w:rFonts w:ascii="Book Antiqua" w:hAnsi="Book Antiqua"/>
          <w:color w:val="auto"/>
          <w:sz w:val="24"/>
          <w:szCs w:val="24"/>
        </w:rPr>
        <w:t>k</w:t>
      </w:r>
      <w:r w:rsidRPr="00DF6D96">
        <w:rPr>
          <w:rFonts w:ascii="Book Antiqua" w:hAnsi="Book Antiqua"/>
          <w:color w:val="auto"/>
          <w:sz w:val="24"/>
          <w:szCs w:val="24"/>
        </w:rPr>
        <w:t xml:space="preserve"> with initial body weight 20</w:t>
      </w:r>
      <w:r w:rsidR="00FE7968">
        <w:rPr>
          <w:rFonts w:ascii="Book Antiqua" w:hAnsi="Book Antiqua" w:hint="eastAsia"/>
          <w:color w:val="auto"/>
          <w:sz w:val="24"/>
          <w:szCs w:val="24"/>
          <w:lang w:eastAsia="zh-CN"/>
        </w:rPr>
        <w:t xml:space="preserve"> </w:t>
      </w:r>
      <w:r w:rsidRPr="00DF6D96">
        <w:rPr>
          <w:rFonts w:ascii="Book Antiqua" w:hAnsi="Book Antiqua"/>
          <w:color w:val="auto"/>
          <w:sz w:val="24"/>
          <w:szCs w:val="24"/>
        </w:rPr>
        <w:t>±</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2 g) were purchased from Shanghai SLAC Laboratory Animal Co Ltd. (Shanghai, China). The mice were housed at a temperature of 25</w:t>
      </w:r>
      <w:r w:rsidR="00FE7968">
        <w:rPr>
          <w:rFonts w:ascii="Book Antiqua" w:hAnsi="Book Antiqua" w:hint="eastAsia"/>
          <w:color w:val="auto"/>
          <w:sz w:val="24"/>
          <w:szCs w:val="24"/>
          <w:lang w:eastAsia="zh-CN"/>
        </w:rPr>
        <w:t xml:space="preserve"> </w:t>
      </w:r>
      <w:r w:rsidRPr="00DF6D96">
        <w:rPr>
          <w:rFonts w:ascii="Book Antiqua" w:hAnsi="Book Antiqua"/>
          <w:color w:val="auto"/>
          <w:sz w:val="24"/>
          <w:szCs w:val="24"/>
        </w:rPr>
        <w:t>±</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2</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°C</w:t>
      </w:r>
      <w:r w:rsidR="00EA69D9">
        <w:rPr>
          <w:rFonts w:ascii="Book Antiqua" w:hAnsi="Book Antiqua" w:hint="eastAsia"/>
          <w:color w:val="auto"/>
          <w:sz w:val="24"/>
          <w:szCs w:val="24"/>
          <w:lang w:eastAsia="zh-CN"/>
        </w:rPr>
        <w:t xml:space="preserve"> </w:t>
      </w:r>
      <w:r w:rsidRPr="00DF6D96">
        <w:rPr>
          <w:rFonts w:ascii="Book Antiqua" w:hAnsi="Book Antiqua"/>
          <w:color w:val="auto"/>
          <w:sz w:val="24"/>
          <w:szCs w:val="24"/>
        </w:rPr>
        <w:t>and a relative humidity of 70%</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 xml:space="preserve">5% under natural light/dark conditions for 1 wk and allowed free access to food and water. The animal experiments were </w:t>
      </w:r>
      <w:r w:rsidRPr="00DF6D96">
        <w:rPr>
          <w:rFonts w:ascii="Book Antiqua" w:hAnsi="Book Antiqua"/>
          <w:color w:val="auto"/>
          <w:sz w:val="24"/>
          <w:szCs w:val="24"/>
        </w:rPr>
        <w:lastRenderedPageBreak/>
        <w:t>performed in strict accordance with international ethical guidelines and the National Institutes of Health Guide for the Care and Use of Laboratory Animals. The protocols were approved by the Institutional Animal Care and Use Committee, Qilu Hospital of Shandong University.</w:t>
      </w:r>
    </w:p>
    <w:p w14:paraId="0B68EA52" w14:textId="77777777" w:rsidR="009865A1" w:rsidRPr="00DF6D96" w:rsidRDefault="009865A1" w:rsidP="0030419F">
      <w:pPr>
        <w:pStyle w:val="1"/>
        <w:adjustRightInd w:val="0"/>
        <w:snapToGrid w:val="0"/>
        <w:spacing w:line="360" w:lineRule="auto"/>
        <w:rPr>
          <w:rFonts w:ascii="Book Antiqua" w:hAnsi="Book Antiqua"/>
          <w:color w:val="auto"/>
          <w:sz w:val="24"/>
          <w:szCs w:val="24"/>
          <w:lang w:eastAsia="zh-CN"/>
        </w:rPr>
      </w:pPr>
    </w:p>
    <w:p w14:paraId="212A762D" w14:textId="77777777" w:rsidR="00C35D84" w:rsidRPr="009865A1" w:rsidRDefault="007C5683" w:rsidP="0030419F">
      <w:pPr>
        <w:pStyle w:val="1"/>
        <w:adjustRightInd w:val="0"/>
        <w:snapToGrid w:val="0"/>
        <w:spacing w:line="360" w:lineRule="auto"/>
        <w:outlineLvl w:val="0"/>
        <w:rPr>
          <w:rFonts w:ascii="Book Antiqua" w:hAnsi="Book Antiqua"/>
          <w:b/>
          <w:i/>
          <w:color w:val="auto"/>
          <w:sz w:val="24"/>
          <w:szCs w:val="24"/>
        </w:rPr>
      </w:pPr>
      <w:r w:rsidRPr="009865A1">
        <w:rPr>
          <w:rFonts w:ascii="Book Antiqua" w:hAnsi="Book Antiqua"/>
          <w:b/>
          <w:i/>
          <w:color w:val="auto"/>
          <w:sz w:val="24"/>
          <w:szCs w:val="24"/>
        </w:rPr>
        <w:t>Tumor xenograft model</w:t>
      </w:r>
    </w:p>
    <w:p w14:paraId="750471EA" w14:textId="12222D10"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2</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10</w:t>
      </w:r>
      <w:r w:rsidRPr="00DF6D96">
        <w:rPr>
          <w:rFonts w:ascii="Book Antiqua" w:hAnsi="Book Antiqua"/>
          <w:color w:val="auto"/>
          <w:sz w:val="24"/>
          <w:szCs w:val="24"/>
          <w:vertAlign w:val="superscript"/>
        </w:rPr>
        <w:t>6</w:t>
      </w:r>
      <w:r w:rsidRPr="00DF6D96">
        <w:rPr>
          <w:rFonts w:ascii="Book Antiqua" w:hAnsi="Book Antiqua"/>
          <w:color w:val="auto"/>
          <w:sz w:val="24"/>
          <w:szCs w:val="24"/>
        </w:rPr>
        <w:t xml:space="preserve"> HepG2 </w:t>
      </w:r>
      <w:r w:rsidR="003357D5" w:rsidRPr="00DF6D96">
        <w:rPr>
          <w:rFonts w:ascii="Book Antiqua" w:hAnsi="Book Antiqua"/>
          <w:color w:val="auto"/>
          <w:sz w:val="24"/>
          <w:szCs w:val="24"/>
        </w:rPr>
        <w:t xml:space="preserve">or </w:t>
      </w:r>
      <w:r w:rsidRPr="00DF6D96">
        <w:rPr>
          <w:rFonts w:ascii="Book Antiqua" w:hAnsi="Book Antiqua"/>
          <w:color w:val="auto"/>
          <w:sz w:val="24"/>
          <w:szCs w:val="24"/>
        </w:rPr>
        <w:t>SMMC-7721 cells suspended in 100 μL normal saline were subcutaneously injected into the axillae of the nude mice (4 w</w:t>
      </w:r>
      <w:r w:rsidR="009865A1">
        <w:rPr>
          <w:rFonts w:ascii="Book Antiqua" w:hAnsi="Book Antiqua"/>
          <w:color w:val="auto"/>
          <w:sz w:val="24"/>
          <w:szCs w:val="24"/>
        </w:rPr>
        <w:t>k</w:t>
      </w:r>
      <w:r w:rsidRPr="00DF6D96">
        <w:rPr>
          <w:rFonts w:ascii="Book Antiqua" w:hAnsi="Book Antiqua"/>
          <w:color w:val="auto"/>
          <w:sz w:val="24"/>
          <w:szCs w:val="24"/>
        </w:rPr>
        <w:t xml:space="preserve">). Tumor growth was monitored every week and </w:t>
      </w:r>
      <w:r w:rsidR="005C5248" w:rsidRPr="00DF6D96">
        <w:rPr>
          <w:rFonts w:ascii="Book Antiqua" w:hAnsi="Book Antiqua"/>
          <w:color w:val="auto"/>
          <w:sz w:val="24"/>
          <w:szCs w:val="24"/>
        </w:rPr>
        <w:t>t</w:t>
      </w:r>
      <w:r w:rsidRPr="00DF6D96">
        <w:rPr>
          <w:rFonts w:ascii="Book Antiqua" w:hAnsi="Book Antiqua"/>
          <w:color w:val="auto"/>
          <w:sz w:val="24"/>
          <w:szCs w:val="24"/>
        </w:rPr>
        <w:t xml:space="preserve">umor volumes were calculated </w:t>
      </w:r>
      <w:r w:rsidR="001B485B" w:rsidRPr="00DF6D96">
        <w:rPr>
          <w:rFonts w:ascii="Book Antiqua" w:hAnsi="Book Antiqua"/>
          <w:color w:val="auto"/>
          <w:sz w:val="24"/>
          <w:szCs w:val="24"/>
        </w:rPr>
        <w:t>as follows</w:t>
      </w:r>
      <w:r w:rsidRPr="00DF6D96">
        <w:rPr>
          <w:rFonts w:ascii="Book Antiqua" w:hAnsi="Book Antiqua"/>
          <w:color w:val="auto"/>
          <w:sz w:val="24"/>
          <w:szCs w:val="24"/>
        </w:rPr>
        <w:t>: tumor volume = 4π/3 × (width/2)</w:t>
      </w:r>
      <w:r w:rsidRPr="00DF6D96">
        <w:rPr>
          <w:rFonts w:ascii="Book Antiqua" w:hAnsi="Book Antiqua"/>
          <w:color w:val="auto"/>
          <w:sz w:val="24"/>
          <w:szCs w:val="24"/>
          <w:vertAlign w:val="superscript"/>
        </w:rPr>
        <w:t>2</w:t>
      </w:r>
      <w:r w:rsidRPr="00DF6D96">
        <w:rPr>
          <w:rFonts w:ascii="Book Antiqua" w:hAnsi="Book Antiqua"/>
          <w:color w:val="auto"/>
          <w:sz w:val="24"/>
          <w:szCs w:val="24"/>
        </w:rPr>
        <w:t xml:space="preserve"> × (length/2), </w:t>
      </w:r>
      <w:r w:rsidR="001B485B" w:rsidRPr="00DF6D96">
        <w:rPr>
          <w:rFonts w:ascii="Book Antiqua" w:hAnsi="Book Antiqua"/>
          <w:color w:val="auto"/>
          <w:sz w:val="24"/>
          <w:szCs w:val="24"/>
        </w:rPr>
        <w:t>in which</w:t>
      </w:r>
      <w:r w:rsidRPr="00DF6D96">
        <w:rPr>
          <w:rFonts w:ascii="Book Antiqua" w:hAnsi="Book Antiqua"/>
          <w:color w:val="auto"/>
          <w:sz w:val="24"/>
          <w:szCs w:val="24"/>
        </w:rPr>
        <w:t xml:space="preserve"> the </w:t>
      </w:r>
      <w:r w:rsidR="008A52FC" w:rsidRPr="00DF6D96">
        <w:rPr>
          <w:rFonts w:ascii="Book Antiqua" w:hAnsi="Book Antiqua"/>
          <w:color w:val="auto"/>
          <w:sz w:val="24"/>
          <w:szCs w:val="24"/>
        </w:rPr>
        <w:t xml:space="preserve">length </w:t>
      </w:r>
      <w:r w:rsidRPr="00DF6D96">
        <w:rPr>
          <w:rFonts w:ascii="Book Antiqua" w:hAnsi="Book Antiqua"/>
          <w:color w:val="auto"/>
          <w:sz w:val="24"/>
          <w:szCs w:val="24"/>
        </w:rPr>
        <w:t>and</w:t>
      </w:r>
      <w:r w:rsidR="008A52FC" w:rsidRPr="00DF6D96">
        <w:rPr>
          <w:rFonts w:ascii="Book Antiqua" w:hAnsi="Book Antiqua"/>
          <w:color w:val="auto"/>
          <w:sz w:val="24"/>
          <w:szCs w:val="24"/>
        </w:rPr>
        <w:t xml:space="preserve"> width</w:t>
      </w:r>
      <w:r w:rsidRPr="00DF6D96">
        <w:rPr>
          <w:rFonts w:ascii="Book Antiqua" w:hAnsi="Book Antiqua"/>
          <w:color w:val="auto"/>
          <w:sz w:val="24"/>
          <w:szCs w:val="24"/>
        </w:rPr>
        <w:t xml:space="preserve"> were the </w:t>
      </w:r>
      <w:r w:rsidR="008A52FC" w:rsidRPr="00DF6D96">
        <w:rPr>
          <w:rFonts w:ascii="Book Antiqua" w:hAnsi="Book Antiqua"/>
          <w:color w:val="auto"/>
          <w:sz w:val="24"/>
          <w:szCs w:val="24"/>
        </w:rPr>
        <w:t xml:space="preserve">longest </w:t>
      </w:r>
      <w:r w:rsidRPr="00DF6D96">
        <w:rPr>
          <w:rFonts w:ascii="Book Antiqua" w:hAnsi="Book Antiqua"/>
          <w:color w:val="auto"/>
          <w:sz w:val="24"/>
          <w:szCs w:val="24"/>
        </w:rPr>
        <w:t xml:space="preserve">and </w:t>
      </w:r>
      <w:r w:rsidR="008A52FC" w:rsidRPr="00DF6D96">
        <w:rPr>
          <w:rFonts w:ascii="Book Antiqua" w:hAnsi="Book Antiqua"/>
          <w:color w:val="auto"/>
          <w:sz w:val="24"/>
          <w:szCs w:val="24"/>
        </w:rPr>
        <w:t xml:space="preserve">shortest diameters, respectively. </w:t>
      </w:r>
      <w:r w:rsidRPr="00DF6D96">
        <w:rPr>
          <w:rFonts w:ascii="Book Antiqua" w:hAnsi="Book Antiqua"/>
          <w:color w:val="auto"/>
          <w:sz w:val="24"/>
          <w:szCs w:val="24"/>
        </w:rPr>
        <w:t>4 w</w:t>
      </w:r>
      <w:r w:rsidR="009865A1">
        <w:rPr>
          <w:rFonts w:ascii="Book Antiqua" w:hAnsi="Book Antiqua"/>
          <w:color w:val="auto"/>
          <w:sz w:val="24"/>
          <w:szCs w:val="24"/>
        </w:rPr>
        <w:t>k</w:t>
      </w:r>
      <w:r w:rsidR="008A52FC" w:rsidRPr="00DF6D96">
        <w:rPr>
          <w:rFonts w:ascii="Book Antiqua" w:hAnsi="Book Antiqua"/>
          <w:color w:val="auto"/>
          <w:sz w:val="24"/>
          <w:szCs w:val="24"/>
        </w:rPr>
        <w:t xml:space="preserve"> after injection</w:t>
      </w:r>
      <w:r w:rsidRPr="00DF6D96">
        <w:rPr>
          <w:rFonts w:ascii="Book Antiqua" w:hAnsi="Book Antiqua"/>
          <w:color w:val="auto"/>
          <w:sz w:val="24"/>
          <w:szCs w:val="24"/>
        </w:rPr>
        <w:t xml:space="preserve">, the mice were sacrificed and the tumors were </w:t>
      </w:r>
      <w:bookmarkStart w:id="46" w:name="2jxsxqh" w:colFirst="0" w:colLast="0"/>
      <w:bookmarkStart w:id="47" w:name="z337ya" w:colFirst="0" w:colLast="0"/>
      <w:bookmarkEnd w:id="46"/>
      <w:bookmarkEnd w:id="47"/>
      <w:r w:rsidRPr="00DF6D96">
        <w:rPr>
          <w:rFonts w:ascii="Book Antiqua" w:hAnsi="Book Antiqua"/>
          <w:color w:val="auto"/>
          <w:sz w:val="24"/>
          <w:szCs w:val="24"/>
        </w:rPr>
        <w:t>dissected and weighed.</w:t>
      </w:r>
    </w:p>
    <w:p w14:paraId="44276D6B" w14:textId="77777777" w:rsidR="009865A1" w:rsidRPr="00DF6D96" w:rsidRDefault="009865A1" w:rsidP="0030419F">
      <w:pPr>
        <w:pStyle w:val="1"/>
        <w:adjustRightInd w:val="0"/>
        <w:snapToGrid w:val="0"/>
        <w:spacing w:line="360" w:lineRule="auto"/>
        <w:rPr>
          <w:rFonts w:ascii="Book Antiqua" w:hAnsi="Book Antiqua"/>
          <w:color w:val="auto"/>
          <w:sz w:val="24"/>
          <w:szCs w:val="24"/>
          <w:lang w:eastAsia="zh-CN"/>
        </w:rPr>
      </w:pPr>
    </w:p>
    <w:p w14:paraId="4693087B" w14:textId="77777777" w:rsidR="00C35D84" w:rsidRPr="009865A1" w:rsidRDefault="007C5683" w:rsidP="0030419F">
      <w:pPr>
        <w:pStyle w:val="1"/>
        <w:adjustRightInd w:val="0"/>
        <w:snapToGrid w:val="0"/>
        <w:spacing w:line="360" w:lineRule="auto"/>
        <w:outlineLvl w:val="0"/>
        <w:rPr>
          <w:rFonts w:ascii="Book Antiqua" w:hAnsi="Book Antiqua"/>
          <w:b/>
          <w:i/>
          <w:color w:val="auto"/>
          <w:sz w:val="24"/>
          <w:szCs w:val="24"/>
        </w:rPr>
      </w:pPr>
      <w:r w:rsidRPr="009865A1">
        <w:rPr>
          <w:rFonts w:ascii="Book Antiqua" w:hAnsi="Book Antiqua"/>
          <w:b/>
          <w:i/>
          <w:color w:val="auto"/>
          <w:sz w:val="24"/>
          <w:szCs w:val="24"/>
        </w:rPr>
        <w:t>Tumor metastasis model</w:t>
      </w:r>
    </w:p>
    <w:p w14:paraId="11B934DF" w14:textId="78B6876E" w:rsidR="00C35D84" w:rsidRDefault="007C5683"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hAnsi="Book Antiqua"/>
          <w:color w:val="auto"/>
          <w:sz w:val="24"/>
          <w:szCs w:val="24"/>
        </w:rPr>
        <w:t>2</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w:t>
      </w:r>
      <w:r w:rsidR="009865A1">
        <w:rPr>
          <w:rFonts w:ascii="Book Antiqua" w:hAnsi="Book Antiqua" w:hint="eastAsia"/>
          <w:color w:val="auto"/>
          <w:sz w:val="24"/>
          <w:szCs w:val="24"/>
          <w:lang w:eastAsia="zh-CN"/>
        </w:rPr>
        <w:t xml:space="preserve"> </w:t>
      </w:r>
      <w:r w:rsidRPr="00DF6D96">
        <w:rPr>
          <w:rFonts w:ascii="Book Antiqua" w:hAnsi="Book Antiqua"/>
          <w:color w:val="auto"/>
          <w:sz w:val="24"/>
          <w:szCs w:val="24"/>
        </w:rPr>
        <w:t>10</w:t>
      </w:r>
      <w:r w:rsidRPr="00DF6D96">
        <w:rPr>
          <w:rFonts w:ascii="Book Antiqua" w:hAnsi="Book Antiqua"/>
          <w:color w:val="auto"/>
          <w:sz w:val="24"/>
          <w:szCs w:val="24"/>
          <w:vertAlign w:val="superscript"/>
        </w:rPr>
        <w:t>6</w:t>
      </w:r>
      <w:r w:rsidRPr="00DF6D96">
        <w:rPr>
          <w:rFonts w:ascii="Book Antiqua" w:hAnsi="Book Antiqua"/>
          <w:color w:val="auto"/>
          <w:sz w:val="24"/>
          <w:szCs w:val="24"/>
        </w:rPr>
        <w:t xml:space="preserve"> HepG2 and SMMC-7721 cells suspended in 100 μL of normal saline were injected into the spleen of nude mice (4 w</w:t>
      </w:r>
      <w:r w:rsidR="009865A1">
        <w:rPr>
          <w:rFonts w:ascii="Book Antiqua" w:hAnsi="Book Antiqua"/>
          <w:color w:val="auto"/>
          <w:sz w:val="24"/>
          <w:szCs w:val="24"/>
        </w:rPr>
        <w:t>k</w:t>
      </w:r>
      <w:r w:rsidRPr="00DF6D96">
        <w:rPr>
          <w:rFonts w:ascii="Book Antiqua" w:hAnsi="Book Antiqua"/>
          <w:color w:val="auto"/>
          <w:sz w:val="24"/>
          <w:szCs w:val="24"/>
        </w:rPr>
        <w:t>) followed by a splenectomy 3 min later; the mice were monitored every 3 d after the procedure. After the 4</w:t>
      </w:r>
      <w:r w:rsidR="00C35D84" w:rsidRPr="00DF6D96">
        <w:rPr>
          <w:rFonts w:ascii="Book Antiqua" w:hAnsi="Book Antiqua"/>
          <w:color w:val="auto"/>
          <w:sz w:val="24"/>
          <w:szCs w:val="24"/>
          <w:vertAlign w:val="superscript"/>
        </w:rPr>
        <w:t>th</w:t>
      </w:r>
      <w:r w:rsidRPr="00DF6D96">
        <w:rPr>
          <w:rFonts w:ascii="Book Antiqua" w:hAnsi="Book Antiqua"/>
          <w:color w:val="auto"/>
          <w:sz w:val="24"/>
          <w:szCs w:val="24"/>
        </w:rPr>
        <w:t xml:space="preserve"> week, the mice were sacrificed and their livers were dissected. The liver tumor was weighed and tumor numbers on each liver were counted.</w:t>
      </w:r>
    </w:p>
    <w:p w14:paraId="611F07C7" w14:textId="77777777" w:rsidR="0076156B" w:rsidRPr="00DF6D96" w:rsidRDefault="0076156B" w:rsidP="0030419F">
      <w:pPr>
        <w:pStyle w:val="1"/>
        <w:adjustRightInd w:val="0"/>
        <w:snapToGrid w:val="0"/>
        <w:spacing w:line="360" w:lineRule="auto"/>
        <w:rPr>
          <w:rFonts w:ascii="Book Antiqua" w:hAnsi="Book Antiqua"/>
          <w:color w:val="auto"/>
          <w:sz w:val="24"/>
          <w:szCs w:val="24"/>
          <w:lang w:eastAsia="zh-CN"/>
        </w:rPr>
      </w:pPr>
    </w:p>
    <w:p w14:paraId="584988B3" w14:textId="77777777" w:rsidR="008F7001" w:rsidRPr="0076156B" w:rsidRDefault="008F7001" w:rsidP="0030419F">
      <w:pPr>
        <w:pStyle w:val="1"/>
        <w:adjustRightInd w:val="0"/>
        <w:snapToGrid w:val="0"/>
        <w:spacing w:line="360" w:lineRule="auto"/>
        <w:rPr>
          <w:rFonts w:ascii="Book Antiqua" w:hAnsi="Book Antiqua"/>
          <w:b/>
          <w:i/>
          <w:color w:val="auto"/>
          <w:sz w:val="24"/>
          <w:szCs w:val="24"/>
        </w:rPr>
      </w:pPr>
      <w:r w:rsidRPr="0076156B">
        <w:rPr>
          <w:rFonts w:ascii="Book Antiqua" w:hAnsi="Book Antiqua"/>
          <w:b/>
          <w:i/>
          <w:color w:val="auto"/>
          <w:sz w:val="24"/>
          <w:szCs w:val="24"/>
        </w:rPr>
        <w:t>Statistical analysis</w:t>
      </w:r>
    </w:p>
    <w:p w14:paraId="180E1B50" w14:textId="14A48784" w:rsidR="008F7001" w:rsidRPr="00DF6D96" w:rsidRDefault="008F7001"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All assays were done in triplicate. The data are shown in mean ± SD To compare the mean values of the two groups, the independent Student’s t-test was used. To compare the mean values of more than two groups, Two-way ANOVA was used. Fisher’s exact test was used to compare tumor metastatic rate of mice in two groups. A Pearson χ</w:t>
      </w:r>
      <w:r w:rsidRPr="0076156B">
        <w:rPr>
          <w:rFonts w:ascii="Book Antiqua" w:hAnsi="Book Antiqua"/>
          <w:color w:val="auto"/>
          <w:sz w:val="24"/>
          <w:szCs w:val="24"/>
          <w:vertAlign w:val="superscript"/>
        </w:rPr>
        <w:t>2</w:t>
      </w:r>
      <w:r w:rsidRPr="00DF6D96">
        <w:rPr>
          <w:rFonts w:ascii="Book Antiqua" w:hAnsi="Book Antiqua"/>
          <w:color w:val="auto"/>
          <w:sz w:val="24"/>
          <w:szCs w:val="24"/>
        </w:rPr>
        <w:t xml:space="preserve"> test was adopted to analyze the clinicopathological variables according to PAR2 expression. For survival analysis, Kaplan-Meier plots and log-rank tests were used. </w:t>
      </w:r>
      <w:r w:rsidRPr="0076156B">
        <w:rPr>
          <w:rFonts w:ascii="Book Antiqua" w:hAnsi="Book Antiqua"/>
          <w:i/>
          <w:color w:val="auto"/>
          <w:sz w:val="24"/>
          <w:szCs w:val="24"/>
        </w:rPr>
        <w:t>P</w:t>
      </w:r>
      <w:r w:rsidR="0076156B">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sidR="0076156B">
        <w:rPr>
          <w:rFonts w:ascii="Book Antiqua" w:hAnsi="Book Antiqua" w:hint="eastAsia"/>
          <w:color w:val="auto"/>
          <w:sz w:val="24"/>
          <w:szCs w:val="24"/>
          <w:lang w:eastAsia="zh-CN"/>
        </w:rPr>
        <w:t xml:space="preserve"> </w:t>
      </w:r>
      <w:r w:rsidRPr="00DF6D96">
        <w:rPr>
          <w:rFonts w:ascii="Book Antiqua" w:hAnsi="Book Antiqua"/>
          <w:color w:val="auto"/>
          <w:sz w:val="24"/>
          <w:szCs w:val="24"/>
        </w:rPr>
        <w:t>0.05 was considered to be statistically significant.</w:t>
      </w:r>
    </w:p>
    <w:p w14:paraId="627009FA" w14:textId="77777777" w:rsidR="00C35D84" w:rsidRPr="00DF6D96" w:rsidRDefault="00C35D84" w:rsidP="0030419F">
      <w:pPr>
        <w:pStyle w:val="1"/>
        <w:adjustRightInd w:val="0"/>
        <w:snapToGrid w:val="0"/>
        <w:spacing w:line="360" w:lineRule="auto"/>
        <w:rPr>
          <w:rFonts w:ascii="Book Antiqua" w:hAnsi="Book Antiqua"/>
          <w:color w:val="auto"/>
          <w:sz w:val="24"/>
          <w:szCs w:val="24"/>
        </w:rPr>
      </w:pPr>
    </w:p>
    <w:p w14:paraId="7F3BA17F" w14:textId="42CB8629" w:rsidR="00C35D84" w:rsidRPr="00DF6D96" w:rsidRDefault="0076156B" w:rsidP="0030419F">
      <w:pPr>
        <w:pStyle w:val="1"/>
        <w:adjustRightInd w:val="0"/>
        <w:snapToGrid w:val="0"/>
        <w:spacing w:line="360" w:lineRule="auto"/>
        <w:outlineLvl w:val="0"/>
        <w:rPr>
          <w:rFonts w:ascii="Book Antiqua" w:hAnsi="Book Antiqua"/>
          <w:b/>
          <w:color w:val="auto"/>
          <w:sz w:val="24"/>
          <w:szCs w:val="24"/>
        </w:rPr>
      </w:pPr>
      <w:r w:rsidRPr="00DF6D96">
        <w:rPr>
          <w:rFonts w:ascii="Book Antiqua" w:hAnsi="Book Antiqua"/>
          <w:b/>
          <w:color w:val="auto"/>
          <w:sz w:val="24"/>
          <w:szCs w:val="24"/>
        </w:rPr>
        <w:lastRenderedPageBreak/>
        <w:t>RESULTS</w:t>
      </w:r>
    </w:p>
    <w:p w14:paraId="2DAF71A2" w14:textId="3B84C168" w:rsidR="00C35D84" w:rsidRPr="0076156B" w:rsidRDefault="007C5683" w:rsidP="0030419F">
      <w:pPr>
        <w:pStyle w:val="1"/>
        <w:adjustRightInd w:val="0"/>
        <w:snapToGrid w:val="0"/>
        <w:spacing w:line="360" w:lineRule="auto"/>
        <w:rPr>
          <w:rFonts w:ascii="Book Antiqua" w:hAnsi="Book Antiqua"/>
          <w:b/>
          <w:i/>
          <w:color w:val="auto"/>
          <w:sz w:val="24"/>
          <w:szCs w:val="24"/>
          <w:lang w:eastAsia="zh-CN"/>
        </w:rPr>
      </w:pPr>
      <w:bookmarkStart w:id="48" w:name="1y810tw" w:colFirst="0" w:colLast="0"/>
      <w:bookmarkStart w:id="49" w:name="3j2qqm3" w:colFirst="0" w:colLast="0"/>
      <w:bookmarkEnd w:id="48"/>
      <w:bookmarkEnd w:id="49"/>
      <w:r w:rsidRPr="0076156B">
        <w:rPr>
          <w:rFonts w:ascii="Book Antiqua" w:hAnsi="Book Antiqua"/>
          <w:b/>
          <w:i/>
          <w:color w:val="auto"/>
          <w:sz w:val="24"/>
          <w:szCs w:val="24"/>
        </w:rPr>
        <w:t>The expression level of PAR2 correlates with TNM stage, tumor size, microvascular inv</w:t>
      </w:r>
      <w:r w:rsidR="00562C27">
        <w:rPr>
          <w:rFonts w:ascii="Book Antiqua" w:hAnsi="Book Antiqua"/>
          <w:b/>
          <w:i/>
          <w:color w:val="auto"/>
          <w:sz w:val="24"/>
          <w:szCs w:val="24"/>
        </w:rPr>
        <w:t>asion, and patients’ OS and DFS</w:t>
      </w:r>
    </w:p>
    <w:p w14:paraId="3EA72E4A" w14:textId="00D6E35A"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 xml:space="preserve">To determine whether PAR2 plays an important role in HCC progression, the expression level of PAR2 in patients’ tumor tissues was detected by immunohistochemistry. </w:t>
      </w:r>
      <w:r w:rsidR="006523FC" w:rsidRPr="00DF6D96">
        <w:rPr>
          <w:rFonts w:ascii="Book Antiqua" w:hAnsi="Book Antiqua"/>
          <w:color w:val="auto"/>
          <w:sz w:val="24"/>
          <w:szCs w:val="24"/>
        </w:rPr>
        <w:t>P</w:t>
      </w:r>
      <w:r w:rsidR="006523FC" w:rsidRPr="00DF6D96">
        <w:rPr>
          <w:rFonts w:ascii="Book Antiqua" w:hAnsi="Book Antiqua"/>
          <w:color w:val="auto"/>
          <w:sz w:val="24"/>
          <w:szCs w:val="24"/>
          <w:lang w:eastAsia="zh-CN"/>
        </w:rPr>
        <w:t xml:space="preserve">AR2 was mainly located on the </w:t>
      </w:r>
      <w:r w:rsidR="00581A08" w:rsidRPr="00DF6D96">
        <w:rPr>
          <w:rFonts w:ascii="Book Antiqua" w:hAnsi="Book Antiqua"/>
          <w:color w:val="auto"/>
          <w:sz w:val="24"/>
          <w:szCs w:val="24"/>
          <w:lang w:eastAsia="zh-CN"/>
        </w:rPr>
        <w:t xml:space="preserve">plasma membrane </w:t>
      </w:r>
      <w:r w:rsidR="00581A08" w:rsidRPr="00DF6D96">
        <w:rPr>
          <w:rFonts w:ascii="Book Antiqua" w:hAnsi="Book Antiqua"/>
          <w:color w:val="auto"/>
          <w:sz w:val="24"/>
          <w:szCs w:val="24"/>
        </w:rPr>
        <w:t>(Figure 1A)</w:t>
      </w:r>
      <w:r w:rsidR="00581A08" w:rsidRPr="00DF6D96">
        <w:rPr>
          <w:rFonts w:ascii="Book Antiqua" w:hAnsi="Book Antiqua"/>
          <w:color w:val="auto"/>
          <w:sz w:val="24"/>
          <w:szCs w:val="24"/>
          <w:lang w:eastAsia="zh-CN"/>
        </w:rPr>
        <w:t xml:space="preserve">. The patient distribution of PAR2 IHC score was shown in Table 1. </w:t>
      </w:r>
      <w:r w:rsidRPr="00DF6D96">
        <w:rPr>
          <w:rFonts w:ascii="Book Antiqua" w:hAnsi="Book Antiqua"/>
          <w:color w:val="auto"/>
          <w:sz w:val="24"/>
          <w:szCs w:val="24"/>
        </w:rPr>
        <w:t xml:space="preserve">Patients were divided into PAR2 high and PAR2 low groups </w:t>
      </w:r>
      <w:r w:rsidR="00581A08" w:rsidRPr="00DF6D96">
        <w:rPr>
          <w:rFonts w:ascii="Book Antiqua" w:hAnsi="Book Antiqua"/>
          <w:color w:val="auto"/>
          <w:sz w:val="24"/>
          <w:szCs w:val="24"/>
        </w:rPr>
        <w:t xml:space="preserve">according to the </w:t>
      </w:r>
      <w:r w:rsidR="0087610E" w:rsidRPr="00DF6D96">
        <w:rPr>
          <w:rFonts w:ascii="Book Antiqua" w:hAnsi="Book Antiqua"/>
          <w:color w:val="auto"/>
          <w:sz w:val="24"/>
          <w:szCs w:val="24"/>
        </w:rPr>
        <w:t xml:space="preserve">immunohistochemistry </w:t>
      </w:r>
      <w:r w:rsidR="0087610E">
        <w:rPr>
          <w:rFonts w:ascii="Book Antiqua" w:hAnsi="Book Antiqua" w:hint="eastAsia"/>
          <w:color w:val="auto"/>
          <w:sz w:val="24"/>
          <w:szCs w:val="24"/>
          <w:lang w:eastAsia="zh-CN"/>
        </w:rPr>
        <w:t>(</w:t>
      </w:r>
      <w:r w:rsidR="00581A08" w:rsidRPr="00DF6D96">
        <w:rPr>
          <w:rFonts w:ascii="Book Antiqua" w:hAnsi="Book Antiqua"/>
          <w:color w:val="auto"/>
          <w:sz w:val="24"/>
          <w:szCs w:val="24"/>
        </w:rPr>
        <w:t>IHC</w:t>
      </w:r>
      <w:r w:rsidR="0087610E">
        <w:rPr>
          <w:rFonts w:ascii="Book Antiqua" w:hAnsi="Book Antiqua" w:hint="eastAsia"/>
          <w:color w:val="auto"/>
          <w:sz w:val="24"/>
          <w:szCs w:val="24"/>
          <w:lang w:eastAsia="zh-CN"/>
        </w:rPr>
        <w:t>)</w:t>
      </w:r>
      <w:r w:rsidR="00581A08" w:rsidRPr="00DF6D96">
        <w:rPr>
          <w:rFonts w:ascii="Book Antiqua" w:hAnsi="Book Antiqua"/>
          <w:color w:val="auto"/>
          <w:sz w:val="24"/>
          <w:szCs w:val="24"/>
          <w:lang w:eastAsia="zh-CN"/>
        </w:rPr>
        <w:t xml:space="preserve"> score </w:t>
      </w:r>
      <w:r w:rsidRPr="00DF6D96">
        <w:rPr>
          <w:rFonts w:ascii="Book Antiqua" w:hAnsi="Book Antiqua"/>
          <w:color w:val="auto"/>
          <w:sz w:val="24"/>
          <w:szCs w:val="24"/>
        </w:rPr>
        <w:t xml:space="preserve">(Figure 1A). Patients </w:t>
      </w:r>
      <w:r w:rsidR="00D341D0" w:rsidRPr="00DF6D96">
        <w:rPr>
          <w:rFonts w:ascii="Book Antiqua" w:hAnsi="Book Antiqua"/>
          <w:color w:val="auto"/>
          <w:sz w:val="24"/>
          <w:szCs w:val="24"/>
        </w:rPr>
        <w:t>with</w:t>
      </w:r>
      <w:r w:rsidRPr="00DF6D96">
        <w:rPr>
          <w:rFonts w:ascii="Book Antiqua" w:hAnsi="Book Antiqua"/>
          <w:color w:val="auto"/>
          <w:sz w:val="24"/>
          <w:szCs w:val="24"/>
        </w:rPr>
        <w:t xml:space="preserve"> high PAR2 levels had advanced tumor stages (</w:t>
      </w:r>
      <w:r w:rsidR="00076218" w:rsidRPr="0076156B">
        <w:rPr>
          <w:rFonts w:ascii="Book Antiqua" w:hAnsi="Book Antiqua"/>
          <w:i/>
          <w:color w:val="auto"/>
          <w:sz w:val="24"/>
          <w:szCs w:val="24"/>
        </w:rPr>
        <w:t>P</w:t>
      </w:r>
      <w:r w:rsidR="00076218">
        <w:rPr>
          <w:rFonts w:ascii="Book Antiqua" w:hAnsi="Book Antiqua"/>
          <w:color w:val="auto"/>
          <w:sz w:val="24"/>
          <w:szCs w:val="24"/>
        </w:rPr>
        <w:t xml:space="preserve"> = </w:t>
      </w:r>
      <w:r w:rsidRPr="00DF6D96">
        <w:rPr>
          <w:rFonts w:ascii="Book Antiqua" w:hAnsi="Book Antiqua"/>
          <w:color w:val="auto"/>
          <w:sz w:val="24"/>
          <w:szCs w:val="24"/>
        </w:rPr>
        <w:t>0.001, chi-square test), larger tumor size (</w:t>
      </w:r>
      <w:r w:rsidR="00076218" w:rsidRPr="0076156B">
        <w:rPr>
          <w:rFonts w:ascii="Book Antiqua" w:hAnsi="Book Antiqua"/>
          <w:i/>
          <w:color w:val="auto"/>
          <w:sz w:val="24"/>
          <w:szCs w:val="24"/>
        </w:rPr>
        <w:t>P</w:t>
      </w:r>
      <w:r w:rsidR="00076218">
        <w:rPr>
          <w:rFonts w:ascii="Book Antiqua" w:hAnsi="Book Antiqua"/>
          <w:color w:val="auto"/>
          <w:sz w:val="24"/>
          <w:szCs w:val="24"/>
        </w:rPr>
        <w:t xml:space="preserve"> = </w:t>
      </w:r>
      <w:r w:rsidRPr="00DF6D96">
        <w:rPr>
          <w:rFonts w:ascii="Book Antiqua" w:hAnsi="Book Antiqua"/>
          <w:color w:val="auto"/>
          <w:sz w:val="24"/>
          <w:szCs w:val="24"/>
        </w:rPr>
        <w:t xml:space="preserve">0.032, chi-square test), and high microvascular invasion rate </w:t>
      </w:r>
      <w:bookmarkStart w:id="50" w:name="OLE_LINK5"/>
      <w:bookmarkStart w:id="51" w:name="OLE_LINK6"/>
      <w:r w:rsidRPr="00DF6D96">
        <w:rPr>
          <w:rFonts w:ascii="Book Antiqua" w:hAnsi="Book Antiqua"/>
          <w:color w:val="auto"/>
          <w:sz w:val="24"/>
          <w:szCs w:val="24"/>
        </w:rPr>
        <w:t>(</w:t>
      </w:r>
      <w:r w:rsidR="00076218" w:rsidRPr="0076156B">
        <w:rPr>
          <w:rFonts w:ascii="Book Antiqua" w:hAnsi="Book Antiqua"/>
          <w:i/>
          <w:color w:val="auto"/>
          <w:sz w:val="24"/>
          <w:szCs w:val="24"/>
        </w:rPr>
        <w:t>P</w:t>
      </w:r>
      <w:r w:rsidR="00076218">
        <w:rPr>
          <w:rFonts w:ascii="Book Antiqua" w:hAnsi="Book Antiqua"/>
          <w:color w:val="auto"/>
          <w:sz w:val="24"/>
          <w:szCs w:val="24"/>
        </w:rPr>
        <w:t xml:space="preserve"> = </w:t>
      </w:r>
      <w:r w:rsidR="004B687C" w:rsidRPr="00DF6D96">
        <w:rPr>
          <w:rFonts w:ascii="Book Antiqua" w:hAnsi="Book Antiqua"/>
          <w:color w:val="auto"/>
          <w:sz w:val="24"/>
          <w:szCs w:val="24"/>
        </w:rPr>
        <w:t>0.037, chi-square test; Table 2</w:t>
      </w:r>
      <w:r w:rsidRPr="00DF6D96">
        <w:rPr>
          <w:rFonts w:ascii="Book Antiqua" w:hAnsi="Book Antiqua"/>
          <w:color w:val="auto"/>
          <w:sz w:val="24"/>
          <w:szCs w:val="24"/>
        </w:rPr>
        <w:t>)</w:t>
      </w:r>
      <w:bookmarkEnd w:id="50"/>
      <w:bookmarkEnd w:id="51"/>
      <w:r w:rsidRPr="00DF6D96">
        <w:rPr>
          <w:rFonts w:ascii="Book Antiqua" w:hAnsi="Book Antiqua"/>
          <w:color w:val="auto"/>
          <w:sz w:val="24"/>
          <w:szCs w:val="24"/>
        </w:rPr>
        <w:t xml:space="preserve">. Patients </w:t>
      </w:r>
      <w:r w:rsidR="00D341D0" w:rsidRPr="00DF6D96">
        <w:rPr>
          <w:rFonts w:ascii="Book Antiqua" w:hAnsi="Book Antiqua"/>
          <w:color w:val="auto"/>
          <w:sz w:val="24"/>
          <w:szCs w:val="24"/>
        </w:rPr>
        <w:t>with</w:t>
      </w:r>
      <w:r w:rsidRPr="00DF6D96">
        <w:rPr>
          <w:rFonts w:ascii="Book Antiqua" w:hAnsi="Book Antiqua"/>
          <w:color w:val="auto"/>
          <w:sz w:val="24"/>
          <w:szCs w:val="24"/>
        </w:rPr>
        <w:t xml:space="preserve"> high PAR2 expression levels had significantly shorter </w:t>
      </w:r>
      <w:r w:rsidR="00A63DC3">
        <w:rPr>
          <w:rFonts w:ascii="Book Antiqua" w:hAnsi="Book Antiqua"/>
          <w:color w:val="auto"/>
          <w:sz w:val="24"/>
          <w:szCs w:val="24"/>
        </w:rPr>
        <w:t>Overall survival</w:t>
      </w:r>
      <w:r w:rsidR="00A63DC3" w:rsidRPr="00A63DC3">
        <w:rPr>
          <w:rFonts w:ascii="Book Antiqua" w:hAnsi="Book Antiqua"/>
          <w:color w:val="auto"/>
          <w:sz w:val="24"/>
          <w:szCs w:val="24"/>
        </w:rPr>
        <w:t xml:space="preserve"> </w:t>
      </w:r>
      <w:r w:rsidR="00A63DC3" w:rsidRPr="00A63DC3">
        <w:rPr>
          <w:rFonts w:ascii="Book Antiqua" w:hAnsi="Book Antiqua" w:hint="eastAsia"/>
          <w:color w:val="auto"/>
          <w:sz w:val="24"/>
          <w:szCs w:val="24"/>
          <w:lang w:eastAsia="zh-CN"/>
        </w:rPr>
        <w:t>(</w:t>
      </w:r>
      <w:r w:rsidRPr="00A63DC3">
        <w:rPr>
          <w:rFonts w:ascii="Book Antiqua" w:hAnsi="Book Antiqua"/>
          <w:color w:val="auto"/>
          <w:sz w:val="24"/>
          <w:szCs w:val="24"/>
        </w:rPr>
        <w:t>OS</w:t>
      </w:r>
      <w:r w:rsidR="00A63DC3" w:rsidRPr="00A63DC3">
        <w:rPr>
          <w:rFonts w:ascii="Book Antiqua" w:hAnsi="Book Antiqua" w:hint="eastAsia"/>
          <w:color w:val="auto"/>
          <w:sz w:val="24"/>
          <w:szCs w:val="24"/>
          <w:lang w:eastAsia="zh-CN"/>
        </w:rPr>
        <w:t>)</w:t>
      </w:r>
      <w:r w:rsidRPr="00A63DC3">
        <w:rPr>
          <w:rFonts w:ascii="Book Antiqua" w:hAnsi="Book Antiqua"/>
          <w:color w:val="auto"/>
          <w:sz w:val="24"/>
          <w:szCs w:val="24"/>
        </w:rPr>
        <w:t xml:space="preserve"> and </w:t>
      </w:r>
      <w:r w:rsidR="00A63DC3" w:rsidRPr="00A63DC3">
        <w:rPr>
          <w:rFonts w:ascii="Book Antiqua" w:hAnsi="Book Antiqua"/>
          <w:color w:val="auto"/>
          <w:sz w:val="24"/>
          <w:szCs w:val="24"/>
        </w:rPr>
        <w:t xml:space="preserve">Disease-free survival </w:t>
      </w:r>
      <w:r w:rsidR="00A63DC3" w:rsidRPr="00A63DC3">
        <w:rPr>
          <w:rFonts w:ascii="Book Antiqua" w:hAnsi="Book Antiqua" w:hint="eastAsia"/>
          <w:color w:val="auto"/>
          <w:sz w:val="24"/>
          <w:szCs w:val="24"/>
          <w:lang w:eastAsia="zh-CN"/>
        </w:rPr>
        <w:t>(</w:t>
      </w:r>
      <w:r w:rsidRPr="00A63DC3">
        <w:rPr>
          <w:rFonts w:ascii="Book Antiqua" w:hAnsi="Book Antiqua"/>
          <w:color w:val="auto"/>
          <w:sz w:val="24"/>
          <w:szCs w:val="24"/>
        </w:rPr>
        <w:t>DFS</w:t>
      </w:r>
      <w:r w:rsidR="00A63DC3" w:rsidRPr="00A63DC3">
        <w:rPr>
          <w:rFonts w:ascii="Book Antiqua" w:hAnsi="Book Antiqua" w:hint="eastAsia"/>
          <w:color w:val="auto"/>
          <w:sz w:val="24"/>
          <w:szCs w:val="24"/>
          <w:lang w:eastAsia="zh-CN"/>
        </w:rPr>
        <w:t>)</w:t>
      </w:r>
      <w:r w:rsidRPr="00DF6D96">
        <w:rPr>
          <w:rFonts w:ascii="Book Antiqua" w:hAnsi="Book Antiqua"/>
          <w:color w:val="auto"/>
          <w:sz w:val="24"/>
          <w:szCs w:val="24"/>
        </w:rPr>
        <w:t xml:space="preserve"> rates than those with low PAR2 expression levels, respectively (</w:t>
      </w:r>
      <w:r w:rsidR="00076218" w:rsidRPr="0076156B">
        <w:rPr>
          <w:rFonts w:ascii="Book Antiqua" w:hAnsi="Book Antiqua"/>
          <w:i/>
          <w:color w:val="auto"/>
          <w:sz w:val="24"/>
          <w:szCs w:val="24"/>
        </w:rPr>
        <w:t>P</w:t>
      </w:r>
      <w:r w:rsidR="00076218">
        <w:rPr>
          <w:rFonts w:ascii="Book Antiqua" w:hAnsi="Book Antiqua"/>
          <w:color w:val="auto"/>
          <w:sz w:val="24"/>
          <w:szCs w:val="24"/>
        </w:rPr>
        <w:t xml:space="preserve"> = </w:t>
      </w:r>
      <w:r w:rsidRPr="00DF6D96">
        <w:rPr>
          <w:rFonts w:ascii="Book Antiqua" w:hAnsi="Book Antiqua"/>
          <w:color w:val="auto"/>
          <w:sz w:val="24"/>
          <w:szCs w:val="24"/>
        </w:rPr>
        <w:t xml:space="preserve">0.02 and </w:t>
      </w:r>
      <w:r w:rsidR="00076218" w:rsidRPr="0076156B">
        <w:rPr>
          <w:rFonts w:ascii="Book Antiqua" w:hAnsi="Book Antiqua"/>
          <w:i/>
          <w:color w:val="auto"/>
          <w:sz w:val="24"/>
          <w:szCs w:val="24"/>
        </w:rPr>
        <w:t>P</w:t>
      </w:r>
      <w:r w:rsidR="00076218">
        <w:rPr>
          <w:rFonts w:ascii="Book Antiqua" w:hAnsi="Book Antiqua"/>
          <w:color w:val="auto"/>
          <w:sz w:val="24"/>
          <w:szCs w:val="24"/>
        </w:rPr>
        <w:t xml:space="preserve"> = </w:t>
      </w:r>
      <w:r w:rsidRPr="00DF6D96">
        <w:rPr>
          <w:rFonts w:ascii="Book Antiqua" w:hAnsi="Book Antiqua"/>
          <w:color w:val="auto"/>
          <w:sz w:val="24"/>
          <w:szCs w:val="24"/>
        </w:rPr>
        <w:t>0.03; Figure 1B</w:t>
      </w:r>
      <w:r w:rsidR="00FE7968">
        <w:rPr>
          <w:rFonts w:ascii="Book Antiqua" w:hAnsi="Book Antiqua" w:hint="eastAsia"/>
          <w:color w:val="auto"/>
          <w:sz w:val="24"/>
          <w:szCs w:val="24"/>
          <w:lang w:eastAsia="zh-CN"/>
        </w:rPr>
        <w:t xml:space="preserve"> and </w:t>
      </w:r>
      <w:r w:rsidRPr="00DF6D96">
        <w:rPr>
          <w:rFonts w:ascii="Book Antiqua" w:hAnsi="Book Antiqua"/>
          <w:color w:val="auto"/>
          <w:sz w:val="24"/>
          <w:szCs w:val="24"/>
        </w:rPr>
        <w:t xml:space="preserve">C). </w:t>
      </w:r>
      <w:bookmarkStart w:id="52" w:name="OLE_LINK19"/>
      <w:bookmarkStart w:id="53" w:name="OLE_LINK20"/>
      <w:r w:rsidR="00C04A67" w:rsidRPr="00DF6D96">
        <w:rPr>
          <w:rFonts w:ascii="Book Antiqua" w:hAnsi="Book Antiqua"/>
          <w:color w:val="auto"/>
          <w:sz w:val="24"/>
          <w:szCs w:val="24"/>
        </w:rPr>
        <w:t xml:space="preserve">Multivariate Cox regression analysis further revealed that PAR2 was an independent prognostic marker for the OS time of HCC patients (hazard ratio, 1.814; </w:t>
      </w:r>
      <w:r w:rsidR="00C04A67" w:rsidRPr="0076156B">
        <w:rPr>
          <w:rFonts w:ascii="Book Antiqua" w:hAnsi="Book Antiqua"/>
          <w:i/>
          <w:color w:val="auto"/>
          <w:sz w:val="24"/>
          <w:szCs w:val="24"/>
        </w:rPr>
        <w:t>P</w:t>
      </w:r>
      <w:r w:rsidR="00C04A67" w:rsidRPr="00DF6D96">
        <w:rPr>
          <w:rFonts w:ascii="Book Antiqua" w:hAnsi="Book Antiqua"/>
          <w:color w:val="auto"/>
          <w:sz w:val="24"/>
          <w:szCs w:val="24"/>
        </w:rPr>
        <w:t xml:space="preserve"> = 0.041) (Table 3).</w:t>
      </w:r>
      <w:bookmarkEnd w:id="52"/>
      <w:bookmarkEnd w:id="53"/>
      <w:r w:rsidR="00C04A67" w:rsidRPr="00DF6D96">
        <w:rPr>
          <w:rFonts w:ascii="Book Antiqua" w:hAnsi="Book Antiqua"/>
          <w:color w:val="auto"/>
          <w:sz w:val="24"/>
          <w:szCs w:val="24"/>
          <w:lang w:eastAsia="zh-CN"/>
        </w:rPr>
        <w:t xml:space="preserve"> </w:t>
      </w:r>
      <w:r w:rsidRPr="00DF6D96">
        <w:rPr>
          <w:rFonts w:ascii="Book Antiqua" w:hAnsi="Book Antiqua"/>
          <w:color w:val="auto"/>
          <w:sz w:val="24"/>
          <w:szCs w:val="24"/>
        </w:rPr>
        <w:t xml:space="preserve">These data suggest that PAR2 is associated with tumor growth and invasion; it can also predict </w:t>
      </w:r>
      <w:r w:rsidR="00344DD8" w:rsidRPr="00DF6D96">
        <w:rPr>
          <w:rFonts w:ascii="Book Antiqua" w:hAnsi="Book Antiqua"/>
          <w:color w:val="auto"/>
          <w:sz w:val="24"/>
          <w:szCs w:val="24"/>
        </w:rPr>
        <w:t xml:space="preserve">the </w:t>
      </w:r>
      <w:r w:rsidRPr="00DF6D96">
        <w:rPr>
          <w:rFonts w:ascii="Book Antiqua" w:hAnsi="Book Antiqua"/>
          <w:color w:val="auto"/>
          <w:sz w:val="24"/>
          <w:szCs w:val="24"/>
        </w:rPr>
        <w:t xml:space="preserve">prognosis of </w:t>
      </w:r>
      <w:r w:rsidR="00344DD8" w:rsidRPr="00DF6D96">
        <w:rPr>
          <w:rFonts w:ascii="Book Antiqua" w:hAnsi="Book Antiqua"/>
          <w:color w:val="auto"/>
          <w:sz w:val="24"/>
          <w:szCs w:val="24"/>
        </w:rPr>
        <w:t xml:space="preserve">an </w:t>
      </w:r>
      <w:r w:rsidRPr="00DF6D96">
        <w:rPr>
          <w:rFonts w:ascii="Book Antiqua" w:hAnsi="Book Antiqua"/>
          <w:color w:val="auto"/>
          <w:sz w:val="24"/>
          <w:szCs w:val="24"/>
        </w:rPr>
        <w:t xml:space="preserve">HCC patient. </w:t>
      </w:r>
    </w:p>
    <w:p w14:paraId="34BEE649" w14:textId="77777777" w:rsidR="00C04A67" w:rsidRPr="00DF6D96" w:rsidRDefault="00C04A67" w:rsidP="0030419F">
      <w:pPr>
        <w:pStyle w:val="1"/>
        <w:adjustRightInd w:val="0"/>
        <w:snapToGrid w:val="0"/>
        <w:spacing w:line="360" w:lineRule="auto"/>
        <w:rPr>
          <w:rFonts w:ascii="Book Antiqua" w:hAnsi="Book Antiqua"/>
          <w:b/>
          <w:color w:val="auto"/>
          <w:sz w:val="24"/>
          <w:szCs w:val="24"/>
        </w:rPr>
      </w:pPr>
    </w:p>
    <w:p w14:paraId="40E14FC4" w14:textId="684151BA" w:rsidR="00C35D84" w:rsidRPr="00FA66EC" w:rsidRDefault="007C5683" w:rsidP="0030419F">
      <w:pPr>
        <w:pStyle w:val="1"/>
        <w:adjustRightInd w:val="0"/>
        <w:snapToGrid w:val="0"/>
        <w:spacing w:line="360" w:lineRule="auto"/>
        <w:rPr>
          <w:rFonts w:ascii="Book Antiqua" w:hAnsi="Book Antiqua"/>
          <w:b/>
          <w:i/>
          <w:color w:val="auto"/>
          <w:sz w:val="24"/>
          <w:szCs w:val="24"/>
          <w:lang w:eastAsia="zh-CN"/>
        </w:rPr>
      </w:pPr>
      <w:r w:rsidRPr="00FA66EC">
        <w:rPr>
          <w:rFonts w:ascii="Book Antiqua" w:hAnsi="Book Antiqua"/>
          <w:b/>
          <w:i/>
          <w:color w:val="auto"/>
          <w:sz w:val="24"/>
          <w:szCs w:val="24"/>
        </w:rPr>
        <w:t>PAR2 was stably knocked down by lentivir</w:t>
      </w:r>
      <w:r w:rsidR="00EA65E7" w:rsidRPr="00FA66EC">
        <w:rPr>
          <w:rFonts w:ascii="Book Antiqua" w:hAnsi="Book Antiqua"/>
          <w:b/>
          <w:i/>
          <w:color w:val="auto"/>
          <w:sz w:val="24"/>
          <w:szCs w:val="24"/>
        </w:rPr>
        <w:t>al-</w:t>
      </w:r>
      <w:r w:rsidRPr="00FA66EC">
        <w:rPr>
          <w:rFonts w:ascii="Book Antiqua" w:hAnsi="Book Antiqua"/>
          <w:b/>
          <w:i/>
          <w:color w:val="auto"/>
          <w:sz w:val="24"/>
          <w:szCs w:val="24"/>
        </w:rPr>
        <w:t>mediated RNAi and trans</w:t>
      </w:r>
      <w:r w:rsidR="00562C27">
        <w:rPr>
          <w:rFonts w:ascii="Book Antiqua" w:hAnsi="Book Antiqua"/>
          <w:b/>
          <w:i/>
          <w:color w:val="auto"/>
          <w:sz w:val="24"/>
          <w:szCs w:val="24"/>
        </w:rPr>
        <w:t>iently overexpressed by plasmid</w:t>
      </w:r>
    </w:p>
    <w:p w14:paraId="59FD63D3" w14:textId="33D76118" w:rsidR="001678FF"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To determine whether PAR2 is essential for HCC carcinogenesis, the expression of PAR2 was stably knocked down by lentiviral mediated shRNA in HepG2 and SMMC-7721 cells. The PAR2 knockdown is referred to as shPAR2, while the negative control is referred to as shNC. The PAR2 RNA and protein levels both decreased in shPAR2 knockdown cells (Figure 2A</w:t>
      </w:r>
      <w:r w:rsidR="00FE7968">
        <w:rPr>
          <w:rFonts w:ascii="Book Antiqua" w:hAnsi="Book Antiqua" w:hint="eastAsia"/>
          <w:color w:val="auto"/>
          <w:sz w:val="24"/>
          <w:szCs w:val="24"/>
          <w:lang w:eastAsia="zh-CN"/>
        </w:rPr>
        <w:t xml:space="preserve"> and</w:t>
      </w:r>
      <w:r w:rsidRPr="00DF6D96">
        <w:rPr>
          <w:rFonts w:ascii="Book Antiqua" w:hAnsi="Book Antiqua"/>
          <w:color w:val="auto"/>
          <w:sz w:val="24"/>
          <w:szCs w:val="24"/>
        </w:rPr>
        <w:t xml:space="preserve"> B). To overexpress PAR2, the coding region was amplified and inserted into</w:t>
      </w:r>
      <w:r w:rsidR="00EA65E7" w:rsidRPr="00DF6D96">
        <w:rPr>
          <w:rFonts w:ascii="Book Antiqua" w:hAnsi="Book Antiqua"/>
          <w:color w:val="auto"/>
          <w:sz w:val="24"/>
          <w:szCs w:val="24"/>
        </w:rPr>
        <w:t xml:space="preserve"> the</w:t>
      </w:r>
      <w:r w:rsidRPr="00DF6D96">
        <w:rPr>
          <w:rFonts w:ascii="Book Antiqua" w:hAnsi="Book Antiqua"/>
          <w:color w:val="auto"/>
          <w:sz w:val="24"/>
          <w:szCs w:val="24"/>
        </w:rPr>
        <w:t xml:space="preserve"> pcDNA3.1 (+) plasmid. After transfecting cells with empty pcDNA3.1 or pcDNA3.1-PAR2 with lipofectamine 2000, PAR2 was transiently overexpressed in pcDNA3.1-PAR2 cells (Figure 2C</w:t>
      </w:r>
      <w:r w:rsidR="00FE7968">
        <w:rPr>
          <w:rFonts w:ascii="Book Antiqua" w:hAnsi="Book Antiqua" w:hint="eastAsia"/>
          <w:color w:val="auto"/>
          <w:sz w:val="24"/>
          <w:szCs w:val="24"/>
          <w:lang w:eastAsia="zh-CN"/>
        </w:rPr>
        <w:t xml:space="preserve"> and</w:t>
      </w:r>
      <w:r w:rsidRPr="00DF6D96">
        <w:rPr>
          <w:rFonts w:ascii="Book Antiqua" w:hAnsi="Book Antiqua"/>
          <w:color w:val="auto"/>
          <w:sz w:val="24"/>
          <w:szCs w:val="24"/>
        </w:rPr>
        <w:t xml:space="preserve"> D).</w:t>
      </w:r>
    </w:p>
    <w:p w14:paraId="420E371D" w14:textId="77777777" w:rsidR="00F34E1C" w:rsidRPr="00DF6D96" w:rsidRDefault="00F34E1C" w:rsidP="0030419F">
      <w:pPr>
        <w:pStyle w:val="1"/>
        <w:adjustRightInd w:val="0"/>
        <w:snapToGrid w:val="0"/>
        <w:spacing w:line="360" w:lineRule="auto"/>
        <w:rPr>
          <w:rFonts w:ascii="Book Antiqua" w:hAnsi="Book Antiqua"/>
          <w:color w:val="auto"/>
          <w:sz w:val="24"/>
          <w:szCs w:val="24"/>
          <w:lang w:eastAsia="zh-CN"/>
        </w:rPr>
      </w:pPr>
    </w:p>
    <w:p w14:paraId="3531CB37" w14:textId="77777777" w:rsidR="00C35D84" w:rsidRPr="00482A9A" w:rsidRDefault="007C5683" w:rsidP="0030419F">
      <w:pPr>
        <w:pStyle w:val="1"/>
        <w:adjustRightInd w:val="0"/>
        <w:snapToGrid w:val="0"/>
        <w:spacing w:line="360" w:lineRule="auto"/>
        <w:outlineLvl w:val="0"/>
        <w:rPr>
          <w:rFonts w:ascii="Book Antiqua" w:hAnsi="Book Antiqua"/>
          <w:b/>
          <w:i/>
          <w:color w:val="auto"/>
          <w:sz w:val="24"/>
          <w:szCs w:val="24"/>
        </w:rPr>
      </w:pPr>
      <w:r w:rsidRPr="00482A9A">
        <w:rPr>
          <w:rFonts w:ascii="Book Antiqua" w:hAnsi="Book Antiqua"/>
          <w:b/>
          <w:i/>
          <w:color w:val="auto"/>
          <w:sz w:val="24"/>
          <w:szCs w:val="24"/>
        </w:rPr>
        <w:t>PAR2 promotes proliferation of HCC cells</w:t>
      </w:r>
    </w:p>
    <w:p w14:paraId="0B5474B6" w14:textId="78F46009"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Cell counting kit 8(CCK8) and colony formation assays were used to uncover the role of PAR2 in promoting HCC cell proliferation. Cell viability and proliferation were dramatically reduced after PAR2 knock down (Figure 3A, B), but higher after PAR2 overexpression (Figure 3C</w:t>
      </w:r>
      <w:r w:rsidR="00FE7968">
        <w:rPr>
          <w:rFonts w:ascii="Book Antiqua" w:hAnsi="Book Antiqua" w:hint="eastAsia"/>
          <w:color w:val="auto"/>
          <w:sz w:val="24"/>
          <w:szCs w:val="24"/>
          <w:lang w:eastAsia="zh-CN"/>
        </w:rPr>
        <w:t xml:space="preserve"> and</w:t>
      </w:r>
      <w:r w:rsidRPr="00DF6D96">
        <w:rPr>
          <w:rFonts w:ascii="Book Antiqua" w:hAnsi="Book Antiqua"/>
          <w:color w:val="auto"/>
          <w:sz w:val="24"/>
          <w:szCs w:val="24"/>
        </w:rPr>
        <w:t xml:space="preserve"> D). The same results were also </w:t>
      </w:r>
      <w:r w:rsidR="005A3440" w:rsidRPr="00DF6D96">
        <w:rPr>
          <w:rFonts w:ascii="Book Antiqua" w:hAnsi="Book Antiqua"/>
          <w:color w:val="auto"/>
          <w:sz w:val="24"/>
          <w:szCs w:val="24"/>
        </w:rPr>
        <w:t xml:space="preserve">observed using a </w:t>
      </w:r>
      <w:r w:rsidRPr="00DF6D96">
        <w:rPr>
          <w:rFonts w:ascii="Book Antiqua" w:hAnsi="Book Antiqua"/>
          <w:color w:val="auto"/>
          <w:sz w:val="24"/>
          <w:szCs w:val="24"/>
        </w:rPr>
        <w:t>colony formation assay (Figure 3E</w:t>
      </w:r>
      <w:r w:rsidR="00FE7968">
        <w:rPr>
          <w:rFonts w:ascii="Book Antiqua" w:hAnsi="Book Antiqua" w:hint="eastAsia"/>
          <w:color w:val="auto"/>
          <w:sz w:val="24"/>
          <w:szCs w:val="24"/>
          <w:lang w:eastAsia="zh-CN"/>
        </w:rPr>
        <w:t xml:space="preserve"> and</w:t>
      </w:r>
      <w:r w:rsidRPr="00DF6D96">
        <w:rPr>
          <w:rFonts w:ascii="Book Antiqua" w:hAnsi="Book Antiqua"/>
          <w:color w:val="auto"/>
          <w:sz w:val="24"/>
          <w:szCs w:val="24"/>
        </w:rPr>
        <w:t xml:space="preserve"> F). These results demonstrated that PAR2 could promote the proliferation ability of HCC cells.</w:t>
      </w:r>
    </w:p>
    <w:p w14:paraId="3665182C" w14:textId="77777777" w:rsidR="00F34E1C" w:rsidRPr="00DF6D96" w:rsidRDefault="00F34E1C" w:rsidP="0030419F">
      <w:pPr>
        <w:pStyle w:val="1"/>
        <w:adjustRightInd w:val="0"/>
        <w:snapToGrid w:val="0"/>
        <w:spacing w:line="360" w:lineRule="auto"/>
        <w:rPr>
          <w:rFonts w:ascii="Book Antiqua" w:hAnsi="Book Antiqua"/>
          <w:color w:val="auto"/>
          <w:sz w:val="24"/>
          <w:szCs w:val="24"/>
          <w:lang w:eastAsia="zh-CN"/>
        </w:rPr>
      </w:pPr>
    </w:p>
    <w:p w14:paraId="212C1879" w14:textId="77777777" w:rsidR="00C35D84" w:rsidRPr="00482A9A" w:rsidRDefault="007C5683" w:rsidP="0030419F">
      <w:pPr>
        <w:pStyle w:val="1"/>
        <w:adjustRightInd w:val="0"/>
        <w:snapToGrid w:val="0"/>
        <w:spacing w:line="360" w:lineRule="auto"/>
        <w:outlineLvl w:val="0"/>
        <w:rPr>
          <w:rFonts w:ascii="Book Antiqua" w:hAnsi="Book Antiqua"/>
          <w:b/>
          <w:i/>
          <w:color w:val="auto"/>
          <w:sz w:val="24"/>
          <w:szCs w:val="24"/>
        </w:rPr>
      </w:pPr>
      <w:r w:rsidRPr="00482A9A">
        <w:rPr>
          <w:rFonts w:ascii="Book Antiqua" w:hAnsi="Book Antiqua"/>
          <w:b/>
          <w:i/>
          <w:color w:val="auto"/>
          <w:sz w:val="24"/>
          <w:szCs w:val="24"/>
        </w:rPr>
        <w:t>PAR2 promotes HCC cell invasion and migration</w:t>
      </w:r>
    </w:p>
    <w:p w14:paraId="33B39FCB" w14:textId="4FD364CC"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 xml:space="preserve">Metastasis often occurs in HCC patients and the results shown in Table 1 suggest that PAR2 is associated with tumor microvascular invasion. To determine whether PAR2 could promote HCC cell migration and invasion, transwells with or without matrigel coating were used to measure cell migration </w:t>
      </w:r>
      <w:r w:rsidR="00C35D84" w:rsidRPr="00DF6D96">
        <w:rPr>
          <w:rFonts w:ascii="Book Antiqua" w:hAnsi="Book Antiqua"/>
          <w:i/>
          <w:color w:val="auto"/>
          <w:sz w:val="24"/>
          <w:szCs w:val="24"/>
        </w:rPr>
        <w:t>in vitro</w:t>
      </w:r>
      <w:r w:rsidRPr="00DF6D96">
        <w:rPr>
          <w:rFonts w:ascii="Book Antiqua" w:hAnsi="Book Antiqua"/>
          <w:color w:val="auto"/>
          <w:sz w:val="24"/>
          <w:szCs w:val="24"/>
        </w:rPr>
        <w:t xml:space="preserve">. As shown in </w:t>
      </w:r>
      <w:bookmarkStart w:id="54" w:name="2xcytpi" w:colFirst="0" w:colLast="0"/>
      <w:bookmarkStart w:id="55" w:name="4i7ojhp" w:colFirst="0" w:colLast="0"/>
      <w:bookmarkEnd w:id="54"/>
      <w:bookmarkEnd w:id="55"/>
      <w:r w:rsidRPr="00DF6D96">
        <w:rPr>
          <w:rFonts w:ascii="Book Antiqua" w:hAnsi="Book Antiqua"/>
          <w:color w:val="auto"/>
          <w:sz w:val="24"/>
          <w:szCs w:val="24"/>
        </w:rPr>
        <w:t>Figure 4A and B, the migration and invasion abilities of HepG2 and SMMC-7721 cells were reduced after PAR2 knockdown, but increased after overexpression. These results were also verified using a wound healing assay (Figure 4C</w:t>
      </w:r>
      <w:r w:rsidR="00FE7968">
        <w:rPr>
          <w:rFonts w:ascii="Book Antiqua" w:hAnsi="Book Antiqua" w:hint="eastAsia"/>
          <w:color w:val="auto"/>
          <w:sz w:val="24"/>
          <w:szCs w:val="24"/>
          <w:lang w:eastAsia="zh-CN"/>
        </w:rPr>
        <w:t xml:space="preserve"> and </w:t>
      </w:r>
      <w:r w:rsidRPr="00DF6D96">
        <w:rPr>
          <w:rFonts w:ascii="Book Antiqua" w:hAnsi="Book Antiqua"/>
          <w:color w:val="auto"/>
          <w:sz w:val="24"/>
          <w:szCs w:val="24"/>
        </w:rPr>
        <w:t>D). The wound healing assay showed that the migration rate of shPAR2 cells was significantly slower than that of the control shNC cells. Also, the migration rate of pcDNA3.1-PAR2 cells was faster than that of the control pcDNA3.1 cells. These data suggest that PAR2 can influence the process of HCC cell invasion and migration.</w:t>
      </w:r>
    </w:p>
    <w:p w14:paraId="66D42A7D" w14:textId="77777777" w:rsidR="00795E3B" w:rsidRPr="00DF6D96" w:rsidRDefault="00795E3B" w:rsidP="0030419F">
      <w:pPr>
        <w:pStyle w:val="1"/>
        <w:adjustRightInd w:val="0"/>
        <w:snapToGrid w:val="0"/>
        <w:spacing w:line="360" w:lineRule="auto"/>
        <w:outlineLvl w:val="0"/>
        <w:rPr>
          <w:rFonts w:ascii="Book Antiqua" w:hAnsi="Book Antiqua"/>
          <w:b/>
          <w:color w:val="auto"/>
          <w:sz w:val="24"/>
          <w:szCs w:val="24"/>
          <w:lang w:eastAsia="zh-CN"/>
        </w:rPr>
      </w:pPr>
    </w:p>
    <w:p w14:paraId="39208CB9" w14:textId="77777777" w:rsidR="00C35D84" w:rsidRPr="00C04A27" w:rsidRDefault="007C5683" w:rsidP="0030419F">
      <w:pPr>
        <w:pStyle w:val="1"/>
        <w:adjustRightInd w:val="0"/>
        <w:snapToGrid w:val="0"/>
        <w:spacing w:line="360" w:lineRule="auto"/>
        <w:outlineLvl w:val="0"/>
        <w:rPr>
          <w:rFonts w:ascii="Book Antiqua" w:hAnsi="Book Antiqua"/>
          <w:b/>
          <w:i/>
          <w:color w:val="auto"/>
          <w:sz w:val="24"/>
          <w:szCs w:val="24"/>
        </w:rPr>
      </w:pPr>
      <w:r w:rsidRPr="00C04A27">
        <w:rPr>
          <w:rFonts w:ascii="Book Antiqua" w:hAnsi="Book Antiqua"/>
          <w:b/>
          <w:i/>
          <w:color w:val="auto"/>
          <w:sz w:val="24"/>
          <w:szCs w:val="24"/>
        </w:rPr>
        <w:t>PAR2 knockdown inhibits tumor growth in nude mice</w:t>
      </w:r>
    </w:p>
    <w:p w14:paraId="5ECB4BB3" w14:textId="4F9EA81F"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 xml:space="preserve">To further confirm the role of PAR2 in promoting cell proliferation </w:t>
      </w:r>
      <w:r w:rsidR="00C35D84" w:rsidRPr="00DF6D96">
        <w:rPr>
          <w:rFonts w:ascii="Book Antiqua" w:hAnsi="Book Antiqua"/>
          <w:i/>
          <w:color w:val="auto"/>
          <w:sz w:val="24"/>
          <w:szCs w:val="24"/>
        </w:rPr>
        <w:t>in vivo</w:t>
      </w:r>
      <w:r w:rsidRPr="00DF6D96">
        <w:rPr>
          <w:rFonts w:ascii="Book Antiqua" w:hAnsi="Book Antiqua"/>
          <w:color w:val="auto"/>
          <w:sz w:val="24"/>
          <w:szCs w:val="24"/>
        </w:rPr>
        <w:t>, HepG2 and SMMC-7721 cells that stably knockdown either PAR2 or NC were subcutaneously injected into nude mice to make tumor xenografts. After 4 weeks, tumors from the NC groups were much larger than those from the shPAR2 group</w:t>
      </w:r>
      <w:r w:rsidR="00A86EB1" w:rsidRPr="00DF6D96">
        <w:rPr>
          <w:rFonts w:ascii="Book Antiqua" w:hAnsi="Book Antiqua"/>
          <w:color w:val="auto"/>
          <w:sz w:val="24"/>
          <w:szCs w:val="24"/>
        </w:rPr>
        <w:t>s</w:t>
      </w:r>
      <w:r w:rsidRPr="00DF6D96">
        <w:rPr>
          <w:rFonts w:ascii="Book Antiqua" w:hAnsi="Book Antiqua"/>
          <w:color w:val="auto"/>
          <w:sz w:val="24"/>
          <w:szCs w:val="24"/>
        </w:rPr>
        <w:t xml:space="preserve"> for both HepG2 and SMMC-7721 cells (Figure 5A</w:t>
      </w:r>
      <w:r w:rsidR="00FE7968">
        <w:rPr>
          <w:rFonts w:ascii="Book Antiqua" w:hAnsi="Book Antiqua" w:hint="eastAsia"/>
          <w:color w:val="auto"/>
          <w:sz w:val="24"/>
          <w:szCs w:val="24"/>
          <w:lang w:eastAsia="zh-CN"/>
        </w:rPr>
        <w:t xml:space="preserve"> and </w:t>
      </w:r>
      <w:r w:rsidRPr="00DF6D96">
        <w:rPr>
          <w:rFonts w:ascii="Book Antiqua" w:hAnsi="Book Antiqua"/>
          <w:color w:val="auto"/>
          <w:sz w:val="24"/>
          <w:szCs w:val="24"/>
        </w:rPr>
        <w:t xml:space="preserve">B). </w:t>
      </w:r>
      <w:r w:rsidRPr="00DF6D96">
        <w:rPr>
          <w:rFonts w:ascii="Book Antiqua" w:hAnsi="Book Antiqua"/>
          <w:color w:val="auto"/>
          <w:sz w:val="24"/>
          <w:szCs w:val="24"/>
        </w:rPr>
        <w:lastRenderedPageBreak/>
        <w:t>Tumor weights from the NC groups were much greater than those of the shPAR2 groups (Figure 5C</w:t>
      </w:r>
      <w:r w:rsidR="00FE7968">
        <w:rPr>
          <w:rFonts w:ascii="Book Antiqua" w:hAnsi="Book Antiqua" w:hint="eastAsia"/>
          <w:color w:val="auto"/>
          <w:sz w:val="24"/>
          <w:szCs w:val="24"/>
          <w:lang w:eastAsia="zh-CN"/>
        </w:rPr>
        <w:t xml:space="preserve"> and </w:t>
      </w:r>
      <w:r w:rsidRPr="00DF6D96">
        <w:rPr>
          <w:rFonts w:ascii="Book Antiqua" w:hAnsi="Book Antiqua"/>
          <w:color w:val="auto"/>
          <w:sz w:val="24"/>
          <w:szCs w:val="24"/>
        </w:rPr>
        <w:t xml:space="preserve">D). These data suggested that knocking down PAR2 could dramatically inhibit tumor growth </w:t>
      </w:r>
      <w:r w:rsidRPr="00DF6D96">
        <w:rPr>
          <w:rFonts w:ascii="Book Antiqua" w:hAnsi="Book Antiqua"/>
          <w:i/>
          <w:color w:val="auto"/>
          <w:sz w:val="24"/>
          <w:szCs w:val="24"/>
        </w:rPr>
        <w:t>in vivo</w:t>
      </w:r>
      <w:r w:rsidR="000A7641" w:rsidRPr="00DF6D96">
        <w:rPr>
          <w:rFonts w:ascii="Book Antiqua" w:hAnsi="Book Antiqua"/>
          <w:color w:val="auto"/>
          <w:sz w:val="24"/>
          <w:szCs w:val="24"/>
        </w:rPr>
        <w:t>.</w:t>
      </w:r>
      <w:r w:rsidRPr="00DF6D96">
        <w:rPr>
          <w:rFonts w:ascii="Book Antiqua" w:hAnsi="Book Antiqua"/>
          <w:color w:val="auto"/>
          <w:sz w:val="24"/>
          <w:szCs w:val="24"/>
        </w:rPr>
        <w:t xml:space="preserve"> </w:t>
      </w:r>
    </w:p>
    <w:p w14:paraId="6EE8E9B4" w14:textId="77777777" w:rsidR="00F34E1C" w:rsidRPr="00DF6D96" w:rsidRDefault="00F34E1C" w:rsidP="0030419F">
      <w:pPr>
        <w:pStyle w:val="1"/>
        <w:adjustRightInd w:val="0"/>
        <w:snapToGrid w:val="0"/>
        <w:spacing w:line="360" w:lineRule="auto"/>
        <w:rPr>
          <w:rFonts w:ascii="Book Antiqua" w:hAnsi="Book Antiqua"/>
          <w:color w:val="auto"/>
          <w:sz w:val="24"/>
          <w:szCs w:val="24"/>
        </w:rPr>
      </w:pPr>
    </w:p>
    <w:p w14:paraId="5794D8DE" w14:textId="77777777" w:rsidR="00C35D84" w:rsidRPr="00C04A27" w:rsidRDefault="007C5683" w:rsidP="0030419F">
      <w:pPr>
        <w:pStyle w:val="1"/>
        <w:adjustRightInd w:val="0"/>
        <w:snapToGrid w:val="0"/>
        <w:spacing w:line="360" w:lineRule="auto"/>
        <w:outlineLvl w:val="0"/>
        <w:rPr>
          <w:rFonts w:ascii="Book Antiqua" w:hAnsi="Book Antiqua"/>
          <w:b/>
          <w:i/>
          <w:color w:val="auto"/>
          <w:sz w:val="24"/>
          <w:szCs w:val="24"/>
        </w:rPr>
      </w:pPr>
      <w:r w:rsidRPr="00C04A27">
        <w:rPr>
          <w:rFonts w:ascii="Book Antiqua" w:hAnsi="Book Antiqua"/>
          <w:b/>
          <w:i/>
          <w:color w:val="auto"/>
          <w:sz w:val="24"/>
          <w:szCs w:val="24"/>
        </w:rPr>
        <w:t>PAR2 knockdown inhibits tumor metastasis in nude mice</w:t>
      </w:r>
    </w:p>
    <w:p w14:paraId="24B5338C" w14:textId="6A7A1448"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Intrahepatic metastasis is the mos</w:t>
      </w:r>
      <w:r w:rsidR="00C04A27">
        <w:rPr>
          <w:rFonts w:ascii="Book Antiqua" w:hAnsi="Book Antiqua"/>
          <w:color w:val="auto"/>
          <w:sz w:val="24"/>
          <w:szCs w:val="24"/>
        </w:rPr>
        <w:t>t common mode of HCC metastasis</w:t>
      </w:r>
      <w:r w:rsidRPr="00DF6D96">
        <w:rPr>
          <w:rFonts w:ascii="Book Antiqua" w:hAnsi="Book Antiqua"/>
          <w:color w:val="auto"/>
          <w:sz w:val="24"/>
          <w:szCs w:val="24"/>
          <w:vertAlign w:val="superscript"/>
        </w:rPr>
        <w:t>[</w:t>
      </w:r>
      <w:hyperlink w:anchor="_206ipza">
        <w:r w:rsidRPr="00DF6D96">
          <w:rPr>
            <w:rFonts w:ascii="Book Antiqua" w:hAnsi="Book Antiqua"/>
            <w:color w:val="auto"/>
            <w:sz w:val="24"/>
            <w:szCs w:val="24"/>
            <w:vertAlign w:val="superscript"/>
          </w:rPr>
          <w:t>26</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To determine whether PAR2 could facilitate tumor metastasis </w:t>
      </w:r>
      <w:r w:rsidR="00C35D84" w:rsidRPr="00DF6D96">
        <w:rPr>
          <w:rFonts w:ascii="Book Antiqua" w:hAnsi="Book Antiqua"/>
          <w:i/>
          <w:color w:val="auto"/>
          <w:sz w:val="24"/>
          <w:szCs w:val="24"/>
        </w:rPr>
        <w:t>in vivo</w:t>
      </w:r>
      <w:r w:rsidRPr="00DF6D96">
        <w:rPr>
          <w:rFonts w:ascii="Book Antiqua" w:hAnsi="Book Antiqua"/>
          <w:color w:val="auto"/>
          <w:sz w:val="24"/>
          <w:szCs w:val="24"/>
        </w:rPr>
        <w:t>, a mouse model was established that mimics the process of tumor metastasis to the liver. HepG2 and SMMC-7721 cells stably expressing shPAR2 or shNC were injected into the spleen of nude mice, and then a splenectomy was performed. This allows the tumor cells to circulate into the liver through the portal vein, thus forming liver metastases. After 4 weeks, ascites and liver tumors grew in the mice of the shNC groups (Figure 6A)</w:t>
      </w:r>
      <w:r w:rsidR="00596CE1" w:rsidRPr="00DF6D96">
        <w:rPr>
          <w:rFonts w:ascii="Book Antiqua" w:hAnsi="Book Antiqua"/>
          <w:color w:val="auto"/>
          <w:sz w:val="24"/>
          <w:szCs w:val="24"/>
        </w:rPr>
        <w:t>, the maximum bodyweight increased due to ascites was no more than 10% of the bodyweight in age-matched shPAR2 group</w:t>
      </w:r>
      <w:r w:rsidRPr="00DF6D96">
        <w:rPr>
          <w:rFonts w:ascii="Book Antiqua" w:hAnsi="Book Antiqua"/>
          <w:color w:val="auto"/>
          <w:sz w:val="24"/>
          <w:szCs w:val="24"/>
        </w:rPr>
        <w:t>. The mice in both groups were sacrificed and the tumor volumes of the shNC groups were much larger than those in the shPAR2 groups (Figure 6B). Livers in the shNC group also had a higher number of tumors compared to the shPAR2 groups (Figure 6C). There was almost no liver metastasis observed in the shPAR2 groups (Figure 6D). From this metastasis model, it appears that PAR2 is necessary for HCC intrahepatic metastasis. Knocking down PAR2 could inhibit the colonization of HCC cells on the liver.</w:t>
      </w:r>
    </w:p>
    <w:p w14:paraId="6D42B9B2" w14:textId="77777777" w:rsidR="00F34E1C" w:rsidRPr="00DF6D96" w:rsidRDefault="00F34E1C" w:rsidP="0030419F">
      <w:pPr>
        <w:pStyle w:val="1"/>
        <w:adjustRightInd w:val="0"/>
        <w:snapToGrid w:val="0"/>
        <w:spacing w:line="360" w:lineRule="auto"/>
        <w:rPr>
          <w:rFonts w:ascii="Book Antiqua" w:hAnsi="Book Antiqua"/>
          <w:color w:val="auto"/>
          <w:sz w:val="24"/>
          <w:szCs w:val="24"/>
        </w:rPr>
      </w:pPr>
    </w:p>
    <w:p w14:paraId="0F2492E9" w14:textId="343BB0C3" w:rsidR="00C35D84" w:rsidRPr="00C04A27" w:rsidRDefault="007C5683" w:rsidP="0030419F">
      <w:pPr>
        <w:pStyle w:val="1"/>
        <w:adjustRightInd w:val="0"/>
        <w:snapToGrid w:val="0"/>
        <w:spacing w:line="360" w:lineRule="auto"/>
        <w:rPr>
          <w:rFonts w:ascii="Book Antiqua" w:hAnsi="Book Antiqua"/>
          <w:b/>
          <w:i/>
          <w:color w:val="auto"/>
          <w:sz w:val="24"/>
          <w:szCs w:val="24"/>
        </w:rPr>
      </w:pPr>
      <w:r w:rsidRPr="00C04A27">
        <w:rPr>
          <w:rFonts w:ascii="Book Antiqua" w:hAnsi="Book Antiqua"/>
          <w:b/>
          <w:i/>
          <w:color w:val="auto"/>
          <w:sz w:val="24"/>
          <w:szCs w:val="24"/>
        </w:rPr>
        <w:t>PAR2 mediates the activation of ERK to promote cell proliferation and induces EMT to promote metastasis</w:t>
      </w:r>
    </w:p>
    <w:p w14:paraId="5DA8E690" w14:textId="4B437EFE"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PAR2 is reported to activate ERK to</w:t>
      </w:r>
      <w:r w:rsidR="00C04A27">
        <w:rPr>
          <w:rFonts w:ascii="Book Antiqua" w:hAnsi="Book Antiqua"/>
          <w:color w:val="auto"/>
          <w:sz w:val="24"/>
          <w:szCs w:val="24"/>
        </w:rPr>
        <w:t xml:space="preserve"> promote HCC cell proliferation</w:t>
      </w:r>
      <w:r w:rsidRPr="00DF6D96">
        <w:rPr>
          <w:rFonts w:ascii="Book Antiqua" w:hAnsi="Book Antiqua"/>
          <w:color w:val="auto"/>
          <w:sz w:val="24"/>
          <w:szCs w:val="24"/>
          <w:vertAlign w:val="superscript"/>
        </w:rPr>
        <w:t>[</w:t>
      </w:r>
      <w:hyperlink w:anchor="_19c6y18">
        <w:r w:rsidRPr="00DF6D96">
          <w:rPr>
            <w:rFonts w:ascii="Book Antiqua" w:hAnsi="Book Antiqua"/>
            <w:color w:val="auto"/>
            <w:sz w:val="24"/>
            <w:szCs w:val="24"/>
            <w:vertAlign w:val="superscript"/>
          </w:rPr>
          <w:t>16</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these results were confirmed in HepG2 and SMMC-7721 cells (Figure 7A), but the downstream mechanisms that facilitate metastasis are unclear. EMT is a common mechanism of cancer metastasis, and it is reported that activated ERK can </w:t>
      </w:r>
      <w:r w:rsidR="000E6763" w:rsidRPr="00DF6D96">
        <w:rPr>
          <w:rFonts w:ascii="Book Antiqua" w:hAnsi="Book Antiqua"/>
          <w:color w:val="auto"/>
          <w:sz w:val="24"/>
          <w:szCs w:val="24"/>
          <w:lang w:eastAsia="zh-CN"/>
        </w:rPr>
        <w:t>activate</w:t>
      </w:r>
      <w:r w:rsidR="00CF509B" w:rsidRPr="00DF6D96">
        <w:rPr>
          <w:rFonts w:ascii="Book Antiqua" w:hAnsi="Book Antiqua"/>
          <w:color w:val="auto"/>
          <w:sz w:val="24"/>
          <w:szCs w:val="24"/>
        </w:rPr>
        <w:t xml:space="preserve"> EGR</w:t>
      </w:r>
      <w:r w:rsidR="000E6763" w:rsidRPr="00DF6D96">
        <w:rPr>
          <w:rFonts w:ascii="Book Antiqua" w:hAnsi="Book Antiqua"/>
          <w:color w:val="auto"/>
          <w:sz w:val="24"/>
          <w:szCs w:val="24"/>
          <w:lang w:eastAsia="zh-CN"/>
        </w:rPr>
        <w:t>-1</w:t>
      </w:r>
      <w:r w:rsidR="00FB70F6" w:rsidRPr="00DF6D96">
        <w:rPr>
          <w:rFonts w:ascii="Book Antiqua" w:hAnsi="Book Antiqua"/>
          <w:color w:val="auto"/>
          <w:sz w:val="24"/>
          <w:szCs w:val="24"/>
          <w:vertAlign w:val="superscript"/>
        </w:rPr>
        <w:t>[27]</w:t>
      </w:r>
      <w:r w:rsidR="00FB70F6" w:rsidRPr="00DF6D96">
        <w:rPr>
          <w:rFonts w:ascii="Book Antiqua" w:hAnsi="Book Antiqua"/>
          <w:color w:val="auto"/>
          <w:sz w:val="24"/>
          <w:szCs w:val="24"/>
          <w:lang w:eastAsia="zh-CN"/>
        </w:rPr>
        <w:t>.</w:t>
      </w:r>
      <w:r w:rsidR="00CF509B" w:rsidRPr="00DF6D96">
        <w:rPr>
          <w:rFonts w:ascii="Book Antiqua" w:hAnsi="Book Antiqua"/>
          <w:color w:val="auto"/>
          <w:sz w:val="24"/>
          <w:szCs w:val="24"/>
          <w:lang w:eastAsia="zh-CN"/>
        </w:rPr>
        <w:t xml:space="preserve"> </w:t>
      </w:r>
      <w:r w:rsidR="00FB70F6" w:rsidRPr="00DF6D96">
        <w:rPr>
          <w:rFonts w:ascii="Book Antiqua" w:hAnsi="Book Antiqua"/>
          <w:color w:val="auto"/>
          <w:sz w:val="24"/>
          <w:szCs w:val="24"/>
          <w:lang w:eastAsia="zh-CN"/>
        </w:rPr>
        <w:t>A</w:t>
      </w:r>
      <w:r w:rsidR="00BF5B7D" w:rsidRPr="00DF6D96">
        <w:rPr>
          <w:rFonts w:ascii="Book Antiqua" w:hAnsi="Book Antiqua"/>
          <w:color w:val="auto"/>
          <w:sz w:val="24"/>
          <w:szCs w:val="24"/>
          <w:lang w:eastAsia="zh-CN"/>
        </w:rPr>
        <w:t>s a transcription factor</w:t>
      </w:r>
      <w:r w:rsidR="000E6763" w:rsidRPr="00DF6D96">
        <w:rPr>
          <w:rFonts w:ascii="Book Antiqua" w:hAnsi="Book Antiqua"/>
          <w:color w:val="auto"/>
          <w:sz w:val="24"/>
          <w:szCs w:val="24"/>
          <w:lang w:eastAsia="zh-CN"/>
        </w:rPr>
        <w:t>, EGR-1 induces</w:t>
      </w:r>
      <w:r w:rsidR="008C69FB" w:rsidRPr="00DF6D96">
        <w:rPr>
          <w:rFonts w:ascii="Book Antiqua" w:hAnsi="Book Antiqua"/>
          <w:color w:val="auto"/>
          <w:sz w:val="24"/>
          <w:szCs w:val="24"/>
          <w:lang w:eastAsia="zh-CN"/>
        </w:rPr>
        <w:t xml:space="preserve"> S</w:t>
      </w:r>
      <w:r w:rsidR="000E6763" w:rsidRPr="00DF6D96">
        <w:rPr>
          <w:rFonts w:ascii="Book Antiqua" w:hAnsi="Book Antiqua"/>
          <w:color w:val="auto"/>
          <w:sz w:val="24"/>
          <w:szCs w:val="24"/>
          <w:lang w:eastAsia="zh-CN"/>
        </w:rPr>
        <w:t>nail expression to</w:t>
      </w:r>
      <w:r w:rsidR="00BF5B7D" w:rsidRPr="00DF6D96">
        <w:rPr>
          <w:rFonts w:ascii="Book Antiqua" w:hAnsi="Book Antiqua"/>
          <w:color w:val="auto"/>
          <w:sz w:val="24"/>
          <w:szCs w:val="24"/>
          <w:lang w:eastAsia="zh-CN"/>
        </w:rPr>
        <w:t xml:space="preserve"> </w:t>
      </w:r>
      <w:r w:rsidR="00FB70F6" w:rsidRPr="00DF6D96">
        <w:rPr>
          <w:rFonts w:ascii="Book Antiqua" w:hAnsi="Book Antiqua"/>
          <w:color w:val="auto"/>
          <w:sz w:val="24"/>
          <w:szCs w:val="24"/>
          <w:lang w:eastAsia="zh-CN"/>
        </w:rPr>
        <w:t>inhibit</w:t>
      </w:r>
      <w:r w:rsidR="00BF5B7D" w:rsidRPr="00DF6D96">
        <w:rPr>
          <w:rFonts w:ascii="Book Antiqua" w:hAnsi="Book Antiqua"/>
          <w:color w:val="auto"/>
          <w:sz w:val="24"/>
          <w:szCs w:val="24"/>
          <w:lang w:eastAsia="zh-CN"/>
        </w:rPr>
        <w:t xml:space="preserve"> E-cadherin</w:t>
      </w:r>
      <w:r w:rsidR="00FB70F6" w:rsidRPr="00DF6D96">
        <w:rPr>
          <w:rFonts w:ascii="Book Antiqua" w:hAnsi="Book Antiqua"/>
          <w:color w:val="auto"/>
          <w:sz w:val="24"/>
          <w:szCs w:val="24"/>
          <w:lang w:eastAsia="zh-CN"/>
        </w:rPr>
        <w:t xml:space="preserve"> expression</w:t>
      </w:r>
      <w:r w:rsidR="00BF5B7D" w:rsidRPr="00DF6D96">
        <w:rPr>
          <w:rFonts w:ascii="Book Antiqua" w:hAnsi="Book Antiqua"/>
          <w:color w:val="auto"/>
          <w:sz w:val="24"/>
          <w:szCs w:val="24"/>
          <w:lang w:eastAsia="zh-CN"/>
        </w:rPr>
        <w:t xml:space="preserve">, </w:t>
      </w:r>
      <w:r w:rsidR="00FB70F6" w:rsidRPr="00DF6D96">
        <w:rPr>
          <w:rFonts w:ascii="Book Antiqua" w:hAnsi="Book Antiqua"/>
          <w:color w:val="auto"/>
          <w:sz w:val="24"/>
          <w:szCs w:val="24"/>
          <w:lang w:eastAsia="zh-CN"/>
        </w:rPr>
        <w:t>thus inducing</w:t>
      </w:r>
      <w:r w:rsidR="00C04A27">
        <w:rPr>
          <w:rFonts w:ascii="Book Antiqua" w:hAnsi="Book Antiqua"/>
          <w:color w:val="auto"/>
          <w:sz w:val="24"/>
          <w:szCs w:val="24"/>
        </w:rPr>
        <w:t xml:space="preserve"> EMT</w:t>
      </w:r>
      <w:r w:rsidRPr="00DF6D96">
        <w:rPr>
          <w:rFonts w:ascii="Book Antiqua" w:hAnsi="Book Antiqua"/>
          <w:color w:val="auto"/>
          <w:sz w:val="24"/>
          <w:szCs w:val="24"/>
          <w:vertAlign w:val="superscript"/>
        </w:rPr>
        <w:t>[</w:t>
      </w:r>
      <w:r w:rsidR="00CE67E5" w:rsidRPr="00DF6D96">
        <w:rPr>
          <w:rFonts w:ascii="Book Antiqua" w:hAnsi="Book Antiqua"/>
          <w:color w:val="auto"/>
          <w:sz w:val="24"/>
          <w:szCs w:val="24"/>
          <w:vertAlign w:val="superscript"/>
        </w:rPr>
        <w:t>27-29</w:t>
      </w:r>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w:t>
      </w:r>
      <w:r w:rsidRPr="00DF6D96">
        <w:rPr>
          <w:rFonts w:ascii="Book Antiqua" w:hAnsi="Book Antiqua"/>
          <w:color w:val="auto"/>
          <w:sz w:val="24"/>
          <w:szCs w:val="24"/>
        </w:rPr>
        <w:lastRenderedPageBreak/>
        <w:t xml:space="preserve">Interestingly, after knockdown of PAR2, HepG2 and SMMC-7721 cells showed obvious </w:t>
      </w:r>
      <w:bookmarkStart w:id="56" w:name="1ci93xb" w:colFirst="0" w:colLast="0"/>
      <w:bookmarkEnd w:id="56"/>
      <w:r w:rsidRPr="00DF6D96">
        <w:rPr>
          <w:rFonts w:ascii="Book Antiqua" w:hAnsi="Book Antiqua"/>
          <w:color w:val="auto"/>
          <w:sz w:val="24"/>
          <w:szCs w:val="24"/>
        </w:rPr>
        <w:t xml:space="preserve">morphological changes toward an epithelial phenotype (Figure7B). Therefore, </w:t>
      </w:r>
      <w:r w:rsidR="008C69FB" w:rsidRPr="00DF6D96">
        <w:rPr>
          <w:rFonts w:ascii="Book Antiqua" w:hAnsi="Book Antiqua"/>
          <w:color w:val="auto"/>
          <w:sz w:val="24"/>
          <w:szCs w:val="24"/>
        </w:rPr>
        <w:t xml:space="preserve">we measured EGR-1, </w:t>
      </w:r>
      <w:r w:rsidR="008C69FB" w:rsidRPr="00DF6D96">
        <w:rPr>
          <w:rFonts w:ascii="Book Antiqua" w:hAnsi="Book Antiqua"/>
          <w:color w:val="auto"/>
          <w:sz w:val="24"/>
          <w:szCs w:val="24"/>
          <w:lang w:eastAsia="zh-CN"/>
        </w:rPr>
        <w:t xml:space="preserve">Snail and </w:t>
      </w:r>
      <w:r w:rsidRPr="00DF6D96">
        <w:rPr>
          <w:rFonts w:ascii="Book Antiqua" w:hAnsi="Book Antiqua"/>
          <w:color w:val="auto"/>
          <w:sz w:val="24"/>
          <w:szCs w:val="24"/>
        </w:rPr>
        <w:t xml:space="preserve">the EMT markers E-cadherin and N-cadherin </w:t>
      </w:r>
      <w:r w:rsidR="008C69FB" w:rsidRPr="00DF6D96">
        <w:rPr>
          <w:rFonts w:ascii="Book Antiqua" w:hAnsi="Book Antiqua"/>
          <w:color w:val="auto"/>
          <w:sz w:val="24"/>
          <w:szCs w:val="24"/>
        </w:rPr>
        <w:t xml:space="preserve">expression </w:t>
      </w:r>
      <w:r w:rsidRPr="00DF6D96">
        <w:rPr>
          <w:rFonts w:ascii="Book Antiqua" w:hAnsi="Book Antiqua"/>
          <w:color w:val="auto"/>
          <w:sz w:val="24"/>
          <w:szCs w:val="24"/>
        </w:rPr>
        <w:t xml:space="preserve">in shNC and shPAR2 cells through immunoblot analysis. As shown in Figure 7C, </w:t>
      </w:r>
      <w:r w:rsidR="00023A20" w:rsidRPr="00DF6D96">
        <w:rPr>
          <w:rFonts w:ascii="Book Antiqua" w:hAnsi="Book Antiqua"/>
          <w:color w:val="auto"/>
          <w:sz w:val="24"/>
          <w:szCs w:val="24"/>
        </w:rPr>
        <w:t xml:space="preserve">the epithelial marker </w:t>
      </w:r>
      <w:r w:rsidRPr="00DF6D96">
        <w:rPr>
          <w:rFonts w:ascii="Book Antiqua" w:hAnsi="Book Antiqua"/>
          <w:color w:val="auto"/>
          <w:sz w:val="24"/>
          <w:szCs w:val="24"/>
        </w:rPr>
        <w:t xml:space="preserve">E-cadherin was upregulated while </w:t>
      </w:r>
      <w:r w:rsidR="008C69FB" w:rsidRPr="00DF6D96">
        <w:rPr>
          <w:rFonts w:ascii="Book Antiqua" w:hAnsi="Book Antiqua"/>
          <w:color w:val="auto"/>
          <w:sz w:val="24"/>
          <w:szCs w:val="24"/>
        </w:rPr>
        <w:t xml:space="preserve">EGR-1, </w:t>
      </w:r>
      <w:r w:rsidR="008C69FB" w:rsidRPr="00DF6D96">
        <w:rPr>
          <w:rFonts w:ascii="Book Antiqua" w:hAnsi="Book Antiqua"/>
          <w:color w:val="auto"/>
          <w:sz w:val="24"/>
          <w:szCs w:val="24"/>
          <w:lang w:eastAsia="zh-CN"/>
        </w:rPr>
        <w:t>Snail</w:t>
      </w:r>
      <w:r w:rsidR="008C69FB" w:rsidRPr="00DF6D96">
        <w:rPr>
          <w:rFonts w:ascii="Book Antiqua" w:hAnsi="Book Antiqua"/>
          <w:color w:val="auto"/>
          <w:sz w:val="24"/>
          <w:szCs w:val="24"/>
        </w:rPr>
        <w:t xml:space="preserve"> and </w:t>
      </w:r>
      <w:r w:rsidR="00023A20" w:rsidRPr="00DF6D96">
        <w:rPr>
          <w:rFonts w:ascii="Book Antiqua" w:hAnsi="Book Antiqua"/>
          <w:color w:val="auto"/>
          <w:sz w:val="24"/>
          <w:szCs w:val="24"/>
        </w:rPr>
        <w:t xml:space="preserve">the mesenchymal marker </w:t>
      </w:r>
      <w:r w:rsidRPr="00DF6D96">
        <w:rPr>
          <w:rFonts w:ascii="Book Antiqua" w:hAnsi="Book Antiqua"/>
          <w:color w:val="auto"/>
          <w:sz w:val="24"/>
          <w:szCs w:val="24"/>
        </w:rPr>
        <w:t xml:space="preserve">N-cadherin was downregulated when PAR2 </w:t>
      </w:r>
      <w:r w:rsidR="00023A20" w:rsidRPr="00DF6D96">
        <w:rPr>
          <w:rFonts w:ascii="Book Antiqua" w:hAnsi="Book Antiqua"/>
          <w:color w:val="auto"/>
          <w:sz w:val="24"/>
          <w:szCs w:val="24"/>
        </w:rPr>
        <w:t xml:space="preserve">was </w:t>
      </w:r>
      <w:r w:rsidRPr="00DF6D96">
        <w:rPr>
          <w:rFonts w:ascii="Book Antiqua" w:hAnsi="Book Antiqua"/>
          <w:color w:val="auto"/>
          <w:sz w:val="24"/>
          <w:szCs w:val="24"/>
        </w:rPr>
        <w:t xml:space="preserve">knocked down. After transient overexpression of PAR2, E-cadherin was downregulated and </w:t>
      </w:r>
      <w:r w:rsidR="008C69FB" w:rsidRPr="00DF6D96">
        <w:rPr>
          <w:rFonts w:ascii="Book Antiqua" w:hAnsi="Book Antiqua"/>
          <w:color w:val="auto"/>
          <w:sz w:val="24"/>
          <w:szCs w:val="24"/>
        </w:rPr>
        <w:t xml:space="preserve">EGR-1, </w:t>
      </w:r>
      <w:r w:rsidR="008C69FB" w:rsidRPr="00DF6D96">
        <w:rPr>
          <w:rFonts w:ascii="Book Antiqua" w:hAnsi="Book Antiqua"/>
          <w:color w:val="auto"/>
          <w:sz w:val="24"/>
          <w:szCs w:val="24"/>
          <w:lang w:eastAsia="zh-CN"/>
        </w:rPr>
        <w:t>Snail</w:t>
      </w:r>
      <w:r w:rsidR="008C69FB" w:rsidRPr="00DF6D96">
        <w:rPr>
          <w:rFonts w:ascii="Book Antiqua" w:hAnsi="Book Antiqua"/>
          <w:color w:val="auto"/>
          <w:sz w:val="24"/>
          <w:szCs w:val="24"/>
        </w:rPr>
        <w:t xml:space="preserve">, </w:t>
      </w:r>
      <w:r w:rsidRPr="00DF6D96">
        <w:rPr>
          <w:rFonts w:ascii="Book Antiqua" w:hAnsi="Book Antiqua"/>
          <w:color w:val="auto"/>
          <w:sz w:val="24"/>
          <w:szCs w:val="24"/>
        </w:rPr>
        <w:t>N-cadherin was upregulated</w:t>
      </w:r>
      <w:bookmarkStart w:id="57" w:name="2bn6wsx" w:colFirst="0" w:colLast="0"/>
      <w:bookmarkStart w:id="58" w:name="3whwml4" w:colFirst="0" w:colLast="0"/>
      <w:bookmarkEnd w:id="57"/>
      <w:bookmarkEnd w:id="58"/>
      <w:r w:rsidRPr="00DF6D96">
        <w:rPr>
          <w:rFonts w:ascii="Book Antiqua" w:hAnsi="Book Antiqua"/>
          <w:color w:val="auto"/>
          <w:sz w:val="24"/>
          <w:szCs w:val="24"/>
        </w:rPr>
        <w:t xml:space="preserve"> (Figure 7D). These results demonstrate that PAR2 participated in the process of EMT and promoted HCC cell metastasis.</w:t>
      </w:r>
    </w:p>
    <w:p w14:paraId="2B53B2BE" w14:textId="77777777" w:rsidR="001678FF" w:rsidRPr="00DF6D96" w:rsidRDefault="001678FF" w:rsidP="0030419F">
      <w:pPr>
        <w:pStyle w:val="1"/>
        <w:adjustRightInd w:val="0"/>
        <w:snapToGrid w:val="0"/>
        <w:spacing w:line="360" w:lineRule="auto"/>
        <w:rPr>
          <w:rFonts w:ascii="Book Antiqua" w:hAnsi="Book Antiqua"/>
          <w:color w:val="auto"/>
          <w:sz w:val="24"/>
          <w:szCs w:val="24"/>
        </w:rPr>
      </w:pPr>
    </w:p>
    <w:p w14:paraId="4B34663C" w14:textId="0AE75328" w:rsidR="00C35D84" w:rsidRPr="00DF6D96" w:rsidRDefault="00EC01EB" w:rsidP="0030419F">
      <w:pPr>
        <w:pStyle w:val="1"/>
        <w:adjustRightInd w:val="0"/>
        <w:snapToGrid w:val="0"/>
        <w:spacing w:line="360" w:lineRule="auto"/>
        <w:outlineLvl w:val="0"/>
        <w:rPr>
          <w:rFonts w:ascii="Book Antiqua" w:hAnsi="Book Antiqua"/>
          <w:b/>
          <w:color w:val="auto"/>
          <w:sz w:val="24"/>
          <w:szCs w:val="24"/>
        </w:rPr>
      </w:pPr>
      <w:r w:rsidRPr="00DF6D96">
        <w:rPr>
          <w:rFonts w:ascii="Book Antiqua" w:hAnsi="Book Antiqua"/>
          <w:b/>
          <w:color w:val="auto"/>
          <w:sz w:val="24"/>
          <w:szCs w:val="24"/>
        </w:rPr>
        <w:t>DISCUSSION</w:t>
      </w:r>
    </w:p>
    <w:p w14:paraId="3442F23A" w14:textId="05E1E751" w:rsidR="00C35D84" w:rsidRPr="00DF6D96" w:rsidRDefault="007C5683"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color w:val="auto"/>
          <w:sz w:val="24"/>
          <w:szCs w:val="24"/>
        </w:rPr>
        <w:t>Hepatocellular carcinoma is one of the most lethal malignancie</w:t>
      </w:r>
      <w:r w:rsidR="00EC01EB">
        <w:rPr>
          <w:rFonts w:ascii="Book Antiqua" w:hAnsi="Book Antiqua"/>
          <w:color w:val="auto"/>
          <w:sz w:val="24"/>
          <w:szCs w:val="24"/>
        </w:rPr>
        <w:t>s worldwide especially in China</w:t>
      </w:r>
      <w:r w:rsidRPr="00DF6D96">
        <w:rPr>
          <w:rFonts w:ascii="Book Antiqua" w:hAnsi="Book Antiqua"/>
          <w:color w:val="auto"/>
          <w:sz w:val="24"/>
          <w:szCs w:val="24"/>
          <w:vertAlign w:val="superscript"/>
        </w:rPr>
        <w:t>[</w:t>
      </w:r>
      <w:hyperlink w:anchor="_3o7alnk">
        <w:r w:rsidRPr="00DF6D96">
          <w:rPr>
            <w:rFonts w:ascii="Book Antiqua" w:hAnsi="Book Antiqua"/>
            <w:color w:val="auto"/>
            <w:sz w:val="24"/>
            <w:szCs w:val="24"/>
            <w:vertAlign w:val="superscript"/>
          </w:rPr>
          <w:t>4</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Although many genes and signaling pathways have been found to pa</w:t>
      </w:r>
      <w:r w:rsidR="00EC01EB">
        <w:rPr>
          <w:rFonts w:ascii="Book Antiqua" w:hAnsi="Book Antiqua"/>
          <w:color w:val="auto"/>
          <w:sz w:val="24"/>
          <w:szCs w:val="24"/>
        </w:rPr>
        <w:t>rticipate in HCC carcinogenesis</w:t>
      </w:r>
      <w:r w:rsidRPr="00DF6D96">
        <w:rPr>
          <w:rFonts w:ascii="Book Antiqua" w:hAnsi="Book Antiqua"/>
          <w:color w:val="auto"/>
          <w:sz w:val="24"/>
          <w:szCs w:val="24"/>
          <w:vertAlign w:val="superscript"/>
        </w:rPr>
        <w:t>[</w:t>
      </w:r>
      <w:r w:rsidR="008C69FB" w:rsidRPr="00DF6D96">
        <w:rPr>
          <w:rFonts w:ascii="Book Antiqua" w:hAnsi="Book Antiqua"/>
          <w:color w:val="auto"/>
          <w:sz w:val="24"/>
          <w:szCs w:val="24"/>
          <w:vertAlign w:val="superscript"/>
        </w:rPr>
        <w:t>30-33</w:t>
      </w:r>
      <w:r w:rsidRPr="00DF6D96">
        <w:rPr>
          <w:rFonts w:ascii="Book Antiqua" w:hAnsi="Book Antiqua"/>
          <w:color w:val="auto"/>
          <w:sz w:val="24"/>
          <w:szCs w:val="24"/>
          <w:vertAlign w:val="superscript"/>
        </w:rPr>
        <w:t>]</w:t>
      </w:r>
      <w:r w:rsidRPr="00DF6D96">
        <w:rPr>
          <w:rFonts w:ascii="Book Antiqua" w:hAnsi="Book Antiqua"/>
          <w:color w:val="auto"/>
          <w:sz w:val="24"/>
          <w:szCs w:val="24"/>
        </w:rPr>
        <w:t>, the prognoses of the patients are still unsatisfactory, so it is urgent to uncover more genes responsible for the development of HCC. The focus of this work was PAR2, which is evident for its important role in the development of tumors</w:t>
      </w:r>
      <w:r w:rsidR="005C5248" w:rsidRPr="00DF6D96">
        <w:rPr>
          <w:rFonts w:ascii="Book Antiqua" w:hAnsi="Book Antiqua"/>
          <w:color w:val="auto"/>
          <w:sz w:val="24"/>
          <w:szCs w:val="24"/>
        </w:rPr>
        <w:t>,</w:t>
      </w:r>
      <w:r w:rsidRPr="00DF6D96">
        <w:rPr>
          <w:rFonts w:ascii="Book Antiqua" w:hAnsi="Book Antiqua"/>
          <w:color w:val="auto"/>
          <w:sz w:val="24"/>
          <w:szCs w:val="24"/>
        </w:rPr>
        <w:t xml:space="preserve"> especially of epithelial origin</w:t>
      </w:r>
      <w:r w:rsidRPr="00DF6D96">
        <w:rPr>
          <w:rFonts w:ascii="Book Antiqua" w:hAnsi="Book Antiqua"/>
          <w:color w:val="auto"/>
          <w:sz w:val="24"/>
          <w:szCs w:val="24"/>
          <w:vertAlign w:val="superscript"/>
        </w:rPr>
        <w:t>[</w:t>
      </w:r>
      <w:hyperlink w:anchor="_3fwokq0">
        <w:r w:rsidRPr="00DF6D96">
          <w:rPr>
            <w:rFonts w:ascii="Book Antiqua" w:hAnsi="Book Antiqua"/>
            <w:color w:val="auto"/>
            <w:sz w:val="24"/>
            <w:szCs w:val="24"/>
            <w:vertAlign w:val="superscript"/>
          </w:rPr>
          <w:t>12-15</w:t>
        </w:r>
      </w:hyperlink>
      <w:r w:rsidRPr="00DF6D96">
        <w:rPr>
          <w:rFonts w:ascii="Book Antiqua" w:hAnsi="Book Antiqua"/>
          <w:color w:val="auto"/>
          <w:sz w:val="24"/>
          <w:szCs w:val="24"/>
          <w:vertAlign w:val="superscript"/>
        </w:rPr>
        <w:t>]</w:t>
      </w:r>
      <w:r w:rsidRPr="00DF6D96">
        <w:rPr>
          <w:rFonts w:ascii="Book Antiqua" w:hAnsi="Book Antiqua"/>
          <w:color w:val="auto"/>
          <w:sz w:val="24"/>
          <w:szCs w:val="24"/>
        </w:rPr>
        <w:t>. PAR2 is known to promote proliferation, migration, and invasion of HCC cells</w:t>
      </w:r>
      <w:r w:rsidR="004B2D77" w:rsidRPr="00DF6D96">
        <w:rPr>
          <w:rFonts w:ascii="Book Antiqua" w:hAnsi="Book Antiqua"/>
          <w:color w:val="auto"/>
          <w:sz w:val="24"/>
          <w:szCs w:val="24"/>
        </w:rPr>
        <w:t xml:space="preserve">. </w:t>
      </w:r>
      <w:r w:rsidRPr="00DF6D96">
        <w:rPr>
          <w:rFonts w:ascii="Book Antiqua" w:hAnsi="Book Antiqua"/>
          <w:color w:val="auto"/>
          <w:sz w:val="24"/>
          <w:szCs w:val="24"/>
        </w:rPr>
        <w:t>Unfortunately, the underlying mechanism of PAR2</w:t>
      </w:r>
      <w:r w:rsidR="00023E5B" w:rsidRPr="00DF6D96">
        <w:rPr>
          <w:rFonts w:ascii="Book Antiqua" w:hAnsi="Book Antiqua"/>
          <w:color w:val="auto"/>
          <w:sz w:val="24"/>
          <w:szCs w:val="24"/>
        </w:rPr>
        <w:t xml:space="preserve"> activity</w:t>
      </w:r>
      <w:r w:rsidRPr="00DF6D96">
        <w:rPr>
          <w:rFonts w:ascii="Book Antiqua" w:hAnsi="Book Antiqua"/>
          <w:color w:val="auto"/>
          <w:sz w:val="24"/>
          <w:szCs w:val="24"/>
        </w:rPr>
        <w:t xml:space="preserve"> in HCC metastasis is unclear and few </w:t>
      </w:r>
      <w:r w:rsidR="00C35D84" w:rsidRPr="00DF6D96">
        <w:rPr>
          <w:rFonts w:ascii="Book Antiqua" w:hAnsi="Book Antiqua"/>
          <w:i/>
          <w:color w:val="auto"/>
          <w:sz w:val="24"/>
          <w:szCs w:val="24"/>
        </w:rPr>
        <w:t>in vivo</w:t>
      </w:r>
      <w:r w:rsidRPr="00DF6D96">
        <w:rPr>
          <w:rFonts w:ascii="Book Antiqua" w:hAnsi="Book Antiqua"/>
          <w:color w:val="auto"/>
          <w:sz w:val="24"/>
          <w:szCs w:val="24"/>
        </w:rPr>
        <w:t xml:space="preserve"> studies have been carried out elucidating its role in tumor development. </w:t>
      </w:r>
      <w:r w:rsidR="00C35D84" w:rsidRPr="00DF6D96">
        <w:rPr>
          <w:rFonts w:ascii="Book Antiqua" w:hAnsi="Book Antiqua"/>
          <w:color w:val="auto"/>
          <w:sz w:val="24"/>
          <w:szCs w:val="24"/>
        </w:rPr>
        <w:t>Additionally</w:t>
      </w:r>
      <w:r w:rsidRPr="00DF6D96">
        <w:rPr>
          <w:rFonts w:ascii="Book Antiqua" w:hAnsi="Book Antiqua"/>
          <w:color w:val="auto"/>
          <w:sz w:val="24"/>
          <w:szCs w:val="24"/>
        </w:rPr>
        <w:t>, th</w:t>
      </w:r>
      <w:r w:rsidR="00760768" w:rsidRPr="00DF6D96">
        <w:rPr>
          <w:rFonts w:ascii="Book Antiqua" w:hAnsi="Book Antiqua"/>
          <w:color w:val="auto"/>
          <w:sz w:val="24"/>
          <w:szCs w:val="24"/>
        </w:rPr>
        <w:t>e association between PAR2 and c</w:t>
      </w:r>
      <w:r w:rsidRPr="00DF6D96">
        <w:rPr>
          <w:rFonts w:ascii="Book Antiqua" w:hAnsi="Book Antiqua"/>
          <w:color w:val="auto"/>
          <w:sz w:val="24"/>
          <w:szCs w:val="24"/>
        </w:rPr>
        <w:t>linicopath</w:t>
      </w:r>
      <w:r w:rsidR="00760768" w:rsidRPr="00DF6D96">
        <w:rPr>
          <w:rFonts w:ascii="Book Antiqua" w:hAnsi="Book Antiqua"/>
          <w:color w:val="auto"/>
          <w:sz w:val="24"/>
          <w:szCs w:val="24"/>
        </w:rPr>
        <w:t>ological v</w:t>
      </w:r>
      <w:r w:rsidRPr="00DF6D96">
        <w:rPr>
          <w:rFonts w:ascii="Book Antiqua" w:hAnsi="Book Antiqua"/>
          <w:color w:val="auto"/>
          <w:sz w:val="24"/>
          <w:szCs w:val="24"/>
        </w:rPr>
        <w:t xml:space="preserve">ariables of HCC patients has not been analyzed; this work addresses those </w:t>
      </w:r>
      <w:r w:rsidR="00C35D84" w:rsidRPr="00DF6D96">
        <w:rPr>
          <w:rFonts w:ascii="Book Antiqua" w:hAnsi="Book Antiqua"/>
          <w:color w:val="auto"/>
          <w:sz w:val="24"/>
          <w:szCs w:val="24"/>
        </w:rPr>
        <w:t>questions.</w:t>
      </w:r>
    </w:p>
    <w:p w14:paraId="07535A2A" w14:textId="0226FF06" w:rsidR="00C35D84" w:rsidRPr="00DF6D96" w:rsidRDefault="007C5683" w:rsidP="0030419F">
      <w:pPr>
        <w:pStyle w:val="1"/>
        <w:adjustRightInd w:val="0"/>
        <w:snapToGrid w:val="0"/>
        <w:spacing w:line="360" w:lineRule="auto"/>
        <w:ind w:firstLineChars="100" w:firstLine="240"/>
        <w:rPr>
          <w:rFonts w:ascii="Book Antiqua" w:hAnsi="Book Antiqua"/>
          <w:color w:val="auto"/>
          <w:sz w:val="24"/>
          <w:szCs w:val="24"/>
        </w:rPr>
      </w:pPr>
      <w:r w:rsidRPr="00DF6D96">
        <w:rPr>
          <w:rFonts w:ascii="Book Antiqua" w:hAnsi="Book Antiqua"/>
          <w:color w:val="auto"/>
          <w:sz w:val="24"/>
          <w:szCs w:val="24"/>
        </w:rPr>
        <w:t xml:space="preserve">In </w:t>
      </w:r>
      <w:r w:rsidR="00C35D84" w:rsidRPr="00DF6D96">
        <w:rPr>
          <w:rFonts w:ascii="Book Antiqua" w:hAnsi="Book Antiqua"/>
          <w:color w:val="auto"/>
          <w:sz w:val="24"/>
          <w:szCs w:val="24"/>
        </w:rPr>
        <w:t xml:space="preserve">the </w:t>
      </w:r>
      <w:r w:rsidRPr="00DF6D96">
        <w:rPr>
          <w:rFonts w:ascii="Book Antiqua" w:hAnsi="Book Antiqua"/>
          <w:color w:val="auto"/>
          <w:sz w:val="24"/>
          <w:szCs w:val="24"/>
        </w:rPr>
        <w:t>clinical association study, expression levels of PAR2 w</w:t>
      </w:r>
      <w:r w:rsidR="00C35D84" w:rsidRPr="00DF6D96">
        <w:rPr>
          <w:rFonts w:ascii="Book Antiqua" w:hAnsi="Book Antiqua"/>
          <w:color w:val="auto"/>
          <w:sz w:val="24"/>
          <w:szCs w:val="24"/>
        </w:rPr>
        <w:t>ere</w:t>
      </w:r>
      <w:r w:rsidRPr="00DF6D96">
        <w:rPr>
          <w:rFonts w:ascii="Book Antiqua" w:hAnsi="Book Antiqua"/>
          <w:color w:val="auto"/>
          <w:sz w:val="24"/>
          <w:szCs w:val="24"/>
        </w:rPr>
        <w:t xml:space="preserve"> analyzed in 60 HCC patients by immunohistochemistry. Patients with high PAR2 expression levels tended to have advanced tumor stages, larger tumor size, and high microvascular invasion rate, indicat</w:t>
      </w:r>
      <w:r w:rsidR="00C35D84" w:rsidRPr="00DF6D96">
        <w:rPr>
          <w:rFonts w:ascii="Book Antiqua" w:hAnsi="Book Antiqua"/>
          <w:color w:val="auto"/>
          <w:sz w:val="24"/>
          <w:szCs w:val="24"/>
        </w:rPr>
        <w:t>ing</w:t>
      </w:r>
      <w:r w:rsidRPr="00DF6D96">
        <w:rPr>
          <w:rFonts w:ascii="Book Antiqua" w:hAnsi="Book Antiqua"/>
          <w:color w:val="auto"/>
          <w:sz w:val="24"/>
          <w:szCs w:val="24"/>
        </w:rPr>
        <w:t xml:space="preserve"> that PAR2 play</w:t>
      </w:r>
      <w:r w:rsidR="00C35D84" w:rsidRPr="00DF6D96">
        <w:rPr>
          <w:rFonts w:ascii="Book Antiqua" w:hAnsi="Book Antiqua"/>
          <w:color w:val="auto"/>
          <w:sz w:val="24"/>
          <w:szCs w:val="24"/>
        </w:rPr>
        <w:t>s</w:t>
      </w:r>
      <w:r w:rsidRPr="00DF6D96">
        <w:rPr>
          <w:rFonts w:ascii="Book Antiqua" w:hAnsi="Book Antiqua"/>
          <w:color w:val="auto"/>
          <w:sz w:val="24"/>
          <w:szCs w:val="24"/>
        </w:rPr>
        <w:t xml:space="preserve"> an important role in the development of HCC. </w:t>
      </w:r>
      <w:r w:rsidR="00C35D84" w:rsidRPr="00DF6D96">
        <w:rPr>
          <w:rFonts w:ascii="Book Antiqua" w:hAnsi="Book Antiqua"/>
          <w:color w:val="auto"/>
          <w:sz w:val="24"/>
          <w:szCs w:val="24"/>
        </w:rPr>
        <w:t>Additionally</w:t>
      </w:r>
      <w:r w:rsidRPr="00DF6D96">
        <w:rPr>
          <w:rFonts w:ascii="Book Antiqua" w:hAnsi="Book Antiqua"/>
          <w:color w:val="auto"/>
          <w:sz w:val="24"/>
          <w:szCs w:val="24"/>
        </w:rPr>
        <w:t xml:space="preserve">, </w:t>
      </w:r>
      <w:r w:rsidR="00C35D84" w:rsidRPr="00DF6D96">
        <w:rPr>
          <w:rFonts w:ascii="Book Antiqua" w:hAnsi="Book Antiqua"/>
          <w:color w:val="auto"/>
          <w:sz w:val="24"/>
          <w:szCs w:val="24"/>
        </w:rPr>
        <w:t>p</w:t>
      </w:r>
      <w:r w:rsidRPr="00DF6D96">
        <w:rPr>
          <w:rFonts w:ascii="Book Antiqua" w:hAnsi="Book Antiqua"/>
          <w:color w:val="auto"/>
          <w:sz w:val="24"/>
          <w:szCs w:val="24"/>
        </w:rPr>
        <w:t>atients with high PAR2 expression levels had shorter OS and DFS, impl</w:t>
      </w:r>
      <w:r w:rsidR="00C35D84" w:rsidRPr="00DF6D96">
        <w:rPr>
          <w:rFonts w:ascii="Book Antiqua" w:hAnsi="Book Antiqua"/>
          <w:color w:val="auto"/>
          <w:sz w:val="24"/>
          <w:szCs w:val="24"/>
        </w:rPr>
        <w:t>ying</w:t>
      </w:r>
      <w:r w:rsidRPr="00DF6D96">
        <w:rPr>
          <w:rFonts w:ascii="Book Antiqua" w:hAnsi="Book Antiqua"/>
          <w:color w:val="auto"/>
          <w:sz w:val="24"/>
          <w:szCs w:val="24"/>
        </w:rPr>
        <w:t xml:space="preserve"> that PAR2 could </w:t>
      </w:r>
      <w:r w:rsidRPr="00DF6D96">
        <w:rPr>
          <w:rFonts w:ascii="Book Antiqua" w:hAnsi="Book Antiqua"/>
          <w:color w:val="auto"/>
          <w:sz w:val="24"/>
          <w:szCs w:val="24"/>
        </w:rPr>
        <w:lastRenderedPageBreak/>
        <w:t xml:space="preserve">serve as a biomarker to predict the prognosis of HCC patients. </w:t>
      </w:r>
    </w:p>
    <w:p w14:paraId="3250B1DA" w14:textId="4D89848E" w:rsidR="00C35D84" w:rsidRPr="00DF6D96" w:rsidRDefault="00C35D84" w:rsidP="0030419F">
      <w:pPr>
        <w:pStyle w:val="1"/>
        <w:adjustRightInd w:val="0"/>
        <w:snapToGrid w:val="0"/>
        <w:spacing w:line="360" w:lineRule="auto"/>
        <w:ind w:firstLineChars="100" w:firstLine="240"/>
        <w:rPr>
          <w:rFonts w:ascii="Book Antiqua" w:hAnsi="Book Antiqua"/>
          <w:color w:val="auto"/>
          <w:sz w:val="24"/>
          <w:szCs w:val="24"/>
        </w:rPr>
      </w:pPr>
      <w:r w:rsidRPr="00DF6D96">
        <w:rPr>
          <w:rFonts w:ascii="Book Antiqua" w:hAnsi="Book Antiqua"/>
          <w:color w:val="auto"/>
          <w:sz w:val="24"/>
          <w:szCs w:val="24"/>
        </w:rPr>
        <w:t>Because</w:t>
      </w:r>
      <w:r w:rsidR="007C5683" w:rsidRPr="00DF6D96">
        <w:rPr>
          <w:rFonts w:ascii="Book Antiqua" w:hAnsi="Book Antiqua"/>
          <w:color w:val="auto"/>
          <w:sz w:val="24"/>
          <w:szCs w:val="24"/>
        </w:rPr>
        <w:t xml:space="preserve"> PAR2 is associated with tumor size and microvascular invasion, </w:t>
      </w:r>
      <w:r w:rsidRPr="00DF6D96">
        <w:rPr>
          <w:rFonts w:ascii="Book Antiqua" w:hAnsi="Book Antiqua"/>
          <w:color w:val="auto"/>
          <w:sz w:val="24"/>
          <w:szCs w:val="24"/>
        </w:rPr>
        <w:t>the</w:t>
      </w:r>
      <w:r w:rsidR="007C5683" w:rsidRPr="00DF6D96">
        <w:rPr>
          <w:rFonts w:ascii="Book Antiqua" w:hAnsi="Book Antiqua"/>
          <w:color w:val="auto"/>
          <w:sz w:val="24"/>
          <w:szCs w:val="24"/>
        </w:rPr>
        <w:t xml:space="preserve"> role of PAR2 in HCC proliferation and invasion was investigated. </w:t>
      </w:r>
      <w:r w:rsidRPr="00DF6D96">
        <w:rPr>
          <w:rFonts w:ascii="Book Antiqua" w:hAnsi="Book Antiqua"/>
          <w:color w:val="auto"/>
          <w:sz w:val="24"/>
          <w:szCs w:val="24"/>
        </w:rPr>
        <w:t xml:space="preserve">PAR2 was </w:t>
      </w:r>
      <w:r w:rsidR="007C5683" w:rsidRPr="00DF6D96">
        <w:rPr>
          <w:rFonts w:ascii="Book Antiqua" w:hAnsi="Book Antiqua"/>
          <w:color w:val="auto"/>
          <w:sz w:val="24"/>
          <w:szCs w:val="24"/>
        </w:rPr>
        <w:t>stably knock</w:t>
      </w:r>
      <w:r w:rsidRPr="00DF6D96">
        <w:rPr>
          <w:rFonts w:ascii="Book Antiqua" w:hAnsi="Book Antiqua"/>
          <w:color w:val="auto"/>
          <w:sz w:val="24"/>
          <w:szCs w:val="24"/>
        </w:rPr>
        <w:t>ed</w:t>
      </w:r>
      <w:r w:rsidR="007C5683" w:rsidRPr="00DF6D96">
        <w:rPr>
          <w:rFonts w:ascii="Book Antiqua" w:hAnsi="Book Antiqua"/>
          <w:color w:val="auto"/>
          <w:sz w:val="24"/>
          <w:szCs w:val="24"/>
        </w:rPr>
        <w:t xml:space="preserve"> down using shRNA and then transiently overexpress</w:t>
      </w:r>
      <w:r w:rsidRPr="00DF6D96">
        <w:rPr>
          <w:rFonts w:ascii="Book Antiqua" w:hAnsi="Book Antiqua"/>
          <w:color w:val="auto"/>
          <w:sz w:val="24"/>
          <w:szCs w:val="24"/>
        </w:rPr>
        <w:t>ed</w:t>
      </w:r>
      <w:r w:rsidR="007C5683" w:rsidRPr="00DF6D96">
        <w:rPr>
          <w:rFonts w:ascii="Book Antiqua" w:hAnsi="Book Antiqua"/>
          <w:color w:val="auto"/>
          <w:sz w:val="24"/>
          <w:szCs w:val="24"/>
        </w:rPr>
        <w:t xml:space="preserve"> in HepG2 and SMMC-7721 cells</w:t>
      </w:r>
      <w:r w:rsidRPr="00DF6D96">
        <w:rPr>
          <w:rFonts w:ascii="Book Antiqua" w:hAnsi="Book Antiqua"/>
          <w:color w:val="auto"/>
          <w:sz w:val="24"/>
          <w:szCs w:val="24"/>
        </w:rPr>
        <w:t>.</w:t>
      </w:r>
      <w:r w:rsidR="007C5683" w:rsidRPr="00DF6D96">
        <w:rPr>
          <w:rFonts w:ascii="Book Antiqua" w:hAnsi="Book Antiqua"/>
          <w:color w:val="auto"/>
          <w:sz w:val="24"/>
          <w:szCs w:val="24"/>
        </w:rPr>
        <w:t xml:space="preserve"> CCK8 and colony form</w:t>
      </w:r>
      <w:r w:rsidRPr="00DF6D96">
        <w:rPr>
          <w:rFonts w:ascii="Book Antiqua" w:hAnsi="Book Antiqua"/>
          <w:color w:val="auto"/>
          <w:sz w:val="24"/>
          <w:szCs w:val="24"/>
        </w:rPr>
        <w:t>ing</w:t>
      </w:r>
      <w:r w:rsidR="007C5683" w:rsidRPr="00DF6D96">
        <w:rPr>
          <w:rFonts w:ascii="Book Antiqua" w:hAnsi="Book Antiqua"/>
          <w:color w:val="auto"/>
          <w:sz w:val="24"/>
          <w:szCs w:val="24"/>
        </w:rPr>
        <w:t xml:space="preserve"> assays were used to </w:t>
      </w:r>
      <w:r w:rsidRPr="00DF6D96">
        <w:rPr>
          <w:rFonts w:ascii="Book Antiqua" w:hAnsi="Book Antiqua"/>
          <w:color w:val="auto"/>
          <w:sz w:val="24"/>
          <w:szCs w:val="24"/>
        </w:rPr>
        <w:t>measure</w:t>
      </w:r>
      <w:r w:rsidR="007C5683" w:rsidRPr="00DF6D96">
        <w:rPr>
          <w:rFonts w:ascii="Book Antiqua" w:hAnsi="Book Antiqua"/>
          <w:color w:val="auto"/>
          <w:sz w:val="24"/>
          <w:szCs w:val="24"/>
        </w:rPr>
        <w:t xml:space="preserve"> </w:t>
      </w:r>
      <w:r w:rsidRPr="00DF6D96">
        <w:rPr>
          <w:rFonts w:ascii="Book Antiqua" w:hAnsi="Book Antiqua"/>
          <w:i/>
          <w:color w:val="auto"/>
          <w:sz w:val="24"/>
          <w:szCs w:val="24"/>
        </w:rPr>
        <w:t>in vitro</w:t>
      </w:r>
      <w:r w:rsidRPr="00DF6D96">
        <w:rPr>
          <w:rFonts w:ascii="Book Antiqua" w:hAnsi="Book Antiqua"/>
          <w:color w:val="auto"/>
          <w:sz w:val="24"/>
          <w:szCs w:val="24"/>
        </w:rPr>
        <w:t xml:space="preserve"> cell proliferation.</w:t>
      </w:r>
      <w:r w:rsidR="00AA14EA" w:rsidRPr="00DF6D96">
        <w:rPr>
          <w:rFonts w:ascii="Book Antiqua" w:hAnsi="Book Antiqua"/>
          <w:color w:val="auto"/>
          <w:sz w:val="24"/>
          <w:szCs w:val="24"/>
        </w:rPr>
        <w:t xml:space="preserve"> </w:t>
      </w:r>
      <w:r w:rsidR="007C5683" w:rsidRPr="00DF6D96">
        <w:rPr>
          <w:rFonts w:ascii="Book Antiqua" w:hAnsi="Book Antiqua"/>
          <w:color w:val="auto"/>
          <w:sz w:val="24"/>
          <w:szCs w:val="24"/>
        </w:rPr>
        <w:t xml:space="preserve">This assay showed that knocking down PAR2 inhibited cell proliferation and colony formation ability, while overexpressing PAR2 presented adverse effects. From transwell and wound healing assays, PAR2 was shown to promote tumor cell migration and invasion. These </w:t>
      </w:r>
      <w:r w:rsidRPr="00DF6D96">
        <w:rPr>
          <w:rFonts w:ascii="Book Antiqua" w:hAnsi="Book Antiqua"/>
          <w:i/>
          <w:color w:val="auto"/>
          <w:sz w:val="24"/>
          <w:szCs w:val="24"/>
        </w:rPr>
        <w:t>in vitro</w:t>
      </w:r>
      <w:r w:rsidR="007C5683" w:rsidRPr="00DF6D96">
        <w:rPr>
          <w:rFonts w:ascii="Book Antiqua" w:hAnsi="Book Antiqua"/>
          <w:color w:val="auto"/>
          <w:sz w:val="24"/>
          <w:szCs w:val="24"/>
        </w:rPr>
        <w:t xml:space="preserve"> experiments </w:t>
      </w:r>
      <w:r w:rsidRPr="00DF6D96">
        <w:rPr>
          <w:rFonts w:ascii="Book Antiqua" w:hAnsi="Book Antiqua"/>
          <w:color w:val="auto"/>
          <w:sz w:val="24"/>
          <w:szCs w:val="24"/>
        </w:rPr>
        <w:t xml:space="preserve">indicated that </w:t>
      </w:r>
      <w:r w:rsidR="007C5683" w:rsidRPr="00DF6D96">
        <w:rPr>
          <w:rFonts w:ascii="Book Antiqua" w:hAnsi="Book Antiqua"/>
          <w:color w:val="auto"/>
          <w:sz w:val="24"/>
          <w:szCs w:val="24"/>
        </w:rPr>
        <w:t xml:space="preserve">PAR2 plays </w:t>
      </w:r>
      <w:r w:rsidRPr="00DF6D96">
        <w:rPr>
          <w:rFonts w:ascii="Book Antiqua" w:hAnsi="Book Antiqua"/>
          <w:color w:val="auto"/>
          <w:sz w:val="24"/>
          <w:szCs w:val="24"/>
        </w:rPr>
        <w:t>a</w:t>
      </w:r>
      <w:r w:rsidR="007C5683" w:rsidRPr="00DF6D96">
        <w:rPr>
          <w:rFonts w:ascii="Book Antiqua" w:hAnsi="Book Antiqua"/>
          <w:color w:val="auto"/>
          <w:sz w:val="24"/>
          <w:szCs w:val="24"/>
        </w:rPr>
        <w:t>n i</w:t>
      </w:r>
      <w:r w:rsidRPr="00DF6D96">
        <w:rPr>
          <w:rFonts w:ascii="Book Antiqua" w:hAnsi="Book Antiqua"/>
          <w:color w:val="auto"/>
          <w:sz w:val="24"/>
          <w:szCs w:val="24"/>
        </w:rPr>
        <w:t xml:space="preserve">mportant role </w:t>
      </w:r>
      <w:r w:rsidR="007C5683" w:rsidRPr="00DF6D96">
        <w:rPr>
          <w:rFonts w:ascii="Book Antiqua" w:hAnsi="Book Antiqua"/>
          <w:color w:val="auto"/>
          <w:sz w:val="24"/>
          <w:szCs w:val="24"/>
        </w:rPr>
        <w:t xml:space="preserve">in tumorigenesis and </w:t>
      </w:r>
      <w:r w:rsidR="00AA14EA" w:rsidRPr="00DF6D96">
        <w:rPr>
          <w:rFonts w:ascii="Book Antiqua" w:hAnsi="Book Antiqua"/>
          <w:color w:val="auto"/>
          <w:sz w:val="24"/>
          <w:szCs w:val="24"/>
        </w:rPr>
        <w:t xml:space="preserve">the </w:t>
      </w:r>
      <w:r w:rsidR="007C5683" w:rsidRPr="00DF6D96">
        <w:rPr>
          <w:rFonts w:ascii="Book Antiqua" w:hAnsi="Book Antiqua"/>
          <w:color w:val="auto"/>
          <w:sz w:val="24"/>
          <w:szCs w:val="24"/>
        </w:rPr>
        <w:t>development of HCC cells</w:t>
      </w:r>
      <w:r w:rsidRPr="00DF6D96">
        <w:rPr>
          <w:rFonts w:ascii="Book Antiqua" w:hAnsi="Book Antiqua"/>
          <w:color w:val="auto"/>
          <w:sz w:val="24"/>
          <w:szCs w:val="24"/>
        </w:rPr>
        <w:t>.</w:t>
      </w:r>
    </w:p>
    <w:p w14:paraId="5CC3B3C3" w14:textId="62DB474A" w:rsidR="00C35D84" w:rsidRPr="00DF6D96" w:rsidRDefault="007C5683" w:rsidP="0030419F">
      <w:pPr>
        <w:pStyle w:val="1"/>
        <w:adjustRightInd w:val="0"/>
        <w:snapToGrid w:val="0"/>
        <w:spacing w:line="360" w:lineRule="auto"/>
        <w:ind w:firstLineChars="100" w:firstLine="240"/>
        <w:rPr>
          <w:rFonts w:ascii="Book Antiqua" w:hAnsi="Book Antiqua"/>
          <w:color w:val="auto"/>
          <w:sz w:val="24"/>
          <w:szCs w:val="24"/>
        </w:rPr>
      </w:pPr>
      <w:r w:rsidRPr="00DF6D96">
        <w:rPr>
          <w:rFonts w:ascii="Book Antiqua" w:hAnsi="Book Antiqua"/>
          <w:color w:val="auto"/>
          <w:sz w:val="24"/>
          <w:szCs w:val="24"/>
        </w:rPr>
        <w:t xml:space="preserve">Two mouse models were used to explore the role of PAR2 in HCC progression </w:t>
      </w:r>
      <w:r w:rsidR="00C35D84" w:rsidRPr="00DF6D96">
        <w:rPr>
          <w:rFonts w:ascii="Book Antiqua" w:hAnsi="Book Antiqua"/>
          <w:i/>
          <w:color w:val="auto"/>
          <w:sz w:val="24"/>
          <w:szCs w:val="24"/>
        </w:rPr>
        <w:t>in vivo</w:t>
      </w:r>
      <w:r w:rsidRPr="00DF6D96">
        <w:rPr>
          <w:rFonts w:ascii="Book Antiqua" w:hAnsi="Book Antiqua"/>
          <w:color w:val="auto"/>
          <w:sz w:val="24"/>
          <w:szCs w:val="24"/>
        </w:rPr>
        <w:t xml:space="preserve">. From a subcutaneous xenograft model, </w:t>
      </w:r>
      <w:r w:rsidR="00C35D84" w:rsidRPr="00DF6D96">
        <w:rPr>
          <w:rFonts w:ascii="Book Antiqua" w:hAnsi="Book Antiqua"/>
          <w:color w:val="auto"/>
          <w:sz w:val="24"/>
          <w:szCs w:val="24"/>
        </w:rPr>
        <w:t>it was determined</w:t>
      </w:r>
      <w:r w:rsidRPr="00DF6D96">
        <w:rPr>
          <w:rFonts w:ascii="Book Antiqua" w:hAnsi="Book Antiqua"/>
          <w:color w:val="auto"/>
          <w:sz w:val="24"/>
          <w:szCs w:val="24"/>
        </w:rPr>
        <w:t xml:space="preserve"> that knock down of PAR2 could inhibit tumor growth to a great extent. From the liver metastasis model, PAR2 </w:t>
      </w:r>
      <w:r w:rsidR="00C35D84" w:rsidRPr="00DF6D96">
        <w:rPr>
          <w:rFonts w:ascii="Book Antiqua" w:hAnsi="Book Antiqua"/>
          <w:color w:val="auto"/>
          <w:sz w:val="24"/>
          <w:szCs w:val="24"/>
        </w:rPr>
        <w:t xml:space="preserve">was shown to </w:t>
      </w:r>
      <w:r w:rsidRPr="00DF6D96">
        <w:rPr>
          <w:rFonts w:ascii="Book Antiqua" w:hAnsi="Book Antiqua"/>
          <w:color w:val="auto"/>
          <w:sz w:val="24"/>
          <w:szCs w:val="24"/>
        </w:rPr>
        <w:t xml:space="preserve">help HCC cells plant onto </w:t>
      </w:r>
      <w:r w:rsidR="00AA14EA" w:rsidRPr="00DF6D96">
        <w:rPr>
          <w:rFonts w:ascii="Book Antiqua" w:hAnsi="Book Antiqua"/>
          <w:color w:val="auto"/>
          <w:sz w:val="24"/>
          <w:szCs w:val="24"/>
        </w:rPr>
        <w:t xml:space="preserve">the </w:t>
      </w:r>
      <w:r w:rsidRPr="00DF6D96">
        <w:rPr>
          <w:rFonts w:ascii="Book Antiqua" w:hAnsi="Book Antiqua"/>
          <w:color w:val="auto"/>
          <w:sz w:val="24"/>
          <w:szCs w:val="24"/>
        </w:rPr>
        <w:t xml:space="preserve">liver and form metastatic foci. These </w:t>
      </w:r>
      <w:r w:rsidR="00C35D84" w:rsidRPr="00DF6D96">
        <w:rPr>
          <w:rFonts w:ascii="Book Antiqua" w:hAnsi="Book Antiqua"/>
          <w:i/>
          <w:color w:val="auto"/>
          <w:sz w:val="24"/>
          <w:szCs w:val="24"/>
        </w:rPr>
        <w:t>in vivo</w:t>
      </w:r>
      <w:r w:rsidRPr="00DF6D96">
        <w:rPr>
          <w:rFonts w:ascii="Book Antiqua" w:hAnsi="Book Antiqua"/>
          <w:color w:val="auto"/>
          <w:sz w:val="24"/>
          <w:szCs w:val="24"/>
        </w:rPr>
        <w:t xml:space="preserve"> data </w:t>
      </w:r>
      <w:r w:rsidR="00AA14EA" w:rsidRPr="00DF6D96">
        <w:rPr>
          <w:rFonts w:ascii="Book Antiqua" w:hAnsi="Book Antiqua"/>
          <w:color w:val="auto"/>
          <w:sz w:val="24"/>
          <w:szCs w:val="24"/>
        </w:rPr>
        <w:t xml:space="preserve">provide </w:t>
      </w:r>
      <w:r w:rsidRPr="00DF6D96">
        <w:rPr>
          <w:rFonts w:ascii="Book Antiqua" w:hAnsi="Book Antiqua"/>
          <w:color w:val="auto"/>
          <w:sz w:val="24"/>
          <w:szCs w:val="24"/>
        </w:rPr>
        <w:t>solid evidence that PAR2 promotes HCC cell proliferation, invasion, and migration.</w:t>
      </w:r>
    </w:p>
    <w:p w14:paraId="7713CBDB" w14:textId="01CE3917" w:rsidR="00C35D84" w:rsidRPr="00DF6D96" w:rsidRDefault="007C5683" w:rsidP="0030419F">
      <w:pPr>
        <w:pStyle w:val="1"/>
        <w:adjustRightInd w:val="0"/>
        <w:snapToGrid w:val="0"/>
        <w:spacing w:line="360" w:lineRule="auto"/>
        <w:ind w:firstLineChars="100" w:firstLine="240"/>
        <w:rPr>
          <w:rFonts w:ascii="Book Antiqua" w:hAnsi="Book Antiqua"/>
          <w:color w:val="auto"/>
          <w:sz w:val="24"/>
          <w:szCs w:val="24"/>
          <w:lang w:eastAsia="zh-CN"/>
        </w:rPr>
      </w:pPr>
      <w:r w:rsidRPr="00DF6D96">
        <w:rPr>
          <w:rFonts w:ascii="Book Antiqua" w:hAnsi="Book Antiqua"/>
          <w:color w:val="auto"/>
          <w:sz w:val="24"/>
          <w:szCs w:val="24"/>
        </w:rPr>
        <w:t xml:space="preserve">After knocking down of PAR2, morphological changes toward </w:t>
      </w:r>
      <w:r w:rsidR="00AA14EA" w:rsidRPr="00DF6D96">
        <w:rPr>
          <w:rFonts w:ascii="Book Antiqua" w:hAnsi="Book Antiqua"/>
          <w:color w:val="auto"/>
          <w:sz w:val="24"/>
          <w:szCs w:val="24"/>
        </w:rPr>
        <w:t xml:space="preserve">an </w:t>
      </w:r>
      <w:r w:rsidRPr="00DF6D96">
        <w:rPr>
          <w:rFonts w:ascii="Book Antiqua" w:hAnsi="Book Antiqua"/>
          <w:color w:val="auto"/>
          <w:sz w:val="24"/>
          <w:szCs w:val="24"/>
        </w:rPr>
        <w:t xml:space="preserve">epithelial phenotype </w:t>
      </w:r>
      <w:r w:rsidR="00AA14EA" w:rsidRPr="00DF6D96">
        <w:rPr>
          <w:rFonts w:ascii="Book Antiqua" w:hAnsi="Book Antiqua"/>
          <w:color w:val="auto"/>
          <w:sz w:val="24"/>
          <w:szCs w:val="24"/>
        </w:rPr>
        <w:t xml:space="preserve">were observed </w:t>
      </w:r>
      <w:r w:rsidRPr="00DF6D96">
        <w:rPr>
          <w:rFonts w:ascii="Book Antiqua" w:hAnsi="Book Antiqua"/>
          <w:color w:val="auto"/>
          <w:sz w:val="24"/>
          <w:szCs w:val="24"/>
        </w:rPr>
        <w:t xml:space="preserve">in HepG2 and SMMC-7721 cells. Epithelial-mesenchymal </w:t>
      </w:r>
      <w:r w:rsidR="00C35D84" w:rsidRPr="00DF6D96">
        <w:rPr>
          <w:rFonts w:ascii="Book Antiqua" w:hAnsi="Book Antiqua"/>
          <w:color w:val="auto"/>
          <w:sz w:val="24"/>
          <w:szCs w:val="24"/>
        </w:rPr>
        <w:t>transition</w:t>
      </w:r>
      <w:r w:rsidRPr="00DF6D96">
        <w:rPr>
          <w:rFonts w:ascii="Book Antiqua" w:hAnsi="Book Antiqua"/>
          <w:color w:val="auto"/>
          <w:sz w:val="24"/>
          <w:szCs w:val="24"/>
        </w:rPr>
        <w:t xml:space="preserve"> (EMT) is an important step in tumor progression and plays a critical role during cancer invasion and metastasis. During </w:t>
      </w:r>
      <w:r w:rsidR="005C5248" w:rsidRPr="00DF6D96">
        <w:rPr>
          <w:rFonts w:ascii="Book Antiqua" w:hAnsi="Book Antiqua"/>
          <w:color w:val="auto"/>
          <w:sz w:val="24"/>
          <w:szCs w:val="24"/>
        </w:rPr>
        <w:t>EMT</w:t>
      </w:r>
      <w:r w:rsidRPr="00DF6D96">
        <w:rPr>
          <w:rFonts w:ascii="Book Antiqua" w:hAnsi="Book Antiqua"/>
          <w:color w:val="auto"/>
          <w:sz w:val="24"/>
          <w:szCs w:val="24"/>
        </w:rPr>
        <w:t xml:space="preserve">, cells lose their </w:t>
      </w:r>
      <w:r w:rsidR="005C5248" w:rsidRPr="00DF6D96">
        <w:rPr>
          <w:rFonts w:ascii="Book Antiqua" w:hAnsi="Book Antiqua"/>
          <w:color w:val="auto"/>
          <w:sz w:val="24"/>
          <w:szCs w:val="24"/>
        </w:rPr>
        <w:t>epithelial qualitie</w:t>
      </w:r>
      <w:r w:rsidRPr="00DF6D96">
        <w:rPr>
          <w:rFonts w:ascii="Book Antiqua" w:hAnsi="Book Antiqua"/>
          <w:color w:val="auto"/>
          <w:sz w:val="24"/>
          <w:szCs w:val="24"/>
        </w:rPr>
        <w:t xml:space="preserve">s and acquire mesenchymal </w:t>
      </w:r>
      <w:r w:rsidR="005C5248" w:rsidRPr="00DF6D96">
        <w:rPr>
          <w:rFonts w:ascii="Book Antiqua" w:hAnsi="Book Antiqua"/>
          <w:color w:val="auto"/>
          <w:sz w:val="24"/>
          <w:szCs w:val="24"/>
        </w:rPr>
        <w:t>qualities</w:t>
      </w:r>
      <w:r w:rsidRPr="00DF6D96">
        <w:rPr>
          <w:rFonts w:ascii="Book Antiqua" w:hAnsi="Book Antiqua"/>
          <w:color w:val="auto"/>
          <w:sz w:val="24"/>
          <w:szCs w:val="24"/>
          <w:vertAlign w:val="superscript"/>
        </w:rPr>
        <w:t>[</w:t>
      </w:r>
      <w:hyperlink w:anchor="_1mrcu09">
        <w:r w:rsidRPr="00DF6D96">
          <w:rPr>
            <w:rFonts w:ascii="Book Antiqua" w:hAnsi="Book Antiqua"/>
            <w:color w:val="auto"/>
            <w:sz w:val="24"/>
            <w:szCs w:val="24"/>
            <w:vertAlign w:val="superscript"/>
          </w:rPr>
          <w:t>21</w:t>
        </w:r>
      </w:hyperlink>
      <w:r w:rsidRPr="00DF6D96">
        <w:rPr>
          <w:rFonts w:ascii="Book Antiqua" w:hAnsi="Book Antiqua"/>
          <w:color w:val="auto"/>
          <w:sz w:val="24"/>
          <w:szCs w:val="24"/>
          <w:vertAlign w:val="superscript"/>
        </w:rPr>
        <w:t>]</w:t>
      </w:r>
      <w:r w:rsidR="005C5248" w:rsidRPr="00DF6D96">
        <w:rPr>
          <w:rFonts w:ascii="Book Antiqua" w:hAnsi="Book Antiqua"/>
          <w:color w:val="auto"/>
          <w:sz w:val="24"/>
          <w:szCs w:val="24"/>
        </w:rPr>
        <w:t xml:space="preserve"> such as </w:t>
      </w:r>
      <w:r w:rsidRPr="00DF6D96">
        <w:rPr>
          <w:rFonts w:ascii="Book Antiqua" w:hAnsi="Book Antiqua"/>
          <w:color w:val="auto"/>
          <w:sz w:val="24"/>
          <w:szCs w:val="24"/>
        </w:rPr>
        <w:t>increased expression of mesenchymal-related marker</w:t>
      </w:r>
      <w:r w:rsidR="005C5248" w:rsidRPr="00DF6D96">
        <w:rPr>
          <w:rFonts w:ascii="Book Antiqua" w:hAnsi="Book Antiqua"/>
          <w:color w:val="auto"/>
          <w:sz w:val="24"/>
          <w:szCs w:val="24"/>
        </w:rPr>
        <w:t>s</w:t>
      </w:r>
      <w:r w:rsidRPr="00DF6D96">
        <w:rPr>
          <w:rFonts w:ascii="Book Antiqua" w:hAnsi="Book Antiqua"/>
          <w:color w:val="auto"/>
          <w:sz w:val="24"/>
          <w:szCs w:val="24"/>
        </w:rPr>
        <w:t xml:space="preserve"> </w:t>
      </w:r>
      <w:r w:rsidR="00AA14EA" w:rsidRPr="00DF6D96">
        <w:rPr>
          <w:rFonts w:ascii="Book Antiqua" w:hAnsi="Book Antiqua"/>
          <w:color w:val="auto"/>
          <w:sz w:val="24"/>
          <w:szCs w:val="24"/>
        </w:rPr>
        <w:t>(</w:t>
      </w:r>
      <w:r w:rsidRPr="00DF6D96">
        <w:rPr>
          <w:rFonts w:ascii="Book Antiqua" w:hAnsi="Book Antiqua"/>
          <w:color w:val="auto"/>
          <w:sz w:val="24"/>
          <w:szCs w:val="24"/>
        </w:rPr>
        <w:t>N-cadherin</w:t>
      </w:r>
      <w:r w:rsidR="00AA14EA" w:rsidRPr="00DF6D96">
        <w:rPr>
          <w:rFonts w:ascii="Book Antiqua" w:hAnsi="Book Antiqua"/>
          <w:color w:val="auto"/>
          <w:sz w:val="24"/>
          <w:szCs w:val="24"/>
        </w:rPr>
        <w:t>)</w:t>
      </w:r>
      <w:r w:rsidRPr="00DF6D96">
        <w:rPr>
          <w:rFonts w:ascii="Book Antiqua" w:hAnsi="Book Antiqua"/>
          <w:color w:val="auto"/>
          <w:sz w:val="24"/>
          <w:szCs w:val="24"/>
        </w:rPr>
        <w:t xml:space="preserve">, and </w:t>
      </w:r>
      <w:r w:rsidR="005C5248" w:rsidRPr="00DF6D96">
        <w:rPr>
          <w:rFonts w:ascii="Book Antiqua" w:hAnsi="Book Antiqua"/>
          <w:color w:val="auto"/>
          <w:sz w:val="24"/>
          <w:szCs w:val="24"/>
        </w:rPr>
        <w:t xml:space="preserve">reduced </w:t>
      </w:r>
      <w:r w:rsidRPr="00DF6D96">
        <w:rPr>
          <w:rFonts w:ascii="Book Antiqua" w:hAnsi="Book Antiqua"/>
          <w:color w:val="auto"/>
          <w:sz w:val="24"/>
          <w:szCs w:val="24"/>
        </w:rPr>
        <w:t xml:space="preserve">expression of epithelial-related markers </w:t>
      </w:r>
      <w:r w:rsidR="00AA14EA" w:rsidRPr="00DF6D96">
        <w:rPr>
          <w:rFonts w:ascii="Book Antiqua" w:hAnsi="Book Antiqua"/>
          <w:color w:val="auto"/>
          <w:sz w:val="24"/>
          <w:szCs w:val="24"/>
        </w:rPr>
        <w:t>(</w:t>
      </w:r>
      <w:r w:rsidRPr="00DF6D96">
        <w:rPr>
          <w:rFonts w:ascii="Book Antiqua" w:hAnsi="Book Antiqua"/>
          <w:color w:val="auto"/>
          <w:sz w:val="24"/>
          <w:szCs w:val="24"/>
        </w:rPr>
        <w:t>E-cadherin</w:t>
      </w:r>
      <w:r w:rsidR="00AA14EA" w:rsidRPr="00DF6D96">
        <w:rPr>
          <w:rFonts w:ascii="Book Antiqua" w:hAnsi="Book Antiqua"/>
          <w:color w:val="auto"/>
          <w:sz w:val="24"/>
          <w:szCs w:val="24"/>
        </w:rPr>
        <w:t>)</w:t>
      </w:r>
      <w:r w:rsidRPr="00DF6D96">
        <w:rPr>
          <w:rFonts w:ascii="Book Antiqua" w:hAnsi="Book Antiqua"/>
          <w:color w:val="auto"/>
          <w:sz w:val="24"/>
          <w:szCs w:val="24"/>
          <w:vertAlign w:val="superscript"/>
        </w:rPr>
        <w:t>[</w:t>
      </w:r>
      <w:r w:rsidR="008C69FB" w:rsidRPr="00DF6D96">
        <w:rPr>
          <w:rFonts w:ascii="Book Antiqua" w:hAnsi="Book Antiqua"/>
          <w:color w:val="auto"/>
          <w:sz w:val="24"/>
          <w:szCs w:val="24"/>
          <w:vertAlign w:val="superscript"/>
        </w:rPr>
        <w:t>28</w:t>
      </w:r>
      <w:r w:rsidRPr="00DF6D96">
        <w:rPr>
          <w:rFonts w:ascii="Book Antiqua" w:hAnsi="Book Antiqua"/>
          <w:color w:val="auto"/>
          <w:sz w:val="24"/>
          <w:szCs w:val="24"/>
          <w:vertAlign w:val="superscript"/>
        </w:rPr>
        <w:t>]</w:t>
      </w:r>
      <w:r w:rsidRPr="00DF6D96">
        <w:rPr>
          <w:rFonts w:ascii="Book Antiqua" w:hAnsi="Book Antiqua"/>
          <w:color w:val="auto"/>
          <w:sz w:val="24"/>
          <w:szCs w:val="24"/>
        </w:rPr>
        <w:t>. It is reported that the function of PAR2 is mediated by activating mitogen-activated protein kin</w:t>
      </w:r>
      <w:r w:rsidR="00EC01EB">
        <w:rPr>
          <w:rFonts w:ascii="Book Antiqua" w:hAnsi="Book Antiqua"/>
          <w:color w:val="auto"/>
          <w:sz w:val="24"/>
          <w:szCs w:val="24"/>
        </w:rPr>
        <w:t>ase (MAPK) proteins such as ERK</w:t>
      </w:r>
      <w:r w:rsidRPr="00DF6D96">
        <w:rPr>
          <w:rFonts w:ascii="Book Antiqua" w:hAnsi="Book Antiqua"/>
          <w:color w:val="auto"/>
          <w:sz w:val="24"/>
          <w:szCs w:val="24"/>
          <w:vertAlign w:val="superscript"/>
        </w:rPr>
        <w:t>[</w:t>
      </w:r>
      <w:hyperlink w:anchor="_19c6y18">
        <w:r w:rsidRPr="00DF6D96">
          <w:rPr>
            <w:rFonts w:ascii="Book Antiqua" w:hAnsi="Book Antiqua"/>
            <w:color w:val="auto"/>
            <w:sz w:val="24"/>
            <w:szCs w:val="24"/>
            <w:vertAlign w:val="superscript"/>
          </w:rPr>
          <w:t>16</w:t>
        </w:r>
      </w:hyperlink>
      <w:r w:rsidRPr="00DF6D96">
        <w:rPr>
          <w:rFonts w:ascii="Book Antiqua" w:hAnsi="Book Antiqua"/>
          <w:color w:val="auto"/>
          <w:sz w:val="24"/>
          <w:szCs w:val="24"/>
          <w:vertAlign w:val="superscript"/>
        </w:rPr>
        <w:t>]</w:t>
      </w:r>
      <w:r w:rsidR="00C35D84" w:rsidRPr="00DF6D96">
        <w:rPr>
          <w:rFonts w:ascii="Book Antiqua" w:hAnsi="Book Antiqua"/>
          <w:color w:val="auto"/>
          <w:sz w:val="24"/>
          <w:szCs w:val="24"/>
        </w:rPr>
        <w:t>;</w:t>
      </w:r>
      <w:r w:rsidRPr="00DF6D96">
        <w:rPr>
          <w:rFonts w:ascii="Book Antiqua" w:hAnsi="Book Antiqua"/>
          <w:color w:val="auto"/>
          <w:sz w:val="24"/>
          <w:szCs w:val="24"/>
        </w:rPr>
        <w:t xml:space="preserve"> </w:t>
      </w:r>
      <w:r w:rsidR="00C35D84" w:rsidRPr="00DF6D96">
        <w:rPr>
          <w:rFonts w:ascii="Book Antiqua" w:hAnsi="Book Antiqua"/>
          <w:color w:val="auto"/>
          <w:sz w:val="24"/>
          <w:szCs w:val="24"/>
        </w:rPr>
        <w:t xml:space="preserve">ERK activation by PAR2 </w:t>
      </w:r>
      <w:r w:rsidRPr="00DF6D96">
        <w:rPr>
          <w:rFonts w:ascii="Book Antiqua" w:hAnsi="Book Antiqua"/>
          <w:color w:val="auto"/>
          <w:sz w:val="24"/>
          <w:szCs w:val="24"/>
        </w:rPr>
        <w:t xml:space="preserve">was verified in </w:t>
      </w:r>
      <w:r w:rsidR="00C35D84" w:rsidRPr="00DF6D96">
        <w:rPr>
          <w:rFonts w:ascii="Book Antiqua" w:hAnsi="Book Antiqua"/>
          <w:color w:val="auto"/>
          <w:sz w:val="24"/>
          <w:szCs w:val="24"/>
        </w:rPr>
        <w:t xml:space="preserve">this </w:t>
      </w:r>
      <w:r w:rsidRPr="00DF6D96">
        <w:rPr>
          <w:rFonts w:ascii="Book Antiqua" w:hAnsi="Book Antiqua"/>
          <w:color w:val="auto"/>
          <w:sz w:val="24"/>
          <w:szCs w:val="24"/>
        </w:rPr>
        <w:t xml:space="preserve">study. Interestingly, it is reported that activated ERK </w:t>
      </w:r>
      <w:r w:rsidR="00C35D84" w:rsidRPr="00DF6D96">
        <w:rPr>
          <w:rFonts w:ascii="Book Antiqua" w:hAnsi="Book Antiqua"/>
          <w:color w:val="auto"/>
          <w:sz w:val="24"/>
          <w:szCs w:val="24"/>
        </w:rPr>
        <w:t xml:space="preserve">can </w:t>
      </w:r>
      <w:r w:rsidRPr="00DF6D96">
        <w:rPr>
          <w:rFonts w:ascii="Book Antiqua" w:hAnsi="Book Antiqua"/>
          <w:color w:val="auto"/>
          <w:sz w:val="24"/>
          <w:szCs w:val="24"/>
        </w:rPr>
        <w:t>induc</w:t>
      </w:r>
      <w:r w:rsidR="00C35D84" w:rsidRPr="00DF6D96">
        <w:rPr>
          <w:rFonts w:ascii="Book Antiqua" w:hAnsi="Book Antiqua"/>
          <w:color w:val="auto"/>
          <w:sz w:val="24"/>
          <w:szCs w:val="24"/>
        </w:rPr>
        <w:t>e</w:t>
      </w:r>
      <w:r w:rsidRPr="00DF6D96">
        <w:rPr>
          <w:rFonts w:ascii="Book Antiqua" w:hAnsi="Book Antiqua"/>
          <w:color w:val="auto"/>
          <w:sz w:val="24"/>
          <w:szCs w:val="24"/>
        </w:rPr>
        <w:t xml:space="preserve"> EMT</w:t>
      </w:r>
      <w:r w:rsidR="00090B91" w:rsidRPr="00DF6D96">
        <w:rPr>
          <w:rFonts w:ascii="Book Antiqua" w:hAnsi="Book Antiqua"/>
          <w:color w:val="auto"/>
          <w:sz w:val="24"/>
          <w:szCs w:val="24"/>
        </w:rPr>
        <w:t xml:space="preserve"> </w:t>
      </w:r>
      <w:r w:rsidR="00090B91" w:rsidRPr="00DF6D96">
        <w:rPr>
          <w:rFonts w:ascii="Book Antiqua" w:hAnsi="Book Antiqua"/>
          <w:color w:val="auto"/>
          <w:sz w:val="24"/>
          <w:szCs w:val="24"/>
          <w:lang w:eastAsia="zh-CN"/>
        </w:rPr>
        <w:t xml:space="preserve">through </w:t>
      </w:r>
      <w:r w:rsidR="00090B91" w:rsidRPr="00DF6D96">
        <w:rPr>
          <w:rFonts w:ascii="Book Antiqua" w:hAnsi="Book Antiqua"/>
          <w:color w:val="auto"/>
          <w:sz w:val="24"/>
          <w:szCs w:val="24"/>
        </w:rPr>
        <w:t xml:space="preserve">EGR-1, </w:t>
      </w:r>
      <w:r w:rsidR="00090B91" w:rsidRPr="00DF6D96">
        <w:rPr>
          <w:rFonts w:ascii="Book Antiqua" w:hAnsi="Book Antiqua"/>
          <w:color w:val="auto"/>
          <w:sz w:val="24"/>
          <w:szCs w:val="24"/>
          <w:lang w:eastAsia="zh-CN"/>
        </w:rPr>
        <w:t>Snail</w:t>
      </w:r>
      <w:r w:rsidRPr="00DF6D96">
        <w:rPr>
          <w:rFonts w:ascii="Book Antiqua" w:hAnsi="Book Antiqua"/>
          <w:color w:val="auto"/>
          <w:sz w:val="24"/>
          <w:szCs w:val="24"/>
          <w:vertAlign w:val="superscript"/>
        </w:rPr>
        <w:t>[</w:t>
      </w:r>
      <w:r w:rsidR="008C69FB" w:rsidRPr="00DF6D96">
        <w:rPr>
          <w:rFonts w:ascii="Book Antiqua" w:hAnsi="Book Antiqua"/>
          <w:color w:val="auto"/>
          <w:sz w:val="24"/>
          <w:szCs w:val="24"/>
          <w:vertAlign w:val="superscript"/>
        </w:rPr>
        <w:t>28</w:t>
      </w:r>
      <w:r w:rsidRPr="00DF6D96">
        <w:rPr>
          <w:rFonts w:ascii="Book Antiqua" w:hAnsi="Book Antiqua"/>
          <w:color w:val="auto"/>
          <w:sz w:val="24"/>
          <w:szCs w:val="24"/>
          <w:vertAlign w:val="superscript"/>
        </w:rPr>
        <w:t>,</w:t>
      </w:r>
      <w:r w:rsidR="008C69FB" w:rsidRPr="00DF6D96">
        <w:rPr>
          <w:rFonts w:ascii="Book Antiqua" w:hAnsi="Book Antiqua"/>
          <w:color w:val="auto"/>
          <w:sz w:val="24"/>
          <w:szCs w:val="24"/>
          <w:vertAlign w:val="superscript"/>
        </w:rPr>
        <w:t>29</w:t>
      </w:r>
      <w:r w:rsidRPr="00DF6D96">
        <w:rPr>
          <w:rFonts w:ascii="Book Antiqua" w:hAnsi="Book Antiqua"/>
          <w:color w:val="auto"/>
          <w:sz w:val="24"/>
          <w:szCs w:val="24"/>
          <w:vertAlign w:val="superscript"/>
        </w:rPr>
        <w:t>]</w:t>
      </w:r>
      <w:r w:rsidRPr="00DF6D96">
        <w:rPr>
          <w:rFonts w:ascii="Book Antiqua" w:hAnsi="Book Antiqua"/>
          <w:color w:val="auto"/>
          <w:sz w:val="24"/>
          <w:szCs w:val="24"/>
        </w:rPr>
        <w:t xml:space="preserve">, so the expression levels of </w:t>
      </w:r>
      <w:r w:rsidR="00A13B41" w:rsidRPr="00DF6D96">
        <w:rPr>
          <w:rFonts w:ascii="Book Antiqua" w:hAnsi="Book Antiqua"/>
          <w:color w:val="auto"/>
          <w:sz w:val="24"/>
          <w:szCs w:val="24"/>
        </w:rPr>
        <w:t xml:space="preserve">EGR-1, </w:t>
      </w:r>
      <w:r w:rsidR="00A13B41" w:rsidRPr="00DF6D96">
        <w:rPr>
          <w:rFonts w:ascii="Book Antiqua" w:hAnsi="Book Antiqua"/>
          <w:color w:val="auto"/>
          <w:sz w:val="24"/>
          <w:szCs w:val="24"/>
          <w:lang w:eastAsia="zh-CN"/>
        </w:rPr>
        <w:t>Snail,</w:t>
      </w:r>
      <w:r w:rsidR="00A13B41" w:rsidRPr="00DF6D96">
        <w:rPr>
          <w:rFonts w:ascii="Book Antiqua" w:hAnsi="Book Antiqua"/>
          <w:color w:val="auto"/>
          <w:sz w:val="24"/>
          <w:szCs w:val="24"/>
        </w:rPr>
        <w:t xml:space="preserve"> </w:t>
      </w:r>
      <w:r w:rsidRPr="00DF6D96">
        <w:rPr>
          <w:rFonts w:ascii="Book Antiqua" w:hAnsi="Book Antiqua"/>
          <w:color w:val="auto"/>
          <w:sz w:val="24"/>
          <w:szCs w:val="24"/>
        </w:rPr>
        <w:t xml:space="preserve">E-cadherin and N-cadherin were monitored through </w:t>
      </w:r>
      <w:r w:rsidR="00C35D84" w:rsidRPr="00DF6D96">
        <w:rPr>
          <w:rFonts w:ascii="Book Antiqua" w:hAnsi="Book Antiqua"/>
          <w:color w:val="auto"/>
          <w:sz w:val="24"/>
          <w:szCs w:val="24"/>
        </w:rPr>
        <w:t>immuno</w:t>
      </w:r>
      <w:r w:rsidRPr="00DF6D96">
        <w:rPr>
          <w:rFonts w:ascii="Book Antiqua" w:hAnsi="Book Antiqua"/>
          <w:color w:val="auto"/>
          <w:sz w:val="24"/>
          <w:szCs w:val="24"/>
        </w:rPr>
        <w:t xml:space="preserve">blot in HepG2 and SMMC-7721 cells. </w:t>
      </w:r>
      <w:r w:rsidR="006A6F36" w:rsidRPr="00DF6D96">
        <w:rPr>
          <w:rFonts w:ascii="Book Antiqua" w:hAnsi="Book Antiqua"/>
          <w:color w:val="auto"/>
          <w:sz w:val="24"/>
          <w:szCs w:val="24"/>
        </w:rPr>
        <w:t>K</w:t>
      </w:r>
      <w:r w:rsidRPr="00DF6D96">
        <w:rPr>
          <w:rFonts w:ascii="Book Antiqua" w:hAnsi="Book Antiqua"/>
          <w:color w:val="auto"/>
          <w:sz w:val="24"/>
          <w:szCs w:val="24"/>
        </w:rPr>
        <w:t>nocking down PAR2</w:t>
      </w:r>
      <w:r w:rsidR="006A6F36" w:rsidRPr="00DF6D96">
        <w:rPr>
          <w:rFonts w:ascii="Book Antiqua" w:hAnsi="Book Antiqua"/>
          <w:color w:val="auto"/>
          <w:sz w:val="24"/>
          <w:szCs w:val="24"/>
        </w:rPr>
        <w:t xml:space="preserve"> resulted in higher</w:t>
      </w:r>
      <w:r w:rsidRPr="00DF6D96">
        <w:rPr>
          <w:rFonts w:ascii="Book Antiqua" w:hAnsi="Book Antiqua"/>
          <w:color w:val="auto"/>
          <w:sz w:val="24"/>
          <w:szCs w:val="24"/>
        </w:rPr>
        <w:t xml:space="preserve"> level</w:t>
      </w:r>
      <w:r w:rsidR="006A6F36" w:rsidRPr="00DF6D96">
        <w:rPr>
          <w:rFonts w:ascii="Book Antiqua" w:hAnsi="Book Antiqua"/>
          <w:color w:val="auto"/>
          <w:sz w:val="24"/>
          <w:szCs w:val="24"/>
        </w:rPr>
        <w:t>s</w:t>
      </w:r>
      <w:r w:rsidRPr="00DF6D96">
        <w:rPr>
          <w:rFonts w:ascii="Book Antiqua" w:hAnsi="Book Antiqua"/>
          <w:color w:val="auto"/>
          <w:sz w:val="24"/>
          <w:szCs w:val="24"/>
        </w:rPr>
        <w:t xml:space="preserve"> of E-cadherin and </w:t>
      </w:r>
      <w:r w:rsidR="006A6F36" w:rsidRPr="00DF6D96">
        <w:rPr>
          <w:rFonts w:ascii="Book Antiqua" w:hAnsi="Book Antiqua"/>
          <w:color w:val="auto"/>
          <w:sz w:val="24"/>
          <w:szCs w:val="24"/>
        </w:rPr>
        <w:t xml:space="preserve">lower levels of </w:t>
      </w:r>
      <w:r w:rsidRPr="00DF6D96">
        <w:rPr>
          <w:rFonts w:ascii="Book Antiqua" w:hAnsi="Book Antiqua"/>
          <w:color w:val="auto"/>
          <w:sz w:val="24"/>
          <w:szCs w:val="24"/>
        </w:rPr>
        <w:t>N-cadherin, while overexpressing PAR2</w:t>
      </w:r>
      <w:r w:rsidR="006A6F36" w:rsidRPr="00DF6D96">
        <w:rPr>
          <w:rFonts w:ascii="Book Antiqua" w:hAnsi="Book Antiqua"/>
          <w:color w:val="auto"/>
          <w:sz w:val="24"/>
          <w:szCs w:val="24"/>
        </w:rPr>
        <w:t xml:space="preserve"> reduced </w:t>
      </w:r>
      <w:r w:rsidRPr="00DF6D96">
        <w:rPr>
          <w:rFonts w:ascii="Book Antiqua" w:hAnsi="Book Antiqua"/>
          <w:color w:val="auto"/>
          <w:sz w:val="24"/>
          <w:szCs w:val="24"/>
        </w:rPr>
        <w:t>the level</w:t>
      </w:r>
      <w:r w:rsidR="006A6F36" w:rsidRPr="00DF6D96">
        <w:rPr>
          <w:rFonts w:ascii="Book Antiqua" w:hAnsi="Book Antiqua"/>
          <w:color w:val="auto"/>
          <w:sz w:val="24"/>
          <w:szCs w:val="24"/>
        </w:rPr>
        <w:t>s</w:t>
      </w:r>
      <w:r w:rsidRPr="00DF6D96">
        <w:rPr>
          <w:rFonts w:ascii="Book Antiqua" w:hAnsi="Book Antiqua"/>
          <w:color w:val="auto"/>
          <w:sz w:val="24"/>
          <w:szCs w:val="24"/>
        </w:rPr>
        <w:t xml:space="preserve"> of </w:t>
      </w:r>
      <w:r w:rsidRPr="00DF6D96">
        <w:rPr>
          <w:rFonts w:ascii="Book Antiqua" w:hAnsi="Book Antiqua"/>
          <w:color w:val="auto"/>
          <w:sz w:val="24"/>
          <w:szCs w:val="24"/>
        </w:rPr>
        <w:lastRenderedPageBreak/>
        <w:t xml:space="preserve">E-cadherin </w:t>
      </w:r>
      <w:r w:rsidR="006A6F36" w:rsidRPr="00DF6D96">
        <w:rPr>
          <w:rFonts w:ascii="Book Antiqua" w:hAnsi="Book Antiqua"/>
          <w:color w:val="auto"/>
          <w:sz w:val="24"/>
          <w:szCs w:val="24"/>
        </w:rPr>
        <w:t xml:space="preserve">and increased the levels of </w:t>
      </w:r>
      <w:r w:rsidRPr="00DF6D96">
        <w:rPr>
          <w:rFonts w:ascii="Book Antiqua" w:hAnsi="Book Antiqua"/>
          <w:color w:val="auto"/>
          <w:sz w:val="24"/>
          <w:szCs w:val="24"/>
        </w:rPr>
        <w:t xml:space="preserve">N-cadherin. This implies that PAR2 </w:t>
      </w:r>
      <w:r w:rsidR="00C35D84" w:rsidRPr="00DF6D96">
        <w:rPr>
          <w:rFonts w:ascii="Book Antiqua" w:hAnsi="Book Antiqua"/>
          <w:color w:val="auto"/>
          <w:sz w:val="24"/>
          <w:szCs w:val="24"/>
        </w:rPr>
        <w:t xml:space="preserve">can </w:t>
      </w:r>
      <w:r w:rsidRPr="00DF6D96">
        <w:rPr>
          <w:rFonts w:ascii="Book Antiqua" w:hAnsi="Book Antiqua"/>
          <w:color w:val="auto"/>
          <w:sz w:val="24"/>
          <w:szCs w:val="24"/>
        </w:rPr>
        <w:t>promote EMT in HCC cells through activating ERK, at least in part.</w:t>
      </w:r>
      <w:r w:rsidR="00805E4B" w:rsidRPr="00DF6D96">
        <w:rPr>
          <w:rFonts w:ascii="Book Antiqua" w:hAnsi="Book Antiqua"/>
          <w:color w:val="auto"/>
          <w:sz w:val="24"/>
          <w:szCs w:val="24"/>
        </w:rPr>
        <w:t xml:space="preserve"> </w:t>
      </w:r>
      <w:r w:rsidR="005A3A80" w:rsidRPr="00DF6D96">
        <w:rPr>
          <w:rFonts w:ascii="Book Antiqua" w:hAnsi="Book Antiqua"/>
          <w:color w:val="auto"/>
          <w:sz w:val="24"/>
          <w:szCs w:val="24"/>
        </w:rPr>
        <w:t>A</w:t>
      </w:r>
      <w:r w:rsidR="005A3A80" w:rsidRPr="00DF6D96">
        <w:rPr>
          <w:rFonts w:ascii="Book Antiqua" w:hAnsi="Book Antiqua"/>
          <w:color w:val="auto"/>
          <w:sz w:val="24"/>
          <w:szCs w:val="24"/>
          <w:lang w:eastAsia="zh-CN"/>
        </w:rPr>
        <w:t xml:space="preserve">s we all know, PAR2 was activated </w:t>
      </w:r>
      <w:r w:rsidR="005A3A80" w:rsidRPr="00DF6D96">
        <w:rPr>
          <w:rFonts w:ascii="Book Antiqua" w:hAnsi="Book Antiqua"/>
          <w:color w:val="auto"/>
          <w:sz w:val="24"/>
          <w:szCs w:val="24"/>
        </w:rPr>
        <w:t>via its N-terminal cleavage by several proteases</w:t>
      </w:r>
      <w:r w:rsidR="000F782C" w:rsidRPr="00DF6D96">
        <w:rPr>
          <w:rFonts w:ascii="Book Antiqua" w:hAnsi="Book Antiqua"/>
          <w:color w:val="auto"/>
          <w:sz w:val="24"/>
          <w:szCs w:val="24"/>
        </w:rPr>
        <w:t xml:space="preserve"> such as serine proteases </w:t>
      </w:r>
      <w:r w:rsidR="000F782C" w:rsidRPr="00DF6D96">
        <w:rPr>
          <w:rFonts w:ascii="Book Antiqua" w:hAnsi="Book Antiqua"/>
          <w:color w:val="auto"/>
          <w:sz w:val="24"/>
          <w:szCs w:val="24"/>
          <w:vertAlign w:val="superscript"/>
        </w:rPr>
        <w:t>[34]</w:t>
      </w:r>
      <w:r w:rsidR="005A3A80" w:rsidRPr="00DF6D96">
        <w:rPr>
          <w:rFonts w:ascii="Book Antiqua" w:hAnsi="Book Antiqua"/>
          <w:color w:val="auto"/>
          <w:sz w:val="24"/>
          <w:szCs w:val="24"/>
        </w:rPr>
        <w:t xml:space="preserve">, but which protease is responsible for PAR2 </w:t>
      </w:r>
      <w:r w:rsidR="005A3A80" w:rsidRPr="00DF6D96">
        <w:rPr>
          <w:rFonts w:ascii="Book Antiqua" w:hAnsi="Book Antiqua"/>
          <w:color w:val="auto"/>
          <w:sz w:val="24"/>
          <w:szCs w:val="24"/>
          <w:lang w:eastAsia="zh-CN"/>
        </w:rPr>
        <w:t xml:space="preserve">activation in HCC is still not clear. This </w:t>
      </w:r>
      <w:r w:rsidR="000F782C" w:rsidRPr="00DF6D96">
        <w:rPr>
          <w:rFonts w:ascii="Book Antiqua" w:hAnsi="Book Antiqua"/>
          <w:color w:val="auto"/>
          <w:sz w:val="24"/>
          <w:szCs w:val="24"/>
          <w:lang w:eastAsia="zh-CN"/>
        </w:rPr>
        <w:t xml:space="preserve">is a very interesting direction in the following study. </w:t>
      </w:r>
      <w:r w:rsidR="00805E4B" w:rsidRPr="00DF6D96">
        <w:rPr>
          <w:rFonts w:ascii="Book Antiqua" w:hAnsi="Book Antiqua"/>
          <w:color w:val="auto"/>
          <w:sz w:val="24"/>
          <w:szCs w:val="24"/>
        </w:rPr>
        <w:t>R</w:t>
      </w:r>
      <w:r w:rsidR="00805E4B" w:rsidRPr="00DF6D96">
        <w:rPr>
          <w:rFonts w:ascii="Book Antiqua" w:hAnsi="Book Antiqua"/>
          <w:color w:val="auto"/>
          <w:sz w:val="24"/>
          <w:szCs w:val="24"/>
          <w:lang w:eastAsia="zh-CN"/>
        </w:rPr>
        <w:t>ecently, some growth factors such as HGF were reported to be responsible for EMT in HCC. If HGF participated in PAR2 induced EMT</w:t>
      </w:r>
      <w:r w:rsidR="00502913" w:rsidRPr="00DF6D96">
        <w:rPr>
          <w:rFonts w:ascii="Book Antiqua" w:hAnsi="Book Antiqua"/>
          <w:color w:val="auto"/>
          <w:sz w:val="24"/>
          <w:szCs w:val="24"/>
          <w:lang w:eastAsia="zh-CN"/>
        </w:rPr>
        <w:t xml:space="preserve"> could be further i</w:t>
      </w:r>
      <w:r w:rsidR="00EC01EB">
        <w:rPr>
          <w:rFonts w:ascii="Book Antiqua" w:hAnsi="Book Antiqua"/>
          <w:color w:val="auto"/>
          <w:sz w:val="24"/>
          <w:szCs w:val="24"/>
          <w:lang w:eastAsia="zh-CN"/>
        </w:rPr>
        <w:t>nvestigated based on this study</w:t>
      </w:r>
      <w:r w:rsidR="00502913" w:rsidRPr="00DF6D96">
        <w:rPr>
          <w:rFonts w:ascii="Book Antiqua" w:hAnsi="Book Antiqua"/>
          <w:color w:val="auto"/>
          <w:sz w:val="24"/>
          <w:szCs w:val="24"/>
          <w:vertAlign w:val="superscript"/>
        </w:rPr>
        <w:t>[</w:t>
      </w:r>
      <w:r w:rsidR="00407746" w:rsidRPr="00DF6D96">
        <w:rPr>
          <w:rFonts w:ascii="Book Antiqua" w:hAnsi="Book Antiqua"/>
          <w:color w:val="auto"/>
          <w:sz w:val="24"/>
          <w:szCs w:val="24"/>
          <w:vertAlign w:val="superscript"/>
        </w:rPr>
        <w:t>27,</w:t>
      </w:r>
      <w:r w:rsidR="00502913" w:rsidRPr="00DF6D96">
        <w:rPr>
          <w:rFonts w:ascii="Book Antiqua" w:hAnsi="Book Antiqua"/>
          <w:color w:val="auto"/>
          <w:sz w:val="24"/>
          <w:szCs w:val="24"/>
          <w:vertAlign w:val="superscript"/>
        </w:rPr>
        <w:t>3</w:t>
      </w:r>
      <w:r w:rsidR="000F782C" w:rsidRPr="00DF6D96">
        <w:rPr>
          <w:rFonts w:ascii="Book Antiqua" w:hAnsi="Book Antiqua"/>
          <w:color w:val="auto"/>
          <w:sz w:val="24"/>
          <w:szCs w:val="24"/>
          <w:vertAlign w:val="superscript"/>
        </w:rPr>
        <w:t>5</w:t>
      </w:r>
      <w:r w:rsidR="00502913" w:rsidRPr="00DF6D96">
        <w:rPr>
          <w:rFonts w:ascii="Book Antiqua" w:hAnsi="Book Antiqua"/>
          <w:color w:val="auto"/>
          <w:sz w:val="24"/>
          <w:szCs w:val="24"/>
          <w:vertAlign w:val="superscript"/>
        </w:rPr>
        <w:t>]</w:t>
      </w:r>
      <w:r w:rsidR="00502913" w:rsidRPr="00DF6D96">
        <w:rPr>
          <w:rFonts w:ascii="Book Antiqua" w:hAnsi="Book Antiqua"/>
          <w:color w:val="auto"/>
          <w:sz w:val="24"/>
          <w:szCs w:val="24"/>
          <w:lang w:eastAsia="zh-CN"/>
        </w:rPr>
        <w:t>.</w:t>
      </w:r>
    </w:p>
    <w:p w14:paraId="4D8085F9" w14:textId="5F70C866" w:rsidR="00C35D84" w:rsidRDefault="007C5683" w:rsidP="0030419F">
      <w:pPr>
        <w:pStyle w:val="1"/>
        <w:adjustRightInd w:val="0"/>
        <w:snapToGrid w:val="0"/>
        <w:spacing w:line="360" w:lineRule="auto"/>
        <w:ind w:firstLineChars="100" w:firstLine="240"/>
        <w:rPr>
          <w:rFonts w:ascii="Book Antiqua" w:hAnsi="Book Antiqua"/>
          <w:color w:val="auto"/>
          <w:sz w:val="24"/>
          <w:szCs w:val="24"/>
          <w:lang w:eastAsia="zh-CN"/>
        </w:rPr>
      </w:pPr>
      <w:r w:rsidRPr="00DF6D96">
        <w:rPr>
          <w:rFonts w:ascii="Book Antiqua" w:hAnsi="Book Antiqua"/>
          <w:color w:val="auto"/>
          <w:sz w:val="24"/>
          <w:szCs w:val="24"/>
        </w:rPr>
        <w:t xml:space="preserve">Collectively, </w:t>
      </w:r>
      <w:r w:rsidR="00C35D84" w:rsidRPr="00DF6D96">
        <w:rPr>
          <w:rFonts w:ascii="Book Antiqua" w:hAnsi="Book Antiqua"/>
          <w:color w:val="auto"/>
          <w:sz w:val="24"/>
          <w:szCs w:val="24"/>
        </w:rPr>
        <w:t xml:space="preserve">this </w:t>
      </w:r>
      <w:r w:rsidRPr="00DF6D96">
        <w:rPr>
          <w:rFonts w:ascii="Book Antiqua" w:hAnsi="Book Antiqua"/>
          <w:color w:val="auto"/>
          <w:sz w:val="24"/>
          <w:szCs w:val="24"/>
        </w:rPr>
        <w:t xml:space="preserve">study comprehensively investigated the role of PAR2 in HCC progression </w:t>
      </w:r>
      <w:r w:rsidR="00C35D84" w:rsidRPr="00DF6D96">
        <w:rPr>
          <w:rFonts w:ascii="Book Antiqua" w:hAnsi="Book Antiqua"/>
          <w:i/>
          <w:color w:val="auto"/>
          <w:sz w:val="24"/>
          <w:szCs w:val="24"/>
        </w:rPr>
        <w:t>in vitro</w:t>
      </w:r>
      <w:r w:rsidRPr="00DF6D96">
        <w:rPr>
          <w:rFonts w:ascii="Book Antiqua" w:hAnsi="Book Antiqua"/>
          <w:color w:val="auto"/>
          <w:sz w:val="24"/>
          <w:szCs w:val="24"/>
        </w:rPr>
        <w:t xml:space="preserve">, </w:t>
      </w:r>
      <w:r w:rsidR="00C35D84" w:rsidRPr="00DF6D96">
        <w:rPr>
          <w:rFonts w:ascii="Book Antiqua" w:hAnsi="Book Antiqua"/>
          <w:i/>
          <w:color w:val="auto"/>
          <w:sz w:val="24"/>
          <w:szCs w:val="24"/>
        </w:rPr>
        <w:t>in vivo,</w:t>
      </w:r>
      <w:r w:rsidRPr="00DF6D96">
        <w:rPr>
          <w:rFonts w:ascii="Book Antiqua" w:hAnsi="Book Antiqua"/>
          <w:color w:val="auto"/>
          <w:sz w:val="24"/>
          <w:szCs w:val="24"/>
        </w:rPr>
        <w:t xml:space="preserve"> and in clinical samples for the first time. PAR2 could promote HCC cell proliferation, invasion, and migration by activating ERK and thus inducing EMT. These findings highlight the potential role of PAR2 in directing the diagnosis, treatment, and prognosis of HCC.</w:t>
      </w:r>
    </w:p>
    <w:p w14:paraId="71555397" w14:textId="77777777" w:rsidR="00823641" w:rsidRDefault="00823641" w:rsidP="0030419F">
      <w:pPr>
        <w:pStyle w:val="1"/>
        <w:adjustRightInd w:val="0"/>
        <w:snapToGrid w:val="0"/>
        <w:spacing w:line="360" w:lineRule="auto"/>
        <w:ind w:firstLineChars="100" w:firstLine="240"/>
        <w:rPr>
          <w:rFonts w:ascii="Book Antiqua" w:hAnsi="Book Antiqua"/>
          <w:color w:val="auto"/>
          <w:sz w:val="24"/>
          <w:szCs w:val="24"/>
          <w:lang w:eastAsia="zh-CN"/>
        </w:rPr>
      </w:pPr>
    </w:p>
    <w:p w14:paraId="63062117" w14:textId="0A75B929" w:rsidR="00823641" w:rsidRDefault="00562C27" w:rsidP="0030419F">
      <w:pPr>
        <w:adjustRightInd w:val="0"/>
        <w:snapToGrid w:val="0"/>
        <w:spacing w:line="360" w:lineRule="auto"/>
        <w:rPr>
          <w:rFonts w:ascii="Book Antiqua" w:hAnsi="Book Antiqua"/>
          <w:b/>
          <w:sz w:val="24"/>
          <w:szCs w:val="24"/>
          <w:lang w:eastAsia="zh-CN"/>
        </w:rPr>
      </w:pPr>
      <w:r>
        <w:rPr>
          <w:rFonts w:ascii="Book Antiqua" w:hAnsi="Book Antiqua"/>
          <w:b/>
          <w:sz w:val="24"/>
          <w:szCs w:val="24"/>
        </w:rPr>
        <w:t>ARTICLE HIGHLIGHTS</w:t>
      </w:r>
    </w:p>
    <w:p w14:paraId="7D3054BB" w14:textId="77777777" w:rsidR="00823641" w:rsidRPr="008B3E13" w:rsidRDefault="00823641" w:rsidP="0030419F">
      <w:pPr>
        <w:adjustRightInd w:val="0"/>
        <w:snapToGrid w:val="0"/>
        <w:spacing w:line="360" w:lineRule="auto"/>
        <w:rPr>
          <w:rFonts w:ascii="Book Antiqua" w:hAnsi="Book Antiqua"/>
          <w:b/>
          <w:i/>
          <w:sz w:val="24"/>
          <w:szCs w:val="24"/>
        </w:rPr>
      </w:pPr>
      <w:r w:rsidRPr="008B3E13">
        <w:rPr>
          <w:rFonts w:ascii="Book Antiqua" w:hAnsi="Book Antiqua"/>
          <w:b/>
          <w:i/>
          <w:sz w:val="24"/>
          <w:szCs w:val="24"/>
        </w:rPr>
        <w:t>Research background</w:t>
      </w:r>
    </w:p>
    <w:p w14:paraId="422F80EB" w14:textId="4ED9EE5F" w:rsidR="00823641" w:rsidRDefault="008B3E13" w:rsidP="0030419F">
      <w:pPr>
        <w:adjustRightInd w:val="0"/>
        <w:snapToGrid w:val="0"/>
        <w:spacing w:line="360" w:lineRule="auto"/>
        <w:rPr>
          <w:rFonts w:ascii="Book Antiqua" w:hAnsi="Book Antiqua"/>
          <w:sz w:val="24"/>
          <w:szCs w:val="24"/>
          <w:lang w:eastAsia="zh-CN"/>
        </w:rPr>
      </w:pPr>
      <w:r>
        <w:rPr>
          <w:rFonts w:ascii="Book Antiqua" w:hAnsi="Book Antiqua"/>
          <w:color w:val="auto"/>
          <w:sz w:val="24"/>
          <w:szCs w:val="24"/>
          <w:lang w:eastAsia="zh-CN"/>
        </w:rPr>
        <w:t>H</w:t>
      </w:r>
      <w:r w:rsidRPr="00DF6D96">
        <w:rPr>
          <w:rFonts w:ascii="Book Antiqua" w:hAnsi="Book Antiqua"/>
          <w:color w:val="auto"/>
          <w:sz w:val="24"/>
          <w:szCs w:val="24"/>
        </w:rPr>
        <w:t>epatocellular carcinoma</w:t>
      </w:r>
      <w:r w:rsidRPr="008B3E13">
        <w:rPr>
          <w:rFonts w:ascii="Book Antiqua" w:hAnsi="Book Antiqua"/>
          <w:sz w:val="24"/>
          <w:szCs w:val="24"/>
        </w:rPr>
        <w:t xml:space="preserve"> </w:t>
      </w:r>
      <w:r>
        <w:rPr>
          <w:rFonts w:ascii="Book Antiqua" w:hAnsi="Book Antiqua" w:hint="eastAsia"/>
          <w:sz w:val="24"/>
          <w:szCs w:val="24"/>
          <w:lang w:eastAsia="zh-CN"/>
        </w:rPr>
        <w:t>(</w:t>
      </w:r>
      <w:r w:rsidR="00C36082" w:rsidRPr="008B3E13">
        <w:rPr>
          <w:rFonts w:ascii="Book Antiqua" w:hAnsi="Book Antiqua"/>
          <w:sz w:val="24"/>
          <w:szCs w:val="24"/>
        </w:rPr>
        <w:t>HCC</w:t>
      </w:r>
      <w:r>
        <w:rPr>
          <w:rFonts w:ascii="Book Antiqua" w:hAnsi="Book Antiqua" w:hint="eastAsia"/>
          <w:sz w:val="24"/>
          <w:szCs w:val="24"/>
          <w:lang w:eastAsia="zh-CN"/>
        </w:rPr>
        <w:t>)</w:t>
      </w:r>
      <w:r w:rsidR="00C36082" w:rsidRPr="008B3E13">
        <w:rPr>
          <w:rFonts w:ascii="Book Antiqua" w:hAnsi="Book Antiqua"/>
          <w:sz w:val="24"/>
          <w:szCs w:val="24"/>
        </w:rPr>
        <w:t xml:space="preserve"> is one of the most common malignancies worldwide</w:t>
      </w:r>
      <w:r w:rsidR="00C36082" w:rsidRPr="008B3E13">
        <w:rPr>
          <w:rFonts w:ascii="Book Antiqua" w:hAnsi="Book Antiqua" w:hint="eastAsia"/>
          <w:sz w:val="24"/>
          <w:szCs w:val="24"/>
          <w:lang w:eastAsia="zh-CN"/>
        </w:rPr>
        <w:t xml:space="preserve">. </w:t>
      </w:r>
      <w:r w:rsidRPr="008B3E13">
        <w:rPr>
          <w:rFonts w:ascii="Book Antiqua" w:hAnsi="Book Antiqua"/>
          <w:sz w:val="24"/>
          <w:szCs w:val="24"/>
          <w:lang w:eastAsia="zh-CN"/>
        </w:rPr>
        <w:t>Metastasis often occurs</w:t>
      </w:r>
      <w:r w:rsidR="00C36082" w:rsidRPr="008B3E13">
        <w:rPr>
          <w:rFonts w:ascii="Book Antiqua" w:hAnsi="Book Antiqua"/>
          <w:sz w:val="24"/>
          <w:szCs w:val="24"/>
          <w:lang w:eastAsia="zh-CN"/>
        </w:rPr>
        <w:t xml:space="preserve"> in HCC patients, thus leading to poor prognosis. </w:t>
      </w:r>
      <w:r w:rsidR="000D1038" w:rsidRPr="008B3E13">
        <w:rPr>
          <w:rFonts w:ascii="Book Antiqua" w:hAnsi="Book Antiqua"/>
          <w:sz w:val="24"/>
          <w:szCs w:val="24"/>
          <w:lang w:eastAsia="zh-CN"/>
        </w:rPr>
        <w:t>It is urgent for us to find out molecules that responsible for HCC metastasis to improve the prognosis of HCC patients.</w:t>
      </w:r>
    </w:p>
    <w:p w14:paraId="5AC79631" w14:textId="77777777" w:rsidR="008B3E13" w:rsidRPr="008B3E13" w:rsidRDefault="008B3E13" w:rsidP="0030419F">
      <w:pPr>
        <w:adjustRightInd w:val="0"/>
        <w:snapToGrid w:val="0"/>
        <w:spacing w:line="360" w:lineRule="auto"/>
        <w:rPr>
          <w:rFonts w:ascii="Book Antiqua" w:hAnsi="Book Antiqua"/>
          <w:sz w:val="24"/>
          <w:szCs w:val="24"/>
          <w:lang w:eastAsia="zh-CN"/>
        </w:rPr>
      </w:pPr>
    </w:p>
    <w:p w14:paraId="3371A24B" w14:textId="77777777" w:rsidR="00823641" w:rsidRPr="008B3E13" w:rsidRDefault="00823641" w:rsidP="0030419F">
      <w:pPr>
        <w:adjustRightInd w:val="0"/>
        <w:snapToGrid w:val="0"/>
        <w:spacing w:line="360" w:lineRule="auto"/>
        <w:rPr>
          <w:rFonts w:ascii="Book Antiqua" w:hAnsi="Book Antiqua"/>
          <w:b/>
          <w:i/>
          <w:sz w:val="24"/>
          <w:szCs w:val="24"/>
        </w:rPr>
      </w:pPr>
      <w:r w:rsidRPr="008B3E13">
        <w:rPr>
          <w:rFonts w:ascii="Book Antiqua" w:hAnsi="Book Antiqua"/>
          <w:b/>
          <w:i/>
          <w:sz w:val="24"/>
          <w:szCs w:val="24"/>
        </w:rPr>
        <w:t>Research motivation</w:t>
      </w:r>
    </w:p>
    <w:p w14:paraId="296BF8CE" w14:textId="19824EB0" w:rsidR="00823641" w:rsidRDefault="007D656D" w:rsidP="0030419F">
      <w:pPr>
        <w:adjustRightInd w:val="0"/>
        <w:snapToGrid w:val="0"/>
        <w:spacing w:line="360" w:lineRule="auto"/>
        <w:rPr>
          <w:rFonts w:ascii="Book Antiqua" w:hAnsi="Book Antiqua"/>
          <w:sz w:val="24"/>
          <w:szCs w:val="24"/>
          <w:lang w:eastAsia="zh-CN"/>
        </w:rPr>
      </w:pPr>
      <w:r w:rsidRPr="008B3E13">
        <w:rPr>
          <w:rFonts w:ascii="Book Antiqua" w:hAnsi="Book Antiqua"/>
          <w:sz w:val="24"/>
          <w:szCs w:val="24"/>
        </w:rPr>
        <w:t>Proteinase-activated receptor-2</w:t>
      </w:r>
      <w:r w:rsidR="00E7508E" w:rsidRPr="008B3E13">
        <w:rPr>
          <w:rFonts w:ascii="Book Antiqua" w:hAnsi="Book Antiqua"/>
          <w:sz w:val="24"/>
          <w:szCs w:val="24"/>
        </w:rPr>
        <w:t xml:space="preserve"> (PAR2)</w:t>
      </w:r>
      <w:r w:rsidR="00FA4F7F" w:rsidRPr="008B3E13">
        <w:rPr>
          <w:rFonts w:ascii="Book Antiqua" w:hAnsi="Book Antiqua"/>
          <w:sz w:val="24"/>
          <w:szCs w:val="24"/>
        </w:rPr>
        <w:t xml:space="preserve"> is reported </w:t>
      </w:r>
      <w:r w:rsidR="00E7508E" w:rsidRPr="008B3E13">
        <w:rPr>
          <w:rFonts w:ascii="Book Antiqua" w:hAnsi="Book Antiqua"/>
          <w:sz w:val="24"/>
          <w:szCs w:val="24"/>
        </w:rPr>
        <w:t>to be responsible for HCC development, but the underlying mechanism is unclear. Figuring out the detailed mechanisms for PAR2 induced metastasis of HCC could give us more options for HCC treatment.</w:t>
      </w:r>
    </w:p>
    <w:p w14:paraId="35D9B87B" w14:textId="77777777" w:rsidR="008B3E13" w:rsidRPr="008B3E13" w:rsidRDefault="008B3E13" w:rsidP="0030419F">
      <w:pPr>
        <w:adjustRightInd w:val="0"/>
        <w:snapToGrid w:val="0"/>
        <w:spacing w:line="360" w:lineRule="auto"/>
        <w:rPr>
          <w:rFonts w:ascii="Book Antiqua" w:hAnsi="Book Antiqua"/>
          <w:sz w:val="24"/>
          <w:szCs w:val="24"/>
          <w:lang w:eastAsia="zh-CN"/>
        </w:rPr>
      </w:pPr>
    </w:p>
    <w:p w14:paraId="2E34BD58" w14:textId="77777777" w:rsidR="00823641" w:rsidRPr="008B3E13" w:rsidRDefault="00823641" w:rsidP="0030419F">
      <w:pPr>
        <w:adjustRightInd w:val="0"/>
        <w:snapToGrid w:val="0"/>
        <w:spacing w:line="360" w:lineRule="auto"/>
        <w:rPr>
          <w:rFonts w:ascii="Book Antiqua" w:hAnsi="Book Antiqua"/>
          <w:b/>
          <w:i/>
          <w:sz w:val="24"/>
          <w:szCs w:val="24"/>
        </w:rPr>
      </w:pPr>
      <w:r w:rsidRPr="008B3E13">
        <w:rPr>
          <w:rFonts w:ascii="Book Antiqua" w:hAnsi="Book Antiqua"/>
          <w:b/>
          <w:i/>
          <w:sz w:val="24"/>
          <w:szCs w:val="24"/>
        </w:rPr>
        <w:t xml:space="preserve">Research objectives </w:t>
      </w:r>
    </w:p>
    <w:p w14:paraId="3850AFE3" w14:textId="199A980B" w:rsidR="00823641" w:rsidRDefault="00A513FA" w:rsidP="0030419F">
      <w:pPr>
        <w:adjustRightInd w:val="0"/>
        <w:snapToGrid w:val="0"/>
        <w:spacing w:line="360" w:lineRule="auto"/>
        <w:rPr>
          <w:rFonts w:ascii="Book Antiqua" w:hAnsi="Book Antiqua"/>
          <w:sz w:val="24"/>
          <w:szCs w:val="24"/>
          <w:lang w:eastAsia="zh-CN"/>
        </w:rPr>
      </w:pPr>
      <w:r w:rsidRPr="008B3E13">
        <w:rPr>
          <w:rFonts w:ascii="Book Antiqua" w:hAnsi="Book Antiqua"/>
          <w:sz w:val="24"/>
          <w:szCs w:val="24"/>
        </w:rPr>
        <w:t>Al</w:t>
      </w:r>
      <w:r w:rsidR="001F3FCC" w:rsidRPr="008B3E13">
        <w:rPr>
          <w:rFonts w:ascii="Book Antiqua" w:hAnsi="Book Antiqua"/>
          <w:sz w:val="24"/>
          <w:szCs w:val="24"/>
        </w:rPr>
        <w:t xml:space="preserve">though the role of PAR2 in HCC has been reported, </w:t>
      </w:r>
      <w:r w:rsidR="007A5BD8" w:rsidRPr="008B3E13">
        <w:rPr>
          <w:rFonts w:ascii="Book Antiqua" w:hAnsi="Book Antiqua"/>
          <w:sz w:val="24"/>
          <w:szCs w:val="24"/>
        </w:rPr>
        <w:t xml:space="preserve">but we realized that the underlying mechanism for PAR2 induced metastasis is more important. So we </w:t>
      </w:r>
      <w:r w:rsidR="00690F59" w:rsidRPr="008B3E13">
        <w:rPr>
          <w:rFonts w:ascii="Book Antiqua" w:hAnsi="Book Antiqua" w:hint="eastAsia"/>
          <w:sz w:val="24"/>
          <w:szCs w:val="24"/>
          <w:lang w:eastAsia="zh-CN"/>
        </w:rPr>
        <w:t xml:space="preserve">aimed to </w:t>
      </w:r>
      <w:r w:rsidR="00F066F0" w:rsidRPr="008B3E13">
        <w:rPr>
          <w:rFonts w:ascii="Book Antiqua" w:hAnsi="Book Antiqua"/>
          <w:sz w:val="24"/>
          <w:szCs w:val="24"/>
          <w:lang w:eastAsia="zh-CN"/>
        </w:rPr>
        <w:t xml:space="preserve">find out the downstream signaling for PAR2 induced HCC </w:t>
      </w:r>
      <w:r w:rsidR="00F066F0" w:rsidRPr="008B3E13">
        <w:rPr>
          <w:rFonts w:ascii="Book Antiqua" w:hAnsi="Book Antiqua"/>
          <w:sz w:val="24"/>
          <w:szCs w:val="24"/>
          <w:lang w:eastAsia="zh-CN"/>
        </w:rPr>
        <w:lastRenderedPageBreak/>
        <w:t>metastasis. This could help us to find targets for HCC treatment.</w:t>
      </w:r>
    </w:p>
    <w:p w14:paraId="6760C9B0" w14:textId="77777777" w:rsidR="008B3E13" w:rsidRPr="008B3E13" w:rsidRDefault="008B3E13" w:rsidP="0030419F">
      <w:pPr>
        <w:adjustRightInd w:val="0"/>
        <w:snapToGrid w:val="0"/>
        <w:spacing w:line="360" w:lineRule="auto"/>
        <w:rPr>
          <w:rFonts w:ascii="Book Antiqua" w:hAnsi="Book Antiqua"/>
          <w:sz w:val="24"/>
          <w:szCs w:val="24"/>
          <w:lang w:eastAsia="zh-CN"/>
        </w:rPr>
      </w:pPr>
    </w:p>
    <w:p w14:paraId="0A7865EB" w14:textId="77777777" w:rsidR="00823641" w:rsidRPr="008B3E13" w:rsidRDefault="00823641" w:rsidP="0030419F">
      <w:pPr>
        <w:adjustRightInd w:val="0"/>
        <w:snapToGrid w:val="0"/>
        <w:spacing w:line="360" w:lineRule="auto"/>
        <w:rPr>
          <w:rFonts w:ascii="Book Antiqua" w:hAnsi="Book Antiqua"/>
          <w:b/>
          <w:i/>
          <w:sz w:val="24"/>
          <w:szCs w:val="24"/>
          <w:lang w:eastAsia="zh-CN"/>
        </w:rPr>
      </w:pPr>
      <w:r w:rsidRPr="008B3E13">
        <w:rPr>
          <w:rFonts w:ascii="Book Antiqua" w:hAnsi="Book Antiqua"/>
          <w:b/>
          <w:i/>
          <w:sz w:val="24"/>
          <w:szCs w:val="24"/>
        </w:rPr>
        <w:t>Research methods</w:t>
      </w:r>
    </w:p>
    <w:p w14:paraId="47EAA2AA" w14:textId="21C5011D" w:rsidR="00823641" w:rsidRDefault="00F066F0" w:rsidP="0030419F">
      <w:pPr>
        <w:adjustRightInd w:val="0"/>
        <w:snapToGrid w:val="0"/>
        <w:spacing w:line="360" w:lineRule="auto"/>
        <w:rPr>
          <w:rFonts w:ascii="Book Antiqua" w:hAnsi="Book Antiqua"/>
          <w:sz w:val="24"/>
          <w:szCs w:val="24"/>
          <w:lang w:eastAsia="zh-CN"/>
        </w:rPr>
      </w:pPr>
      <w:r w:rsidRPr="008B3E13">
        <w:rPr>
          <w:rFonts w:ascii="Book Antiqua" w:hAnsi="Book Antiqua"/>
          <w:sz w:val="24"/>
          <w:szCs w:val="24"/>
        </w:rPr>
        <w:t xml:space="preserve">PAR2 expression levels were assessed by qRT-PCR and immunohistochemistry (IHC) in patient tissues. Cell proliferation was investigated by CCK8 and colony formation assays </w:t>
      </w:r>
      <w:r w:rsidRPr="008B3E13">
        <w:rPr>
          <w:rFonts w:ascii="Book Antiqua" w:hAnsi="Book Antiqua"/>
          <w:i/>
          <w:sz w:val="24"/>
          <w:szCs w:val="24"/>
        </w:rPr>
        <w:t>in vitro</w:t>
      </w:r>
      <w:r w:rsidRPr="008B3E13">
        <w:rPr>
          <w:rFonts w:ascii="Book Antiqua" w:hAnsi="Book Antiqua"/>
          <w:sz w:val="24"/>
          <w:szCs w:val="24"/>
        </w:rPr>
        <w:t xml:space="preserve"> and tumor xenograft </w:t>
      </w:r>
      <w:r w:rsidRPr="008B3E13">
        <w:rPr>
          <w:rFonts w:ascii="Book Antiqua" w:hAnsi="Book Antiqua"/>
          <w:i/>
          <w:sz w:val="24"/>
          <w:szCs w:val="24"/>
        </w:rPr>
        <w:t>in vivo</w:t>
      </w:r>
      <w:r w:rsidRPr="008B3E13">
        <w:rPr>
          <w:rFonts w:ascii="Book Antiqua" w:hAnsi="Book Antiqua"/>
          <w:sz w:val="24"/>
          <w:szCs w:val="24"/>
        </w:rPr>
        <w:t>. HCC cell metastasis was assessed by tran</w:t>
      </w:r>
      <w:r w:rsidR="00E85802">
        <w:rPr>
          <w:rFonts w:ascii="Book Antiqua" w:hAnsi="Book Antiqua" w:hint="eastAsia"/>
          <w:sz w:val="24"/>
          <w:szCs w:val="24"/>
          <w:lang w:eastAsia="zh-CN"/>
        </w:rPr>
        <w:t>sw</w:t>
      </w:r>
      <w:r w:rsidRPr="008B3E13">
        <w:rPr>
          <w:rFonts w:ascii="Book Antiqua" w:hAnsi="Book Antiqua"/>
          <w:sz w:val="24"/>
          <w:szCs w:val="24"/>
        </w:rPr>
        <w:t xml:space="preserve">ell and wound healing assays </w:t>
      </w:r>
      <w:r w:rsidRPr="008B3E13">
        <w:rPr>
          <w:rFonts w:ascii="Book Antiqua" w:hAnsi="Book Antiqua"/>
          <w:i/>
          <w:sz w:val="24"/>
          <w:szCs w:val="24"/>
        </w:rPr>
        <w:t>in vitro</w:t>
      </w:r>
      <w:r w:rsidRPr="008B3E13">
        <w:rPr>
          <w:rFonts w:ascii="Book Antiqua" w:hAnsi="Book Antiqua"/>
          <w:sz w:val="24"/>
          <w:szCs w:val="24"/>
        </w:rPr>
        <w:t xml:space="preserve"> and intrasplenic injection of HCC cells in mice </w:t>
      </w:r>
      <w:r w:rsidRPr="008B3E13">
        <w:rPr>
          <w:rFonts w:ascii="Book Antiqua" w:hAnsi="Book Antiqua"/>
          <w:i/>
          <w:sz w:val="24"/>
          <w:szCs w:val="24"/>
        </w:rPr>
        <w:t>in vivo</w:t>
      </w:r>
      <w:r w:rsidRPr="008B3E13">
        <w:rPr>
          <w:rFonts w:ascii="Book Antiqua" w:hAnsi="Book Antiqua"/>
          <w:sz w:val="24"/>
          <w:szCs w:val="24"/>
        </w:rPr>
        <w:t xml:space="preserve">. Immunoblotting was carried out to monitor the levels of </w:t>
      </w:r>
      <w:r w:rsidR="00E85802" w:rsidRPr="00DF6D96">
        <w:rPr>
          <w:rFonts w:ascii="Book Antiqua" w:hAnsi="Book Antiqua"/>
          <w:color w:val="auto"/>
          <w:sz w:val="24"/>
          <w:szCs w:val="24"/>
        </w:rPr>
        <w:t>mitogen-activated protein kinase</w:t>
      </w:r>
      <w:r w:rsidR="00E85802">
        <w:rPr>
          <w:rFonts w:ascii="Book Antiqua" w:hAnsi="Book Antiqua" w:hint="eastAsia"/>
          <w:color w:val="auto"/>
          <w:sz w:val="24"/>
          <w:szCs w:val="24"/>
          <w:lang w:eastAsia="zh-CN"/>
        </w:rPr>
        <w:t>s</w:t>
      </w:r>
      <w:r w:rsidRPr="008B3E13">
        <w:rPr>
          <w:rFonts w:ascii="Book Antiqua" w:hAnsi="Book Antiqua"/>
          <w:sz w:val="24"/>
          <w:szCs w:val="24"/>
        </w:rPr>
        <w:t xml:space="preserve"> and </w:t>
      </w:r>
      <w:r w:rsidR="00E85802" w:rsidRPr="00DF6D96">
        <w:rPr>
          <w:rFonts w:ascii="Book Antiqua" w:hAnsi="Book Antiqua"/>
          <w:color w:val="auto"/>
          <w:sz w:val="24"/>
          <w:szCs w:val="24"/>
        </w:rPr>
        <w:t>Epithelial-mesenchymal transition</w:t>
      </w:r>
      <w:r w:rsidR="00E85802" w:rsidRPr="008B3E13">
        <w:rPr>
          <w:rFonts w:ascii="Book Antiqua" w:hAnsi="Book Antiqua"/>
          <w:sz w:val="24"/>
          <w:szCs w:val="24"/>
        </w:rPr>
        <w:t xml:space="preserve"> </w:t>
      </w:r>
      <w:r w:rsidR="00E85802">
        <w:rPr>
          <w:rFonts w:ascii="Book Antiqua" w:hAnsi="Book Antiqua" w:hint="eastAsia"/>
          <w:sz w:val="24"/>
          <w:szCs w:val="24"/>
          <w:lang w:eastAsia="zh-CN"/>
        </w:rPr>
        <w:t>(</w:t>
      </w:r>
      <w:r w:rsidRPr="008B3E13">
        <w:rPr>
          <w:rFonts w:ascii="Book Antiqua" w:hAnsi="Book Antiqua"/>
          <w:sz w:val="24"/>
          <w:szCs w:val="24"/>
        </w:rPr>
        <w:t>EMT</w:t>
      </w:r>
      <w:r w:rsidR="00E85802">
        <w:rPr>
          <w:rFonts w:ascii="Book Antiqua" w:hAnsi="Book Antiqua" w:hint="eastAsia"/>
          <w:sz w:val="24"/>
          <w:szCs w:val="24"/>
          <w:lang w:eastAsia="zh-CN"/>
        </w:rPr>
        <w:t>)</w:t>
      </w:r>
      <w:r w:rsidRPr="008B3E13">
        <w:rPr>
          <w:rFonts w:ascii="Book Antiqua" w:hAnsi="Book Antiqua"/>
          <w:sz w:val="24"/>
          <w:szCs w:val="24"/>
        </w:rPr>
        <w:t xml:space="preserve"> markers to figure out the underlying mechanisms for PAR2.</w:t>
      </w:r>
      <w:r w:rsidR="00A852FE" w:rsidRPr="008B3E13">
        <w:rPr>
          <w:rFonts w:ascii="Book Antiqua" w:hAnsi="Book Antiqua"/>
          <w:sz w:val="24"/>
          <w:szCs w:val="24"/>
        </w:rPr>
        <w:t xml:space="preserve"> This is the first time to analyze the correlation between PAR2 expression and HCC clinicopathological characteristics. Also, it is the first for us to investigate the underlying mechanism for PAR2 mediated HCC metastasis. What’s more, we proved the role of PAR2 in HCC proliferation and metastasis using animal model.</w:t>
      </w:r>
    </w:p>
    <w:p w14:paraId="7F6A5BB7" w14:textId="77777777" w:rsidR="00E85802" w:rsidRPr="008B3E13" w:rsidRDefault="00E85802" w:rsidP="0030419F">
      <w:pPr>
        <w:adjustRightInd w:val="0"/>
        <w:snapToGrid w:val="0"/>
        <w:spacing w:line="360" w:lineRule="auto"/>
        <w:rPr>
          <w:rFonts w:ascii="Book Antiqua" w:hAnsi="Book Antiqua"/>
          <w:sz w:val="24"/>
          <w:szCs w:val="24"/>
          <w:lang w:eastAsia="zh-CN"/>
        </w:rPr>
      </w:pPr>
    </w:p>
    <w:p w14:paraId="0F6F39BD" w14:textId="77777777" w:rsidR="00823641" w:rsidRPr="008B3E13" w:rsidRDefault="00823641" w:rsidP="0030419F">
      <w:pPr>
        <w:adjustRightInd w:val="0"/>
        <w:snapToGrid w:val="0"/>
        <w:spacing w:line="360" w:lineRule="auto"/>
        <w:rPr>
          <w:rFonts w:ascii="Book Antiqua" w:hAnsi="Book Antiqua"/>
          <w:b/>
          <w:i/>
          <w:sz w:val="24"/>
          <w:szCs w:val="24"/>
        </w:rPr>
      </w:pPr>
      <w:r w:rsidRPr="008B3E13">
        <w:rPr>
          <w:rFonts w:ascii="Book Antiqua" w:hAnsi="Book Antiqua"/>
          <w:b/>
          <w:i/>
          <w:sz w:val="24"/>
          <w:szCs w:val="24"/>
        </w:rPr>
        <w:t>Research results</w:t>
      </w:r>
    </w:p>
    <w:p w14:paraId="41A07E37" w14:textId="1B08FECA" w:rsidR="00143AA7" w:rsidRDefault="00A852FE" w:rsidP="0030419F">
      <w:pPr>
        <w:adjustRightInd w:val="0"/>
        <w:snapToGrid w:val="0"/>
        <w:spacing w:line="360" w:lineRule="auto"/>
        <w:rPr>
          <w:rFonts w:ascii="Book Antiqua" w:hAnsi="Book Antiqua"/>
          <w:sz w:val="24"/>
          <w:szCs w:val="24"/>
          <w:lang w:eastAsia="zh-CN"/>
        </w:rPr>
      </w:pPr>
      <w:r w:rsidRPr="008B3E13">
        <w:rPr>
          <w:rFonts w:ascii="Book Antiqua" w:hAnsi="Book Antiqua"/>
          <w:sz w:val="24"/>
          <w:szCs w:val="24"/>
        </w:rPr>
        <w:t>The prognoses of patients with high PAR2 levels were poorer than those with low PAR2 levels. Patients with high PAR2 levels had advanced tumor stages, larger tumor size, and high microvascular invasion rate. The proliferation and metastasis ability of SMMC-7721 and HepG2 cells were increased after PAR2 overexpression, while knocking down of PAR2 decreased the proliferation and metastasis ability of SMMC-7721 and HepG2 cells. Knocking down</w:t>
      </w:r>
      <w:r w:rsidRPr="008B3E13">
        <w:rPr>
          <w:rFonts w:ascii="Book Antiqua" w:hAnsi="Book Antiqua" w:hint="eastAsia"/>
          <w:sz w:val="24"/>
          <w:szCs w:val="24"/>
        </w:rPr>
        <w:t xml:space="preserve"> of </w:t>
      </w:r>
      <w:r w:rsidRPr="008B3E13">
        <w:rPr>
          <w:rFonts w:ascii="Book Antiqua" w:hAnsi="Book Antiqua"/>
          <w:sz w:val="24"/>
          <w:szCs w:val="24"/>
        </w:rPr>
        <w:t xml:space="preserve">PAR2 also </w:t>
      </w:r>
      <w:r w:rsidRPr="008B3E13">
        <w:rPr>
          <w:rFonts w:ascii="Book Antiqua" w:hAnsi="Book Antiqua" w:hint="eastAsia"/>
          <w:sz w:val="24"/>
          <w:szCs w:val="24"/>
        </w:rPr>
        <w:t xml:space="preserve">inhibited </w:t>
      </w:r>
      <w:r w:rsidRPr="008B3E13">
        <w:rPr>
          <w:rFonts w:ascii="Book Antiqua" w:hAnsi="Book Antiqua"/>
          <w:sz w:val="24"/>
          <w:szCs w:val="24"/>
        </w:rPr>
        <w:t xml:space="preserve">HCC </w:t>
      </w:r>
      <w:r w:rsidRPr="008B3E13">
        <w:rPr>
          <w:rFonts w:ascii="Book Antiqua" w:hAnsi="Book Antiqua" w:hint="eastAsia"/>
          <w:sz w:val="24"/>
          <w:szCs w:val="24"/>
        </w:rPr>
        <w:t xml:space="preserve">tumor </w:t>
      </w:r>
      <w:r w:rsidRPr="008B3E13">
        <w:rPr>
          <w:rFonts w:ascii="Book Antiqua" w:hAnsi="Book Antiqua"/>
          <w:sz w:val="24"/>
          <w:szCs w:val="24"/>
        </w:rPr>
        <w:t xml:space="preserve">cell </w:t>
      </w:r>
      <w:r w:rsidRPr="008B3E13">
        <w:rPr>
          <w:rFonts w:ascii="Book Antiqua" w:hAnsi="Book Antiqua" w:hint="eastAsia"/>
          <w:sz w:val="24"/>
          <w:szCs w:val="24"/>
        </w:rPr>
        <w:t>growth</w:t>
      </w:r>
      <w:r w:rsidRPr="008B3E13">
        <w:rPr>
          <w:rFonts w:ascii="Book Antiqua" w:hAnsi="Book Antiqua"/>
          <w:sz w:val="24"/>
          <w:szCs w:val="24"/>
        </w:rPr>
        <w:t xml:space="preserve"> and liver metastasis in nude mice. Mechanistically, PAR2 increased the proliferation ability of SMMC-7721 and HepG2 cells via ERK activation. Activated ERK further promoted </w:t>
      </w:r>
      <w:r w:rsidRPr="008B3E13">
        <w:rPr>
          <w:rFonts w:ascii="Book Antiqua" w:hAnsi="Book Antiqua" w:hint="eastAsia"/>
          <w:sz w:val="24"/>
          <w:szCs w:val="24"/>
        </w:rPr>
        <w:t>the</w:t>
      </w:r>
      <w:r w:rsidRPr="008B3E13">
        <w:rPr>
          <w:rFonts w:ascii="Book Antiqua" w:hAnsi="Book Antiqua"/>
          <w:sz w:val="24"/>
          <w:szCs w:val="24"/>
        </w:rPr>
        <w:t xml:space="preserve"> epithelial-mesenchymal transition of these</w:t>
      </w:r>
      <w:r w:rsidRPr="008B3E13">
        <w:rPr>
          <w:rFonts w:ascii="Book Antiqua" w:hAnsi="Book Antiqua" w:hint="eastAsia"/>
          <w:sz w:val="24"/>
          <w:szCs w:val="24"/>
        </w:rPr>
        <w:t xml:space="preserve"> cells</w:t>
      </w:r>
      <w:r w:rsidRPr="008B3E13">
        <w:rPr>
          <w:rFonts w:ascii="Book Antiqua" w:hAnsi="Book Antiqua"/>
          <w:sz w:val="24"/>
          <w:szCs w:val="24"/>
        </w:rPr>
        <w:t xml:space="preserve"> with the help of EGR-1 and Snail, which endowed them with enhanced migration and invasion ability.</w:t>
      </w:r>
    </w:p>
    <w:p w14:paraId="44160B98" w14:textId="77777777" w:rsidR="00F6549D" w:rsidRPr="00F6549D" w:rsidRDefault="00F6549D" w:rsidP="0030419F">
      <w:pPr>
        <w:adjustRightInd w:val="0"/>
        <w:snapToGrid w:val="0"/>
        <w:spacing w:line="360" w:lineRule="auto"/>
        <w:rPr>
          <w:rFonts w:ascii="Book Antiqua" w:hAnsi="Book Antiqua"/>
          <w:sz w:val="24"/>
          <w:szCs w:val="24"/>
          <w:lang w:eastAsia="zh-CN"/>
        </w:rPr>
      </w:pPr>
    </w:p>
    <w:p w14:paraId="240ECA78" w14:textId="69BDF553" w:rsidR="00326959" w:rsidRPr="00F6549D" w:rsidRDefault="00326959" w:rsidP="0030419F">
      <w:pPr>
        <w:adjustRightInd w:val="0"/>
        <w:snapToGrid w:val="0"/>
        <w:spacing w:line="360" w:lineRule="auto"/>
        <w:rPr>
          <w:rFonts w:ascii="Book Antiqua" w:hAnsi="Book Antiqua"/>
          <w:b/>
          <w:i/>
          <w:sz w:val="24"/>
          <w:szCs w:val="24"/>
          <w:lang w:eastAsia="zh-CN"/>
        </w:rPr>
      </w:pPr>
      <w:r w:rsidRPr="00F6549D">
        <w:rPr>
          <w:rFonts w:ascii="Book Antiqua" w:hAnsi="Book Antiqua"/>
          <w:b/>
          <w:i/>
          <w:sz w:val="24"/>
          <w:szCs w:val="24"/>
        </w:rPr>
        <w:t>R</w:t>
      </w:r>
      <w:r w:rsidR="00A1366C" w:rsidRPr="00F6549D">
        <w:rPr>
          <w:rFonts w:ascii="Book Antiqua" w:hAnsi="Book Antiqua" w:hint="eastAsia"/>
          <w:b/>
          <w:i/>
          <w:sz w:val="24"/>
          <w:szCs w:val="24"/>
        </w:rPr>
        <w:t>e</w:t>
      </w:r>
      <w:r w:rsidR="00A1366C" w:rsidRPr="00F6549D">
        <w:rPr>
          <w:rFonts w:ascii="Book Antiqua" w:hAnsi="Book Antiqua" w:hint="eastAsia"/>
          <w:b/>
          <w:i/>
          <w:sz w:val="24"/>
          <w:szCs w:val="24"/>
          <w:lang w:eastAsia="zh-CN"/>
        </w:rPr>
        <w:t>s</w:t>
      </w:r>
      <w:r w:rsidRPr="00F6549D">
        <w:rPr>
          <w:rFonts w:ascii="Book Antiqua" w:hAnsi="Book Antiqua" w:hint="eastAsia"/>
          <w:b/>
          <w:i/>
          <w:sz w:val="24"/>
          <w:szCs w:val="24"/>
        </w:rPr>
        <w:t xml:space="preserve">earch </w:t>
      </w:r>
      <w:r w:rsidRPr="00F6549D">
        <w:rPr>
          <w:rFonts w:ascii="Book Antiqua" w:hAnsi="Book Antiqua" w:hint="eastAsia"/>
          <w:b/>
          <w:i/>
          <w:sz w:val="24"/>
          <w:szCs w:val="24"/>
          <w:lang w:eastAsia="zh-CN"/>
        </w:rPr>
        <w:t>conclusions</w:t>
      </w:r>
    </w:p>
    <w:p w14:paraId="12A08F14" w14:textId="2304E325" w:rsidR="00326959" w:rsidRDefault="00C67E5A" w:rsidP="0030419F">
      <w:pPr>
        <w:adjustRightInd w:val="0"/>
        <w:snapToGrid w:val="0"/>
        <w:spacing w:line="360" w:lineRule="auto"/>
        <w:rPr>
          <w:rFonts w:ascii="Book Antiqua" w:hAnsi="Book Antiqua"/>
          <w:sz w:val="24"/>
          <w:szCs w:val="24"/>
          <w:lang w:eastAsia="zh-CN"/>
        </w:rPr>
      </w:pPr>
      <w:r w:rsidRPr="008B3E13">
        <w:rPr>
          <w:rFonts w:ascii="Book Antiqua" w:hAnsi="Book Antiqua"/>
          <w:sz w:val="24"/>
          <w:szCs w:val="24"/>
          <w:lang w:eastAsia="zh-CN"/>
        </w:rPr>
        <w:lastRenderedPageBreak/>
        <w:t xml:space="preserve">In this study, we found that PAR2 was upregulated in HCC tumor tissues and related with poor prognosis in HCC patients. In addition, we proved that PAR2 could not only promote the proliferation and metastasis ability of SMMC-7721 and HepG2 cells </w:t>
      </w:r>
      <w:r w:rsidRPr="008B3E13">
        <w:rPr>
          <w:rFonts w:ascii="Book Antiqua" w:hAnsi="Book Antiqua"/>
          <w:i/>
          <w:sz w:val="24"/>
          <w:szCs w:val="24"/>
          <w:lang w:eastAsia="zh-CN"/>
        </w:rPr>
        <w:t>in vitro</w:t>
      </w:r>
      <w:r w:rsidRPr="008B3E13">
        <w:rPr>
          <w:rFonts w:ascii="Book Antiqua" w:hAnsi="Book Antiqua"/>
          <w:sz w:val="24"/>
          <w:szCs w:val="24"/>
          <w:lang w:eastAsia="zh-CN"/>
        </w:rPr>
        <w:t xml:space="preserve">, but also promoted xenograft tumor growth and HCC cell liver metastasis </w:t>
      </w:r>
      <w:r w:rsidRPr="008B3E13">
        <w:rPr>
          <w:rFonts w:ascii="Book Antiqua" w:hAnsi="Book Antiqua"/>
          <w:i/>
          <w:sz w:val="24"/>
          <w:szCs w:val="24"/>
          <w:lang w:eastAsia="zh-CN"/>
        </w:rPr>
        <w:t>in vivo</w:t>
      </w:r>
      <w:r w:rsidRPr="008B3E13">
        <w:rPr>
          <w:rFonts w:ascii="Book Antiqua" w:hAnsi="Book Antiqua"/>
          <w:sz w:val="24"/>
          <w:szCs w:val="24"/>
          <w:lang w:eastAsia="zh-CN"/>
        </w:rPr>
        <w:t xml:space="preserve">. These effects were mediated by the activation of ERK, which further induced EMT </w:t>
      </w:r>
      <w:r w:rsidR="0064065E" w:rsidRPr="008B3E13">
        <w:rPr>
          <w:rFonts w:ascii="Book Antiqua" w:hAnsi="Book Antiqua"/>
          <w:sz w:val="24"/>
          <w:szCs w:val="24"/>
          <w:lang w:eastAsia="zh-CN"/>
        </w:rPr>
        <w:t xml:space="preserve">by EGR-1 and Snail </w:t>
      </w:r>
      <w:r w:rsidRPr="008B3E13">
        <w:rPr>
          <w:rFonts w:ascii="Book Antiqua" w:hAnsi="Book Antiqua"/>
          <w:sz w:val="24"/>
          <w:szCs w:val="24"/>
          <w:lang w:eastAsia="zh-CN"/>
        </w:rPr>
        <w:t>of HCC cells.</w:t>
      </w:r>
      <w:r w:rsidR="0064065E" w:rsidRPr="008B3E13">
        <w:rPr>
          <w:rFonts w:ascii="Book Antiqua" w:hAnsi="Book Antiqua"/>
          <w:sz w:val="24"/>
          <w:szCs w:val="24"/>
          <w:lang w:eastAsia="zh-CN"/>
        </w:rPr>
        <w:t xml:space="preserve"> </w:t>
      </w:r>
      <w:r w:rsidRPr="008B3E13">
        <w:rPr>
          <w:rFonts w:ascii="Book Antiqua" w:hAnsi="Book Antiqua"/>
          <w:sz w:val="24"/>
          <w:szCs w:val="24"/>
          <w:lang w:eastAsia="zh-CN"/>
        </w:rPr>
        <w:t>Therefore, targeting PAR2 may present a favorable anticancer target for treatment.</w:t>
      </w:r>
    </w:p>
    <w:p w14:paraId="0D8AC3C8" w14:textId="77777777" w:rsidR="00E85802" w:rsidRPr="008B3E13" w:rsidRDefault="00E85802" w:rsidP="0030419F">
      <w:pPr>
        <w:adjustRightInd w:val="0"/>
        <w:snapToGrid w:val="0"/>
        <w:spacing w:line="360" w:lineRule="auto"/>
        <w:ind w:firstLineChars="100" w:firstLine="240"/>
        <w:rPr>
          <w:rFonts w:ascii="Book Antiqua" w:hAnsi="Book Antiqua"/>
          <w:sz w:val="24"/>
          <w:szCs w:val="24"/>
          <w:lang w:eastAsia="zh-CN"/>
        </w:rPr>
      </w:pPr>
    </w:p>
    <w:p w14:paraId="537F514A" w14:textId="77777777" w:rsidR="00823641" w:rsidRPr="008B3E13" w:rsidRDefault="00823641" w:rsidP="0030419F">
      <w:pPr>
        <w:adjustRightInd w:val="0"/>
        <w:snapToGrid w:val="0"/>
        <w:spacing w:line="360" w:lineRule="auto"/>
        <w:rPr>
          <w:rFonts w:ascii="Book Antiqua" w:hAnsi="Book Antiqua"/>
          <w:b/>
          <w:i/>
          <w:sz w:val="24"/>
          <w:szCs w:val="24"/>
        </w:rPr>
      </w:pPr>
      <w:r w:rsidRPr="008B3E13">
        <w:rPr>
          <w:rFonts w:ascii="Book Antiqua" w:hAnsi="Book Antiqua"/>
          <w:b/>
          <w:i/>
          <w:sz w:val="24"/>
          <w:szCs w:val="24"/>
        </w:rPr>
        <w:t>Research perspectives</w:t>
      </w:r>
    </w:p>
    <w:p w14:paraId="4128AB68" w14:textId="536566BB" w:rsidR="00331E66" w:rsidRPr="008B3E13" w:rsidRDefault="00331E66" w:rsidP="0030419F">
      <w:pPr>
        <w:adjustRightInd w:val="0"/>
        <w:snapToGrid w:val="0"/>
        <w:spacing w:line="360" w:lineRule="auto"/>
        <w:rPr>
          <w:rFonts w:ascii="Book Antiqua" w:hAnsi="Book Antiqua"/>
          <w:sz w:val="24"/>
          <w:szCs w:val="24"/>
        </w:rPr>
      </w:pPr>
      <w:r w:rsidRPr="008B3E13">
        <w:rPr>
          <w:rFonts w:ascii="Book Antiqua" w:hAnsi="Book Antiqua"/>
          <w:sz w:val="24"/>
          <w:szCs w:val="24"/>
        </w:rPr>
        <w:t xml:space="preserve">As we all know, PAR2 was activated </w:t>
      </w:r>
      <w:r w:rsidRPr="00562C27">
        <w:rPr>
          <w:rFonts w:ascii="Book Antiqua" w:hAnsi="Book Antiqua"/>
          <w:i/>
          <w:sz w:val="24"/>
          <w:szCs w:val="24"/>
        </w:rPr>
        <w:t>via</w:t>
      </w:r>
      <w:r w:rsidRPr="008B3E13">
        <w:rPr>
          <w:rFonts w:ascii="Book Antiqua" w:hAnsi="Book Antiqua"/>
          <w:sz w:val="24"/>
          <w:szCs w:val="24"/>
        </w:rPr>
        <w:t xml:space="preserve"> its N-terminal cleavage by several proteases such as serine proteases, but which protease is responsible for PAR2 activation in HCC </w:t>
      </w:r>
      <w:r w:rsidRPr="008B3E13">
        <w:rPr>
          <w:rFonts w:ascii="Book Antiqua" w:hAnsi="Book Antiqua" w:hint="eastAsia"/>
          <w:sz w:val="24"/>
          <w:szCs w:val="24"/>
        </w:rPr>
        <w:t>is</w:t>
      </w:r>
      <w:r w:rsidRPr="008B3E13">
        <w:rPr>
          <w:rFonts w:ascii="Book Antiqua" w:hAnsi="Book Antiqua"/>
          <w:sz w:val="24"/>
          <w:szCs w:val="24"/>
        </w:rPr>
        <w:t xml:space="preserve"> still not clear. This is a very interesting direction in the following study. Recently, some growth factors such as HGF were reported to be responsible for EMT in HCC. If HGF participated in PAR2 induced EMT could be further investigated based on this study</w:t>
      </w:r>
      <w:r w:rsidR="00400FC0">
        <w:rPr>
          <w:rFonts w:ascii="Book Antiqua" w:hAnsi="Book Antiqua"/>
          <w:sz w:val="24"/>
          <w:szCs w:val="24"/>
        </w:rPr>
        <w:t>.</w:t>
      </w:r>
      <w:bookmarkStart w:id="59" w:name="_GoBack"/>
      <w:bookmarkEnd w:id="59"/>
    </w:p>
    <w:p w14:paraId="7174C7D5" w14:textId="77777777" w:rsidR="00823641" w:rsidRPr="00823641" w:rsidRDefault="00823641" w:rsidP="0030419F">
      <w:pPr>
        <w:pStyle w:val="1"/>
        <w:adjustRightInd w:val="0"/>
        <w:snapToGrid w:val="0"/>
        <w:spacing w:line="360" w:lineRule="auto"/>
        <w:ind w:firstLineChars="100" w:firstLine="240"/>
        <w:rPr>
          <w:rFonts w:ascii="Book Antiqua" w:hAnsi="Book Antiqua"/>
          <w:color w:val="auto"/>
          <w:sz w:val="24"/>
          <w:szCs w:val="24"/>
          <w:lang w:eastAsia="zh-CN"/>
        </w:rPr>
      </w:pPr>
    </w:p>
    <w:p w14:paraId="7B3E9DC9" w14:textId="2C3822AE" w:rsidR="00C35D84" w:rsidRPr="00DF6D96" w:rsidRDefault="00524BFC" w:rsidP="0030419F">
      <w:pPr>
        <w:snapToGrid w:val="0"/>
        <w:spacing w:line="360" w:lineRule="auto"/>
        <w:rPr>
          <w:rFonts w:ascii="Book Antiqua" w:hAnsi="Book Antiqua"/>
          <w:b/>
          <w:color w:val="auto"/>
          <w:sz w:val="24"/>
          <w:szCs w:val="24"/>
          <w:lang w:eastAsia="zh-CN"/>
        </w:rPr>
      </w:pPr>
      <w:r>
        <w:rPr>
          <w:rFonts w:ascii="Book Antiqua" w:hAnsi="Book Antiqua"/>
          <w:b/>
          <w:color w:val="auto"/>
          <w:sz w:val="24"/>
          <w:szCs w:val="24"/>
        </w:rPr>
        <w:br w:type="page"/>
      </w:r>
    </w:p>
    <w:p w14:paraId="322AD336" w14:textId="42CD7A97" w:rsidR="00C35D84" w:rsidRPr="00DF6D96" w:rsidRDefault="00524BFC" w:rsidP="0030419F">
      <w:pPr>
        <w:pStyle w:val="1"/>
        <w:adjustRightInd w:val="0"/>
        <w:snapToGrid w:val="0"/>
        <w:spacing w:line="360" w:lineRule="auto"/>
        <w:outlineLvl w:val="0"/>
        <w:rPr>
          <w:rFonts w:ascii="Book Antiqua" w:hAnsi="Book Antiqua"/>
          <w:b/>
          <w:color w:val="auto"/>
          <w:sz w:val="24"/>
          <w:szCs w:val="24"/>
        </w:rPr>
      </w:pPr>
      <w:bookmarkStart w:id="60" w:name="_1pxezwc" w:colFirst="0" w:colLast="0"/>
      <w:bookmarkEnd w:id="60"/>
      <w:r w:rsidRPr="00DF6D96">
        <w:rPr>
          <w:rFonts w:ascii="Book Antiqua" w:hAnsi="Book Antiqua"/>
          <w:b/>
          <w:color w:val="auto"/>
          <w:sz w:val="24"/>
          <w:szCs w:val="24"/>
        </w:rPr>
        <w:lastRenderedPageBreak/>
        <w:t>REFERENCES</w:t>
      </w:r>
    </w:p>
    <w:p w14:paraId="7084390C" w14:textId="1FAAC9BB" w:rsidR="006B1CDB" w:rsidRPr="00CF7540" w:rsidRDefault="006B1CDB" w:rsidP="0030419F">
      <w:pPr>
        <w:adjustRightInd w:val="0"/>
        <w:snapToGrid w:val="0"/>
        <w:spacing w:line="360" w:lineRule="auto"/>
        <w:rPr>
          <w:rFonts w:ascii="Book Antiqua" w:hAnsi="Book Antiqua"/>
          <w:sz w:val="24"/>
          <w:szCs w:val="24"/>
        </w:rPr>
      </w:pPr>
      <w:bookmarkStart w:id="61" w:name="_49x2ik5" w:colFirst="0" w:colLast="0"/>
      <w:bookmarkEnd w:id="61"/>
      <w:r w:rsidRPr="00CF7540">
        <w:rPr>
          <w:rFonts w:ascii="Book Antiqua" w:hAnsi="Book Antiqua"/>
          <w:sz w:val="24"/>
          <w:szCs w:val="24"/>
        </w:rPr>
        <w:t xml:space="preserve">1 </w:t>
      </w:r>
      <w:r w:rsidRPr="00CF7540">
        <w:rPr>
          <w:rFonts w:ascii="Book Antiqua" w:hAnsi="Book Antiqua"/>
          <w:b/>
          <w:sz w:val="24"/>
          <w:szCs w:val="24"/>
        </w:rPr>
        <w:t>Bruix J</w:t>
      </w:r>
      <w:r w:rsidRPr="00CF7540">
        <w:rPr>
          <w:rFonts w:ascii="Book Antiqua" w:hAnsi="Book Antiqua"/>
          <w:sz w:val="24"/>
          <w:szCs w:val="24"/>
        </w:rPr>
        <w:t xml:space="preserve">, Reig M, Sherman M. Evidence-Based Diagnosis, Staging, and Treatment of Patients </w:t>
      </w:r>
      <w:r w:rsidR="0030419F" w:rsidRPr="00CF7540">
        <w:rPr>
          <w:rFonts w:ascii="Book Antiqua" w:hAnsi="Book Antiqua"/>
          <w:sz w:val="24"/>
          <w:szCs w:val="24"/>
        </w:rPr>
        <w:t>w</w:t>
      </w:r>
      <w:r w:rsidRPr="00CF7540">
        <w:rPr>
          <w:rFonts w:ascii="Book Antiqua" w:hAnsi="Book Antiqua"/>
          <w:sz w:val="24"/>
          <w:szCs w:val="24"/>
        </w:rPr>
        <w:t xml:space="preserve">ith Hepatocellular Carcinoma. </w:t>
      </w:r>
      <w:r w:rsidRPr="00CF7540">
        <w:rPr>
          <w:rFonts w:ascii="Book Antiqua" w:hAnsi="Book Antiqua"/>
          <w:i/>
          <w:sz w:val="24"/>
          <w:szCs w:val="24"/>
        </w:rPr>
        <w:t>Gastroenterology</w:t>
      </w:r>
      <w:r w:rsidRPr="00CF7540">
        <w:rPr>
          <w:rFonts w:ascii="Book Antiqua" w:hAnsi="Book Antiqua"/>
          <w:sz w:val="24"/>
          <w:szCs w:val="24"/>
        </w:rPr>
        <w:t xml:space="preserve"> 2016; </w:t>
      </w:r>
      <w:r w:rsidRPr="00CF7540">
        <w:rPr>
          <w:rFonts w:ascii="Book Antiqua" w:hAnsi="Book Antiqua"/>
          <w:b/>
          <w:sz w:val="24"/>
          <w:szCs w:val="24"/>
        </w:rPr>
        <w:t>150</w:t>
      </w:r>
      <w:r w:rsidRPr="00CF7540">
        <w:rPr>
          <w:rFonts w:ascii="Book Antiqua" w:hAnsi="Book Antiqua"/>
          <w:sz w:val="24"/>
          <w:szCs w:val="24"/>
        </w:rPr>
        <w:t>: 835-853 [PMID: 26795574 DOI: 10.1053/j.gastro.2015.12.041</w:t>
      </w:r>
      <w:r w:rsidR="0030419F">
        <w:rPr>
          <w:rFonts w:ascii="Book Antiqua" w:hAnsi="Book Antiqua"/>
          <w:sz w:val="24"/>
          <w:szCs w:val="24"/>
        </w:rPr>
        <w:t>]</w:t>
      </w:r>
    </w:p>
    <w:p w14:paraId="1B8D66AA" w14:textId="71A6539D"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 </w:t>
      </w:r>
      <w:r w:rsidRPr="00CF7540">
        <w:rPr>
          <w:rFonts w:ascii="Book Antiqua" w:hAnsi="Book Antiqua"/>
          <w:b/>
          <w:sz w:val="24"/>
          <w:szCs w:val="24"/>
        </w:rPr>
        <w:t>Ye JZ</w:t>
      </w:r>
      <w:r w:rsidRPr="00CF7540">
        <w:rPr>
          <w:rFonts w:ascii="Book Antiqua" w:hAnsi="Book Antiqua"/>
          <w:sz w:val="24"/>
          <w:szCs w:val="24"/>
        </w:rPr>
        <w:t xml:space="preserve">, Chen JZ, Li ZH, Bai T, Chen J, Zhu SL, Li LQ, Wu FX. Efficacy of postoperative adjuvant transcatheter arterial chemoembolization in hepatocellular carcinoma patients with microvascular invasion. </w:t>
      </w:r>
      <w:r w:rsidRPr="00CF7540">
        <w:rPr>
          <w:rFonts w:ascii="Book Antiqua" w:hAnsi="Book Antiqua"/>
          <w:i/>
          <w:sz w:val="24"/>
          <w:szCs w:val="24"/>
        </w:rPr>
        <w:t>World J Gastroenterol</w:t>
      </w:r>
      <w:r w:rsidRPr="00CF7540">
        <w:rPr>
          <w:rFonts w:ascii="Book Antiqua" w:hAnsi="Book Antiqua"/>
          <w:sz w:val="24"/>
          <w:szCs w:val="24"/>
        </w:rPr>
        <w:t xml:space="preserve"> 2017; </w:t>
      </w:r>
      <w:r w:rsidRPr="00CF7540">
        <w:rPr>
          <w:rFonts w:ascii="Book Antiqua" w:hAnsi="Book Antiqua"/>
          <w:b/>
          <w:sz w:val="24"/>
          <w:szCs w:val="24"/>
        </w:rPr>
        <w:t>23</w:t>
      </w:r>
      <w:r w:rsidRPr="00CF7540">
        <w:rPr>
          <w:rFonts w:ascii="Book Antiqua" w:hAnsi="Book Antiqua"/>
          <w:sz w:val="24"/>
          <w:szCs w:val="24"/>
        </w:rPr>
        <w:t>: 7415-7424 [PMID: 29151695 DOI: 10.3748/wjg.v23.i41.7415</w:t>
      </w:r>
      <w:r w:rsidR="0030419F">
        <w:rPr>
          <w:rFonts w:ascii="Book Antiqua" w:hAnsi="Book Antiqua"/>
          <w:sz w:val="24"/>
          <w:szCs w:val="24"/>
        </w:rPr>
        <w:t>]</w:t>
      </w:r>
    </w:p>
    <w:p w14:paraId="1AA8516A" w14:textId="52E7DE16"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3 </w:t>
      </w:r>
      <w:r w:rsidRPr="00CF7540">
        <w:rPr>
          <w:rFonts w:ascii="Book Antiqua" w:hAnsi="Book Antiqua"/>
          <w:b/>
          <w:sz w:val="24"/>
          <w:szCs w:val="24"/>
        </w:rPr>
        <w:t>Feng LH</w:t>
      </w:r>
      <w:r w:rsidRPr="00CF7540">
        <w:rPr>
          <w:rFonts w:ascii="Book Antiqua" w:hAnsi="Book Antiqua"/>
          <w:sz w:val="24"/>
          <w:szCs w:val="24"/>
        </w:rPr>
        <w:t xml:space="preserve">, Dong H, Lau WY, Yu H, Zhu YY, Zhao Y, Lin YX, Chen J, Wu MC, Cong WM. Novel microvascular invasion-based prognostic nomograms to predict survival outcomes in patients after R0 resection for hepatocellular carcinoma. </w:t>
      </w:r>
      <w:r w:rsidRPr="00CF7540">
        <w:rPr>
          <w:rFonts w:ascii="Book Antiqua" w:hAnsi="Book Antiqua"/>
          <w:i/>
          <w:sz w:val="24"/>
          <w:szCs w:val="24"/>
        </w:rPr>
        <w:t>J Cancer Res Clin Oncol</w:t>
      </w:r>
      <w:r w:rsidRPr="00CF7540">
        <w:rPr>
          <w:rFonts w:ascii="Book Antiqua" w:hAnsi="Book Antiqua"/>
          <w:sz w:val="24"/>
          <w:szCs w:val="24"/>
        </w:rPr>
        <w:t xml:space="preserve"> 2017; </w:t>
      </w:r>
      <w:r w:rsidRPr="00CF7540">
        <w:rPr>
          <w:rFonts w:ascii="Book Antiqua" w:hAnsi="Book Antiqua"/>
          <w:b/>
          <w:sz w:val="24"/>
          <w:szCs w:val="24"/>
        </w:rPr>
        <w:t>143</w:t>
      </w:r>
      <w:r w:rsidRPr="00CF7540">
        <w:rPr>
          <w:rFonts w:ascii="Book Antiqua" w:hAnsi="Book Antiqua"/>
          <w:sz w:val="24"/>
          <w:szCs w:val="24"/>
        </w:rPr>
        <w:t>: 293-303 [PMID: 27743138 DOI: 10.1007/s00432-016-2286-1</w:t>
      </w:r>
      <w:r w:rsidR="0030419F">
        <w:rPr>
          <w:rFonts w:ascii="Book Antiqua" w:hAnsi="Book Antiqua"/>
          <w:sz w:val="24"/>
          <w:szCs w:val="24"/>
        </w:rPr>
        <w:t>]</w:t>
      </w:r>
    </w:p>
    <w:p w14:paraId="46481830" w14:textId="3D9E2602"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4 </w:t>
      </w:r>
      <w:r w:rsidRPr="00CF7540">
        <w:rPr>
          <w:rFonts w:ascii="Book Antiqua" w:hAnsi="Book Antiqua"/>
          <w:b/>
          <w:sz w:val="24"/>
          <w:szCs w:val="24"/>
        </w:rPr>
        <w:t>Chan SL</w:t>
      </w:r>
      <w:r w:rsidRPr="00CF7540">
        <w:rPr>
          <w:rFonts w:ascii="Book Antiqua" w:hAnsi="Book Antiqua"/>
          <w:sz w:val="24"/>
          <w:szCs w:val="24"/>
        </w:rPr>
        <w:t xml:space="preserve">, Wong VW, Qin S, Chan HL. Infection and Cancer: The Case of Hepatitis B. </w:t>
      </w:r>
      <w:r w:rsidRPr="00CF7540">
        <w:rPr>
          <w:rFonts w:ascii="Book Antiqua" w:hAnsi="Book Antiqua"/>
          <w:i/>
          <w:sz w:val="24"/>
          <w:szCs w:val="24"/>
        </w:rPr>
        <w:t>J Clin Oncol</w:t>
      </w:r>
      <w:r w:rsidRPr="00CF7540">
        <w:rPr>
          <w:rFonts w:ascii="Book Antiqua" w:hAnsi="Book Antiqua"/>
          <w:sz w:val="24"/>
          <w:szCs w:val="24"/>
        </w:rPr>
        <w:t xml:space="preserve"> 2016; </w:t>
      </w:r>
      <w:r w:rsidRPr="00CF7540">
        <w:rPr>
          <w:rFonts w:ascii="Book Antiqua" w:hAnsi="Book Antiqua"/>
          <w:b/>
          <w:sz w:val="24"/>
          <w:szCs w:val="24"/>
        </w:rPr>
        <w:t>34</w:t>
      </w:r>
      <w:r w:rsidRPr="00CF7540">
        <w:rPr>
          <w:rFonts w:ascii="Book Antiqua" w:hAnsi="Book Antiqua"/>
          <w:sz w:val="24"/>
          <w:szCs w:val="24"/>
        </w:rPr>
        <w:t>: 83-90 [PMID: 26578611 DOI: 10.1200/JCO.2015.61.5724</w:t>
      </w:r>
      <w:r w:rsidR="0030419F">
        <w:rPr>
          <w:rFonts w:ascii="Book Antiqua" w:hAnsi="Book Antiqua"/>
          <w:sz w:val="24"/>
          <w:szCs w:val="24"/>
        </w:rPr>
        <w:t>]</w:t>
      </w:r>
    </w:p>
    <w:p w14:paraId="56D4CA9E" w14:textId="61457F25"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5 </w:t>
      </w:r>
      <w:r w:rsidRPr="00CF7540">
        <w:rPr>
          <w:rFonts w:ascii="Book Antiqua" w:hAnsi="Book Antiqua"/>
          <w:b/>
          <w:sz w:val="24"/>
          <w:szCs w:val="24"/>
        </w:rPr>
        <w:t>Fidler IJ</w:t>
      </w:r>
      <w:r w:rsidRPr="00CF7540">
        <w:rPr>
          <w:rFonts w:ascii="Book Antiqua" w:hAnsi="Book Antiqua"/>
          <w:sz w:val="24"/>
          <w:szCs w:val="24"/>
        </w:rPr>
        <w:t xml:space="preserve">. The pathogenesis of cancer metastasis: the 'seed and soil' hypothesis revisited. </w:t>
      </w:r>
      <w:r w:rsidRPr="00CF7540">
        <w:rPr>
          <w:rFonts w:ascii="Book Antiqua" w:hAnsi="Book Antiqua"/>
          <w:i/>
          <w:sz w:val="24"/>
          <w:szCs w:val="24"/>
        </w:rPr>
        <w:t>Nat Rev Cancer</w:t>
      </w:r>
      <w:r w:rsidRPr="00CF7540">
        <w:rPr>
          <w:rFonts w:ascii="Book Antiqua" w:hAnsi="Book Antiqua"/>
          <w:sz w:val="24"/>
          <w:szCs w:val="24"/>
        </w:rPr>
        <w:t xml:space="preserve"> 2003; </w:t>
      </w:r>
      <w:r w:rsidRPr="00CF7540">
        <w:rPr>
          <w:rFonts w:ascii="Book Antiqua" w:hAnsi="Book Antiqua"/>
          <w:b/>
          <w:sz w:val="24"/>
          <w:szCs w:val="24"/>
        </w:rPr>
        <w:t>3</w:t>
      </w:r>
      <w:r w:rsidRPr="00CF7540">
        <w:rPr>
          <w:rFonts w:ascii="Book Antiqua" w:hAnsi="Book Antiqua"/>
          <w:sz w:val="24"/>
          <w:szCs w:val="24"/>
        </w:rPr>
        <w:t>: 453-458 [PMID: 12778135 DOI: 10.1038/nrc1098</w:t>
      </w:r>
      <w:r w:rsidR="0030419F">
        <w:rPr>
          <w:rFonts w:ascii="Book Antiqua" w:hAnsi="Book Antiqua"/>
          <w:sz w:val="24"/>
          <w:szCs w:val="24"/>
        </w:rPr>
        <w:t>]</w:t>
      </w:r>
    </w:p>
    <w:p w14:paraId="3C6DFFCB" w14:textId="77777777"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6 </w:t>
      </w:r>
      <w:r w:rsidRPr="00CF7540">
        <w:rPr>
          <w:rFonts w:ascii="Book Antiqua" w:hAnsi="Book Antiqua"/>
          <w:b/>
          <w:sz w:val="24"/>
          <w:szCs w:val="24"/>
        </w:rPr>
        <w:t>Nystedt S</w:t>
      </w:r>
      <w:r w:rsidRPr="00CF7540">
        <w:rPr>
          <w:rFonts w:ascii="Book Antiqua" w:hAnsi="Book Antiqua"/>
          <w:sz w:val="24"/>
          <w:szCs w:val="24"/>
        </w:rPr>
        <w:t xml:space="preserve">, Emilsson K, Wahlestedt C, Sundelin J. Molecular cloning of a potential proteinase activated receptor. </w:t>
      </w:r>
      <w:r w:rsidRPr="00CF7540">
        <w:rPr>
          <w:rFonts w:ascii="Book Antiqua" w:hAnsi="Book Antiqua"/>
          <w:i/>
          <w:sz w:val="24"/>
          <w:szCs w:val="24"/>
        </w:rPr>
        <w:t>Proc Natl Acad Sci U S A</w:t>
      </w:r>
      <w:r w:rsidRPr="00CF7540">
        <w:rPr>
          <w:rFonts w:ascii="Book Antiqua" w:hAnsi="Book Antiqua"/>
          <w:sz w:val="24"/>
          <w:szCs w:val="24"/>
        </w:rPr>
        <w:t xml:space="preserve"> 1994; </w:t>
      </w:r>
      <w:r w:rsidRPr="00CF7540">
        <w:rPr>
          <w:rFonts w:ascii="Book Antiqua" w:hAnsi="Book Antiqua"/>
          <w:b/>
          <w:sz w:val="24"/>
          <w:szCs w:val="24"/>
        </w:rPr>
        <w:t>91</w:t>
      </w:r>
      <w:r w:rsidRPr="00CF7540">
        <w:rPr>
          <w:rFonts w:ascii="Book Antiqua" w:hAnsi="Book Antiqua"/>
          <w:sz w:val="24"/>
          <w:szCs w:val="24"/>
        </w:rPr>
        <w:t>: 9208-9212 [PMID: 7937743]</w:t>
      </w:r>
    </w:p>
    <w:p w14:paraId="62FAD3E7" w14:textId="1F22D546"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7 </w:t>
      </w:r>
      <w:r w:rsidRPr="00CF7540">
        <w:rPr>
          <w:rFonts w:ascii="Book Antiqua" w:hAnsi="Book Antiqua"/>
          <w:b/>
          <w:sz w:val="24"/>
          <w:szCs w:val="24"/>
        </w:rPr>
        <w:t>Ossovskaya VS</w:t>
      </w:r>
      <w:r w:rsidRPr="00CF7540">
        <w:rPr>
          <w:rFonts w:ascii="Book Antiqua" w:hAnsi="Book Antiqua"/>
          <w:sz w:val="24"/>
          <w:szCs w:val="24"/>
        </w:rPr>
        <w:t xml:space="preserve">, Bunnett NW. Protease-activated receptors: contribution to physiology and disease. </w:t>
      </w:r>
      <w:r w:rsidRPr="00CF7540">
        <w:rPr>
          <w:rFonts w:ascii="Book Antiqua" w:hAnsi="Book Antiqua"/>
          <w:i/>
          <w:sz w:val="24"/>
          <w:szCs w:val="24"/>
        </w:rPr>
        <w:t>Physiol Rev</w:t>
      </w:r>
      <w:r w:rsidRPr="00CF7540">
        <w:rPr>
          <w:rFonts w:ascii="Book Antiqua" w:hAnsi="Book Antiqua"/>
          <w:sz w:val="24"/>
          <w:szCs w:val="24"/>
        </w:rPr>
        <w:t xml:space="preserve"> 2004; </w:t>
      </w:r>
      <w:r w:rsidRPr="00CF7540">
        <w:rPr>
          <w:rFonts w:ascii="Book Antiqua" w:hAnsi="Book Antiqua"/>
          <w:b/>
          <w:sz w:val="24"/>
          <w:szCs w:val="24"/>
        </w:rPr>
        <w:t>84</w:t>
      </w:r>
      <w:r w:rsidRPr="00CF7540">
        <w:rPr>
          <w:rFonts w:ascii="Book Antiqua" w:hAnsi="Book Antiqua"/>
          <w:sz w:val="24"/>
          <w:szCs w:val="24"/>
        </w:rPr>
        <w:t>: 579-621 [PMID: 15044683 DOI: 10.1152/physrev.00028.2003</w:t>
      </w:r>
      <w:r w:rsidR="0030419F">
        <w:rPr>
          <w:rFonts w:ascii="Book Antiqua" w:hAnsi="Book Antiqua"/>
          <w:sz w:val="24"/>
          <w:szCs w:val="24"/>
        </w:rPr>
        <w:t>]</w:t>
      </w:r>
    </w:p>
    <w:p w14:paraId="4BA037DC" w14:textId="7A27EE00"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8 </w:t>
      </w:r>
      <w:r w:rsidRPr="00CF7540">
        <w:rPr>
          <w:rFonts w:ascii="Book Antiqua" w:hAnsi="Book Antiqua"/>
          <w:b/>
          <w:sz w:val="24"/>
          <w:szCs w:val="24"/>
        </w:rPr>
        <w:t>Grab DJ</w:t>
      </w:r>
      <w:r w:rsidRPr="00CF7540">
        <w:rPr>
          <w:rFonts w:ascii="Book Antiqua" w:hAnsi="Book Antiqua"/>
          <w:sz w:val="24"/>
          <w:szCs w:val="24"/>
        </w:rPr>
        <w:t xml:space="preserve">, Garcia-Garcia JC, Nikolskaia OV, Kim YV, Brown A, Pardo CA, Zhang Y, Becker KG, Wilson BA, de A Lima AP, Scharfstein J, Dumler JS. Protease activated receptor signaling is required for African trypanosome traversal of human brain microvascular endothelial cells. </w:t>
      </w:r>
      <w:r w:rsidRPr="00CF7540">
        <w:rPr>
          <w:rFonts w:ascii="Book Antiqua" w:hAnsi="Book Antiqua"/>
          <w:i/>
          <w:sz w:val="24"/>
          <w:szCs w:val="24"/>
        </w:rPr>
        <w:t>PLoS Negl Trop Dis</w:t>
      </w:r>
      <w:r w:rsidRPr="00CF7540">
        <w:rPr>
          <w:rFonts w:ascii="Book Antiqua" w:hAnsi="Book Antiqua"/>
          <w:sz w:val="24"/>
          <w:szCs w:val="24"/>
        </w:rPr>
        <w:t xml:space="preserve"> 2009; </w:t>
      </w:r>
      <w:r w:rsidRPr="00CF7540">
        <w:rPr>
          <w:rFonts w:ascii="Book Antiqua" w:hAnsi="Book Antiqua"/>
          <w:b/>
          <w:sz w:val="24"/>
          <w:szCs w:val="24"/>
        </w:rPr>
        <w:t>3</w:t>
      </w:r>
      <w:r w:rsidRPr="00CF7540">
        <w:rPr>
          <w:rFonts w:ascii="Book Antiqua" w:hAnsi="Book Antiqua"/>
          <w:sz w:val="24"/>
          <w:szCs w:val="24"/>
        </w:rPr>
        <w:t>: e479 [PMID: 19621073 DOI: 10.1371/journal.pntd.0000479</w:t>
      </w:r>
      <w:r w:rsidR="0030419F">
        <w:rPr>
          <w:rFonts w:ascii="Book Antiqua" w:hAnsi="Book Antiqua"/>
          <w:sz w:val="24"/>
          <w:szCs w:val="24"/>
        </w:rPr>
        <w:t>]</w:t>
      </w:r>
    </w:p>
    <w:p w14:paraId="5C8BBED3" w14:textId="507C160E"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lastRenderedPageBreak/>
        <w:t xml:space="preserve">9 </w:t>
      </w:r>
      <w:r w:rsidRPr="00CF7540">
        <w:rPr>
          <w:rFonts w:ascii="Book Antiqua" w:hAnsi="Book Antiqua"/>
          <w:b/>
          <w:sz w:val="24"/>
          <w:szCs w:val="24"/>
        </w:rPr>
        <w:t>Lin H</w:t>
      </w:r>
      <w:r w:rsidRPr="00CF7540">
        <w:rPr>
          <w:rFonts w:ascii="Book Antiqua" w:hAnsi="Book Antiqua"/>
          <w:sz w:val="24"/>
          <w:szCs w:val="24"/>
        </w:rPr>
        <w:t xml:space="preserve">, Trejo J. Transactivation of the PAR1-PAR2 heterodimer by thrombin elicits β-arrestin-mediated endosomal signaling. </w:t>
      </w:r>
      <w:r w:rsidRPr="00CF7540">
        <w:rPr>
          <w:rFonts w:ascii="Book Antiqua" w:hAnsi="Book Antiqua"/>
          <w:i/>
          <w:sz w:val="24"/>
          <w:szCs w:val="24"/>
        </w:rPr>
        <w:t>J Biol Chem</w:t>
      </w:r>
      <w:r w:rsidRPr="00CF7540">
        <w:rPr>
          <w:rFonts w:ascii="Book Antiqua" w:hAnsi="Book Antiqua"/>
          <w:sz w:val="24"/>
          <w:szCs w:val="24"/>
        </w:rPr>
        <w:t xml:space="preserve"> 2013; </w:t>
      </w:r>
      <w:r w:rsidRPr="00CF7540">
        <w:rPr>
          <w:rFonts w:ascii="Book Antiqua" w:hAnsi="Book Antiqua"/>
          <w:b/>
          <w:sz w:val="24"/>
          <w:szCs w:val="24"/>
        </w:rPr>
        <w:t>288</w:t>
      </w:r>
      <w:r w:rsidRPr="00CF7540">
        <w:rPr>
          <w:rFonts w:ascii="Book Antiqua" w:hAnsi="Book Antiqua"/>
          <w:sz w:val="24"/>
          <w:szCs w:val="24"/>
        </w:rPr>
        <w:t>: 11203-11215 [PMID: 23476015 DOI: 10.1074/jbc.M112.439950</w:t>
      </w:r>
      <w:r w:rsidR="0030419F">
        <w:rPr>
          <w:rFonts w:ascii="Book Antiqua" w:hAnsi="Book Antiqua"/>
          <w:sz w:val="24"/>
          <w:szCs w:val="24"/>
        </w:rPr>
        <w:t>]</w:t>
      </w:r>
    </w:p>
    <w:p w14:paraId="78247E90" w14:textId="5EE22985"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10 </w:t>
      </w:r>
      <w:r w:rsidRPr="00CF7540">
        <w:rPr>
          <w:rFonts w:ascii="Book Antiqua" w:hAnsi="Book Antiqua"/>
          <w:b/>
          <w:sz w:val="24"/>
          <w:szCs w:val="24"/>
        </w:rPr>
        <w:t>Weithauser A</w:t>
      </w:r>
      <w:r w:rsidRPr="00CF7540">
        <w:rPr>
          <w:rFonts w:ascii="Book Antiqua" w:hAnsi="Book Antiqua"/>
          <w:sz w:val="24"/>
          <w:szCs w:val="24"/>
        </w:rPr>
        <w:t xml:space="preserve">, Rauch U. Role of protease-activated receptors for the innate immune response of the heart. </w:t>
      </w:r>
      <w:r w:rsidRPr="00CF7540">
        <w:rPr>
          <w:rFonts w:ascii="Book Antiqua" w:hAnsi="Book Antiqua"/>
          <w:i/>
          <w:sz w:val="24"/>
          <w:szCs w:val="24"/>
        </w:rPr>
        <w:t>Trends Cardiovasc Med</w:t>
      </w:r>
      <w:r w:rsidRPr="00CF7540">
        <w:rPr>
          <w:rFonts w:ascii="Book Antiqua" w:hAnsi="Book Antiqua"/>
          <w:sz w:val="24"/>
          <w:szCs w:val="24"/>
        </w:rPr>
        <w:t xml:space="preserve"> 2014; </w:t>
      </w:r>
      <w:r w:rsidRPr="00CF7540">
        <w:rPr>
          <w:rFonts w:ascii="Book Antiqua" w:hAnsi="Book Antiqua"/>
          <w:b/>
          <w:sz w:val="24"/>
          <w:szCs w:val="24"/>
        </w:rPr>
        <w:t>24</w:t>
      </w:r>
      <w:r w:rsidRPr="00CF7540">
        <w:rPr>
          <w:rFonts w:ascii="Book Antiqua" w:hAnsi="Book Antiqua"/>
          <w:sz w:val="24"/>
          <w:szCs w:val="24"/>
        </w:rPr>
        <w:t>: 249-255 [PMID: 25066486 DOI: 10.1016/j.tcm.2014.06.004</w:t>
      </w:r>
      <w:r w:rsidR="0030419F">
        <w:rPr>
          <w:rFonts w:ascii="Book Antiqua" w:hAnsi="Book Antiqua"/>
          <w:sz w:val="24"/>
          <w:szCs w:val="24"/>
        </w:rPr>
        <w:t>]</w:t>
      </w:r>
    </w:p>
    <w:p w14:paraId="2B185951" w14:textId="631B0259"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11 </w:t>
      </w:r>
      <w:r w:rsidRPr="00CF7540">
        <w:rPr>
          <w:rFonts w:ascii="Book Antiqua" w:hAnsi="Book Antiqua"/>
          <w:b/>
          <w:sz w:val="24"/>
          <w:szCs w:val="24"/>
        </w:rPr>
        <w:t>Weithauser A</w:t>
      </w:r>
      <w:r w:rsidRPr="00CF7540">
        <w:rPr>
          <w:rFonts w:ascii="Book Antiqua" w:hAnsi="Book Antiqua"/>
          <w:sz w:val="24"/>
          <w:szCs w:val="24"/>
        </w:rPr>
        <w:t xml:space="preserve">, Bobbert P, Antoniak S, Böhm A, Rauch BH, Klingel K, Savvatis K, Kroemer HK, Tschope C, Stroux A, Zeichhardt H, Poller W, Mackman N, Schultheiss HP, Rauch U. Protease-activated receptor-2 regulates the innate immune response to viral infection in a coxsackievirus B3-induced myocarditis. </w:t>
      </w:r>
      <w:r w:rsidRPr="00CF7540">
        <w:rPr>
          <w:rFonts w:ascii="Book Antiqua" w:hAnsi="Book Antiqua"/>
          <w:i/>
          <w:sz w:val="24"/>
          <w:szCs w:val="24"/>
        </w:rPr>
        <w:t>J Am Coll Cardiol</w:t>
      </w:r>
      <w:r w:rsidRPr="00CF7540">
        <w:rPr>
          <w:rFonts w:ascii="Book Antiqua" w:hAnsi="Book Antiqua"/>
          <w:sz w:val="24"/>
          <w:szCs w:val="24"/>
        </w:rPr>
        <w:t xml:space="preserve"> 2013; </w:t>
      </w:r>
      <w:r w:rsidRPr="00CF7540">
        <w:rPr>
          <w:rFonts w:ascii="Book Antiqua" w:hAnsi="Book Antiqua"/>
          <w:b/>
          <w:sz w:val="24"/>
          <w:szCs w:val="24"/>
        </w:rPr>
        <w:t>62</w:t>
      </w:r>
      <w:r w:rsidRPr="00CF7540">
        <w:rPr>
          <w:rFonts w:ascii="Book Antiqua" w:hAnsi="Book Antiqua"/>
          <w:sz w:val="24"/>
          <w:szCs w:val="24"/>
        </w:rPr>
        <w:t>: 1737-1745 [PMID: 23871888 DOI: 10.1016/j.jacc.2013.05.076</w:t>
      </w:r>
      <w:r w:rsidR="0030419F">
        <w:rPr>
          <w:rFonts w:ascii="Book Antiqua" w:hAnsi="Book Antiqua"/>
          <w:sz w:val="24"/>
          <w:szCs w:val="24"/>
        </w:rPr>
        <w:t>]</w:t>
      </w:r>
    </w:p>
    <w:p w14:paraId="60274DC4" w14:textId="17177821"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12 </w:t>
      </w:r>
      <w:r w:rsidRPr="00CF7540">
        <w:rPr>
          <w:rFonts w:ascii="Book Antiqua" w:hAnsi="Book Antiqua"/>
          <w:b/>
          <w:sz w:val="24"/>
          <w:szCs w:val="24"/>
        </w:rPr>
        <w:t>Kanemaru A</w:t>
      </w:r>
      <w:r w:rsidRPr="00CF7540">
        <w:rPr>
          <w:rFonts w:ascii="Book Antiqua" w:hAnsi="Book Antiqua"/>
          <w:sz w:val="24"/>
          <w:szCs w:val="24"/>
        </w:rPr>
        <w:t xml:space="preserve">, Yamamoto K, Kawaguchi M, Fukushima T, Lin CY, Johnson MD, Camerer E, Kataoka H. Deregulated matriptase activity in oral squamous cell carcinoma promotes the infiltration of cancer-associated fibroblasts by paracrine activation of protease-activated receptor 2. </w:t>
      </w:r>
      <w:r w:rsidRPr="00CF7540">
        <w:rPr>
          <w:rFonts w:ascii="Book Antiqua" w:hAnsi="Book Antiqua"/>
          <w:i/>
          <w:sz w:val="24"/>
          <w:szCs w:val="24"/>
        </w:rPr>
        <w:t>Int J Cancer</w:t>
      </w:r>
      <w:r w:rsidRPr="00CF7540">
        <w:rPr>
          <w:rFonts w:ascii="Book Antiqua" w:hAnsi="Book Antiqua"/>
          <w:sz w:val="24"/>
          <w:szCs w:val="24"/>
        </w:rPr>
        <w:t xml:space="preserve"> 2017; </w:t>
      </w:r>
      <w:r w:rsidRPr="00CF7540">
        <w:rPr>
          <w:rFonts w:ascii="Book Antiqua" w:hAnsi="Book Antiqua"/>
          <w:b/>
          <w:sz w:val="24"/>
          <w:szCs w:val="24"/>
        </w:rPr>
        <w:t>140</w:t>
      </w:r>
      <w:r w:rsidRPr="00CF7540">
        <w:rPr>
          <w:rFonts w:ascii="Book Antiqua" w:hAnsi="Book Antiqua"/>
          <w:sz w:val="24"/>
          <w:szCs w:val="24"/>
        </w:rPr>
        <w:t>: 130-141 [PMID: 27615543 DOI: 10.1002/ijc.30426</w:t>
      </w:r>
      <w:r w:rsidR="0030419F">
        <w:rPr>
          <w:rFonts w:ascii="Book Antiqua" w:hAnsi="Book Antiqua"/>
          <w:sz w:val="24"/>
          <w:szCs w:val="24"/>
        </w:rPr>
        <w:t>]</w:t>
      </w:r>
    </w:p>
    <w:p w14:paraId="5EDF5422" w14:textId="77777777"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13 </w:t>
      </w:r>
      <w:r w:rsidRPr="00CF7540">
        <w:rPr>
          <w:rFonts w:ascii="Book Antiqua" w:hAnsi="Book Antiqua"/>
          <w:b/>
          <w:sz w:val="24"/>
          <w:szCs w:val="24"/>
        </w:rPr>
        <w:t>Quanjun D</w:t>
      </w:r>
      <w:r w:rsidRPr="00CF7540">
        <w:rPr>
          <w:rFonts w:ascii="Book Antiqua" w:hAnsi="Book Antiqua"/>
          <w:sz w:val="24"/>
          <w:szCs w:val="24"/>
        </w:rPr>
        <w:t xml:space="preserve">, Qingyu Z, Qiliang Z, Liqun X, Jinmei C, Ziquan L, Shike H. Effect and mechanism of PAR-2 on the proliferation of esophageal cancer cells. </w:t>
      </w:r>
      <w:r w:rsidRPr="00CF7540">
        <w:rPr>
          <w:rFonts w:ascii="Book Antiqua" w:hAnsi="Book Antiqua"/>
          <w:i/>
          <w:sz w:val="24"/>
          <w:szCs w:val="24"/>
        </w:rPr>
        <w:t>Eur Rev Med Pharmacol Sci</w:t>
      </w:r>
      <w:r w:rsidRPr="00CF7540">
        <w:rPr>
          <w:rFonts w:ascii="Book Antiqua" w:hAnsi="Book Antiqua"/>
          <w:sz w:val="24"/>
          <w:szCs w:val="24"/>
        </w:rPr>
        <w:t xml:space="preserve"> 2016; </w:t>
      </w:r>
      <w:r w:rsidRPr="00CF7540">
        <w:rPr>
          <w:rFonts w:ascii="Book Antiqua" w:hAnsi="Book Antiqua"/>
          <w:b/>
          <w:sz w:val="24"/>
          <w:szCs w:val="24"/>
        </w:rPr>
        <w:t>20</w:t>
      </w:r>
      <w:r w:rsidRPr="00CF7540">
        <w:rPr>
          <w:rFonts w:ascii="Book Antiqua" w:hAnsi="Book Antiqua"/>
          <w:sz w:val="24"/>
          <w:szCs w:val="24"/>
        </w:rPr>
        <w:t>: 4688-4696 [PMID: 27906434]</w:t>
      </w:r>
    </w:p>
    <w:p w14:paraId="38AB86D3" w14:textId="10747D15"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14 </w:t>
      </w:r>
      <w:r w:rsidRPr="00CF7540">
        <w:rPr>
          <w:rFonts w:ascii="Book Antiqua" w:hAnsi="Book Antiqua"/>
          <w:b/>
          <w:sz w:val="24"/>
          <w:szCs w:val="24"/>
        </w:rPr>
        <w:t>Zeeh F</w:t>
      </w:r>
      <w:r w:rsidRPr="00CF7540">
        <w:rPr>
          <w:rFonts w:ascii="Book Antiqua" w:hAnsi="Book Antiqua"/>
          <w:sz w:val="24"/>
          <w:szCs w:val="24"/>
        </w:rPr>
        <w:t xml:space="preserve">, Witte D, Gädeken T, Rauch BH, Grage-Griebenow E, Leinung N, Fromm SJ, Stölting S, Mihara K, Kaufmann R, Settmacher U, Lehnert H, Hollenberg MD, Ungefroren H. Proteinase-activated receptor 2 promotes TGF-β-dependent cell motility in pancreatic cancer cells by sustaining expression of the TGF-β type I receptor ALK5. </w:t>
      </w:r>
      <w:r w:rsidRPr="00CF7540">
        <w:rPr>
          <w:rFonts w:ascii="Book Antiqua" w:hAnsi="Book Antiqua"/>
          <w:i/>
          <w:sz w:val="24"/>
          <w:szCs w:val="24"/>
        </w:rPr>
        <w:t>Oncotarget</w:t>
      </w:r>
      <w:r w:rsidRPr="00CF7540">
        <w:rPr>
          <w:rFonts w:ascii="Book Antiqua" w:hAnsi="Book Antiqua"/>
          <w:sz w:val="24"/>
          <w:szCs w:val="24"/>
        </w:rPr>
        <w:t xml:space="preserve"> 2016; </w:t>
      </w:r>
      <w:r w:rsidRPr="00CF7540">
        <w:rPr>
          <w:rFonts w:ascii="Book Antiqua" w:hAnsi="Book Antiqua"/>
          <w:b/>
          <w:sz w:val="24"/>
          <w:szCs w:val="24"/>
        </w:rPr>
        <w:t>7</w:t>
      </w:r>
      <w:r w:rsidRPr="00CF7540">
        <w:rPr>
          <w:rFonts w:ascii="Book Antiqua" w:hAnsi="Book Antiqua"/>
          <w:sz w:val="24"/>
          <w:szCs w:val="24"/>
        </w:rPr>
        <w:t>: 41095-41109 [PMID: 27248167 DOI: 10.18632/oncotarget.9600</w:t>
      </w:r>
      <w:r w:rsidR="0030419F">
        <w:rPr>
          <w:rFonts w:ascii="Book Antiqua" w:hAnsi="Book Antiqua"/>
          <w:sz w:val="24"/>
          <w:szCs w:val="24"/>
        </w:rPr>
        <w:t>]</w:t>
      </w:r>
    </w:p>
    <w:p w14:paraId="27602AC4" w14:textId="777A667B"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15 </w:t>
      </w:r>
      <w:r w:rsidRPr="00CF7540">
        <w:rPr>
          <w:rFonts w:ascii="Book Antiqua" w:hAnsi="Book Antiqua"/>
          <w:b/>
          <w:sz w:val="24"/>
          <w:szCs w:val="24"/>
        </w:rPr>
        <w:t>Schaffner F</w:t>
      </w:r>
      <w:r w:rsidRPr="00CF7540">
        <w:rPr>
          <w:rFonts w:ascii="Book Antiqua" w:hAnsi="Book Antiqua"/>
          <w:sz w:val="24"/>
          <w:szCs w:val="24"/>
        </w:rPr>
        <w:t xml:space="preserve">, Versteeg HH, Schillert A, Yokota N, Petersen LC, Mueller BM, Ruf W. Cooperation of tissue factor cytoplasmic domain and PAR2 signaling in breast cancer development. </w:t>
      </w:r>
      <w:r w:rsidRPr="00CF7540">
        <w:rPr>
          <w:rFonts w:ascii="Book Antiqua" w:hAnsi="Book Antiqua"/>
          <w:i/>
          <w:sz w:val="24"/>
          <w:szCs w:val="24"/>
        </w:rPr>
        <w:t>Blood</w:t>
      </w:r>
      <w:r w:rsidRPr="00CF7540">
        <w:rPr>
          <w:rFonts w:ascii="Book Antiqua" w:hAnsi="Book Antiqua"/>
          <w:sz w:val="24"/>
          <w:szCs w:val="24"/>
        </w:rPr>
        <w:t xml:space="preserve"> 2010; </w:t>
      </w:r>
      <w:r w:rsidRPr="00CF7540">
        <w:rPr>
          <w:rFonts w:ascii="Book Antiqua" w:hAnsi="Book Antiqua"/>
          <w:b/>
          <w:sz w:val="24"/>
          <w:szCs w:val="24"/>
        </w:rPr>
        <w:t>116</w:t>
      </w:r>
      <w:r w:rsidRPr="00CF7540">
        <w:rPr>
          <w:rFonts w:ascii="Book Antiqua" w:hAnsi="Book Antiqua"/>
          <w:sz w:val="24"/>
          <w:szCs w:val="24"/>
        </w:rPr>
        <w:t>: 6106-6113 [PMID: 20861457 DOI: 10.1182/blood-2010-06-289314</w:t>
      </w:r>
      <w:r w:rsidR="0030419F">
        <w:rPr>
          <w:rFonts w:ascii="Book Antiqua" w:hAnsi="Book Antiqua"/>
          <w:sz w:val="24"/>
          <w:szCs w:val="24"/>
        </w:rPr>
        <w:t>]</w:t>
      </w:r>
    </w:p>
    <w:p w14:paraId="2F555A13" w14:textId="632B46AE"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16 </w:t>
      </w:r>
      <w:r w:rsidRPr="00CF7540">
        <w:rPr>
          <w:rFonts w:ascii="Book Antiqua" w:hAnsi="Book Antiqua"/>
          <w:b/>
          <w:sz w:val="24"/>
          <w:szCs w:val="24"/>
        </w:rPr>
        <w:t>Kaufmann R</w:t>
      </w:r>
      <w:r w:rsidRPr="00CF7540">
        <w:rPr>
          <w:rFonts w:ascii="Book Antiqua" w:hAnsi="Book Antiqua"/>
          <w:sz w:val="24"/>
          <w:szCs w:val="24"/>
        </w:rPr>
        <w:t xml:space="preserve">, Oettel C, Horn A, Halbhuber KJ, Eitner A, Krieg R, </w:t>
      </w:r>
      <w:r w:rsidRPr="00CF7540">
        <w:rPr>
          <w:rFonts w:ascii="Book Antiqua" w:hAnsi="Book Antiqua"/>
          <w:sz w:val="24"/>
          <w:szCs w:val="24"/>
        </w:rPr>
        <w:lastRenderedPageBreak/>
        <w:t xml:space="preserve">Katenkamp K, Henklein P, Westermann M, Böhmer FD, Ramachandran R, Saifeddine M, Hollenberg MD, Settmacher U. Met receptor tyrosine kinase transactivation is involved in proteinase-activated receptor-2-mediated hepatocellular carcinoma cell invasion. </w:t>
      </w:r>
      <w:r w:rsidRPr="00CF7540">
        <w:rPr>
          <w:rFonts w:ascii="Book Antiqua" w:hAnsi="Book Antiqua"/>
          <w:i/>
          <w:sz w:val="24"/>
          <w:szCs w:val="24"/>
        </w:rPr>
        <w:t>Carcinogenesis</w:t>
      </w:r>
      <w:r w:rsidRPr="00CF7540">
        <w:rPr>
          <w:rFonts w:ascii="Book Antiqua" w:hAnsi="Book Antiqua"/>
          <w:sz w:val="24"/>
          <w:szCs w:val="24"/>
        </w:rPr>
        <w:t xml:space="preserve"> 2009; </w:t>
      </w:r>
      <w:r w:rsidRPr="00CF7540">
        <w:rPr>
          <w:rFonts w:ascii="Book Antiqua" w:hAnsi="Book Antiqua"/>
          <w:b/>
          <w:sz w:val="24"/>
          <w:szCs w:val="24"/>
        </w:rPr>
        <w:t>30</w:t>
      </w:r>
      <w:r w:rsidRPr="00CF7540">
        <w:rPr>
          <w:rFonts w:ascii="Book Antiqua" w:hAnsi="Book Antiqua"/>
          <w:sz w:val="24"/>
          <w:szCs w:val="24"/>
        </w:rPr>
        <w:t>: 1487-1496 [PMID: 19546160 DOI: 10.1093/carcin/bgp153</w:t>
      </w:r>
      <w:r w:rsidR="0030419F">
        <w:rPr>
          <w:rFonts w:ascii="Book Antiqua" w:hAnsi="Book Antiqua"/>
          <w:sz w:val="24"/>
          <w:szCs w:val="24"/>
        </w:rPr>
        <w:t>]</w:t>
      </w:r>
    </w:p>
    <w:p w14:paraId="786D5F91" w14:textId="4BB214BE"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17 </w:t>
      </w:r>
      <w:r w:rsidRPr="00CF7540">
        <w:rPr>
          <w:rFonts w:ascii="Book Antiqua" w:hAnsi="Book Antiqua"/>
          <w:b/>
          <w:sz w:val="24"/>
          <w:szCs w:val="24"/>
        </w:rPr>
        <w:t>Kaufmann R</w:t>
      </w:r>
      <w:r w:rsidRPr="00CF7540">
        <w:rPr>
          <w:rFonts w:ascii="Book Antiqua" w:hAnsi="Book Antiqua"/>
          <w:sz w:val="24"/>
          <w:szCs w:val="24"/>
        </w:rPr>
        <w:t xml:space="preserve">, Mussbach F, Henklein P, Settmacher U. Proteinase-activated receptor 2-mediated calcium signaling in hepatocellular carcinoma cells. </w:t>
      </w:r>
      <w:r w:rsidRPr="00CF7540">
        <w:rPr>
          <w:rFonts w:ascii="Book Antiqua" w:hAnsi="Book Antiqua"/>
          <w:i/>
          <w:sz w:val="24"/>
          <w:szCs w:val="24"/>
        </w:rPr>
        <w:t>J Cancer Res Clin Oncol</w:t>
      </w:r>
      <w:r w:rsidRPr="00CF7540">
        <w:rPr>
          <w:rFonts w:ascii="Book Antiqua" w:hAnsi="Book Antiqua"/>
          <w:sz w:val="24"/>
          <w:szCs w:val="24"/>
        </w:rPr>
        <w:t xml:space="preserve"> 2011; </w:t>
      </w:r>
      <w:r w:rsidRPr="00CF7540">
        <w:rPr>
          <w:rFonts w:ascii="Book Antiqua" w:hAnsi="Book Antiqua"/>
          <w:b/>
          <w:sz w:val="24"/>
          <w:szCs w:val="24"/>
        </w:rPr>
        <w:t>137</w:t>
      </w:r>
      <w:r w:rsidRPr="00CF7540">
        <w:rPr>
          <w:rFonts w:ascii="Book Antiqua" w:hAnsi="Book Antiqua"/>
          <w:sz w:val="24"/>
          <w:szCs w:val="24"/>
        </w:rPr>
        <w:t>: 965-973 [PMID: 21125404 DOI: 10.1007/s00432-010-0961-1</w:t>
      </w:r>
      <w:r w:rsidR="0030419F">
        <w:rPr>
          <w:rFonts w:ascii="Book Antiqua" w:hAnsi="Book Antiqua"/>
          <w:sz w:val="24"/>
          <w:szCs w:val="24"/>
        </w:rPr>
        <w:t>]</w:t>
      </w:r>
    </w:p>
    <w:p w14:paraId="16F8479F" w14:textId="71FD6AE8"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18 </w:t>
      </w:r>
      <w:r w:rsidRPr="00CF7540">
        <w:rPr>
          <w:rFonts w:ascii="Book Antiqua" w:hAnsi="Book Antiqua"/>
          <w:b/>
          <w:sz w:val="24"/>
          <w:szCs w:val="24"/>
        </w:rPr>
        <w:t>Lee TK</w:t>
      </w:r>
      <w:r w:rsidRPr="00CF7540">
        <w:rPr>
          <w:rFonts w:ascii="Book Antiqua" w:hAnsi="Book Antiqua"/>
          <w:sz w:val="24"/>
          <w:szCs w:val="24"/>
        </w:rPr>
        <w:t xml:space="preserve">, Cheung VC, Lu P, Lau EY, Ma S, Tang KH, Tong M, Lo J, Ng IO. Blockade of CD47-mediated cathepsin S/protease-activated receptor 2 signaling provides a therapeutic target for hepatocellular carcinoma. </w:t>
      </w:r>
      <w:r w:rsidRPr="00CF7540">
        <w:rPr>
          <w:rFonts w:ascii="Book Antiqua" w:hAnsi="Book Antiqua"/>
          <w:i/>
          <w:sz w:val="24"/>
          <w:szCs w:val="24"/>
        </w:rPr>
        <w:t>Hepatology</w:t>
      </w:r>
      <w:r w:rsidRPr="00CF7540">
        <w:rPr>
          <w:rFonts w:ascii="Book Antiqua" w:hAnsi="Book Antiqua"/>
          <w:sz w:val="24"/>
          <w:szCs w:val="24"/>
        </w:rPr>
        <w:t xml:space="preserve"> 2014; </w:t>
      </w:r>
      <w:r w:rsidRPr="00CF7540">
        <w:rPr>
          <w:rFonts w:ascii="Book Antiqua" w:hAnsi="Book Antiqua"/>
          <w:b/>
          <w:sz w:val="24"/>
          <w:szCs w:val="24"/>
        </w:rPr>
        <w:t>60</w:t>
      </w:r>
      <w:r w:rsidRPr="00CF7540">
        <w:rPr>
          <w:rFonts w:ascii="Book Antiqua" w:hAnsi="Book Antiqua"/>
          <w:sz w:val="24"/>
          <w:szCs w:val="24"/>
        </w:rPr>
        <w:t>: 179-191 [PMID: 24523067 DOI: 10.1002/hep.27070</w:t>
      </w:r>
      <w:r w:rsidR="0030419F">
        <w:rPr>
          <w:rFonts w:ascii="Book Antiqua" w:hAnsi="Book Antiqua"/>
          <w:sz w:val="24"/>
          <w:szCs w:val="24"/>
        </w:rPr>
        <w:t>]</w:t>
      </w:r>
    </w:p>
    <w:p w14:paraId="4DE061AC" w14:textId="3F16BCDE"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19 </w:t>
      </w:r>
      <w:r w:rsidRPr="00CF7540">
        <w:rPr>
          <w:rFonts w:ascii="Book Antiqua" w:hAnsi="Book Antiqua"/>
          <w:b/>
          <w:sz w:val="24"/>
          <w:szCs w:val="24"/>
        </w:rPr>
        <w:t>Mußbach F</w:t>
      </w:r>
      <w:r w:rsidRPr="00CF7540">
        <w:rPr>
          <w:rFonts w:ascii="Book Antiqua" w:hAnsi="Book Antiqua"/>
          <w:sz w:val="24"/>
          <w:szCs w:val="24"/>
        </w:rPr>
        <w:t xml:space="preserve">, Ungefroren H, Günther B, Katenkamp K, Henklein P, Westermann M, Settmacher U, Lenk L, Sebens S, Müller JP, Böhmer FD, Kaufmann R. Proteinase-activated receptor 2 (PAR2) in hepatic stellate cells - evidence for a role in hepatocellular carcinoma growth in vivo. </w:t>
      </w:r>
      <w:r w:rsidRPr="00CF7540">
        <w:rPr>
          <w:rFonts w:ascii="Book Antiqua" w:hAnsi="Book Antiqua"/>
          <w:i/>
          <w:sz w:val="24"/>
          <w:szCs w:val="24"/>
        </w:rPr>
        <w:t>Mol Cancer</w:t>
      </w:r>
      <w:r w:rsidRPr="00CF7540">
        <w:rPr>
          <w:rFonts w:ascii="Book Antiqua" w:hAnsi="Book Antiqua"/>
          <w:sz w:val="24"/>
          <w:szCs w:val="24"/>
        </w:rPr>
        <w:t xml:space="preserve"> 2016; </w:t>
      </w:r>
      <w:r w:rsidRPr="00CF7540">
        <w:rPr>
          <w:rFonts w:ascii="Book Antiqua" w:hAnsi="Book Antiqua"/>
          <w:b/>
          <w:sz w:val="24"/>
          <w:szCs w:val="24"/>
        </w:rPr>
        <w:t>15</w:t>
      </w:r>
      <w:r w:rsidRPr="00CF7540">
        <w:rPr>
          <w:rFonts w:ascii="Book Antiqua" w:hAnsi="Book Antiqua"/>
          <w:sz w:val="24"/>
          <w:szCs w:val="24"/>
        </w:rPr>
        <w:t>: 54 [PMID: 27473374 DOI: 10.1186/s12943-016-0538-y</w:t>
      </w:r>
      <w:r w:rsidR="0030419F">
        <w:rPr>
          <w:rFonts w:ascii="Book Antiqua" w:hAnsi="Book Antiqua"/>
          <w:sz w:val="24"/>
          <w:szCs w:val="24"/>
        </w:rPr>
        <w:t>]</w:t>
      </w:r>
    </w:p>
    <w:p w14:paraId="340FE531" w14:textId="6792BF3F"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20 </w:t>
      </w:r>
      <w:r w:rsidRPr="00CF7540">
        <w:rPr>
          <w:rFonts w:ascii="Book Antiqua" w:hAnsi="Book Antiqua"/>
          <w:b/>
          <w:sz w:val="24"/>
          <w:szCs w:val="24"/>
        </w:rPr>
        <w:t>Chen KD</w:t>
      </w:r>
      <w:r w:rsidRPr="00CF7540">
        <w:rPr>
          <w:rFonts w:ascii="Book Antiqua" w:hAnsi="Book Antiqua"/>
          <w:sz w:val="24"/>
          <w:szCs w:val="24"/>
        </w:rPr>
        <w:t xml:space="preserve">, Wang CC, Tsai MC, Wu CH, Yang HJ, Chen LY, Nakano T, Goto S, Huang KT, Hu TH, Chen CL, Lin CC. Interconnections between autophagy and the coagulation cascade in hepatocellular carcinoma. </w:t>
      </w:r>
      <w:r w:rsidRPr="00CF7540">
        <w:rPr>
          <w:rFonts w:ascii="Book Antiqua" w:hAnsi="Book Antiqua"/>
          <w:i/>
          <w:sz w:val="24"/>
          <w:szCs w:val="24"/>
        </w:rPr>
        <w:t>Cell Death Dis</w:t>
      </w:r>
      <w:r w:rsidRPr="00CF7540">
        <w:rPr>
          <w:rFonts w:ascii="Book Antiqua" w:hAnsi="Book Antiqua"/>
          <w:sz w:val="24"/>
          <w:szCs w:val="24"/>
        </w:rPr>
        <w:t xml:space="preserve"> 2014; </w:t>
      </w:r>
      <w:r w:rsidRPr="00CF7540">
        <w:rPr>
          <w:rFonts w:ascii="Book Antiqua" w:hAnsi="Book Antiqua"/>
          <w:b/>
          <w:sz w:val="24"/>
          <w:szCs w:val="24"/>
        </w:rPr>
        <w:t>5</w:t>
      </w:r>
      <w:r w:rsidRPr="00CF7540">
        <w:rPr>
          <w:rFonts w:ascii="Book Antiqua" w:hAnsi="Book Antiqua"/>
          <w:sz w:val="24"/>
          <w:szCs w:val="24"/>
        </w:rPr>
        <w:t>: e1244 [PMID: 24853422 DOI: 10.1038/cddis.2014.212</w:t>
      </w:r>
      <w:r w:rsidR="0030419F">
        <w:rPr>
          <w:rFonts w:ascii="Book Antiqua" w:hAnsi="Book Antiqua"/>
          <w:sz w:val="24"/>
          <w:szCs w:val="24"/>
        </w:rPr>
        <w:t>]</w:t>
      </w:r>
    </w:p>
    <w:p w14:paraId="60D85D3E" w14:textId="6DDCCEB1"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21 </w:t>
      </w:r>
      <w:r w:rsidRPr="00CF7540">
        <w:rPr>
          <w:rFonts w:ascii="Book Antiqua" w:hAnsi="Book Antiqua"/>
          <w:b/>
          <w:sz w:val="24"/>
          <w:szCs w:val="24"/>
        </w:rPr>
        <w:t>Nieto MA</w:t>
      </w:r>
      <w:r w:rsidRPr="00CF7540">
        <w:rPr>
          <w:rFonts w:ascii="Book Antiqua" w:hAnsi="Book Antiqua"/>
          <w:sz w:val="24"/>
          <w:szCs w:val="24"/>
        </w:rPr>
        <w:t xml:space="preserve">, Huang RY, Jackson RA, Thiery JP. EMT: 2016. </w:t>
      </w:r>
      <w:r w:rsidRPr="00CF7540">
        <w:rPr>
          <w:rFonts w:ascii="Book Antiqua" w:hAnsi="Book Antiqua"/>
          <w:i/>
          <w:sz w:val="24"/>
          <w:szCs w:val="24"/>
        </w:rPr>
        <w:t>Cell</w:t>
      </w:r>
      <w:r w:rsidRPr="00CF7540">
        <w:rPr>
          <w:rFonts w:ascii="Book Antiqua" w:hAnsi="Book Antiqua"/>
          <w:sz w:val="24"/>
          <w:szCs w:val="24"/>
        </w:rPr>
        <w:t xml:space="preserve"> 2016; </w:t>
      </w:r>
      <w:r w:rsidRPr="00CF7540">
        <w:rPr>
          <w:rFonts w:ascii="Book Antiqua" w:hAnsi="Book Antiqua"/>
          <w:b/>
          <w:sz w:val="24"/>
          <w:szCs w:val="24"/>
        </w:rPr>
        <w:t>166</w:t>
      </w:r>
      <w:r w:rsidRPr="00CF7540">
        <w:rPr>
          <w:rFonts w:ascii="Book Antiqua" w:hAnsi="Book Antiqua"/>
          <w:sz w:val="24"/>
          <w:szCs w:val="24"/>
        </w:rPr>
        <w:t>: 21-45 [PMID: 27368099 DOI: 10.1016/j.cell.2016.06.028</w:t>
      </w:r>
      <w:r w:rsidR="0030419F">
        <w:rPr>
          <w:rFonts w:ascii="Book Antiqua" w:hAnsi="Book Antiqua"/>
          <w:sz w:val="24"/>
          <w:szCs w:val="24"/>
        </w:rPr>
        <w:t>]</w:t>
      </w:r>
    </w:p>
    <w:p w14:paraId="677E088F" w14:textId="4F71AB6C"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22 </w:t>
      </w:r>
      <w:r w:rsidRPr="00CF7540">
        <w:rPr>
          <w:rFonts w:ascii="Book Antiqua" w:hAnsi="Book Antiqua"/>
          <w:b/>
          <w:sz w:val="24"/>
          <w:szCs w:val="24"/>
        </w:rPr>
        <w:t>Lamouille S</w:t>
      </w:r>
      <w:r w:rsidRPr="00CF7540">
        <w:rPr>
          <w:rFonts w:ascii="Book Antiqua" w:hAnsi="Book Antiqua"/>
          <w:sz w:val="24"/>
          <w:szCs w:val="24"/>
        </w:rPr>
        <w:t xml:space="preserve">, Xu J, Derynck R. Molecular mechanisms of epithelial-mesenchymal transition. </w:t>
      </w:r>
      <w:r w:rsidRPr="00CF7540">
        <w:rPr>
          <w:rFonts w:ascii="Book Antiqua" w:hAnsi="Book Antiqua"/>
          <w:i/>
          <w:sz w:val="24"/>
          <w:szCs w:val="24"/>
        </w:rPr>
        <w:t>Nat Rev Mol Cell Biol</w:t>
      </w:r>
      <w:r w:rsidRPr="00CF7540">
        <w:rPr>
          <w:rFonts w:ascii="Book Antiqua" w:hAnsi="Book Antiqua"/>
          <w:sz w:val="24"/>
          <w:szCs w:val="24"/>
        </w:rPr>
        <w:t xml:space="preserve"> 2014; </w:t>
      </w:r>
      <w:r w:rsidRPr="00CF7540">
        <w:rPr>
          <w:rFonts w:ascii="Book Antiqua" w:hAnsi="Book Antiqua"/>
          <w:b/>
          <w:sz w:val="24"/>
          <w:szCs w:val="24"/>
        </w:rPr>
        <w:t>15</w:t>
      </w:r>
      <w:r w:rsidRPr="00CF7540">
        <w:rPr>
          <w:rFonts w:ascii="Book Antiqua" w:hAnsi="Book Antiqua"/>
          <w:sz w:val="24"/>
          <w:szCs w:val="24"/>
        </w:rPr>
        <w:t>: 178-196 [PMID: 24556840 DOI: 10.1038/nrm3758</w:t>
      </w:r>
      <w:r w:rsidR="0030419F">
        <w:rPr>
          <w:rFonts w:ascii="Book Antiqua" w:hAnsi="Book Antiqua"/>
          <w:sz w:val="24"/>
          <w:szCs w:val="24"/>
        </w:rPr>
        <w:t>]</w:t>
      </w:r>
    </w:p>
    <w:p w14:paraId="691B4B82" w14:textId="24E60D46"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23 </w:t>
      </w:r>
      <w:r w:rsidRPr="00CF7540">
        <w:rPr>
          <w:rFonts w:ascii="Book Antiqua" w:hAnsi="Book Antiqua"/>
          <w:b/>
          <w:sz w:val="24"/>
          <w:szCs w:val="24"/>
        </w:rPr>
        <w:t>De Craene B</w:t>
      </w:r>
      <w:r w:rsidRPr="00CF7540">
        <w:rPr>
          <w:rFonts w:ascii="Book Antiqua" w:hAnsi="Book Antiqua"/>
          <w:sz w:val="24"/>
          <w:szCs w:val="24"/>
        </w:rPr>
        <w:t xml:space="preserve">, Berx G. Regulatory networks defining EMT during cancer initiation and progression. </w:t>
      </w:r>
      <w:r w:rsidRPr="00CF7540">
        <w:rPr>
          <w:rFonts w:ascii="Book Antiqua" w:hAnsi="Book Antiqua"/>
          <w:i/>
          <w:sz w:val="24"/>
          <w:szCs w:val="24"/>
        </w:rPr>
        <w:t>Nat Rev Cancer</w:t>
      </w:r>
      <w:r w:rsidRPr="00CF7540">
        <w:rPr>
          <w:rFonts w:ascii="Book Antiqua" w:hAnsi="Book Antiqua"/>
          <w:sz w:val="24"/>
          <w:szCs w:val="24"/>
        </w:rPr>
        <w:t xml:space="preserve"> 2013; </w:t>
      </w:r>
      <w:r w:rsidRPr="00CF7540">
        <w:rPr>
          <w:rFonts w:ascii="Book Antiqua" w:hAnsi="Book Antiqua"/>
          <w:b/>
          <w:sz w:val="24"/>
          <w:szCs w:val="24"/>
        </w:rPr>
        <w:t>13</w:t>
      </w:r>
      <w:r w:rsidRPr="00CF7540">
        <w:rPr>
          <w:rFonts w:ascii="Book Antiqua" w:hAnsi="Book Antiqua"/>
          <w:sz w:val="24"/>
          <w:szCs w:val="24"/>
        </w:rPr>
        <w:t>: 97-110 [PMID: 23344542 DOI: 10.1038/nrc3447</w:t>
      </w:r>
      <w:r w:rsidR="0030419F">
        <w:rPr>
          <w:rFonts w:ascii="Book Antiqua" w:hAnsi="Book Antiqua"/>
          <w:sz w:val="24"/>
          <w:szCs w:val="24"/>
        </w:rPr>
        <w:t>]</w:t>
      </w:r>
    </w:p>
    <w:p w14:paraId="572CBA34" w14:textId="6A50B448"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24 </w:t>
      </w:r>
      <w:r w:rsidRPr="00CF7540">
        <w:rPr>
          <w:rFonts w:ascii="Book Antiqua" w:hAnsi="Book Antiqua"/>
          <w:b/>
          <w:sz w:val="24"/>
          <w:szCs w:val="24"/>
        </w:rPr>
        <w:t>Chua KN</w:t>
      </w:r>
      <w:r w:rsidRPr="00CF7540">
        <w:rPr>
          <w:rFonts w:ascii="Book Antiqua" w:hAnsi="Book Antiqua"/>
          <w:sz w:val="24"/>
          <w:szCs w:val="24"/>
        </w:rPr>
        <w:t xml:space="preserve">, Poon KL, Lim J, Sim WJ, Huang RY, Thiery JP. Target cell </w:t>
      </w:r>
      <w:r w:rsidRPr="00CF7540">
        <w:rPr>
          <w:rFonts w:ascii="Book Antiqua" w:hAnsi="Book Antiqua"/>
          <w:sz w:val="24"/>
          <w:szCs w:val="24"/>
        </w:rPr>
        <w:lastRenderedPageBreak/>
        <w:t xml:space="preserve">movement in tumor and cardiovascular diseases based on the epithelial-mesenchymal transition concept. </w:t>
      </w:r>
      <w:r w:rsidRPr="00CF7540">
        <w:rPr>
          <w:rFonts w:ascii="Book Antiqua" w:hAnsi="Book Antiqua"/>
          <w:i/>
          <w:sz w:val="24"/>
          <w:szCs w:val="24"/>
        </w:rPr>
        <w:t>Adv Drug Deliv Rev</w:t>
      </w:r>
      <w:r w:rsidRPr="00CF7540">
        <w:rPr>
          <w:rFonts w:ascii="Book Antiqua" w:hAnsi="Book Antiqua"/>
          <w:sz w:val="24"/>
          <w:szCs w:val="24"/>
        </w:rPr>
        <w:t xml:space="preserve"> 2011; </w:t>
      </w:r>
      <w:r w:rsidRPr="00CF7540">
        <w:rPr>
          <w:rFonts w:ascii="Book Antiqua" w:hAnsi="Book Antiqua"/>
          <w:b/>
          <w:sz w:val="24"/>
          <w:szCs w:val="24"/>
        </w:rPr>
        <w:t>63</w:t>
      </w:r>
      <w:r w:rsidRPr="00CF7540">
        <w:rPr>
          <w:rFonts w:ascii="Book Antiqua" w:hAnsi="Book Antiqua"/>
          <w:sz w:val="24"/>
          <w:szCs w:val="24"/>
        </w:rPr>
        <w:t>: 558-567 [PMID: 21335038 DOI: 10.1016/j.addr.2011.02.003</w:t>
      </w:r>
      <w:r w:rsidR="0030419F">
        <w:rPr>
          <w:rFonts w:ascii="Book Antiqua" w:hAnsi="Book Antiqua"/>
          <w:sz w:val="24"/>
          <w:szCs w:val="24"/>
        </w:rPr>
        <w:t>]</w:t>
      </w:r>
    </w:p>
    <w:p w14:paraId="69F04005" w14:textId="543BB9C2"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25 </w:t>
      </w:r>
      <w:r w:rsidRPr="00CF7540">
        <w:rPr>
          <w:rFonts w:ascii="Book Antiqua" w:hAnsi="Book Antiqua"/>
          <w:b/>
          <w:sz w:val="24"/>
          <w:szCs w:val="24"/>
        </w:rPr>
        <w:t>Pinheiro C</w:t>
      </w:r>
      <w:r w:rsidRPr="00CF7540">
        <w:rPr>
          <w:rFonts w:ascii="Book Antiqua" w:hAnsi="Book Antiqua"/>
          <w:sz w:val="24"/>
          <w:szCs w:val="24"/>
        </w:rPr>
        <w:t xml:space="preserve">, Longatto-Filho A, Scapulatempo C, Ferreira L, Martins S, Pellerin L, Rodrigues M, Alves VA, Schmitt F, Baltazar F. Increased expression of monocarboxylate transporters 1, 2, and 4 in colorectal carcinomas. </w:t>
      </w:r>
      <w:r w:rsidRPr="00CF7540">
        <w:rPr>
          <w:rFonts w:ascii="Book Antiqua" w:hAnsi="Book Antiqua"/>
          <w:i/>
          <w:sz w:val="24"/>
          <w:szCs w:val="24"/>
        </w:rPr>
        <w:t>Virchows Arch</w:t>
      </w:r>
      <w:r w:rsidRPr="00CF7540">
        <w:rPr>
          <w:rFonts w:ascii="Book Antiqua" w:hAnsi="Book Antiqua"/>
          <w:sz w:val="24"/>
          <w:szCs w:val="24"/>
        </w:rPr>
        <w:t xml:space="preserve"> 2008; </w:t>
      </w:r>
      <w:r w:rsidRPr="00CF7540">
        <w:rPr>
          <w:rFonts w:ascii="Book Antiqua" w:hAnsi="Book Antiqua"/>
          <w:b/>
          <w:sz w:val="24"/>
          <w:szCs w:val="24"/>
        </w:rPr>
        <w:t>452</w:t>
      </w:r>
      <w:r w:rsidRPr="00CF7540">
        <w:rPr>
          <w:rFonts w:ascii="Book Antiqua" w:hAnsi="Book Antiqua"/>
          <w:sz w:val="24"/>
          <w:szCs w:val="24"/>
        </w:rPr>
        <w:t>: 139-146 [PMID: 18188595 DOI: 10.1007/s00428-007-0558-5</w:t>
      </w:r>
      <w:r w:rsidR="0030419F">
        <w:rPr>
          <w:rFonts w:ascii="Book Antiqua" w:hAnsi="Book Antiqua"/>
          <w:sz w:val="24"/>
          <w:szCs w:val="24"/>
        </w:rPr>
        <w:t>]</w:t>
      </w:r>
    </w:p>
    <w:p w14:paraId="40D4E592" w14:textId="77777777"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26 </w:t>
      </w:r>
      <w:r w:rsidRPr="00CF7540">
        <w:rPr>
          <w:rFonts w:ascii="Book Antiqua" w:hAnsi="Book Antiqua"/>
          <w:b/>
          <w:sz w:val="24"/>
          <w:szCs w:val="24"/>
        </w:rPr>
        <w:t>Kudo M</w:t>
      </w:r>
      <w:r w:rsidRPr="00CF7540">
        <w:rPr>
          <w:rFonts w:ascii="Book Antiqua" w:hAnsi="Book Antiqua"/>
          <w:sz w:val="24"/>
          <w:szCs w:val="24"/>
        </w:rPr>
        <w:t xml:space="preserve">. Early detection and curative treatment of early-stage hepatocellular carcinoma. </w:t>
      </w:r>
      <w:r w:rsidRPr="00CF7540">
        <w:rPr>
          <w:rFonts w:ascii="Book Antiqua" w:hAnsi="Book Antiqua"/>
          <w:i/>
          <w:sz w:val="24"/>
          <w:szCs w:val="24"/>
        </w:rPr>
        <w:t>Clin Gastroenterol Hepatol</w:t>
      </w:r>
      <w:r w:rsidRPr="00CF7540">
        <w:rPr>
          <w:rFonts w:ascii="Book Antiqua" w:hAnsi="Book Antiqua"/>
          <w:sz w:val="24"/>
          <w:szCs w:val="24"/>
        </w:rPr>
        <w:t xml:space="preserve"> 2005; </w:t>
      </w:r>
      <w:r w:rsidRPr="00CF7540">
        <w:rPr>
          <w:rFonts w:ascii="Book Antiqua" w:hAnsi="Book Antiqua"/>
          <w:b/>
          <w:sz w:val="24"/>
          <w:szCs w:val="24"/>
        </w:rPr>
        <w:t>3</w:t>
      </w:r>
      <w:r w:rsidRPr="00CF7540">
        <w:rPr>
          <w:rFonts w:ascii="Book Antiqua" w:hAnsi="Book Antiqua"/>
          <w:sz w:val="24"/>
          <w:szCs w:val="24"/>
        </w:rPr>
        <w:t>: S144-S148 [PMID: 16234064]</w:t>
      </w:r>
    </w:p>
    <w:p w14:paraId="4277DF24" w14:textId="74E605CF"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27 </w:t>
      </w:r>
      <w:r w:rsidRPr="00CF7540">
        <w:rPr>
          <w:rFonts w:ascii="Book Antiqua" w:hAnsi="Book Antiqua"/>
          <w:b/>
          <w:sz w:val="24"/>
          <w:szCs w:val="24"/>
        </w:rPr>
        <w:t>Grotegut S</w:t>
      </w:r>
      <w:r w:rsidRPr="00CF7540">
        <w:rPr>
          <w:rFonts w:ascii="Book Antiqua" w:hAnsi="Book Antiqua"/>
          <w:sz w:val="24"/>
          <w:szCs w:val="24"/>
        </w:rPr>
        <w:t xml:space="preserve">, von Schweinitz D, Christofori G, Lehembre F. Hepatocyte growth factor induces cell scattering through MAPK/Egr-1-mediated upregulation of Snail. </w:t>
      </w:r>
      <w:r w:rsidRPr="00CF7540">
        <w:rPr>
          <w:rFonts w:ascii="Book Antiqua" w:hAnsi="Book Antiqua"/>
          <w:i/>
          <w:sz w:val="24"/>
          <w:szCs w:val="24"/>
        </w:rPr>
        <w:t>EMBO J</w:t>
      </w:r>
      <w:r w:rsidRPr="00CF7540">
        <w:rPr>
          <w:rFonts w:ascii="Book Antiqua" w:hAnsi="Book Antiqua"/>
          <w:sz w:val="24"/>
          <w:szCs w:val="24"/>
        </w:rPr>
        <w:t xml:space="preserve"> 2006; </w:t>
      </w:r>
      <w:r w:rsidRPr="00CF7540">
        <w:rPr>
          <w:rFonts w:ascii="Book Antiqua" w:hAnsi="Book Antiqua"/>
          <w:b/>
          <w:sz w:val="24"/>
          <w:szCs w:val="24"/>
        </w:rPr>
        <w:t>25</w:t>
      </w:r>
      <w:r w:rsidRPr="00CF7540">
        <w:rPr>
          <w:rFonts w:ascii="Book Antiqua" w:hAnsi="Book Antiqua"/>
          <w:sz w:val="24"/>
          <w:szCs w:val="24"/>
        </w:rPr>
        <w:t>: 3534-3545 [PMID: 16858414 DOI: 10.1038/sj.emboj.7601213</w:t>
      </w:r>
      <w:r w:rsidR="0030419F">
        <w:rPr>
          <w:rFonts w:ascii="Book Antiqua" w:hAnsi="Book Antiqua"/>
          <w:sz w:val="24"/>
          <w:szCs w:val="24"/>
        </w:rPr>
        <w:t>]</w:t>
      </w:r>
    </w:p>
    <w:p w14:paraId="0BB83E66" w14:textId="56E3ED72"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28 </w:t>
      </w:r>
      <w:r w:rsidRPr="00CF7540">
        <w:rPr>
          <w:rFonts w:ascii="Book Antiqua" w:hAnsi="Book Antiqua"/>
          <w:b/>
          <w:sz w:val="24"/>
          <w:szCs w:val="24"/>
        </w:rPr>
        <w:t>Waerner T</w:t>
      </w:r>
      <w:r w:rsidRPr="00CF7540">
        <w:rPr>
          <w:rFonts w:ascii="Book Antiqua" w:hAnsi="Book Antiqua"/>
          <w:sz w:val="24"/>
          <w:szCs w:val="24"/>
        </w:rPr>
        <w:t xml:space="preserve">, Alacakaptan M, Tamir I, Oberauer R, Gal A, Brabletz T, Schreiber M, Jechlinger M, Beug H. ILEI: a cytokine essential for EMT, tumor formation, and late events in metastasis in epithelial cells. </w:t>
      </w:r>
      <w:r w:rsidRPr="00CF7540">
        <w:rPr>
          <w:rFonts w:ascii="Book Antiqua" w:hAnsi="Book Antiqua"/>
          <w:i/>
          <w:sz w:val="24"/>
          <w:szCs w:val="24"/>
        </w:rPr>
        <w:t>Cancer Cell</w:t>
      </w:r>
      <w:r w:rsidRPr="00CF7540">
        <w:rPr>
          <w:rFonts w:ascii="Book Antiqua" w:hAnsi="Book Antiqua"/>
          <w:sz w:val="24"/>
          <w:szCs w:val="24"/>
        </w:rPr>
        <w:t xml:space="preserve"> 2006; </w:t>
      </w:r>
      <w:r w:rsidRPr="00CF7540">
        <w:rPr>
          <w:rFonts w:ascii="Book Antiqua" w:hAnsi="Book Antiqua"/>
          <w:b/>
          <w:sz w:val="24"/>
          <w:szCs w:val="24"/>
        </w:rPr>
        <w:t>10</w:t>
      </w:r>
      <w:r w:rsidRPr="00CF7540">
        <w:rPr>
          <w:rFonts w:ascii="Book Antiqua" w:hAnsi="Book Antiqua"/>
          <w:sz w:val="24"/>
          <w:szCs w:val="24"/>
        </w:rPr>
        <w:t>: 227-239 [PMID: 16959614 DOI: 10.1016/j.ccr.2006.07.020</w:t>
      </w:r>
      <w:r w:rsidR="0030419F">
        <w:rPr>
          <w:rFonts w:ascii="Book Antiqua" w:hAnsi="Book Antiqua"/>
          <w:sz w:val="24"/>
          <w:szCs w:val="24"/>
        </w:rPr>
        <w:t>]</w:t>
      </w:r>
    </w:p>
    <w:p w14:paraId="363E8C1F" w14:textId="37DD1D1B"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29 </w:t>
      </w:r>
      <w:r w:rsidRPr="00CF7540">
        <w:rPr>
          <w:rFonts w:ascii="Book Antiqua" w:hAnsi="Book Antiqua"/>
          <w:b/>
          <w:sz w:val="24"/>
          <w:szCs w:val="24"/>
        </w:rPr>
        <w:t>Cai L</w:t>
      </w:r>
      <w:r w:rsidRPr="00CF7540">
        <w:rPr>
          <w:rFonts w:ascii="Book Antiqua" w:hAnsi="Book Antiqua"/>
          <w:sz w:val="24"/>
          <w:szCs w:val="24"/>
        </w:rPr>
        <w:t xml:space="preserve">, Ye Y, Jiang Q, Chen Y, Lyu X, Li J, Wang S, Liu T, Cai H, Yao K, Li JL, Li X. Epstein-Barr virus-encoded microRNA BART1 induces tumour metastasis by regulating PTEN-dependent pathways in nasopharyngeal carcinoma. </w:t>
      </w:r>
      <w:r w:rsidRPr="00CF7540">
        <w:rPr>
          <w:rFonts w:ascii="Book Antiqua" w:hAnsi="Book Antiqua"/>
          <w:i/>
          <w:sz w:val="24"/>
          <w:szCs w:val="24"/>
        </w:rPr>
        <w:t>Nat Commun</w:t>
      </w:r>
      <w:r w:rsidRPr="00CF7540">
        <w:rPr>
          <w:rFonts w:ascii="Book Antiqua" w:hAnsi="Book Antiqua"/>
          <w:sz w:val="24"/>
          <w:szCs w:val="24"/>
        </w:rPr>
        <w:t xml:space="preserve"> 2015; </w:t>
      </w:r>
      <w:r w:rsidRPr="00CF7540">
        <w:rPr>
          <w:rFonts w:ascii="Book Antiqua" w:hAnsi="Book Antiqua"/>
          <w:b/>
          <w:sz w:val="24"/>
          <w:szCs w:val="24"/>
        </w:rPr>
        <w:t>6</w:t>
      </w:r>
      <w:r w:rsidRPr="00CF7540">
        <w:rPr>
          <w:rFonts w:ascii="Book Antiqua" w:hAnsi="Book Antiqua"/>
          <w:sz w:val="24"/>
          <w:szCs w:val="24"/>
        </w:rPr>
        <w:t>: 7353 [PMID: 26135619 DOI: 10.1038/ncomms8353</w:t>
      </w:r>
      <w:r w:rsidR="0030419F">
        <w:rPr>
          <w:rFonts w:ascii="Book Antiqua" w:hAnsi="Book Antiqua"/>
          <w:sz w:val="24"/>
          <w:szCs w:val="24"/>
        </w:rPr>
        <w:t>]</w:t>
      </w:r>
    </w:p>
    <w:p w14:paraId="18925C87" w14:textId="2F461F36"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30 </w:t>
      </w:r>
      <w:r w:rsidRPr="00CF7540">
        <w:rPr>
          <w:rFonts w:ascii="Book Antiqua" w:hAnsi="Book Antiqua"/>
          <w:b/>
          <w:sz w:val="24"/>
          <w:szCs w:val="24"/>
        </w:rPr>
        <w:t>Weiler SME</w:t>
      </w:r>
      <w:r w:rsidRPr="00CF7540">
        <w:rPr>
          <w:rFonts w:ascii="Book Antiqua" w:hAnsi="Book Antiqua"/>
          <w:sz w:val="24"/>
          <w:szCs w:val="24"/>
        </w:rPr>
        <w:t xml:space="preserve">, Pinna F, Wolf T, Lutz T, Geldiyev A, Sticht C, Knaub M, Thomann S, Bissinger M, Wan S, Rössler S, Becker D, Gretz N, Lang H, Bergmann F, Ustiyan V, Kalin TV, Singer S, Lee JS, Marquardt JU, Schirmacher P, Kalinichenko VV, Breuhahn K. Induction of Chromosome Instability by Activation of Yes-Associated Protein and Forkhead Box M1 in Liver Cancer. </w:t>
      </w:r>
      <w:r w:rsidRPr="00CF7540">
        <w:rPr>
          <w:rFonts w:ascii="Book Antiqua" w:hAnsi="Book Antiqua"/>
          <w:i/>
          <w:sz w:val="24"/>
          <w:szCs w:val="24"/>
        </w:rPr>
        <w:t>Gastroenterology</w:t>
      </w:r>
      <w:r w:rsidRPr="00CF7540">
        <w:rPr>
          <w:rFonts w:ascii="Book Antiqua" w:hAnsi="Book Antiqua"/>
          <w:sz w:val="24"/>
          <w:szCs w:val="24"/>
        </w:rPr>
        <w:t xml:space="preserve"> 2017; </w:t>
      </w:r>
      <w:r w:rsidRPr="00CF7540">
        <w:rPr>
          <w:rFonts w:ascii="Book Antiqua" w:hAnsi="Book Antiqua"/>
          <w:b/>
          <w:sz w:val="24"/>
          <w:szCs w:val="24"/>
        </w:rPr>
        <w:t>152</w:t>
      </w:r>
      <w:r w:rsidRPr="00CF7540">
        <w:rPr>
          <w:rFonts w:ascii="Book Antiqua" w:hAnsi="Book Antiqua"/>
          <w:sz w:val="24"/>
          <w:szCs w:val="24"/>
        </w:rPr>
        <w:t>: 2037-2051.e22 [PMID: 28249813 DOI: 10.1053/j.gastro.2017.02.018</w:t>
      </w:r>
      <w:r w:rsidR="0030419F">
        <w:rPr>
          <w:rFonts w:ascii="Book Antiqua" w:hAnsi="Book Antiqua"/>
          <w:sz w:val="24"/>
          <w:szCs w:val="24"/>
        </w:rPr>
        <w:t>]</w:t>
      </w:r>
    </w:p>
    <w:p w14:paraId="41F463A9" w14:textId="0EE1DBAA"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lastRenderedPageBreak/>
        <w:t xml:space="preserve">31 </w:t>
      </w:r>
      <w:r w:rsidRPr="00CF7540">
        <w:rPr>
          <w:rFonts w:ascii="Book Antiqua" w:hAnsi="Book Antiqua"/>
          <w:b/>
          <w:sz w:val="24"/>
          <w:szCs w:val="24"/>
        </w:rPr>
        <w:t>Nakagawa H</w:t>
      </w:r>
      <w:r w:rsidRPr="00CF7540">
        <w:rPr>
          <w:rFonts w:ascii="Book Antiqua" w:hAnsi="Book Antiqua"/>
          <w:sz w:val="24"/>
          <w:szCs w:val="24"/>
        </w:rPr>
        <w:t xml:space="preserve">, Mizukoshi E, Kobayashi E, Tamai T, Hamana H, Ozawa T, Kishi H, Kitahara M, Yamashita T, Arai K, Terashima T, Iida N, Fushimi K, Muraguchi A, Kaneko S. Association Between High-Avidity T-Cell Receptors, Induced by α-Fetoprotein-Derived Peptides, and Anti-Tumor Effects in Patients With Hepatocellular Carcinoma. </w:t>
      </w:r>
      <w:r w:rsidRPr="00CF7540">
        <w:rPr>
          <w:rFonts w:ascii="Book Antiqua" w:hAnsi="Book Antiqua"/>
          <w:i/>
          <w:sz w:val="24"/>
          <w:szCs w:val="24"/>
        </w:rPr>
        <w:t>Gastroenterology</w:t>
      </w:r>
      <w:r w:rsidRPr="00CF7540">
        <w:rPr>
          <w:rFonts w:ascii="Book Antiqua" w:hAnsi="Book Antiqua"/>
          <w:sz w:val="24"/>
          <w:szCs w:val="24"/>
        </w:rPr>
        <w:t xml:space="preserve"> 2017; </w:t>
      </w:r>
      <w:r w:rsidRPr="00CF7540">
        <w:rPr>
          <w:rFonts w:ascii="Book Antiqua" w:hAnsi="Book Antiqua"/>
          <w:b/>
          <w:sz w:val="24"/>
          <w:szCs w:val="24"/>
        </w:rPr>
        <w:t>152</w:t>
      </w:r>
      <w:r w:rsidRPr="00CF7540">
        <w:rPr>
          <w:rFonts w:ascii="Book Antiqua" w:hAnsi="Book Antiqua"/>
          <w:sz w:val="24"/>
          <w:szCs w:val="24"/>
        </w:rPr>
        <w:t>: 1395-1406.e10 [PMID: 28188748 DOI: 10.1053/j.gastro.2017.02.001</w:t>
      </w:r>
      <w:r w:rsidR="0030419F">
        <w:rPr>
          <w:rFonts w:ascii="Book Antiqua" w:hAnsi="Book Antiqua"/>
          <w:sz w:val="24"/>
          <w:szCs w:val="24"/>
        </w:rPr>
        <w:t>]</w:t>
      </w:r>
    </w:p>
    <w:p w14:paraId="57A02236" w14:textId="78693BA7"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32 </w:t>
      </w:r>
      <w:r w:rsidRPr="00CF7540">
        <w:rPr>
          <w:rFonts w:ascii="Book Antiqua" w:hAnsi="Book Antiqua"/>
          <w:b/>
          <w:sz w:val="24"/>
          <w:szCs w:val="24"/>
        </w:rPr>
        <w:t>Schneider AT</w:t>
      </w:r>
      <w:r w:rsidRPr="00CF7540">
        <w:rPr>
          <w:rFonts w:ascii="Book Antiqua" w:hAnsi="Book Antiqua"/>
          <w:sz w:val="24"/>
          <w:szCs w:val="24"/>
        </w:rPr>
        <w:t xml:space="preserve">, Gautheron J, Feoktistova M, Roderburg C, Loosen SH, Roy S, Benz F, Schemmer P, Büchler MW, Nachbur U, Neumann UP, Tolba R, Luedde M, Zucman-Rossi J, Panayotova-Dimitrova D, Leverkus M, Preisinger C, Tacke F, Trautwein C, Longerich T, Vucur M, Luedde T. RIPK1 Suppresses a TRAF2-Dependent Pathway to Liver Cancer. </w:t>
      </w:r>
      <w:r w:rsidRPr="00CF7540">
        <w:rPr>
          <w:rFonts w:ascii="Book Antiqua" w:hAnsi="Book Antiqua"/>
          <w:i/>
          <w:sz w:val="24"/>
          <w:szCs w:val="24"/>
        </w:rPr>
        <w:t>Cancer Cell</w:t>
      </w:r>
      <w:r w:rsidRPr="00CF7540">
        <w:rPr>
          <w:rFonts w:ascii="Book Antiqua" w:hAnsi="Book Antiqua"/>
          <w:sz w:val="24"/>
          <w:szCs w:val="24"/>
        </w:rPr>
        <w:t xml:space="preserve"> 2017; </w:t>
      </w:r>
      <w:r w:rsidRPr="00CF7540">
        <w:rPr>
          <w:rFonts w:ascii="Book Antiqua" w:hAnsi="Book Antiqua"/>
          <w:b/>
          <w:sz w:val="24"/>
          <w:szCs w:val="24"/>
        </w:rPr>
        <w:t>31</w:t>
      </w:r>
      <w:r w:rsidRPr="00CF7540">
        <w:rPr>
          <w:rFonts w:ascii="Book Antiqua" w:hAnsi="Book Antiqua"/>
          <w:sz w:val="24"/>
          <w:szCs w:val="24"/>
        </w:rPr>
        <w:t>: 94-109 [PMID: 28017612 DOI: 10.1016/j.ccell.2016.11.009</w:t>
      </w:r>
      <w:r w:rsidR="0030419F">
        <w:rPr>
          <w:rFonts w:ascii="Book Antiqua" w:hAnsi="Book Antiqua"/>
          <w:sz w:val="24"/>
          <w:szCs w:val="24"/>
        </w:rPr>
        <w:t>]</w:t>
      </w:r>
    </w:p>
    <w:p w14:paraId="354D46F6" w14:textId="5A8CDABA"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33 </w:t>
      </w:r>
      <w:r w:rsidRPr="00CF7540">
        <w:rPr>
          <w:rFonts w:ascii="Book Antiqua" w:hAnsi="Book Antiqua"/>
          <w:b/>
          <w:sz w:val="24"/>
          <w:szCs w:val="24"/>
        </w:rPr>
        <w:t>Fortin J</w:t>
      </w:r>
      <w:r w:rsidRPr="00CF7540">
        <w:rPr>
          <w:rFonts w:ascii="Book Antiqua" w:hAnsi="Book Antiqua"/>
          <w:sz w:val="24"/>
          <w:szCs w:val="24"/>
        </w:rPr>
        <w:t xml:space="preserve">, Mak TW. Targeting PI3K Signaling in Cancer: A Cautionary Tale of Two AKTs. </w:t>
      </w:r>
      <w:r w:rsidRPr="00CF7540">
        <w:rPr>
          <w:rFonts w:ascii="Book Antiqua" w:hAnsi="Book Antiqua"/>
          <w:i/>
          <w:sz w:val="24"/>
          <w:szCs w:val="24"/>
        </w:rPr>
        <w:t>Cancer Cell</w:t>
      </w:r>
      <w:r w:rsidRPr="00CF7540">
        <w:rPr>
          <w:rFonts w:ascii="Book Antiqua" w:hAnsi="Book Antiqua"/>
          <w:sz w:val="24"/>
          <w:szCs w:val="24"/>
        </w:rPr>
        <w:t xml:space="preserve"> 2016; </w:t>
      </w:r>
      <w:r w:rsidRPr="00CF7540">
        <w:rPr>
          <w:rFonts w:ascii="Book Antiqua" w:hAnsi="Book Antiqua"/>
          <w:b/>
          <w:sz w:val="24"/>
          <w:szCs w:val="24"/>
        </w:rPr>
        <w:t>29</w:t>
      </w:r>
      <w:r w:rsidRPr="00CF7540">
        <w:rPr>
          <w:rFonts w:ascii="Book Antiqua" w:hAnsi="Book Antiqua"/>
          <w:sz w:val="24"/>
          <w:szCs w:val="24"/>
        </w:rPr>
        <w:t>: 429-431 [PMID: 27070694 DOI: 10.1016/j.ccell.2016.03.020</w:t>
      </w:r>
      <w:r w:rsidR="0030419F">
        <w:rPr>
          <w:rFonts w:ascii="Book Antiqua" w:hAnsi="Book Antiqua"/>
          <w:sz w:val="24"/>
          <w:szCs w:val="24"/>
        </w:rPr>
        <w:t>]</w:t>
      </w:r>
    </w:p>
    <w:p w14:paraId="70A820EF" w14:textId="413FDD4C" w:rsidR="006B1CDB" w:rsidRPr="00CF7540" w:rsidRDefault="006B1CDB" w:rsidP="0030419F">
      <w:pPr>
        <w:adjustRightInd w:val="0"/>
        <w:snapToGrid w:val="0"/>
        <w:spacing w:line="360" w:lineRule="auto"/>
        <w:rPr>
          <w:rFonts w:ascii="Book Antiqua" w:hAnsi="Book Antiqua"/>
          <w:sz w:val="24"/>
          <w:szCs w:val="24"/>
        </w:rPr>
      </w:pPr>
      <w:r w:rsidRPr="00CF7540">
        <w:rPr>
          <w:rFonts w:ascii="Book Antiqua" w:hAnsi="Book Antiqua"/>
          <w:sz w:val="24"/>
          <w:szCs w:val="24"/>
        </w:rPr>
        <w:t xml:space="preserve">34 </w:t>
      </w:r>
      <w:r w:rsidRPr="00CF7540">
        <w:rPr>
          <w:rFonts w:ascii="Book Antiqua" w:hAnsi="Book Antiqua"/>
          <w:b/>
          <w:sz w:val="24"/>
          <w:szCs w:val="24"/>
        </w:rPr>
        <w:t>Cattaruzza F</w:t>
      </w:r>
      <w:r w:rsidRPr="00CF7540">
        <w:rPr>
          <w:rFonts w:ascii="Book Antiqua" w:hAnsi="Book Antiqua"/>
          <w:sz w:val="24"/>
          <w:szCs w:val="24"/>
        </w:rPr>
        <w:t xml:space="preserve">, Amadesi S, Carlsson JF, Murphy JE, Lyo V, Kirkwood K, Cottrell GS, Bogyo M, Knecht W, Bunnett NW. Serine proteases and protease-activated receptor 2 mediate the proinflammatory and algesic actions of diverse stimulants. </w:t>
      </w:r>
      <w:r w:rsidRPr="00CF7540">
        <w:rPr>
          <w:rFonts w:ascii="Book Antiqua" w:hAnsi="Book Antiqua"/>
          <w:i/>
          <w:sz w:val="24"/>
          <w:szCs w:val="24"/>
        </w:rPr>
        <w:t>Br J Pharmacol</w:t>
      </w:r>
      <w:r w:rsidRPr="00CF7540">
        <w:rPr>
          <w:rFonts w:ascii="Book Antiqua" w:hAnsi="Book Antiqua"/>
          <w:sz w:val="24"/>
          <w:szCs w:val="24"/>
        </w:rPr>
        <w:t xml:space="preserve"> 2014; </w:t>
      </w:r>
      <w:r w:rsidRPr="00CF7540">
        <w:rPr>
          <w:rFonts w:ascii="Book Antiqua" w:hAnsi="Book Antiqua"/>
          <w:b/>
          <w:sz w:val="24"/>
          <w:szCs w:val="24"/>
        </w:rPr>
        <w:t>171</w:t>
      </w:r>
      <w:r w:rsidRPr="00CF7540">
        <w:rPr>
          <w:rFonts w:ascii="Book Antiqua" w:hAnsi="Book Antiqua"/>
          <w:sz w:val="24"/>
          <w:szCs w:val="24"/>
        </w:rPr>
        <w:t>: 3814-3826 [PMID: 24749982 DOI: 10.1111/bph.12738</w:t>
      </w:r>
      <w:r w:rsidR="0030419F">
        <w:rPr>
          <w:rFonts w:ascii="Book Antiqua" w:hAnsi="Book Antiqua"/>
          <w:sz w:val="24"/>
          <w:szCs w:val="24"/>
        </w:rPr>
        <w:t>]</w:t>
      </w:r>
    </w:p>
    <w:p w14:paraId="7D045B4B" w14:textId="079AF9A2" w:rsidR="006B1CDB" w:rsidRDefault="006B1CDB" w:rsidP="0030419F">
      <w:pPr>
        <w:adjustRightInd w:val="0"/>
        <w:snapToGrid w:val="0"/>
        <w:spacing w:line="360" w:lineRule="auto"/>
        <w:rPr>
          <w:rFonts w:ascii="Book Antiqua" w:hAnsi="Book Antiqua"/>
          <w:sz w:val="24"/>
          <w:szCs w:val="24"/>
          <w:lang w:eastAsia="zh-CN"/>
        </w:rPr>
      </w:pPr>
      <w:r w:rsidRPr="00CF7540">
        <w:rPr>
          <w:rFonts w:ascii="Book Antiqua" w:hAnsi="Book Antiqua"/>
          <w:sz w:val="24"/>
          <w:szCs w:val="24"/>
        </w:rPr>
        <w:t xml:space="preserve">35 </w:t>
      </w:r>
      <w:r w:rsidRPr="00CF7540">
        <w:rPr>
          <w:rFonts w:ascii="Book Antiqua" w:hAnsi="Book Antiqua"/>
          <w:b/>
          <w:sz w:val="24"/>
          <w:szCs w:val="24"/>
        </w:rPr>
        <w:t>Gui Y</w:t>
      </w:r>
      <w:r w:rsidRPr="00CF7540">
        <w:rPr>
          <w:rFonts w:ascii="Book Antiqua" w:hAnsi="Book Antiqua"/>
          <w:sz w:val="24"/>
          <w:szCs w:val="24"/>
        </w:rPr>
        <w:t xml:space="preserve">, Khan MGM, Bobbala D, Dubois C, Ramanathan S, Saucier C, Ilangumaran S. Attenuation of MET-mediated migration and invasion in hepatocellular carcinoma cells by SOCS1. </w:t>
      </w:r>
      <w:r w:rsidRPr="00CF7540">
        <w:rPr>
          <w:rFonts w:ascii="Book Antiqua" w:hAnsi="Book Antiqua"/>
          <w:i/>
          <w:sz w:val="24"/>
          <w:szCs w:val="24"/>
        </w:rPr>
        <w:t>World J Gastroenterol</w:t>
      </w:r>
      <w:r w:rsidRPr="00CF7540">
        <w:rPr>
          <w:rFonts w:ascii="Book Antiqua" w:hAnsi="Book Antiqua"/>
          <w:sz w:val="24"/>
          <w:szCs w:val="24"/>
        </w:rPr>
        <w:t xml:space="preserve"> 2017; </w:t>
      </w:r>
      <w:r w:rsidRPr="00CF7540">
        <w:rPr>
          <w:rFonts w:ascii="Book Antiqua" w:hAnsi="Book Antiqua"/>
          <w:b/>
          <w:sz w:val="24"/>
          <w:szCs w:val="24"/>
        </w:rPr>
        <w:t>23</w:t>
      </w:r>
      <w:r w:rsidRPr="00CF7540">
        <w:rPr>
          <w:rFonts w:ascii="Book Antiqua" w:hAnsi="Book Antiqua"/>
          <w:sz w:val="24"/>
          <w:szCs w:val="24"/>
        </w:rPr>
        <w:t>: 6639-6649 [PMID: 29085209 DOI: 10.3748/wjg.v23.i36.6639</w:t>
      </w:r>
      <w:r w:rsidR="0030419F">
        <w:rPr>
          <w:rFonts w:ascii="Book Antiqua" w:hAnsi="Book Antiqua"/>
          <w:sz w:val="24"/>
          <w:szCs w:val="24"/>
        </w:rPr>
        <w:t>]</w:t>
      </w:r>
    </w:p>
    <w:p w14:paraId="30F0F64D" w14:textId="6DFBB697" w:rsidR="006B1CDB" w:rsidRDefault="006B1CDB" w:rsidP="0030419F">
      <w:pPr>
        <w:adjustRightInd w:val="0"/>
        <w:snapToGrid w:val="0"/>
        <w:spacing w:line="360" w:lineRule="auto"/>
        <w:jc w:val="right"/>
        <w:rPr>
          <w:rFonts w:ascii="Book Antiqua" w:hAnsi="Book Antiqua"/>
          <w:b/>
          <w:sz w:val="24"/>
          <w:szCs w:val="24"/>
          <w:lang w:eastAsia="zh-CN"/>
        </w:rPr>
      </w:pPr>
      <w:r w:rsidRPr="00F3040C">
        <w:rPr>
          <w:rFonts w:ascii="Book Antiqua" w:hAnsi="Book Antiqua"/>
          <w:b/>
          <w:sz w:val="24"/>
          <w:szCs w:val="24"/>
          <w:lang w:eastAsia="zh-CN"/>
        </w:rPr>
        <w:t>P-Reviewer:</w:t>
      </w:r>
      <w:r w:rsidRPr="003F5EE6">
        <w:rPr>
          <w:rFonts w:ascii="Verdana" w:hAnsi="Verdana"/>
          <w:sz w:val="20"/>
          <w:szCs w:val="20"/>
          <w:shd w:val="clear" w:color="auto" w:fill="FFFFFF"/>
        </w:rPr>
        <w:t xml:space="preserve"> </w:t>
      </w:r>
      <w:r w:rsidRPr="006B1CDB">
        <w:rPr>
          <w:rFonts w:ascii="Book Antiqua" w:hAnsi="Book Antiqua"/>
          <w:sz w:val="24"/>
          <w:szCs w:val="24"/>
          <w:shd w:val="clear" w:color="auto" w:fill="FFFFFF"/>
        </w:rPr>
        <w:t>Midorikawa</w:t>
      </w:r>
      <w:r>
        <w:rPr>
          <w:rFonts w:ascii="Book Antiqua" w:hAnsi="Book Antiqua" w:hint="eastAsia"/>
          <w:sz w:val="24"/>
          <w:szCs w:val="24"/>
          <w:shd w:val="clear" w:color="auto" w:fill="FFFFFF"/>
          <w:lang w:eastAsia="zh-CN"/>
        </w:rPr>
        <w:t xml:space="preserve"> Y</w:t>
      </w:r>
      <w:r w:rsidRPr="00C36E9C">
        <w:rPr>
          <w:rFonts w:ascii="Book Antiqua" w:hAnsi="Book Antiqua"/>
          <w:sz w:val="24"/>
          <w:szCs w:val="24"/>
          <w:lang w:eastAsia="zh-CN"/>
        </w:rPr>
        <w:t xml:space="preserve">, </w:t>
      </w:r>
      <w:r w:rsidRPr="006B1CDB">
        <w:rPr>
          <w:rFonts w:ascii="Book Antiqua" w:hAnsi="Book Antiqua"/>
          <w:sz w:val="24"/>
          <w:szCs w:val="24"/>
          <w:lang w:eastAsia="zh-CN"/>
        </w:rPr>
        <w:t>Vij</w:t>
      </w:r>
      <w:r>
        <w:rPr>
          <w:rFonts w:ascii="Book Antiqua" w:hAnsi="Book Antiqua" w:hint="eastAsia"/>
          <w:sz w:val="24"/>
          <w:szCs w:val="24"/>
          <w:lang w:eastAsia="zh-CN"/>
        </w:rPr>
        <w:t xml:space="preserve"> M, </w:t>
      </w:r>
      <w:r w:rsidRPr="006B1CDB">
        <w:rPr>
          <w:rFonts w:ascii="Book Antiqua" w:hAnsi="Book Antiqua"/>
          <w:sz w:val="24"/>
          <w:szCs w:val="24"/>
          <w:lang w:eastAsia="zh-CN"/>
        </w:rPr>
        <w:t>Ilangumaran</w:t>
      </w:r>
      <w:r>
        <w:rPr>
          <w:rFonts w:ascii="Book Antiqua" w:hAnsi="Book Antiqua" w:hint="eastAsia"/>
          <w:sz w:val="24"/>
          <w:szCs w:val="24"/>
          <w:lang w:eastAsia="zh-CN"/>
        </w:rPr>
        <w:t xml:space="preserve"> S, </w:t>
      </w:r>
      <w:r w:rsidRPr="006B1CDB">
        <w:rPr>
          <w:rFonts w:ascii="Book Antiqua" w:hAnsi="Book Antiqua"/>
          <w:sz w:val="24"/>
          <w:szCs w:val="24"/>
          <w:lang w:eastAsia="zh-CN"/>
        </w:rPr>
        <w:t>Sakaguchi T</w:t>
      </w:r>
    </w:p>
    <w:p w14:paraId="6867576B" w14:textId="2725BE21" w:rsidR="006B1CDB" w:rsidRPr="00F3040C" w:rsidRDefault="006B1CDB" w:rsidP="0030419F">
      <w:pPr>
        <w:adjustRightInd w:val="0"/>
        <w:snapToGrid w:val="0"/>
        <w:spacing w:line="360" w:lineRule="auto"/>
        <w:jc w:val="right"/>
        <w:rPr>
          <w:rFonts w:ascii="Book Antiqua" w:hAnsi="Book Antiqua"/>
          <w:sz w:val="24"/>
          <w:szCs w:val="24"/>
          <w:lang w:eastAsia="zh-CN"/>
        </w:rPr>
      </w:pPr>
      <w:r w:rsidRPr="00F3040C">
        <w:rPr>
          <w:rFonts w:ascii="Book Antiqua" w:hAnsi="Book Antiqua"/>
          <w:b/>
          <w:sz w:val="24"/>
          <w:szCs w:val="24"/>
          <w:lang w:eastAsia="zh-CN"/>
        </w:rPr>
        <w:t>S-Editor:</w:t>
      </w:r>
      <w:r w:rsidRPr="00F3040C">
        <w:rPr>
          <w:rFonts w:ascii="Book Antiqua" w:hAnsi="Book Antiqua"/>
          <w:sz w:val="24"/>
          <w:szCs w:val="24"/>
          <w:lang w:eastAsia="zh-CN"/>
        </w:rPr>
        <w:t xml:space="preserve"> Gong ZM</w:t>
      </w:r>
    </w:p>
    <w:p w14:paraId="5F91910A" w14:textId="77777777" w:rsidR="006B1CDB" w:rsidRDefault="006B1CDB" w:rsidP="0030419F">
      <w:pPr>
        <w:adjustRightInd w:val="0"/>
        <w:snapToGrid w:val="0"/>
        <w:spacing w:line="360" w:lineRule="auto"/>
        <w:jc w:val="right"/>
        <w:rPr>
          <w:rFonts w:ascii="Book Antiqua" w:hAnsi="Book Antiqua"/>
          <w:b/>
          <w:sz w:val="24"/>
          <w:szCs w:val="24"/>
          <w:lang w:eastAsia="zh-CN"/>
        </w:rPr>
      </w:pPr>
      <w:r w:rsidRPr="00F3040C">
        <w:rPr>
          <w:rFonts w:ascii="Book Antiqua" w:hAnsi="Book Antiqua"/>
          <w:b/>
          <w:sz w:val="24"/>
          <w:szCs w:val="24"/>
          <w:lang w:eastAsia="zh-CN"/>
        </w:rPr>
        <w:t>L-Ed</w:t>
      </w:r>
      <w:r w:rsidRPr="003F5EE6">
        <w:rPr>
          <w:rFonts w:ascii="Book Antiqua" w:hAnsi="Book Antiqua"/>
          <w:b/>
          <w:sz w:val="24"/>
          <w:szCs w:val="24"/>
          <w:lang w:eastAsia="zh-CN"/>
        </w:rPr>
        <w:t>itor: E-Editor:</w:t>
      </w:r>
    </w:p>
    <w:p w14:paraId="44A05690" w14:textId="77777777"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b/>
          <w:sz w:val="24"/>
          <w:szCs w:val="24"/>
          <w:lang w:eastAsia="zh-CN"/>
        </w:rPr>
        <w:t>Specialty type:</w:t>
      </w:r>
      <w:r w:rsidRPr="00F3040C">
        <w:rPr>
          <w:rFonts w:ascii="Book Antiqua" w:hAnsi="Book Antiqua"/>
          <w:sz w:val="24"/>
          <w:szCs w:val="24"/>
          <w:lang w:eastAsia="zh-CN"/>
        </w:rPr>
        <w:t xml:space="preserve"> Gastroenterology and hepatology</w:t>
      </w:r>
    </w:p>
    <w:p w14:paraId="5625B48B" w14:textId="77777777"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b/>
          <w:sz w:val="24"/>
          <w:szCs w:val="24"/>
          <w:lang w:eastAsia="zh-CN"/>
        </w:rPr>
        <w:t>Country of origin:</w:t>
      </w:r>
      <w:r w:rsidRPr="00F3040C">
        <w:rPr>
          <w:rFonts w:ascii="Book Antiqua" w:hAnsi="Book Antiqua"/>
          <w:sz w:val="24"/>
          <w:szCs w:val="24"/>
          <w:lang w:eastAsia="zh-CN"/>
        </w:rPr>
        <w:t xml:space="preserve"> China</w:t>
      </w:r>
    </w:p>
    <w:p w14:paraId="7F8C175A" w14:textId="77777777" w:rsidR="006B1CDB" w:rsidRPr="00F3040C" w:rsidRDefault="006B1CDB" w:rsidP="0030419F">
      <w:pPr>
        <w:adjustRightInd w:val="0"/>
        <w:snapToGrid w:val="0"/>
        <w:spacing w:line="360" w:lineRule="auto"/>
        <w:rPr>
          <w:rFonts w:ascii="Book Antiqua" w:hAnsi="Book Antiqua"/>
          <w:b/>
          <w:sz w:val="24"/>
          <w:szCs w:val="24"/>
          <w:lang w:eastAsia="zh-CN"/>
        </w:rPr>
      </w:pPr>
      <w:r w:rsidRPr="00F3040C">
        <w:rPr>
          <w:rFonts w:ascii="Book Antiqua" w:hAnsi="Book Antiqua"/>
          <w:b/>
          <w:sz w:val="24"/>
          <w:szCs w:val="24"/>
          <w:lang w:eastAsia="zh-CN"/>
        </w:rPr>
        <w:t>Peer-review report classification</w:t>
      </w:r>
    </w:p>
    <w:p w14:paraId="3C68D640" w14:textId="77777777"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sz w:val="24"/>
          <w:szCs w:val="24"/>
          <w:lang w:eastAsia="zh-CN"/>
        </w:rPr>
        <w:t>Grade A (Excellent): 0</w:t>
      </w:r>
    </w:p>
    <w:p w14:paraId="1CF02726" w14:textId="614524EF"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sz w:val="24"/>
          <w:szCs w:val="24"/>
          <w:lang w:eastAsia="zh-CN"/>
        </w:rPr>
        <w:lastRenderedPageBreak/>
        <w:t xml:space="preserve">Grade B (Very good): </w:t>
      </w:r>
      <w:r>
        <w:rPr>
          <w:rFonts w:ascii="Book Antiqua" w:hAnsi="Book Antiqua" w:hint="eastAsia"/>
          <w:sz w:val="24"/>
          <w:szCs w:val="24"/>
          <w:lang w:eastAsia="zh-CN"/>
        </w:rPr>
        <w:t xml:space="preserve">B, B, B </w:t>
      </w:r>
    </w:p>
    <w:p w14:paraId="441AA4BC" w14:textId="08955097"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sz w:val="24"/>
          <w:szCs w:val="24"/>
          <w:lang w:eastAsia="zh-CN"/>
        </w:rPr>
        <w:t>Grade C (Good):</w:t>
      </w:r>
      <w:r>
        <w:rPr>
          <w:rFonts w:ascii="Book Antiqua" w:hAnsi="Book Antiqua" w:hint="eastAsia"/>
          <w:sz w:val="24"/>
          <w:szCs w:val="24"/>
          <w:lang w:eastAsia="zh-CN"/>
        </w:rPr>
        <w:t xml:space="preserve"> C</w:t>
      </w:r>
    </w:p>
    <w:p w14:paraId="4D2EA886" w14:textId="77777777"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sz w:val="24"/>
          <w:szCs w:val="24"/>
          <w:lang w:eastAsia="zh-CN"/>
        </w:rPr>
        <w:t>Grade D (Fair): 0</w:t>
      </w:r>
    </w:p>
    <w:p w14:paraId="1203E98F" w14:textId="77777777" w:rsidR="006B1CDB" w:rsidRPr="00F3040C" w:rsidRDefault="006B1CDB" w:rsidP="0030419F">
      <w:pPr>
        <w:adjustRightInd w:val="0"/>
        <w:snapToGrid w:val="0"/>
        <w:spacing w:line="360" w:lineRule="auto"/>
        <w:rPr>
          <w:rFonts w:ascii="Book Antiqua" w:hAnsi="Book Antiqua"/>
          <w:sz w:val="24"/>
          <w:szCs w:val="24"/>
          <w:lang w:eastAsia="zh-CN"/>
        </w:rPr>
      </w:pPr>
      <w:r w:rsidRPr="00F3040C">
        <w:rPr>
          <w:rFonts w:ascii="Book Antiqua" w:hAnsi="Book Antiqua"/>
          <w:sz w:val="24"/>
          <w:szCs w:val="24"/>
          <w:lang w:eastAsia="zh-CN"/>
        </w:rPr>
        <w:t>Grade E (Poor): 0</w:t>
      </w:r>
    </w:p>
    <w:p w14:paraId="513B6206" w14:textId="77777777" w:rsidR="006B1CDB" w:rsidRPr="00CF7540" w:rsidRDefault="006B1CDB" w:rsidP="0030419F">
      <w:pPr>
        <w:adjustRightInd w:val="0"/>
        <w:snapToGrid w:val="0"/>
        <w:spacing w:line="360" w:lineRule="auto"/>
        <w:rPr>
          <w:rFonts w:ascii="Book Antiqua" w:hAnsi="Book Antiqua"/>
          <w:sz w:val="24"/>
          <w:szCs w:val="24"/>
          <w:lang w:eastAsia="zh-CN"/>
        </w:rPr>
      </w:pPr>
    </w:p>
    <w:p w14:paraId="7BF50254" w14:textId="01675033" w:rsidR="0076156B" w:rsidRDefault="0076156B" w:rsidP="0030419F">
      <w:pPr>
        <w:snapToGrid w:val="0"/>
        <w:spacing w:line="360" w:lineRule="auto"/>
        <w:rPr>
          <w:rFonts w:ascii="Book Antiqua" w:hAnsi="Book Antiqua"/>
          <w:color w:val="auto"/>
          <w:sz w:val="24"/>
          <w:szCs w:val="24"/>
          <w:lang w:eastAsia="zh-CN"/>
        </w:rPr>
      </w:pPr>
      <w:r>
        <w:rPr>
          <w:rFonts w:ascii="Book Antiqua" w:hAnsi="Book Antiqua"/>
          <w:color w:val="auto"/>
          <w:sz w:val="24"/>
          <w:szCs w:val="24"/>
          <w:lang w:eastAsia="zh-CN"/>
        </w:rPr>
        <w:br w:type="page"/>
      </w:r>
    </w:p>
    <w:p w14:paraId="12EAEFDC" w14:textId="15AA5D43" w:rsidR="00BA6B61" w:rsidRPr="00BA6B61" w:rsidRDefault="00A63DC3" w:rsidP="0030419F">
      <w:pPr>
        <w:adjustRightInd w:val="0"/>
        <w:snapToGrid w:val="0"/>
        <w:spacing w:line="360" w:lineRule="auto"/>
        <w:rPr>
          <w:rFonts w:ascii="Book Antiqua" w:hAnsi="Book Antiqua"/>
          <w:b/>
          <w:color w:val="auto"/>
          <w:sz w:val="24"/>
          <w:szCs w:val="24"/>
          <w:lang w:eastAsia="zh-CN"/>
        </w:rPr>
      </w:pPr>
      <w:r w:rsidRPr="00DF6D96">
        <w:rPr>
          <w:rFonts w:ascii="Book Antiqua" w:eastAsia="DengXian" w:hAnsi="Book Antiqua"/>
          <w:b/>
          <w:bCs/>
          <w:color w:val="auto"/>
          <w:sz w:val="24"/>
          <w:szCs w:val="24"/>
        </w:rPr>
        <w:lastRenderedPageBreak/>
        <w:t>Table 1</w:t>
      </w:r>
      <w:r>
        <w:rPr>
          <w:rFonts w:ascii="Book Antiqua" w:eastAsia="DengXian" w:hAnsi="Book Antiqua" w:hint="eastAsia"/>
          <w:b/>
          <w:bCs/>
          <w:color w:val="auto"/>
          <w:sz w:val="24"/>
          <w:szCs w:val="24"/>
          <w:lang w:eastAsia="zh-CN"/>
        </w:rPr>
        <w:t xml:space="preserve"> </w:t>
      </w:r>
      <w:r w:rsidRPr="00DF6D96">
        <w:rPr>
          <w:rFonts w:ascii="Book Antiqua" w:eastAsia="DengXian" w:hAnsi="Book Antiqua"/>
          <w:b/>
          <w:bCs/>
          <w:color w:val="auto"/>
          <w:sz w:val="24"/>
          <w:szCs w:val="24"/>
        </w:rPr>
        <w:t xml:space="preserve">Immunohistochemical analysis score of </w:t>
      </w:r>
      <w:r w:rsidRPr="00F7365A">
        <w:rPr>
          <w:rFonts w:ascii="Book Antiqua" w:hAnsi="Book Antiqua"/>
          <w:b/>
          <w:color w:val="auto"/>
          <w:sz w:val="24"/>
          <w:szCs w:val="24"/>
        </w:rPr>
        <w:t>proteinase-activated receptor-2</w:t>
      </w:r>
      <w:r w:rsidRPr="00DF6D96">
        <w:rPr>
          <w:rFonts w:ascii="Book Antiqua" w:eastAsia="DengXian" w:hAnsi="Book Antiqua"/>
          <w:b/>
          <w:bCs/>
          <w:color w:val="auto"/>
          <w:sz w:val="24"/>
          <w:szCs w:val="24"/>
        </w:rPr>
        <w:t xml:space="preserve"> in </w:t>
      </w:r>
      <w:r w:rsidRPr="0076156B">
        <w:rPr>
          <w:rFonts w:ascii="Book Antiqua" w:hAnsi="Book Antiqua"/>
          <w:b/>
          <w:color w:val="auto"/>
          <w:sz w:val="24"/>
          <w:szCs w:val="24"/>
        </w:rPr>
        <w:t>hepatocellular carcinoma</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BA6B61" w14:paraId="53067606" w14:textId="77777777" w:rsidTr="00F65498">
        <w:tc>
          <w:tcPr>
            <w:tcW w:w="4261" w:type="dxa"/>
            <w:tcBorders>
              <w:top w:val="single" w:sz="4" w:space="0" w:color="auto"/>
              <w:bottom w:val="single" w:sz="4" w:space="0" w:color="auto"/>
            </w:tcBorders>
          </w:tcPr>
          <w:p w14:paraId="15C46493" w14:textId="7BD8DC7D"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olor w:val="auto"/>
                <w:sz w:val="24"/>
                <w:szCs w:val="24"/>
              </w:rPr>
            </w:pPr>
            <w:r w:rsidRPr="00A63DC3">
              <w:rPr>
                <w:rFonts w:ascii="Book Antiqua" w:eastAsia="DengXian" w:hAnsi="Book Antiqua"/>
                <w:b/>
                <w:color w:val="auto"/>
                <w:sz w:val="24"/>
                <w:szCs w:val="24"/>
              </w:rPr>
              <w:t>Score</w:t>
            </w:r>
          </w:p>
        </w:tc>
        <w:tc>
          <w:tcPr>
            <w:tcW w:w="4261" w:type="dxa"/>
            <w:tcBorders>
              <w:top w:val="single" w:sz="4" w:space="0" w:color="auto"/>
              <w:bottom w:val="single" w:sz="4" w:space="0" w:color="auto"/>
            </w:tcBorders>
          </w:tcPr>
          <w:p w14:paraId="2A5326DB" w14:textId="7C567C51"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olor w:val="auto"/>
                <w:sz w:val="24"/>
                <w:szCs w:val="24"/>
              </w:rPr>
            </w:pPr>
            <w:r w:rsidRPr="0030419F">
              <w:rPr>
                <w:rFonts w:ascii="Book Antiqua" w:eastAsia="DengXian" w:hAnsi="Book Antiqua"/>
                <w:b/>
                <w:caps/>
                <w:color w:val="auto"/>
                <w:sz w:val="24"/>
                <w:szCs w:val="24"/>
              </w:rPr>
              <w:t>p</w:t>
            </w:r>
            <w:r w:rsidRPr="00A63DC3">
              <w:rPr>
                <w:rFonts w:ascii="Book Antiqua" w:eastAsia="DengXian" w:hAnsi="Book Antiqua"/>
                <w:b/>
                <w:color w:val="auto"/>
                <w:sz w:val="24"/>
                <w:szCs w:val="24"/>
              </w:rPr>
              <w:t>atient number</w:t>
            </w:r>
          </w:p>
        </w:tc>
      </w:tr>
      <w:tr w:rsidR="00BA6B61" w14:paraId="46CD3178" w14:textId="77777777" w:rsidTr="00F65498">
        <w:tc>
          <w:tcPr>
            <w:tcW w:w="4261" w:type="dxa"/>
            <w:tcBorders>
              <w:top w:val="single" w:sz="4" w:space="0" w:color="auto"/>
            </w:tcBorders>
          </w:tcPr>
          <w:p w14:paraId="39EAB58C" w14:textId="1CEC3AB8"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olor w:val="auto"/>
                <w:sz w:val="24"/>
                <w:szCs w:val="24"/>
                <w:lang w:eastAsia="zh-CN"/>
              </w:rPr>
            </w:pPr>
            <w:r>
              <w:rPr>
                <w:rFonts w:ascii="Book Antiqua" w:eastAsia="DengXian" w:hAnsi="Book Antiqua" w:hint="eastAsia"/>
                <w:color w:val="auto"/>
                <w:sz w:val="24"/>
                <w:szCs w:val="24"/>
                <w:lang w:eastAsia="zh-CN"/>
              </w:rPr>
              <w:t>1</w:t>
            </w:r>
          </w:p>
        </w:tc>
        <w:tc>
          <w:tcPr>
            <w:tcW w:w="4261" w:type="dxa"/>
            <w:tcBorders>
              <w:top w:val="single" w:sz="4" w:space="0" w:color="auto"/>
            </w:tcBorders>
          </w:tcPr>
          <w:p w14:paraId="7C438EE0" w14:textId="1017B9A6"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olor w:val="auto"/>
                <w:sz w:val="24"/>
                <w:szCs w:val="24"/>
                <w:lang w:eastAsia="zh-CN"/>
              </w:rPr>
            </w:pPr>
            <w:r>
              <w:rPr>
                <w:rFonts w:ascii="Book Antiqua" w:eastAsia="DengXian" w:hAnsi="Book Antiqua" w:hint="eastAsia"/>
                <w:color w:val="auto"/>
                <w:sz w:val="24"/>
                <w:szCs w:val="24"/>
                <w:lang w:eastAsia="zh-CN"/>
              </w:rPr>
              <w:t>22</w:t>
            </w:r>
          </w:p>
        </w:tc>
      </w:tr>
      <w:tr w:rsidR="00BA6B61" w14:paraId="2FB66626" w14:textId="77777777" w:rsidTr="00F65498">
        <w:tc>
          <w:tcPr>
            <w:tcW w:w="4261" w:type="dxa"/>
          </w:tcPr>
          <w:p w14:paraId="48EF9971" w14:textId="2D957219"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olor w:val="auto"/>
                <w:sz w:val="24"/>
                <w:szCs w:val="24"/>
                <w:lang w:eastAsia="zh-CN"/>
              </w:rPr>
            </w:pPr>
            <w:r>
              <w:rPr>
                <w:rFonts w:ascii="Book Antiqua" w:eastAsia="DengXian" w:hAnsi="Book Antiqua" w:hint="eastAsia"/>
                <w:color w:val="auto"/>
                <w:sz w:val="24"/>
                <w:szCs w:val="24"/>
                <w:lang w:eastAsia="zh-CN"/>
              </w:rPr>
              <w:t>2</w:t>
            </w:r>
          </w:p>
        </w:tc>
        <w:tc>
          <w:tcPr>
            <w:tcW w:w="4261" w:type="dxa"/>
          </w:tcPr>
          <w:p w14:paraId="2ADE5D84" w14:textId="7939CAF3"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olor w:val="auto"/>
                <w:sz w:val="24"/>
                <w:szCs w:val="24"/>
                <w:lang w:eastAsia="zh-CN"/>
              </w:rPr>
            </w:pPr>
            <w:r>
              <w:rPr>
                <w:rFonts w:ascii="Book Antiqua" w:eastAsia="DengXian" w:hAnsi="Book Antiqua" w:hint="eastAsia"/>
                <w:color w:val="auto"/>
                <w:sz w:val="24"/>
                <w:szCs w:val="24"/>
                <w:lang w:eastAsia="zh-CN"/>
              </w:rPr>
              <w:t>15</w:t>
            </w:r>
          </w:p>
        </w:tc>
      </w:tr>
      <w:tr w:rsidR="00BA6B61" w14:paraId="05017CFF" w14:textId="77777777" w:rsidTr="00F65498">
        <w:tc>
          <w:tcPr>
            <w:tcW w:w="4261" w:type="dxa"/>
          </w:tcPr>
          <w:p w14:paraId="03798771" w14:textId="5946E6F9"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olor w:val="auto"/>
                <w:sz w:val="24"/>
                <w:szCs w:val="24"/>
                <w:lang w:eastAsia="zh-CN"/>
              </w:rPr>
            </w:pPr>
            <w:r>
              <w:rPr>
                <w:rFonts w:ascii="Book Antiqua" w:eastAsia="DengXian" w:hAnsi="Book Antiqua" w:hint="eastAsia"/>
                <w:color w:val="auto"/>
                <w:sz w:val="24"/>
                <w:szCs w:val="24"/>
                <w:lang w:eastAsia="zh-CN"/>
              </w:rPr>
              <w:t>4</w:t>
            </w:r>
          </w:p>
        </w:tc>
        <w:tc>
          <w:tcPr>
            <w:tcW w:w="4261" w:type="dxa"/>
          </w:tcPr>
          <w:p w14:paraId="684DA00A" w14:textId="392BCE94"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olor w:val="auto"/>
                <w:sz w:val="24"/>
                <w:szCs w:val="24"/>
                <w:lang w:eastAsia="zh-CN"/>
              </w:rPr>
            </w:pPr>
            <w:r>
              <w:rPr>
                <w:rFonts w:ascii="Book Antiqua" w:eastAsia="DengXian" w:hAnsi="Book Antiqua" w:hint="eastAsia"/>
                <w:color w:val="auto"/>
                <w:sz w:val="24"/>
                <w:szCs w:val="24"/>
                <w:lang w:eastAsia="zh-CN"/>
              </w:rPr>
              <w:t>23</w:t>
            </w:r>
          </w:p>
        </w:tc>
      </w:tr>
    </w:tbl>
    <w:p w14:paraId="6A54806D" w14:textId="1B7C8444" w:rsidR="00A63DC3" w:rsidRPr="00DF6D96" w:rsidRDefault="00A63DC3" w:rsidP="0030419F">
      <w:pPr>
        <w:adjustRightInd w:val="0"/>
        <w:snapToGrid w:val="0"/>
        <w:spacing w:line="360" w:lineRule="auto"/>
        <w:rPr>
          <w:rFonts w:ascii="Book Antiqua" w:eastAsia="DengXian" w:hAnsi="Book Antiqua"/>
          <w:color w:val="auto"/>
          <w:sz w:val="24"/>
          <w:szCs w:val="24"/>
        </w:rPr>
      </w:pPr>
    </w:p>
    <w:p w14:paraId="55D03790" w14:textId="77777777" w:rsidR="00BA6B61" w:rsidRDefault="00A63DC3" w:rsidP="0030419F">
      <w:pPr>
        <w:snapToGrid w:val="0"/>
        <w:spacing w:line="360" w:lineRule="auto"/>
        <w:rPr>
          <w:rFonts w:ascii="Book Antiqua" w:hAnsi="Book Antiqua"/>
          <w:b/>
          <w:color w:val="auto"/>
          <w:sz w:val="24"/>
          <w:szCs w:val="24"/>
          <w:lang w:eastAsia="zh-CN"/>
        </w:rPr>
      </w:pPr>
      <w:r>
        <w:rPr>
          <w:rFonts w:ascii="Book Antiqua" w:hAnsi="Book Antiqua"/>
          <w:b/>
          <w:color w:val="auto"/>
          <w:sz w:val="24"/>
          <w:szCs w:val="24"/>
        </w:rPr>
        <w:br w:type="page"/>
      </w:r>
    </w:p>
    <w:p w14:paraId="374C51DD" w14:textId="36A5E240"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
          <w:bCs/>
          <w:color w:val="auto"/>
          <w:kern w:val="2"/>
          <w:sz w:val="24"/>
          <w:szCs w:val="24"/>
          <w:lang w:eastAsia="zh-CN"/>
        </w:rPr>
      </w:pPr>
      <w:r w:rsidRPr="00DF6D96">
        <w:rPr>
          <w:rFonts w:ascii="Book Antiqua" w:eastAsia="DengXian" w:hAnsi="Book Antiqua" w:cs="Times New Roman"/>
          <w:b/>
          <w:bCs/>
          <w:color w:val="auto"/>
          <w:kern w:val="2"/>
          <w:sz w:val="24"/>
          <w:szCs w:val="24"/>
          <w:lang w:eastAsia="zh-CN"/>
        </w:rPr>
        <w:lastRenderedPageBreak/>
        <w:t>Table 2</w:t>
      </w:r>
      <w:r>
        <w:rPr>
          <w:rFonts w:ascii="Book Antiqua" w:eastAsia="DengXian" w:hAnsi="Book Antiqua" w:cs="Times New Roman" w:hint="eastAsia"/>
          <w:b/>
          <w:bCs/>
          <w:color w:val="auto"/>
          <w:kern w:val="2"/>
          <w:sz w:val="24"/>
          <w:szCs w:val="24"/>
          <w:lang w:eastAsia="zh-CN"/>
        </w:rPr>
        <w:t xml:space="preserve"> </w:t>
      </w:r>
      <w:r w:rsidRPr="00DF6D96">
        <w:rPr>
          <w:rFonts w:ascii="Book Antiqua" w:eastAsia="DengXian" w:hAnsi="Book Antiqua" w:cs="Times New Roman"/>
          <w:b/>
          <w:bCs/>
          <w:color w:val="auto"/>
          <w:kern w:val="2"/>
          <w:sz w:val="24"/>
          <w:szCs w:val="24"/>
          <w:lang w:eastAsia="zh-CN"/>
        </w:rPr>
        <w:t xml:space="preserve">Clinicopathological characteristics of </w:t>
      </w:r>
      <w:r w:rsidRPr="0076156B">
        <w:rPr>
          <w:rFonts w:ascii="Book Antiqua" w:hAnsi="Book Antiqua"/>
          <w:b/>
          <w:color w:val="auto"/>
          <w:sz w:val="24"/>
          <w:szCs w:val="24"/>
        </w:rPr>
        <w:t>hepatocellular carcinoma</w:t>
      </w:r>
      <w:r w:rsidRPr="00DF6D96">
        <w:rPr>
          <w:rFonts w:ascii="Book Antiqua" w:eastAsia="DengXian" w:hAnsi="Book Antiqua" w:cs="Times New Roman"/>
          <w:b/>
          <w:bCs/>
          <w:color w:val="auto"/>
          <w:kern w:val="2"/>
          <w:sz w:val="24"/>
          <w:szCs w:val="24"/>
          <w:lang w:eastAsia="zh-CN"/>
        </w:rPr>
        <w:t xml:space="preserve"> patients according to </w:t>
      </w:r>
      <w:r w:rsidRPr="00F7365A">
        <w:rPr>
          <w:rFonts w:ascii="Book Antiqua" w:hAnsi="Book Antiqua"/>
          <w:b/>
          <w:color w:val="auto"/>
          <w:sz w:val="24"/>
          <w:szCs w:val="24"/>
        </w:rPr>
        <w:t>proteinase-activated receptor-2</w:t>
      </w:r>
      <w:r>
        <w:rPr>
          <w:rFonts w:ascii="Book Antiqua" w:eastAsia="DengXian" w:hAnsi="Book Antiqua" w:cs="Times New Roman"/>
          <w:b/>
          <w:bCs/>
          <w:color w:val="auto"/>
          <w:kern w:val="2"/>
          <w:sz w:val="24"/>
          <w:szCs w:val="24"/>
          <w:lang w:eastAsia="zh-CN"/>
        </w:rPr>
        <w:t xml:space="preserve"> expression levels </w:t>
      </w:r>
    </w:p>
    <w:tbl>
      <w:tblPr>
        <w:tblStyle w:val="TableGrid"/>
        <w:tblW w:w="0" w:type="auto"/>
        <w:tblInd w:w="-74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2048"/>
        <w:gridCol w:w="2049"/>
        <w:gridCol w:w="2049"/>
      </w:tblGrid>
      <w:tr w:rsidR="00BA6B61" w14:paraId="69273715" w14:textId="77777777" w:rsidTr="0030419F">
        <w:tc>
          <w:tcPr>
            <w:tcW w:w="3119" w:type="dxa"/>
            <w:vMerge w:val="restart"/>
            <w:tcBorders>
              <w:top w:val="single" w:sz="4" w:space="0" w:color="auto"/>
              <w:bottom w:val="nil"/>
            </w:tcBorders>
          </w:tcPr>
          <w:p w14:paraId="0D9052ED" w14:textId="05406500"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rPr>
                <w:rFonts w:ascii="Book Antiqua" w:hAnsi="Book Antiqua"/>
                <w:b/>
                <w:color w:val="auto"/>
                <w:sz w:val="24"/>
                <w:szCs w:val="24"/>
              </w:rPr>
            </w:pPr>
            <w:r w:rsidRPr="00DF6D96">
              <w:rPr>
                <w:rFonts w:ascii="Book Antiqua" w:eastAsia="DengXian" w:hAnsi="Book Antiqua" w:cs="Times New Roman"/>
                <w:b/>
                <w:bCs/>
                <w:color w:val="auto"/>
                <w:kern w:val="2"/>
                <w:sz w:val="24"/>
                <w:szCs w:val="24"/>
                <w:lang w:eastAsia="zh-CN"/>
              </w:rPr>
              <w:t xml:space="preserve">Clinicopathological Variables </w:t>
            </w:r>
          </w:p>
        </w:tc>
        <w:tc>
          <w:tcPr>
            <w:tcW w:w="6146" w:type="dxa"/>
            <w:gridSpan w:val="3"/>
            <w:tcBorders>
              <w:top w:val="single" w:sz="4" w:space="0" w:color="auto"/>
              <w:bottom w:val="single" w:sz="4" w:space="0" w:color="auto"/>
            </w:tcBorders>
          </w:tcPr>
          <w:p w14:paraId="5C23EC25" w14:textId="602CC8D2"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color w:val="auto"/>
                <w:kern w:val="2"/>
                <w:sz w:val="24"/>
                <w:szCs w:val="24"/>
                <w:lang w:eastAsia="zh-CN"/>
              </w:rPr>
            </w:pPr>
            <w:r w:rsidRPr="00DF6D96">
              <w:rPr>
                <w:rFonts w:ascii="Book Antiqua" w:eastAsia="DengXian" w:hAnsi="Book Antiqua" w:cs="Times New Roman"/>
                <w:b/>
                <w:bCs/>
                <w:color w:val="auto"/>
                <w:kern w:val="2"/>
                <w:sz w:val="24"/>
                <w:szCs w:val="24"/>
                <w:lang w:eastAsia="zh-CN"/>
              </w:rPr>
              <w:t>PAR2 level</w:t>
            </w:r>
          </w:p>
        </w:tc>
      </w:tr>
      <w:tr w:rsidR="00BA6B61" w14:paraId="2634B270" w14:textId="77777777" w:rsidTr="0030419F">
        <w:tc>
          <w:tcPr>
            <w:tcW w:w="3119" w:type="dxa"/>
            <w:vMerge/>
            <w:tcBorders>
              <w:top w:val="nil"/>
              <w:bottom w:val="single" w:sz="4" w:space="0" w:color="auto"/>
            </w:tcBorders>
          </w:tcPr>
          <w:p w14:paraId="20791332" w14:textId="27A31CD3"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rPr>
                <w:rFonts w:ascii="Book Antiqua" w:hAnsi="Book Antiqua"/>
                <w:b/>
                <w:color w:val="auto"/>
                <w:sz w:val="24"/>
                <w:szCs w:val="24"/>
              </w:rPr>
            </w:pPr>
          </w:p>
        </w:tc>
        <w:tc>
          <w:tcPr>
            <w:tcW w:w="2048" w:type="dxa"/>
            <w:tcBorders>
              <w:top w:val="single" w:sz="4" w:space="0" w:color="auto"/>
              <w:bottom w:val="single" w:sz="4" w:space="0" w:color="auto"/>
            </w:tcBorders>
          </w:tcPr>
          <w:p w14:paraId="5FE23496" w14:textId="7EB0162C"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Pr>
                <w:rFonts w:ascii="Book Antiqua" w:eastAsia="DengXian" w:hAnsi="Book Antiqua" w:cs="Times New Roman"/>
                <w:b/>
                <w:bCs/>
                <w:color w:val="auto"/>
                <w:kern w:val="2"/>
                <w:sz w:val="24"/>
                <w:szCs w:val="24"/>
                <w:lang w:eastAsia="zh-CN"/>
              </w:rPr>
              <w:t>Low</w:t>
            </w:r>
          </w:p>
        </w:tc>
        <w:tc>
          <w:tcPr>
            <w:tcW w:w="2049" w:type="dxa"/>
            <w:tcBorders>
              <w:top w:val="single" w:sz="4" w:space="0" w:color="auto"/>
              <w:bottom w:val="single" w:sz="4" w:space="0" w:color="auto"/>
            </w:tcBorders>
          </w:tcPr>
          <w:p w14:paraId="04084D04" w14:textId="537A31E8"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b/>
                <w:bCs/>
                <w:color w:val="auto"/>
                <w:kern w:val="2"/>
                <w:sz w:val="24"/>
                <w:szCs w:val="24"/>
                <w:lang w:eastAsia="zh-CN"/>
              </w:rPr>
              <w:t>High</w:t>
            </w:r>
          </w:p>
        </w:tc>
        <w:tc>
          <w:tcPr>
            <w:tcW w:w="2049" w:type="dxa"/>
            <w:tcBorders>
              <w:top w:val="single" w:sz="4" w:space="0" w:color="auto"/>
              <w:bottom w:val="single" w:sz="4" w:space="0" w:color="auto"/>
            </w:tcBorders>
          </w:tcPr>
          <w:p w14:paraId="4D7F42DB" w14:textId="527049F8"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BA6B61">
              <w:rPr>
                <w:rFonts w:ascii="Book Antiqua" w:eastAsia="DengXian" w:hAnsi="Book Antiqua" w:cs="Times New Roman"/>
                <w:b/>
                <w:bCs/>
                <w:i/>
                <w:color w:val="auto"/>
                <w:kern w:val="2"/>
                <w:sz w:val="24"/>
                <w:szCs w:val="24"/>
                <w:lang w:eastAsia="zh-CN"/>
              </w:rPr>
              <w:t>P</w:t>
            </w:r>
            <w:r w:rsidRPr="00DF6D96">
              <w:rPr>
                <w:rFonts w:ascii="Book Antiqua" w:eastAsia="DengXian" w:hAnsi="Book Antiqua" w:cs="Times New Roman"/>
                <w:b/>
                <w:bCs/>
                <w:color w:val="auto"/>
                <w:kern w:val="2"/>
                <w:sz w:val="24"/>
                <w:szCs w:val="24"/>
                <w:lang w:eastAsia="zh-CN"/>
              </w:rPr>
              <w:t xml:space="preserve"> value</w:t>
            </w:r>
          </w:p>
        </w:tc>
      </w:tr>
      <w:tr w:rsidR="00BA6B61" w14:paraId="6C657627" w14:textId="77777777" w:rsidTr="0030419F">
        <w:tc>
          <w:tcPr>
            <w:tcW w:w="3119" w:type="dxa"/>
            <w:tcBorders>
              <w:top w:val="single" w:sz="4" w:space="0" w:color="auto"/>
            </w:tcBorders>
          </w:tcPr>
          <w:p w14:paraId="4EAE3539" w14:textId="1C157812"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 xml:space="preserve">All </w:t>
            </w:r>
            <w:r w:rsidR="0030419F" w:rsidRPr="00DF6D96">
              <w:rPr>
                <w:rFonts w:ascii="Book Antiqua" w:eastAsia="DengXian" w:hAnsi="Book Antiqua" w:cs="Times New Roman"/>
                <w:color w:val="auto"/>
                <w:kern w:val="2"/>
                <w:sz w:val="24"/>
                <w:szCs w:val="24"/>
                <w:lang w:eastAsia="zh-CN"/>
              </w:rPr>
              <w:t>c</w:t>
            </w:r>
            <w:r w:rsidRPr="00DF6D96">
              <w:rPr>
                <w:rFonts w:ascii="Book Antiqua" w:eastAsia="DengXian" w:hAnsi="Book Antiqua" w:cs="Times New Roman"/>
                <w:color w:val="auto"/>
                <w:kern w:val="2"/>
                <w:sz w:val="24"/>
                <w:szCs w:val="24"/>
                <w:lang w:eastAsia="zh-CN"/>
              </w:rPr>
              <w:t>ases</w:t>
            </w:r>
          </w:p>
        </w:tc>
        <w:tc>
          <w:tcPr>
            <w:tcW w:w="2048" w:type="dxa"/>
            <w:tcBorders>
              <w:top w:val="single" w:sz="4" w:space="0" w:color="auto"/>
            </w:tcBorders>
          </w:tcPr>
          <w:p w14:paraId="0C3CB0F0" w14:textId="1CAF1EE1"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22</w:t>
            </w:r>
          </w:p>
        </w:tc>
        <w:tc>
          <w:tcPr>
            <w:tcW w:w="2049" w:type="dxa"/>
            <w:tcBorders>
              <w:top w:val="single" w:sz="4" w:space="0" w:color="auto"/>
            </w:tcBorders>
          </w:tcPr>
          <w:p w14:paraId="0F5CA9E1" w14:textId="3AD78A85"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38</w:t>
            </w:r>
          </w:p>
        </w:tc>
        <w:tc>
          <w:tcPr>
            <w:tcW w:w="2049" w:type="dxa"/>
            <w:tcBorders>
              <w:top w:val="single" w:sz="4" w:space="0" w:color="auto"/>
            </w:tcBorders>
          </w:tcPr>
          <w:p w14:paraId="70EDC32D"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47FDC2F2" w14:textId="77777777" w:rsidTr="0030419F">
        <w:tc>
          <w:tcPr>
            <w:tcW w:w="3119" w:type="dxa"/>
          </w:tcPr>
          <w:p w14:paraId="0B72AA16" w14:textId="3F12CAEB"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rPr>
                <w:rFonts w:ascii="Book Antiqua" w:hAnsi="Book Antiqua"/>
                <w:color w:val="auto"/>
                <w:sz w:val="24"/>
                <w:szCs w:val="24"/>
              </w:rPr>
            </w:pPr>
            <w:r w:rsidRPr="00BA6B61">
              <w:rPr>
                <w:rFonts w:ascii="Book Antiqua" w:hAnsi="Book Antiqua"/>
                <w:color w:val="auto"/>
                <w:sz w:val="24"/>
                <w:szCs w:val="24"/>
              </w:rPr>
              <w:t>Gender</w:t>
            </w:r>
          </w:p>
        </w:tc>
        <w:tc>
          <w:tcPr>
            <w:tcW w:w="2048" w:type="dxa"/>
          </w:tcPr>
          <w:p w14:paraId="48F3C178"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4A51EA44"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43950C18"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454CB0E5" w14:textId="77777777" w:rsidTr="0030419F">
        <w:trPr>
          <w:trHeight w:val="319"/>
        </w:trPr>
        <w:tc>
          <w:tcPr>
            <w:tcW w:w="3119" w:type="dxa"/>
          </w:tcPr>
          <w:p w14:paraId="6D2C89AA" w14:textId="242C4697"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 xml:space="preserve">Male </w:t>
            </w:r>
          </w:p>
        </w:tc>
        <w:tc>
          <w:tcPr>
            <w:tcW w:w="2048" w:type="dxa"/>
          </w:tcPr>
          <w:p w14:paraId="60AA3119" w14:textId="62587DF8"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16</w:t>
            </w:r>
          </w:p>
        </w:tc>
        <w:tc>
          <w:tcPr>
            <w:tcW w:w="2049" w:type="dxa"/>
          </w:tcPr>
          <w:p w14:paraId="7C2A6CF6" w14:textId="1FEE8D7B"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28</w:t>
            </w:r>
          </w:p>
        </w:tc>
        <w:tc>
          <w:tcPr>
            <w:tcW w:w="2049" w:type="dxa"/>
          </w:tcPr>
          <w:p w14:paraId="02A31441" w14:textId="477D121A"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0.832</w:t>
            </w:r>
          </w:p>
        </w:tc>
      </w:tr>
      <w:tr w:rsidR="00BA6B61" w14:paraId="65240AC9" w14:textId="77777777" w:rsidTr="0030419F">
        <w:trPr>
          <w:trHeight w:val="360"/>
        </w:trPr>
        <w:tc>
          <w:tcPr>
            <w:tcW w:w="3119" w:type="dxa"/>
            <w:tcBorders>
              <w:bottom w:val="nil"/>
            </w:tcBorders>
          </w:tcPr>
          <w:p w14:paraId="2A2B0C46" w14:textId="5D248897"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Female</w:t>
            </w:r>
          </w:p>
        </w:tc>
        <w:tc>
          <w:tcPr>
            <w:tcW w:w="2048" w:type="dxa"/>
            <w:tcBorders>
              <w:bottom w:val="nil"/>
            </w:tcBorders>
          </w:tcPr>
          <w:p w14:paraId="5082A40F" w14:textId="19E3186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6</w:t>
            </w:r>
          </w:p>
        </w:tc>
        <w:tc>
          <w:tcPr>
            <w:tcW w:w="2049" w:type="dxa"/>
            <w:tcBorders>
              <w:bottom w:val="nil"/>
            </w:tcBorders>
          </w:tcPr>
          <w:p w14:paraId="3EDCA9FE" w14:textId="3CCB450B"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10</w:t>
            </w:r>
          </w:p>
        </w:tc>
        <w:tc>
          <w:tcPr>
            <w:tcW w:w="2049" w:type="dxa"/>
            <w:tcBorders>
              <w:bottom w:val="nil"/>
            </w:tcBorders>
          </w:tcPr>
          <w:p w14:paraId="3272473F"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30419F" w14:paraId="725D46A3" w14:textId="77777777" w:rsidTr="0030419F">
        <w:trPr>
          <w:trHeight w:val="90"/>
        </w:trPr>
        <w:tc>
          <w:tcPr>
            <w:tcW w:w="3119" w:type="dxa"/>
            <w:tcBorders>
              <w:top w:val="nil"/>
              <w:bottom w:val="nil"/>
            </w:tcBorders>
          </w:tcPr>
          <w:p w14:paraId="21D42E20" w14:textId="57B7333F" w:rsidR="0030419F" w:rsidRPr="00DF6D96" w:rsidRDefault="0030419F"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color w:val="auto"/>
                <w:kern w:val="2"/>
                <w:sz w:val="24"/>
                <w:szCs w:val="24"/>
                <w:lang w:eastAsia="zh-CN"/>
              </w:rPr>
              <w:t>Age</w:t>
            </w:r>
            <w:r>
              <w:rPr>
                <w:rFonts w:ascii="Book Antiqua" w:eastAsia="DengXian" w:hAnsi="Book Antiqua" w:cs="Times New Roman" w:hint="eastAsia"/>
                <w:color w:val="auto"/>
                <w:kern w:val="2"/>
                <w:sz w:val="24"/>
                <w:szCs w:val="24"/>
                <w:lang w:eastAsia="zh-CN"/>
              </w:rPr>
              <w:t xml:space="preserve"> (yr)</w:t>
            </w:r>
          </w:p>
        </w:tc>
        <w:tc>
          <w:tcPr>
            <w:tcW w:w="2048" w:type="dxa"/>
            <w:tcBorders>
              <w:top w:val="nil"/>
              <w:bottom w:val="nil"/>
            </w:tcBorders>
          </w:tcPr>
          <w:p w14:paraId="63FA5924" w14:textId="77777777" w:rsidR="0030419F" w:rsidRPr="00DF6D96" w:rsidRDefault="0030419F"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eastAsia="DengXian" w:hAnsi="Book Antiqua" w:cs="Times New Roman"/>
                <w:color w:val="auto"/>
                <w:kern w:val="2"/>
                <w:sz w:val="24"/>
                <w:szCs w:val="24"/>
                <w:lang w:eastAsia="zh-CN"/>
              </w:rPr>
            </w:pPr>
          </w:p>
        </w:tc>
        <w:tc>
          <w:tcPr>
            <w:tcW w:w="2049" w:type="dxa"/>
            <w:tcBorders>
              <w:top w:val="nil"/>
              <w:bottom w:val="nil"/>
            </w:tcBorders>
          </w:tcPr>
          <w:p w14:paraId="163A99EA" w14:textId="77777777" w:rsidR="0030419F" w:rsidRPr="00DF6D96" w:rsidRDefault="0030419F"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eastAsia="DengXian" w:hAnsi="Book Antiqua" w:cs="Times New Roman"/>
                <w:color w:val="auto"/>
                <w:kern w:val="2"/>
                <w:sz w:val="24"/>
                <w:szCs w:val="24"/>
                <w:lang w:eastAsia="zh-CN"/>
              </w:rPr>
            </w:pPr>
          </w:p>
        </w:tc>
        <w:tc>
          <w:tcPr>
            <w:tcW w:w="2049" w:type="dxa"/>
            <w:tcBorders>
              <w:top w:val="nil"/>
              <w:bottom w:val="nil"/>
            </w:tcBorders>
          </w:tcPr>
          <w:p w14:paraId="612F65B2" w14:textId="77777777" w:rsidR="0030419F" w:rsidRDefault="0030419F"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33D281DC" w14:textId="77777777" w:rsidTr="0030419F">
        <w:tc>
          <w:tcPr>
            <w:tcW w:w="3119" w:type="dxa"/>
            <w:tcBorders>
              <w:top w:val="nil"/>
            </w:tcBorders>
          </w:tcPr>
          <w:p w14:paraId="32BEA520" w14:textId="016BAA63"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&lt;</w:t>
            </w:r>
            <w:r>
              <w:rPr>
                <w:rFonts w:ascii="Book Antiqua" w:eastAsia="DengXian" w:hAnsi="Book Antiqua" w:cs="Times New Roman" w:hint="eastAsia"/>
                <w:color w:val="auto"/>
                <w:kern w:val="2"/>
                <w:sz w:val="24"/>
                <w:szCs w:val="24"/>
                <w:lang w:eastAsia="zh-CN"/>
              </w:rPr>
              <w:t xml:space="preserve"> </w:t>
            </w:r>
            <w:r w:rsidRPr="00DF6D96">
              <w:rPr>
                <w:rFonts w:ascii="Book Antiqua" w:eastAsia="DengXian" w:hAnsi="Book Antiqua" w:cs="Times New Roman"/>
                <w:color w:val="auto"/>
                <w:kern w:val="2"/>
                <w:sz w:val="24"/>
                <w:szCs w:val="24"/>
                <w:lang w:eastAsia="zh-CN"/>
              </w:rPr>
              <w:t>60</w:t>
            </w:r>
          </w:p>
        </w:tc>
        <w:tc>
          <w:tcPr>
            <w:tcW w:w="2048" w:type="dxa"/>
            <w:tcBorders>
              <w:top w:val="nil"/>
            </w:tcBorders>
          </w:tcPr>
          <w:p w14:paraId="56D189E0" w14:textId="12AD9B03"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10</w:t>
            </w:r>
          </w:p>
        </w:tc>
        <w:tc>
          <w:tcPr>
            <w:tcW w:w="2049" w:type="dxa"/>
            <w:tcBorders>
              <w:top w:val="nil"/>
            </w:tcBorders>
          </w:tcPr>
          <w:p w14:paraId="3FA33AA1" w14:textId="541455A3"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22</w:t>
            </w:r>
          </w:p>
        </w:tc>
        <w:tc>
          <w:tcPr>
            <w:tcW w:w="2049" w:type="dxa"/>
            <w:tcBorders>
              <w:top w:val="nil"/>
            </w:tcBorders>
          </w:tcPr>
          <w:p w14:paraId="740D0DAC" w14:textId="50D473CF"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0.352</w:t>
            </w:r>
          </w:p>
        </w:tc>
      </w:tr>
      <w:tr w:rsidR="00BA6B61" w14:paraId="1A36FF3B" w14:textId="77777777" w:rsidTr="0030419F">
        <w:tc>
          <w:tcPr>
            <w:tcW w:w="3119" w:type="dxa"/>
          </w:tcPr>
          <w:p w14:paraId="2DCCB0DC" w14:textId="7C58AB71" w:rsid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w:t>
            </w:r>
            <w:r>
              <w:rPr>
                <w:rFonts w:ascii="Book Antiqua" w:eastAsia="DengXian" w:hAnsi="Book Antiqua" w:cs="Times New Roman" w:hint="eastAsia"/>
                <w:color w:val="auto"/>
                <w:kern w:val="2"/>
                <w:sz w:val="24"/>
                <w:szCs w:val="24"/>
                <w:lang w:eastAsia="zh-CN"/>
              </w:rPr>
              <w:t xml:space="preserve"> </w:t>
            </w:r>
            <w:r w:rsidRPr="00DF6D96">
              <w:rPr>
                <w:rFonts w:ascii="Book Antiqua" w:eastAsia="DengXian" w:hAnsi="Book Antiqua" w:cs="Times New Roman"/>
                <w:color w:val="auto"/>
                <w:kern w:val="2"/>
                <w:sz w:val="24"/>
                <w:szCs w:val="24"/>
                <w:lang w:eastAsia="zh-CN"/>
              </w:rPr>
              <w:t>60</w:t>
            </w:r>
          </w:p>
        </w:tc>
        <w:tc>
          <w:tcPr>
            <w:tcW w:w="2048" w:type="dxa"/>
          </w:tcPr>
          <w:p w14:paraId="20A9BCE5" w14:textId="4396AD75"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12</w:t>
            </w:r>
          </w:p>
        </w:tc>
        <w:tc>
          <w:tcPr>
            <w:tcW w:w="2049" w:type="dxa"/>
          </w:tcPr>
          <w:p w14:paraId="2AC04FEB" w14:textId="2082E7E5"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16</w:t>
            </w:r>
          </w:p>
        </w:tc>
        <w:tc>
          <w:tcPr>
            <w:tcW w:w="2049" w:type="dxa"/>
          </w:tcPr>
          <w:p w14:paraId="2EC6C316"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7E7ECF33" w14:textId="77777777" w:rsidTr="0030419F">
        <w:tc>
          <w:tcPr>
            <w:tcW w:w="3119" w:type="dxa"/>
          </w:tcPr>
          <w:p w14:paraId="4AEA44E9" w14:textId="12396D85"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BA6B61">
              <w:rPr>
                <w:rFonts w:ascii="Book Antiqua" w:eastAsia="DengXian" w:hAnsi="Book Antiqua" w:cs="Times New Roman"/>
                <w:color w:val="auto"/>
                <w:kern w:val="2"/>
                <w:sz w:val="24"/>
                <w:szCs w:val="24"/>
                <w:lang w:eastAsia="zh-CN"/>
              </w:rPr>
              <w:t>TNM stage</w:t>
            </w:r>
          </w:p>
        </w:tc>
        <w:tc>
          <w:tcPr>
            <w:tcW w:w="2048" w:type="dxa"/>
          </w:tcPr>
          <w:p w14:paraId="18628D9E"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17DF9A40"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782D5766"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1A5E9D9A" w14:textId="77777777" w:rsidTr="0030419F">
        <w:tc>
          <w:tcPr>
            <w:tcW w:w="3119" w:type="dxa"/>
          </w:tcPr>
          <w:p w14:paraId="61DFCDFD" w14:textId="20D843D4"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color w:val="auto"/>
                <w:sz w:val="24"/>
                <w:szCs w:val="24"/>
              </w:rPr>
            </w:pPr>
            <w:r w:rsidRPr="00BA6B61">
              <w:rPr>
                <w:rFonts w:ascii="Book Antiqua" w:eastAsia="DengXian" w:hAnsi="Book Antiqua" w:cs="Times New Roman"/>
                <w:color w:val="auto"/>
                <w:kern w:val="2"/>
                <w:sz w:val="24"/>
                <w:szCs w:val="24"/>
                <w:lang w:eastAsia="zh-CN"/>
              </w:rPr>
              <w:t>Early stage (I-II)</w:t>
            </w:r>
          </w:p>
        </w:tc>
        <w:tc>
          <w:tcPr>
            <w:tcW w:w="2048" w:type="dxa"/>
          </w:tcPr>
          <w:p w14:paraId="61EE437E" w14:textId="7B455779"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BA6B61">
              <w:rPr>
                <w:rFonts w:ascii="Book Antiqua" w:eastAsia="DengXian" w:hAnsi="Book Antiqua" w:cs="Times New Roman"/>
                <w:color w:val="auto"/>
                <w:kern w:val="2"/>
                <w:sz w:val="24"/>
                <w:szCs w:val="24"/>
                <w:lang w:eastAsia="zh-CN"/>
              </w:rPr>
              <w:t>16</w:t>
            </w:r>
          </w:p>
        </w:tc>
        <w:tc>
          <w:tcPr>
            <w:tcW w:w="2049" w:type="dxa"/>
          </w:tcPr>
          <w:p w14:paraId="0CA017C9" w14:textId="0F4A001D"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BA6B61">
              <w:rPr>
                <w:rFonts w:ascii="Book Antiqua" w:eastAsia="DengXian" w:hAnsi="Book Antiqua" w:cs="Times New Roman"/>
                <w:color w:val="auto"/>
                <w:kern w:val="2"/>
                <w:sz w:val="24"/>
                <w:szCs w:val="24"/>
                <w:lang w:eastAsia="zh-CN"/>
              </w:rPr>
              <w:t>12</w:t>
            </w:r>
          </w:p>
        </w:tc>
        <w:tc>
          <w:tcPr>
            <w:tcW w:w="2049" w:type="dxa"/>
          </w:tcPr>
          <w:p w14:paraId="74BD39C8" w14:textId="77F85120"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BA6B61">
              <w:rPr>
                <w:rFonts w:ascii="Book Antiqua" w:eastAsia="DengXian" w:hAnsi="Book Antiqua" w:cs="Times New Roman"/>
                <w:color w:val="auto"/>
                <w:kern w:val="2"/>
                <w:sz w:val="24"/>
                <w:szCs w:val="24"/>
                <w:lang w:eastAsia="zh-CN"/>
              </w:rPr>
              <w:t>0.001</w:t>
            </w:r>
            <w:r w:rsidR="007073D1" w:rsidRPr="007073D1">
              <w:rPr>
                <w:rFonts w:ascii="Book Antiqua" w:eastAsia="DengXian" w:hAnsi="Book Antiqua" w:cs="Times New Roman" w:hint="eastAsia"/>
                <w:color w:val="auto"/>
                <w:kern w:val="2"/>
                <w:sz w:val="24"/>
                <w:szCs w:val="24"/>
                <w:vertAlign w:val="superscript"/>
                <w:lang w:eastAsia="zh-CN"/>
              </w:rPr>
              <w:t>a</w:t>
            </w:r>
          </w:p>
        </w:tc>
      </w:tr>
      <w:tr w:rsidR="00BA6B61" w14:paraId="778CA2D9" w14:textId="77777777" w:rsidTr="0030419F">
        <w:tc>
          <w:tcPr>
            <w:tcW w:w="3119" w:type="dxa"/>
          </w:tcPr>
          <w:p w14:paraId="3AD0DEA8" w14:textId="2F4C8213"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color w:val="auto"/>
                <w:sz w:val="24"/>
                <w:szCs w:val="24"/>
                <w:lang w:eastAsia="zh-CN"/>
              </w:rPr>
            </w:pPr>
            <w:r w:rsidRPr="00BA6B61">
              <w:rPr>
                <w:rFonts w:ascii="Book Antiqua" w:eastAsia="DengXian" w:hAnsi="Book Antiqua" w:cs="Times New Roman"/>
                <w:color w:val="auto"/>
                <w:kern w:val="2"/>
                <w:sz w:val="24"/>
                <w:szCs w:val="24"/>
                <w:lang w:eastAsia="zh-CN"/>
              </w:rPr>
              <w:t>Late stage (III-IV)</w:t>
            </w:r>
            <w:r w:rsidR="00F65498">
              <w:rPr>
                <w:rFonts w:ascii="Book Antiqua" w:eastAsia="DengXian" w:hAnsi="Book Antiqua" w:cs="Times New Roman"/>
                <w:color w:val="auto"/>
                <w:kern w:val="2"/>
                <w:sz w:val="24"/>
                <w:szCs w:val="24"/>
                <w:lang w:eastAsia="zh-CN"/>
              </w:rPr>
              <w:t xml:space="preserve"> </w:t>
            </w:r>
          </w:p>
        </w:tc>
        <w:tc>
          <w:tcPr>
            <w:tcW w:w="2048" w:type="dxa"/>
          </w:tcPr>
          <w:p w14:paraId="79FAB855" w14:textId="10E07860"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BA6B61">
              <w:rPr>
                <w:rFonts w:ascii="Book Antiqua" w:eastAsia="DengXian" w:hAnsi="Book Antiqua" w:cs="Times New Roman"/>
                <w:color w:val="auto"/>
                <w:kern w:val="2"/>
                <w:sz w:val="24"/>
                <w:szCs w:val="24"/>
                <w:lang w:eastAsia="zh-CN"/>
              </w:rPr>
              <w:t>6</w:t>
            </w:r>
          </w:p>
        </w:tc>
        <w:tc>
          <w:tcPr>
            <w:tcW w:w="2049" w:type="dxa"/>
          </w:tcPr>
          <w:p w14:paraId="227E84E6" w14:textId="0BF23573" w:rsidR="00BA6B61" w:rsidRP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BA6B61">
              <w:rPr>
                <w:rFonts w:ascii="Book Antiqua" w:eastAsia="DengXian" w:hAnsi="Book Antiqua" w:cs="Times New Roman"/>
                <w:color w:val="auto"/>
                <w:kern w:val="2"/>
                <w:sz w:val="24"/>
                <w:szCs w:val="24"/>
                <w:lang w:eastAsia="zh-CN"/>
              </w:rPr>
              <w:t>26</w:t>
            </w:r>
          </w:p>
        </w:tc>
        <w:tc>
          <w:tcPr>
            <w:tcW w:w="2049" w:type="dxa"/>
          </w:tcPr>
          <w:p w14:paraId="6ABD344F"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4EFB0C18" w14:textId="77777777" w:rsidTr="0030419F">
        <w:tc>
          <w:tcPr>
            <w:tcW w:w="3119" w:type="dxa"/>
          </w:tcPr>
          <w:p w14:paraId="69504B1A" w14:textId="1B468659"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Tumor size (cm)</w:t>
            </w:r>
          </w:p>
        </w:tc>
        <w:tc>
          <w:tcPr>
            <w:tcW w:w="2048" w:type="dxa"/>
          </w:tcPr>
          <w:p w14:paraId="485E106B"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5BA8A8E5"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706432BA"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05E7836A" w14:textId="77777777" w:rsidTr="0030419F">
        <w:tc>
          <w:tcPr>
            <w:tcW w:w="3119" w:type="dxa"/>
          </w:tcPr>
          <w:p w14:paraId="100BDE98" w14:textId="7F8D6808"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Small (≤</w:t>
            </w:r>
            <w:r>
              <w:rPr>
                <w:rFonts w:ascii="Book Antiqua" w:eastAsia="DengXian" w:hAnsi="Book Antiqua" w:cs="Times New Roman" w:hint="eastAsia"/>
                <w:color w:val="auto"/>
                <w:kern w:val="2"/>
                <w:sz w:val="24"/>
                <w:szCs w:val="24"/>
                <w:lang w:eastAsia="zh-CN"/>
              </w:rPr>
              <w:t xml:space="preserve"> </w:t>
            </w:r>
            <w:r w:rsidRPr="00236654">
              <w:rPr>
                <w:rFonts w:ascii="Book Antiqua" w:eastAsia="DengXian" w:hAnsi="Book Antiqua" w:cs="Times New Roman"/>
                <w:color w:val="auto"/>
                <w:kern w:val="2"/>
                <w:sz w:val="24"/>
                <w:szCs w:val="24"/>
                <w:lang w:eastAsia="zh-CN"/>
              </w:rPr>
              <w:t>5)</w:t>
            </w:r>
            <w:r w:rsidRPr="00236654">
              <w:rPr>
                <w:rFonts w:ascii="Book Antiqua" w:hAnsi="Book Antiqua"/>
                <w:color w:val="auto"/>
                <w:sz w:val="24"/>
                <w:szCs w:val="24"/>
              </w:rPr>
              <w:t xml:space="preserve"> </w:t>
            </w:r>
          </w:p>
        </w:tc>
        <w:tc>
          <w:tcPr>
            <w:tcW w:w="2048" w:type="dxa"/>
          </w:tcPr>
          <w:p w14:paraId="326739F2" w14:textId="5C750349"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15</w:t>
            </w:r>
          </w:p>
        </w:tc>
        <w:tc>
          <w:tcPr>
            <w:tcW w:w="2049" w:type="dxa"/>
          </w:tcPr>
          <w:p w14:paraId="3D26D2C1" w14:textId="4ABAECE3"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15</w:t>
            </w:r>
          </w:p>
        </w:tc>
        <w:tc>
          <w:tcPr>
            <w:tcW w:w="2049" w:type="dxa"/>
          </w:tcPr>
          <w:p w14:paraId="157007CA" w14:textId="0708EB88"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0.032</w:t>
            </w:r>
            <w:r w:rsidR="007073D1" w:rsidRPr="007073D1">
              <w:rPr>
                <w:rFonts w:ascii="Book Antiqua" w:eastAsia="DengXian" w:hAnsi="Book Antiqua" w:cs="Times New Roman" w:hint="eastAsia"/>
                <w:color w:val="auto"/>
                <w:kern w:val="2"/>
                <w:sz w:val="24"/>
                <w:szCs w:val="24"/>
                <w:vertAlign w:val="superscript"/>
                <w:lang w:eastAsia="zh-CN"/>
              </w:rPr>
              <w:t>a</w:t>
            </w:r>
          </w:p>
        </w:tc>
      </w:tr>
      <w:tr w:rsidR="00BA6B61" w14:paraId="22A9063D" w14:textId="77777777" w:rsidTr="0030419F">
        <w:tc>
          <w:tcPr>
            <w:tcW w:w="3119" w:type="dxa"/>
          </w:tcPr>
          <w:p w14:paraId="1DA9215F" w14:textId="6EDCF2CA"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Large (&gt;</w:t>
            </w:r>
            <w:r>
              <w:rPr>
                <w:rFonts w:ascii="Book Antiqua" w:eastAsia="DengXian" w:hAnsi="Book Antiqua" w:cs="Times New Roman" w:hint="eastAsia"/>
                <w:color w:val="auto"/>
                <w:kern w:val="2"/>
                <w:sz w:val="24"/>
                <w:szCs w:val="24"/>
                <w:lang w:eastAsia="zh-CN"/>
              </w:rPr>
              <w:t xml:space="preserve"> </w:t>
            </w:r>
            <w:r w:rsidRPr="00236654">
              <w:rPr>
                <w:rFonts w:ascii="Book Antiqua" w:eastAsia="DengXian" w:hAnsi="Book Antiqua" w:cs="Times New Roman"/>
                <w:color w:val="auto"/>
                <w:kern w:val="2"/>
                <w:sz w:val="24"/>
                <w:szCs w:val="24"/>
                <w:lang w:eastAsia="zh-CN"/>
              </w:rPr>
              <w:t>5)</w:t>
            </w:r>
          </w:p>
        </w:tc>
        <w:tc>
          <w:tcPr>
            <w:tcW w:w="2048" w:type="dxa"/>
          </w:tcPr>
          <w:p w14:paraId="7C720543" w14:textId="2004E441"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7</w:t>
            </w:r>
          </w:p>
        </w:tc>
        <w:tc>
          <w:tcPr>
            <w:tcW w:w="2049" w:type="dxa"/>
          </w:tcPr>
          <w:p w14:paraId="3D40CDAE" w14:textId="2EBC3F21"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23</w:t>
            </w:r>
          </w:p>
        </w:tc>
        <w:tc>
          <w:tcPr>
            <w:tcW w:w="2049" w:type="dxa"/>
          </w:tcPr>
          <w:p w14:paraId="7A1F6D17" w14:textId="77777777" w:rsidR="00BA6B61" w:rsidRPr="00236654"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p>
        </w:tc>
      </w:tr>
      <w:tr w:rsidR="00BA6B61" w14:paraId="2E2E1E09" w14:textId="77777777" w:rsidTr="0030419F">
        <w:tc>
          <w:tcPr>
            <w:tcW w:w="3119" w:type="dxa"/>
          </w:tcPr>
          <w:p w14:paraId="496127CE" w14:textId="769FF54E"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236654">
              <w:rPr>
                <w:rFonts w:ascii="Book Antiqua" w:eastAsia="DengXian" w:hAnsi="Book Antiqua" w:cs="Times New Roman"/>
                <w:color w:val="auto"/>
                <w:kern w:val="2"/>
                <w:sz w:val="24"/>
                <w:szCs w:val="24"/>
                <w:lang w:eastAsia="zh-CN"/>
              </w:rPr>
              <w:t>Microvascular invasion</w:t>
            </w:r>
          </w:p>
        </w:tc>
        <w:tc>
          <w:tcPr>
            <w:tcW w:w="2048" w:type="dxa"/>
          </w:tcPr>
          <w:p w14:paraId="2F40D4EA" w14:textId="77777777" w:rsidR="00BA6B61" w:rsidRPr="00236654"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p>
        </w:tc>
        <w:tc>
          <w:tcPr>
            <w:tcW w:w="2049" w:type="dxa"/>
          </w:tcPr>
          <w:p w14:paraId="6534EEFF" w14:textId="77777777" w:rsidR="00BA6B61" w:rsidRPr="00236654"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p>
        </w:tc>
        <w:tc>
          <w:tcPr>
            <w:tcW w:w="2049" w:type="dxa"/>
          </w:tcPr>
          <w:p w14:paraId="3AC18C3F" w14:textId="77777777" w:rsidR="00BA6B61" w:rsidRPr="00236654"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p>
        </w:tc>
      </w:tr>
      <w:tr w:rsidR="00BA6B61" w14:paraId="409C1621" w14:textId="77777777" w:rsidTr="0030419F">
        <w:tc>
          <w:tcPr>
            <w:tcW w:w="3119" w:type="dxa"/>
          </w:tcPr>
          <w:p w14:paraId="3A430E3F" w14:textId="4008EF9C"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Present</w:t>
            </w:r>
          </w:p>
        </w:tc>
        <w:tc>
          <w:tcPr>
            <w:tcW w:w="2048" w:type="dxa"/>
          </w:tcPr>
          <w:p w14:paraId="39864B99" w14:textId="39E09EAE"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5</w:t>
            </w:r>
          </w:p>
        </w:tc>
        <w:tc>
          <w:tcPr>
            <w:tcW w:w="2049" w:type="dxa"/>
          </w:tcPr>
          <w:p w14:paraId="700EF5B6" w14:textId="3FA5196E"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21</w:t>
            </w:r>
          </w:p>
        </w:tc>
        <w:tc>
          <w:tcPr>
            <w:tcW w:w="2049" w:type="dxa"/>
          </w:tcPr>
          <w:p w14:paraId="08F52BC0" w14:textId="4F571A86"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0.037</w:t>
            </w:r>
            <w:r w:rsidR="007073D1">
              <w:rPr>
                <w:rFonts w:ascii="Book Antiqua" w:eastAsia="DengXian" w:hAnsi="Book Antiqua" w:cs="Times New Roman" w:hint="eastAsia"/>
                <w:color w:val="auto"/>
                <w:kern w:val="2"/>
                <w:sz w:val="24"/>
                <w:szCs w:val="24"/>
                <w:vertAlign w:val="superscript"/>
                <w:lang w:eastAsia="zh-CN"/>
              </w:rPr>
              <w:t>a</w:t>
            </w:r>
          </w:p>
        </w:tc>
      </w:tr>
      <w:tr w:rsidR="00BA6B61" w14:paraId="15E5A953" w14:textId="77777777" w:rsidTr="0030419F">
        <w:tc>
          <w:tcPr>
            <w:tcW w:w="3119" w:type="dxa"/>
          </w:tcPr>
          <w:p w14:paraId="3F09BE5D" w14:textId="39FFED47"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Absent</w:t>
            </w:r>
          </w:p>
        </w:tc>
        <w:tc>
          <w:tcPr>
            <w:tcW w:w="2048" w:type="dxa"/>
          </w:tcPr>
          <w:p w14:paraId="73D8CF79" w14:textId="3BEDDE44"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17</w:t>
            </w:r>
          </w:p>
        </w:tc>
        <w:tc>
          <w:tcPr>
            <w:tcW w:w="2049" w:type="dxa"/>
          </w:tcPr>
          <w:p w14:paraId="5F9C3F0E" w14:textId="3463E048"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r w:rsidRPr="00236654">
              <w:rPr>
                <w:rFonts w:ascii="Book Antiqua" w:eastAsia="DengXian" w:hAnsi="Book Antiqua" w:cs="Times New Roman"/>
                <w:color w:val="auto"/>
                <w:kern w:val="2"/>
                <w:sz w:val="24"/>
                <w:szCs w:val="24"/>
                <w:lang w:eastAsia="zh-CN"/>
              </w:rPr>
              <w:t>17</w:t>
            </w:r>
          </w:p>
        </w:tc>
        <w:tc>
          <w:tcPr>
            <w:tcW w:w="2049" w:type="dxa"/>
          </w:tcPr>
          <w:p w14:paraId="082BDDB9" w14:textId="77777777" w:rsidR="00BA6B61" w:rsidRPr="00236654"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color w:val="auto"/>
                <w:sz w:val="24"/>
                <w:szCs w:val="24"/>
              </w:rPr>
            </w:pPr>
          </w:p>
        </w:tc>
      </w:tr>
      <w:tr w:rsidR="00BA6B61" w14:paraId="167A8C75" w14:textId="77777777" w:rsidTr="0030419F">
        <w:tc>
          <w:tcPr>
            <w:tcW w:w="3119" w:type="dxa"/>
          </w:tcPr>
          <w:p w14:paraId="269D8196" w14:textId="632C1FE9"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Pr>
                <w:rFonts w:ascii="Book Antiqua" w:eastAsia="DengXian" w:hAnsi="Book Antiqua" w:cs="Times New Roman"/>
                <w:color w:val="auto"/>
                <w:kern w:val="2"/>
                <w:sz w:val="24"/>
                <w:szCs w:val="24"/>
                <w:lang w:eastAsia="zh-CN"/>
              </w:rPr>
              <w:t>HBsAg</w:t>
            </w:r>
          </w:p>
        </w:tc>
        <w:tc>
          <w:tcPr>
            <w:tcW w:w="2048" w:type="dxa"/>
          </w:tcPr>
          <w:p w14:paraId="03812652"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0CA7CE91"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1CAC3BB0"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0665F87F" w14:textId="77777777" w:rsidTr="0030419F">
        <w:tc>
          <w:tcPr>
            <w:tcW w:w="3119" w:type="dxa"/>
          </w:tcPr>
          <w:p w14:paraId="766B1CD9" w14:textId="7D5E2D76" w:rsidR="00236654" w:rsidRP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eastAsia="DengXian" w:hAnsi="Book Antiqua" w:cs="Times New Roman"/>
                <w:color w:val="auto"/>
                <w:kern w:val="2"/>
                <w:sz w:val="24"/>
                <w:szCs w:val="24"/>
                <w:lang w:eastAsia="zh-CN"/>
              </w:rPr>
            </w:pPr>
            <w:r w:rsidRPr="00DF6D96">
              <w:rPr>
                <w:rFonts w:ascii="Book Antiqua" w:eastAsia="DengXian" w:hAnsi="Book Antiqua" w:cs="Times New Roman"/>
                <w:color w:val="auto"/>
                <w:kern w:val="2"/>
                <w:sz w:val="24"/>
                <w:szCs w:val="24"/>
                <w:lang w:eastAsia="zh-CN"/>
              </w:rPr>
              <w:t>Negative</w:t>
            </w:r>
          </w:p>
        </w:tc>
        <w:tc>
          <w:tcPr>
            <w:tcW w:w="2048" w:type="dxa"/>
          </w:tcPr>
          <w:p w14:paraId="063EA174" w14:textId="74D7700F"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3</w:t>
            </w:r>
          </w:p>
        </w:tc>
        <w:tc>
          <w:tcPr>
            <w:tcW w:w="2049" w:type="dxa"/>
          </w:tcPr>
          <w:p w14:paraId="2BC492EB" w14:textId="5E60E269"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7</w:t>
            </w:r>
          </w:p>
        </w:tc>
        <w:tc>
          <w:tcPr>
            <w:tcW w:w="2049" w:type="dxa"/>
          </w:tcPr>
          <w:p w14:paraId="2F45088E" w14:textId="7E26E4DB"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0.632</w:t>
            </w:r>
          </w:p>
        </w:tc>
      </w:tr>
      <w:tr w:rsidR="00BA6B61" w14:paraId="638DB7B2" w14:textId="77777777" w:rsidTr="0030419F">
        <w:tc>
          <w:tcPr>
            <w:tcW w:w="3119" w:type="dxa"/>
          </w:tcPr>
          <w:p w14:paraId="10FAC980" w14:textId="2CE84CC5"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b/>
                <w:color w:val="auto"/>
                <w:sz w:val="24"/>
                <w:szCs w:val="24"/>
                <w:lang w:eastAsia="zh-CN"/>
              </w:rPr>
            </w:pPr>
            <w:r w:rsidRPr="00DF6D96">
              <w:rPr>
                <w:rFonts w:ascii="Book Antiqua" w:eastAsia="DengXian" w:hAnsi="Book Antiqua" w:cs="Times New Roman"/>
                <w:color w:val="auto"/>
                <w:kern w:val="2"/>
                <w:sz w:val="24"/>
                <w:szCs w:val="24"/>
                <w:lang w:eastAsia="zh-CN"/>
              </w:rPr>
              <w:t>Positive</w:t>
            </w:r>
            <w:r w:rsidR="00F65498">
              <w:rPr>
                <w:rFonts w:ascii="Book Antiqua" w:eastAsia="DengXian" w:hAnsi="Book Antiqua" w:cs="Times New Roman"/>
                <w:color w:val="auto"/>
                <w:kern w:val="2"/>
                <w:sz w:val="24"/>
                <w:szCs w:val="24"/>
                <w:lang w:eastAsia="zh-CN"/>
              </w:rPr>
              <w:t xml:space="preserve"> </w:t>
            </w:r>
          </w:p>
        </w:tc>
        <w:tc>
          <w:tcPr>
            <w:tcW w:w="2048" w:type="dxa"/>
          </w:tcPr>
          <w:p w14:paraId="0010F12C" w14:textId="532C7897"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19</w:t>
            </w:r>
          </w:p>
        </w:tc>
        <w:tc>
          <w:tcPr>
            <w:tcW w:w="2049" w:type="dxa"/>
          </w:tcPr>
          <w:p w14:paraId="2500C4E8" w14:textId="40741A91"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31</w:t>
            </w:r>
          </w:p>
        </w:tc>
        <w:tc>
          <w:tcPr>
            <w:tcW w:w="2049" w:type="dxa"/>
          </w:tcPr>
          <w:p w14:paraId="298EBA4C"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38869D21" w14:textId="77777777" w:rsidTr="0030419F">
        <w:tc>
          <w:tcPr>
            <w:tcW w:w="3119" w:type="dxa"/>
          </w:tcPr>
          <w:p w14:paraId="4ECD0972" w14:textId="706DB2D9"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DF6D96">
              <w:rPr>
                <w:rFonts w:ascii="Book Antiqua" w:eastAsia="DengXian" w:hAnsi="Book Antiqua" w:cs="Times New Roman"/>
                <w:color w:val="auto"/>
                <w:kern w:val="2"/>
                <w:sz w:val="24"/>
                <w:szCs w:val="24"/>
                <w:lang w:eastAsia="zh-CN"/>
              </w:rPr>
              <w:t>Serum AFP level (ng/m</w:t>
            </w:r>
            <w:r>
              <w:rPr>
                <w:rFonts w:ascii="Book Antiqua" w:eastAsia="DengXian" w:hAnsi="Book Antiqua" w:cs="Times New Roman" w:hint="eastAsia"/>
                <w:color w:val="auto"/>
                <w:kern w:val="2"/>
                <w:sz w:val="24"/>
                <w:szCs w:val="24"/>
                <w:lang w:eastAsia="zh-CN"/>
              </w:rPr>
              <w:t>L</w:t>
            </w:r>
            <w:r>
              <w:rPr>
                <w:rFonts w:ascii="Book Antiqua" w:eastAsia="DengXian" w:hAnsi="Book Antiqua" w:cs="Times New Roman"/>
                <w:color w:val="auto"/>
                <w:kern w:val="2"/>
                <w:sz w:val="24"/>
                <w:szCs w:val="24"/>
                <w:lang w:eastAsia="zh-CN"/>
              </w:rPr>
              <w:t>)</w:t>
            </w:r>
          </w:p>
        </w:tc>
        <w:tc>
          <w:tcPr>
            <w:tcW w:w="2048" w:type="dxa"/>
          </w:tcPr>
          <w:p w14:paraId="2AF035D4"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5C4DD091"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c>
          <w:tcPr>
            <w:tcW w:w="2049" w:type="dxa"/>
          </w:tcPr>
          <w:p w14:paraId="3047409D"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r w:rsidR="00BA6B61" w14:paraId="246A530F" w14:textId="77777777" w:rsidTr="0030419F">
        <w:trPr>
          <w:trHeight w:val="281"/>
        </w:trPr>
        <w:tc>
          <w:tcPr>
            <w:tcW w:w="3119" w:type="dxa"/>
          </w:tcPr>
          <w:p w14:paraId="1F46C984" w14:textId="3588AB17" w:rsidR="00BA6B61" w:rsidRP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ind w:firstLineChars="100" w:firstLine="240"/>
              <w:rPr>
                <w:rFonts w:ascii="Book Antiqua" w:eastAsia="DengXian" w:hAnsi="Book Antiqua" w:cs="Times New Roman"/>
                <w:color w:val="auto"/>
                <w:kern w:val="2"/>
                <w:sz w:val="24"/>
                <w:szCs w:val="24"/>
                <w:lang w:eastAsia="zh-CN"/>
              </w:rPr>
            </w:pPr>
            <w:r w:rsidRPr="00DF6D96">
              <w:rPr>
                <w:rFonts w:ascii="Book Antiqua" w:eastAsia="DengXian" w:hAnsi="Book Antiqua" w:cs="Times New Roman"/>
                <w:color w:val="auto"/>
                <w:kern w:val="2"/>
                <w:sz w:val="24"/>
                <w:szCs w:val="24"/>
                <w:lang w:eastAsia="zh-CN"/>
              </w:rPr>
              <w:t>&lt;</w:t>
            </w:r>
            <w:r>
              <w:rPr>
                <w:rFonts w:ascii="Book Antiqua" w:eastAsia="DengXian" w:hAnsi="Book Antiqua" w:cs="Times New Roman" w:hint="eastAsia"/>
                <w:color w:val="auto"/>
                <w:kern w:val="2"/>
                <w:sz w:val="24"/>
                <w:szCs w:val="24"/>
                <w:lang w:eastAsia="zh-CN"/>
              </w:rPr>
              <w:t xml:space="preserve"> </w:t>
            </w:r>
            <w:r w:rsidRPr="00DF6D96">
              <w:rPr>
                <w:rFonts w:ascii="Book Antiqua" w:eastAsia="DengXian" w:hAnsi="Book Antiqua" w:cs="Times New Roman"/>
                <w:color w:val="auto"/>
                <w:kern w:val="2"/>
                <w:sz w:val="24"/>
                <w:szCs w:val="24"/>
                <w:lang w:eastAsia="zh-CN"/>
              </w:rPr>
              <w:t xml:space="preserve">400 </w:t>
            </w:r>
          </w:p>
        </w:tc>
        <w:tc>
          <w:tcPr>
            <w:tcW w:w="2048" w:type="dxa"/>
          </w:tcPr>
          <w:p w14:paraId="79AD8E36" w14:textId="46CC9F7A"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18</w:t>
            </w:r>
          </w:p>
        </w:tc>
        <w:tc>
          <w:tcPr>
            <w:tcW w:w="2049" w:type="dxa"/>
          </w:tcPr>
          <w:p w14:paraId="1235B5D7" w14:textId="00184AA5"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25</w:t>
            </w:r>
          </w:p>
        </w:tc>
        <w:tc>
          <w:tcPr>
            <w:tcW w:w="2049" w:type="dxa"/>
          </w:tcPr>
          <w:p w14:paraId="318DB520" w14:textId="54DE0194"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0.154</w:t>
            </w:r>
          </w:p>
        </w:tc>
      </w:tr>
      <w:tr w:rsidR="00BA6B61" w14:paraId="53888467" w14:textId="77777777" w:rsidTr="0030419F">
        <w:tc>
          <w:tcPr>
            <w:tcW w:w="3119" w:type="dxa"/>
          </w:tcPr>
          <w:p w14:paraId="1E013666" w14:textId="61161832"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ind w:firstLineChars="100" w:firstLine="240"/>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w:t>
            </w:r>
            <w:r w:rsidR="00ED1A90">
              <w:rPr>
                <w:rFonts w:ascii="Book Antiqua" w:eastAsia="DengXian" w:hAnsi="Book Antiqua" w:cs="Times New Roman" w:hint="eastAsia"/>
                <w:color w:val="auto"/>
                <w:kern w:val="2"/>
                <w:sz w:val="24"/>
                <w:szCs w:val="24"/>
                <w:lang w:eastAsia="zh-CN"/>
              </w:rPr>
              <w:t xml:space="preserve"> </w:t>
            </w:r>
            <w:r w:rsidRPr="00DF6D96">
              <w:rPr>
                <w:rFonts w:ascii="Book Antiqua" w:eastAsia="DengXian" w:hAnsi="Book Antiqua" w:cs="Times New Roman"/>
                <w:color w:val="auto"/>
                <w:kern w:val="2"/>
                <w:sz w:val="24"/>
                <w:szCs w:val="24"/>
                <w:lang w:eastAsia="zh-CN"/>
              </w:rPr>
              <w:t>400</w:t>
            </w:r>
            <w:r w:rsidR="00F65498">
              <w:rPr>
                <w:rFonts w:ascii="Book Antiqua" w:eastAsia="DengXian" w:hAnsi="Book Antiqua" w:cs="Times New Roman"/>
                <w:color w:val="auto"/>
                <w:kern w:val="2"/>
                <w:sz w:val="24"/>
                <w:szCs w:val="24"/>
                <w:lang w:eastAsia="zh-CN"/>
              </w:rPr>
              <w:t xml:space="preserve"> </w:t>
            </w:r>
          </w:p>
        </w:tc>
        <w:tc>
          <w:tcPr>
            <w:tcW w:w="2048" w:type="dxa"/>
          </w:tcPr>
          <w:p w14:paraId="2F90B9A1" w14:textId="003AD7E6"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4</w:t>
            </w:r>
            <w:r w:rsidR="0014312C">
              <w:rPr>
                <w:rFonts w:ascii="Book Antiqua" w:eastAsia="DengXian" w:hAnsi="Book Antiqua" w:cs="Times New Roman"/>
                <w:color w:val="auto"/>
                <w:kern w:val="2"/>
                <w:sz w:val="24"/>
                <w:szCs w:val="24"/>
                <w:lang w:eastAsia="zh-CN"/>
              </w:rPr>
              <w:t xml:space="preserve"> </w:t>
            </w:r>
          </w:p>
        </w:tc>
        <w:tc>
          <w:tcPr>
            <w:tcW w:w="2049" w:type="dxa"/>
          </w:tcPr>
          <w:p w14:paraId="5E2E0F68" w14:textId="50B4F12C" w:rsidR="00BA6B61" w:rsidRDefault="00236654"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r w:rsidRPr="00DF6D96">
              <w:rPr>
                <w:rFonts w:ascii="Book Antiqua" w:eastAsia="DengXian" w:hAnsi="Book Antiqua" w:cs="Times New Roman"/>
                <w:color w:val="auto"/>
                <w:kern w:val="2"/>
                <w:sz w:val="24"/>
                <w:szCs w:val="24"/>
                <w:lang w:eastAsia="zh-CN"/>
              </w:rPr>
              <w:t>13</w:t>
            </w:r>
          </w:p>
        </w:tc>
        <w:tc>
          <w:tcPr>
            <w:tcW w:w="2049" w:type="dxa"/>
          </w:tcPr>
          <w:p w14:paraId="2811F248" w14:textId="77777777" w:rsidR="00BA6B61" w:rsidRDefault="00BA6B61" w:rsidP="0030419F">
            <w:pPr>
              <w:pBdr>
                <w:top w:val="none" w:sz="0" w:space="0" w:color="auto"/>
                <w:left w:val="none" w:sz="0" w:space="0" w:color="auto"/>
                <w:bottom w:val="none" w:sz="0" w:space="0" w:color="auto"/>
                <w:right w:val="none" w:sz="0" w:space="0" w:color="auto"/>
                <w:between w:val="none" w:sz="0" w:space="0" w:color="auto"/>
              </w:pBdr>
              <w:snapToGrid w:val="0"/>
              <w:spacing w:line="360" w:lineRule="auto"/>
              <w:jc w:val="center"/>
              <w:rPr>
                <w:rFonts w:ascii="Book Antiqua" w:hAnsi="Book Antiqua"/>
                <w:b/>
                <w:color w:val="auto"/>
                <w:sz w:val="24"/>
                <w:szCs w:val="24"/>
              </w:rPr>
            </w:pPr>
          </w:p>
        </w:tc>
      </w:tr>
    </w:tbl>
    <w:p w14:paraId="49C52A3C" w14:textId="25B74CBE" w:rsidR="00A63DC3" w:rsidRDefault="007073D1" w:rsidP="0030419F">
      <w:pPr>
        <w:snapToGrid w:val="0"/>
        <w:spacing w:line="360" w:lineRule="auto"/>
        <w:rPr>
          <w:rFonts w:ascii="Book Antiqua" w:hAnsi="Book Antiqua"/>
          <w:b/>
          <w:color w:val="auto"/>
          <w:sz w:val="24"/>
          <w:szCs w:val="24"/>
          <w:lang w:eastAsia="zh-CN"/>
        </w:rPr>
      </w:pPr>
      <w:r>
        <w:rPr>
          <w:rFonts w:ascii="Book Antiqua" w:hAnsi="Book Antiqua" w:hint="eastAsia"/>
          <w:color w:val="auto"/>
          <w:sz w:val="24"/>
          <w:szCs w:val="24"/>
          <w:vertAlign w:val="superscript"/>
          <w:lang w:eastAsia="zh-CN"/>
        </w:rPr>
        <w:t>a</w:t>
      </w:r>
      <w:r w:rsidRPr="00FA66EC">
        <w:rPr>
          <w:rFonts w:ascii="Book Antiqua" w:hAnsi="Book Antiqua"/>
          <w:i/>
          <w:color w:val="auto"/>
          <w:sz w:val="24"/>
          <w:szCs w:val="24"/>
        </w:rPr>
        <w:t>P</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0.0</w:t>
      </w:r>
      <w:r>
        <w:rPr>
          <w:rFonts w:ascii="Book Antiqua" w:hAnsi="Book Antiqua" w:hint="eastAsia"/>
          <w:color w:val="auto"/>
          <w:sz w:val="24"/>
          <w:szCs w:val="24"/>
          <w:lang w:eastAsia="zh-CN"/>
        </w:rPr>
        <w:t>5</w:t>
      </w:r>
      <w:r w:rsidR="0030419F">
        <w:rPr>
          <w:rFonts w:ascii="Book Antiqua" w:hAnsi="Book Antiqua" w:hint="eastAsia"/>
          <w:color w:val="auto"/>
          <w:sz w:val="24"/>
          <w:szCs w:val="24"/>
          <w:lang w:eastAsia="zh-CN"/>
        </w:rPr>
        <w:t>.</w:t>
      </w:r>
      <w:r>
        <w:rPr>
          <w:rFonts w:ascii="Book Antiqua" w:hAnsi="Book Antiqua" w:hint="eastAsia"/>
          <w:color w:val="auto"/>
          <w:sz w:val="24"/>
          <w:szCs w:val="24"/>
          <w:lang w:eastAsia="zh-CN"/>
        </w:rPr>
        <w:t xml:space="preserve"> </w:t>
      </w:r>
      <w:r w:rsidRPr="007073D1">
        <w:rPr>
          <w:rFonts w:ascii="Book Antiqua" w:hAnsi="Book Antiqua"/>
          <w:color w:val="auto"/>
          <w:sz w:val="24"/>
          <w:szCs w:val="24"/>
          <w:lang w:eastAsia="zh-CN"/>
        </w:rPr>
        <w:t>PAR2</w:t>
      </w:r>
      <w:r>
        <w:rPr>
          <w:rFonts w:ascii="Book Antiqua" w:hAnsi="Book Antiqua" w:hint="eastAsia"/>
          <w:color w:val="auto"/>
          <w:sz w:val="24"/>
          <w:szCs w:val="24"/>
          <w:lang w:eastAsia="zh-CN"/>
        </w:rPr>
        <w:t xml:space="preserve">: </w:t>
      </w:r>
      <w:r w:rsidRPr="0030419F">
        <w:rPr>
          <w:rFonts w:ascii="Book Antiqua" w:hAnsi="Book Antiqua"/>
          <w:caps/>
          <w:color w:val="auto"/>
          <w:sz w:val="24"/>
          <w:szCs w:val="24"/>
          <w:lang w:eastAsia="zh-CN"/>
        </w:rPr>
        <w:t>p</w:t>
      </w:r>
      <w:r w:rsidRPr="007073D1">
        <w:rPr>
          <w:rFonts w:ascii="Book Antiqua" w:hAnsi="Book Antiqua"/>
          <w:color w:val="auto"/>
          <w:sz w:val="24"/>
          <w:szCs w:val="24"/>
          <w:lang w:eastAsia="zh-CN"/>
        </w:rPr>
        <w:t>roteinase-activated receptor-2</w:t>
      </w:r>
      <w:r>
        <w:rPr>
          <w:rFonts w:ascii="Book Antiqua" w:hAnsi="Book Antiqua" w:hint="eastAsia"/>
          <w:color w:val="auto"/>
          <w:sz w:val="24"/>
          <w:szCs w:val="24"/>
          <w:lang w:eastAsia="zh-CN"/>
        </w:rPr>
        <w:t xml:space="preserve">; </w:t>
      </w:r>
      <w:r w:rsidR="00ED1A90">
        <w:rPr>
          <w:rFonts w:ascii="Book Antiqua" w:eastAsia="DengXian" w:hAnsi="Book Antiqua" w:cs="Times New Roman"/>
          <w:color w:val="auto"/>
          <w:kern w:val="2"/>
          <w:sz w:val="24"/>
          <w:szCs w:val="24"/>
          <w:lang w:eastAsia="zh-CN"/>
        </w:rPr>
        <w:t>HBsAg</w:t>
      </w:r>
      <w:r w:rsidR="00ED1A90">
        <w:rPr>
          <w:rFonts w:ascii="Book Antiqua" w:eastAsia="DengXian" w:hAnsi="Book Antiqua" w:cs="Times New Roman" w:hint="eastAsia"/>
          <w:color w:val="auto"/>
          <w:kern w:val="2"/>
          <w:sz w:val="24"/>
          <w:szCs w:val="24"/>
          <w:lang w:eastAsia="zh-CN"/>
        </w:rPr>
        <w:t xml:space="preserve">: </w:t>
      </w:r>
      <w:r w:rsidR="00ED1A90" w:rsidRPr="00ED1A90">
        <w:rPr>
          <w:rFonts w:ascii="Book Antiqua" w:eastAsia="DengXian" w:hAnsi="Book Antiqua" w:cs="Times New Roman"/>
          <w:color w:val="auto"/>
          <w:kern w:val="2"/>
          <w:sz w:val="24"/>
          <w:szCs w:val="24"/>
          <w:lang w:eastAsia="zh-CN"/>
        </w:rPr>
        <w:t>Hepatitis B surface antigen</w:t>
      </w:r>
      <w:r w:rsidR="00ED1A90">
        <w:rPr>
          <w:rFonts w:ascii="Book Antiqua" w:eastAsia="DengXian" w:hAnsi="Book Antiqua" w:cs="Times New Roman" w:hint="eastAsia"/>
          <w:color w:val="auto"/>
          <w:kern w:val="2"/>
          <w:sz w:val="24"/>
          <w:szCs w:val="24"/>
          <w:lang w:eastAsia="zh-CN"/>
        </w:rPr>
        <w:t xml:space="preserve">; AFP: </w:t>
      </w:r>
      <w:r w:rsidR="00ED1A90" w:rsidRPr="00ED1A90">
        <w:rPr>
          <w:rFonts w:ascii="Book Antiqua" w:eastAsia="DengXian" w:hAnsi="Book Antiqua" w:cs="Times New Roman"/>
          <w:color w:val="auto"/>
          <w:kern w:val="2"/>
          <w:sz w:val="24"/>
          <w:szCs w:val="24"/>
          <w:lang w:eastAsia="zh-CN"/>
        </w:rPr>
        <w:t>Alpha-fetoprotein</w:t>
      </w:r>
      <w:r w:rsidR="00ED1A90">
        <w:rPr>
          <w:rFonts w:ascii="Book Antiqua" w:eastAsia="DengXian" w:hAnsi="Book Antiqua" w:cs="Times New Roman" w:hint="eastAsia"/>
          <w:color w:val="auto"/>
          <w:kern w:val="2"/>
          <w:sz w:val="24"/>
          <w:szCs w:val="24"/>
          <w:lang w:eastAsia="zh-CN"/>
        </w:rPr>
        <w:t>.</w:t>
      </w:r>
    </w:p>
    <w:p w14:paraId="40BE11BD" w14:textId="6D9AFDA4" w:rsidR="00A63DC3" w:rsidRDefault="00A63DC3" w:rsidP="0030419F">
      <w:pPr>
        <w:snapToGrid w:val="0"/>
        <w:spacing w:line="360" w:lineRule="auto"/>
        <w:rPr>
          <w:rFonts w:ascii="Book Antiqua" w:hAnsi="Book Antiqua"/>
          <w:b/>
          <w:color w:val="auto"/>
          <w:sz w:val="24"/>
          <w:szCs w:val="24"/>
        </w:rPr>
      </w:pPr>
      <w:r>
        <w:rPr>
          <w:rFonts w:ascii="Book Antiqua" w:hAnsi="Book Antiqua"/>
          <w:b/>
          <w:color w:val="auto"/>
          <w:sz w:val="24"/>
          <w:szCs w:val="24"/>
        </w:rPr>
        <w:br w:type="page"/>
      </w:r>
    </w:p>
    <w:p w14:paraId="034B1146" w14:textId="6B7D59D7" w:rsid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
          <w:bCs/>
          <w:color w:val="auto"/>
          <w:kern w:val="2"/>
          <w:sz w:val="24"/>
          <w:szCs w:val="24"/>
          <w:lang w:eastAsia="zh-CN"/>
        </w:rPr>
      </w:pPr>
      <w:r w:rsidRPr="00DF6D96">
        <w:rPr>
          <w:rFonts w:ascii="Book Antiqua" w:eastAsia="DengXian" w:hAnsi="Book Antiqua" w:cs="Times New Roman"/>
          <w:b/>
          <w:bCs/>
          <w:color w:val="auto"/>
          <w:kern w:val="2"/>
          <w:sz w:val="24"/>
          <w:szCs w:val="24"/>
          <w:lang w:eastAsia="zh-CN"/>
        </w:rPr>
        <w:lastRenderedPageBreak/>
        <w:t>Table 3</w:t>
      </w:r>
      <w:r>
        <w:rPr>
          <w:rFonts w:ascii="Book Antiqua" w:eastAsia="DengXian" w:hAnsi="Book Antiqua" w:cs="Times New Roman" w:hint="eastAsia"/>
          <w:b/>
          <w:bCs/>
          <w:color w:val="auto"/>
          <w:kern w:val="2"/>
          <w:sz w:val="24"/>
          <w:szCs w:val="24"/>
          <w:lang w:eastAsia="zh-CN"/>
        </w:rPr>
        <w:t xml:space="preserve"> </w:t>
      </w:r>
      <w:r w:rsidRPr="00DF6D96">
        <w:rPr>
          <w:rFonts w:ascii="Book Antiqua" w:eastAsia="DengXian" w:hAnsi="Book Antiqua" w:cs="Times New Roman"/>
          <w:b/>
          <w:bCs/>
          <w:color w:val="auto"/>
          <w:kern w:val="2"/>
          <w:sz w:val="24"/>
          <w:szCs w:val="24"/>
          <w:lang w:eastAsia="zh-CN"/>
        </w:rPr>
        <w:t xml:space="preserve">Multivariate analysis of the association of prognosis with clinicopathological variables and </w:t>
      </w:r>
      <w:r w:rsidRPr="00F7365A">
        <w:rPr>
          <w:rFonts w:ascii="Book Antiqua" w:hAnsi="Book Antiqua"/>
          <w:b/>
          <w:color w:val="auto"/>
          <w:sz w:val="24"/>
          <w:szCs w:val="24"/>
        </w:rPr>
        <w:t>proteinase-activated receptor-2</w:t>
      </w:r>
      <w:r w:rsidRPr="00DF6D96">
        <w:rPr>
          <w:rFonts w:ascii="Book Antiqua" w:eastAsia="DengXian" w:hAnsi="Book Antiqua" w:cs="Times New Roman"/>
          <w:b/>
          <w:bCs/>
          <w:color w:val="auto"/>
          <w:kern w:val="2"/>
          <w:sz w:val="24"/>
          <w:szCs w:val="24"/>
          <w:lang w:eastAsia="zh-CN"/>
        </w:rPr>
        <w:t xml:space="preserve"> expression in </w:t>
      </w:r>
      <w:r w:rsidRPr="0076156B">
        <w:rPr>
          <w:rFonts w:ascii="Book Antiqua" w:hAnsi="Book Antiqua"/>
          <w:b/>
          <w:color w:val="auto"/>
          <w:sz w:val="24"/>
          <w:szCs w:val="24"/>
        </w:rPr>
        <w:t>hepatocellular carcinoma</w:t>
      </w:r>
      <w:r w:rsidRPr="00DF6D96">
        <w:rPr>
          <w:rFonts w:ascii="Book Antiqua" w:eastAsia="DengXian" w:hAnsi="Book Antiqua" w:cs="Times New Roman"/>
          <w:b/>
          <w:bCs/>
          <w:color w:val="auto"/>
          <w:kern w:val="2"/>
          <w:sz w:val="24"/>
          <w:szCs w:val="24"/>
          <w:lang w:eastAsia="zh-CN"/>
        </w:rPr>
        <w:t xml:space="preserve"> patients</w:t>
      </w:r>
    </w:p>
    <w:tbl>
      <w:tblPr>
        <w:tblStyle w:val="TableGrid"/>
        <w:tblW w:w="935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903"/>
        <w:gridCol w:w="1924"/>
      </w:tblGrid>
      <w:tr w:rsidR="00236654" w14:paraId="5DBCA902" w14:textId="77777777" w:rsidTr="002B0166">
        <w:trPr>
          <w:trHeight w:val="440"/>
        </w:trPr>
        <w:tc>
          <w:tcPr>
            <w:tcW w:w="5529" w:type="dxa"/>
            <w:tcBorders>
              <w:top w:val="single" w:sz="4" w:space="0" w:color="auto"/>
              <w:bottom w:val="single" w:sz="4" w:space="0" w:color="auto"/>
              <w:right w:val="nil"/>
            </w:tcBorders>
          </w:tcPr>
          <w:p w14:paraId="6F281F3C" w14:textId="51B0C15D" w:rsid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
                <w:bCs/>
                <w:color w:val="auto"/>
                <w:kern w:val="2"/>
                <w:sz w:val="24"/>
                <w:szCs w:val="24"/>
                <w:lang w:eastAsia="zh-CN"/>
              </w:rPr>
            </w:pPr>
            <w:r w:rsidRPr="00DF6D96">
              <w:rPr>
                <w:rFonts w:ascii="Book Antiqua" w:eastAsia="DengXian" w:hAnsi="Book Antiqua" w:cs="Times New Roman"/>
                <w:b/>
                <w:bCs/>
                <w:color w:val="auto"/>
                <w:kern w:val="2"/>
                <w:sz w:val="24"/>
                <w:szCs w:val="24"/>
                <w:lang w:eastAsia="zh-CN"/>
              </w:rPr>
              <w:t xml:space="preserve">Clinicopathological </w:t>
            </w:r>
            <w:r w:rsidR="0030419F" w:rsidRPr="00DF6D96">
              <w:rPr>
                <w:rFonts w:ascii="Book Antiqua" w:eastAsia="DengXian" w:hAnsi="Book Antiqua" w:cs="Times New Roman"/>
                <w:b/>
                <w:bCs/>
                <w:color w:val="auto"/>
                <w:kern w:val="2"/>
                <w:sz w:val="24"/>
                <w:szCs w:val="24"/>
                <w:lang w:eastAsia="zh-CN"/>
              </w:rPr>
              <w:t>v</w:t>
            </w:r>
            <w:r w:rsidRPr="00DF6D96">
              <w:rPr>
                <w:rFonts w:ascii="Book Antiqua" w:eastAsia="DengXian" w:hAnsi="Book Antiqua" w:cs="Times New Roman"/>
                <w:b/>
                <w:bCs/>
                <w:color w:val="auto"/>
                <w:kern w:val="2"/>
                <w:sz w:val="24"/>
                <w:szCs w:val="24"/>
                <w:lang w:eastAsia="zh-CN"/>
              </w:rPr>
              <w:t>ariables</w:t>
            </w:r>
          </w:p>
        </w:tc>
        <w:tc>
          <w:tcPr>
            <w:tcW w:w="1903" w:type="dxa"/>
            <w:tcBorders>
              <w:top w:val="single" w:sz="4" w:space="0" w:color="auto"/>
              <w:left w:val="nil"/>
              <w:bottom w:val="single" w:sz="4" w:space="0" w:color="auto"/>
              <w:right w:val="nil"/>
            </w:tcBorders>
          </w:tcPr>
          <w:p w14:paraId="7143444B" w14:textId="0F5655A9" w:rsid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
                <w:bCs/>
                <w:color w:val="auto"/>
                <w:kern w:val="2"/>
                <w:sz w:val="24"/>
                <w:szCs w:val="24"/>
                <w:lang w:eastAsia="zh-CN"/>
              </w:rPr>
            </w:pPr>
            <w:r w:rsidRPr="00DF6D96">
              <w:rPr>
                <w:rFonts w:ascii="Book Antiqua" w:eastAsia="DengXian" w:hAnsi="Book Antiqua" w:cs="Times New Roman"/>
                <w:b/>
                <w:bCs/>
                <w:color w:val="auto"/>
                <w:kern w:val="2"/>
                <w:sz w:val="24"/>
                <w:szCs w:val="24"/>
                <w:lang w:eastAsia="zh-CN"/>
              </w:rPr>
              <w:t xml:space="preserve">Hazard </w:t>
            </w:r>
            <w:r w:rsidR="0030419F" w:rsidRPr="00DF6D96">
              <w:rPr>
                <w:rFonts w:ascii="Book Antiqua" w:eastAsia="DengXian" w:hAnsi="Book Antiqua" w:cs="Times New Roman"/>
                <w:b/>
                <w:bCs/>
                <w:color w:val="auto"/>
                <w:kern w:val="2"/>
                <w:sz w:val="24"/>
                <w:szCs w:val="24"/>
                <w:lang w:eastAsia="zh-CN"/>
              </w:rPr>
              <w:t>r</w:t>
            </w:r>
            <w:r w:rsidRPr="00DF6D96">
              <w:rPr>
                <w:rFonts w:ascii="Book Antiqua" w:eastAsia="DengXian" w:hAnsi="Book Antiqua" w:cs="Times New Roman"/>
                <w:b/>
                <w:bCs/>
                <w:color w:val="auto"/>
                <w:kern w:val="2"/>
                <w:sz w:val="24"/>
                <w:szCs w:val="24"/>
                <w:lang w:eastAsia="zh-CN"/>
              </w:rPr>
              <w:t>atio</w:t>
            </w:r>
          </w:p>
        </w:tc>
        <w:tc>
          <w:tcPr>
            <w:tcW w:w="1924" w:type="dxa"/>
            <w:tcBorders>
              <w:top w:val="single" w:sz="4" w:space="0" w:color="auto"/>
              <w:left w:val="nil"/>
              <w:bottom w:val="single" w:sz="4" w:space="0" w:color="auto"/>
            </w:tcBorders>
          </w:tcPr>
          <w:p w14:paraId="3C9FE90F" w14:textId="5D60F4AD" w:rsidR="00236654"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
                <w:bCs/>
                <w:color w:val="auto"/>
                <w:kern w:val="2"/>
                <w:sz w:val="24"/>
                <w:szCs w:val="24"/>
                <w:lang w:eastAsia="zh-CN"/>
              </w:rPr>
            </w:pPr>
            <w:r w:rsidRPr="00FA66EC">
              <w:rPr>
                <w:rFonts w:ascii="Book Antiqua" w:eastAsia="DengXian" w:hAnsi="Book Antiqua" w:cs="Times New Roman"/>
                <w:b/>
                <w:bCs/>
                <w:i/>
                <w:color w:val="auto"/>
                <w:kern w:val="2"/>
                <w:sz w:val="24"/>
                <w:szCs w:val="24"/>
                <w:lang w:eastAsia="zh-CN"/>
              </w:rPr>
              <w:t>P</w:t>
            </w:r>
            <w:r w:rsidRPr="00DF6D96">
              <w:rPr>
                <w:rFonts w:ascii="Book Antiqua" w:eastAsia="DengXian" w:hAnsi="Book Antiqua" w:cs="Times New Roman"/>
                <w:b/>
                <w:bCs/>
                <w:color w:val="auto"/>
                <w:kern w:val="2"/>
                <w:sz w:val="24"/>
                <w:szCs w:val="24"/>
                <w:lang w:eastAsia="zh-CN"/>
              </w:rPr>
              <w:t xml:space="preserve"> value</w:t>
            </w:r>
          </w:p>
        </w:tc>
      </w:tr>
      <w:tr w:rsidR="00236654" w14:paraId="1BCC8252" w14:textId="77777777" w:rsidTr="002B0166">
        <w:trPr>
          <w:trHeight w:val="440"/>
        </w:trPr>
        <w:tc>
          <w:tcPr>
            <w:tcW w:w="5529" w:type="dxa"/>
            <w:tcBorders>
              <w:top w:val="single" w:sz="4" w:space="0" w:color="auto"/>
              <w:right w:val="nil"/>
            </w:tcBorders>
          </w:tcPr>
          <w:p w14:paraId="29AC9349" w14:textId="5296C336"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 xml:space="preserve">Gender (male </w:t>
            </w:r>
            <w:r w:rsidRPr="00FA66EC">
              <w:rPr>
                <w:rFonts w:ascii="Book Antiqua" w:eastAsia="DengXian" w:hAnsi="Book Antiqua" w:cs="Times New Roman"/>
                <w:i/>
                <w:color w:val="auto"/>
                <w:kern w:val="2"/>
                <w:sz w:val="24"/>
                <w:szCs w:val="24"/>
                <w:lang w:eastAsia="zh-CN"/>
              </w:rPr>
              <w:t>vs</w:t>
            </w:r>
            <w:r w:rsidR="0030419F">
              <w:rPr>
                <w:rFonts w:ascii="Book Antiqua" w:eastAsia="DengXian" w:hAnsi="Book Antiqua" w:cs="Times New Roman" w:hint="eastAsia"/>
                <w:i/>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female)</w:t>
            </w:r>
          </w:p>
        </w:tc>
        <w:tc>
          <w:tcPr>
            <w:tcW w:w="1903" w:type="dxa"/>
            <w:tcBorders>
              <w:top w:val="single" w:sz="4" w:space="0" w:color="auto"/>
              <w:left w:val="nil"/>
              <w:right w:val="nil"/>
            </w:tcBorders>
          </w:tcPr>
          <w:p w14:paraId="5C9B1E07" w14:textId="58592162"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0.214</w:t>
            </w:r>
          </w:p>
        </w:tc>
        <w:tc>
          <w:tcPr>
            <w:tcW w:w="1924" w:type="dxa"/>
            <w:tcBorders>
              <w:top w:val="single" w:sz="4" w:space="0" w:color="auto"/>
              <w:left w:val="nil"/>
            </w:tcBorders>
          </w:tcPr>
          <w:p w14:paraId="45DBC976" w14:textId="7A57B02D"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0.672</w:t>
            </w:r>
          </w:p>
        </w:tc>
      </w:tr>
      <w:tr w:rsidR="00236654" w14:paraId="38F7F261" w14:textId="77777777" w:rsidTr="002B0166">
        <w:trPr>
          <w:trHeight w:val="201"/>
        </w:trPr>
        <w:tc>
          <w:tcPr>
            <w:tcW w:w="5529" w:type="dxa"/>
            <w:tcBorders>
              <w:right w:val="nil"/>
            </w:tcBorders>
          </w:tcPr>
          <w:p w14:paraId="0FB03E16" w14:textId="4F7DB626"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color w:val="auto"/>
                <w:kern w:val="2"/>
                <w:sz w:val="24"/>
                <w:szCs w:val="24"/>
                <w:lang w:eastAsia="zh-CN"/>
              </w:rPr>
              <w:t>Age (&lt;</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 xml:space="preserve">60 </w:t>
            </w:r>
            <w:r w:rsidRPr="00FA66EC">
              <w:rPr>
                <w:rFonts w:ascii="Book Antiqua" w:eastAsia="DengXian" w:hAnsi="Book Antiqua" w:cs="Times New Roman"/>
                <w:i/>
                <w:color w:val="auto"/>
                <w:kern w:val="2"/>
                <w:sz w:val="24"/>
                <w:szCs w:val="24"/>
                <w:lang w:eastAsia="zh-CN"/>
              </w:rPr>
              <w:t>vs</w:t>
            </w:r>
            <w:r w:rsidRPr="00FA66EC">
              <w:rPr>
                <w:rFonts w:ascii="Book Antiqua" w:eastAsia="DengXian" w:hAnsi="Book Antiqua" w:cs="Times New Roman" w:hint="eastAsia"/>
                <w:i/>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60)</w:t>
            </w:r>
            <w:r w:rsidR="0014312C">
              <w:rPr>
                <w:rFonts w:ascii="Book Antiqua" w:eastAsia="DengXian" w:hAnsi="Book Antiqua" w:cs="Times New Roman"/>
                <w:color w:val="auto"/>
                <w:kern w:val="2"/>
                <w:sz w:val="24"/>
                <w:szCs w:val="24"/>
                <w:lang w:eastAsia="zh-CN"/>
              </w:rPr>
              <w:t xml:space="preserve"> </w:t>
            </w:r>
          </w:p>
        </w:tc>
        <w:tc>
          <w:tcPr>
            <w:tcW w:w="1903" w:type="dxa"/>
            <w:tcBorders>
              <w:left w:val="nil"/>
              <w:right w:val="nil"/>
            </w:tcBorders>
          </w:tcPr>
          <w:p w14:paraId="774A919A" w14:textId="5FA9FAD8"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0.126</w:t>
            </w:r>
          </w:p>
        </w:tc>
        <w:tc>
          <w:tcPr>
            <w:tcW w:w="1924" w:type="dxa"/>
            <w:tcBorders>
              <w:left w:val="nil"/>
            </w:tcBorders>
          </w:tcPr>
          <w:p w14:paraId="02C0C952" w14:textId="0D8592B0"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0.763</w:t>
            </w:r>
          </w:p>
        </w:tc>
      </w:tr>
      <w:tr w:rsidR="00236654" w14:paraId="7776266B" w14:textId="77777777" w:rsidTr="002B0166">
        <w:trPr>
          <w:trHeight w:val="455"/>
        </w:trPr>
        <w:tc>
          <w:tcPr>
            <w:tcW w:w="5529" w:type="dxa"/>
            <w:tcBorders>
              <w:right w:val="nil"/>
            </w:tcBorders>
          </w:tcPr>
          <w:p w14:paraId="1B1A57CC" w14:textId="3BFF4D04"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color w:val="auto"/>
                <w:kern w:val="2"/>
                <w:sz w:val="24"/>
                <w:szCs w:val="24"/>
                <w:lang w:eastAsia="zh-CN"/>
              </w:rPr>
              <w:t xml:space="preserve">TNM stage (I-II </w:t>
            </w:r>
            <w:r w:rsidRPr="00FA66EC">
              <w:rPr>
                <w:rFonts w:ascii="Book Antiqua" w:eastAsia="DengXian" w:hAnsi="Book Antiqua" w:cs="Times New Roman"/>
                <w:i/>
                <w:color w:val="auto"/>
                <w:kern w:val="2"/>
                <w:sz w:val="24"/>
                <w:szCs w:val="24"/>
                <w:lang w:eastAsia="zh-CN"/>
              </w:rPr>
              <w:t>vs</w:t>
            </w:r>
            <w:r w:rsidR="0030419F">
              <w:rPr>
                <w:rFonts w:ascii="Book Antiqua" w:eastAsia="DengXian" w:hAnsi="Book Antiqua" w:cs="Times New Roman" w:hint="eastAsia"/>
                <w:i/>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III-IV)</w:t>
            </w:r>
            <w:r w:rsidR="00F65498">
              <w:rPr>
                <w:rFonts w:ascii="Book Antiqua" w:eastAsia="DengXian" w:hAnsi="Book Antiqua" w:cs="Times New Roman"/>
                <w:color w:val="auto"/>
                <w:kern w:val="2"/>
                <w:sz w:val="24"/>
                <w:szCs w:val="24"/>
                <w:lang w:eastAsia="zh-CN"/>
              </w:rPr>
              <w:t xml:space="preserve"> </w:t>
            </w:r>
          </w:p>
        </w:tc>
        <w:tc>
          <w:tcPr>
            <w:tcW w:w="1903" w:type="dxa"/>
            <w:tcBorders>
              <w:left w:val="nil"/>
              <w:right w:val="nil"/>
            </w:tcBorders>
          </w:tcPr>
          <w:p w14:paraId="5CA6EE72" w14:textId="344C4D2F"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4.292</w:t>
            </w:r>
          </w:p>
        </w:tc>
        <w:tc>
          <w:tcPr>
            <w:tcW w:w="1924" w:type="dxa"/>
            <w:tcBorders>
              <w:left w:val="nil"/>
            </w:tcBorders>
          </w:tcPr>
          <w:p w14:paraId="0B16743E" w14:textId="597F00BD"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0.016</w:t>
            </w:r>
            <w:r w:rsidR="00ED1A90">
              <w:rPr>
                <w:rFonts w:ascii="Book Antiqua" w:eastAsia="DengXian" w:hAnsi="Book Antiqua" w:cs="Times New Roman" w:hint="eastAsia"/>
                <w:color w:val="auto"/>
                <w:kern w:val="2"/>
                <w:sz w:val="24"/>
                <w:szCs w:val="24"/>
                <w:vertAlign w:val="superscript"/>
                <w:lang w:eastAsia="zh-CN"/>
              </w:rPr>
              <w:t>a</w:t>
            </w:r>
          </w:p>
        </w:tc>
      </w:tr>
      <w:tr w:rsidR="00236654" w14:paraId="64CC1D5B" w14:textId="77777777" w:rsidTr="002B0166">
        <w:trPr>
          <w:trHeight w:val="455"/>
        </w:trPr>
        <w:tc>
          <w:tcPr>
            <w:tcW w:w="5529" w:type="dxa"/>
            <w:tcBorders>
              <w:right w:val="nil"/>
            </w:tcBorders>
          </w:tcPr>
          <w:p w14:paraId="0AACC40C" w14:textId="2526CEB2"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Tumor size (≤</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5</w:t>
            </w:r>
            <w:r w:rsidR="00ED1A90">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 xml:space="preserve">cm </w:t>
            </w:r>
            <w:r w:rsidRPr="00FA66EC">
              <w:rPr>
                <w:rFonts w:ascii="Book Antiqua" w:eastAsia="DengXian" w:hAnsi="Book Antiqua" w:cs="Times New Roman"/>
                <w:i/>
                <w:color w:val="auto"/>
                <w:kern w:val="2"/>
                <w:sz w:val="24"/>
                <w:szCs w:val="24"/>
                <w:lang w:eastAsia="zh-CN"/>
              </w:rPr>
              <w:t>vs</w:t>
            </w:r>
            <w:r w:rsidRPr="00FA66EC">
              <w:rPr>
                <w:rFonts w:ascii="Book Antiqua" w:eastAsia="DengXian" w:hAnsi="Book Antiqua" w:cs="Times New Roman"/>
                <w:color w:val="auto"/>
                <w:kern w:val="2"/>
                <w:sz w:val="24"/>
                <w:szCs w:val="24"/>
                <w:lang w:eastAsia="zh-CN"/>
              </w:rPr>
              <w:t xml:space="preserve"> &gt;</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5</w:t>
            </w:r>
            <w:r w:rsidR="00ED1A90">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cm)</w:t>
            </w:r>
            <w:r w:rsidR="0014312C">
              <w:rPr>
                <w:rFonts w:ascii="Book Antiqua" w:eastAsia="DengXian" w:hAnsi="Book Antiqua" w:cs="Times New Roman"/>
                <w:color w:val="auto"/>
                <w:kern w:val="2"/>
                <w:sz w:val="24"/>
                <w:szCs w:val="24"/>
                <w:lang w:eastAsia="zh-CN"/>
              </w:rPr>
              <w:t xml:space="preserve"> </w:t>
            </w:r>
          </w:p>
        </w:tc>
        <w:tc>
          <w:tcPr>
            <w:tcW w:w="1903" w:type="dxa"/>
            <w:tcBorders>
              <w:left w:val="nil"/>
              <w:right w:val="nil"/>
            </w:tcBorders>
          </w:tcPr>
          <w:p w14:paraId="20E9A680" w14:textId="5E487248"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2.193</w:t>
            </w:r>
          </w:p>
        </w:tc>
        <w:tc>
          <w:tcPr>
            <w:tcW w:w="1924" w:type="dxa"/>
            <w:tcBorders>
              <w:left w:val="nil"/>
            </w:tcBorders>
          </w:tcPr>
          <w:p w14:paraId="3EA5416F" w14:textId="10C29A7D"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0.034</w:t>
            </w:r>
            <w:r w:rsidR="00ED1A90">
              <w:rPr>
                <w:rFonts w:ascii="Book Antiqua" w:eastAsia="DengXian" w:hAnsi="Book Antiqua" w:cs="Times New Roman" w:hint="eastAsia"/>
                <w:color w:val="auto"/>
                <w:kern w:val="2"/>
                <w:sz w:val="24"/>
                <w:szCs w:val="24"/>
                <w:vertAlign w:val="superscript"/>
                <w:lang w:eastAsia="zh-CN"/>
              </w:rPr>
              <w:t>a</w:t>
            </w:r>
          </w:p>
        </w:tc>
      </w:tr>
      <w:tr w:rsidR="00236654" w14:paraId="2683DCA7" w14:textId="77777777" w:rsidTr="002B0166">
        <w:trPr>
          <w:trHeight w:val="404"/>
        </w:trPr>
        <w:tc>
          <w:tcPr>
            <w:tcW w:w="5529" w:type="dxa"/>
            <w:tcBorders>
              <w:right w:val="nil"/>
            </w:tcBorders>
          </w:tcPr>
          <w:p w14:paraId="058F2AB1" w14:textId="67E8F797"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color w:val="auto"/>
                <w:kern w:val="2"/>
                <w:sz w:val="24"/>
                <w:szCs w:val="24"/>
                <w:lang w:eastAsia="zh-CN"/>
              </w:rPr>
              <w:t>Microvascular invasion</w:t>
            </w:r>
            <w:r w:rsidR="0014312C">
              <w:rPr>
                <w:rFonts w:ascii="Book Antiqua" w:eastAsia="DengXian" w:hAnsi="Book Antiqua" w:cs="Times New Roman"/>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 xml:space="preserve">(present </w:t>
            </w:r>
            <w:r w:rsidRPr="00FA66EC">
              <w:rPr>
                <w:rFonts w:ascii="Book Antiqua" w:eastAsia="DengXian" w:hAnsi="Book Antiqua" w:cs="Times New Roman"/>
                <w:i/>
                <w:color w:val="auto"/>
                <w:kern w:val="2"/>
                <w:sz w:val="24"/>
                <w:szCs w:val="24"/>
                <w:lang w:eastAsia="zh-CN"/>
              </w:rPr>
              <w:t>vs</w:t>
            </w:r>
            <w:r w:rsidRPr="00FA66EC">
              <w:rPr>
                <w:rFonts w:ascii="Book Antiqua" w:eastAsia="DengXian" w:hAnsi="Book Antiqua" w:cs="Times New Roman" w:hint="eastAsia"/>
                <w:i/>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absent)</w:t>
            </w:r>
          </w:p>
        </w:tc>
        <w:tc>
          <w:tcPr>
            <w:tcW w:w="1903" w:type="dxa"/>
            <w:tcBorders>
              <w:left w:val="nil"/>
              <w:right w:val="nil"/>
            </w:tcBorders>
          </w:tcPr>
          <w:p w14:paraId="60657ABA" w14:textId="0F63813E"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2.499</w:t>
            </w:r>
          </w:p>
        </w:tc>
        <w:tc>
          <w:tcPr>
            <w:tcW w:w="1924" w:type="dxa"/>
            <w:tcBorders>
              <w:left w:val="nil"/>
            </w:tcBorders>
          </w:tcPr>
          <w:p w14:paraId="302214C7" w14:textId="694B9572"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0.029</w:t>
            </w:r>
            <w:r w:rsidR="00ED1A90">
              <w:rPr>
                <w:rFonts w:ascii="Book Antiqua" w:eastAsia="DengXian" w:hAnsi="Book Antiqua" w:cs="Times New Roman" w:hint="eastAsia"/>
                <w:color w:val="auto"/>
                <w:kern w:val="2"/>
                <w:sz w:val="24"/>
                <w:szCs w:val="24"/>
                <w:vertAlign w:val="superscript"/>
                <w:lang w:eastAsia="zh-CN"/>
              </w:rPr>
              <w:t>a</w:t>
            </w:r>
          </w:p>
        </w:tc>
      </w:tr>
      <w:tr w:rsidR="00FA66EC" w14:paraId="3809AD8E" w14:textId="77777777" w:rsidTr="002B0166">
        <w:trPr>
          <w:trHeight w:val="455"/>
        </w:trPr>
        <w:tc>
          <w:tcPr>
            <w:tcW w:w="5529" w:type="dxa"/>
            <w:tcBorders>
              <w:bottom w:val="nil"/>
              <w:right w:val="nil"/>
            </w:tcBorders>
          </w:tcPr>
          <w:p w14:paraId="76829ECE" w14:textId="0B7F66CA" w:rsidR="00FA66EC"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 xml:space="preserve">HBsAg (negative </w:t>
            </w:r>
            <w:r w:rsidRPr="00FA66EC">
              <w:rPr>
                <w:rFonts w:ascii="Book Antiqua" w:eastAsia="DengXian" w:hAnsi="Book Antiqua" w:cs="Times New Roman"/>
                <w:i/>
                <w:color w:val="auto"/>
                <w:kern w:val="2"/>
                <w:sz w:val="24"/>
                <w:szCs w:val="24"/>
                <w:lang w:eastAsia="zh-CN"/>
              </w:rPr>
              <w:t>vs</w:t>
            </w:r>
            <w:r w:rsidRPr="00FA66EC">
              <w:rPr>
                <w:rFonts w:ascii="Book Antiqua" w:eastAsia="DengXian" w:hAnsi="Book Antiqua" w:cs="Times New Roman" w:hint="eastAsia"/>
                <w:i/>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positive)</w:t>
            </w:r>
            <w:r w:rsidR="0014312C">
              <w:rPr>
                <w:rFonts w:ascii="Book Antiqua" w:eastAsia="DengXian" w:hAnsi="Book Antiqua" w:cs="Times New Roman"/>
                <w:color w:val="auto"/>
                <w:kern w:val="2"/>
                <w:sz w:val="24"/>
                <w:szCs w:val="24"/>
                <w:lang w:eastAsia="zh-CN"/>
              </w:rPr>
              <w:t xml:space="preserve"> </w:t>
            </w:r>
          </w:p>
        </w:tc>
        <w:tc>
          <w:tcPr>
            <w:tcW w:w="1903" w:type="dxa"/>
            <w:tcBorders>
              <w:left w:val="nil"/>
              <w:bottom w:val="nil"/>
              <w:right w:val="nil"/>
            </w:tcBorders>
          </w:tcPr>
          <w:p w14:paraId="0C133083" w14:textId="105D8210" w:rsidR="00FA66EC"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color w:val="auto"/>
                <w:kern w:val="2"/>
                <w:sz w:val="24"/>
                <w:szCs w:val="24"/>
                <w:lang w:eastAsia="zh-CN"/>
              </w:rPr>
              <w:t>1.072</w:t>
            </w:r>
          </w:p>
        </w:tc>
        <w:tc>
          <w:tcPr>
            <w:tcW w:w="1924" w:type="dxa"/>
            <w:tcBorders>
              <w:left w:val="nil"/>
              <w:bottom w:val="nil"/>
            </w:tcBorders>
          </w:tcPr>
          <w:p w14:paraId="5738C5D0" w14:textId="6D24EAA1" w:rsidR="00FA66EC"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color w:val="auto"/>
                <w:kern w:val="2"/>
                <w:sz w:val="24"/>
                <w:szCs w:val="24"/>
                <w:lang w:eastAsia="zh-CN"/>
              </w:rPr>
              <w:t>0.092</w:t>
            </w:r>
          </w:p>
        </w:tc>
      </w:tr>
      <w:tr w:rsidR="00236654" w14:paraId="318E4C85" w14:textId="77777777" w:rsidTr="002B0166">
        <w:trPr>
          <w:trHeight w:val="347"/>
        </w:trPr>
        <w:tc>
          <w:tcPr>
            <w:tcW w:w="5529" w:type="dxa"/>
            <w:tcBorders>
              <w:top w:val="nil"/>
              <w:bottom w:val="nil"/>
              <w:right w:val="nil"/>
            </w:tcBorders>
          </w:tcPr>
          <w:p w14:paraId="2BB4BBA6" w14:textId="1C7F3065"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r w:rsidRPr="00FA66EC">
              <w:rPr>
                <w:rFonts w:ascii="Book Antiqua" w:eastAsia="DengXian" w:hAnsi="Book Antiqua" w:cs="Times New Roman" w:hint="eastAsia"/>
                <w:bCs/>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Serum AFP level (&lt;</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400</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ng/mL</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i/>
                <w:color w:val="auto"/>
                <w:kern w:val="2"/>
                <w:sz w:val="24"/>
                <w:szCs w:val="24"/>
                <w:lang w:eastAsia="zh-CN"/>
              </w:rPr>
              <w:t>vs</w:t>
            </w:r>
            <w:r w:rsidRPr="00FA66EC">
              <w:rPr>
                <w:rFonts w:ascii="Book Antiqua" w:eastAsia="DengXian" w:hAnsi="Book Antiqua" w:cs="Times New Roman" w:hint="eastAsia"/>
                <w:i/>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400</w:t>
            </w:r>
            <w:r w:rsidRPr="00FA66EC">
              <w:rPr>
                <w:rFonts w:ascii="Book Antiqua" w:eastAsia="DengXian" w:hAnsi="Book Antiqua" w:cs="Times New Roman" w:hint="eastAsia"/>
                <w:color w:val="auto"/>
                <w:kern w:val="2"/>
                <w:sz w:val="24"/>
                <w:szCs w:val="24"/>
                <w:lang w:eastAsia="zh-CN"/>
              </w:rPr>
              <w:t xml:space="preserve"> </w:t>
            </w:r>
            <w:r w:rsidRPr="00FA66EC">
              <w:rPr>
                <w:rFonts w:ascii="Book Antiqua" w:eastAsia="DengXian" w:hAnsi="Book Antiqua" w:cs="Times New Roman"/>
                <w:color w:val="auto"/>
                <w:kern w:val="2"/>
                <w:sz w:val="24"/>
                <w:szCs w:val="24"/>
                <w:lang w:eastAsia="zh-CN"/>
              </w:rPr>
              <w:t>ng/mL</w:t>
            </w:r>
          </w:p>
        </w:tc>
        <w:tc>
          <w:tcPr>
            <w:tcW w:w="1903" w:type="dxa"/>
            <w:tcBorders>
              <w:top w:val="nil"/>
              <w:left w:val="nil"/>
              <w:bottom w:val="nil"/>
              <w:right w:val="nil"/>
            </w:tcBorders>
          </w:tcPr>
          <w:p w14:paraId="4F8FA5FF" w14:textId="7506057B"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3.688</w:t>
            </w:r>
          </w:p>
        </w:tc>
        <w:tc>
          <w:tcPr>
            <w:tcW w:w="1924" w:type="dxa"/>
            <w:tcBorders>
              <w:top w:val="nil"/>
              <w:left w:val="nil"/>
              <w:bottom w:val="nil"/>
            </w:tcBorders>
          </w:tcPr>
          <w:p w14:paraId="54E0078B" w14:textId="3F26454E"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0.023</w:t>
            </w:r>
            <w:r w:rsidR="00ED1A90">
              <w:rPr>
                <w:rFonts w:ascii="Book Antiqua" w:eastAsia="DengXian" w:hAnsi="Book Antiqua" w:cs="Times New Roman" w:hint="eastAsia"/>
                <w:color w:val="auto"/>
                <w:kern w:val="2"/>
                <w:sz w:val="24"/>
                <w:szCs w:val="24"/>
                <w:vertAlign w:val="superscript"/>
                <w:lang w:eastAsia="zh-CN"/>
              </w:rPr>
              <w:t>a</w:t>
            </w:r>
          </w:p>
        </w:tc>
      </w:tr>
      <w:tr w:rsidR="00236654" w14:paraId="551A165F" w14:textId="77777777" w:rsidTr="002B0166">
        <w:trPr>
          <w:trHeight w:val="455"/>
        </w:trPr>
        <w:tc>
          <w:tcPr>
            <w:tcW w:w="5529" w:type="dxa"/>
            <w:tcBorders>
              <w:top w:val="nil"/>
              <w:bottom w:val="single" w:sz="4" w:space="0" w:color="auto"/>
              <w:right w:val="nil"/>
            </w:tcBorders>
          </w:tcPr>
          <w:p w14:paraId="3B1A48CF" w14:textId="717306E5"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 xml:space="preserve">PAR2 expression (high </w:t>
            </w:r>
            <w:r w:rsidRPr="00FA66EC">
              <w:rPr>
                <w:rFonts w:ascii="Book Antiqua" w:eastAsia="DengXian" w:hAnsi="Book Antiqua" w:cs="Times New Roman"/>
                <w:i/>
                <w:color w:val="auto"/>
                <w:kern w:val="2"/>
                <w:sz w:val="24"/>
                <w:szCs w:val="24"/>
                <w:lang w:eastAsia="zh-CN"/>
              </w:rPr>
              <w:t>vs.</w:t>
            </w:r>
            <w:r w:rsidRPr="00FA66EC">
              <w:rPr>
                <w:rFonts w:ascii="Book Antiqua" w:eastAsia="DengXian" w:hAnsi="Book Antiqua" w:cs="Times New Roman"/>
                <w:color w:val="auto"/>
                <w:kern w:val="2"/>
                <w:sz w:val="24"/>
                <w:szCs w:val="24"/>
                <w:lang w:eastAsia="zh-CN"/>
              </w:rPr>
              <w:t xml:space="preserve"> low)</w:t>
            </w:r>
          </w:p>
        </w:tc>
        <w:tc>
          <w:tcPr>
            <w:tcW w:w="1903" w:type="dxa"/>
            <w:tcBorders>
              <w:top w:val="nil"/>
              <w:left w:val="nil"/>
              <w:bottom w:val="single" w:sz="4" w:space="0" w:color="auto"/>
              <w:right w:val="nil"/>
            </w:tcBorders>
          </w:tcPr>
          <w:p w14:paraId="7A67F367" w14:textId="163954F4"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1.814</w:t>
            </w:r>
          </w:p>
        </w:tc>
        <w:tc>
          <w:tcPr>
            <w:tcW w:w="1924" w:type="dxa"/>
            <w:tcBorders>
              <w:top w:val="nil"/>
              <w:left w:val="nil"/>
              <w:bottom w:val="single" w:sz="4" w:space="0" w:color="auto"/>
            </w:tcBorders>
          </w:tcPr>
          <w:p w14:paraId="00F1BE31" w14:textId="2BDF1EC2" w:rsidR="00236654" w:rsidRPr="00FA66EC" w:rsidRDefault="00FA66EC"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jc w:val="center"/>
              <w:rPr>
                <w:rFonts w:ascii="Book Antiqua" w:eastAsia="DengXian" w:hAnsi="Book Antiqua" w:cs="Times New Roman"/>
                <w:bCs/>
                <w:color w:val="auto"/>
                <w:kern w:val="2"/>
                <w:sz w:val="24"/>
                <w:szCs w:val="24"/>
                <w:lang w:eastAsia="zh-CN"/>
              </w:rPr>
            </w:pPr>
            <w:r w:rsidRPr="00FA66EC">
              <w:rPr>
                <w:rFonts w:ascii="Book Antiqua" w:eastAsia="DengXian" w:hAnsi="Book Antiqua" w:cs="Times New Roman"/>
                <w:color w:val="auto"/>
                <w:kern w:val="2"/>
                <w:sz w:val="24"/>
                <w:szCs w:val="24"/>
                <w:lang w:eastAsia="zh-CN"/>
              </w:rPr>
              <w:t>0.041</w:t>
            </w:r>
            <w:r w:rsidR="00ED1A90">
              <w:rPr>
                <w:rFonts w:ascii="Book Antiqua" w:eastAsia="DengXian" w:hAnsi="Book Antiqua" w:cs="Times New Roman" w:hint="eastAsia"/>
                <w:color w:val="auto"/>
                <w:kern w:val="2"/>
                <w:sz w:val="24"/>
                <w:szCs w:val="24"/>
                <w:vertAlign w:val="superscript"/>
                <w:lang w:eastAsia="zh-CN"/>
              </w:rPr>
              <w:t>a</w:t>
            </w:r>
          </w:p>
        </w:tc>
      </w:tr>
    </w:tbl>
    <w:p w14:paraId="0058A61C" w14:textId="437ED2FD" w:rsidR="00236654" w:rsidRPr="0030419F" w:rsidRDefault="00ED1A90" w:rsidP="0030419F">
      <w:pPr>
        <w:snapToGrid w:val="0"/>
        <w:spacing w:line="360" w:lineRule="auto"/>
        <w:rPr>
          <w:rFonts w:ascii="Book Antiqua" w:hAnsi="Book Antiqua"/>
          <w:b/>
          <w:color w:val="auto"/>
          <w:sz w:val="24"/>
          <w:szCs w:val="24"/>
          <w:lang w:eastAsia="zh-CN"/>
        </w:rPr>
      </w:pPr>
      <w:r>
        <w:rPr>
          <w:rFonts w:ascii="Book Antiqua" w:hAnsi="Book Antiqua" w:hint="eastAsia"/>
          <w:color w:val="auto"/>
          <w:sz w:val="24"/>
          <w:szCs w:val="24"/>
          <w:vertAlign w:val="superscript"/>
          <w:lang w:eastAsia="zh-CN"/>
        </w:rPr>
        <w:t>a</w:t>
      </w:r>
      <w:r w:rsidRPr="00FA66EC">
        <w:rPr>
          <w:rFonts w:ascii="Book Antiqua" w:hAnsi="Book Antiqua"/>
          <w:i/>
          <w:color w:val="auto"/>
          <w:sz w:val="24"/>
          <w:szCs w:val="24"/>
        </w:rPr>
        <w:t>P</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0.0</w:t>
      </w:r>
      <w:r>
        <w:rPr>
          <w:rFonts w:ascii="Book Antiqua" w:hAnsi="Book Antiqua" w:hint="eastAsia"/>
          <w:color w:val="auto"/>
          <w:sz w:val="24"/>
          <w:szCs w:val="24"/>
          <w:lang w:eastAsia="zh-CN"/>
        </w:rPr>
        <w:t>5</w:t>
      </w:r>
      <w:r w:rsidR="0030419F">
        <w:rPr>
          <w:rFonts w:ascii="Book Antiqua" w:hAnsi="Book Antiqua" w:hint="eastAsia"/>
          <w:color w:val="auto"/>
          <w:sz w:val="24"/>
          <w:szCs w:val="24"/>
          <w:lang w:eastAsia="zh-CN"/>
        </w:rPr>
        <w:t xml:space="preserve">. </w:t>
      </w:r>
      <w:r>
        <w:rPr>
          <w:rFonts w:ascii="Book Antiqua" w:eastAsia="DengXian" w:hAnsi="Book Antiqua" w:cs="Times New Roman"/>
          <w:color w:val="auto"/>
          <w:kern w:val="2"/>
          <w:sz w:val="24"/>
          <w:szCs w:val="24"/>
          <w:lang w:eastAsia="zh-CN"/>
        </w:rPr>
        <w:t>HBsAg</w:t>
      </w:r>
      <w:r>
        <w:rPr>
          <w:rFonts w:ascii="Book Antiqua" w:eastAsia="DengXian" w:hAnsi="Book Antiqua" w:cs="Times New Roman" w:hint="eastAsia"/>
          <w:color w:val="auto"/>
          <w:kern w:val="2"/>
          <w:sz w:val="24"/>
          <w:szCs w:val="24"/>
          <w:lang w:eastAsia="zh-CN"/>
        </w:rPr>
        <w:t xml:space="preserve">: </w:t>
      </w:r>
      <w:r w:rsidRPr="00ED1A90">
        <w:rPr>
          <w:rFonts w:ascii="Book Antiqua" w:eastAsia="DengXian" w:hAnsi="Book Antiqua" w:cs="Times New Roman"/>
          <w:color w:val="auto"/>
          <w:kern w:val="2"/>
          <w:sz w:val="24"/>
          <w:szCs w:val="24"/>
          <w:lang w:eastAsia="zh-CN"/>
        </w:rPr>
        <w:t>Hepatitis B surface antigen</w:t>
      </w:r>
      <w:r>
        <w:rPr>
          <w:rFonts w:ascii="Book Antiqua" w:eastAsia="DengXian" w:hAnsi="Book Antiqua" w:cs="Times New Roman" w:hint="eastAsia"/>
          <w:color w:val="auto"/>
          <w:kern w:val="2"/>
          <w:sz w:val="24"/>
          <w:szCs w:val="24"/>
          <w:lang w:eastAsia="zh-CN"/>
        </w:rPr>
        <w:t xml:space="preserve">; AFP: </w:t>
      </w:r>
      <w:r w:rsidRPr="00ED1A90">
        <w:rPr>
          <w:rFonts w:ascii="Book Antiqua" w:eastAsia="DengXian" w:hAnsi="Book Antiqua" w:cs="Times New Roman"/>
          <w:color w:val="auto"/>
          <w:kern w:val="2"/>
          <w:sz w:val="24"/>
          <w:szCs w:val="24"/>
          <w:lang w:eastAsia="zh-CN"/>
        </w:rPr>
        <w:t>Alpha-fetoprotein</w:t>
      </w:r>
      <w:r>
        <w:rPr>
          <w:rFonts w:ascii="Book Antiqua" w:eastAsia="DengXian" w:hAnsi="Book Antiqua" w:cs="Times New Roman" w:hint="eastAsia"/>
          <w:color w:val="auto"/>
          <w:kern w:val="2"/>
          <w:sz w:val="24"/>
          <w:szCs w:val="24"/>
          <w:lang w:eastAsia="zh-CN"/>
        </w:rPr>
        <w:t>;</w:t>
      </w:r>
      <w:r w:rsidRPr="00ED1A90">
        <w:rPr>
          <w:rFonts w:ascii="Book Antiqua" w:hAnsi="Book Antiqua"/>
          <w:color w:val="auto"/>
          <w:sz w:val="24"/>
          <w:szCs w:val="24"/>
          <w:lang w:eastAsia="zh-CN"/>
        </w:rPr>
        <w:t xml:space="preserve"> </w:t>
      </w:r>
      <w:r w:rsidRPr="007073D1">
        <w:rPr>
          <w:rFonts w:ascii="Book Antiqua" w:hAnsi="Book Antiqua"/>
          <w:color w:val="auto"/>
          <w:sz w:val="24"/>
          <w:szCs w:val="24"/>
          <w:lang w:eastAsia="zh-CN"/>
        </w:rPr>
        <w:t>PAR2</w:t>
      </w:r>
      <w:r>
        <w:rPr>
          <w:rFonts w:ascii="Book Antiqua" w:hAnsi="Book Antiqua" w:hint="eastAsia"/>
          <w:color w:val="auto"/>
          <w:sz w:val="24"/>
          <w:szCs w:val="24"/>
          <w:lang w:eastAsia="zh-CN"/>
        </w:rPr>
        <w:t xml:space="preserve">: </w:t>
      </w:r>
      <w:r w:rsidRPr="0030419F">
        <w:rPr>
          <w:rFonts w:ascii="Book Antiqua" w:hAnsi="Book Antiqua"/>
          <w:caps/>
          <w:color w:val="auto"/>
          <w:sz w:val="24"/>
          <w:szCs w:val="24"/>
          <w:lang w:eastAsia="zh-CN"/>
        </w:rPr>
        <w:t>p</w:t>
      </w:r>
      <w:r w:rsidRPr="007073D1">
        <w:rPr>
          <w:rFonts w:ascii="Book Antiqua" w:hAnsi="Book Antiqua"/>
          <w:color w:val="auto"/>
          <w:sz w:val="24"/>
          <w:szCs w:val="24"/>
          <w:lang w:eastAsia="zh-CN"/>
        </w:rPr>
        <w:t>roteinase-activated receptor-2</w:t>
      </w:r>
      <w:r>
        <w:rPr>
          <w:rFonts w:ascii="Book Antiqua" w:hAnsi="Book Antiqua" w:hint="eastAsia"/>
          <w:color w:val="auto"/>
          <w:sz w:val="24"/>
          <w:szCs w:val="24"/>
          <w:lang w:eastAsia="zh-CN"/>
        </w:rPr>
        <w:t>.</w:t>
      </w:r>
    </w:p>
    <w:p w14:paraId="6BD63EB5" w14:textId="77777777" w:rsidR="00236654" w:rsidRPr="0030419F" w:rsidRDefault="00236654" w:rsidP="0030419F">
      <w:pPr>
        <w:pBdr>
          <w:top w:val="none" w:sz="0" w:space="0" w:color="auto"/>
          <w:left w:val="none" w:sz="0" w:space="0" w:color="auto"/>
          <w:bottom w:val="none" w:sz="0" w:space="0" w:color="auto"/>
          <w:right w:val="none" w:sz="0" w:space="0" w:color="auto"/>
          <w:between w:val="none" w:sz="0" w:space="0" w:color="auto"/>
        </w:pBdr>
        <w:adjustRightInd w:val="0"/>
        <w:snapToGrid w:val="0"/>
        <w:spacing w:line="360" w:lineRule="auto"/>
        <w:rPr>
          <w:rFonts w:ascii="Book Antiqua" w:eastAsia="DengXian" w:hAnsi="Book Antiqua" w:cs="Times New Roman"/>
          <w:color w:val="auto"/>
          <w:kern w:val="2"/>
          <w:sz w:val="24"/>
          <w:szCs w:val="24"/>
          <w:lang w:eastAsia="zh-CN"/>
        </w:rPr>
      </w:pPr>
    </w:p>
    <w:p w14:paraId="6E017A7E" w14:textId="15309BB2" w:rsidR="00236654" w:rsidRDefault="00236654" w:rsidP="0030419F">
      <w:pPr>
        <w:snapToGrid w:val="0"/>
        <w:spacing w:line="360" w:lineRule="auto"/>
        <w:rPr>
          <w:rFonts w:ascii="Book Antiqua" w:hAnsi="Book Antiqua"/>
          <w:b/>
          <w:color w:val="auto"/>
          <w:sz w:val="24"/>
          <w:szCs w:val="24"/>
        </w:rPr>
      </w:pPr>
      <w:r>
        <w:rPr>
          <w:rFonts w:ascii="Book Antiqua" w:hAnsi="Book Antiqua"/>
          <w:b/>
          <w:color w:val="auto"/>
          <w:sz w:val="24"/>
          <w:szCs w:val="24"/>
        </w:rPr>
        <w:br w:type="page"/>
      </w:r>
    </w:p>
    <w:p w14:paraId="737C556B" w14:textId="1FEBD486" w:rsidR="0076156B" w:rsidRDefault="0076156B" w:rsidP="0030419F">
      <w:pPr>
        <w:pStyle w:val="1"/>
        <w:adjustRightInd w:val="0"/>
        <w:snapToGrid w:val="0"/>
        <w:spacing w:line="360" w:lineRule="auto"/>
        <w:rPr>
          <w:rFonts w:ascii="Book Antiqua" w:hAnsi="Book Antiqua"/>
          <w:color w:val="auto"/>
          <w:sz w:val="24"/>
          <w:szCs w:val="24"/>
          <w:lang w:eastAsia="zh-CN"/>
        </w:rPr>
      </w:pPr>
      <w:r w:rsidRPr="00DF6D96">
        <w:rPr>
          <w:rFonts w:ascii="Book Antiqua" w:eastAsia="DengXian" w:hAnsi="Book Antiqua" w:cs="Times New Roman"/>
          <w:noProof/>
          <w:color w:val="auto"/>
          <w:kern w:val="2"/>
          <w:sz w:val="24"/>
          <w:szCs w:val="24"/>
          <w:lang w:eastAsia="zh-CN"/>
        </w:rPr>
        <w:lastRenderedPageBreak/>
        <w:drawing>
          <wp:inline distT="0" distB="0" distL="0" distR="0" wp14:anchorId="24D36951" wp14:editId="1CA668DE">
            <wp:extent cx="5274310" cy="45008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1.tif"/>
                    <pic:cNvPicPr/>
                  </pic:nvPicPr>
                  <pic:blipFill>
                    <a:blip r:embed="rId7">
                      <a:extLst>
                        <a:ext uri="{28A0092B-C50C-407E-A947-70E740481C1C}">
                          <a14:useLocalDpi xmlns:a14="http://schemas.microsoft.com/office/drawing/2010/main" val="0"/>
                        </a:ext>
                      </a:extLst>
                    </a:blip>
                    <a:stretch>
                      <a:fillRect/>
                    </a:stretch>
                  </pic:blipFill>
                  <pic:spPr>
                    <a:xfrm>
                      <a:off x="0" y="0"/>
                      <a:ext cx="5274310" cy="4500880"/>
                    </a:xfrm>
                    <a:prstGeom prst="rect">
                      <a:avLst/>
                    </a:prstGeom>
                  </pic:spPr>
                </pic:pic>
              </a:graphicData>
            </a:graphic>
          </wp:inline>
        </w:drawing>
      </w:r>
    </w:p>
    <w:p w14:paraId="7E94F064" w14:textId="4B92E4D1" w:rsidR="0076156B" w:rsidRDefault="0076156B" w:rsidP="0030419F">
      <w:pPr>
        <w:pStyle w:val="1"/>
        <w:pBdr>
          <w:top w:val="none" w:sz="0" w:space="0" w:color="auto"/>
          <w:left w:val="none" w:sz="0" w:space="0" w:color="auto"/>
          <w:bottom w:val="none" w:sz="0" w:space="0" w:color="auto"/>
          <w:right w:val="none" w:sz="0" w:space="0" w:color="auto"/>
        </w:pBdr>
        <w:adjustRightInd w:val="0"/>
        <w:snapToGrid w:val="0"/>
        <w:spacing w:line="360" w:lineRule="auto"/>
        <w:rPr>
          <w:rFonts w:ascii="Book Antiqua" w:hAnsi="Book Antiqua"/>
          <w:color w:val="auto"/>
          <w:sz w:val="24"/>
          <w:szCs w:val="24"/>
        </w:rPr>
      </w:pPr>
      <w:r w:rsidRPr="00DF6D96">
        <w:rPr>
          <w:rFonts w:ascii="Book Antiqua" w:hAnsi="Book Antiqua"/>
          <w:b/>
          <w:color w:val="auto"/>
          <w:sz w:val="24"/>
          <w:szCs w:val="24"/>
        </w:rPr>
        <w:t>F</w:t>
      </w:r>
      <w:r w:rsidRPr="0076156B">
        <w:rPr>
          <w:rFonts w:ascii="Book Antiqua" w:hAnsi="Book Antiqua"/>
          <w:b/>
          <w:color w:val="auto"/>
          <w:sz w:val="24"/>
          <w:szCs w:val="24"/>
        </w:rPr>
        <w:t xml:space="preserve">igure 1 The expression level of </w:t>
      </w:r>
      <w:r w:rsidRPr="00F7365A">
        <w:rPr>
          <w:rFonts w:ascii="Book Antiqua" w:hAnsi="Book Antiqua"/>
          <w:b/>
          <w:color w:val="auto"/>
          <w:sz w:val="24"/>
          <w:szCs w:val="24"/>
        </w:rPr>
        <w:t>proteinase-activated receptor-2</w:t>
      </w:r>
      <w:r w:rsidRPr="0076156B">
        <w:rPr>
          <w:rFonts w:ascii="Book Antiqua" w:hAnsi="Book Antiqua"/>
          <w:b/>
          <w:color w:val="auto"/>
          <w:sz w:val="24"/>
          <w:szCs w:val="24"/>
        </w:rPr>
        <w:t xml:space="preserve"> predicts overall survival and disease-free survival in hepatocellular carcinoma patients.</w:t>
      </w:r>
      <w:r w:rsidRPr="00DF6D96">
        <w:rPr>
          <w:rFonts w:ascii="Book Antiqua" w:hAnsi="Book Antiqua"/>
          <w:color w:val="auto"/>
          <w:sz w:val="24"/>
          <w:szCs w:val="24"/>
        </w:rPr>
        <w:t xml:space="preserve"> </w:t>
      </w:r>
      <w:r w:rsidRPr="0076156B">
        <w:rPr>
          <w:rFonts w:ascii="Book Antiqua" w:hAnsi="Book Antiqua"/>
          <w:color w:val="auto"/>
          <w:sz w:val="24"/>
          <w:szCs w:val="24"/>
        </w:rPr>
        <w:t>A:</w:t>
      </w:r>
      <w:r w:rsidRPr="00DF6D96">
        <w:rPr>
          <w:rFonts w:ascii="Book Antiqua" w:hAnsi="Book Antiqua"/>
          <w:color w:val="auto"/>
          <w:sz w:val="24"/>
          <w:szCs w:val="24"/>
        </w:rPr>
        <w:t xml:space="preserve"> Immunohistochemical staining of </w:t>
      </w:r>
      <w:r w:rsidR="00A63DC3" w:rsidRPr="00A63DC3">
        <w:rPr>
          <w:rFonts w:ascii="Book Antiqua" w:hAnsi="Book Antiqua"/>
          <w:color w:val="auto"/>
          <w:sz w:val="24"/>
          <w:szCs w:val="24"/>
        </w:rPr>
        <w:t>proteinase-activated receptor-2</w:t>
      </w:r>
      <w:r w:rsidR="00A63DC3">
        <w:rPr>
          <w:rFonts w:ascii="Book Antiqua" w:hAnsi="Book Antiqua" w:hint="eastAsia"/>
          <w:color w:val="auto"/>
          <w:sz w:val="24"/>
          <w:szCs w:val="24"/>
          <w:lang w:eastAsia="zh-CN"/>
        </w:rPr>
        <w:t xml:space="preserve"> (</w:t>
      </w:r>
      <w:r w:rsidRPr="00DF6D96">
        <w:rPr>
          <w:rFonts w:ascii="Book Antiqua" w:hAnsi="Book Antiqua"/>
          <w:color w:val="auto"/>
          <w:sz w:val="24"/>
          <w:szCs w:val="24"/>
        </w:rPr>
        <w:t>PAR2</w:t>
      </w:r>
      <w:r w:rsidR="00A63DC3">
        <w:rPr>
          <w:rFonts w:ascii="Book Antiqua" w:hAnsi="Book Antiqua" w:hint="eastAsia"/>
          <w:color w:val="auto"/>
          <w:sz w:val="24"/>
          <w:szCs w:val="24"/>
          <w:lang w:eastAsia="zh-CN"/>
        </w:rPr>
        <w:t>)</w:t>
      </w:r>
      <w:r w:rsidRPr="00DF6D96">
        <w:rPr>
          <w:rFonts w:ascii="Book Antiqua" w:hAnsi="Book Antiqua"/>
          <w:color w:val="auto"/>
          <w:sz w:val="24"/>
          <w:szCs w:val="24"/>
        </w:rPr>
        <w:t xml:space="preserve"> in </w:t>
      </w:r>
      <w:r w:rsidR="00A63DC3" w:rsidRPr="00A63DC3">
        <w:rPr>
          <w:rFonts w:ascii="Book Antiqua" w:hAnsi="Book Antiqua"/>
          <w:color w:val="auto"/>
          <w:sz w:val="24"/>
          <w:szCs w:val="24"/>
        </w:rPr>
        <w:t xml:space="preserve">hepatocellular carcinoma </w:t>
      </w:r>
      <w:r w:rsidR="00A63DC3">
        <w:rPr>
          <w:rFonts w:ascii="Book Antiqua" w:hAnsi="Book Antiqua" w:hint="eastAsia"/>
          <w:color w:val="auto"/>
          <w:sz w:val="24"/>
          <w:szCs w:val="24"/>
          <w:lang w:eastAsia="zh-CN"/>
        </w:rPr>
        <w:t>(</w:t>
      </w:r>
      <w:r w:rsidRPr="00DF6D96">
        <w:rPr>
          <w:rFonts w:ascii="Book Antiqua" w:hAnsi="Book Antiqua"/>
          <w:color w:val="auto"/>
          <w:sz w:val="24"/>
          <w:szCs w:val="24"/>
        </w:rPr>
        <w:t>HCC</w:t>
      </w:r>
      <w:r w:rsidR="00A63DC3">
        <w:rPr>
          <w:rFonts w:ascii="Book Antiqua" w:hAnsi="Book Antiqua" w:hint="eastAsia"/>
          <w:color w:val="auto"/>
          <w:sz w:val="24"/>
          <w:szCs w:val="24"/>
          <w:lang w:eastAsia="zh-CN"/>
        </w:rPr>
        <w:t>)</w:t>
      </w:r>
      <w:r w:rsidRPr="00DF6D96">
        <w:rPr>
          <w:rFonts w:ascii="Book Antiqua" w:hAnsi="Book Antiqua"/>
          <w:color w:val="auto"/>
          <w:sz w:val="24"/>
          <w:szCs w:val="24"/>
        </w:rPr>
        <w:t xml:space="preserve"> tissues, the expression level of PAR2 was divided into high (left) and low (right). </w:t>
      </w:r>
      <w:r w:rsidRPr="0076156B">
        <w:rPr>
          <w:rFonts w:ascii="Book Antiqua" w:hAnsi="Book Antiqua"/>
          <w:color w:val="auto"/>
          <w:sz w:val="24"/>
          <w:szCs w:val="24"/>
        </w:rPr>
        <w:t xml:space="preserve">B: </w:t>
      </w:r>
      <w:r w:rsidR="00A63DC3">
        <w:rPr>
          <w:rFonts w:ascii="Book Antiqua" w:hAnsi="Book Antiqua"/>
          <w:color w:val="auto"/>
          <w:sz w:val="24"/>
          <w:szCs w:val="24"/>
        </w:rPr>
        <w:t>Disease-free survival</w:t>
      </w:r>
      <w:r w:rsidRPr="00DF6D96">
        <w:rPr>
          <w:rFonts w:ascii="Book Antiqua" w:hAnsi="Book Antiqua"/>
          <w:color w:val="auto"/>
          <w:sz w:val="24"/>
          <w:szCs w:val="24"/>
        </w:rPr>
        <w:t xml:space="preserve"> and </w:t>
      </w:r>
      <w:r w:rsidRPr="00A63DC3">
        <w:rPr>
          <w:rFonts w:ascii="Book Antiqua" w:hAnsi="Book Antiqua"/>
          <w:color w:val="auto"/>
          <w:sz w:val="24"/>
          <w:szCs w:val="24"/>
        </w:rPr>
        <w:t>C:</w:t>
      </w:r>
      <w:r w:rsidRPr="00DF6D96">
        <w:rPr>
          <w:rFonts w:ascii="Book Antiqua" w:hAnsi="Book Antiqua"/>
          <w:color w:val="auto"/>
          <w:sz w:val="24"/>
          <w:szCs w:val="24"/>
        </w:rPr>
        <w:t xml:space="preserve"> </w:t>
      </w:r>
      <w:r w:rsidR="00A63DC3">
        <w:rPr>
          <w:rFonts w:ascii="Book Antiqua" w:hAnsi="Book Antiqua"/>
          <w:color w:val="auto"/>
          <w:sz w:val="24"/>
          <w:szCs w:val="24"/>
        </w:rPr>
        <w:t>Overall survival</w:t>
      </w:r>
      <w:r w:rsidR="00A63DC3">
        <w:rPr>
          <w:rFonts w:ascii="Book Antiqua" w:hAnsi="Book Antiqua" w:hint="eastAsia"/>
          <w:color w:val="auto"/>
          <w:sz w:val="24"/>
          <w:szCs w:val="24"/>
          <w:lang w:eastAsia="zh-CN"/>
        </w:rPr>
        <w:t xml:space="preserve"> </w:t>
      </w:r>
      <w:r w:rsidRPr="00DF6D96">
        <w:rPr>
          <w:rFonts w:ascii="Book Antiqua" w:hAnsi="Book Antiqua"/>
          <w:color w:val="auto"/>
          <w:sz w:val="24"/>
          <w:szCs w:val="24"/>
        </w:rPr>
        <w:t>in HCC patients correlate</w:t>
      </w:r>
      <w:r w:rsidR="003C0018">
        <w:rPr>
          <w:rFonts w:ascii="Book Antiqua" w:hAnsi="Book Antiqua" w:hint="eastAsia"/>
          <w:color w:val="auto"/>
          <w:sz w:val="24"/>
          <w:szCs w:val="24"/>
          <w:lang w:eastAsia="zh-CN"/>
        </w:rPr>
        <w:t>d</w:t>
      </w:r>
      <w:r w:rsidRPr="00DF6D96">
        <w:rPr>
          <w:rFonts w:ascii="Book Antiqua" w:hAnsi="Book Antiqua"/>
          <w:color w:val="auto"/>
          <w:sz w:val="24"/>
          <w:szCs w:val="24"/>
        </w:rPr>
        <w:t xml:space="preserve"> with PAR2 expression.</w:t>
      </w:r>
    </w:p>
    <w:p w14:paraId="02A78D13" w14:textId="77777777" w:rsidR="0076156B" w:rsidRDefault="0076156B" w:rsidP="0030419F">
      <w:pPr>
        <w:snapToGrid w:val="0"/>
        <w:spacing w:line="360" w:lineRule="auto"/>
        <w:rPr>
          <w:rFonts w:ascii="Book Antiqua" w:hAnsi="Book Antiqua"/>
          <w:color w:val="auto"/>
          <w:sz w:val="24"/>
          <w:szCs w:val="24"/>
        </w:rPr>
      </w:pPr>
      <w:r>
        <w:rPr>
          <w:rFonts w:ascii="Book Antiqua" w:hAnsi="Book Antiqua"/>
          <w:color w:val="auto"/>
          <w:sz w:val="24"/>
          <w:szCs w:val="24"/>
        </w:rPr>
        <w:br w:type="page"/>
      </w:r>
    </w:p>
    <w:p w14:paraId="4EC84EF1" w14:textId="77777777" w:rsidR="00FA66EC" w:rsidRPr="00DF6D96" w:rsidRDefault="00FA66EC"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noProof/>
          <w:color w:val="auto"/>
          <w:sz w:val="24"/>
          <w:szCs w:val="24"/>
          <w:lang w:eastAsia="zh-CN"/>
        </w:rPr>
        <w:lastRenderedPageBreak/>
        <w:drawing>
          <wp:inline distT="0" distB="0" distL="0" distR="0" wp14:anchorId="30C6975A" wp14:editId="4DA9313C">
            <wp:extent cx="5274310" cy="46926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4692650"/>
                    </a:xfrm>
                    <a:prstGeom prst="rect">
                      <a:avLst/>
                    </a:prstGeom>
                  </pic:spPr>
                </pic:pic>
              </a:graphicData>
            </a:graphic>
          </wp:inline>
        </w:drawing>
      </w:r>
    </w:p>
    <w:p w14:paraId="75895674" w14:textId="214D4F17" w:rsidR="00FA66EC" w:rsidRPr="00DF6D96" w:rsidRDefault="00FA66EC" w:rsidP="0030419F">
      <w:pPr>
        <w:pStyle w:val="1"/>
        <w:pBdr>
          <w:top w:val="none" w:sz="0" w:space="0" w:color="auto"/>
          <w:left w:val="none" w:sz="0" w:space="0" w:color="auto"/>
          <w:bottom w:val="none" w:sz="0" w:space="0" w:color="auto"/>
          <w:right w:val="none" w:sz="0" w:space="0" w:color="auto"/>
        </w:pBdr>
        <w:adjustRightInd w:val="0"/>
        <w:snapToGrid w:val="0"/>
        <w:spacing w:line="360" w:lineRule="auto"/>
        <w:rPr>
          <w:rFonts w:ascii="Book Antiqua" w:hAnsi="Book Antiqua"/>
          <w:color w:val="auto"/>
          <w:sz w:val="24"/>
          <w:szCs w:val="24"/>
          <w:lang w:eastAsia="zh-CN"/>
        </w:rPr>
      </w:pPr>
      <w:r w:rsidRPr="00FA66EC">
        <w:rPr>
          <w:rFonts w:ascii="Book Antiqua" w:hAnsi="Book Antiqua"/>
          <w:b/>
          <w:color w:val="auto"/>
          <w:sz w:val="24"/>
          <w:szCs w:val="24"/>
        </w:rPr>
        <w:t xml:space="preserve">Figure 2 </w:t>
      </w:r>
      <w:r w:rsidRPr="00F7365A">
        <w:rPr>
          <w:rFonts w:ascii="Book Antiqua" w:hAnsi="Book Antiqua"/>
          <w:b/>
          <w:color w:val="auto"/>
          <w:sz w:val="24"/>
          <w:szCs w:val="24"/>
        </w:rPr>
        <w:t>Proteinase-activated receptor-2</w:t>
      </w:r>
      <w:r w:rsidRPr="00FA66EC">
        <w:rPr>
          <w:rFonts w:ascii="Book Antiqua" w:hAnsi="Book Antiqua"/>
          <w:b/>
          <w:color w:val="auto"/>
          <w:sz w:val="24"/>
          <w:szCs w:val="24"/>
        </w:rPr>
        <w:t xml:space="preserve"> knock down and overexpression. </w:t>
      </w:r>
      <w:r w:rsidRPr="00FA66EC">
        <w:rPr>
          <w:rFonts w:ascii="Book Antiqua" w:hAnsi="Book Antiqua"/>
          <w:color w:val="auto"/>
          <w:sz w:val="24"/>
          <w:szCs w:val="24"/>
          <w:lang w:eastAsia="zh-CN"/>
        </w:rPr>
        <w:t>A:</w:t>
      </w:r>
      <w:r w:rsidRPr="00DF6D96">
        <w:rPr>
          <w:rFonts w:ascii="Book Antiqua" w:hAnsi="Book Antiqua"/>
          <w:color w:val="auto"/>
          <w:sz w:val="24"/>
          <w:szCs w:val="24"/>
        </w:rPr>
        <w:t xml:space="preserve"> The </w:t>
      </w:r>
      <w:r w:rsidRPr="00FA66EC">
        <w:rPr>
          <w:rFonts w:ascii="Book Antiqua" w:hAnsi="Book Antiqua"/>
          <w:color w:val="auto"/>
          <w:sz w:val="24"/>
          <w:szCs w:val="24"/>
        </w:rPr>
        <w:t>Proteinase-activated receptor-2</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PAR2</w:t>
      </w:r>
      <w:r>
        <w:rPr>
          <w:rFonts w:ascii="Book Antiqua" w:hAnsi="Book Antiqua" w:hint="eastAsia"/>
          <w:color w:val="auto"/>
          <w:sz w:val="24"/>
          <w:szCs w:val="24"/>
          <w:lang w:eastAsia="zh-CN"/>
        </w:rPr>
        <w:t>)</w:t>
      </w:r>
      <w:r w:rsidRPr="00DF6D96">
        <w:rPr>
          <w:rFonts w:ascii="Book Antiqua" w:hAnsi="Book Antiqua"/>
          <w:color w:val="auto"/>
          <w:sz w:val="24"/>
          <w:szCs w:val="24"/>
        </w:rPr>
        <w:t xml:space="preserve"> RNA expression levels in HepG2 and SMMC-7721 cells after knock down by qRT-PCR. </w:t>
      </w:r>
      <w:r w:rsidRPr="00FA66EC">
        <w:rPr>
          <w:rFonts w:ascii="Book Antiqua" w:hAnsi="Book Antiqua"/>
          <w:color w:val="auto"/>
          <w:sz w:val="24"/>
          <w:szCs w:val="24"/>
        </w:rPr>
        <w:t>B:</w:t>
      </w:r>
      <w:r w:rsidRPr="00DF6D96">
        <w:rPr>
          <w:rFonts w:ascii="Book Antiqua" w:hAnsi="Book Antiqua"/>
          <w:color w:val="auto"/>
          <w:sz w:val="24"/>
          <w:szCs w:val="24"/>
        </w:rPr>
        <w:t xml:space="preserve"> The protein levels of PAR2 in HepG2 and SMMC-7721 cells after knock down by immunoblot. </w:t>
      </w:r>
      <w:r w:rsidRPr="00FA66EC">
        <w:rPr>
          <w:rFonts w:ascii="Book Antiqua" w:hAnsi="Book Antiqua"/>
          <w:color w:val="auto"/>
          <w:sz w:val="24"/>
          <w:szCs w:val="24"/>
        </w:rPr>
        <w:t xml:space="preserve">C: </w:t>
      </w:r>
      <w:r w:rsidRPr="00DF6D96">
        <w:rPr>
          <w:rFonts w:ascii="Book Antiqua" w:hAnsi="Book Antiqua"/>
          <w:color w:val="auto"/>
          <w:sz w:val="24"/>
          <w:szCs w:val="24"/>
        </w:rPr>
        <w:t xml:space="preserve">The RNA expression levels of PAR2 in HepG2 and SMMC-7721 cells with PAR2 overexpression was measured by qRT-PCR. </w:t>
      </w:r>
      <w:r w:rsidRPr="00FA66EC">
        <w:rPr>
          <w:rFonts w:ascii="Book Antiqua" w:hAnsi="Book Antiqua"/>
          <w:color w:val="auto"/>
          <w:sz w:val="24"/>
          <w:szCs w:val="24"/>
        </w:rPr>
        <w:t>D:</w:t>
      </w:r>
      <w:r w:rsidRPr="00DF6D96">
        <w:rPr>
          <w:rFonts w:ascii="Book Antiqua" w:hAnsi="Book Antiqua"/>
          <w:color w:val="auto"/>
          <w:sz w:val="24"/>
          <w:szCs w:val="24"/>
        </w:rPr>
        <w:t xml:space="preserve"> The protein levels of PAR2 in HepG2 and SMMC-7721 cells with PAR2 overexpressi</w:t>
      </w:r>
      <w:r w:rsidR="00274855">
        <w:rPr>
          <w:rFonts w:ascii="Book Antiqua" w:hAnsi="Book Antiqua"/>
          <w:color w:val="auto"/>
          <w:sz w:val="24"/>
          <w:szCs w:val="24"/>
        </w:rPr>
        <w:t xml:space="preserve">on was measured by immunoblot. </w:t>
      </w:r>
      <w:r w:rsidRPr="00DF6D96">
        <w:rPr>
          <w:rFonts w:ascii="Book Antiqua" w:hAnsi="Book Antiqua"/>
          <w:color w:val="auto"/>
          <w:sz w:val="24"/>
          <w:szCs w:val="24"/>
          <w:vertAlign w:val="superscript"/>
        </w:rPr>
        <w:t>b</w:t>
      </w:r>
      <w:r w:rsidRPr="00FA66EC">
        <w:rPr>
          <w:rFonts w:ascii="Book Antiqua" w:hAnsi="Book Antiqua"/>
          <w:i/>
          <w:color w:val="auto"/>
          <w:sz w:val="24"/>
          <w:szCs w:val="24"/>
        </w:rPr>
        <w:t>P</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00274855">
        <w:rPr>
          <w:rFonts w:ascii="Book Antiqua" w:hAnsi="Book Antiqua"/>
          <w:color w:val="auto"/>
          <w:sz w:val="24"/>
          <w:szCs w:val="24"/>
        </w:rPr>
        <w:t>0.01</w:t>
      </w:r>
      <w:r w:rsidR="00482A9A">
        <w:rPr>
          <w:rFonts w:ascii="Book Antiqua" w:hAnsi="Book Antiqua" w:hint="eastAsia"/>
          <w:color w:val="auto"/>
          <w:sz w:val="24"/>
          <w:szCs w:val="24"/>
          <w:lang w:eastAsia="zh-CN"/>
        </w:rPr>
        <w:t>.</w:t>
      </w:r>
    </w:p>
    <w:p w14:paraId="0452A977" w14:textId="77777777" w:rsidR="0076156B" w:rsidRPr="00274855" w:rsidRDefault="0076156B" w:rsidP="0030419F">
      <w:pPr>
        <w:pStyle w:val="1"/>
        <w:pBdr>
          <w:top w:val="none" w:sz="0" w:space="0" w:color="auto"/>
          <w:left w:val="none" w:sz="0" w:space="0" w:color="auto"/>
          <w:bottom w:val="none" w:sz="0" w:space="0" w:color="auto"/>
          <w:right w:val="none" w:sz="0" w:space="0" w:color="auto"/>
        </w:pBdr>
        <w:adjustRightInd w:val="0"/>
        <w:snapToGrid w:val="0"/>
        <w:spacing w:line="360" w:lineRule="auto"/>
        <w:rPr>
          <w:rFonts w:ascii="Book Antiqua" w:hAnsi="Book Antiqua"/>
          <w:color w:val="auto"/>
          <w:sz w:val="24"/>
          <w:szCs w:val="24"/>
          <w:lang w:eastAsia="zh-CN"/>
        </w:rPr>
      </w:pPr>
    </w:p>
    <w:p w14:paraId="3711BF3A" w14:textId="18070E78" w:rsidR="00482A9A" w:rsidRDefault="00482A9A" w:rsidP="0030419F">
      <w:pPr>
        <w:snapToGrid w:val="0"/>
        <w:spacing w:line="360" w:lineRule="auto"/>
        <w:rPr>
          <w:rFonts w:ascii="Book Antiqua" w:hAnsi="Book Antiqua"/>
          <w:color w:val="auto"/>
          <w:sz w:val="24"/>
          <w:szCs w:val="24"/>
          <w:lang w:eastAsia="zh-CN"/>
        </w:rPr>
      </w:pPr>
      <w:r>
        <w:rPr>
          <w:rFonts w:ascii="Book Antiqua" w:hAnsi="Book Antiqua"/>
          <w:color w:val="auto"/>
          <w:sz w:val="24"/>
          <w:szCs w:val="24"/>
          <w:lang w:eastAsia="zh-CN"/>
        </w:rPr>
        <w:br w:type="page"/>
      </w:r>
    </w:p>
    <w:p w14:paraId="4F81DA07" w14:textId="77777777" w:rsidR="00482A9A" w:rsidRPr="00DF6D96" w:rsidRDefault="00482A9A"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noProof/>
          <w:color w:val="auto"/>
          <w:sz w:val="24"/>
          <w:szCs w:val="24"/>
          <w:lang w:eastAsia="zh-CN"/>
        </w:rPr>
        <w:lastRenderedPageBreak/>
        <w:drawing>
          <wp:inline distT="0" distB="0" distL="0" distR="0" wp14:anchorId="72967DB9" wp14:editId="12622689">
            <wp:extent cx="5274310" cy="706437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7064375"/>
                    </a:xfrm>
                    <a:prstGeom prst="rect">
                      <a:avLst/>
                    </a:prstGeom>
                  </pic:spPr>
                </pic:pic>
              </a:graphicData>
            </a:graphic>
          </wp:inline>
        </w:drawing>
      </w:r>
    </w:p>
    <w:p w14:paraId="43962858" w14:textId="7679C368" w:rsidR="00482A9A" w:rsidRDefault="00482A9A" w:rsidP="0030419F">
      <w:pPr>
        <w:pStyle w:val="1"/>
        <w:pBdr>
          <w:top w:val="none" w:sz="0" w:space="0" w:color="auto"/>
          <w:left w:val="none" w:sz="0" w:space="0" w:color="auto"/>
          <w:bottom w:val="none" w:sz="0" w:space="0" w:color="auto"/>
          <w:right w:val="none" w:sz="0" w:space="0" w:color="auto"/>
        </w:pBdr>
        <w:adjustRightInd w:val="0"/>
        <w:snapToGrid w:val="0"/>
        <w:spacing w:line="360" w:lineRule="auto"/>
        <w:rPr>
          <w:rFonts w:ascii="Book Antiqua" w:hAnsi="Book Antiqua"/>
          <w:color w:val="auto"/>
          <w:sz w:val="24"/>
          <w:szCs w:val="24"/>
          <w:lang w:eastAsia="zh-CN"/>
        </w:rPr>
      </w:pPr>
      <w:r w:rsidRPr="00482A9A">
        <w:rPr>
          <w:rFonts w:ascii="Book Antiqua" w:hAnsi="Book Antiqua"/>
          <w:b/>
          <w:color w:val="auto"/>
          <w:sz w:val="24"/>
          <w:szCs w:val="24"/>
        </w:rPr>
        <w:t xml:space="preserve">Figure 3 </w:t>
      </w:r>
      <w:r w:rsidRPr="00F7365A">
        <w:rPr>
          <w:rFonts w:ascii="Book Antiqua" w:hAnsi="Book Antiqua"/>
          <w:b/>
          <w:color w:val="auto"/>
          <w:sz w:val="24"/>
          <w:szCs w:val="24"/>
        </w:rPr>
        <w:t>Proteinase-activated receptor-2</w:t>
      </w:r>
      <w:r w:rsidRPr="00482A9A">
        <w:rPr>
          <w:rFonts w:ascii="Book Antiqua" w:hAnsi="Book Antiqua"/>
          <w:b/>
          <w:color w:val="auto"/>
          <w:sz w:val="24"/>
          <w:szCs w:val="24"/>
        </w:rPr>
        <w:t xml:space="preserve"> promotes proliferation of hepatocellular carcinoma cells. </w:t>
      </w:r>
      <w:r w:rsidRPr="00482A9A">
        <w:rPr>
          <w:rFonts w:ascii="Book Antiqua" w:hAnsi="Book Antiqua"/>
          <w:color w:val="auto"/>
          <w:sz w:val="24"/>
          <w:szCs w:val="24"/>
        </w:rPr>
        <w:t xml:space="preserve">A-D: </w:t>
      </w:r>
      <w:r w:rsidRPr="00DF6D96">
        <w:rPr>
          <w:rFonts w:ascii="Book Antiqua" w:hAnsi="Book Antiqua"/>
          <w:color w:val="auto"/>
          <w:sz w:val="24"/>
          <w:szCs w:val="24"/>
        </w:rPr>
        <w:t xml:space="preserve">CCK8 assay in HepG2 and SMMC-7721 cells. </w:t>
      </w:r>
      <w:r w:rsidRPr="00482A9A">
        <w:rPr>
          <w:rFonts w:ascii="Book Antiqua" w:hAnsi="Book Antiqua"/>
          <w:color w:val="auto"/>
          <w:sz w:val="24"/>
          <w:szCs w:val="24"/>
        </w:rPr>
        <w:t>E</w:t>
      </w:r>
      <w:r>
        <w:rPr>
          <w:rFonts w:ascii="Book Antiqua" w:hAnsi="Book Antiqua" w:hint="eastAsia"/>
          <w:color w:val="auto"/>
          <w:sz w:val="24"/>
          <w:szCs w:val="24"/>
          <w:lang w:eastAsia="zh-CN"/>
        </w:rPr>
        <w:t xml:space="preserve"> and </w:t>
      </w:r>
      <w:r w:rsidRPr="00482A9A">
        <w:rPr>
          <w:rFonts w:ascii="Book Antiqua" w:hAnsi="Book Antiqua"/>
          <w:color w:val="auto"/>
          <w:sz w:val="24"/>
          <w:szCs w:val="24"/>
        </w:rPr>
        <w:t>F:</w:t>
      </w:r>
      <w:r w:rsidRPr="00DF6D96">
        <w:rPr>
          <w:rFonts w:ascii="Book Antiqua" w:hAnsi="Book Antiqua"/>
          <w:color w:val="auto"/>
          <w:sz w:val="24"/>
          <w:szCs w:val="24"/>
        </w:rPr>
        <w:t xml:space="preserve"> Colony formation assay in HepG2 and SMMC-7721 cells. The colony numbe</w:t>
      </w:r>
      <w:r w:rsidR="0003075F">
        <w:rPr>
          <w:rFonts w:ascii="Book Antiqua" w:hAnsi="Book Antiqua"/>
          <w:color w:val="auto"/>
          <w:sz w:val="24"/>
          <w:szCs w:val="24"/>
        </w:rPr>
        <w:t xml:space="preserve">rs in each field were counted. </w:t>
      </w:r>
      <w:r w:rsidRPr="00DF6D96">
        <w:rPr>
          <w:rFonts w:ascii="Book Antiqua" w:hAnsi="Book Antiqua"/>
          <w:color w:val="auto"/>
          <w:sz w:val="24"/>
          <w:szCs w:val="24"/>
          <w:vertAlign w:val="superscript"/>
        </w:rPr>
        <w:t>b</w:t>
      </w:r>
      <w:r w:rsidRPr="00482A9A">
        <w:rPr>
          <w:rFonts w:ascii="Book Antiqua" w:hAnsi="Book Antiqua"/>
          <w:i/>
          <w:color w:val="auto"/>
          <w:sz w:val="24"/>
          <w:szCs w:val="24"/>
        </w:rPr>
        <w:t>P</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0.01</w:t>
      </w:r>
      <w:r w:rsidR="006B1CDB">
        <w:rPr>
          <w:rFonts w:ascii="Book Antiqua" w:hAnsi="Book Antiqua" w:hint="eastAsia"/>
          <w:color w:val="auto"/>
          <w:sz w:val="24"/>
          <w:szCs w:val="24"/>
          <w:lang w:eastAsia="zh-CN"/>
        </w:rPr>
        <w:t xml:space="preserve">, </w:t>
      </w:r>
      <w:r w:rsidR="006B1CDB" w:rsidRPr="006B1CDB">
        <w:rPr>
          <w:rFonts w:ascii="Book Antiqua" w:hAnsi="Book Antiqua"/>
          <w:color w:val="auto"/>
          <w:sz w:val="24"/>
          <w:szCs w:val="24"/>
          <w:vertAlign w:val="superscript"/>
        </w:rPr>
        <w:t>e</w:t>
      </w:r>
      <w:r w:rsidR="006B1CDB" w:rsidRPr="006B1CDB">
        <w:rPr>
          <w:rFonts w:ascii="Book Antiqua" w:hAnsi="Book Antiqua"/>
          <w:i/>
          <w:color w:val="auto"/>
          <w:sz w:val="24"/>
          <w:szCs w:val="24"/>
        </w:rPr>
        <w:t>P</w:t>
      </w:r>
      <w:r w:rsidR="006B1CDB">
        <w:rPr>
          <w:rFonts w:ascii="Book Antiqua" w:hAnsi="Book Antiqua" w:hint="eastAsia"/>
          <w:i/>
          <w:color w:val="auto"/>
          <w:sz w:val="24"/>
          <w:szCs w:val="24"/>
          <w:lang w:eastAsia="zh-CN"/>
        </w:rPr>
        <w:t xml:space="preserve"> </w:t>
      </w:r>
      <w:r w:rsidR="006B1CDB" w:rsidRPr="006B1CDB">
        <w:rPr>
          <w:rFonts w:ascii="Book Antiqua" w:hAnsi="Book Antiqua"/>
          <w:color w:val="auto"/>
          <w:sz w:val="24"/>
          <w:szCs w:val="24"/>
        </w:rPr>
        <w:t>&lt;</w:t>
      </w:r>
      <w:r w:rsidR="006B1CDB">
        <w:rPr>
          <w:rFonts w:ascii="Book Antiqua" w:hAnsi="Book Antiqua" w:hint="eastAsia"/>
          <w:color w:val="auto"/>
          <w:sz w:val="24"/>
          <w:szCs w:val="24"/>
          <w:lang w:eastAsia="zh-CN"/>
        </w:rPr>
        <w:t xml:space="preserve"> </w:t>
      </w:r>
      <w:r w:rsidR="006B1CDB" w:rsidRPr="006B1CDB">
        <w:rPr>
          <w:rFonts w:ascii="Book Antiqua" w:hAnsi="Book Antiqua"/>
          <w:color w:val="auto"/>
          <w:sz w:val="24"/>
          <w:szCs w:val="24"/>
        </w:rPr>
        <w:t>0.001</w:t>
      </w:r>
      <w:r>
        <w:rPr>
          <w:rFonts w:ascii="Book Antiqua" w:hAnsi="Book Antiqua" w:hint="eastAsia"/>
          <w:color w:val="auto"/>
          <w:sz w:val="24"/>
          <w:szCs w:val="24"/>
          <w:lang w:eastAsia="zh-CN"/>
        </w:rPr>
        <w:t>.</w:t>
      </w:r>
    </w:p>
    <w:p w14:paraId="09752106" w14:textId="77777777" w:rsidR="00482A9A" w:rsidRDefault="00482A9A" w:rsidP="0030419F">
      <w:pPr>
        <w:snapToGrid w:val="0"/>
        <w:spacing w:line="360" w:lineRule="auto"/>
        <w:rPr>
          <w:rFonts w:ascii="Book Antiqua" w:hAnsi="Book Antiqua"/>
          <w:color w:val="auto"/>
          <w:sz w:val="24"/>
          <w:szCs w:val="24"/>
          <w:lang w:eastAsia="zh-CN"/>
        </w:rPr>
      </w:pPr>
      <w:r>
        <w:rPr>
          <w:rFonts w:ascii="Book Antiqua" w:hAnsi="Book Antiqua"/>
          <w:color w:val="auto"/>
          <w:sz w:val="24"/>
          <w:szCs w:val="24"/>
          <w:lang w:eastAsia="zh-CN"/>
        </w:rPr>
        <w:br w:type="page"/>
      </w:r>
    </w:p>
    <w:p w14:paraId="6D809E25" w14:textId="77777777" w:rsidR="00482A9A" w:rsidRPr="00DF6D96" w:rsidRDefault="00482A9A"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noProof/>
          <w:color w:val="auto"/>
          <w:sz w:val="24"/>
          <w:szCs w:val="24"/>
          <w:lang w:eastAsia="zh-CN"/>
        </w:rPr>
        <w:lastRenderedPageBreak/>
        <w:drawing>
          <wp:inline distT="0" distB="0" distL="0" distR="0" wp14:anchorId="01DE3BDA" wp14:editId="727F7A1A">
            <wp:extent cx="5073664" cy="70008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75615" cy="7003566"/>
                    </a:xfrm>
                    <a:prstGeom prst="rect">
                      <a:avLst/>
                    </a:prstGeom>
                  </pic:spPr>
                </pic:pic>
              </a:graphicData>
            </a:graphic>
          </wp:inline>
        </w:drawing>
      </w:r>
    </w:p>
    <w:p w14:paraId="09640A44" w14:textId="1F7C37A6" w:rsidR="00482A9A" w:rsidRPr="00DF6D96" w:rsidRDefault="00482A9A" w:rsidP="00813614">
      <w:pPr>
        <w:adjustRightInd w:val="0"/>
        <w:snapToGrid w:val="0"/>
        <w:spacing w:line="360" w:lineRule="auto"/>
        <w:rPr>
          <w:rFonts w:ascii="Book Antiqua" w:hAnsi="Book Antiqua"/>
          <w:color w:val="auto"/>
          <w:sz w:val="24"/>
          <w:szCs w:val="24"/>
          <w:lang w:eastAsia="zh-CN"/>
        </w:rPr>
      </w:pPr>
      <w:r w:rsidRPr="00482A9A">
        <w:rPr>
          <w:rFonts w:ascii="Book Antiqua" w:hAnsi="Book Antiqua"/>
          <w:b/>
          <w:color w:val="auto"/>
          <w:sz w:val="24"/>
          <w:szCs w:val="24"/>
        </w:rPr>
        <w:t xml:space="preserve">Figure 4 </w:t>
      </w:r>
      <w:r w:rsidRPr="00F7365A">
        <w:rPr>
          <w:rFonts w:ascii="Book Antiqua" w:hAnsi="Book Antiqua"/>
          <w:b/>
          <w:color w:val="auto"/>
          <w:sz w:val="24"/>
          <w:szCs w:val="24"/>
        </w:rPr>
        <w:t>Proteinase-activated receptor-2</w:t>
      </w:r>
      <w:r w:rsidRPr="00482A9A">
        <w:rPr>
          <w:rFonts w:ascii="Book Antiqua" w:hAnsi="Book Antiqua"/>
          <w:b/>
          <w:color w:val="auto"/>
          <w:sz w:val="24"/>
          <w:szCs w:val="24"/>
        </w:rPr>
        <w:t xml:space="preserve"> promotes hepatocellular carcinoma cell invasion and migration </w:t>
      </w:r>
      <w:r w:rsidRPr="00482A9A">
        <w:rPr>
          <w:rFonts w:ascii="Book Antiqua" w:hAnsi="Book Antiqua"/>
          <w:b/>
          <w:i/>
          <w:color w:val="auto"/>
          <w:sz w:val="24"/>
          <w:szCs w:val="24"/>
        </w:rPr>
        <w:t>in vitro</w:t>
      </w:r>
      <w:r w:rsidRPr="00482A9A">
        <w:rPr>
          <w:rFonts w:ascii="Book Antiqua" w:hAnsi="Book Antiqua"/>
          <w:b/>
          <w:color w:val="auto"/>
          <w:sz w:val="24"/>
          <w:szCs w:val="24"/>
        </w:rPr>
        <w:t xml:space="preserve">. </w:t>
      </w:r>
      <w:r w:rsidRPr="00482A9A">
        <w:rPr>
          <w:rFonts w:ascii="Book Antiqua" w:hAnsi="Book Antiqua"/>
          <w:color w:val="auto"/>
          <w:sz w:val="24"/>
          <w:szCs w:val="24"/>
        </w:rPr>
        <w:t>A</w:t>
      </w:r>
      <w:r>
        <w:rPr>
          <w:rFonts w:ascii="Book Antiqua" w:hAnsi="Book Antiqua" w:hint="eastAsia"/>
          <w:color w:val="auto"/>
          <w:sz w:val="24"/>
          <w:szCs w:val="24"/>
          <w:lang w:eastAsia="zh-CN"/>
        </w:rPr>
        <w:t xml:space="preserve"> and </w:t>
      </w:r>
      <w:r w:rsidRPr="00482A9A">
        <w:rPr>
          <w:rFonts w:ascii="Book Antiqua" w:hAnsi="Book Antiqua"/>
          <w:color w:val="auto"/>
          <w:sz w:val="24"/>
          <w:szCs w:val="24"/>
        </w:rPr>
        <w:t>B:</w:t>
      </w:r>
      <w:r w:rsidRPr="00DF6D96">
        <w:rPr>
          <w:rFonts w:ascii="Book Antiqua" w:hAnsi="Book Antiqua"/>
          <w:color w:val="auto"/>
          <w:sz w:val="24"/>
          <w:szCs w:val="24"/>
        </w:rPr>
        <w:t xml:space="preserve"> Transwell assays with or without a matrigel coating were performed in HepG2 and SMMC-7721 cells. Cell numbers in each field were counted. </w:t>
      </w:r>
      <w:r w:rsidRPr="00482A9A">
        <w:rPr>
          <w:rFonts w:ascii="Book Antiqua" w:hAnsi="Book Antiqua"/>
          <w:color w:val="auto"/>
          <w:sz w:val="24"/>
          <w:szCs w:val="24"/>
        </w:rPr>
        <w:t>C</w:t>
      </w:r>
      <w:r>
        <w:rPr>
          <w:rFonts w:ascii="Book Antiqua" w:hAnsi="Book Antiqua" w:hint="eastAsia"/>
          <w:color w:val="auto"/>
          <w:sz w:val="24"/>
          <w:szCs w:val="24"/>
          <w:lang w:eastAsia="zh-CN"/>
        </w:rPr>
        <w:t xml:space="preserve"> and </w:t>
      </w:r>
      <w:r w:rsidRPr="00482A9A">
        <w:rPr>
          <w:rFonts w:ascii="Book Antiqua" w:hAnsi="Book Antiqua"/>
          <w:color w:val="auto"/>
          <w:sz w:val="24"/>
          <w:szCs w:val="24"/>
        </w:rPr>
        <w:t>D:</w:t>
      </w:r>
      <w:r w:rsidRPr="00DF6D96">
        <w:rPr>
          <w:rFonts w:ascii="Book Antiqua" w:hAnsi="Book Antiqua"/>
          <w:color w:val="auto"/>
          <w:sz w:val="24"/>
          <w:szCs w:val="24"/>
        </w:rPr>
        <w:t xml:space="preserve"> Wound healing assays were performed in HepG2 and SMMC-7721 cells and the pictures were taken </w:t>
      </w:r>
      <w:r>
        <w:rPr>
          <w:rFonts w:ascii="Book Antiqua" w:hAnsi="Book Antiqua"/>
          <w:color w:val="auto"/>
          <w:sz w:val="24"/>
          <w:szCs w:val="24"/>
        </w:rPr>
        <w:t>every 24 h</w:t>
      </w:r>
      <w:r w:rsidRPr="00DF6D96">
        <w:rPr>
          <w:rFonts w:ascii="Book Antiqua" w:hAnsi="Book Antiqua"/>
          <w:color w:val="auto"/>
          <w:sz w:val="24"/>
          <w:szCs w:val="24"/>
        </w:rPr>
        <w:t xml:space="preserve"> (</w:t>
      </w:r>
      <w:r w:rsidRPr="00DF6D96">
        <w:rPr>
          <w:rFonts w:ascii="Book Antiqua" w:hAnsi="Book Antiqua"/>
          <w:color w:val="auto"/>
          <w:sz w:val="24"/>
          <w:szCs w:val="24"/>
          <w:vertAlign w:val="superscript"/>
        </w:rPr>
        <w:t>a</w:t>
      </w:r>
      <w:r w:rsidRPr="00482A9A">
        <w:rPr>
          <w:rFonts w:ascii="Book Antiqua" w:hAnsi="Book Antiqua"/>
          <w:i/>
          <w:color w:val="auto"/>
          <w:sz w:val="24"/>
          <w:szCs w:val="24"/>
        </w:rPr>
        <w:t>P</w:t>
      </w:r>
      <w:r>
        <w:rPr>
          <w:rFonts w:ascii="Book Antiqua" w:hAnsi="Book Antiqua" w:hint="eastAsia"/>
          <w:i/>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 xml:space="preserve">0.05, </w:t>
      </w:r>
      <w:r w:rsidRPr="00DF6D96">
        <w:rPr>
          <w:rFonts w:ascii="Book Antiqua" w:hAnsi="Book Antiqua"/>
          <w:color w:val="auto"/>
          <w:sz w:val="24"/>
          <w:szCs w:val="24"/>
          <w:vertAlign w:val="superscript"/>
        </w:rPr>
        <w:t>b</w:t>
      </w:r>
      <w:r w:rsidRPr="00482A9A">
        <w:rPr>
          <w:rFonts w:ascii="Book Antiqua" w:hAnsi="Book Antiqua"/>
          <w:i/>
          <w:color w:val="auto"/>
          <w:sz w:val="24"/>
          <w:szCs w:val="24"/>
        </w:rPr>
        <w:t>P</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0.01)</w:t>
      </w:r>
      <w:r>
        <w:rPr>
          <w:rFonts w:ascii="Book Antiqua" w:hAnsi="Book Antiqua" w:hint="eastAsia"/>
          <w:color w:val="auto"/>
          <w:sz w:val="24"/>
          <w:szCs w:val="24"/>
          <w:lang w:eastAsia="zh-CN"/>
        </w:rPr>
        <w:t>.</w:t>
      </w:r>
    </w:p>
    <w:p w14:paraId="38B2CF12" w14:textId="77777777" w:rsidR="00482A9A" w:rsidRPr="00DF6D96" w:rsidRDefault="00482A9A"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noProof/>
          <w:color w:val="auto"/>
          <w:sz w:val="24"/>
          <w:szCs w:val="24"/>
          <w:lang w:eastAsia="zh-CN"/>
        </w:rPr>
        <w:lastRenderedPageBreak/>
        <w:drawing>
          <wp:inline distT="0" distB="0" distL="0" distR="0" wp14:anchorId="361FC527" wp14:editId="670DBB0B">
            <wp:extent cx="5274310" cy="31730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3173095"/>
                    </a:xfrm>
                    <a:prstGeom prst="rect">
                      <a:avLst/>
                    </a:prstGeom>
                  </pic:spPr>
                </pic:pic>
              </a:graphicData>
            </a:graphic>
          </wp:inline>
        </w:drawing>
      </w:r>
    </w:p>
    <w:p w14:paraId="3EBEBB2F" w14:textId="1BCB19F1" w:rsidR="00482A9A" w:rsidRPr="00DF6D96" w:rsidRDefault="00482A9A" w:rsidP="0030419F">
      <w:pPr>
        <w:adjustRightInd w:val="0"/>
        <w:snapToGrid w:val="0"/>
        <w:spacing w:line="360" w:lineRule="auto"/>
        <w:rPr>
          <w:rFonts w:ascii="Book Antiqua" w:hAnsi="Book Antiqua"/>
          <w:color w:val="auto"/>
          <w:sz w:val="24"/>
          <w:szCs w:val="24"/>
          <w:lang w:eastAsia="zh-CN"/>
        </w:rPr>
      </w:pPr>
      <w:r w:rsidRPr="00C04A27">
        <w:rPr>
          <w:rFonts w:ascii="Book Antiqua" w:hAnsi="Book Antiqua"/>
          <w:b/>
          <w:color w:val="auto"/>
          <w:sz w:val="24"/>
          <w:szCs w:val="24"/>
        </w:rPr>
        <w:t xml:space="preserve">Figure 5 </w:t>
      </w:r>
      <w:r w:rsidR="00C04A27" w:rsidRPr="00F7365A">
        <w:rPr>
          <w:rFonts w:ascii="Book Antiqua" w:hAnsi="Book Antiqua"/>
          <w:b/>
          <w:color w:val="auto"/>
          <w:sz w:val="24"/>
          <w:szCs w:val="24"/>
        </w:rPr>
        <w:t>Proteinase-activated receptor-2</w:t>
      </w:r>
      <w:r w:rsidRPr="00C04A27">
        <w:rPr>
          <w:rFonts w:ascii="Book Antiqua" w:hAnsi="Book Antiqua"/>
          <w:b/>
          <w:color w:val="auto"/>
          <w:sz w:val="24"/>
          <w:szCs w:val="24"/>
        </w:rPr>
        <w:t xml:space="preserve"> knockdown inhibits tumor growth in nude mice.</w:t>
      </w:r>
      <w:r w:rsidRPr="00DF6D96">
        <w:rPr>
          <w:rFonts w:ascii="Book Antiqua" w:hAnsi="Book Antiqua"/>
          <w:color w:val="auto"/>
          <w:sz w:val="24"/>
          <w:szCs w:val="24"/>
        </w:rPr>
        <w:t xml:space="preserve"> </w:t>
      </w:r>
      <w:r w:rsidRPr="00C04A27">
        <w:rPr>
          <w:rFonts w:ascii="Book Antiqua" w:hAnsi="Book Antiqua"/>
          <w:color w:val="auto"/>
          <w:sz w:val="24"/>
          <w:szCs w:val="24"/>
        </w:rPr>
        <w:t>A</w:t>
      </w:r>
      <w:r w:rsidR="00C04A27" w:rsidRPr="00C04A27">
        <w:rPr>
          <w:rFonts w:ascii="Book Antiqua" w:hAnsi="Book Antiqua" w:hint="eastAsia"/>
          <w:color w:val="auto"/>
          <w:sz w:val="24"/>
          <w:szCs w:val="24"/>
          <w:lang w:eastAsia="zh-CN"/>
        </w:rPr>
        <w:t xml:space="preserve"> and </w:t>
      </w:r>
      <w:r w:rsidRPr="00C04A27">
        <w:rPr>
          <w:rFonts w:ascii="Book Antiqua" w:hAnsi="Book Antiqua"/>
          <w:color w:val="auto"/>
          <w:sz w:val="24"/>
          <w:szCs w:val="24"/>
        </w:rPr>
        <w:t xml:space="preserve">B: </w:t>
      </w:r>
      <w:r w:rsidRPr="00DF6D96">
        <w:rPr>
          <w:rFonts w:ascii="Book Antiqua" w:hAnsi="Book Antiqua"/>
          <w:color w:val="auto"/>
          <w:sz w:val="24"/>
          <w:szCs w:val="24"/>
        </w:rPr>
        <w:t>Subcutaneous xenografts of HepG2 and SMMC-7721 cell</w:t>
      </w:r>
      <w:r w:rsidR="00C04A27">
        <w:rPr>
          <w:rFonts w:ascii="Book Antiqua" w:hAnsi="Book Antiqua"/>
          <w:color w:val="auto"/>
          <w:sz w:val="24"/>
          <w:szCs w:val="24"/>
        </w:rPr>
        <w:t>s in nude mice growing for 4 wk</w:t>
      </w:r>
      <w:r w:rsidRPr="00DF6D96">
        <w:rPr>
          <w:rFonts w:ascii="Book Antiqua" w:hAnsi="Book Antiqua"/>
          <w:color w:val="auto"/>
          <w:sz w:val="24"/>
          <w:szCs w:val="24"/>
        </w:rPr>
        <w:t xml:space="preserve">. </w:t>
      </w:r>
      <w:r w:rsidRPr="00C04A27">
        <w:rPr>
          <w:rFonts w:ascii="Book Antiqua" w:hAnsi="Book Antiqua"/>
          <w:color w:val="auto"/>
          <w:sz w:val="24"/>
          <w:szCs w:val="24"/>
        </w:rPr>
        <w:t>C</w:t>
      </w:r>
      <w:r w:rsidR="00C04A27" w:rsidRPr="00C04A27">
        <w:rPr>
          <w:rFonts w:ascii="Book Antiqua" w:hAnsi="Book Antiqua" w:hint="eastAsia"/>
          <w:color w:val="auto"/>
          <w:sz w:val="24"/>
          <w:szCs w:val="24"/>
          <w:lang w:eastAsia="zh-CN"/>
        </w:rPr>
        <w:t xml:space="preserve"> and </w:t>
      </w:r>
      <w:r w:rsidRPr="00C04A27">
        <w:rPr>
          <w:rFonts w:ascii="Book Antiqua" w:hAnsi="Book Antiqua"/>
          <w:color w:val="auto"/>
          <w:sz w:val="24"/>
          <w:szCs w:val="24"/>
        </w:rPr>
        <w:t>D:</w:t>
      </w:r>
      <w:r w:rsidR="00C04A27">
        <w:rPr>
          <w:rFonts w:ascii="Book Antiqua" w:hAnsi="Book Antiqua" w:hint="eastAsia"/>
          <w:color w:val="auto"/>
          <w:sz w:val="24"/>
          <w:szCs w:val="24"/>
          <w:lang w:eastAsia="zh-CN"/>
        </w:rPr>
        <w:t xml:space="preserve"> </w:t>
      </w:r>
      <w:r w:rsidRPr="00DF6D96">
        <w:rPr>
          <w:rFonts w:ascii="Book Antiqua" w:hAnsi="Book Antiqua"/>
          <w:color w:val="auto"/>
          <w:sz w:val="24"/>
          <w:szCs w:val="24"/>
        </w:rPr>
        <w:t>Tumor volumes were measured every week and tumor w</w:t>
      </w:r>
      <w:r w:rsidR="003B5FCC">
        <w:rPr>
          <w:rFonts w:ascii="Book Antiqua" w:hAnsi="Book Antiqua"/>
          <w:color w:val="auto"/>
          <w:sz w:val="24"/>
          <w:szCs w:val="24"/>
        </w:rPr>
        <w:t xml:space="preserve">eights were tested at the end. </w:t>
      </w:r>
      <w:r w:rsidRPr="00DF6D96">
        <w:rPr>
          <w:rFonts w:ascii="Book Antiqua" w:hAnsi="Book Antiqua"/>
          <w:color w:val="auto"/>
          <w:sz w:val="24"/>
          <w:szCs w:val="24"/>
          <w:vertAlign w:val="superscript"/>
        </w:rPr>
        <w:t>b</w:t>
      </w:r>
      <w:r w:rsidRPr="00C04A27">
        <w:rPr>
          <w:rFonts w:ascii="Book Antiqua" w:hAnsi="Book Antiqua"/>
          <w:i/>
          <w:color w:val="auto"/>
          <w:sz w:val="24"/>
          <w:szCs w:val="24"/>
        </w:rPr>
        <w:t>P</w:t>
      </w:r>
      <w:r w:rsidR="00C04A27">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sidR="00C04A27">
        <w:rPr>
          <w:rFonts w:ascii="Book Antiqua" w:hAnsi="Book Antiqua" w:hint="eastAsia"/>
          <w:color w:val="auto"/>
          <w:sz w:val="24"/>
          <w:szCs w:val="24"/>
          <w:lang w:eastAsia="zh-CN"/>
        </w:rPr>
        <w:t xml:space="preserve"> </w:t>
      </w:r>
      <w:r w:rsidRPr="00DF6D96">
        <w:rPr>
          <w:rFonts w:ascii="Book Antiqua" w:hAnsi="Book Antiqua"/>
          <w:color w:val="auto"/>
          <w:sz w:val="24"/>
          <w:szCs w:val="24"/>
        </w:rPr>
        <w:t xml:space="preserve">0.01, </w:t>
      </w:r>
      <w:r w:rsidRPr="00DF6D96">
        <w:rPr>
          <w:rFonts w:ascii="Book Antiqua" w:hAnsi="Book Antiqua"/>
          <w:color w:val="auto"/>
          <w:sz w:val="24"/>
          <w:szCs w:val="24"/>
          <w:vertAlign w:val="superscript"/>
        </w:rPr>
        <w:t>e</w:t>
      </w:r>
      <w:r w:rsidRPr="00C04A27">
        <w:rPr>
          <w:rFonts w:ascii="Book Antiqua" w:hAnsi="Book Antiqua"/>
          <w:i/>
          <w:color w:val="auto"/>
          <w:sz w:val="24"/>
          <w:szCs w:val="24"/>
        </w:rPr>
        <w:t>P</w:t>
      </w:r>
      <w:r w:rsidR="00C04A27" w:rsidRPr="00C04A27">
        <w:rPr>
          <w:rFonts w:ascii="Book Antiqua" w:hAnsi="Book Antiqua" w:hint="eastAsia"/>
          <w:i/>
          <w:color w:val="auto"/>
          <w:sz w:val="24"/>
          <w:szCs w:val="24"/>
          <w:lang w:eastAsia="zh-CN"/>
        </w:rPr>
        <w:t xml:space="preserve"> </w:t>
      </w:r>
      <w:r w:rsidRPr="00DF6D96">
        <w:rPr>
          <w:rFonts w:ascii="Book Antiqua" w:hAnsi="Book Antiqua"/>
          <w:color w:val="auto"/>
          <w:sz w:val="24"/>
          <w:szCs w:val="24"/>
        </w:rPr>
        <w:t>&lt;</w:t>
      </w:r>
      <w:r w:rsidR="00C04A27">
        <w:rPr>
          <w:rFonts w:ascii="Book Antiqua" w:hAnsi="Book Antiqua" w:hint="eastAsia"/>
          <w:color w:val="auto"/>
          <w:sz w:val="24"/>
          <w:szCs w:val="24"/>
          <w:lang w:eastAsia="zh-CN"/>
        </w:rPr>
        <w:t xml:space="preserve"> </w:t>
      </w:r>
      <w:r w:rsidR="003B5FCC">
        <w:rPr>
          <w:rFonts w:ascii="Book Antiqua" w:hAnsi="Book Antiqua"/>
          <w:color w:val="auto"/>
          <w:sz w:val="24"/>
          <w:szCs w:val="24"/>
        </w:rPr>
        <w:t>0.001</w:t>
      </w:r>
      <w:r w:rsidR="0014312C">
        <w:rPr>
          <w:rFonts w:ascii="Book Antiqua" w:hAnsi="Book Antiqua" w:hint="eastAsia"/>
          <w:color w:val="auto"/>
          <w:sz w:val="24"/>
          <w:szCs w:val="24"/>
          <w:lang w:eastAsia="zh-CN"/>
        </w:rPr>
        <w:t>.</w:t>
      </w:r>
    </w:p>
    <w:p w14:paraId="5CA6206F" w14:textId="021B8A6D" w:rsidR="00C04A27" w:rsidRDefault="00C04A27" w:rsidP="0030419F">
      <w:pPr>
        <w:snapToGrid w:val="0"/>
        <w:spacing w:line="360" w:lineRule="auto"/>
        <w:rPr>
          <w:rFonts w:ascii="Book Antiqua" w:hAnsi="Book Antiqua"/>
          <w:color w:val="auto"/>
          <w:sz w:val="24"/>
          <w:szCs w:val="24"/>
          <w:lang w:eastAsia="zh-CN"/>
        </w:rPr>
      </w:pPr>
      <w:r>
        <w:rPr>
          <w:rFonts w:ascii="Book Antiqua" w:hAnsi="Book Antiqua"/>
          <w:color w:val="auto"/>
          <w:sz w:val="24"/>
          <w:szCs w:val="24"/>
          <w:lang w:eastAsia="zh-CN"/>
        </w:rPr>
        <w:br w:type="page"/>
      </w:r>
    </w:p>
    <w:p w14:paraId="368488CD" w14:textId="77777777" w:rsidR="00C04A27" w:rsidRPr="00DF6D96" w:rsidRDefault="00C04A27"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noProof/>
          <w:color w:val="auto"/>
          <w:sz w:val="24"/>
          <w:szCs w:val="24"/>
          <w:lang w:eastAsia="zh-CN"/>
        </w:rPr>
        <w:lastRenderedPageBreak/>
        <w:drawing>
          <wp:inline distT="0" distB="0" distL="0" distR="0" wp14:anchorId="0FB9649E" wp14:editId="5655BCF7">
            <wp:extent cx="5274310" cy="432879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6.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4328795"/>
                    </a:xfrm>
                    <a:prstGeom prst="rect">
                      <a:avLst/>
                    </a:prstGeom>
                  </pic:spPr>
                </pic:pic>
              </a:graphicData>
            </a:graphic>
          </wp:inline>
        </w:drawing>
      </w:r>
    </w:p>
    <w:p w14:paraId="1580F811" w14:textId="1A965FFD" w:rsidR="00C04A27" w:rsidRPr="00DF6D96" w:rsidRDefault="00C04A27" w:rsidP="0030419F">
      <w:pPr>
        <w:pStyle w:val="1"/>
        <w:pBdr>
          <w:top w:val="none" w:sz="0" w:space="0" w:color="auto"/>
          <w:left w:val="none" w:sz="0" w:space="0" w:color="auto"/>
          <w:bottom w:val="none" w:sz="0" w:space="0" w:color="auto"/>
          <w:right w:val="none" w:sz="0" w:space="0" w:color="auto"/>
        </w:pBdr>
        <w:adjustRightInd w:val="0"/>
        <w:snapToGrid w:val="0"/>
        <w:spacing w:line="360" w:lineRule="auto"/>
        <w:rPr>
          <w:rFonts w:ascii="Book Antiqua" w:hAnsi="Book Antiqua"/>
          <w:color w:val="auto"/>
          <w:sz w:val="24"/>
          <w:szCs w:val="24"/>
          <w:lang w:eastAsia="zh-CN"/>
        </w:rPr>
      </w:pPr>
      <w:r w:rsidRPr="00C04A27">
        <w:rPr>
          <w:rFonts w:ascii="Book Antiqua" w:hAnsi="Book Antiqua"/>
          <w:b/>
          <w:color w:val="auto"/>
          <w:sz w:val="24"/>
          <w:szCs w:val="24"/>
        </w:rPr>
        <w:t xml:space="preserve">Figure 6 </w:t>
      </w:r>
      <w:r w:rsidRPr="00F7365A">
        <w:rPr>
          <w:rFonts w:ascii="Book Antiqua" w:hAnsi="Book Antiqua"/>
          <w:b/>
          <w:color w:val="auto"/>
          <w:sz w:val="24"/>
          <w:szCs w:val="24"/>
        </w:rPr>
        <w:t>Proteinase-activated receptor-2</w:t>
      </w:r>
      <w:r w:rsidRPr="00C04A27">
        <w:rPr>
          <w:rFonts w:ascii="Book Antiqua" w:hAnsi="Book Antiqua"/>
          <w:b/>
          <w:color w:val="auto"/>
          <w:sz w:val="24"/>
          <w:szCs w:val="24"/>
        </w:rPr>
        <w:t xml:space="preserve"> knockdown inhibits tumor metastasis in nude mice.</w:t>
      </w:r>
      <w:r w:rsidRPr="00C04A27">
        <w:rPr>
          <w:rFonts w:ascii="Book Antiqua" w:hAnsi="Book Antiqua"/>
          <w:color w:val="auto"/>
          <w:sz w:val="24"/>
          <w:szCs w:val="24"/>
        </w:rPr>
        <w:t xml:space="preserve"> A:</w:t>
      </w:r>
      <w:r w:rsidRPr="00DF6D96">
        <w:rPr>
          <w:rFonts w:ascii="Book Antiqua" w:hAnsi="Book Antiqua"/>
          <w:color w:val="auto"/>
          <w:sz w:val="24"/>
          <w:szCs w:val="24"/>
        </w:rPr>
        <w:t xml:space="preserve"> HepG2 and SMMC-7721 cells were injected into the spleen of nude mice to form liver metastases. The appearance of mice after 4 w</w:t>
      </w:r>
      <w:r>
        <w:rPr>
          <w:rFonts w:ascii="Book Antiqua" w:hAnsi="Book Antiqua" w:hint="eastAsia"/>
          <w:color w:val="auto"/>
          <w:sz w:val="24"/>
          <w:szCs w:val="24"/>
          <w:lang w:eastAsia="zh-CN"/>
        </w:rPr>
        <w:t>k</w:t>
      </w:r>
      <w:r w:rsidRPr="00DF6D96">
        <w:rPr>
          <w:rFonts w:ascii="Book Antiqua" w:hAnsi="Book Antiqua"/>
          <w:color w:val="auto"/>
          <w:sz w:val="24"/>
          <w:szCs w:val="24"/>
        </w:rPr>
        <w:t xml:space="preserve"> is shown. </w:t>
      </w:r>
      <w:r w:rsidRPr="00C04A27">
        <w:rPr>
          <w:rFonts w:ascii="Book Antiqua" w:hAnsi="Book Antiqua"/>
          <w:color w:val="auto"/>
          <w:sz w:val="24"/>
          <w:szCs w:val="24"/>
        </w:rPr>
        <w:t>B:</w:t>
      </w:r>
      <w:r w:rsidRPr="00DF6D96">
        <w:rPr>
          <w:rFonts w:ascii="Book Antiqua" w:hAnsi="Book Antiqua"/>
          <w:color w:val="auto"/>
          <w:sz w:val="24"/>
          <w:szCs w:val="24"/>
        </w:rPr>
        <w:t xml:space="preserve"> Tumors grown on the liver. </w:t>
      </w:r>
      <w:r w:rsidRPr="00C04A27">
        <w:rPr>
          <w:rFonts w:ascii="Book Antiqua" w:hAnsi="Book Antiqua"/>
          <w:color w:val="auto"/>
          <w:sz w:val="24"/>
          <w:szCs w:val="24"/>
        </w:rPr>
        <w:t>C:</w:t>
      </w:r>
      <w:r w:rsidRPr="00DF6D96">
        <w:rPr>
          <w:rFonts w:ascii="Book Antiqua" w:hAnsi="Book Antiqua"/>
          <w:color w:val="auto"/>
          <w:sz w:val="24"/>
          <w:szCs w:val="24"/>
        </w:rPr>
        <w:t xml:space="preserve"> Tumor numbers on each liver were counted. </w:t>
      </w:r>
      <w:r w:rsidRPr="00C04A27">
        <w:rPr>
          <w:rFonts w:ascii="Book Antiqua" w:hAnsi="Book Antiqua"/>
          <w:color w:val="auto"/>
          <w:sz w:val="24"/>
          <w:szCs w:val="24"/>
        </w:rPr>
        <w:t>D:</w:t>
      </w:r>
      <w:r w:rsidRPr="00DF6D96">
        <w:rPr>
          <w:rFonts w:ascii="Book Antiqua" w:hAnsi="Book Antiqua"/>
          <w:color w:val="auto"/>
          <w:sz w:val="24"/>
          <w:szCs w:val="24"/>
        </w:rPr>
        <w:t xml:space="preserve"> Percentage of mice with liver metastases (</w:t>
      </w:r>
      <w:r w:rsidRPr="00C04A27">
        <w:rPr>
          <w:rFonts w:ascii="Book Antiqua" w:hAnsi="Book Antiqua"/>
          <w:i/>
          <w:color w:val="auto"/>
          <w:sz w:val="24"/>
          <w:szCs w:val="24"/>
        </w:rPr>
        <w:t>n</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w:t>
      </w:r>
      <w:r>
        <w:rPr>
          <w:rFonts w:ascii="Book Antiqua" w:hAnsi="Book Antiqua" w:hint="eastAsia"/>
          <w:color w:val="auto"/>
          <w:sz w:val="24"/>
          <w:szCs w:val="24"/>
          <w:lang w:eastAsia="zh-CN"/>
        </w:rPr>
        <w:t xml:space="preserve"> </w:t>
      </w:r>
      <w:r w:rsidR="003B5FCC">
        <w:rPr>
          <w:rFonts w:ascii="Book Antiqua" w:hAnsi="Book Antiqua"/>
          <w:color w:val="auto"/>
          <w:sz w:val="24"/>
          <w:szCs w:val="24"/>
        </w:rPr>
        <w:t xml:space="preserve">10/group). </w:t>
      </w:r>
      <w:r w:rsidRPr="00DF6D96">
        <w:rPr>
          <w:rFonts w:ascii="Book Antiqua" w:hAnsi="Book Antiqua"/>
          <w:color w:val="auto"/>
          <w:sz w:val="24"/>
          <w:szCs w:val="24"/>
          <w:vertAlign w:val="superscript"/>
        </w:rPr>
        <w:t>b</w:t>
      </w:r>
      <w:r w:rsidRPr="00C04A27">
        <w:rPr>
          <w:rFonts w:ascii="Book Antiqua" w:hAnsi="Book Antiqua"/>
          <w:i/>
          <w:color w:val="auto"/>
          <w:sz w:val="24"/>
          <w:szCs w:val="24"/>
        </w:rPr>
        <w:t>P</w:t>
      </w:r>
      <w:r>
        <w:rPr>
          <w:rFonts w:ascii="Book Antiqua" w:hAnsi="Book Antiqua" w:hint="eastAsia"/>
          <w:color w:val="auto"/>
          <w:sz w:val="24"/>
          <w:szCs w:val="24"/>
          <w:lang w:eastAsia="zh-CN"/>
        </w:rPr>
        <w:t xml:space="preserve"> </w:t>
      </w:r>
      <w:r w:rsidRPr="00DF6D96">
        <w:rPr>
          <w:rFonts w:ascii="Book Antiqua" w:hAnsi="Book Antiqua"/>
          <w:color w:val="auto"/>
          <w:sz w:val="24"/>
          <w:szCs w:val="24"/>
        </w:rPr>
        <w:t>&lt;</w:t>
      </w:r>
      <w:r>
        <w:rPr>
          <w:rFonts w:ascii="Book Antiqua" w:hAnsi="Book Antiqua" w:hint="eastAsia"/>
          <w:color w:val="auto"/>
          <w:sz w:val="24"/>
          <w:szCs w:val="24"/>
          <w:lang w:eastAsia="zh-CN"/>
        </w:rPr>
        <w:t xml:space="preserve"> </w:t>
      </w:r>
      <w:r w:rsidR="003B5FCC">
        <w:rPr>
          <w:rFonts w:ascii="Book Antiqua" w:hAnsi="Book Antiqua"/>
          <w:color w:val="auto"/>
          <w:sz w:val="24"/>
          <w:szCs w:val="24"/>
        </w:rPr>
        <w:t>0.01</w:t>
      </w:r>
      <w:r w:rsidR="0014312C">
        <w:rPr>
          <w:rFonts w:ascii="Book Antiqua" w:hAnsi="Book Antiqua" w:hint="eastAsia"/>
          <w:color w:val="auto"/>
          <w:sz w:val="24"/>
          <w:szCs w:val="24"/>
          <w:lang w:eastAsia="zh-CN"/>
        </w:rPr>
        <w:t>.</w:t>
      </w:r>
    </w:p>
    <w:p w14:paraId="759A2B85" w14:textId="6CEF71E4" w:rsidR="00C04A27" w:rsidRDefault="00C04A27" w:rsidP="0030419F">
      <w:pPr>
        <w:snapToGrid w:val="0"/>
        <w:spacing w:line="360" w:lineRule="auto"/>
        <w:rPr>
          <w:rFonts w:ascii="Book Antiqua" w:hAnsi="Book Antiqua"/>
          <w:color w:val="auto"/>
          <w:sz w:val="24"/>
          <w:szCs w:val="24"/>
          <w:lang w:eastAsia="zh-CN"/>
        </w:rPr>
      </w:pPr>
      <w:r>
        <w:rPr>
          <w:rFonts w:ascii="Book Antiqua" w:hAnsi="Book Antiqua"/>
          <w:color w:val="auto"/>
          <w:sz w:val="24"/>
          <w:szCs w:val="24"/>
          <w:lang w:eastAsia="zh-CN"/>
        </w:rPr>
        <w:br w:type="page"/>
      </w:r>
    </w:p>
    <w:p w14:paraId="157BA50F" w14:textId="77777777" w:rsidR="00C04A27" w:rsidRPr="00DF6D96" w:rsidRDefault="00C04A27" w:rsidP="0030419F">
      <w:pPr>
        <w:pStyle w:val="1"/>
        <w:adjustRightInd w:val="0"/>
        <w:snapToGrid w:val="0"/>
        <w:spacing w:line="360" w:lineRule="auto"/>
        <w:rPr>
          <w:rFonts w:ascii="Book Antiqua" w:hAnsi="Book Antiqua"/>
          <w:color w:val="auto"/>
          <w:sz w:val="24"/>
          <w:szCs w:val="24"/>
        </w:rPr>
      </w:pPr>
      <w:r w:rsidRPr="00DF6D96">
        <w:rPr>
          <w:rFonts w:ascii="Book Antiqua" w:hAnsi="Book Antiqua"/>
          <w:noProof/>
          <w:color w:val="auto"/>
          <w:sz w:val="24"/>
          <w:szCs w:val="24"/>
          <w:lang w:eastAsia="zh-CN"/>
        </w:rPr>
        <w:lastRenderedPageBreak/>
        <w:drawing>
          <wp:inline distT="0" distB="0" distL="0" distR="0" wp14:anchorId="6CF3844A" wp14:editId="5526F2BC">
            <wp:extent cx="5274310" cy="3754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7.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754120"/>
                    </a:xfrm>
                    <a:prstGeom prst="rect">
                      <a:avLst/>
                    </a:prstGeom>
                  </pic:spPr>
                </pic:pic>
              </a:graphicData>
            </a:graphic>
          </wp:inline>
        </w:drawing>
      </w:r>
    </w:p>
    <w:p w14:paraId="4377FB61" w14:textId="479849C3" w:rsidR="00C04A27" w:rsidRPr="00DF6D96" w:rsidRDefault="00C04A27" w:rsidP="0030419F">
      <w:pPr>
        <w:pStyle w:val="1"/>
        <w:pBdr>
          <w:top w:val="none" w:sz="0" w:space="0" w:color="auto"/>
          <w:left w:val="none" w:sz="0" w:space="0" w:color="auto"/>
          <w:bottom w:val="none" w:sz="0" w:space="0" w:color="auto"/>
          <w:right w:val="none" w:sz="0" w:space="0" w:color="auto"/>
        </w:pBdr>
        <w:adjustRightInd w:val="0"/>
        <w:snapToGrid w:val="0"/>
        <w:spacing w:line="360" w:lineRule="auto"/>
        <w:rPr>
          <w:rFonts w:ascii="Book Antiqua" w:hAnsi="Book Antiqua"/>
          <w:color w:val="auto"/>
          <w:sz w:val="24"/>
          <w:szCs w:val="24"/>
          <w:lang w:eastAsia="zh-CN"/>
        </w:rPr>
      </w:pPr>
      <w:r w:rsidRPr="00C04A27">
        <w:rPr>
          <w:rFonts w:ascii="Book Antiqua" w:hAnsi="Book Antiqua"/>
          <w:b/>
          <w:color w:val="auto"/>
          <w:sz w:val="24"/>
          <w:szCs w:val="24"/>
        </w:rPr>
        <w:t xml:space="preserve">Figure 7 </w:t>
      </w:r>
      <w:r w:rsidRPr="00F7365A">
        <w:rPr>
          <w:rFonts w:ascii="Book Antiqua" w:hAnsi="Book Antiqua"/>
          <w:b/>
          <w:color w:val="auto"/>
          <w:sz w:val="24"/>
          <w:szCs w:val="24"/>
        </w:rPr>
        <w:t>Proteinase-activated receptor-2</w:t>
      </w:r>
      <w:r w:rsidRPr="00C04A27">
        <w:rPr>
          <w:rFonts w:ascii="Book Antiqua" w:hAnsi="Book Antiqua"/>
          <w:b/>
          <w:color w:val="auto"/>
          <w:sz w:val="24"/>
          <w:szCs w:val="24"/>
        </w:rPr>
        <w:t xml:space="preserve"> mediates the activation of ERK and further induces </w:t>
      </w:r>
      <w:r w:rsidR="003B5FCC" w:rsidRPr="00D435E7">
        <w:rPr>
          <w:rFonts w:ascii="Book Antiqua" w:hAnsi="Book Antiqua"/>
          <w:b/>
          <w:color w:val="auto"/>
          <w:sz w:val="24"/>
          <w:szCs w:val="24"/>
        </w:rPr>
        <w:t>e</w:t>
      </w:r>
      <w:r w:rsidR="00D435E7" w:rsidRPr="00D435E7">
        <w:rPr>
          <w:rFonts w:ascii="Book Antiqua" w:hAnsi="Book Antiqua"/>
          <w:b/>
          <w:color w:val="auto"/>
          <w:sz w:val="24"/>
          <w:szCs w:val="24"/>
        </w:rPr>
        <w:t>pithelial-mesenchymal transition</w:t>
      </w:r>
      <w:r w:rsidRPr="00C04A27">
        <w:rPr>
          <w:rFonts w:ascii="Book Antiqua" w:hAnsi="Book Antiqua"/>
          <w:b/>
          <w:color w:val="auto"/>
          <w:sz w:val="24"/>
          <w:szCs w:val="24"/>
        </w:rPr>
        <w:t>.</w:t>
      </w:r>
      <w:r w:rsidRPr="00DF6D96">
        <w:rPr>
          <w:rFonts w:ascii="Book Antiqua" w:hAnsi="Book Antiqua"/>
          <w:color w:val="auto"/>
          <w:sz w:val="24"/>
          <w:szCs w:val="24"/>
        </w:rPr>
        <w:t xml:space="preserve"> </w:t>
      </w:r>
      <w:r w:rsidRPr="00C04A27">
        <w:rPr>
          <w:rFonts w:ascii="Book Antiqua" w:hAnsi="Book Antiqua"/>
          <w:color w:val="auto"/>
          <w:sz w:val="24"/>
          <w:szCs w:val="24"/>
        </w:rPr>
        <w:t>A:</w:t>
      </w:r>
      <w:r w:rsidRPr="00DF6D96">
        <w:rPr>
          <w:rFonts w:ascii="Book Antiqua" w:hAnsi="Book Antiqua"/>
          <w:color w:val="auto"/>
          <w:sz w:val="24"/>
          <w:szCs w:val="24"/>
        </w:rPr>
        <w:t xml:space="preserve"> The protein levels of ERK and p-ERK in HepG2 and SMMC-7721 cells. </w:t>
      </w:r>
      <w:r w:rsidRPr="00C04A27">
        <w:rPr>
          <w:rFonts w:ascii="Book Antiqua" w:hAnsi="Book Antiqua"/>
          <w:color w:val="auto"/>
          <w:sz w:val="24"/>
          <w:szCs w:val="24"/>
        </w:rPr>
        <w:t>B:</w:t>
      </w:r>
      <w:r w:rsidRPr="00DF6D96">
        <w:rPr>
          <w:rFonts w:ascii="Book Antiqua" w:hAnsi="Book Antiqua"/>
          <w:color w:val="auto"/>
          <w:sz w:val="24"/>
          <w:szCs w:val="24"/>
        </w:rPr>
        <w:t xml:space="preserve"> The morphological changes in HepG2 and SMMC-7721 cells after </w:t>
      </w:r>
      <w:r w:rsidR="00D435E7" w:rsidRPr="00D435E7">
        <w:rPr>
          <w:rFonts w:ascii="Book Antiqua" w:hAnsi="Book Antiqua"/>
          <w:color w:val="auto"/>
          <w:sz w:val="24"/>
          <w:szCs w:val="24"/>
        </w:rPr>
        <w:t>Proteinase-activated receptor-2</w:t>
      </w:r>
      <w:r w:rsidRPr="00DF6D96">
        <w:rPr>
          <w:rFonts w:ascii="Book Antiqua" w:hAnsi="Book Antiqua"/>
          <w:color w:val="auto"/>
          <w:sz w:val="24"/>
          <w:szCs w:val="24"/>
        </w:rPr>
        <w:t xml:space="preserve"> knock down. </w:t>
      </w:r>
      <w:r w:rsidRPr="00C04A27">
        <w:rPr>
          <w:rFonts w:ascii="Book Antiqua" w:hAnsi="Book Antiqua"/>
          <w:color w:val="auto"/>
          <w:sz w:val="24"/>
          <w:szCs w:val="24"/>
        </w:rPr>
        <w:t>C</w:t>
      </w:r>
      <w:r w:rsidR="00EC01EB">
        <w:rPr>
          <w:rFonts w:ascii="Book Antiqua" w:hAnsi="Book Antiqua" w:hint="eastAsia"/>
          <w:color w:val="auto"/>
          <w:sz w:val="24"/>
          <w:szCs w:val="24"/>
          <w:lang w:eastAsia="zh-CN"/>
        </w:rPr>
        <w:t xml:space="preserve"> and </w:t>
      </w:r>
      <w:r w:rsidRPr="00C04A27">
        <w:rPr>
          <w:rFonts w:ascii="Book Antiqua" w:hAnsi="Book Antiqua"/>
          <w:color w:val="auto"/>
          <w:sz w:val="24"/>
          <w:szCs w:val="24"/>
        </w:rPr>
        <w:t>D:</w:t>
      </w:r>
      <w:r w:rsidRPr="00DF6D96">
        <w:rPr>
          <w:rFonts w:ascii="Book Antiqua" w:hAnsi="Book Antiqua"/>
          <w:color w:val="auto"/>
          <w:sz w:val="24"/>
          <w:szCs w:val="24"/>
        </w:rPr>
        <w:t xml:space="preserve"> The protein levels of EGR-1, S</w:t>
      </w:r>
      <w:r w:rsidRPr="00DF6D96">
        <w:rPr>
          <w:rFonts w:ascii="Book Antiqua" w:hAnsi="Book Antiqua"/>
          <w:color w:val="auto"/>
          <w:sz w:val="24"/>
          <w:szCs w:val="24"/>
          <w:lang w:eastAsia="zh-CN"/>
        </w:rPr>
        <w:t xml:space="preserve">nail, </w:t>
      </w:r>
      <w:r w:rsidRPr="00DF6D96">
        <w:rPr>
          <w:rFonts w:ascii="Book Antiqua" w:hAnsi="Book Antiqua"/>
          <w:color w:val="auto"/>
          <w:sz w:val="24"/>
          <w:szCs w:val="24"/>
        </w:rPr>
        <w:t>E-cadherin and N-cadherin in HepG2 and SMMC-7721 cells. GAPDH was selected as an endogenous control.</w:t>
      </w:r>
      <w:r w:rsidR="00F65498">
        <w:rPr>
          <w:rFonts w:ascii="Book Antiqua" w:hAnsi="Book Antiqua" w:hint="eastAsia"/>
          <w:color w:val="auto"/>
          <w:sz w:val="24"/>
          <w:szCs w:val="24"/>
          <w:lang w:eastAsia="zh-CN"/>
        </w:rPr>
        <w:t xml:space="preserve"> </w:t>
      </w:r>
    </w:p>
    <w:p w14:paraId="38F12094" w14:textId="77777777" w:rsidR="0076156B" w:rsidRPr="00482A9A" w:rsidRDefault="0076156B" w:rsidP="0030419F">
      <w:pPr>
        <w:pStyle w:val="1"/>
        <w:adjustRightInd w:val="0"/>
        <w:snapToGrid w:val="0"/>
        <w:spacing w:line="360" w:lineRule="auto"/>
        <w:rPr>
          <w:rFonts w:ascii="Book Antiqua" w:hAnsi="Book Antiqua"/>
          <w:color w:val="auto"/>
          <w:sz w:val="24"/>
          <w:szCs w:val="24"/>
          <w:lang w:eastAsia="zh-CN"/>
        </w:rPr>
      </w:pPr>
    </w:p>
    <w:sectPr w:rsidR="0076156B" w:rsidRPr="00482A9A" w:rsidSect="00C35D84">
      <w:pgSz w:w="11906" w:h="16838"/>
      <w:pgMar w:top="1440" w:right="1800" w:bottom="1440" w:left="180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AF8DF5" w14:textId="77777777" w:rsidR="00185097" w:rsidRDefault="00185097" w:rsidP="00BB7EA0">
      <w:r>
        <w:separator/>
      </w:r>
    </w:p>
  </w:endnote>
  <w:endnote w:type="continuationSeparator" w:id="0">
    <w:p w14:paraId="4874C10A" w14:textId="77777777" w:rsidR="00185097" w:rsidRDefault="00185097" w:rsidP="00BB7E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DengXian">
    <w:altName w:val="Arial Unicode MS"/>
    <w:panose1 w:val="00000000000000000000"/>
    <w:charset w:val="86"/>
    <w:family w:val="script"/>
    <w:notTrueType/>
    <w:pitch w:val="variable"/>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F017E1" w14:textId="77777777" w:rsidR="00185097" w:rsidRDefault="00185097" w:rsidP="00BB7EA0">
      <w:r>
        <w:separator/>
      </w:r>
    </w:p>
  </w:footnote>
  <w:footnote w:type="continuationSeparator" w:id="0">
    <w:p w14:paraId="1024AF07" w14:textId="77777777" w:rsidR="00185097" w:rsidRDefault="00185097" w:rsidP="00BB7E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isplayBackgroundShape/>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CxMDIxNjc1N7c0NDZW0lEKTi0uzszPAykwqQUANgSQ8SwAAAA="/>
  </w:docVars>
  <w:rsids>
    <w:rsidRoot w:val="00C35D84"/>
    <w:rsid w:val="00023A20"/>
    <w:rsid w:val="00023E5B"/>
    <w:rsid w:val="0003075F"/>
    <w:rsid w:val="0003346E"/>
    <w:rsid w:val="00034ACA"/>
    <w:rsid w:val="00042C53"/>
    <w:rsid w:val="00057384"/>
    <w:rsid w:val="000642AE"/>
    <w:rsid w:val="000657FC"/>
    <w:rsid w:val="000737B4"/>
    <w:rsid w:val="000737B8"/>
    <w:rsid w:val="00076218"/>
    <w:rsid w:val="00086637"/>
    <w:rsid w:val="0009039A"/>
    <w:rsid w:val="00090B91"/>
    <w:rsid w:val="000A7641"/>
    <w:rsid w:val="000B2F65"/>
    <w:rsid w:val="000C2C97"/>
    <w:rsid w:val="000D1038"/>
    <w:rsid w:val="000E6763"/>
    <w:rsid w:val="000F782C"/>
    <w:rsid w:val="00114E26"/>
    <w:rsid w:val="0014312C"/>
    <w:rsid w:val="00143AA7"/>
    <w:rsid w:val="00157A9B"/>
    <w:rsid w:val="001678FF"/>
    <w:rsid w:val="0018330F"/>
    <w:rsid w:val="00185097"/>
    <w:rsid w:val="00190F2B"/>
    <w:rsid w:val="001A389E"/>
    <w:rsid w:val="001B485B"/>
    <w:rsid w:val="001B7735"/>
    <w:rsid w:val="001E1C46"/>
    <w:rsid w:val="001E1F08"/>
    <w:rsid w:val="001F3FCC"/>
    <w:rsid w:val="001F6B6E"/>
    <w:rsid w:val="00211145"/>
    <w:rsid w:val="00215C14"/>
    <w:rsid w:val="0021602B"/>
    <w:rsid w:val="00236654"/>
    <w:rsid w:val="00251218"/>
    <w:rsid w:val="00257383"/>
    <w:rsid w:val="002656F8"/>
    <w:rsid w:val="00274855"/>
    <w:rsid w:val="00283179"/>
    <w:rsid w:val="002A3026"/>
    <w:rsid w:val="002B0166"/>
    <w:rsid w:val="002B257D"/>
    <w:rsid w:val="0030419F"/>
    <w:rsid w:val="00314006"/>
    <w:rsid w:val="00326959"/>
    <w:rsid w:val="00331E66"/>
    <w:rsid w:val="00334DC0"/>
    <w:rsid w:val="003357D5"/>
    <w:rsid w:val="00344DD8"/>
    <w:rsid w:val="00362B8F"/>
    <w:rsid w:val="00393CEC"/>
    <w:rsid w:val="00393F0A"/>
    <w:rsid w:val="003A0FEB"/>
    <w:rsid w:val="003A19E6"/>
    <w:rsid w:val="003B5FCC"/>
    <w:rsid w:val="003C0018"/>
    <w:rsid w:val="003C676B"/>
    <w:rsid w:val="003F6814"/>
    <w:rsid w:val="00400FC0"/>
    <w:rsid w:val="00405CC4"/>
    <w:rsid w:val="00407746"/>
    <w:rsid w:val="004144D6"/>
    <w:rsid w:val="00426A8A"/>
    <w:rsid w:val="0046007B"/>
    <w:rsid w:val="0046047A"/>
    <w:rsid w:val="004725C8"/>
    <w:rsid w:val="00482A9A"/>
    <w:rsid w:val="00492105"/>
    <w:rsid w:val="004A50F2"/>
    <w:rsid w:val="004B2D77"/>
    <w:rsid w:val="004B6735"/>
    <w:rsid w:val="004B687C"/>
    <w:rsid w:val="004C2681"/>
    <w:rsid w:val="004D091F"/>
    <w:rsid w:val="004F0ADF"/>
    <w:rsid w:val="00502913"/>
    <w:rsid w:val="00524BFC"/>
    <w:rsid w:val="00535908"/>
    <w:rsid w:val="00535BB3"/>
    <w:rsid w:val="0055447E"/>
    <w:rsid w:val="00557081"/>
    <w:rsid w:val="00562C27"/>
    <w:rsid w:val="00564144"/>
    <w:rsid w:val="00566259"/>
    <w:rsid w:val="00566269"/>
    <w:rsid w:val="00581A08"/>
    <w:rsid w:val="005903A0"/>
    <w:rsid w:val="00596CE1"/>
    <w:rsid w:val="005A1C6A"/>
    <w:rsid w:val="005A3440"/>
    <w:rsid w:val="005A3A80"/>
    <w:rsid w:val="005A4AD3"/>
    <w:rsid w:val="005A5C03"/>
    <w:rsid w:val="005C48FE"/>
    <w:rsid w:val="005C5248"/>
    <w:rsid w:val="005D0A3C"/>
    <w:rsid w:val="005E0729"/>
    <w:rsid w:val="005E574D"/>
    <w:rsid w:val="005F26B7"/>
    <w:rsid w:val="005F4D11"/>
    <w:rsid w:val="006026D2"/>
    <w:rsid w:val="006136ED"/>
    <w:rsid w:val="0064065E"/>
    <w:rsid w:val="00646C11"/>
    <w:rsid w:val="006523FC"/>
    <w:rsid w:val="00655760"/>
    <w:rsid w:val="0068451D"/>
    <w:rsid w:val="00690F59"/>
    <w:rsid w:val="00693FC9"/>
    <w:rsid w:val="006A6F36"/>
    <w:rsid w:val="006A7EDD"/>
    <w:rsid w:val="006B1CDB"/>
    <w:rsid w:val="006B51A0"/>
    <w:rsid w:val="006D08DC"/>
    <w:rsid w:val="006E2C42"/>
    <w:rsid w:val="007073D1"/>
    <w:rsid w:val="0075440D"/>
    <w:rsid w:val="00760372"/>
    <w:rsid w:val="00760768"/>
    <w:rsid w:val="0076156B"/>
    <w:rsid w:val="00763BCB"/>
    <w:rsid w:val="00787C9B"/>
    <w:rsid w:val="00795E3B"/>
    <w:rsid w:val="007A5BD8"/>
    <w:rsid w:val="007C5683"/>
    <w:rsid w:val="007D29CC"/>
    <w:rsid w:val="007D656D"/>
    <w:rsid w:val="007E0ECE"/>
    <w:rsid w:val="007F1578"/>
    <w:rsid w:val="00803BE4"/>
    <w:rsid w:val="00805E4B"/>
    <w:rsid w:val="00811426"/>
    <w:rsid w:val="00813614"/>
    <w:rsid w:val="00823641"/>
    <w:rsid w:val="00823F3E"/>
    <w:rsid w:val="0083746F"/>
    <w:rsid w:val="0087610E"/>
    <w:rsid w:val="008874C4"/>
    <w:rsid w:val="008A52FC"/>
    <w:rsid w:val="008B3E13"/>
    <w:rsid w:val="008B5CE8"/>
    <w:rsid w:val="008C69FB"/>
    <w:rsid w:val="008F7001"/>
    <w:rsid w:val="009078CD"/>
    <w:rsid w:val="00911371"/>
    <w:rsid w:val="0091231F"/>
    <w:rsid w:val="00913128"/>
    <w:rsid w:val="00945927"/>
    <w:rsid w:val="00967096"/>
    <w:rsid w:val="0097003D"/>
    <w:rsid w:val="00971342"/>
    <w:rsid w:val="009865A1"/>
    <w:rsid w:val="009A562A"/>
    <w:rsid w:val="009D03BF"/>
    <w:rsid w:val="009D697D"/>
    <w:rsid w:val="009F1243"/>
    <w:rsid w:val="00A022D0"/>
    <w:rsid w:val="00A1366C"/>
    <w:rsid w:val="00A13B41"/>
    <w:rsid w:val="00A24679"/>
    <w:rsid w:val="00A3073D"/>
    <w:rsid w:val="00A31F9F"/>
    <w:rsid w:val="00A32326"/>
    <w:rsid w:val="00A35DA0"/>
    <w:rsid w:val="00A513FA"/>
    <w:rsid w:val="00A63DC3"/>
    <w:rsid w:val="00A852FE"/>
    <w:rsid w:val="00A86EB1"/>
    <w:rsid w:val="00A93A2E"/>
    <w:rsid w:val="00AA14EA"/>
    <w:rsid w:val="00AA200E"/>
    <w:rsid w:val="00AB7523"/>
    <w:rsid w:val="00AC2BA3"/>
    <w:rsid w:val="00AD00C9"/>
    <w:rsid w:val="00B2558B"/>
    <w:rsid w:val="00B36AEC"/>
    <w:rsid w:val="00B6670B"/>
    <w:rsid w:val="00B92CE8"/>
    <w:rsid w:val="00BA6B61"/>
    <w:rsid w:val="00BB5C5F"/>
    <w:rsid w:val="00BB7B1D"/>
    <w:rsid w:val="00BB7EA0"/>
    <w:rsid w:val="00BD16B6"/>
    <w:rsid w:val="00BD7C67"/>
    <w:rsid w:val="00BE51EA"/>
    <w:rsid w:val="00BF5B7D"/>
    <w:rsid w:val="00C04A27"/>
    <w:rsid w:val="00C04A67"/>
    <w:rsid w:val="00C238B2"/>
    <w:rsid w:val="00C3196E"/>
    <w:rsid w:val="00C31CD1"/>
    <w:rsid w:val="00C35D84"/>
    <w:rsid w:val="00C36082"/>
    <w:rsid w:val="00C36569"/>
    <w:rsid w:val="00C67E5A"/>
    <w:rsid w:val="00C84E47"/>
    <w:rsid w:val="00C93F50"/>
    <w:rsid w:val="00CA58F2"/>
    <w:rsid w:val="00CA7C7D"/>
    <w:rsid w:val="00CD2079"/>
    <w:rsid w:val="00CD53B3"/>
    <w:rsid w:val="00CE67E5"/>
    <w:rsid w:val="00CF3906"/>
    <w:rsid w:val="00CF509B"/>
    <w:rsid w:val="00CF570F"/>
    <w:rsid w:val="00D03998"/>
    <w:rsid w:val="00D341D0"/>
    <w:rsid w:val="00D435E7"/>
    <w:rsid w:val="00D63BA8"/>
    <w:rsid w:val="00D67BF0"/>
    <w:rsid w:val="00D72430"/>
    <w:rsid w:val="00D73A60"/>
    <w:rsid w:val="00D97BF2"/>
    <w:rsid w:val="00DA2049"/>
    <w:rsid w:val="00DA73CB"/>
    <w:rsid w:val="00DB348B"/>
    <w:rsid w:val="00DC61A9"/>
    <w:rsid w:val="00DD2898"/>
    <w:rsid w:val="00DF121F"/>
    <w:rsid w:val="00DF6899"/>
    <w:rsid w:val="00DF6D96"/>
    <w:rsid w:val="00E24A7F"/>
    <w:rsid w:val="00E34AEB"/>
    <w:rsid w:val="00E5615C"/>
    <w:rsid w:val="00E60CDA"/>
    <w:rsid w:val="00E6280C"/>
    <w:rsid w:val="00E7508E"/>
    <w:rsid w:val="00E85802"/>
    <w:rsid w:val="00E90758"/>
    <w:rsid w:val="00E95D61"/>
    <w:rsid w:val="00EA5181"/>
    <w:rsid w:val="00EA65E7"/>
    <w:rsid w:val="00EA69D9"/>
    <w:rsid w:val="00EC01EB"/>
    <w:rsid w:val="00ED1A90"/>
    <w:rsid w:val="00EF06B5"/>
    <w:rsid w:val="00EF5C74"/>
    <w:rsid w:val="00F066F0"/>
    <w:rsid w:val="00F20CFF"/>
    <w:rsid w:val="00F34E1C"/>
    <w:rsid w:val="00F44114"/>
    <w:rsid w:val="00F65498"/>
    <w:rsid w:val="00F6549D"/>
    <w:rsid w:val="00F70C2A"/>
    <w:rsid w:val="00F7365A"/>
    <w:rsid w:val="00F743E0"/>
    <w:rsid w:val="00F81164"/>
    <w:rsid w:val="00F93CBE"/>
    <w:rsid w:val="00FA370C"/>
    <w:rsid w:val="00FA4F7F"/>
    <w:rsid w:val="00FA66EC"/>
    <w:rsid w:val="00FB0774"/>
    <w:rsid w:val="00FB70F6"/>
    <w:rsid w:val="00FC5161"/>
    <w:rsid w:val="00FD1245"/>
    <w:rsid w:val="00FE7290"/>
    <w:rsid w:val="00FE7968"/>
    <w:rsid w:val="00FF1FFE"/>
    <w:rsid w:val="00FF286F"/>
    <w:rsid w:val="00FF69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9E34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Calibri"/>
        <w:color w:val="000000"/>
        <w:sz w:val="21"/>
        <w:szCs w:val="21"/>
        <w:lang w:val="en-US" w:eastAsia="en-US" w:bidi="ar-SA"/>
      </w:rPr>
    </w:rPrDefault>
    <w:pPrDefault>
      <w:pPr>
        <w:widowControl w:val="0"/>
        <w:pBdr>
          <w:top w:val="nil"/>
          <w:left w:val="nil"/>
          <w:bottom w:val="nil"/>
          <w:right w:val="nil"/>
          <w:between w:val="nil"/>
        </w:pBd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6B61"/>
  </w:style>
  <w:style w:type="paragraph" w:styleId="Heading1">
    <w:name w:val="heading 1"/>
    <w:basedOn w:val="1"/>
    <w:next w:val="1"/>
    <w:rsid w:val="00C35D84"/>
    <w:pPr>
      <w:keepNext/>
      <w:keepLines/>
      <w:spacing w:before="480" w:after="120"/>
      <w:outlineLvl w:val="0"/>
    </w:pPr>
    <w:rPr>
      <w:b/>
      <w:sz w:val="48"/>
      <w:szCs w:val="48"/>
    </w:rPr>
  </w:style>
  <w:style w:type="paragraph" w:styleId="Heading2">
    <w:name w:val="heading 2"/>
    <w:basedOn w:val="1"/>
    <w:next w:val="1"/>
    <w:rsid w:val="00C35D84"/>
    <w:pPr>
      <w:keepNext/>
      <w:keepLines/>
      <w:spacing w:before="360" w:after="80"/>
      <w:outlineLvl w:val="1"/>
    </w:pPr>
    <w:rPr>
      <w:b/>
      <w:sz w:val="36"/>
      <w:szCs w:val="36"/>
    </w:rPr>
  </w:style>
  <w:style w:type="paragraph" w:styleId="Heading3">
    <w:name w:val="heading 3"/>
    <w:basedOn w:val="1"/>
    <w:next w:val="1"/>
    <w:rsid w:val="00C35D84"/>
    <w:pPr>
      <w:keepNext/>
      <w:keepLines/>
      <w:spacing w:before="280" w:after="80"/>
      <w:outlineLvl w:val="2"/>
    </w:pPr>
    <w:rPr>
      <w:b/>
      <w:sz w:val="28"/>
      <w:szCs w:val="28"/>
    </w:rPr>
  </w:style>
  <w:style w:type="paragraph" w:styleId="Heading4">
    <w:name w:val="heading 4"/>
    <w:basedOn w:val="1"/>
    <w:next w:val="1"/>
    <w:rsid w:val="00C35D84"/>
    <w:pPr>
      <w:keepNext/>
      <w:keepLines/>
      <w:spacing w:before="240" w:after="40"/>
      <w:outlineLvl w:val="3"/>
    </w:pPr>
    <w:rPr>
      <w:b/>
      <w:sz w:val="24"/>
      <w:szCs w:val="24"/>
    </w:rPr>
  </w:style>
  <w:style w:type="paragraph" w:styleId="Heading5">
    <w:name w:val="heading 5"/>
    <w:basedOn w:val="1"/>
    <w:next w:val="1"/>
    <w:rsid w:val="00C35D84"/>
    <w:pPr>
      <w:keepNext/>
      <w:keepLines/>
      <w:spacing w:before="220" w:after="40"/>
      <w:outlineLvl w:val="4"/>
    </w:pPr>
    <w:rPr>
      <w:b/>
      <w:sz w:val="22"/>
      <w:szCs w:val="22"/>
    </w:rPr>
  </w:style>
  <w:style w:type="paragraph" w:styleId="Heading6">
    <w:name w:val="heading 6"/>
    <w:basedOn w:val="1"/>
    <w:next w:val="1"/>
    <w:rsid w:val="00C35D84"/>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正文1"/>
    <w:rsid w:val="00C35D84"/>
  </w:style>
  <w:style w:type="paragraph" w:styleId="Title">
    <w:name w:val="Title"/>
    <w:basedOn w:val="1"/>
    <w:next w:val="1"/>
    <w:rsid w:val="00C35D84"/>
    <w:pPr>
      <w:keepNext/>
      <w:keepLines/>
      <w:spacing w:before="480" w:after="120"/>
    </w:pPr>
    <w:rPr>
      <w:b/>
      <w:sz w:val="72"/>
      <w:szCs w:val="72"/>
    </w:rPr>
  </w:style>
  <w:style w:type="paragraph" w:styleId="Subtitle">
    <w:name w:val="Subtitle"/>
    <w:basedOn w:val="1"/>
    <w:next w:val="1"/>
    <w:rsid w:val="00C35D84"/>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semiHidden/>
    <w:unhideWhenUsed/>
    <w:qFormat/>
    <w:rsid w:val="00C35D84"/>
    <w:rPr>
      <w:sz w:val="20"/>
      <w:szCs w:val="20"/>
    </w:rPr>
  </w:style>
  <w:style w:type="character" w:customStyle="1" w:styleId="CommentTextChar">
    <w:name w:val="Comment Text Char"/>
    <w:basedOn w:val="DefaultParagraphFont"/>
    <w:link w:val="CommentText"/>
    <w:semiHidden/>
    <w:rsid w:val="00C35D84"/>
    <w:rPr>
      <w:sz w:val="20"/>
      <w:szCs w:val="20"/>
    </w:rPr>
  </w:style>
  <w:style w:type="character" w:styleId="CommentReference">
    <w:name w:val="annotation reference"/>
    <w:basedOn w:val="DefaultParagraphFont"/>
    <w:semiHidden/>
    <w:unhideWhenUsed/>
    <w:rsid w:val="00C35D84"/>
    <w:rPr>
      <w:sz w:val="16"/>
      <w:szCs w:val="16"/>
    </w:rPr>
  </w:style>
  <w:style w:type="paragraph" w:styleId="BalloonText">
    <w:name w:val="Balloon Text"/>
    <w:basedOn w:val="Normal"/>
    <w:link w:val="BalloonTextChar"/>
    <w:uiPriority w:val="99"/>
    <w:semiHidden/>
    <w:unhideWhenUsed/>
    <w:rsid w:val="00564144"/>
    <w:rPr>
      <w:rFonts w:ascii="Tahoma" w:hAnsi="Tahoma" w:cs="Tahoma"/>
      <w:sz w:val="16"/>
      <w:szCs w:val="16"/>
    </w:rPr>
  </w:style>
  <w:style w:type="character" w:customStyle="1" w:styleId="BalloonTextChar">
    <w:name w:val="Balloon Text Char"/>
    <w:basedOn w:val="DefaultParagraphFont"/>
    <w:link w:val="BalloonText"/>
    <w:uiPriority w:val="99"/>
    <w:semiHidden/>
    <w:rsid w:val="00564144"/>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7C5683"/>
    <w:rPr>
      <w:b/>
      <w:bCs/>
    </w:rPr>
  </w:style>
  <w:style w:type="character" w:customStyle="1" w:styleId="CommentSubjectChar">
    <w:name w:val="Comment Subject Char"/>
    <w:basedOn w:val="CommentTextChar"/>
    <w:link w:val="CommentSubject"/>
    <w:uiPriority w:val="99"/>
    <w:semiHidden/>
    <w:rsid w:val="007C5683"/>
    <w:rPr>
      <w:b/>
      <w:bCs/>
      <w:sz w:val="20"/>
      <w:szCs w:val="20"/>
    </w:rPr>
  </w:style>
  <w:style w:type="paragraph" w:styleId="Header">
    <w:name w:val="header"/>
    <w:basedOn w:val="Normal"/>
    <w:link w:val="HeaderChar"/>
    <w:uiPriority w:val="99"/>
    <w:unhideWhenUsed/>
    <w:rsid w:val="00BB7EA0"/>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BB7EA0"/>
    <w:rPr>
      <w:sz w:val="18"/>
      <w:szCs w:val="18"/>
    </w:rPr>
  </w:style>
  <w:style w:type="paragraph" w:styleId="Footer">
    <w:name w:val="footer"/>
    <w:basedOn w:val="Normal"/>
    <w:link w:val="FooterChar"/>
    <w:uiPriority w:val="99"/>
    <w:unhideWhenUsed/>
    <w:rsid w:val="00BB7EA0"/>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BB7EA0"/>
    <w:rPr>
      <w:sz w:val="18"/>
      <w:szCs w:val="18"/>
    </w:rPr>
  </w:style>
  <w:style w:type="paragraph" w:styleId="Revision">
    <w:name w:val="Revision"/>
    <w:hidden/>
    <w:uiPriority w:val="99"/>
    <w:semiHidden/>
    <w:rsid w:val="00AB7523"/>
    <w:pPr>
      <w:widowControl/>
      <w:pBdr>
        <w:top w:val="none" w:sz="0" w:space="0" w:color="auto"/>
        <w:left w:val="none" w:sz="0" w:space="0" w:color="auto"/>
        <w:bottom w:val="none" w:sz="0" w:space="0" w:color="auto"/>
        <w:right w:val="none" w:sz="0" w:space="0" w:color="auto"/>
        <w:between w:val="none" w:sz="0" w:space="0" w:color="auto"/>
      </w:pBdr>
      <w:jc w:val="left"/>
    </w:pPr>
  </w:style>
  <w:style w:type="character" w:styleId="Hyperlink">
    <w:name w:val="Hyperlink"/>
    <w:basedOn w:val="DefaultParagraphFont"/>
    <w:uiPriority w:val="99"/>
    <w:unhideWhenUsed/>
    <w:rsid w:val="00405CC4"/>
    <w:rPr>
      <w:color w:val="0000FF" w:themeColor="hyperlink"/>
      <w:u w:val="single"/>
    </w:rPr>
  </w:style>
  <w:style w:type="table" w:styleId="TableGrid">
    <w:name w:val="Table Grid"/>
    <w:basedOn w:val="TableNormal"/>
    <w:uiPriority w:val="59"/>
    <w:rsid w:val="00BA6B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50274">
      <w:bodyDiv w:val="1"/>
      <w:marLeft w:val="0"/>
      <w:marRight w:val="0"/>
      <w:marTop w:val="0"/>
      <w:marBottom w:val="0"/>
      <w:divBdr>
        <w:top w:val="none" w:sz="0" w:space="0" w:color="auto"/>
        <w:left w:val="none" w:sz="0" w:space="0" w:color="auto"/>
        <w:bottom w:val="none" w:sz="0" w:space="0" w:color="auto"/>
        <w:right w:val="none" w:sz="0" w:space="0" w:color="auto"/>
      </w:divBdr>
    </w:div>
    <w:div w:id="71514847">
      <w:bodyDiv w:val="1"/>
      <w:marLeft w:val="0"/>
      <w:marRight w:val="0"/>
      <w:marTop w:val="0"/>
      <w:marBottom w:val="0"/>
      <w:divBdr>
        <w:top w:val="none" w:sz="0" w:space="0" w:color="auto"/>
        <w:left w:val="none" w:sz="0" w:space="0" w:color="auto"/>
        <w:bottom w:val="none" w:sz="0" w:space="0" w:color="auto"/>
        <w:right w:val="none" w:sz="0" w:space="0" w:color="auto"/>
      </w:divBdr>
    </w:div>
    <w:div w:id="107089844">
      <w:bodyDiv w:val="1"/>
      <w:marLeft w:val="0"/>
      <w:marRight w:val="0"/>
      <w:marTop w:val="0"/>
      <w:marBottom w:val="0"/>
      <w:divBdr>
        <w:top w:val="none" w:sz="0" w:space="0" w:color="auto"/>
        <w:left w:val="none" w:sz="0" w:space="0" w:color="auto"/>
        <w:bottom w:val="none" w:sz="0" w:space="0" w:color="auto"/>
        <w:right w:val="none" w:sz="0" w:space="0" w:color="auto"/>
      </w:divBdr>
    </w:div>
    <w:div w:id="109013298">
      <w:bodyDiv w:val="1"/>
      <w:marLeft w:val="0"/>
      <w:marRight w:val="0"/>
      <w:marTop w:val="0"/>
      <w:marBottom w:val="0"/>
      <w:divBdr>
        <w:top w:val="none" w:sz="0" w:space="0" w:color="auto"/>
        <w:left w:val="none" w:sz="0" w:space="0" w:color="auto"/>
        <w:bottom w:val="none" w:sz="0" w:space="0" w:color="auto"/>
        <w:right w:val="none" w:sz="0" w:space="0" w:color="auto"/>
      </w:divBdr>
    </w:div>
    <w:div w:id="115879771">
      <w:bodyDiv w:val="1"/>
      <w:marLeft w:val="0"/>
      <w:marRight w:val="0"/>
      <w:marTop w:val="0"/>
      <w:marBottom w:val="0"/>
      <w:divBdr>
        <w:top w:val="none" w:sz="0" w:space="0" w:color="auto"/>
        <w:left w:val="none" w:sz="0" w:space="0" w:color="auto"/>
        <w:bottom w:val="none" w:sz="0" w:space="0" w:color="auto"/>
        <w:right w:val="none" w:sz="0" w:space="0" w:color="auto"/>
      </w:divBdr>
    </w:div>
    <w:div w:id="179859220">
      <w:bodyDiv w:val="1"/>
      <w:marLeft w:val="0"/>
      <w:marRight w:val="0"/>
      <w:marTop w:val="0"/>
      <w:marBottom w:val="0"/>
      <w:divBdr>
        <w:top w:val="none" w:sz="0" w:space="0" w:color="auto"/>
        <w:left w:val="none" w:sz="0" w:space="0" w:color="auto"/>
        <w:bottom w:val="none" w:sz="0" w:space="0" w:color="auto"/>
        <w:right w:val="none" w:sz="0" w:space="0" w:color="auto"/>
      </w:divBdr>
    </w:div>
    <w:div w:id="229775636">
      <w:bodyDiv w:val="1"/>
      <w:marLeft w:val="0"/>
      <w:marRight w:val="0"/>
      <w:marTop w:val="0"/>
      <w:marBottom w:val="0"/>
      <w:divBdr>
        <w:top w:val="none" w:sz="0" w:space="0" w:color="auto"/>
        <w:left w:val="none" w:sz="0" w:space="0" w:color="auto"/>
        <w:bottom w:val="none" w:sz="0" w:space="0" w:color="auto"/>
        <w:right w:val="none" w:sz="0" w:space="0" w:color="auto"/>
      </w:divBdr>
    </w:div>
    <w:div w:id="242419696">
      <w:bodyDiv w:val="1"/>
      <w:marLeft w:val="0"/>
      <w:marRight w:val="0"/>
      <w:marTop w:val="0"/>
      <w:marBottom w:val="0"/>
      <w:divBdr>
        <w:top w:val="none" w:sz="0" w:space="0" w:color="auto"/>
        <w:left w:val="none" w:sz="0" w:space="0" w:color="auto"/>
        <w:bottom w:val="none" w:sz="0" w:space="0" w:color="auto"/>
        <w:right w:val="none" w:sz="0" w:space="0" w:color="auto"/>
      </w:divBdr>
    </w:div>
    <w:div w:id="244650492">
      <w:bodyDiv w:val="1"/>
      <w:marLeft w:val="0"/>
      <w:marRight w:val="0"/>
      <w:marTop w:val="0"/>
      <w:marBottom w:val="0"/>
      <w:divBdr>
        <w:top w:val="none" w:sz="0" w:space="0" w:color="auto"/>
        <w:left w:val="none" w:sz="0" w:space="0" w:color="auto"/>
        <w:bottom w:val="none" w:sz="0" w:space="0" w:color="auto"/>
        <w:right w:val="none" w:sz="0" w:space="0" w:color="auto"/>
      </w:divBdr>
    </w:div>
    <w:div w:id="267584046">
      <w:bodyDiv w:val="1"/>
      <w:marLeft w:val="0"/>
      <w:marRight w:val="0"/>
      <w:marTop w:val="0"/>
      <w:marBottom w:val="0"/>
      <w:divBdr>
        <w:top w:val="none" w:sz="0" w:space="0" w:color="auto"/>
        <w:left w:val="none" w:sz="0" w:space="0" w:color="auto"/>
        <w:bottom w:val="none" w:sz="0" w:space="0" w:color="auto"/>
        <w:right w:val="none" w:sz="0" w:space="0" w:color="auto"/>
      </w:divBdr>
    </w:div>
    <w:div w:id="313031173">
      <w:bodyDiv w:val="1"/>
      <w:marLeft w:val="0"/>
      <w:marRight w:val="0"/>
      <w:marTop w:val="0"/>
      <w:marBottom w:val="0"/>
      <w:divBdr>
        <w:top w:val="none" w:sz="0" w:space="0" w:color="auto"/>
        <w:left w:val="none" w:sz="0" w:space="0" w:color="auto"/>
        <w:bottom w:val="none" w:sz="0" w:space="0" w:color="auto"/>
        <w:right w:val="none" w:sz="0" w:space="0" w:color="auto"/>
      </w:divBdr>
    </w:div>
    <w:div w:id="314266590">
      <w:bodyDiv w:val="1"/>
      <w:marLeft w:val="0"/>
      <w:marRight w:val="0"/>
      <w:marTop w:val="0"/>
      <w:marBottom w:val="0"/>
      <w:divBdr>
        <w:top w:val="none" w:sz="0" w:space="0" w:color="auto"/>
        <w:left w:val="none" w:sz="0" w:space="0" w:color="auto"/>
        <w:bottom w:val="none" w:sz="0" w:space="0" w:color="auto"/>
        <w:right w:val="none" w:sz="0" w:space="0" w:color="auto"/>
      </w:divBdr>
    </w:div>
    <w:div w:id="357047932">
      <w:bodyDiv w:val="1"/>
      <w:marLeft w:val="0"/>
      <w:marRight w:val="0"/>
      <w:marTop w:val="0"/>
      <w:marBottom w:val="0"/>
      <w:divBdr>
        <w:top w:val="none" w:sz="0" w:space="0" w:color="auto"/>
        <w:left w:val="none" w:sz="0" w:space="0" w:color="auto"/>
        <w:bottom w:val="none" w:sz="0" w:space="0" w:color="auto"/>
        <w:right w:val="none" w:sz="0" w:space="0" w:color="auto"/>
      </w:divBdr>
    </w:div>
    <w:div w:id="436632794">
      <w:bodyDiv w:val="1"/>
      <w:marLeft w:val="0"/>
      <w:marRight w:val="0"/>
      <w:marTop w:val="0"/>
      <w:marBottom w:val="0"/>
      <w:divBdr>
        <w:top w:val="none" w:sz="0" w:space="0" w:color="auto"/>
        <w:left w:val="none" w:sz="0" w:space="0" w:color="auto"/>
        <w:bottom w:val="none" w:sz="0" w:space="0" w:color="auto"/>
        <w:right w:val="none" w:sz="0" w:space="0" w:color="auto"/>
      </w:divBdr>
    </w:div>
    <w:div w:id="446775005">
      <w:bodyDiv w:val="1"/>
      <w:marLeft w:val="0"/>
      <w:marRight w:val="0"/>
      <w:marTop w:val="0"/>
      <w:marBottom w:val="0"/>
      <w:divBdr>
        <w:top w:val="none" w:sz="0" w:space="0" w:color="auto"/>
        <w:left w:val="none" w:sz="0" w:space="0" w:color="auto"/>
        <w:bottom w:val="none" w:sz="0" w:space="0" w:color="auto"/>
        <w:right w:val="none" w:sz="0" w:space="0" w:color="auto"/>
      </w:divBdr>
    </w:div>
    <w:div w:id="461117886">
      <w:bodyDiv w:val="1"/>
      <w:marLeft w:val="0"/>
      <w:marRight w:val="0"/>
      <w:marTop w:val="0"/>
      <w:marBottom w:val="0"/>
      <w:divBdr>
        <w:top w:val="none" w:sz="0" w:space="0" w:color="auto"/>
        <w:left w:val="none" w:sz="0" w:space="0" w:color="auto"/>
        <w:bottom w:val="none" w:sz="0" w:space="0" w:color="auto"/>
        <w:right w:val="none" w:sz="0" w:space="0" w:color="auto"/>
      </w:divBdr>
    </w:div>
    <w:div w:id="554706213">
      <w:bodyDiv w:val="1"/>
      <w:marLeft w:val="0"/>
      <w:marRight w:val="0"/>
      <w:marTop w:val="0"/>
      <w:marBottom w:val="0"/>
      <w:divBdr>
        <w:top w:val="none" w:sz="0" w:space="0" w:color="auto"/>
        <w:left w:val="none" w:sz="0" w:space="0" w:color="auto"/>
        <w:bottom w:val="none" w:sz="0" w:space="0" w:color="auto"/>
        <w:right w:val="none" w:sz="0" w:space="0" w:color="auto"/>
      </w:divBdr>
    </w:div>
    <w:div w:id="571700023">
      <w:bodyDiv w:val="1"/>
      <w:marLeft w:val="0"/>
      <w:marRight w:val="0"/>
      <w:marTop w:val="0"/>
      <w:marBottom w:val="0"/>
      <w:divBdr>
        <w:top w:val="none" w:sz="0" w:space="0" w:color="auto"/>
        <w:left w:val="none" w:sz="0" w:space="0" w:color="auto"/>
        <w:bottom w:val="none" w:sz="0" w:space="0" w:color="auto"/>
        <w:right w:val="none" w:sz="0" w:space="0" w:color="auto"/>
      </w:divBdr>
    </w:div>
    <w:div w:id="585773787">
      <w:bodyDiv w:val="1"/>
      <w:marLeft w:val="0"/>
      <w:marRight w:val="0"/>
      <w:marTop w:val="0"/>
      <w:marBottom w:val="0"/>
      <w:divBdr>
        <w:top w:val="none" w:sz="0" w:space="0" w:color="auto"/>
        <w:left w:val="none" w:sz="0" w:space="0" w:color="auto"/>
        <w:bottom w:val="none" w:sz="0" w:space="0" w:color="auto"/>
        <w:right w:val="none" w:sz="0" w:space="0" w:color="auto"/>
      </w:divBdr>
    </w:div>
    <w:div w:id="643317674">
      <w:bodyDiv w:val="1"/>
      <w:marLeft w:val="0"/>
      <w:marRight w:val="0"/>
      <w:marTop w:val="0"/>
      <w:marBottom w:val="0"/>
      <w:divBdr>
        <w:top w:val="none" w:sz="0" w:space="0" w:color="auto"/>
        <w:left w:val="none" w:sz="0" w:space="0" w:color="auto"/>
        <w:bottom w:val="none" w:sz="0" w:space="0" w:color="auto"/>
        <w:right w:val="none" w:sz="0" w:space="0" w:color="auto"/>
      </w:divBdr>
    </w:div>
    <w:div w:id="681326144">
      <w:bodyDiv w:val="1"/>
      <w:marLeft w:val="0"/>
      <w:marRight w:val="0"/>
      <w:marTop w:val="0"/>
      <w:marBottom w:val="0"/>
      <w:divBdr>
        <w:top w:val="none" w:sz="0" w:space="0" w:color="auto"/>
        <w:left w:val="none" w:sz="0" w:space="0" w:color="auto"/>
        <w:bottom w:val="none" w:sz="0" w:space="0" w:color="auto"/>
        <w:right w:val="none" w:sz="0" w:space="0" w:color="auto"/>
      </w:divBdr>
    </w:div>
    <w:div w:id="689382008">
      <w:bodyDiv w:val="1"/>
      <w:marLeft w:val="0"/>
      <w:marRight w:val="0"/>
      <w:marTop w:val="0"/>
      <w:marBottom w:val="0"/>
      <w:divBdr>
        <w:top w:val="none" w:sz="0" w:space="0" w:color="auto"/>
        <w:left w:val="none" w:sz="0" w:space="0" w:color="auto"/>
        <w:bottom w:val="none" w:sz="0" w:space="0" w:color="auto"/>
        <w:right w:val="none" w:sz="0" w:space="0" w:color="auto"/>
      </w:divBdr>
    </w:div>
    <w:div w:id="705447071">
      <w:bodyDiv w:val="1"/>
      <w:marLeft w:val="0"/>
      <w:marRight w:val="0"/>
      <w:marTop w:val="0"/>
      <w:marBottom w:val="0"/>
      <w:divBdr>
        <w:top w:val="none" w:sz="0" w:space="0" w:color="auto"/>
        <w:left w:val="none" w:sz="0" w:space="0" w:color="auto"/>
        <w:bottom w:val="none" w:sz="0" w:space="0" w:color="auto"/>
        <w:right w:val="none" w:sz="0" w:space="0" w:color="auto"/>
      </w:divBdr>
    </w:div>
    <w:div w:id="749617379">
      <w:bodyDiv w:val="1"/>
      <w:marLeft w:val="0"/>
      <w:marRight w:val="0"/>
      <w:marTop w:val="0"/>
      <w:marBottom w:val="0"/>
      <w:divBdr>
        <w:top w:val="none" w:sz="0" w:space="0" w:color="auto"/>
        <w:left w:val="none" w:sz="0" w:space="0" w:color="auto"/>
        <w:bottom w:val="none" w:sz="0" w:space="0" w:color="auto"/>
        <w:right w:val="none" w:sz="0" w:space="0" w:color="auto"/>
      </w:divBdr>
    </w:div>
    <w:div w:id="762143708">
      <w:bodyDiv w:val="1"/>
      <w:marLeft w:val="0"/>
      <w:marRight w:val="0"/>
      <w:marTop w:val="0"/>
      <w:marBottom w:val="0"/>
      <w:divBdr>
        <w:top w:val="none" w:sz="0" w:space="0" w:color="auto"/>
        <w:left w:val="none" w:sz="0" w:space="0" w:color="auto"/>
        <w:bottom w:val="none" w:sz="0" w:space="0" w:color="auto"/>
        <w:right w:val="none" w:sz="0" w:space="0" w:color="auto"/>
      </w:divBdr>
    </w:div>
    <w:div w:id="794103820">
      <w:bodyDiv w:val="1"/>
      <w:marLeft w:val="0"/>
      <w:marRight w:val="0"/>
      <w:marTop w:val="0"/>
      <w:marBottom w:val="0"/>
      <w:divBdr>
        <w:top w:val="none" w:sz="0" w:space="0" w:color="auto"/>
        <w:left w:val="none" w:sz="0" w:space="0" w:color="auto"/>
        <w:bottom w:val="none" w:sz="0" w:space="0" w:color="auto"/>
        <w:right w:val="none" w:sz="0" w:space="0" w:color="auto"/>
      </w:divBdr>
    </w:div>
    <w:div w:id="803348571">
      <w:bodyDiv w:val="1"/>
      <w:marLeft w:val="0"/>
      <w:marRight w:val="0"/>
      <w:marTop w:val="0"/>
      <w:marBottom w:val="0"/>
      <w:divBdr>
        <w:top w:val="none" w:sz="0" w:space="0" w:color="auto"/>
        <w:left w:val="none" w:sz="0" w:space="0" w:color="auto"/>
        <w:bottom w:val="none" w:sz="0" w:space="0" w:color="auto"/>
        <w:right w:val="none" w:sz="0" w:space="0" w:color="auto"/>
      </w:divBdr>
    </w:div>
    <w:div w:id="828718743">
      <w:bodyDiv w:val="1"/>
      <w:marLeft w:val="0"/>
      <w:marRight w:val="0"/>
      <w:marTop w:val="0"/>
      <w:marBottom w:val="0"/>
      <w:divBdr>
        <w:top w:val="none" w:sz="0" w:space="0" w:color="auto"/>
        <w:left w:val="none" w:sz="0" w:space="0" w:color="auto"/>
        <w:bottom w:val="none" w:sz="0" w:space="0" w:color="auto"/>
        <w:right w:val="none" w:sz="0" w:space="0" w:color="auto"/>
      </w:divBdr>
    </w:div>
    <w:div w:id="832794709">
      <w:bodyDiv w:val="1"/>
      <w:marLeft w:val="0"/>
      <w:marRight w:val="0"/>
      <w:marTop w:val="0"/>
      <w:marBottom w:val="0"/>
      <w:divBdr>
        <w:top w:val="none" w:sz="0" w:space="0" w:color="auto"/>
        <w:left w:val="none" w:sz="0" w:space="0" w:color="auto"/>
        <w:bottom w:val="none" w:sz="0" w:space="0" w:color="auto"/>
        <w:right w:val="none" w:sz="0" w:space="0" w:color="auto"/>
      </w:divBdr>
    </w:div>
    <w:div w:id="866793337">
      <w:bodyDiv w:val="1"/>
      <w:marLeft w:val="0"/>
      <w:marRight w:val="0"/>
      <w:marTop w:val="0"/>
      <w:marBottom w:val="0"/>
      <w:divBdr>
        <w:top w:val="none" w:sz="0" w:space="0" w:color="auto"/>
        <w:left w:val="none" w:sz="0" w:space="0" w:color="auto"/>
        <w:bottom w:val="none" w:sz="0" w:space="0" w:color="auto"/>
        <w:right w:val="none" w:sz="0" w:space="0" w:color="auto"/>
      </w:divBdr>
    </w:div>
    <w:div w:id="954286599">
      <w:bodyDiv w:val="1"/>
      <w:marLeft w:val="0"/>
      <w:marRight w:val="0"/>
      <w:marTop w:val="0"/>
      <w:marBottom w:val="0"/>
      <w:divBdr>
        <w:top w:val="none" w:sz="0" w:space="0" w:color="auto"/>
        <w:left w:val="none" w:sz="0" w:space="0" w:color="auto"/>
        <w:bottom w:val="none" w:sz="0" w:space="0" w:color="auto"/>
        <w:right w:val="none" w:sz="0" w:space="0" w:color="auto"/>
      </w:divBdr>
    </w:div>
    <w:div w:id="969243521">
      <w:bodyDiv w:val="1"/>
      <w:marLeft w:val="0"/>
      <w:marRight w:val="0"/>
      <w:marTop w:val="0"/>
      <w:marBottom w:val="0"/>
      <w:divBdr>
        <w:top w:val="none" w:sz="0" w:space="0" w:color="auto"/>
        <w:left w:val="none" w:sz="0" w:space="0" w:color="auto"/>
        <w:bottom w:val="none" w:sz="0" w:space="0" w:color="auto"/>
        <w:right w:val="none" w:sz="0" w:space="0" w:color="auto"/>
      </w:divBdr>
    </w:div>
    <w:div w:id="970019423">
      <w:bodyDiv w:val="1"/>
      <w:marLeft w:val="0"/>
      <w:marRight w:val="0"/>
      <w:marTop w:val="0"/>
      <w:marBottom w:val="0"/>
      <w:divBdr>
        <w:top w:val="none" w:sz="0" w:space="0" w:color="auto"/>
        <w:left w:val="none" w:sz="0" w:space="0" w:color="auto"/>
        <w:bottom w:val="none" w:sz="0" w:space="0" w:color="auto"/>
        <w:right w:val="none" w:sz="0" w:space="0" w:color="auto"/>
      </w:divBdr>
    </w:div>
    <w:div w:id="1032806551">
      <w:bodyDiv w:val="1"/>
      <w:marLeft w:val="0"/>
      <w:marRight w:val="0"/>
      <w:marTop w:val="0"/>
      <w:marBottom w:val="0"/>
      <w:divBdr>
        <w:top w:val="none" w:sz="0" w:space="0" w:color="auto"/>
        <w:left w:val="none" w:sz="0" w:space="0" w:color="auto"/>
        <w:bottom w:val="none" w:sz="0" w:space="0" w:color="auto"/>
        <w:right w:val="none" w:sz="0" w:space="0" w:color="auto"/>
      </w:divBdr>
    </w:div>
    <w:div w:id="1078281731">
      <w:bodyDiv w:val="1"/>
      <w:marLeft w:val="0"/>
      <w:marRight w:val="0"/>
      <w:marTop w:val="0"/>
      <w:marBottom w:val="0"/>
      <w:divBdr>
        <w:top w:val="none" w:sz="0" w:space="0" w:color="auto"/>
        <w:left w:val="none" w:sz="0" w:space="0" w:color="auto"/>
        <w:bottom w:val="none" w:sz="0" w:space="0" w:color="auto"/>
        <w:right w:val="none" w:sz="0" w:space="0" w:color="auto"/>
      </w:divBdr>
    </w:div>
    <w:div w:id="1082528169">
      <w:bodyDiv w:val="1"/>
      <w:marLeft w:val="0"/>
      <w:marRight w:val="0"/>
      <w:marTop w:val="0"/>
      <w:marBottom w:val="0"/>
      <w:divBdr>
        <w:top w:val="none" w:sz="0" w:space="0" w:color="auto"/>
        <w:left w:val="none" w:sz="0" w:space="0" w:color="auto"/>
        <w:bottom w:val="none" w:sz="0" w:space="0" w:color="auto"/>
        <w:right w:val="none" w:sz="0" w:space="0" w:color="auto"/>
      </w:divBdr>
    </w:div>
    <w:div w:id="1186136318">
      <w:bodyDiv w:val="1"/>
      <w:marLeft w:val="0"/>
      <w:marRight w:val="0"/>
      <w:marTop w:val="0"/>
      <w:marBottom w:val="0"/>
      <w:divBdr>
        <w:top w:val="none" w:sz="0" w:space="0" w:color="auto"/>
        <w:left w:val="none" w:sz="0" w:space="0" w:color="auto"/>
        <w:bottom w:val="none" w:sz="0" w:space="0" w:color="auto"/>
        <w:right w:val="none" w:sz="0" w:space="0" w:color="auto"/>
      </w:divBdr>
    </w:div>
    <w:div w:id="1197038062">
      <w:bodyDiv w:val="1"/>
      <w:marLeft w:val="0"/>
      <w:marRight w:val="0"/>
      <w:marTop w:val="0"/>
      <w:marBottom w:val="0"/>
      <w:divBdr>
        <w:top w:val="none" w:sz="0" w:space="0" w:color="auto"/>
        <w:left w:val="none" w:sz="0" w:space="0" w:color="auto"/>
        <w:bottom w:val="none" w:sz="0" w:space="0" w:color="auto"/>
        <w:right w:val="none" w:sz="0" w:space="0" w:color="auto"/>
      </w:divBdr>
    </w:div>
    <w:div w:id="1215896159">
      <w:bodyDiv w:val="1"/>
      <w:marLeft w:val="0"/>
      <w:marRight w:val="0"/>
      <w:marTop w:val="0"/>
      <w:marBottom w:val="0"/>
      <w:divBdr>
        <w:top w:val="none" w:sz="0" w:space="0" w:color="auto"/>
        <w:left w:val="none" w:sz="0" w:space="0" w:color="auto"/>
        <w:bottom w:val="none" w:sz="0" w:space="0" w:color="auto"/>
        <w:right w:val="none" w:sz="0" w:space="0" w:color="auto"/>
      </w:divBdr>
    </w:div>
    <w:div w:id="1228568748">
      <w:bodyDiv w:val="1"/>
      <w:marLeft w:val="0"/>
      <w:marRight w:val="0"/>
      <w:marTop w:val="0"/>
      <w:marBottom w:val="0"/>
      <w:divBdr>
        <w:top w:val="none" w:sz="0" w:space="0" w:color="auto"/>
        <w:left w:val="none" w:sz="0" w:space="0" w:color="auto"/>
        <w:bottom w:val="none" w:sz="0" w:space="0" w:color="auto"/>
        <w:right w:val="none" w:sz="0" w:space="0" w:color="auto"/>
      </w:divBdr>
    </w:div>
    <w:div w:id="1266961415">
      <w:bodyDiv w:val="1"/>
      <w:marLeft w:val="0"/>
      <w:marRight w:val="0"/>
      <w:marTop w:val="0"/>
      <w:marBottom w:val="0"/>
      <w:divBdr>
        <w:top w:val="none" w:sz="0" w:space="0" w:color="auto"/>
        <w:left w:val="none" w:sz="0" w:space="0" w:color="auto"/>
        <w:bottom w:val="none" w:sz="0" w:space="0" w:color="auto"/>
        <w:right w:val="none" w:sz="0" w:space="0" w:color="auto"/>
      </w:divBdr>
    </w:div>
    <w:div w:id="1276402375">
      <w:bodyDiv w:val="1"/>
      <w:marLeft w:val="0"/>
      <w:marRight w:val="0"/>
      <w:marTop w:val="0"/>
      <w:marBottom w:val="0"/>
      <w:divBdr>
        <w:top w:val="none" w:sz="0" w:space="0" w:color="auto"/>
        <w:left w:val="none" w:sz="0" w:space="0" w:color="auto"/>
        <w:bottom w:val="none" w:sz="0" w:space="0" w:color="auto"/>
        <w:right w:val="none" w:sz="0" w:space="0" w:color="auto"/>
      </w:divBdr>
    </w:div>
    <w:div w:id="1322929662">
      <w:bodyDiv w:val="1"/>
      <w:marLeft w:val="0"/>
      <w:marRight w:val="0"/>
      <w:marTop w:val="0"/>
      <w:marBottom w:val="0"/>
      <w:divBdr>
        <w:top w:val="none" w:sz="0" w:space="0" w:color="auto"/>
        <w:left w:val="none" w:sz="0" w:space="0" w:color="auto"/>
        <w:bottom w:val="none" w:sz="0" w:space="0" w:color="auto"/>
        <w:right w:val="none" w:sz="0" w:space="0" w:color="auto"/>
      </w:divBdr>
    </w:div>
    <w:div w:id="1329015952">
      <w:bodyDiv w:val="1"/>
      <w:marLeft w:val="0"/>
      <w:marRight w:val="0"/>
      <w:marTop w:val="0"/>
      <w:marBottom w:val="0"/>
      <w:divBdr>
        <w:top w:val="none" w:sz="0" w:space="0" w:color="auto"/>
        <w:left w:val="none" w:sz="0" w:space="0" w:color="auto"/>
        <w:bottom w:val="none" w:sz="0" w:space="0" w:color="auto"/>
        <w:right w:val="none" w:sz="0" w:space="0" w:color="auto"/>
      </w:divBdr>
    </w:div>
    <w:div w:id="1336493016">
      <w:bodyDiv w:val="1"/>
      <w:marLeft w:val="0"/>
      <w:marRight w:val="0"/>
      <w:marTop w:val="0"/>
      <w:marBottom w:val="0"/>
      <w:divBdr>
        <w:top w:val="none" w:sz="0" w:space="0" w:color="auto"/>
        <w:left w:val="none" w:sz="0" w:space="0" w:color="auto"/>
        <w:bottom w:val="none" w:sz="0" w:space="0" w:color="auto"/>
        <w:right w:val="none" w:sz="0" w:space="0" w:color="auto"/>
      </w:divBdr>
    </w:div>
    <w:div w:id="1373458422">
      <w:bodyDiv w:val="1"/>
      <w:marLeft w:val="0"/>
      <w:marRight w:val="0"/>
      <w:marTop w:val="0"/>
      <w:marBottom w:val="0"/>
      <w:divBdr>
        <w:top w:val="none" w:sz="0" w:space="0" w:color="auto"/>
        <w:left w:val="none" w:sz="0" w:space="0" w:color="auto"/>
        <w:bottom w:val="none" w:sz="0" w:space="0" w:color="auto"/>
        <w:right w:val="none" w:sz="0" w:space="0" w:color="auto"/>
      </w:divBdr>
    </w:div>
    <w:div w:id="1393040576">
      <w:bodyDiv w:val="1"/>
      <w:marLeft w:val="0"/>
      <w:marRight w:val="0"/>
      <w:marTop w:val="0"/>
      <w:marBottom w:val="0"/>
      <w:divBdr>
        <w:top w:val="none" w:sz="0" w:space="0" w:color="auto"/>
        <w:left w:val="none" w:sz="0" w:space="0" w:color="auto"/>
        <w:bottom w:val="none" w:sz="0" w:space="0" w:color="auto"/>
        <w:right w:val="none" w:sz="0" w:space="0" w:color="auto"/>
      </w:divBdr>
    </w:div>
    <w:div w:id="1413508359">
      <w:bodyDiv w:val="1"/>
      <w:marLeft w:val="0"/>
      <w:marRight w:val="0"/>
      <w:marTop w:val="0"/>
      <w:marBottom w:val="0"/>
      <w:divBdr>
        <w:top w:val="none" w:sz="0" w:space="0" w:color="auto"/>
        <w:left w:val="none" w:sz="0" w:space="0" w:color="auto"/>
        <w:bottom w:val="none" w:sz="0" w:space="0" w:color="auto"/>
        <w:right w:val="none" w:sz="0" w:space="0" w:color="auto"/>
      </w:divBdr>
    </w:div>
    <w:div w:id="1434134430">
      <w:bodyDiv w:val="1"/>
      <w:marLeft w:val="0"/>
      <w:marRight w:val="0"/>
      <w:marTop w:val="0"/>
      <w:marBottom w:val="0"/>
      <w:divBdr>
        <w:top w:val="none" w:sz="0" w:space="0" w:color="auto"/>
        <w:left w:val="none" w:sz="0" w:space="0" w:color="auto"/>
        <w:bottom w:val="none" w:sz="0" w:space="0" w:color="auto"/>
        <w:right w:val="none" w:sz="0" w:space="0" w:color="auto"/>
      </w:divBdr>
    </w:div>
    <w:div w:id="1467161802">
      <w:bodyDiv w:val="1"/>
      <w:marLeft w:val="0"/>
      <w:marRight w:val="0"/>
      <w:marTop w:val="0"/>
      <w:marBottom w:val="0"/>
      <w:divBdr>
        <w:top w:val="none" w:sz="0" w:space="0" w:color="auto"/>
        <w:left w:val="none" w:sz="0" w:space="0" w:color="auto"/>
        <w:bottom w:val="none" w:sz="0" w:space="0" w:color="auto"/>
        <w:right w:val="none" w:sz="0" w:space="0" w:color="auto"/>
      </w:divBdr>
    </w:div>
    <w:div w:id="1509440445">
      <w:bodyDiv w:val="1"/>
      <w:marLeft w:val="0"/>
      <w:marRight w:val="0"/>
      <w:marTop w:val="0"/>
      <w:marBottom w:val="0"/>
      <w:divBdr>
        <w:top w:val="none" w:sz="0" w:space="0" w:color="auto"/>
        <w:left w:val="none" w:sz="0" w:space="0" w:color="auto"/>
        <w:bottom w:val="none" w:sz="0" w:space="0" w:color="auto"/>
        <w:right w:val="none" w:sz="0" w:space="0" w:color="auto"/>
      </w:divBdr>
    </w:div>
    <w:div w:id="1512722188">
      <w:bodyDiv w:val="1"/>
      <w:marLeft w:val="0"/>
      <w:marRight w:val="0"/>
      <w:marTop w:val="0"/>
      <w:marBottom w:val="0"/>
      <w:divBdr>
        <w:top w:val="none" w:sz="0" w:space="0" w:color="auto"/>
        <w:left w:val="none" w:sz="0" w:space="0" w:color="auto"/>
        <w:bottom w:val="none" w:sz="0" w:space="0" w:color="auto"/>
        <w:right w:val="none" w:sz="0" w:space="0" w:color="auto"/>
      </w:divBdr>
    </w:div>
    <w:div w:id="1517888974">
      <w:bodyDiv w:val="1"/>
      <w:marLeft w:val="0"/>
      <w:marRight w:val="0"/>
      <w:marTop w:val="0"/>
      <w:marBottom w:val="0"/>
      <w:divBdr>
        <w:top w:val="none" w:sz="0" w:space="0" w:color="auto"/>
        <w:left w:val="none" w:sz="0" w:space="0" w:color="auto"/>
        <w:bottom w:val="none" w:sz="0" w:space="0" w:color="auto"/>
        <w:right w:val="none" w:sz="0" w:space="0" w:color="auto"/>
      </w:divBdr>
    </w:div>
    <w:div w:id="1553537486">
      <w:bodyDiv w:val="1"/>
      <w:marLeft w:val="0"/>
      <w:marRight w:val="0"/>
      <w:marTop w:val="0"/>
      <w:marBottom w:val="0"/>
      <w:divBdr>
        <w:top w:val="none" w:sz="0" w:space="0" w:color="auto"/>
        <w:left w:val="none" w:sz="0" w:space="0" w:color="auto"/>
        <w:bottom w:val="none" w:sz="0" w:space="0" w:color="auto"/>
        <w:right w:val="none" w:sz="0" w:space="0" w:color="auto"/>
      </w:divBdr>
    </w:div>
    <w:div w:id="1556355846">
      <w:bodyDiv w:val="1"/>
      <w:marLeft w:val="0"/>
      <w:marRight w:val="0"/>
      <w:marTop w:val="0"/>
      <w:marBottom w:val="0"/>
      <w:divBdr>
        <w:top w:val="none" w:sz="0" w:space="0" w:color="auto"/>
        <w:left w:val="none" w:sz="0" w:space="0" w:color="auto"/>
        <w:bottom w:val="none" w:sz="0" w:space="0" w:color="auto"/>
        <w:right w:val="none" w:sz="0" w:space="0" w:color="auto"/>
      </w:divBdr>
    </w:div>
    <w:div w:id="1571844549">
      <w:bodyDiv w:val="1"/>
      <w:marLeft w:val="0"/>
      <w:marRight w:val="0"/>
      <w:marTop w:val="0"/>
      <w:marBottom w:val="0"/>
      <w:divBdr>
        <w:top w:val="none" w:sz="0" w:space="0" w:color="auto"/>
        <w:left w:val="none" w:sz="0" w:space="0" w:color="auto"/>
        <w:bottom w:val="none" w:sz="0" w:space="0" w:color="auto"/>
        <w:right w:val="none" w:sz="0" w:space="0" w:color="auto"/>
      </w:divBdr>
    </w:div>
    <w:div w:id="1587029345">
      <w:bodyDiv w:val="1"/>
      <w:marLeft w:val="0"/>
      <w:marRight w:val="0"/>
      <w:marTop w:val="0"/>
      <w:marBottom w:val="0"/>
      <w:divBdr>
        <w:top w:val="none" w:sz="0" w:space="0" w:color="auto"/>
        <w:left w:val="none" w:sz="0" w:space="0" w:color="auto"/>
        <w:bottom w:val="none" w:sz="0" w:space="0" w:color="auto"/>
        <w:right w:val="none" w:sz="0" w:space="0" w:color="auto"/>
      </w:divBdr>
    </w:div>
    <w:div w:id="1596088569">
      <w:bodyDiv w:val="1"/>
      <w:marLeft w:val="0"/>
      <w:marRight w:val="0"/>
      <w:marTop w:val="0"/>
      <w:marBottom w:val="0"/>
      <w:divBdr>
        <w:top w:val="none" w:sz="0" w:space="0" w:color="auto"/>
        <w:left w:val="none" w:sz="0" w:space="0" w:color="auto"/>
        <w:bottom w:val="none" w:sz="0" w:space="0" w:color="auto"/>
        <w:right w:val="none" w:sz="0" w:space="0" w:color="auto"/>
      </w:divBdr>
    </w:div>
    <w:div w:id="1598903749">
      <w:bodyDiv w:val="1"/>
      <w:marLeft w:val="0"/>
      <w:marRight w:val="0"/>
      <w:marTop w:val="0"/>
      <w:marBottom w:val="0"/>
      <w:divBdr>
        <w:top w:val="none" w:sz="0" w:space="0" w:color="auto"/>
        <w:left w:val="none" w:sz="0" w:space="0" w:color="auto"/>
        <w:bottom w:val="none" w:sz="0" w:space="0" w:color="auto"/>
        <w:right w:val="none" w:sz="0" w:space="0" w:color="auto"/>
      </w:divBdr>
    </w:div>
    <w:div w:id="1632980053">
      <w:bodyDiv w:val="1"/>
      <w:marLeft w:val="0"/>
      <w:marRight w:val="0"/>
      <w:marTop w:val="0"/>
      <w:marBottom w:val="0"/>
      <w:divBdr>
        <w:top w:val="none" w:sz="0" w:space="0" w:color="auto"/>
        <w:left w:val="none" w:sz="0" w:space="0" w:color="auto"/>
        <w:bottom w:val="none" w:sz="0" w:space="0" w:color="auto"/>
        <w:right w:val="none" w:sz="0" w:space="0" w:color="auto"/>
      </w:divBdr>
    </w:div>
    <w:div w:id="1658916225">
      <w:bodyDiv w:val="1"/>
      <w:marLeft w:val="0"/>
      <w:marRight w:val="0"/>
      <w:marTop w:val="0"/>
      <w:marBottom w:val="0"/>
      <w:divBdr>
        <w:top w:val="none" w:sz="0" w:space="0" w:color="auto"/>
        <w:left w:val="none" w:sz="0" w:space="0" w:color="auto"/>
        <w:bottom w:val="none" w:sz="0" w:space="0" w:color="auto"/>
        <w:right w:val="none" w:sz="0" w:space="0" w:color="auto"/>
      </w:divBdr>
    </w:div>
    <w:div w:id="1660579698">
      <w:bodyDiv w:val="1"/>
      <w:marLeft w:val="0"/>
      <w:marRight w:val="0"/>
      <w:marTop w:val="0"/>
      <w:marBottom w:val="0"/>
      <w:divBdr>
        <w:top w:val="none" w:sz="0" w:space="0" w:color="auto"/>
        <w:left w:val="none" w:sz="0" w:space="0" w:color="auto"/>
        <w:bottom w:val="none" w:sz="0" w:space="0" w:color="auto"/>
        <w:right w:val="none" w:sz="0" w:space="0" w:color="auto"/>
      </w:divBdr>
    </w:div>
    <w:div w:id="1673486702">
      <w:bodyDiv w:val="1"/>
      <w:marLeft w:val="0"/>
      <w:marRight w:val="0"/>
      <w:marTop w:val="0"/>
      <w:marBottom w:val="0"/>
      <w:divBdr>
        <w:top w:val="none" w:sz="0" w:space="0" w:color="auto"/>
        <w:left w:val="none" w:sz="0" w:space="0" w:color="auto"/>
        <w:bottom w:val="none" w:sz="0" w:space="0" w:color="auto"/>
        <w:right w:val="none" w:sz="0" w:space="0" w:color="auto"/>
      </w:divBdr>
    </w:div>
    <w:div w:id="1694723246">
      <w:bodyDiv w:val="1"/>
      <w:marLeft w:val="0"/>
      <w:marRight w:val="0"/>
      <w:marTop w:val="0"/>
      <w:marBottom w:val="0"/>
      <w:divBdr>
        <w:top w:val="none" w:sz="0" w:space="0" w:color="auto"/>
        <w:left w:val="none" w:sz="0" w:space="0" w:color="auto"/>
        <w:bottom w:val="none" w:sz="0" w:space="0" w:color="auto"/>
        <w:right w:val="none" w:sz="0" w:space="0" w:color="auto"/>
      </w:divBdr>
    </w:div>
    <w:div w:id="1701080882">
      <w:bodyDiv w:val="1"/>
      <w:marLeft w:val="0"/>
      <w:marRight w:val="0"/>
      <w:marTop w:val="0"/>
      <w:marBottom w:val="0"/>
      <w:divBdr>
        <w:top w:val="none" w:sz="0" w:space="0" w:color="auto"/>
        <w:left w:val="none" w:sz="0" w:space="0" w:color="auto"/>
        <w:bottom w:val="none" w:sz="0" w:space="0" w:color="auto"/>
        <w:right w:val="none" w:sz="0" w:space="0" w:color="auto"/>
      </w:divBdr>
    </w:div>
    <w:div w:id="1702316206">
      <w:bodyDiv w:val="1"/>
      <w:marLeft w:val="0"/>
      <w:marRight w:val="0"/>
      <w:marTop w:val="0"/>
      <w:marBottom w:val="0"/>
      <w:divBdr>
        <w:top w:val="none" w:sz="0" w:space="0" w:color="auto"/>
        <w:left w:val="none" w:sz="0" w:space="0" w:color="auto"/>
        <w:bottom w:val="none" w:sz="0" w:space="0" w:color="auto"/>
        <w:right w:val="none" w:sz="0" w:space="0" w:color="auto"/>
      </w:divBdr>
    </w:div>
    <w:div w:id="1748305026">
      <w:bodyDiv w:val="1"/>
      <w:marLeft w:val="0"/>
      <w:marRight w:val="0"/>
      <w:marTop w:val="0"/>
      <w:marBottom w:val="0"/>
      <w:divBdr>
        <w:top w:val="none" w:sz="0" w:space="0" w:color="auto"/>
        <w:left w:val="none" w:sz="0" w:space="0" w:color="auto"/>
        <w:bottom w:val="none" w:sz="0" w:space="0" w:color="auto"/>
        <w:right w:val="none" w:sz="0" w:space="0" w:color="auto"/>
      </w:divBdr>
    </w:div>
    <w:div w:id="1764574274">
      <w:bodyDiv w:val="1"/>
      <w:marLeft w:val="0"/>
      <w:marRight w:val="0"/>
      <w:marTop w:val="0"/>
      <w:marBottom w:val="0"/>
      <w:divBdr>
        <w:top w:val="none" w:sz="0" w:space="0" w:color="auto"/>
        <w:left w:val="none" w:sz="0" w:space="0" w:color="auto"/>
        <w:bottom w:val="none" w:sz="0" w:space="0" w:color="auto"/>
        <w:right w:val="none" w:sz="0" w:space="0" w:color="auto"/>
      </w:divBdr>
    </w:div>
    <w:div w:id="1774668842">
      <w:bodyDiv w:val="1"/>
      <w:marLeft w:val="0"/>
      <w:marRight w:val="0"/>
      <w:marTop w:val="0"/>
      <w:marBottom w:val="0"/>
      <w:divBdr>
        <w:top w:val="none" w:sz="0" w:space="0" w:color="auto"/>
        <w:left w:val="none" w:sz="0" w:space="0" w:color="auto"/>
        <w:bottom w:val="none" w:sz="0" w:space="0" w:color="auto"/>
        <w:right w:val="none" w:sz="0" w:space="0" w:color="auto"/>
      </w:divBdr>
    </w:div>
    <w:div w:id="1776167046">
      <w:bodyDiv w:val="1"/>
      <w:marLeft w:val="0"/>
      <w:marRight w:val="0"/>
      <w:marTop w:val="0"/>
      <w:marBottom w:val="0"/>
      <w:divBdr>
        <w:top w:val="none" w:sz="0" w:space="0" w:color="auto"/>
        <w:left w:val="none" w:sz="0" w:space="0" w:color="auto"/>
        <w:bottom w:val="none" w:sz="0" w:space="0" w:color="auto"/>
        <w:right w:val="none" w:sz="0" w:space="0" w:color="auto"/>
      </w:divBdr>
    </w:div>
    <w:div w:id="1778402355">
      <w:bodyDiv w:val="1"/>
      <w:marLeft w:val="0"/>
      <w:marRight w:val="0"/>
      <w:marTop w:val="0"/>
      <w:marBottom w:val="0"/>
      <w:divBdr>
        <w:top w:val="none" w:sz="0" w:space="0" w:color="auto"/>
        <w:left w:val="none" w:sz="0" w:space="0" w:color="auto"/>
        <w:bottom w:val="none" w:sz="0" w:space="0" w:color="auto"/>
        <w:right w:val="none" w:sz="0" w:space="0" w:color="auto"/>
      </w:divBdr>
    </w:div>
    <w:div w:id="1783960496">
      <w:bodyDiv w:val="1"/>
      <w:marLeft w:val="0"/>
      <w:marRight w:val="0"/>
      <w:marTop w:val="0"/>
      <w:marBottom w:val="0"/>
      <w:divBdr>
        <w:top w:val="none" w:sz="0" w:space="0" w:color="auto"/>
        <w:left w:val="none" w:sz="0" w:space="0" w:color="auto"/>
        <w:bottom w:val="none" w:sz="0" w:space="0" w:color="auto"/>
        <w:right w:val="none" w:sz="0" w:space="0" w:color="auto"/>
      </w:divBdr>
    </w:div>
    <w:div w:id="1822193364">
      <w:bodyDiv w:val="1"/>
      <w:marLeft w:val="0"/>
      <w:marRight w:val="0"/>
      <w:marTop w:val="0"/>
      <w:marBottom w:val="0"/>
      <w:divBdr>
        <w:top w:val="none" w:sz="0" w:space="0" w:color="auto"/>
        <w:left w:val="none" w:sz="0" w:space="0" w:color="auto"/>
        <w:bottom w:val="none" w:sz="0" w:space="0" w:color="auto"/>
        <w:right w:val="none" w:sz="0" w:space="0" w:color="auto"/>
      </w:divBdr>
    </w:div>
    <w:div w:id="1830439921">
      <w:bodyDiv w:val="1"/>
      <w:marLeft w:val="0"/>
      <w:marRight w:val="0"/>
      <w:marTop w:val="0"/>
      <w:marBottom w:val="0"/>
      <w:divBdr>
        <w:top w:val="none" w:sz="0" w:space="0" w:color="auto"/>
        <w:left w:val="none" w:sz="0" w:space="0" w:color="auto"/>
        <w:bottom w:val="none" w:sz="0" w:space="0" w:color="auto"/>
        <w:right w:val="none" w:sz="0" w:space="0" w:color="auto"/>
      </w:divBdr>
    </w:div>
    <w:div w:id="1849171597">
      <w:bodyDiv w:val="1"/>
      <w:marLeft w:val="0"/>
      <w:marRight w:val="0"/>
      <w:marTop w:val="0"/>
      <w:marBottom w:val="0"/>
      <w:divBdr>
        <w:top w:val="none" w:sz="0" w:space="0" w:color="auto"/>
        <w:left w:val="none" w:sz="0" w:space="0" w:color="auto"/>
        <w:bottom w:val="none" w:sz="0" w:space="0" w:color="auto"/>
        <w:right w:val="none" w:sz="0" w:space="0" w:color="auto"/>
      </w:divBdr>
    </w:div>
    <w:div w:id="1864243798">
      <w:bodyDiv w:val="1"/>
      <w:marLeft w:val="0"/>
      <w:marRight w:val="0"/>
      <w:marTop w:val="0"/>
      <w:marBottom w:val="0"/>
      <w:divBdr>
        <w:top w:val="none" w:sz="0" w:space="0" w:color="auto"/>
        <w:left w:val="none" w:sz="0" w:space="0" w:color="auto"/>
        <w:bottom w:val="none" w:sz="0" w:space="0" w:color="auto"/>
        <w:right w:val="none" w:sz="0" w:space="0" w:color="auto"/>
      </w:divBdr>
    </w:div>
    <w:div w:id="1893231158">
      <w:bodyDiv w:val="1"/>
      <w:marLeft w:val="0"/>
      <w:marRight w:val="0"/>
      <w:marTop w:val="0"/>
      <w:marBottom w:val="0"/>
      <w:divBdr>
        <w:top w:val="none" w:sz="0" w:space="0" w:color="auto"/>
        <w:left w:val="none" w:sz="0" w:space="0" w:color="auto"/>
        <w:bottom w:val="none" w:sz="0" w:space="0" w:color="auto"/>
        <w:right w:val="none" w:sz="0" w:space="0" w:color="auto"/>
      </w:divBdr>
    </w:div>
    <w:div w:id="1907451630">
      <w:bodyDiv w:val="1"/>
      <w:marLeft w:val="0"/>
      <w:marRight w:val="0"/>
      <w:marTop w:val="0"/>
      <w:marBottom w:val="0"/>
      <w:divBdr>
        <w:top w:val="none" w:sz="0" w:space="0" w:color="auto"/>
        <w:left w:val="none" w:sz="0" w:space="0" w:color="auto"/>
        <w:bottom w:val="none" w:sz="0" w:space="0" w:color="auto"/>
        <w:right w:val="none" w:sz="0" w:space="0" w:color="auto"/>
      </w:divBdr>
    </w:div>
    <w:div w:id="1936475685">
      <w:bodyDiv w:val="1"/>
      <w:marLeft w:val="0"/>
      <w:marRight w:val="0"/>
      <w:marTop w:val="0"/>
      <w:marBottom w:val="0"/>
      <w:divBdr>
        <w:top w:val="none" w:sz="0" w:space="0" w:color="auto"/>
        <w:left w:val="none" w:sz="0" w:space="0" w:color="auto"/>
        <w:bottom w:val="none" w:sz="0" w:space="0" w:color="auto"/>
        <w:right w:val="none" w:sz="0" w:space="0" w:color="auto"/>
      </w:divBdr>
    </w:div>
    <w:div w:id="1968465973">
      <w:bodyDiv w:val="1"/>
      <w:marLeft w:val="0"/>
      <w:marRight w:val="0"/>
      <w:marTop w:val="0"/>
      <w:marBottom w:val="0"/>
      <w:divBdr>
        <w:top w:val="none" w:sz="0" w:space="0" w:color="auto"/>
        <w:left w:val="none" w:sz="0" w:space="0" w:color="auto"/>
        <w:bottom w:val="none" w:sz="0" w:space="0" w:color="auto"/>
        <w:right w:val="none" w:sz="0" w:space="0" w:color="auto"/>
      </w:divBdr>
    </w:div>
    <w:div w:id="1989048388">
      <w:bodyDiv w:val="1"/>
      <w:marLeft w:val="0"/>
      <w:marRight w:val="0"/>
      <w:marTop w:val="0"/>
      <w:marBottom w:val="0"/>
      <w:divBdr>
        <w:top w:val="none" w:sz="0" w:space="0" w:color="auto"/>
        <w:left w:val="none" w:sz="0" w:space="0" w:color="auto"/>
        <w:bottom w:val="none" w:sz="0" w:space="0" w:color="auto"/>
        <w:right w:val="none" w:sz="0" w:space="0" w:color="auto"/>
      </w:divBdr>
    </w:div>
    <w:div w:id="1994751445">
      <w:bodyDiv w:val="1"/>
      <w:marLeft w:val="0"/>
      <w:marRight w:val="0"/>
      <w:marTop w:val="0"/>
      <w:marBottom w:val="0"/>
      <w:divBdr>
        <w:top w:val="none" w:sz="0" w:space="0" w:color="auto"/>
        <w:left w:val="none" w:sz="0" w:space="0" w:color="auto"/>
        <w:bottom w:val="none" w:sz="0" w:space="0" w:color="auto"/>
        <w:right w:val="none" w:sz="0" w:space="0" w:color="auto"/>
      </w:divBdr>
    </w:div>
    <w:div w:id="2013683201">
      <w:bodyDiv w:val="1"/>
      <w:marLeft w:val="0"/>
      <w:marRight w:val="0"/>
      <w:marTop w:val="0"/>
      <w:marBottom w:val="0"/>
      <w:divBdr>
        <w:top w:val="none" w:sz="0" w:space="0" w:color="auto"/>
        <w:left w:val="none" w:sz="0" w:space="0" w:color="auto"/>
        <w:bottom w:val="none" w:sz="0" w:space="0" w:color="auto"/>
        <w:right w:val="none" w:sz="0" w:space="0" w:color="auto"/>
      </w:divBdr>
    </w:div>
    <w:div w:id="2016224331">
      <w:bodyDiv w:val="1"/>
      <w:marLeft w:val="0"/>
      <w:marRight w:val="0"/>
      <w:marTop w:val="0"/>
      <w:marBottom w:val="0"/>
      <w:divBdr>
        <w:top w:val="none" w:sz="0" w:space="0" w:color="auto"/>
        <w:left w:val="none" w:sz="0" w:space="0" w:color="auto"/>
        <w:bottom w:val="none" w:sz="0" w:space="0" w:color="auto"/>
        <w:right w:val="none" w:sz="0" w:space="0" w:color="auto"/>
      </w:divBdr>
    </w:div>
    <w:div w:id="2042709501">
      <w:bodyDiv w:val="1"/>
      <w:marLeft w:val="0"/>
      <w:marRight w:val="0"/>
      <w:marTop w:val="0"/>
      <w:marBottom w:val="0"/>
      <w:divBdr>
        <w:top w:val="none" w:sz="0" w:space="0" w:color="auto"/>
        <w:left w:val="none" w:sz="0" w:space="0" w:color="auto"/>
        <w:bottom w:val="none" w:sz="0" w:space="0" w:color="auto"/>
        <w:right w:val="none" w:sz="0" w:space="0" w:color="auto"/>
      </w:divBdr>
    </w:div>
    <w:div w:id="2076316896">
      <w:bodyDiv w:val="1"/>
      <w:marLeft w:val="0"/>
      <w:marRight w:val="0"/>
      <w:marTop w:val="0"/>
      <w:marBottom w:val="0"/>
      <w:divBdr>
        <w:top w:val="none" w:sz="0" w:space="0" w:color="auto"/>
        <w:left w:val="none" w:sz="0" w:space="0" w:color="auto"/>
        <w:bottom w:val="none" w:sz="0" w:space="0" w:color="auto"/>
        <w:right w:val="none" w:sz="0" w:space="0" w:color="auto"/>
      </w:divBdr>
    </w:div>
    <w:div w:id="2093312257">
      <w:bodyDiv w:val="1"/>
      <w:marLeft w:val="0"/>
      <w:marRight w:val="0"/>
      <w:marTop w:val="0"/>
      <w:marBottom w:val="0"/>
      <w:divBdr>
        <w:top w:val="none" w:sz="0" w:space="0" w:color="auto"/>
        <w:left w:val="none" w:sz="0" w:space="0" w:color="auto"/>
        <w:bottom w:val="none" w:sz="0" w:space="0" w:color="auto"/>
        <w:right w:val="none" w:sz="0" w:space="0" w:color="auto"/>
      </w:divBdr>
    </w:div>
    <w:div w:id="2094550097">
      <w:bodyDiv w:val="1"/>
      <w:marLeft w:val="0"/>
      <w:marRight w:val="0"/>
      <w:marTop w:val="0"/>
      <w:marBottom w:val="0"/>
      <w:divBdr>
        <w:top w:val="none" w:sz="0" w:space="0" w:color="auto"/>
        <w:left w:val="none" w:sz="0" w:space="0" w:color="auto"/>
        <w:bottom w:val="none" w:sz="0" w:space="0" w:color="auto"/>
        <w:right w:val="none" w:sz="0" w:space="0" w:color="auto"/>
      </w:divBdr>
    </w:div>
    <w:div w:id="2104759562">
      <w:bodyDiv w:val="1"/>
      <w:marLeft w:val="0"/>
      <w:marRight w:val="0"/>
      <w:marTop w:val="0"/>
      <w:marBottom w:val="0"/>
      <w:divBdr>
        <w:top w:val="none" w:sz="0" w:space="0" w:color="auto"/>
        <w:left w:val="none" w:sz="0" w:space="0" w:color="auto"/>
        <w:bottom w:val="none" w:sz="0" w:space="0" w:color="auto"/>
        <w:right w:val="none" w:sz="0" w:space="0" w:color="auto"/>
      </w:divBdr>
    </w:div>
    <w:div w:id="2134249072">
      <w:bodyDiv w:val="1"/>
      <w:marLeft w:val="0"/>
      <w:marRight w:val="0"/>
      <w:marTop w:val="0"/>
      <w:marBottom w:val="0"/>
      <w:divBdr>
        <w:top w:val="none" w:sz="0" w:space="0" w:color="auto"/>
        <w:left w:val="none" w:sz="0" w:space="0" w:color="auto"/>
        <w:bottom w:val="none" w:sz="0" w:space="0" w:color="auto"/>
        <w:right w:val="none" w:sz="0" w:space="0" w:color="auto"/>
      </w:divBdr>
    </w:div>
    <w:div w:id="21347091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webSettings" Target="webSettings.xml"/><Relationship Id="rId7" Type="http://schemas.openxmlformats.org/officeDocument/2006/relationships/image" Target="media/image1.tif"/><Relationship Id="rId12" Type="http://schemas.openxmlformats.org/officeDocument/2006/relationships/image" Target="media/image6.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gaoyanjing@sdu.edu.cn" TargetMode="External"/><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6914</Words>
  <Characters>39410</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2018-01-23T22:33:00Z</dcterms:created>
  <dcterms:modified xsi:type="dcterms:W3CDTF">2018-01-23T22:33:00Z</dcterms:modified>
</cp:coreProperties>
</file>