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8EB" w:rsidRPr="00342B2F" w:rsidRDefault="001368EB" w:rsidP="002A49D5">
      <w:pPr>
        <w:pStyle w:val="p0"/>
        <w:adjustRightInd w:val="0"/>
        <w:snapToGrid w:val="0"/>
        <w:spacing w:line="360" w:lineRule="auto"/>
        <w:jc w:val="both"/>
        <w:rPr>
          <w:rFonts w:ascii="Book Antiqua" w:hAnsi="Book Antiqua"/>
          <w:color w:val="000000"/>
        </w:rPr>
      </w:pPr>
      <w:r w:rsidRPr="00342B2F">
        <w:rPr>
          <w:rFonts w:ascii="Book Antiqua" w:hAnsi="Book Antiqua"/>
          <w:b/>
          <w:color w:val="0033CC"/>
          <w:sz w:val="24"/>
        </w:rPr>
        <w:t>Name of journal:</w:t>
      </w:r>
      <w:r w:rsidRPr="00342B2F">
        <w:rPr>
          <w:rFonts w:ascii="Book Antiqua" w:hAnsi="Book Antiqua"/>
          <w:b/>
          <w:color w:val="000000"/>
          <w:sz w:val="24"/>
        </w:rPr>
        <w:t xml:space="preserve"> </w:t>
      </w:r>
      <w:bookmarkStart w:id="0" w:name="OLE_LINK718"/>
      <w:bookmarkStart w:id="1" w:name="OLE_LINK719"/>
      <w:r w:rsidRPr="00342B2F">
        <w:rPr>
          <w:rFonts w:ascii="Book Antiqua" w:hAnsi="Book Antiqua"/>
          <w:i/>
          <w:color w:val="000000"/>
          <w:sz w:val="24"/>
        </w:rPr>
        <w:t>World Journal of Gastroenterology</w:t>
      </w:r>
      <w:bookmarkEnd w:id="0"/>
      <w:bookmarkEnd w:id="1"/>
    </w:p>
    <w:p w:rsidR="001368EB" w:rsidRPr="00342B2F" w:rsidRDefault="001368EB" w:rsidP="002A49D5">
      <w:pPr>
        <w:adjustRightInd w:val="0"/>
        <w:snapToGrid w:val="0"/>
        <w:spacing w:line="360" w:lineRule="auto"/>
        <w:jc w:val="both"/>
        <w:rPr>
          <w:rFonts w:ascii="Book Antiqua" w:eastAsia="宋体" w:hAnsi="Book Antiqua" w:cs="宋体"/>
          <w:b/>
          <w:i/>
          <w:color w:val="000000"/>
        </w:rPr>
      </w:pPr>
      <w:r w:rsidRPr="00342B2F">
        <w:rPr>
          <w:rFonts w:ascii="Book Antiqua" w:hAnsi="Book Antiqua" w:cs="Arial"/>
          <w:b/>
          <w:color w:val="0033CC"/>
        </w:rPr>
        <w:t>ESPS Manuscript NO:</w:t>
      </w:r>
      <w:r w:rsidRPr="00342B2F">
        <w:rPr>
          <w:rFonts w:ascii="Book Antiqua" w:hAnsi="Book Antiqua" w:cs="Arial"/>
          <w:b/>
          <w:color w:val="222222"/>
        </w:rPr>
        <w:t xml:space="preserve"> </w:t>
      </w:r>
      <w:r>
        <w:rPr>
          <w:rFonts w:ascii="Book Antiqua" w:eastAsia="宋体" w:hAnsi="Book Antiqua" w:cs="Arial"/>
          <w:b/>
          <w:color w:val="222222"/>
        </w:rPr>
        <w:t>3748</w:t>
      </w:r>
    </w:p>
    <w:p w:rsidR="001368EB" w:rsidRPr="00342B2F" w:rsidRDefault="001368EB" w:rsidP="002A49D5">
      <w:pPr>
        <w:suppressAutoHyphens/>
        <w:autoSpaceDE w:val="0"/>
        <w:autoSpaceDN w:val="0"/>
        <w:adjustRightInd w:val="0"/>
        <w:snapToGrid w:val="0"/>
        <w:spacing w:line="360" w:lineRule="auto"/>
        <w:jc w:val="both"/>
        <w:rPr>
          <w:rFonts w:ascii="Book Antiqua" w:eastAsia="宋体" w:hAnsi="Book Antiqua"/>
          <w:b/>
          <w:color w:val="000000"/>
        </w:rPr>
      </w:pPr>
      <w:bookmarkStart w:id="2" w:name="OLE_LINK1617"/>
      <w:bookmarkStart w:id="3" w:name="OLE_LINK1618"/>
      <w:bookmarkStart w:id="4" w:name="OLE_LINK1966"/>
      <w:bookmarkStart w:id="5" w:name="OLE_LINK2328"/>
      <w:bookmarkStart w:id="6" w:name="OLE_LINK2329"/>
      <w:bookmarkStart w:id="7" w:name="OLE_LINK2330"/>
      <w:bookmarkStart w:id="8" w:name="OLE_LINK2335"/>
      <w:bookmarkStart w:id="9" w:name="OLE_LINK2357"/>
      <w:bookmarkStart w:id="10" w:name="OLE_LINK2358"/>
      <w:r w:rsidRPr="00342B2F">
        <w:rPr>
          <w:rFonts w:ascii="Book Antiqua" w:hAnsi="Book Antiqua"/>
          <w:b/>
          <w:color w:val="0033CC"/>
        </w:rPr>
        <w:t>Columns:</w:t>
      </w:r>
      <w:r w:rsidRPr="00342B2F">
        <w:rPr>
          <w:rFonts w:ascii="Book Antiqua" w:hAnsi="Book Antiqua"/>
          <w:b/>
          <w:color w:val="000000"/>
        </w:rPr>
        <w:t xml:space="preserve"> </w:t>
      </w:r>
      <w:r w:rsidRPr="00342B2F">
        <w:rPr>
          <w:rFonts w:ascii="Book Antiqua" w:eastAsia="宋体" w:hAnsi="Book Antiqua"/>
          <w:b/>
          <w:color w:val="000000"/>
        </w:rPr>
        <w:t>MINIREVIEW</w:t>
      </w:r>
    </w:p>
    <w:bookmarkEnd w:id="2"/>
    <w:bookmarkEnd w:id="3"/>
    <w:bookmarkEnd w:id="4"/>
    <w:bookmarkEnd w:id="5"/>
    <w:bookmarkEnd w:id="6"/>
    <w:bookmarkEnd w:id="7"/>
    <w:bookmarkEnd w:id="8"/>
    <w:bookmarkEnd w:id="9"/>
    <w:bookmarkEnd w:id="10"/>
    <w:p w:rsidR="001368EB" w:rsidRPr="00CA5FA7" w:rsidRDefault="001368EB" w:rsidP="002A49D5">
      <w:pPr>
        <w:widowControl w:val="0"/>
        <w:autoSpaceDE w:val="0"/>
        <w:autoSpaceDN w:val="0"/>
        <w:adjustRightInd w:val="0"/>
        <w:snapToGrid w:val="0"/>
        <w:spacing w:line="360" w:lineRule="auto"/>
        <w:jc w:val="both"/>
        <w:rPr>
          <w:rFonts w:ascii="Book Antiqua" w:eastAsia="宋体" w:hAnsi="Book Antiqua" w:cs="Book Antiqua"/>
          <w:b/>
        </w:rPr>
      </w:pP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b/>
        </w:rPr>
      </w:pPr>
      <w:r w:rsidRPr="00342B2F">
        <w:rPr>
          <w:rFonts w:ascii="Book Antiqua" w:hAnsi="Book Antiqua" w:cs="Book Antiqua"/>
          <w:b/>
        </w:rPr>
        <w:t>Endoscopic papillectomy: Indications, techniques, and results</w:t>
      </w: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b/>
        </w:rPr>
      </w:pPr>
      <w:bookmarkStart w:id="11" w:name="_GoBack"/>
      <w:bookmarkEnd w:id="11"/>
    </w:p>
    <w:p w:rsidR="001368EB" w:rsidRPr="008F6DD5" w:rsidRDefault="001368EB" w:rsidP="002A49D5">
      <w:pPr>
        <w:widowControl w:val="0"/>
        <w:autoSpaceDE w:val="0"/>
        <w:autoSpaceDN w:val="0"/>
        <w:adjustRightInd w:val="0"/>
        <w:snapToGrid w:val="0"/>
        <w:spacing w:line="360" w:lineRule="auto"/>
        <w:jc w:val="both"/>
        <w:rPr>
          <w:rFonts w:ascii="Book Antiqua" w:hAnsi="Book Antiqua" w:cs="Book Antiqua"/>
        </w:rPr>
      </w:pPr>
      <w:r w:rsidRPr="008F6DD5">
        <w:rPr>
          <w:rFonts w:ascii="Book Antiqua" w:hAnsi="Book Antiqua" w:cs="Book Antiqua"/>
        </w:rPr>
        <w:t>De Palma GD. Endoscopic papillectomy</w:t>
      </w: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rPr>
      </w:pPr>
    </w:p>
    <w:p w:rsidR="001368EB" w:rsidRPr="00342B2F" w:rsidRDefault="001368EB" w:rsidP="002A49D5">
      <w:pPr>
        <w:pBdr>
          <w:bottom w:val="single" w:sz="4" w:space="1" w:color="auto"/>
        </w:pBdr>
        <w:snapToGrid w:val="0"/>
        <w:spacing w:line="360" w:lineRule="auto"/>
        <w:jc w:val="both"/>
        <w:rPr>
          <w:rFonts w:ascii="Book Antiqua" w:hAnsi="Book Antiqua" w:cs="Book Antiqua"/>
        </w:rPr>
      </w:pPr>
      <w:r w:rsidRPr="00342B2F">
        <w:rPr>
          <w:rFonts w:ascii="Book Antiqua" w:hAnsi="Book Antiqua" w:cs="Book Antiqua"/>
        </w:rPr>
        <w:t xml:space="preserve">Giovanni D De Palma </w:t>
      </w:r>
    </w:p>
    <w:p w:rsidR="001368EB" w:rsidRPr="00342B2F" w:rsidRDefault="001368EB" w:rsidP="002A49D5">
      <w:pPr>
        <w:snapToGrid w:val="0"/>
        <w:spacing w:line="360" w:lineRule="auto"/>
        <w:jc w:val="both"/>
        <w:rPr>
          <w:rFonts w:ascii="Book Antiqua" w:hAnsi="Book Antiqua" w:cs="Book Antiqua"/>
          <w:b/>
        </w:rPr>
      </w:pPr>
    </w:p>
    <w:p w:rsidR="001368EB" w:rsidRPr="00342B2F" w:rsidRDefault="001368EB" w:rsidP="002A49D5">
      <w:pPr>
        <w:snapToGrid w:val="0"/>
        <w:spacing w:line="360" w:lineRule="auto"/>
        <w:jc w:val="both"/>
        <w:rPr>
          <w:rFonts w:ascii="Book Antiqua" w:hAnsi="Book Antiqua" w:cs="Book Antiqua"/>
        </w:rPr>
      </w:pPr>
      <w:r w:rsidRPr="00342B2F">
        <w:rPr>
          <w:rFonts w:ascii="Book Antiqua" w:hAnsi="Book Antiqua" w:cs="Book Antiqua"/>
          <w:b/>
        </w:rPr>
        <w:t xml:space="preserve">Giovanni D De Palma, </w:t>
      </w:r>
      <w:r w:rsidRPr="00342B2F">
        <w:rPr>
          <w:rFonts w:ascii="Book Antiqua" w:hAnsi="Book Antiqua" w:cs="Book Antiqua"/>
        </w:rPr>
        <w:t>Center of Excellence for Technical Innovation in Surgery,</w:t>
      </w:r>
      <w:r w:rsidRPr="00342B2F">
        <w:rPr>
          <w:rFonts w:ascii="Book Antiqua" w:eastAsia="宋体" w:hAnsi="Book Antiqua" w:cs="Book Antiqua"/>
        </w:rPr>
        <w:t xml:space="preserve"> </w:t>
      </w:r>
      <w:r w:rsidRPr="00342B2F">
        <w:rPr>
          <w:rFonts w:ascii="Book Antiqua" w:hAnsi="Book Antiqua" w:cs="Book Antiqua"/>
        </w:rPr>
        <w:t>Department of Clinical Medicine and Surgery,</w:t>
      </w:r>
      <w:r w:rsidRPr="00342B2F">
        <w:rPr>
          <w:rFonts w:ascii="Book Antiqua" w:hAnsi="Book Antiqua" w:cs="Book Antiqua"/>
          <w:b/>
        </w:rPr>
        <w:t xml:space="preserve"> </w:t>
      </w:r>
      <w:r w:rsidRPr="00342B2F">
        <w:rPr>
          <w:rFonts w:ascii="Book Antiqua" w:hAnsi="Book Antiqua" w:cs="Book Antiqua"/>
        </w:rPr>
        <w:t>University of Naples Federico II School of Medicine, 80131</w:t>
      </w:r>
      <w:r w:rsidRPr="00342B2F">
        <w:rPr>
          <w:rFonts w:ascii="Book Antiqua" w:eastAsia="宋体" w:hAnsi="Book Antiqua" w:cs="Book Antiqua"/>
        </w:rPr>
        <w:t xml:space="preserve"> </w:t>
      </w:r>
      <w:r w:rsidRPr="00342B2F">
        <w:rPr>
          <w:rFonts w:ascii="Book Antiqua" w:hAnsi="Book Antiqua" w:cs="Book Antiqua"/>
        </w:rPr>
        <w:t>Naples, Italy</w:t>
      </w:r>
    </w:p>
    <w:p w:rsidR="001368EB" w:rsidRPr="00342B2F" w:rsidRDefault="001368EB" w:rsidP="002A49D5">
      <w:pPr>
        <w:snapToGrid w:val="0"/>
        <w:spacing w:line="360" w:lineRule="auto"/>
        <w:jc w:val="both"/>
        <w:rPr>
          <w:rFonts w:ascii="Book Antiqua" w:hAnsi="Book Antiqua" w:cs="Book Antiqua"/>
          <w:b/>
        </w:rPr>
      </w:pPr>
    </w:p>
    <w:p w:rsidR="001368EB" w:rsidRPr="00342B2F" w:rsidRDefault="001368EB" w:rsidP="002A49D5">
      <w:pPr>
        <w:snapToGrid w:val="0"/>
        <w:spacing w:line="360" w:lineRule="auto"/>
        <w:jc w:val="both"/>
        <w:rPr>
          <w:rFonts w:ascii="Book Antiqua" w:hAnsi="Book Antiqua" w:cs="Book Antiqua"/>
          <w:b/>
        </w:rPr>
      </w:pPr>
      <w:r w:rsidRPr="00342B2F">
        <w:rPr>
          <w:rFonts w:ascii="Book Antiqua" w:hAnsi="Book Antiqua" w:cs="Book Antiqua"/>
          <w:b/>
        </w:rPr>
        <w:t xml:space="preserve">Author contributions: </w:t>
      </w:r>
      <w:r w:rsidRPr="00342B2F">
        <w:rPr>
          <w:rFonts w:ascii="Book Antiqua" w:hAnsi="Book Antiqua" w:cs="Book Antiqua"/>
        </w:rPr>
        <w:t>De Palma GD</w:t>
      </w:r>
      <w:r w:rsidRPr="00342B2F">
        <w:rPr>
          <w:rFonts w:ascii="Book Antiqua" w:hAnsi="Book Antiqua" w:cs="Book Antiqua"/>
          <w:spacing w:val="-5"/>
        </w:rPr>
        <w:t xml:space="preserve"> solely contributed to this paper.</w:t>
      </w: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rPr>
      </w:pPr>
    </w:p>
    <w:p w:rsidR="001368EB" w:rsidRPr="005B396E" w:rsidRDefault="001368EB" w:rsidP="002A49D5">
      <w:pPr>
        <w:snapToGrid w:val="0"/>
        <w:spacing w:line="360" w:lineRule="auto"/>
        <w:jc w:val="both"/>
        <w:rPr>
          <w:rFonts w:ascii="Book Antiqua" w:eastAsia="宋体" w:hAnsi="Book Antiqua" w:cs="Book Antiqua"/>
        </w:rPr>
      </w:pPr>
      <w:r w:rsidRPr="00342B2F">
        <w:rPr>
          <w:rFonts w:ascii="Book Antiqua" w:hAnsi="Book Antiqua" w:cs="Book Antiqua"/>
          <w:b/>
        </w:rPr>
        <w:t>Correspondence to:</w:t>
      </w:r>
      <w:r w:rsidRPr="00342B2F">
        <w:rPr>
          <w:rFonts w:ascii="Book Antiqua" w:hAnsi="Book Antiqua" w:cs="Book Antiqua"/>
        </w:rPr>
        <w:t xml:space="preserve"> </w:t>
      </w:r>
      <w:r w:rsidRPr="00342B2F">
        <w:rPr>
          <w:rFonts w:ascii="Book Antiqua" w:hAnsi="Book Antiqua" w:cs="Book Antiqua"/>
          <w:b/>
        </w:rPr>
        <w:t xml:space="preserve">Giovanni D De Palma, MD, Director </w:t>
      </w:r>
      <w:r w:rsidRPr="00342B2F">
        <w:rPr>
          <w:rFonts w:ascii="Book Antiqua" w:hAnsi="Book Antiqua" w:cs="Book Antiqua"/>
        </w:rPr>
        <w:t>of Center of Excellence for Technical Innovation in Surgery, Department of Clinical Medicine and Surgery,</w:t>
      </w:r>
      <w:r w:rsidRPr="00342B2F">
        <w:rPr>
          <w:rFonts w:ascii="Book Antiqua" w:hAnsi="Book Antiqua" w:cs="Book Antiqua"/>
          <w:b/>
        </w:rPr>
        <w:t xml:space="preserve"> </w:t>
      </w:r>
      <w:r w:rsidRPr="00342B2F">
        <w:rPr>
          <w:rFonts w:ascii="Book Antiqua" w:hAnsi="Book Antiqua" w:cs="Book Antiqua"/>
        </w:rPr>
        <w:t>University of Naples Federico II</w:t>
      </w:r>
      <w:r w:rsidRPr="00342B2F">
        <w:rPr>
          <w:rFonts w:ascii="Book Antiqua" w:eastAsia="宋体" w:hAnsi="Book Antiqua" w:cs="Book Antiqua"/>
        </w:rPr>
        <w:t xml:space="preserve"> </w:t>
      </w:r>
      <w:r w:rsidRPr="00342B2F">
        <w:rPr>
          <w:rFonts w:ascii="Book Antiqua" w:hAnsi="Book Antiqua" w:cs="Book Antiqua"/>
        </w:rPr>
        <w:t>School of Medicine, Via Pansini 5, 80131 Naples, Italy</w:t>
      </w:r>
      <w:r w:rsidRPr="00342B2F">
        <w:rPr>
          <w:rFonts w:ascii="Book Antiqua" w:eastAsia="宋体" w:hAnsi="Book Antiqua" w:cs="Book Antiqua"/>
        </w:rPr>
        <w:t>.</w:t>
      </w:r>
      <w:r>
        <w:rPr>
          <w:rFonts w:ascii="Book Antiqua" w:eastAsia="宋体" w:hAnsi="Book Antiqua" w:cs="Book Antiqua"/>
        </w:rPr>
        <w:t xml:space="preserve"> </w:t>
      </w:r>
      <w:r w:rsidRPr="00342B2F">
        <w:rPr>
          <w:rFonts w:ascii="Book Antiqua" w:hAnsi="Book Antiqua" w:cs="Book Antiqua"/>
        </w:rPr>
        <w:t>giovanni.depalma@unina.it</w:t>
      </w:r>
    </w:p>
    <w:p w:rsidR="001368EB" w:rsidRPr="00342B2F" w:rsidRDefault="001368EB" w:rsidP="002A49D5">
      <w:pPr>
        <w:snapToGrid w:val="0"/>
        <w:spacing w:line="360" w:lineRule="auto"/>
        <w:jc w:val="both"/>
        <w:rPr>
          <w:rFonts w:ascii="Book Antiqua" w:hAnsi="Book Antiqua" w:cs="Book Antiqua"/>
          <w:b/>
        </w:rPr>
      </w:pPr>
    </w:p>
    <w:p w:rsidR="001368EB" w:rsidRPr="00342B2F" w:rsidRDefault="001368EB" w:rsidP="002A49D5">
      <w:pPr>
        <w:snapToGrid w:val="0"/>
        <w:spacing w:line="360" w:lineRule="auto"/>
        <w:jc w:val="both"/>
        <w:rPr>
          <w:rFonts w:ascii="Book Antiqua" w:hAnsi="Book Antiqua" w:cs="Book Antiqua"/>
        </w:rPr>
      </w:pPr>
      <w:r w:rsidRPr="00342B2F">
        <w:rPr>
          <w:rFonts w:ascii="Book Antiqua" w:hAnsi="Book Antiqua" w:cs="Book Antiqua"/>
          <w:b/>
        </w:rPr>
        <w:t>Telephone:</w:t>
      </w:r>
      <w:r w:rsidRPr="00342B2F">
        <w:rPr>
          <w:rFonts w:ascii="Book Antiqua" w:hAnsi="Book Antiqua" w:cs="Book Antiqua"/>
        </w:rPr>
        <w:t xml:space="preserve"> +39-81-7462773</w:t>
      </w:r>
      <w:r w:rsidRPr="00342B2F">
        <w:rPr>
          <w:rFonts w:ascii="Book Antiqua" w:eastAsia="宋体" w:hAnsi="Book Antiqua" w:cs="Book Antiqua"/>
        </w:rPr>
        <w:t xml:space="preserve">       </w:t>
      </w:r>
      <w:r w:rsidRPr="00342B2F">
        <w:rPr>
          <w:rFonts w:ascii="Book Antiqua" w:hAnsi="Book Antiqua" w:cs="Book Antiqua"/>
        </w:rPr>
        <w:t xml:space="preserve">  </w:t>
      </w:r>
      <w:r w:rsidRPr="00342B2F">
        <w:rPr>
          <w:rFonts w:ascii="Book Antiqua" w:hAnsi="Book Antiqua" w:cs="Book Antiqua"/>
          <w:b/>
        </w:rPr>
        <w:t>Fax:</w:t>
      </w:r>
      <w:r w:rsidRPr="00342B2F">
        <w:rPr>
          <w:rFonts w:ascii="Book Antiqua" w:hAnsi="Book Antiqua" w:cs="Book Antiqua"/>
        </w:rPr>
        <w:t xml:space="preserve"> +39-81-7462752</w:t>
      </w:r>
    </w:p>
    <w:p w:rsidR="001368EB" w:rsidRPr="00342B2F" w:rsidRDefault="001368EB" w:rsidP="002A49D5">
      <w:pPr>
        <w:adjustRightInd w:val="0"/>
        <w:snapToGrid w:val="0"/>
        <w:spacing w:line="360" w:lineRule="auto"/>
        <w:jc w:val="both"/>
        <w:rPr>
          <w:rFonts w:ascii="Book Antiqua" w:eastAsia="宋体" w:hAnsi="Book Antiqua"/>
          <w:b/>
        </w:rPr>
      </w:pPr>
      <w:bookmarkStart w:id="12" w:name="OLE_LINK25"/>
      <w:bookmarkStart w:id="13" w:name="OLE_LINK26"/>
      <w:bookmarkStart w:id="14" w:name="OLE_LINK145"/>
      <w:bookmarkStart w:id="15" w:name="OLE_LINK215"/>
      <w:bookmarkStart w:id="16" w:name="OLE_LINK352"/>
      <w:bookmarkStart w:id="17" w:name="OLE_LINK364"/>
      <w:bookmarkStart w:id="18" w:name="OLE_LINK383"/>
      <w:bookmarkStart w:id="19" w:name="OLE_LINK361"/>
      <w:bookmarkStart w:id="20" w:name="OLE_LINK444"/>
      <w:bookmarkStart w:id="21" w:name="OLE_LINK501"/>
      <w:bookmarkStart w:id="22" w:name="OLE_LINK572"/>
      <w:bookmarkStart w:id="23" w:name="OLE_LINK573"/>
      <w:bookmarkStart w:id="24" w:name="OLE_LINK756"/>
      <w:bookmarkStart w:id="25" w:name="OLE_LINK757"/>
      <w:bookmarkStart w:id="26" w:name="OLE_LINK805"/>
      <w:bookmarkStart w:id="27" w:name="OLE_LINK806"/>
      <w:bookmarkStart w:id="28" w:name="OLE_LINK958"/>
      <w:bookmarkStart w:id="29" w:name="OLE_LINK1018"/>
      <w:bookmarkStart w:id="30" w:name="OLE_LINK1059"/>
      <w:bookmarkStart w:id="31" w:name="OLE_LINK1122"/>
      <w:bookmarkStart w:id="32" w:name="OLE_LINK1123"/>
      <w:bookmarkStart w:id="33" w:name="OLE_LINK1402"/>
      <w:bookmarkStart w:id="34" w:name="OLE_LINK1750"/>
      <w:bookmarkStart w:id="35" w:name="OLE_LINK1751"/>
      <w:bookmarkStart w:id="36" w:name="OLE_LINK1832"/>
      <w:bookmarkStart w:id="37" w:name="OLE_LINK1878"/>
      <w:bookmarkStart w:id="38" w:name="OLE_LINK1917"/>
      <w:bookmarkStart w:id="39" w:name="OLE_LINK1918"/>
      <w:bookmarkStart w:id="40" w:name="OLE_LINK1985"/>
      <w:bookmarkStart w:id="41" w:name="OLE_LINK1986"/>
      <w:bookmarkStart w:id="42" w:name="OLE_LINK1927"/>
      <w:bookmarkStart w:id="43" w:name="OLE_LINK1928"/>
      <w:bookmarkStart w:id="44" w:name="OLE_LINK2044"/>
      <w:bookmarkStart w:id="45" w:name="OLE_LINK2352"/>
      <w:bookmarkStart w:id="46" w:name="OLE_LINK2220"/>
      <w:bookmarkStart w:id="47" w:name="OLE_LINK2344"/>
      <w:bookmarkStart w:id="48" w:name="OLE_LINK2347"/>
      <w:bookmarkStart w:id="49" w:name="OLE_LINK2626"/>
      <w:bookmarkStart w:id="50" w:name="OLE_LINK2390"/>
      <w:bookmarkStart w:id="51" w:name="OLE_LINK2752"/>
      <w:bookmarkStart w:id="52" w:name="OLE_LINK2753"/>
      <w:bookmarkStart w:id="53" w:name="OLE_LINK2855"/>
      <w:bookmarkStart w:id="54" w:name="OLE_LINK2992"/>
      <w:bookmarkStart w:id="55" w:name="OLE_LINK3241"/>
      <w:bookmarkStart w:id="56" w:name="OLE_LINK2682"/>
      <w:r w:rsidRPr="00342B2F">
        <w:rPr>
          <w:rFonts w:ascii="Book Antiqua" w:hAnsi="Book Antiqua"/>
          <w:b/>
        </w:rPr>
        <w:t xml:space="preserve">Received: </w:t>
      </w:r>
      <w:r w:rsidRPr="00342B2F">
        <w:rPr>
          <w:rFonts w:ascii="Book Antiqua" w:eastAsia="宋体" w:hAnsi="Book Antiqua"/>
        </w:rPr>
        <w:t xml:space="preserve">May 25, 2013   </w:t>
      </w:r>
      <w:r w:rsidRPr="00342B2F">
        <w:rPr>
          <w:rFonts w:ascii="Book Antiqua" w:eastAsia="宋体" w:hAnsi="Book Antiqua"/>
          <w:b/>
        </w:rPr>
        <w:t xml:space="preserve">    </w:t>
      </w:r>
      <w:r w:rsidRPr="00342B2F">
        <w:rPr>
          <w:rFonts w:ascii="Book Antiqua" w:hAnsi="Book Antiqua"/>
          <w:b/>
        </w:rPr>
        <w:t xml:space="preserve"> Revised: </w:t>
      </w:r>
      <w:bookmarkStart w:id="57" w:name="OLE_LINK103"/>
      <w:bookmarkStart w:id="58" w:name="OLE_LINK104"/>
      <w:bookmarkStart w:id="59" w:name="OLE_LINK69"/>
      <w:bookmarkStart w:id="60" w:name="OLE_LINK70"/>
      <w:bookmarkEnd w:id="12"/>
      <w:bookmarkEnd w:id="13"/>
      <w:r w:rsidRPr="00342B2F">
        <w:rPr>
          <w:rFonts w:ascii="Book Antiqua" w:eastAsia="宋体" w:hAnsi="Book Antiqua"/>
        </w:rPr>
        <w:t>October 17, 2013</w:t>
      </w:r>
    </w:p>
    <w:p w:rsidR="00FE744E" w:rsidRPr="00221EAB" w:rsidRDefault="001368EB" w:rsidP="00FE744E">
      <w:pPr>
        <w:rPr>
          <w:rFonts w:ascii="Book Antiqua" w:hAnsi="Book Antiqua"/>
        </w:rPr>
      </w:pPr>
      <w:bookmarkStart w:id="61" w:name="OLE_LINK303"/>
      <w:bookmarkStart w:id="62" w:name="OLE_LINK304"/>
      <w:bookmarkStart w:id="63" w:name="OLE_LINK1382"/>
      <w:bookmarkStart w:id="64" w:name="OLE_LINK2188"/>
      <w:bookmarkStart w:id="65" w:name="OLE_LINK2189"/>
      <w:bookmarkStart w:id="66" w:name="OLE_LINK2615"/>
      <w:r w:rsidRPr="00342B2F">
        <w:rPr>
          <w:rFonts w:ascii="Book Antiqua" w:hAnsi="Book Antiqua"/>
          <w:b/>
        </w:rPr>
        <w:t xml:space="preserve">Accepted: </w:t>
      </w:r>
      <w:r w:rsidR="00FE744E" w:rsidRPr="00221EAB">
        <w:rPr>
          <w:rFonts w:ascii="Book Antiqua" w:hAnsi="Book Antiqua"/>
        </w:rPr>
        <w:t>December 12, 2013</w:t>
      </w:r>
    </w:p>
    <w:p w:rsidR="001368EB" w:rsidRDefault="001368EB" w:rsidP="002A49D5">
      <w:pPr>
        <w:adjustRightInd w:val="0"/>
        <w:snapToGrid w:val="0"/>
        <w:spacing w:line="360" w:lineRule="auto"/>
        <w:jc w:val="both"/>
        <w:rPr>
          <w:rFonts w:ascii="Book Antiqua" w:hAnsi="Book Antiqua"/>
          <w:b/>
        </w:rPr>
      </w:pPr>
    </w:p>
    <w:p w:rsidR="001368EB" w:rsidRPr="00342B2F" w:rsidRDefault="001368EB" w:rsidP="002A49D5">
      <w:pPr>
        <w:adjustRightInd w:val="0"/>
        <w:snapToGrid w:val="0"/>
        <w:spacing w:line="360" w:lineRule="auto"/>
        <w:jc w:val="both"/>
        <w:rPr>
          <w:rFonts w:ascii="Book Antiqua" w:hAnsi="Book Antiqua"/>
          <w:b/>
        </w:rPr>
      </w:pPr>
      <w:r w:rsidRPr="00342B2F">
        <w:rPr>
          <w:rFonts w:ascii="Book Antiqua" w:hAnsi="Book Antiqua"/>
          <w:b/>
        </w:rPr>
        <w:t xml:space="preserve">Published online: </w:t>
      </w:r>
      <w:bookmarkEnd w:id="57"/>
      <w:bookmarkEnd w:id="58"/>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9"/>
    <w:bookmarkEnd w:id="60"/>
    <w:bookmarkEnd w:id="61"/>
    <w:bookmarkEnd w:id="62"/>
    <w:bookmarkEnd w:id="63"/>
    <w:bookmarkEnd w:id="64"/>
    <w:bookmarkEnd w:id="65"/>
    <w:bookmarkEnd w:id="66"/>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rPr>
      </w:pP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rPr>
      </w:pP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rPr>
      </w:pP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rPr>
      </w:pP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rPr>
      </w:pP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rPr>
      </w:pP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rPr>
      </w:pP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rPr>
      </w:pPr>
    </w:p>
    <w:p w:rsidR="001368EB" w:rsidRPr="00342B2F" w:rsidRDefault="001368EB" w:rsidP="002A49D5">
      <w:pPr>
        <w:widowControl w:val="0"/>
        <w:autoSpaceDE w:val="0"/>
        <w:autoSpaceDN w:val="0"/>
        <w:adjustRightInd w:val="0"/>
        <w:snapToGrid w:val="0"/>
        <w:spacing w:line="360" w:lineRule="auto"/>
        <w:jc w:val="both"/>
        <w:rPr>
          <w:rFonts w:ascii="Book Antiqua" w:eastAsia="宋体" w:hAnsi="Book Antiqua" w:cs="Book Antiqua"/>
          <w:b/>
        </w:rPr>
      </w:pPr>
      <w:r w:rsidRPr="00342B2F">
        <w:rPr>
          <w:rFonts w:ascii="Book Antiqua" w:hAnsi="Book Antiqua" w:cs="Book Antiqua"/>
          <w:b/>
        </w:rPr>
        <w:t>Abstract</w:t>
      </w:r>
    </w:p>
    <w:p w:rsidR="001368EB" w:rsidRPr="00342B2F" w:rsidRDefault="001368EB" w:rsidP="002A49D5">
      <w:pPr>
        <w:widowControl w:val="0"/>
        <w:autoSpaceDE w:val="0"/>
        <w:autoSpaceDN w:val="0"/>
        <w:adjustRightInd w:val="0"/>
        <w:snapToGrid w:val="0"/>
        <w:spacing w:line="360" w:lineRule="auto"/>
        <w:jc w:val="both"/>
        <w:rPr>
          <w:rFonts w:ascii="Book Antiqua" w:eastAsia="宋体" w:hAnsi="Book Antiqua" w:cs="Book Antiqua"/>
          <w:color w:val="000000"/>
        </w:rPr>
      </w:pPr>
      <w:r w:rsidRPr="00342B2F">
        <w:rPr>
          <w:rFonts w:ascii="Book Antiqua" w:hAnsi="Book Antiqua" w:cs="Book Antiqua"/>
        </w:rPr>
        <w:t>Currently, endoscopic papillectomy (EP) has been accepted as a viable alternative therapy to surgery in sporadic ampullary adenoma and has been reported with high success and low recurrence rates. At present, indications for EP are not yet fully established. The accepted criteria</w:t>
      </w:r>
      <w:r w:rsidRPr="00342B2F">
        <w:rPr>
          <w:rFonts w:ascii="Book Antiqua" w:hAnsi="Book Antiqua" w:cs="Book Antiqua"/>
          <w:color w:val="000000"/>
        </w:rPr>
        <w:t xml:space="preserve"> of EP included size (up to 5 cm), no evidence of intraductal growth, and no evidence of malignancy by endoscopic findings (ulceration, friability, and spontaneous bleeding). Endoscopic ultrasound (EUS) is the imaging modality of choice for local T staging in ampullary neoplasms.</w:t>
      </w:r>
      <w:r w:rsidRPr="00342B2F">
        <w:rPr>
          <w:rFonts w:ascii="Book Antiqua" w:hAnsi="Book Antiqua" w:cs="Book Antiqua"/>
          <w:color w:val="000064"/>
        </w:rPr>
        <w:t xml:space="preserve"> </w:t>
      </w:r>
      <w:r w:rsidRPr="00342B2F">
        <w:rPr>
          <w:rFonts w:ascii="Book Antiqua" w:hAnsi="Book Antiqua" w:cs="Book Antiqua"/>
        </w:rPr>
        <w:t>The data reported in the literature have</w:t>
      </w:r>
      <w:r w:rsidRPr="00342B2F">
        <w:rPr>
          <w:rFonts w:ascii="Book Antiqua" w:hAnsi="Book Antiqua" w:cs="Book Antiqua"/>
          <w:color w:val="000064"/>
        </w:rPr>
        <w:t xml:space="preserve"> </w:t>
      </w:r>
      <w:r w:rsidRPr="00342B2F">
        <w:rPr>
          <w:rFonts w:ascii="Book Antiqua" w:hAnsi="Book Antiqua" w:cs="Book Antiqua"/>
        </w:rPr>
        <w:t>revealed that linear EUS is superior to helical</w:t>
      </w:r>
      <w:r w:rsidRPr="00342B2F">
        <w:rPr>
          <w:rFonts w:ascii="Book Antiqua" w:hAnsi="Book Antiqua" w:cs="Book Antiqua"/>
          <w:color w:val="000064"/>
        </w:rPr>
        <w:t xml:space="preserve"> </w:t>
      </w:r>
      <w:r w:rsidRPr="00342B2F">
        <w:rPr>
          <w:rFonts w:ascii="Book Antiqua" w:eastAsia="宋体" w:hAnsi="Book Antiqua" w:cs="Book Antiqua"/>
        </w:rPr>
        <w:t>computed tomography</w:t>
      </w:r>
      <w:r w:rsidRPr="00342B2F">
        <w:rPr>
          <w:rFonts w:ascii="Book Antiqua" w:hAnsi="Book Antiqua" w:cs="Book Antiqua"/>
        </w:rPr>
        <w:t xml:space="preserve"> in the preoperative assessment of tumor</w:t>
      </w:r>
      <w:r w:rsidRPr="00342B2F">
        <w:rPr>
          <w:rFonts w:ascii="Book Antiqua" w:hAnsi="Book Antiqua" w:cs="Book Antiqua"/>
          <w:color w:val="000064"/>
        </w:rPr>
        <w:t xml:space="preserve"> </w:t>
      </w:r>
      <w:r w:rsidRPr="00342B2F">
        <w:rPr>
          <w:rFonts w:ascii="Book Antiqua" w:hAnsi="Book Antiqua" w:cs="Book Antiqua"/>
        </w:rPr>
        <w:t>size, detection of regional nodal metastases and detection of major vascular invasion. Endoscopic ampullectomy is performed with a standard duodenoscope in a similar manner to snare polypectomy of</w:t>
      </w:r>
      <w:r w:rsidRPr="00342B2F">
        <w:rPr>
          <w:rFonts w:ascii="Book Antiqua" w:hAnsi="Book Antiqua" w:cs="Book Antiqua"/>
          <w:color w:val="000000"/>
        </w:rPr>
        <w:t xml:space="preserve"> </w:t>
      </w:r>
      <w:r w:rsidRPr="00342B2F">
        <w:rPr>
          <w:rFonts w:ascii="Book Antiqua" w:hAnsi="Book Antiqua" w:cs="Book Antiqua"/>
          <w:color w:val="231F20"/>
        </w:rPr>
        <w:t>a mucosal lesion. There is no standardization of equipment</w:t>
      </w:r>
      <w:r w:rsidRPr="00342B2F">
        <w:rPr>
          <w:rFonts w:ascii="Book Antiqua" w:hAnsi="Book Antiqua" w:cs="Book Antiqua"/>
        </w:rPr>
        <w:t xml:space="preserve"> </w:t>
      </w:r>
      <w:r w:rsidRPr="00342B2F">
        <w:rPr>
          <w:rFonts w:ascii="Book Antiqua" w:hAnsi="Book Antiqua" w:cs="Book Antiqua"/>
          <w:color w:val="231F20"/>
        </w:rPr>
        <w:t xml:space="preserve">or technique and </w:t>
      </w:r>
      <w:r>
        <w:rPr>
          <w:rFonts w:ascii="Book Antiqua" w:hAnsi="Book Antiqua" w:cs="Book Antiqua"/>
          <w:color w:val="000000"/>
        </w:rPr>
        <w:t>methods of E</w:t>
      </w:r>
      <w:r w:rsidRPr="00342B2F">
        <w:rPr>
          <w:rFonts w:ascii="Book Antiqua" w:hAnsi="Book Antiqua" w:cs="Book Antiqua"/>
          <w:color w:val="000000"/>
        </w:rPr>
        <w:t>P are described</w:t>
      </w:r>
      <w:r w:rsidRPr="00342B2F">
        <w:rPr>
          <w:rFonts w:ascii="Book Antiqua" w:hAnsi="Book Antiqua" w:cs="Book Antiqua"/>
          <w:color w:val="231F20"/>
        </w:rPr>
        <w:t xml:space="preserve"> broad.</w:t>
      </w:r>
      <w:r w:rsidRPr="00342B2F">
        <w:rPr>
          <w:rFonts w:ascii="Book Antiqua" w:hAnsi="Book Antiqua" w:cs="Book Antiqua"/>
        </w:rPr>
        <w:t xml:space="preserve"> Endoscopic ampullectomy is considered a ‘‘high-risk’’ procedure for complications. Complications of endoscopic papillectomy can be classified as early (pancreatitis, bleeding, perforation, and cholangitis) and late (papillary stenosis) complications.</w:t>
      </w:r>
      <w:r w:rsidRPr="00342B2F">
        <w:rPr>
          <w:rFonts w:ascii="Book Antiqua" w:hAnsi="Book Antiqua" w:cs="Book Antiqua"/>
          <w:color w:val="000000"/>
        </w:rPr>
        <w:t xml:space="preserve"> The appropriate use of stenting after ampullectomy may prevent post-procedural pancreatitis and papillary stenosis. Tumor recurrence for benign lesion occurs in up to 20% of patients and depends on tumor size, final histology, presence of intraductal tumor, coexisting familial adenomatous polyposis, and the expertise of the endoscopist. Recurrent lesions are usually benign and most can be retreated endoscopically.</w:t>
      </w:r>
    </w:p>
    <w:p w:rsidR="001368EB" w:rsidRPr="00342B2F" w:rsidRDefault="001368EB" w:rsidP="002A49D5">
      <w:pPr>
        <w:widowControl w:val="0"/>
        <w:autoSpaceDE w:val="0"/>
        <w:autoSpaceDN w:val="0"/>
        <w:adjustRightInd w:val="0"/>
        <w:snapToGrid w:val="0"/>
        <w:spacing w:line="360" w:lineRule="auto"/>
        <w:jc w:val="both"/>
        <w:rPr>
          <w:rFonts w:ascii="Book Antiqua" w:eastAsia="宋体" w:hAnsi="Book Antiqua" w:cs="Book Antiqua"/>
          <w:b/>
        </w:rPr>
      </w:pPr>
    </w:p>
    <w:p w:rsidR="001368EB" w:rsidRPr="00C56046" w:rsidRDefault="001368EB" w:rsidP="000F5E14">
      <w:pPr>
        <w:adjustRightInd w:val="0"/>
        <w:snapToGrid w:val="0"/>
        <w:spacing w:line="360" w:lineRule="auto"/>
        <w:rPr>
          <w:rFonts w:ascii="Book Antiqua" w:hAnsi="Book Antiqua"/>
        </w:rPr>
      </w:pPr>
      <w:bookmarkStart w:id="67" w:name="OLE_LINK98"/>
      <w:bookmarkStart w:id="68" w:name="OLE_LINK156"/>
      <w:bookmarkStart w:id="69" w:name="OLE_LINK196"/>
      <w:bookmarkStart w:id="70" w:name="OLE_LINK217"/>
      <w:bookmarkStart w:id="71" w:name="OLE_LINK242"/>
      <w:bookmarkStart w:id="72" w:name="OLE_LINK247"/>
      <w:bookmarkStart w:id="73" w:name="OLE_LINK311"/>
      <w:bookmarkStart w:id="74" w:name="OLE_LINK312"/>
      <w:bookmarkStart w:id="75" w:name="OLE_LINK325"/>
      <w:bookmarkStart w:id="76" w:name="OLE_LINK330"/>
      <w:bookmarkStart w:id="77" w:name="OLE_LINK513"/>
      <w:bookmarkStart w:id="78" w:name="OLE_LINK514"/>
      <w:bookmarkStart w:id="79" w:name="OLE_LINK464"/>
      <w:bookmarkStart w:id="80" w:name="OLE_LINK465"/>
      <w:bookmarkStart w:id="81" w:name="OLE_LINK466"/>
      <w:bookmarkStart w:id="82" w:name="OLE_LINK470"/>
      <w:bookmarkStart w:id="83" w:name="OLE_LINK471"/>
      <w:bookmarkStart w:id="84" w:name="OLE_LINK472"/>
      <w:bookmarkStart w:id="85" w:name="OLE_LINK474"/>
      <w:bookmarkStart w:id="86" w:name="OLE_LINK512"/>
      <w:bookmarkStart w:id="87" w:name="OLE_LINK800"/>
      <w:bookmarkStart w:id="88" w:name="OLE_LINK982"/>
      <w:bookmarkStart w:id="89" w:name="OLE_LINK1027"/>
      <w:bookmarkStart w:id="90" w:name="OLE_LINK504"/>
      <w:bookmarkStart w:id="91" w:name="OLE_LINK546"/>
      <w:bookmarkStart w:id="92" w:name="OLE_LINK547"/>
      <w:bookmarkStart w:id="93" w:name="OLE_LINK575"/>
      <w:bookmarkStart w:id="94" w:name="OLE_LINK640"/>
      <w:bookmarkStart w:id="95" w:name="OLE_LINK672"/>
      <w:bookmarkStart w:id="96" w:name="OLE_LINK714"/>
      <w:bookmarkStart w:id="97" w:name="OLE_LINK651"/>
      <w:bookmarkStart w:id="98" w:name="OLE_LINK652"/>
      <w:bookmarkStart w:id="99" w:name="OLE_LINK744"/>
      <w:bookmarkStart w:id="100" w:name="OLE_LINK758"/>
      <w:bookmarkStart w:id="101" w:name="OLE_LINK787"/>
      <w:bookmarkStart w:id="102" w:name="OLE_LINK807"/>
      <w:bookmarkStart w:id="103" w:name="OLE_LINK820"/>
      <w:bookmarkStart w:id="104" w:name="OLE_LINK862"/>
      <w:bookmarkStart w:id="105" w:name="OLE_LINK879"/>
      <w:bookmarkStart w:id="106" w:name="OLE_LINK906"/>
      <w:bookmarkStart w:id="107" w:name="OLE_LINK928"/>
      <w:bookmarkStart w:id="108" w:name="OLE_LINK960"/>
      <w:bookmarkStart w:id="109" w:name="OLE_LINK861"/>
      <w:bookmarkStart w:id="110" w:name="OLE_LINK983"/>
      <w:bookmarkStart w:id="111" w:name="OLE_LINK1334"/>
      <w:bookmarkStart w:id="112" w:name="OLE_LINK1029"/>
      <w:bookmarkStart w:id="113" w:name="OLE_LINK1060"/>
      <w:bookmarkStart w:id="114" w:name="OLE_LINK1061"/>
      <w:bookmarkStart w:id="115" w:name="OLE_LINK1348"/>
      <w:bookmarkStart w:id="116" w:name="OLE_LINK1086"/>
      <w:bookmarkStart w:id="117" w:name="OLE_LINK1100"/>
      <w:bookmarkStart w:id="118" w:name="OLE_LINK1125"/>
      <w:bookmarkStart w:id="119" w:name="OLE_LINK1163"/>
      <w:bookmarkStart w:id="120" w:name="OLE_LINK1193"/>
      <w:bookmarkStart w:id="121" w:name="OLE_LINK1219"/>
      <w:bookmarkStart w:id="122" w:name="OLE_LINK1247"/>
      <w:bookmarkStart w:id="123" w:name="OLE_LINK1284"/>
      <w:bookmarkStart w:id="124" w:name="OLE_LINK1313"/>
      <w:bookmarkStart w:id="125" w:name="OLE_LINK1361"/>
      <w:bookmarkStart w:id="126" w:name="OLE_LINK1384"/>
      <w:bookmarkStart w:id="127" w:name="OLE_LINK1403"/>
      <w:bookmarkStart w:id="128" w:name="OLE_LINK1437"/>
      <w:bookmarkStart w:id="129" w:name="OLE_LINK1454"/>
      <w:bookmarkStart w:id="130" w:name="OLE_LINK1480"/>
      <w:bookmarkStart w:id="131" w:name="OLE_LINK1504"/>
      <w:bookmarkStart w:id="132" w:name="OLE_LINK1516"/>
      <w:bookmarkStart w:id="133" w:name="OLE_LINK135"/>
      <w:bookmarkStart w:id="134" w:name="OLE_LINK216"/>
      <w:bookmarkStart w:id="135" w:name="OLE_LINK259"/>
      <w:bookmarkStart w:id="136" w:name="OLE_LINK1186"/>
      <w:bookmarkStart w:id="137" w:name="OLE_LINK1265"/>
      <w:bookmarkStart w:id="138" w:name="OLE_LINK1373"/>
      <w:bookmarkStart w:id="139" w:name="OLE_LINK1478"/>
      <w:bookmarkStart w:id="140" w:name="OLE_LINK1644"/>
      <w:bookmarkStart w:id="141" w:name="OLE_LINK1884"/>
      <w:bookmarkStart w:id="142" w:name="OLE_LINK1885"/>
      <w:bookmarkStart w:id="143" w:name="OLE_LINK1538"/>
      <w:bookmarkStart w:id="144" w:name="OLE_LINK1539"/>
      <w:bookmarkStart w:id="145" w:name="OLE_LINK1543"/>
      <w:bookmarkStart w:id="146" w:name="OLE_LINK1549"/>
      <w:bookmarkStart w:id="147" w:name="OLE_LINK1778"/>
      <w:bookmarkStart w:id="148" w:name="OLE_LINK1756"/>
      <w:bookmarkStart w:id="149" w:name="OLE_LINK1776"/>
      <w:bookmarkStart w:id="150" w:name="OLE_LINK1777"/>
      <w:bookmarkStart w:id="151" w:name="OLE_LINK1868"/>
      <w:bookmarkStart w:id="152" w:name="OLE_LINK1744"/>
      <w:bookmarkStart w:id="153" w:name="OLE_LINK1817"/>
      <w:bookmarkStart w:id="154" w:name="OLE_LINK1835"/>
      <w:bookmarkStart w:id="155" w:name="OLE_LINK1866"/>
      <w:bookmarkStart w:id="156" w:name="OLE_LINK1882"/>
      <w:bookmarkStart w:id="157" w:name="OLE_LINK1901"/>
      <w:bookmarkStart w:id="158" w:name="OLE_LINK1902"/>
      <w:bookmarkStart w:id="159" w:name="OLE_LINK2013"/>
      <w:bookmarkStart w:id="160" w:name="OLE_LINK1894"/>
      <w:bookmarkStart w:id="161" w:name="OLE_LINK1929"/>
      <w:bookmarkStart w:id="162" w:name="OLE_LINK1941"/>
      <w:bookmarkStart w:id="163" w:name="OLE_LINK1995"/>
      <w:bookmarkStart w:id="164" w:name="OLE_LINK1938"/>
      <w:bookmarkStart w:id="165" w:name="OLE_LINK2081"/>
      <w:bookmarkStart w:id="166" w:name="OLE_LINK2082"/>
      <w:bookmarkStart w:id="167" w:name="OLE_LINK2292"/>
      <w:bookmarkStart w:id="168" w:name="OLE_LINK1931"/>
      <w:bookmarkStart w:id="169" w:name="OLE_LINK1964"/>
      <w:bookmarkStart w:id="170" w:name="OLE_LINK2020"/>
      <w:bookmarkStart w:id="171" w:name="OLE_LINK2071"/>
      <w:bookmarkStart w:id="172" w:name="OLE_LINK2134"/>
      <w:bookmarkStart w:id="173" w:name="OLE_LINK2265"/>
      <w:bookmarkStart w:id="174" w:name="OLE_LINK2562"/>
      <w:bookmarkStart w:id="175" w:name="OLE_LINK1923"/>
      <w:bookmarkStart w:id="176" w:name="OLE_LINK2192"/>
      <w:bookmarkStart w:id="177" w:name="OLE_LINK2110"/>
      <w:bookmarkStart w:id="178" w:name="OLE_LINK2445"/>
      <w:bookmarkStart w:id="179" w:name="OLE_LINK2446"/>
      <w:bookmarkStart w:id="180" w:name="OLE_LINK2169"/>
      <w:bookmarkStart w:id="181" w:name="OLE_LINK2190"/>
      <w:bookmarkStart w:id="182" w:name="OLE_LINK2331"/>
      <w:bookmarkStart w:id="183" w:name="OLE_LINK2345"/>
      <w:bookmarkStart w:id="184" w:name="OLE_LINK2467"/>
      <w:bookmarkStart w:id="185" w:name="OLE_LINK2484"/>
      <w:bookmarkStart w:id="186" w:name="OLE_LINK2157"/>
      <w:bookmarkStart w:id="187" w:name="OLE_LINK2221"/>
      <w:bookmarkStart w:id="188" w:name="OLE_LINK2252"/>
      <w:bookmarkStart w:id="189" w:name="OLE_LINK2348"/>
      <w:bookmarkStart w:id="190" w:name="OLE_LINK2451"/>
      <w:bookmarkStart w:id="191" w:name="OLE_LINK2627"/>
      <w:bookmarkStart w:id="192" w:name="OLE_LINK2482"/>
      <w:bookmarkStart w:id="193" w:name="OLE_LINK2663"/>
      <w:bookmarkStart w:id="194" w:name="OLE_LINK2761"/>
      <w:bookmarkStart w:id="195" w:name="OLE_LINK2856"/>
      <w:bookmarkStart w:id="196" w:name="OLE_LINK2993"/>
      <w:bookmarkStart w:id="197" w:name="OLE_LINK2643"/>
      <w:bookmarkStart w:id="198" w:name="OLE_LINK2583"/>
      <w:bookmarkStart w:id="199" w:name="OLE_LINK2762"/>
      <w:bookmarkStart w:id="200" w:name="OLE_LINK2962"/>
      <w:bookmarkStart w:id="201" w:name="OLE_LINK2582"/>
      <w:r w:rsidRPr="00C56046">
        <w:rPr>
          <w:rFonts w:ascii="Book Antiqua" w:hAnsi="Book Antiqua"/>
        </w:rPr>
        <w:t>© 2013 Baishideng</w:t>
      </w:r>
      <w:r>
        <w:rPr>
          <w:rFonts w:ascii="Book Antiqua" w:hAnsi="Book Antiqua"/>
        </w:rPr>
        <w:t xml:space="preserve"> Publishing Group Co., Limited</w:t>
      </w:r>
      <w:r w:rsidRPr="00C56046">
        <w:rPr>
          <w:rFonts w:ascii="Book Antiqua" w:hAnsi="Book Antiqua"/>
        </w:rPr>
        <w:t xml:space="preserve">. All rights reserved.  </w:t>
      </w:r>
    </w:p>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rsidR="001368EB" w:rsidRPr="000F5E14" w:rsidRDefault="001368EB" w:rsidP="002A49D5">
      <w:pPr>
        <w:widowControl w:val="0"/>
        <w:autoSpaceDE w:val="0"/>
        <w:autoSpaceDN w:val="0"/>
        <w:adjustRightInd w:val="0"/>
        <w:snapToGrid w:val="0"/>
        <w:spacing w:line="360" w:lineRule="auto"/>
        <w:jc w:val="both"/>
        <w:rPr>
          <w:rFonts w:ascii="Book Antiqua" w:hAnsi="Book Antiqua" w:cs="Book Antiqua"/>
          <w:b/>
        </w:rPr>
      </w:pP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rPr>
      </w:pPr>
      <w:r w:rsidRPr="00342B2F">
        <w:rPr>
          <w:rFonts w:ascii="Book Antiqua" w:hAnsi="Book Antiqua" w:cs="Book Antiqua"/>
          <w:b/>
        </w:rPr>
        <w:t xml:space="preserve">Key words: </w:t>
      </w:r>
      <w:r w:rsidRPr="00342B2F">
        <w:rPr>
          <w:rFonts w:ascii="Book Antiqua" w:hAnsi="Book Antiqua" w:cs="Book Antiqua"/>
        </w:rPr>
        <w:t>Endoscopic papillectomy;</w:t>
      </w:r>
      <w:r w:rsidRPr="00342B2F">
        <w:rPr>
          <w:rFonts w:ascii="Book Antiqua" w:hAnsi="Book Antiqua" w:cs="Book Antiqua"/>
          <w:b/>
        </w:rPr>
        <w:t xml:space="preserve"> </w:t>
      </w:r>
      <w:r w:rsidRPr="00342B2F">
        <w:rPr>
          <w:rFonts w:ascii="Book Antiqua" w:hAnsi="Book Antiqua" w:cs="Book Antiqua"/>
        </w:rPr>
        <w:t>Papillary neoplasms; Major duodenal papilla;</w:t>
      </w:r>
      <w:r w:rsidRPr="00342B2F">
        <w:rPr>
          <w:rFonts w:ascii="Book Antiqua" w:hAnsi="Book Antiqua"/>
        </w:rPr>
        <w:t xml:space="preserve"> </w:t>
      </w:r>
      <w:r w:rsidRPr="00342B2F">
        <w:rPr>
          <w:rFonts w:ascii="Book Antiqua" w:hAnsi="Book Antiqua" w:cs="Book Antiqua"/>
        </w:rPr>
        <w:t>Endoscopic retrograde cholangiopancreatography;</w:t>
      </w:r>
      <w:r w:rsidRPr="00342B2F">
        <w:rPr>
          <w:rFonts w:ascii="Book Antiqua" w:hAnsi="Book Antiqua" w:cs="Book Antiqua"/>
          <w:b/>
        </w:rPr>
        <w:t xml:space="preserve"> </w:t>
      </w:r>
      <w:r w:rsidRPr="00342B2F">
        <w:rPr>
          <w:rFonts w:ascii="Book Antiqua" w:hAnsi="Book Antiqua" w:cs="Book Antiqua"/>
        </w:rPr>
        <w:t>Endoscopic sphincterotomy</w:t>
      </w: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b/>
        </w:rPr>
      </w:pP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rPr>
      </w:pPr>
      <w:r w:rsidRPr="00342B2F">
        <w:rPr>
          <w:rFonts w:ascii="Book Antiqua" w:hAnsi="Book Antiqua" w:cs="Book Antiqua"/>
          <w:b/>
        </w:rPr>
        <w:t>Core tip:</w:t>
      </w:r>
      <w:r w:rsidRPr="00342B2F">
        <w:rPr>
          <w:rFonts w:ascii="Book Antiqua" w:hAnsi="Book Antiqua" w:cs="Book Antiqua"/>
        </w:rPr>
        <w:t xml:space="preserve"> Endoscopic papillectomy is a relatively safe and effective therapy and should be established as a first-line therapy for adenomas of the major duodenal papilla. Accurate staging of tumor is important in the selection of patients. Performed by experienced </w:t>
      </w:r>
      <w:r w:rsidRPr="00342B2F">
        <w:rPr>
          <w:rFonts w:ascii="Book Antiqua" w:hAnsi="Book Antiqua" w:cs="Book Antiqua"/>
        </w:rPr>
        <w:lastRenderedPageBreak/>
        <w:t>endoscopists leads to successful tumor eradication in over 85% of patients with ampullary adenomas.</w:t>
      </w:r>
    </w:p>
    <w:p w:rsidR="001368EB" w:rsidRDefault="001368EB" w:rsidP="002A49D5">
      <w:pPr>
        <w:snapToGrid w:val="0"/>
        <w:spacing w:line="360" w:lineRule="auto"/>
        <w:jc w:val="both"/>
        <w:rPr>
          <w:rFonts w:ascii="Book Antiqua" w:hAnsi="Book Antiqua" w:cs="Book Antiqua"/>
        </w:rPr>
      </w:pPr>
    </w:p>
    <w:p w:rsidR="001368EB" w:rsidRPr="00342B2F" w:rsidRDefault="001368EB" w:rsidP="002A49D5">
      <w:pPr>
        <w:snapToGrid w:val="0"/>
        <w:spacing w:line="360" w:lineRule="auto"/>
        <w:jc w:val="both"/>
        <w:rPr>
          <w:rFonts w:ascii="Book Antiqua" w:eastAsia="宋体" w:hAnsi="Book Antiqua"/>
        </w:rPr>
      </w:pPr>
      <w:r w:rsidRPr="00342B2F">
        <w:rPr>
          <w:rFonts w:ascii="Book Antiqua" w:hAnsi="Book Antiqua" w:cs="Book Antiqua"/>
        </w:rPr>
        <w:t>De Palma GD.</w:t>
      </w:r>
      <w:r w:rsidRPr="00342B2F">
        <w:rPr>
          <w:rFonts w:ascii="Book Antiqua" w:eastAsia="宋体" w:hAnsi="Book Antiqua"/>
        </w:rPr>
        <w:t xml:space="preserve"> </w:t>
      </w:r>
      <w:r w:rsidRPr="00342B2F">
        <w:rPr>
          <w:rFonts w:ascii="Book Antiqua" w:hAnsi="Book Antiqua" w:cs="Book Antiqua"/>
        </w:rPr>
        <w:t>Endoscopic papillectomy: Indications, techniques, and results</w:t>
      </w:r>
      <w:r w:rsidRPr="00342B2F">
        <w:rPr>
          <w:rFonts w:ascii="Book Antiqua" w:eastAsia="宋体" w:hAnsi="Book Antiqua" w:cs="Book Antiqua"/>
        </w:rPr>
        <w:t>.</w:t>
      </w:r>
      <w:bookmarkStart w:id="202" w:name="OLE_LINK335"/>
      <w:bookmarkStart w:id="203" w:name="OLE_LINK336"/>
      <w:bookmarkStart w:id="204" w:name="OLE_LINK87"/>
      <w:bookmarkStart w:id="205" w:name="OLE_LINK97"/>
      <w:bookmarkStart w:id="206" w:name="OLE_LINK1297"/>
      <w:bookmarkStart w:id="207" w:name="OLE_LINK1298"/>
      <w:bookmarkStart w:id="208" w:name="OLE_LINK1689"/>
      <w:bookmarkStart w:id="209" w:name="OLE_LINK144"/>
      <w:bookmarkStart w:id="210" w:name="OLE_LINK152"/>
      <w:bookmarkStart w:id="211" w:name="OLE_LINK163"/>
      <w:bookmarkStart w:id="212" w:name="OLE_LINK1895"/>
      <w:bookmarkStart w:id="213" w:name="OLE_LINK1897"/>
      <w:bookmarkStart w:id="214" w:name="OLE_LINK1937"/>
      <w:bookmarkStart w:id="215" w:name="OLE_LINK2087"/>
      <w:bookmarkStart w:id="216" w:name="OLE_LINK2088"/>
      <w:bookmarkStart w:id="217" w:name="OLE_LINK2569"/>
      <w:bookmarkStart w:id="218" w:name="OLE_LINK2570"/>
      <w:bookmarkStart w:id="219" w:name="OLE_LINK2127"/>
      <w:bookmarkStart w:id="220" w:name="OLE_LINK2128"/>
      <w:bookmarkStart w:id="221" w:name="OLE_LINK2200"/>
      <w:bookmarkStart w:id="222" w:name="OLE_LINK2113"/>
      <w:bookmarkStart w:id="223" w:name="OLE_LINK2391"/>
      <w:bookmarkStart w:id="224" w:name="OLE_LINK2392"/>
      <w:bookmarkStart w:id="225" w:name="OLE_LINK2499"/>
      <w:bookmarkStart w:id="226" w:name="OLE_LINK2782"/>
      <w:bookmarkStart w:id="227" w:name="OLE_LINK2783"/>
      <w:bookmarkStart w:id="228" w:name="OLE_LINK2667"/>
      <w:bookmarkStart w:id="229" w:name="OLE_LINK2668"/>
      <w:bookmarkStart w:id="230" w:name="OLE_LINK2766"/>
      <w:bookmarkStart w:id="231" w:name="OLE_LINK3008"/>
      <w:bookmarkStart w:id="232" w:name="OLE_LINK3156"/>
      <w:bookmarkStart w:id="233" w:name="OLE_LINK3303"/>
      <w:bookmarkStart w:id="234" w:name="OLE_LINK3304"/>
      <w:bookmarkStart w:id="235" w:name="OLE_LINK2689"/>
      <w:bookmarkStart w:id="236" w:name="OLE_LINK2588"/>
      <w:bookmarkStart w:id="237" w:name="OLE_LINK2769"/>
      <w:bookmarkStart w:id="238" w:name="OLE_LINK3019"/>
      <w:bookmarkStart w:id="239" w:name="OLE_LINK3020"/>
      <w:r w:rsidRPr="00342B2F">
        <w:rPr>
          <w:rFonts w:ascii="Book Antiqua" w:eastAsia="宋体" w:hAnsi="Book Antiqua"/>
        </w:rPr>
        <w:t xml:space="preserve"> </w:t>
      </w:r>
      <w:r w:rsidRPr="00342B2F">
        <w:rPr>
          <w:rFonts w:ascii="Book Antiqua" w:hAnsi="Book Antiqua"/>
          <w:i/>
        </w:rPr>
        <w:t>World J Gastroenterol</w:t>
      </w:r>
      <w:r w:rsidRPr="00342B2F">
        <w:rPr>
          <w:rFonts w:ascii="Book Antiqua" w:hAnsi="Book Antiqua"/>
        </w:rPr>
        <w:t xml:space="preserve"> </w:t>
      </w:r>
      <w:bookmarkEnd w:id="202"/>
      <w:bookmarkEnd w:id="203"/>
      <w:r w:rsidRPr="00342B2F">
        <w:rPr>
          <w:rFonts w:ascii="Book Antiqua" w:hAnsi="Book Antiqua"/>
        </w:rPr>
        <w:t xml:space="preserve">2013;  </w:t>
      </w:r>
    </w:p>
    <w:p w:rsidR="001368EB" w:rsidRPr="00342B2F" w:rsidRDefault="001368EB" w:rsidP="002A49D5">
      <w:pPr>
        <w:pStyle w:val="p0"/>
        <w:adjustRightInd w:val="0"/>
        <w:snapToGrid w:val="0"/>
        <w:spacing w:line="360" w:lineRule="auto"/>
        <w:jc w:val="both"/>
        <w:rPr>
          <w:rFonts w:ascii="Book Antiqua" w:hAnsi="Book Antiqua"/>
          <w:sz w:val="24"/>
          <w:szCs w:val="24"/>
        </w:rPr>
      </w:pPr>
      <w:bookmarkStart w:id="240" w:name="OLE_LINK404"/>
      <w:bookmarkStart w:id="241" w:name="OLE_LINK405"/>
      <w:bookmarkStart w:id="242" w:name="OLE_LINK406"/>
      <w:bookmarkStart w:id="243" w:name="OLE_LINK407"/>
      <w:bookmarkStart w:id="244" w:name="OLE_LINK629"/>
      <w:bookmarkStart w:id="245" w:name="OLE_LINK630"/>
      <w:bookmarkStart w:id="246" w:name="OLE_LINK1908"/>
      <w:bookmarkStart w:id="247" w:name="OLE_LINK1864"/>
      <w:bookmarkStart w:id="248" w:name="OLE_LINK2809"/>
      <w:bookmarkStart w:id="249" w:name="OLE_LINK2930"/>
      <w:bookmarkStart w:id="250" w:name="OLE_LINK2296"/>
      <w:bookmarkStart w:id="251" w:name="OLE_LINK2297"/>
      <w:bookmarkStart w:id="252" w:name="OLE_LINK401"/>
      <w:bookmarkStart w:id="253" w:name="OLE_LINK402"/>
      <w:bookmarkStart w:id="254" w:name="OLE_LINK99"/>
      <w:bookmarkStart w:id="255" w:name="OLE_LINK100"/>
      <w:bookmarkStart w:id="256" w:name="OLE_LINK271"/>
      <w:bookmarkStart w:id="257" w:name="OLE_LINK272"/>
      <w:bookmarkStart w:id="258" w:name="OLE_LINK300"/>
      <w:bookmarkStart w:id="259" w:name="OLE_LINK302"/>
      <w:bookmarkStart w:id="260" w:name="OLE_LINK1824"/>
      <w:bookmarkStart w:id="261" w:name="OLE_LINK1825"/>
      <w:bookmarkStart w:id="262" w:name="OLE_LINK1945"/>
      <w:bookmarkStart w:id="263" w:name="OLE_LINK1826"/>
      <w:bookmarkStart w:id="264" w:name="OLE_LINK1921"/>
      <w:bookmarkStart w:id="265" w:name="OLE_LINK1912"/>
      <w:bookmarkStart w:id="266" w:name="OLE_LINK1974"/>
      <w:bookmarkStart w:id="267" w:name="OLE_LINK1975"/>
      <w:bookmarkStart w:id="268" w:name="OLE_LINK1946"/>
      <w:bookmarkStart w:id="269" w:name="OLE_LINK1998"/>
      <w:bookmarkStart w:id="270" w:name="OLE_LINK2000"/>
      <w:bookmarkStart w:id="271" w:name="OLE_LINK1944"/>
      <w:bookmarkStart w:id="272" w:name="OLE_LINK2001"/>
      <w:bookmarkStart w:id="273" w:name="OLE_LINK2307"/>
      <w:bookmarkStart w:id="274" w:name="OLE_LINK2453"/>
      <w:bookmarkStart w:id="275" w:name="OLE_LINK2454"/>
      <w:bookmarkStart w:id="276" w:name="OLE_LINK2228"/>
      <w:bookmarkStart w:id="277" w:name="OLE_LINK2346"/>
      <w:bookmarkStart w:id="278" w:name="OLE_LINK2389"/>
      <w:bookmarkStart w:id="279" w:name="OLE_LINK2550"/>
      <w:bookmarkStart w:id="280" w:name="OLE_LINK2551"/>
      <w:bookmarkStart w:id="281" w:name="OLE_LINK2394"/>
      <w:bookmarkStart w:id="282" w:name="OLE_LINK2860"/>
      <w:bookmarkStart w:id="283" w:name="OLE_LINK2644"/>
      <w:bookmarkStart w:id="284" w:name="OLE_LINK2879"/>
      <w:bookmarkStart w:id="285" w:name="OLE_LINK2880"/>
      <w:bookmarkStart w:id="286" w:name="OLE_LINK2966"/>
      <w:bookmarkStart w:id="287" w:name="OLE_LINK2967"/>
      <w:bookmarkStart w:id="288" w:name="OLE_LINK2589"/>
      <w:bookmarkStart w:id="289" w:name="OLE_LINK2590"/>
      <w:bookmarkStart w:id="290" w:name="OLE_LINK206"/>
      <w:bookmarkStart w:id="291" w:name="OLE_LINK449"/>
      <w:bookmarkStart w:id="292" w:name="OLE_LINK450"/>
      <w:bookmarkStart w:id="293" w:name="OLE_LINK456"/>
      <w:bookmarkStart w:id="294" w:name="OLE_LINK705"/>
      <w:bookmarkStart w:id="295" w:name="OLE_LINK522"/>
      <w:bookmarkStart w:id="296" w:name="OLE_LINK621"/>
      <w:bookmarkStart w:id="297" w:name="OLE_LINK1242"/>
      <w:bookmarkStart w:id="298" w:name="OLE_LINK1102"/>
      <w:bookmarkStart w:id="299" w:name="OLE_LINK1103"/>
      <w:bookmarkStart w:id="300" w:name="OLE_LINK1546"/>
      <w:bookmarkStart w:id="301" w:name="OLE_LINK2014"/>
      <w:bookmarkStart w:id="302" w:name="OLE_LINK2015"/>
      <w:bookmarkStart w:id="303" w:name="OLE_LINK2138"/>
      <w:bookmarkStart w:id="304" w:name="OLE_LINK2139"/>
      <w:bookmarkStart w:id="305" w:name="OLE_LINK2202"/>
      <w:bookmarkStart w:id="306" w:name="OLE_LINK2203"/>
      <w:bookmarkStart w:id="307" w:name="OLE_LINK2205"/>
      <w:bookmarkStart w:id="308" w:name="OLE_LINK2206"/>
      <w:bookmarkStart w:id="309" w:name="OLE_LINK2485"/>
      <w:bookmarkStart w:id="310" w:name="OLE_LINK2398"/>
      <w:bookmarkEnd w:id="204"/>
      <w:bookmarkEnd w:id="205"/>
      <w:bookmarkEnd w:id="206"/>
      <w:bookmarkEnd w:id="207"/>
      <w:bookmarkEnd w:id="208"/>
      <w:r w:rsidRPr="00342B2F">
        <w:rPr>
          <w:rFonts w:ascii="Book Antiqua" w:hAnsi="Book Antiqua"/>
          <w:b/>
          <w:bCs/>
          <w:sz w:val="24"/>
          <w:szCs w:val="24"/>
        </w:rPr>
        <w:t>Available from:</w:t>
      </w:r>
      <w:r w:rsidRPr="00342B2F">
        <w:rPr>
          <w:rFonts w:ascii="Book Antiqua" w:hAnsi="Book Antiqua"/>
          <w:sz w:val="24"/>
          <w:szCs w:val="24"/>
        </w:rPr>
        <w:t xml:space="preserve"> </w:t>
      </w:r>
      <w:bookmarkEnd w:id="240"/>
      <w:bookmarkEnd w:id="241"/>
      <w:r w:rsidRPr="00342B2F">
        <w:rPr>
          <w:rFonts w:ascii="Book Antiqua" w:hAnsi="Book Antiqua"/>
          <w:color w:val="000000"/>
          <w:sz w:val="24"/>
          <w:szCs w:val="24"/>
        </w:rPr>
        <w:t>URL:</w:t>
      </w:r>
      <w:bookmarkEnd w:id="242"/>
      <w:bookmarkEnd w:id="243"/>
      <w:bookmarkEnd w:id="244"/>
      <w:bookmarkEnd w:id="245"/>
      <w:bookmarkEnd w:id="246"/>
      <w:bookmarkEnd w:id="247"/>
      <w:bookmarkEnd w:id="248"/>
      <w:bookmarkEnd w:id="249"/>
      <w:r w:rsidRPr="00342B2F">
        <w:rPr>
          <w:rFonts w:ascii="Book Antiqua" w:hAnsi="Book Antiqua"/>
          <w:color w:val="000000"/>
          <w:sz w:val="24"/>
          <w:szCs w:val="24"/>
        </w:rPr>
        <w:t xml:space="preserve"> </w:t>
      </w:r>
      <w:bookmarkEnd w:id="250"/>
      <w:bookmarkEnd w:id="251"/>
      <w:r w:rsidRPr="00342B2F">
        <w:rPr>
          <w:rFonts w:ascii="Book Antiqua" w:hAnsi="Book Antiqua"/>
          <w:color w:val="000000"/>
          <w:sz w:val="24"/>
          <w:szCs w:val="24"/>
        </w:rPr>
        <w:t>http://</w:t>
      </w:r>
      <w:bookmarkEnd w:id="252"/>
      <w:bookmarkEnd w:id="253"/>
      <w:r w:rsidRPr="00342B2F">
        <w:rPr>
          <w:rFonts w:ascii="Book Antiqua" w:hAnsi="Book Antiqua"/>
          <w:color w:val="000000"/>
          <w:sz w:val="24"/>
          <w:szCs w:val="24"/>
        </w:rPr>
        <w:t xml:space="preserve">www.wjgnet.com/esps/  </w:t>
      </w:r>
    </w:p>
    <w:p w:rsidR="001368EB" w:rsidRPr="00342B2F" w:rsidRDefault="001368EB" w:rsidP="002A49D5">
      <w:pPr>
        <w:widowControl w:val="0"/>
        <w:autoSpaceDE w:val="0"/>
        <w:autoSpaceDN w:val="0"/>
        <w:adjustRightInd w:val="0"/>
        <w:snapToGrid w:val="0"/>
        <w:spacing w:line="360" w:lineRule="auto"/>
        <w:jc w:val="both"/>
        <w:rPr>
          <w:rFonts w:ascii="Book Antiqua" w:eastAsia="宋体" w:hAnsi="Book Antiqua"/>
          <w:bCs/>
          <w:kern w:val="2"/>
        </w:rPr>
      </w:pPr>
      <w:bookmarkStart w:id="311" w:name="OLE_LINK399"/>
      <w:bookmarkStart w:id="312" w:name="OLE_LINK400"/>
      <w:bookmarkStart w:id="313" w:name="OLE_LINK494"/>
      <w:bookmarkStart w:id="314" w:name="OLE_LINK495"/>
      <w:bookmarkStart w:id="315" w:name="OLE_LINK607"/>
      <w:bookmarkStart w:id="316" w:name="OLE_LINK608"/>
      <w:bookmarkStart w:id="317" w:name="OLE_LINK609"/>
      <w:bookmarkStart w:id="318" w:name="OLE_LINK727"/>
      <w:bookmarkStart w:id="319" w:name="OLE_LINK853"/>
      <w:bookmarkStart w:id="320" w:name="OLE_LINK585"/>
      <w:bookmarkStart w:id="321" w:name="OLE_LINK689"/>
      <w:bookmarkStart w:id="322" w:name="OLE_LINK539"/>
      <w:bookmarkEnd w:id="209"/>
      <w:bookmarkEnd w:id="210"/>
      <w:bookmarkEnd w:id="211"/>
      <w:bookmarkEnd w:id="254"/>
      <w:bookmarkEnd w:id="255"/>
      <w:bookmarkEnd w:id="256"/>
      <w:bookmarkEnd w:id="257"/>
      <w:bookmarkEnd w:id="258"/>
      <w:bookmarkEnd w:id="259"/>
      <w:r w:rsidRPr="00342B2F">
        <w:rPr>
          <w:rFonts w:ascii="Book Antiqua" w:hAnsi="Book Antiqua"/>
          <w:b/>
          <w:bCs/>
          <w:kern w:val="2"/>
        </w:rPr>
        <w:t xml:space="preserve">DOI: </w:t>
      </w:r>
      <w:hyperlink r:id="rId7" w:history="1">
        <w:r w:rsidRPr="00342B2F">
          <w:rPr>
            <w:rStyle w:val="a6"/>
            <w:rFonts w:ascii="Book Antiqua" w:hAnsi="Book Antiqua"/>
            <w:bCs/>
            <w:kern w:val="2"/>
          </w:rPr>
          <w:t>http://dx.doi:10.3748/wjg.v19.i0.0000</w:t>
        </w:r>
      </w:hyperlink>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rsidR="001368EB" w:rsidRPr="00342B2F" w:rsidRDefault="001368EB" w:rsidP="002A49D5">
      <w:pPr>
        <w:widowControl w:val="0"/>
        <w:autoSpaceDE w:val="0"/>
        <w:autoSpaceDN w:val="0"/>
        <w:adjustRightInd w:val="0"/>
        <w:snapToGrid w:val="0"/>
        <w:spacing w:line="360" w:lineRule="auto"/>
        <w:jc w:val="both"/>
        <w:rPr>
          <w:rFonts w:ascii="Book Antiqua" w:eastAsia="宋体" w:hAnsi="Book Antiqua"/>
          <w:bCs/>
          <w:kern w:val="2"/>
        </w:rPr>
      </w:pPr>
    </w:p>
    <w:p w:rsidR="001368EB" w:rsidRPr="00342B2F" w:rsidRDefault="001368EB" w:rsidP="002A49D5">
      <w:pPr>
        <w:widowControl w:val="0"/>
        <w:autoSpaceDE w:val="0"/>
        <w:autoSpaceDN w:val="0"/>
        <w:adjustRightInd w:val="0"/>
        <w:snapToGrid w:val="0"/>
        <w:spacing w:line="360" w:lineRule="auto"/>
        <w:jc w:val="both"/>
        <w:rPr>
          <w:rFonts w:ascii="Book Antiqua" w:eastAsia="宋体" w:hAnsi="Book Antiqua" w:cs="Book Antiqua"/>
        </w:rPr>
      </w:pP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b/>
        </w:rPr>
      </w:pPr>
      <w:r w:rsidRPr="00342B2F">
        <w:rPr>
          <w:rFonts w:ascii="Book Antiqua" w:hAnsi="Book Antiqua" w:cs="Book Antiqua"/>
          <w:b/>
        </w:rPr>
        <w:t>INTRODUCTION</w:t>
      </w: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b/>
          <w:bCs/>
          <w:sz w:val="20"/>
          <w:szCs w:val="20"/>
        </w:rPr>
      </w:pPr>
      <w:r w:rsidRPr="00342B2F">
        <w:rPr>
          <w:rFonts w:ascii="Book Antiqua" w:hAnsi="Book Antiqua" w:cs="Book Antiqua"/>
        </w:rPr>
        <w:t xml:space="preserve">Endoscopic papillectomy </w:t>
      </w:r>
      <w:r w:rsidRPr="00342B2F">
        <w:rPr>
          <w:rFonts w:ascii="Book Antiqua" w:hAnsi="Book Antiqua" w:cs="Book Antiqua"/>
          <w:color w:val="000000"/>
        </w:rPr>
        <w:t xml:space="preserve">(EP) </w:t>
      </w:r>
      <w:r w:rsidRPr="00342B2F">
        <w:rPr>
          <w:rFonts w:ascii="Book Antiqua" w:hAnsi="Book Antiqua" w:cs="Book Antiqua"/>
        </w:rPr>
        <w:t>was first reported by Suzuk</w:t>
      </w:r>
      <w:r w:rsidRPr="00342B2F">
        <w:rPr>
          <w:rFonts w:ascii="Book Antiqua" w:eastAsia="宋体" w:hAnsi="Book Antiqua" w:cs="Book Antiqua"/>
        </w:rPr>
        <w:t>i</w:t>
      </w:r>
      <w:r w:rsidRPr="00342B2F">
        <w:rPr>
          <w:rFonts w:ascii="Book Antiqua" w:hAnsi="Book Antiqua" w:cs="Book Antiqua"/>
        </w:rPr>
        <w:t xml:space="preserve"> </w:t>
      </w:r>
      <w:r w:rsidRPr="00342B2F">
        <w:rPr>
          <w:rFonts w:ascii="Book Antiqua" w:eastAsia="宋体" w:hAnsi="Book Antiqua" w:cs="Book Antiqua"/>
          <w:i/>
        </w:rPr>
        <w:t>et al</w:t>
      </w:r>
      <w:r w:rsidRPr="00342B2F">
        <w:rPr>
          <w:rFonts w:ascii="Book Antiqua" w:hAnsi="Book Antiqua" w:cs="Book Antiqua"/>
          <w:vertAlign w:val="superscript"/>
        </w:rPr>
        <w:t>[1]</w:t>
      </w:r>
      <w:r w:rsidRPr="00342B2F">
        <w:rPr>
          <w:rFonts w:ascii="Book Antiqua" w:hAnsi="Book Antiqua" w:cs="Book Antiqua"/>
        </w:rPr>
        <w:t>. Currently, endoscopic papillectomy has been accepted as a viable alternative therapy to surgery in sporadic ampullary adenoma and has been reported with high success and low recurrence rates.</w:t>
      </w:r>
    </w:p>
    <w:p w:rsidR="001368EB" w:rsidRPr="00342B2F" w:rsidRDefault="001368EB" w:rsidP="002A49D5">
      <w:pPr>
        <w:widowControl w:val="0"/>
        <w:autoSpaceDE w:val="0"/>
        <w:autoSpaceDN w:val="0"/>
        <w:adjustRightInd w:val="0"/>
        <w:snapToGrid w:val="0"/>
        <w:spacing w:line="360" w:lineRule="auto"/>
        <w:ind w:firstLineChars="100" w:firstLine="240"/>
        <w:jc w:val="both"/>
        <w:rPr>
          <w:rFonts w:ascii="Book Antiqua" w:eastAsia="宋体" w:hAnsi="Book Antiqua" w:cs="Book Antiqua"/>
        </w:rPr>
      </w:pPr>
      <w:r w:rsidRPr="00342B2F">
        <w:rPr>
          <w:rFonts w:ascii="Book Antiqua" w:hAnsi="Book Antiqua" w:cs="Book Antiqua"/>
        </w:rPr>
        <w:t xml:space="preserve">In the present report, several issues were assessed: indications, optimal papillectomy technique, complications, and results. </w:t>
      </w:r>
    </w:p>
    <w:p w:rsidR="001368EB" w:rsidRPr="00342B2F" w:rsidRDefault="001368EB" w:rsidP="002A49D5">
      <w:pPr>
        <w:widowControl w:val="0"/>
        <w:autoSpaceDE w:val="0"/>
        <w:autoSpaceDN w:val="0"/>
        <w:adjustRightInd w:val="0"/>
        <w:snapToGrid w:val="0"/>
        <w:spacing w:line="360" w:lineRule="auto"/>
        <w:ind w:firstLineChars="100" w:firstLine="240"/>
        <w:jc w:val="both"/>
        <w:rPr>
          <w:rFonts w:ascii="Book Antiqua" w:eastAsia="宋体" w:hAnsi="Book Antiqua" w:cs="Book Antiqua"/>
        </w:rPr>
      </w:pPr>
    </w:p>
    <w:p w:rsidR="001368EB" w:rsidRPr="00342B2F" w:rsidRDefault="001368EB" w:rsidP="002A49D5">
      <w:pPr>
        <w:widowControl w:val="0"/>
        <w:autoSpaceDE w:val="0"/>
        <w:autoSpaceDN w:val="0"/>
        <w:adjustRightInd w:val="0"/>
        <w:snapToGrid w:val="0"/>
        <w:spacing w:line="360" w:lineRule="auto"/>
        <w:jc w:val="both"/>
        <w:rPr>
          <w:rFonts w:ascii="Book Antiqua" w:eastAsia="宋体" w:hAnsi="Book Antiqua" w:cs="Book Antiqua"/>
          <w:b/>
        </w:rPr>
      </w:pPr>
      <w:r w:rsidRPr="00342B2F">
        <w:rPr>
          <w:rFonts w:ascii="Book Antiqua" w:hAnsi="Book Antiqua" w:cs="Book Antiqua"/>
          <w:b/>
        </w:rPr>
        <w:t>DEFINITION</w:t>
      </w: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rPr>
      </w:pPr>
      <w:r w:rsidRPr="00342B2F">
        <w:rPr>
          <w:rFonts w:ascii="Book Antiqua" w:hAnsi="Book Antiqua" w:cs="Book Antiqua"/>
        </w:rPr>
        <w:t xml:space="preserve">The term ‘‘endoscopic “papillectomy’’ refers to the resection of the mucosa and submucosa of the duodenal wall, in the area of the anatomical attachments of the ampulla of Vater, including the tissue around the bile duct and the pancreatic-duct orifices. </w:t>
      </w:r>
    </w:p>
    <w:p w:rsidR="001368EB" w:rsidRPr="00342B2F" w:rsidRDefault="001368EB" w:rsidP="002A49D5">
      <w:pPr>
        <w:widowControl w:val="0"/>
        <w:autoSpaceDE w:val="0"/>
        <w:autoSpaceDN w:val="0"/>
        <w:adjustRightInd w:val="0"/>
        <w:snapToGrid w:val="0"/>
        <w:spacing w:line="360" w:lineRule="auto"/>
        <w:ind w:firstLineChars="100" w:firstLine="240"/>
        <w:jc w:val="both"/>
        <w:rPr>
          <w:rFonts w:ascii="Book Antiqua" w:eastAsia="宋体" w:hAnsi="Book Antiqua" w:cs="Book Antiqua"/>
        </w:rPr>
      </w:pPr>
      <w:r w:rsidRPr="00342B2F">
        <w:rPr>
          <w:rFonts w:ascii="Book Antiqua" w:hAnsi="Book Antiqua" w:cs="Book Antiqua"/>
        </w:rPr>
        <w:t>Endoscopic papillectomy differs from surgical “ampullectomy” that consists of resection of the ampulla of Vater, via a duodenotomy, including resection of pancreatic-head tissue, followed by separate reinsertion of the common bile duct and main pancreatic into the duodenal wall.</w:t>
      </w:r>
    </w:p>
    <w:p w:rsidR="001368EB" w:rsidRPr="00342B2F" w:rsidRDefault="001368EB" w:rsidP="002A49D5">
      <w:pPr>
        <w:widowControl w:val="0"/>
        <w:autoSpaceDE w:val="0"/>
        <w:autoSpaceDN w:val="0"/>
        <w:adjustRightInd w:val="0"/>
        <w:snapToGrid w:val="0"/>
        <w:spacing w:line="360" w:lineRule="auto"/>
        <w:jc w:val="both"/>
        <w:rPr>
          <w:rFonts w:ascii="Book Antiqua" w:eastAsia="宋体" w:hAnsi="Book Antiqua" w:cs="Book Antiqua"/>
        </w:rPr>
      </w:pPr>
    </w:p>
    <w:p w:rsidR="001368EB" w:rsidRPr="00342B2F" w:rsidRDefault="001368EB" w:rsidP="002A49D5">
      <w:pPr>
        <w:snapToGrid w:val="0"/>
        <w:spacing w:line="360" w:lineRule="auto"/>
        <w:jc w:val="both"/>
        <w:rPr>
          <w:rFonts w:ascii="Book Antiqua" w:eastAsia="宋体" w:hAnsi="Book Antiqua" w:cs="Book Antiqua"/>
          <w:b/>
        </w:rPr>
      </w:pPr>
      <w:r w:rsidRPr="00342B2F">
        <w:rPr>
          <w:rFonts w:ascii="Book Antiqua" w:hAnsi="Book Antiqua" w:cs="Book Antiqua"/>
          <w:b/>
        </w:rPr>
        <w:t>INDICATIONS</w:t>
      </w: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rPr>
      </w:pPr>
      <w:r w:rsidRPr="00342B2F">
        <w:rPr>
          <w:rFonts w:ascii="Book Antiqua" w:hAnsi="Book Antiqua" w:cs="Book Antiqua"/>
        </w:rPr>
        <w:t>The most critical point in EP is the assessment of its indication. At present, indications for EP are not yet fully established. These could be dictate by the collection of features that can predict complete removal of lesion, while minimizing procedure-related morbidities.</w:t>
      </w: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rPr>
      </w:pPr>
      <w:r w:rsidRPr="00342B2F">
        <w:rPr>
          <w:rFonts w:ascii="Book Antiqua" w:hAnsi="Book Antiqua" w:cs="Book Antiqua"/>
        </w:rPr>
        <w:t>The accepted criteria of EP included size (up to 5 cm), no evidence of intraductal growth, and no evidence of malignancy by endoscopic findings (ulceration, friability, and spontaneous bleeding)</w:t>
      </w:r>
      <w:r w:rsidRPr="00342B2F">
        <w:rPr>
          <w:rFonts w:ascii="Book Antiqua" w:hAnsi="Book Antiqua" w:cs="Book Antiqua"/>
          <w:vertAlign w:val="superscript"/>
        </w:rPr>
        <w:t>[2-9]</w:t>
      </w:r>
      <w:r w:rsidRPr="00342B2F">
        <w:rPr>
          <w:rFonts w:ascii="Book Antiqua" w:hAnsi="Book Antiqua" w:cs="Book Antiqua"/>
        </w:rPr>
        <w:t xml:space="preserve"> . </w:t>
      </w:r>
    </w:p>
    <w:p w:rsidR="001368EB" w:rsidRPr="00342B2F" w:rsidRDefault="001368EB" w:rsidP="00B44832">
      <w:pPr>
        <w:widowControl w:val="0"/>
        <w:autoSpaceDE w:val="0"/>
        <w:autoSpaceDN w:val="0"/>
        <w:adjustRightInd w:val="0"/>
        <w:snapToGrid w:val="0"/>
        <w:spacing w:line="360" w:lineRule="auto"/>
        <w:ind w:firstLineChars="100" w:firstLine="240"/>
        <w:jc w:val="both"/>
        <w:rPr>
          <w:rFonts w:ascii="Book Antiqua" w:hAnsi="Book Antiqua" w:cs="Book Antiqua"/>
        </w:rPr>
      </w:pPr>
      <w:r w:rsidRPr="00342B2F">
        <w:rPr>
          <w:rFonts w:ascii="Book Antiqua" w:hAnsi="Book Antiqua" w:cs="Book Antiqua"/>
        </w:rPr>
        <w:lastRenderedPageBreak/>
        <w:t>Actually, indications for EP are evolving</w:t>
      </w:r>
      <w:r w:rsidRPr="00342B2F">
        <w:rPr>
          <w:rFonts w:ascii="Book Antiqua" w:hAnsi="Book Antiqua" w:cs="Book Antiqua"/>
          <w:vertAlign w:val="superscript"/>
        </w:rPr>
        <w:t>[10-16]</w:t>
      </w:r>
      <w:r w:rsidRPr="00342B2F">
        <w:rPr>
          <w:rFonts w:ascii="Book Antiqua" w:hAnsi="Book Antiqua" w:cs="Book Antiqua"/>
        </w:rPr>
        <w:t>. Application of piecemeal resection when appropriate, resulted in a gradual increase in the size of the tumor resected</w:t>
      </w:r>
      <w:r w:rsidRPr="00342B2F">
        <w:rPr>
          <w:rFonts w:ascii="Book Antiqua" w:hAnsi="Book Antiqua" w:cs="Book Antiqua"/>
          <w:vertAlign w:val="superscript"/>
        </w:rPr>
        <w:t>[17]</w:t>
      </w:r>
      <w:r w:rsidRPr="00342B2F">
        <w:rPr>
          <w:rFonts w:ascii="Book Antiqua" w:hAnsi="Book Antiqua" w:cs="Book Antiqua"/>
        </w:rPr>
        <w:t>. Intraductal extension less than 1 cm does not seem to be an absolute contraindication for EP, because the tumor can be exposed to the luminal side with balloon sweeping and, thus, resected completely</w:t>
      </w:r>
      <w:r w:rsidRPr="00342B2F">
        <w:rPr>
          <w:rFonts w:ascii="Book Antiqua" w:hAnsi="Book Antiqua" w:cs="Book Antiqua"/>
          <w:vertAlign w:val="superscript"/>
        </w:rPr>
        <w:t>[18-20]</w:t>
      </w:r>
      <w:r w:rsidRPr="00342B2F">
        <w:rPr>
          <w:rFonts w:ascii="Book Antiqua" w:hAnsi="Book Antiqua" w:cs="Book Antiqua"/>
        </w:rPr>
        <w:t>. Cancer in adenoma without invasion of the muscularis propria of the duodenum, pancreas, or extension along the bile or pancreatic duct is also a possible candidate for this treatment</w:t>
      </w:r>
      <w:r w:rsidRPr="00342B2F">
        <w:rPr>
          <w:rFonts w:ascii="Book Antiqua" w:hAnsi="Book Antiqua" w:cs="Book Antiqua"/>
          <w:vertAlign w:val="superscript"/>
        </w:rPr>
        <w:t>[21-25]</w:t>
      </w:r>
      <w:r w:rsidRPr="00342B2F">
        <w:rPr>
          <w:rFonts w:ascii="Book Antiqua" w:hAnsi="Book Antiqua" w:cs="Book Antiqua"/>
        </w:rPr>
        <w:t>.</w:t>
      </w:r>
    </w:p>
    <w:p w:rsidR="001368EB" w:rsidRPr="00342B2F" w:rsidRDefault="001368EB" w:rsidP="00B44832">
      <w:pPr>
        <w:widowControl w:val="0"/>
        <w:autoSpaceDE w:val="0"/>
        <w:autoSpaceDN w:val="0"/>
        <w:adjustRightInd w:val="0"/>
        <w:snapToGrid w:val="0"/>
        <w:spacing w:line="360" w:lineRule="auto"/>
        <w:ind w:firstLineChars="100" w:firstLine="240"/>
        <w:jc w:val="both"/>
        <w:rPr>
          <w:rFonts w:ascii="Book Antiqua" w:eastAsia="宋体" w:hAnsi="Book Antiqua" w:cs="Book Antiqua"/>
        </w:rPr>
      </w:pPr>
      <w:r w:rsidRPr="00342B2F">
        <w:rPr>
          <w:rFonts w:ascii="Book Antiqua" w:hAnsi="Book Antiqua" w:cs="Book Antiqua"/>
        </w:rPr>
        <w:t>Is important to note that, on some occasions, EP may be indicated as a total biopsy</w:t>
      </w:r>
      <w:r w:rsidRPr="00342B2F">
        <w:rPr>
          <w:rFonts w:ascii="Book Antiqua" w:hAnsi="Book Antiqua" w:cs="Book Antiqua"/>
          <w:vertAlign w:val="superscript"/>
        </w:rPr>
        <w:t>[26]</w:t>
      </w:r>
      <w:r w:rsidRPr="00342B2F">
        <w:rPr>
          <w:rFonts w:ascii="Book Antiqua" w:hAnsi="Book Antiqua" w:cs="Book Antiqua"/>
        </w:rPr>
        <w:t>.</w:t>
      </w:r>
    </w:p>
    <w:p w:rsidR="001368EB" w:rsidRPr="00342B2F" w:rsidRDefault="001368EB" w:rsidP="00B44832">
      <w:pPr>
        <w:widowControl w:val="0"/>
        <w:autoSpaceDE w:val="0"/>
        <w:autoSpaceDN w:val="0"/>
        <w:adjustRightInd w:val="0"/>
        <w:snapToGrid w:val="0"/>
        <w:spacing w:line="360" w:lineRule="auto"/>
        <w:ind w:firstLineChars="100" w:firstLine="240"/>
        <w:jc w:val="both"/>
        <w:rPr>
          <w:rFonts w:ascii="Book Antiqua" w:eastAsia="宋体" w:hAnsi="Book Antiqua" w:cs="Book Antiqua"/>
        </w:rPr>
      </w:pPr>
    </w:p>
    <w:p w:rsidR="001368EB" w:rsidRPr="00342B2F" w:rsidRDefault="001368EB" w:rsidP="002A49D5">
      <w:pPr>
        <w:widowControl w:val="0"/>
        <w:autoSpaceDE w:val="0"/>
        <w:autoSpaceDN w:val="0"/>
        <w:adjustRightInd w:val="0"/>
        <w:snapToGrid w:val="0"/>
        <w:spacing w:line="360" w:lineRule="auto"/>
        <w:jc w:val="both"/>
        <w:rPr>
          <w:rFonts w:ascii="Book Antiqua" w:eastAsia="宋体" w:hAnsi="Book Antiqua" w:cs="Book Antiqua"/>
          <w:b/>
        </w:rPr>
      </w:pPr>
      <w:r w:rsidRPr="00342B2F">
        <w:rPr>
          <w:rFonts w:ascii="Book Antiqua" w:hAnsi="Book Antiqua" w:cs="Book Antiqua"/>
          <w:b/>
        </w:rPr>
        <w:t>PRE-OPERATIVE ASSESSMENT</w:t>
      </w: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rPr>
      </w:pPr>
      <w:r w:rsidRPr="00342B2F">
        <w:rPr>
          <w:rFonts w:ascii="Book Antiqua" w:hAnsi="Book Antiqua" w:cs="Book Antiqua"/>
        </w:rPr>
        <w:t xml:space="preserve">A common problem is to achieve a reliable pretreatment distinction between benign and malignant papillary tumors. </w:t>
      </w:r>
    </w:p>
    <w:p w:rsidR="001368EB" w:rsidRPr="00342B2F" w:rsidRDefault="001368EB" w:rsidP="00B44832">
      <w:pPr>
        <w:widowControl w:val="0"/>
        <w:autoSpaceDE w:val="0"/>
        <w:autoSpaceDN w:val="0"/>
        <w:adjustRightInd w:val="0"/>
        <w:snapToGrid w:val="0"/>
        <w:spacing w:line="360" w:lineRule="auto"/>
        <w:ind w:firstLineChars="100" w:firstLine="240"/>
        <w:jc w:val="both"/>
        <w:rPr>
          <w:rFonts w:ascii="Book Antiqua" w:hAnsi="Book Antiqua" w:cs="Book Antiqua"/>
        </w:rPr>
      </w:pPr>
      <w:r w:rsidRPr="00342B2F">
        <w:rPr>
          <w:rFonts w:ascii="Book Antiqua" w:hAnsi="Book Antiqua" w:cs="Book Antiqua"/>
        </w:rPr>
        <w:t xml:space="preserve">On the basis of endoscopic appearance alone, ampullary adenomas cannot always be distinguished from ampullary carcinomas or non-adenomatous polyps (carcinoid tumors, gangliocytic paragangliomas, </w:t>
      </w:r>
      <w:r w:rsidRPr="00342B2F">
        <w:rPr>
          <w:rFonts w:ascii="Book Antiqua" w:hAnsi="Book Antiqua" w:cs="Book Antiqua"/>
          <w:i/>
        </w:rPr>
        <w:t>etc.</w:t>
      </w:r>
      <w:r w:rsidRPr="00342B2F">
        <w:rPr>
          <w:rFonts w:ascii="Book Antiqua" w:hAnsi="Book Antiqua" w:cs="Book Antiqua"/>
        </w:rPr>
        <w:t>)</w:t>
      </w:r>
      <w:r w:rsidRPr="00342B2F">
        <w:rPr>
          <w:rFonts w:ascii="Book Antiqua" w:hAnsi="Book Antiqua" w:cs="Book Antiqua"/>
          <w:vertAlign w:val="superscript"/>
        </w:rPr>
        <w:t>[27-29]</w:t>
      </w:r>
      <w:r w:rsidRPr="00342B2F">
        <w:rPr>
          <w:rFonts w:ascii="Book Antiqua" w:hAnsi="Book Antiqua" w:cs="Book Antiqua"/>
        </w:rPr>
        <w:t>. Ulceration, friability, and spontaneous bleeding are generally related to malignant lesion. An increased application of magnifying endoscopy and narrow-band imaging can assist in selecting candidates for endoscopic therapy</w:t>
      </w:r>
      <w:r w:rsidRPr="00342B2F">
        <w:rPr>
          <w:rFonts w:ascii="Book Antiqua" w:hAnsi="Book Antiqua" w:cs="Book Antiqua"/>
          <w:vertAlign w:val="superscript"/>
        </w:rPr>
        <w:t>[30,31]</w:t>
      </w:r>
      <w:r w:rsidRPr="00342B2F">
        <w:rPr>
          <w:rFonts w:ascii="Book Antiqua" w:hAnsi="Book Antiqua" w:cs="Book Antiqua"/>
        </w:rPr>
        <w:t>.</w:t>
      </w:r>
    </w:p>
    <w:p w:rsidR="001368EB" w:rsidRPr="00342B2F" w:rsidRDefault="001368EB" w:rsidP="00B44832">
      <w:pPr>
        <w:widowControl w:val="0"/>
        <w:autoSpaceDE w:val="0"/>
        <w:autoSpaceDN w:val="0"/>
        <w:adjustRightInd w:val="0"/>
        <w:snapToGrid w:val="0"/>
        <w:spacing w:line="360" w:lineRule="auto"/>
        <w:ind w:firstLineChars="100" w:firstLine="240"/>
        <w:jc w:val="both"/>
        <w:rPr>
          <w:rFonts w:ascii="Book Antiqua" w:eastAsia="宋体" w:hAnsi="Book Antiqua" w:cs="Book Antiqua"/>
        </w:rPr>
      </w:pPr>
      <w:r w:rsidRPr="00342B2F">
        <w:rPr>
          <w:rFonts w:ascii="Book Antiqua" w:hAnsi="Book Antiqua" w:cs="Book Antiqua"/>
        </w:rPr>
        <w:t>A definitive tissue diagnosis is a prerequisite for appropriate management, but malignancy may be missed in up to 30% of tumors of the major duodenal papilla when forceps biopsy specimens are obtained</w:t>
      </w:r>
      <w:r w:rsidRPr="00342B2F">
        <w:rPr>
          <w:rFonts w:ascii="Book Antiqua" w:hAnsi="Book Antiqua" w:cs="Book Antiqua"/>
          <w:vertAlign w:val="superscript"/>
        </w:rPr>
        <w:t>[32-34]</w:t>
      </w:r>
      <w:r w:rsidRPr="00342B2F">
        <w:rPr>
          <w:rFonts w:ascii="Book Antiqua" w:hAnsi="Book Antiqua" w:cs="Book Antiqua"/>
        </w:rPr>
        <w:t>. Moreover, the coexistence of carcinoma within adenoma cannot be excluded by pre-procedural biopsy. Some authors advocate deeper biopsy after sphincterotomy for accurate diagnosis of endoscopic biopsy</w:t>
      </w:r>
      <w:r w:rsidRPr="00342B2F">
        <w:rPr>
          <w:rFonts w:ascii="Book Antiqua" w:hAnsi="Book Antiqua" w:cs="Book Antiqua"/>
          <w:vertAlign w:val="superscript"/>
        </w:rPr>
        <w:t>[35]</w:t>
      </w:r>
      <w:r w:rsidRPr="00342B2F">
        <w:rPr>
          <w:rFonts w:ascii="Book Antiqua" w:hAnsi="Book Antiqua" w:cs="Book Antiqua"/>
        </w:rPr>
        <w:t>. A prospective study, however, reported that sensitivity was found to be 21% before and 37% after sphincterotomy, concluding that endoscopic forceps biopsies do not allow for reliable preoperative diagnosis of ampullary tumors</w:t>
      </w:r>
      <w:r w:rsidRPr="00342B2F">
        <w:rPr>
          <w:rFonts w:ascii="Book Antiqua" w:hAnsi="Book Antiqua" w:cs="Book Antiqua"/>
          <w:vertAlign w:val="superscript"/>
        </w:rPr>
        <w:t>[36]</w:t>
      </w:r>
      <w:r w:rsidRPr="00342B2F">
        <w:rPr>
          <w:rFonts w:ascii="Book Antiqua" w:hAnsi="Book Antiqua" w:cs="Book Antiqua"/>
        </w:rPr>
        <w:t>. Thus, in some cases, endoscopic papillectomy can be recommended as a diagnostic tool prior to surgery, because of high false-negative rate of biopsy</w:t>
      </w:r>
      <w:r w:rsidRPr="00342B2F">
        <w:rPr>
          <w:rFonts w:ascii="Book Antiqua" w:hAnsi="Book Antiqua" w:cs="Book Antiqua"/>
          <w:vertAlign w:val="superscript"/>
        </w:rPr>
        <w:t>[26]</w:t>
      </w:r>
      <w:r w:rsidRPr="00342B2F">
        <w:rPr>
          <w:rFonts w:ascii="Book Antiqua" w:hAnsi="Book Antiqua" w:cs="Book Antiqua"/>
        </w:rPr>
        <w:t>.</w:t>
      </w:r>
    </w:p>
    <w:p w:rsidR="001368EB" w:rsidRPr="00342B2F" w:rsidRDefault="001368EB" w:rsidP="00B44832">
      <w:pPr>
        <w:widowControl w:val="0"/>
        <w:autoSpaceDE w:val="0"/>
        <w:autoSpaceDN w:val="0"/>
        <w:adjustRightInd w:val="0"/>
        <w:snapToGrid w:val="0"/>
        <w:spacing w:line="360" w:lineRule="auto"/>
        <w:ind w:firstLineChars="100" w:firstLine="240"/>
        <w:jc w:val="both"/>
        <w:rPr>
          <w:rFonts w:ascii="Book Antiqua" w:eastAsia="宋体" w:hAnsi="Book Antiqua" w:cs="Book Antiqua"/>
        </w:rPr>
      </w:pPr>
    </w:p>
    <w:p w:rsidR="001368EB" w:rsidRPr="00342B2F" w:rsidRDefault="001368EB" w:rsidP="002A49D5">
      <w:pPr>
        <w:widowControl w:val="0"/>
        <w:autoSpaceDE w:val="0"/>
        <w:autoSpaceDN w:val="0"/>
        <w:adjustRightInd w:val="0"/>
        <w:snapToGrid w:val="0"/>
        <w:spacing w:line="360" w:lineRule="auto"/>
        <w:jc w:val="both"/>
        <w:rPr>
          <w:rFonts w:ascii="Book Antiqua" w:eastAsia="宋体" w:hAnsi="Book Antiqua" w:cs="Book Antiqua"/>
          <w:b/>
        </w:rPr>
      </w:pPr>
      <w:r w:rsidRPr="00342B2F">
        <w:rPr>
          <w:rFonts w:ascii="Book Antiqua" w:hAnsi="Book Antiqua" w:cs="Book Antiqua"/>
          <w:b/>
        </w:rPr>
        <w:t>STAGING</w:t>
      </w: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rPr>
      </w:pPr>
      <w:r w:rsidRPr="00342B2F">
        <w:rPr>
          <w:rFonts w:ascii="Book Antiqua" w:hAnsi="Book Antiqua" w:cs="Book Antiqua"/>
        </w:rPr>
        <w:t xml:space="preserve">Endoscopic ultrasound (EUS) is the imaging modality of choice for local T staging. The data reported in the literature have revealed that linear EUS is superior to helical </w:t>
      </w:r>
      <w:r w:rsidRPr="00342B2F">
        <w:rPr>
          <w:rFonts w:ascii="Book Antiqua" w:hAnsi="Book Antiqua" w:cs="Book Antiqua"/>
        </w:rPr>
        <w:lastRenderedPageBreak/>
        <w:t>Computed tomography (CT)</w:t>
      </w:r>
      <w:r w:rsidRPr="00342B2F">
        <w:rPr>
          <w:rFonts w:ascii="Book Antiqua" w:eastAsia="宋体" w:hAnsi="Book Antiqua" w:cs="Book Antiqua"/>
        </w:rPr>
        <w:t xml:space="preserve"> </w:t>
      </w:r>
      <w:r w:rsidRPr="00342B2F">
        <w:rPr>
          <w:rFonts w:ascii="Book Antiqua" w:hAnsi="Book Antiqua" w:cs="Book Antiqua"/>
        </w:rPr>
        <w:t>in the preoperative assessment of tumor size, detection of regional nodal metastases and detection of major vascular invasion in patients with periampullary malignancies</w:t>
      </w:r>
      <w:r w:rsidRPr="00342B2F">
        <w:rPr>
          <w:rFonts w:ascii="Book Antiqua" w:hAnsi="Book Antiqua" w:cs="Book Antiqua"/>
          <w:vertAlign w:val="superscript"/>
        </w:rPr>
        <w:t>[37-43]</w:t>
      </w:r>
      <w:r w:rsidRPr="00342B2F">
        <w:rPr>
          <w:rFonts w:ascii="Book Antiqua" w:hAnsi="Book Antiqua" w:cs="Book Antiqua"/>
        </w:rPr>
        <w:t>.</w:t>
      </w:r>
    </w:p>
    <w:p w:rsidR="001368EB" w:rsidRPr="00342B2F" w:rsidRDefault="001368EB" w:rsidP="00B44832">
      <w:pPr>
        <w:widowControl w:val="0"/>
        <w:autoSpaceDE w:val="0"/>
        <w:autoSpaceDN w:val="0"/>
        <w:adjustRightInd w:val="0"/>
        <w:snapToGrid w:val="0"/>
        <w:spacing w:line="360" w:lineRule="auto"/>
        <w:ind w:firstLineChars="100" w:firstLine="240"/>
        <w:jc w:val="both"/>
        <w:rPr>
          <w:rFonts w:ascii="Book Antiqua" w:hAnsi="Book Antiqua" w:cs="Book Antiqua"/>
        </w:rPr>
      </w:pPr>
      <w:r w:rsidRPr="00342B2F">
        <w:rPr>
          <w:rFonts w:ascii="Book Antiqua" w:hAnsi="Book Antiqua" w:cs="Book Antiqua"/>
        </w:rPr>
        <w:t>Many experts agree that lesions less than 1 cm in diameter without suspicious signs of malignancy (ulceration, induration, bleeding and or biopsies showing high-grade dysplasia or carcinoma), do not require EUS but this needs further prospective study and validation</w:t>
      </w:r>
      <w:r w:rsidRPr="00342B2F">
        <w:rPr>
          <w:rFonts w:ascii="Book Antiqua" w:hAnsi="Book Antiqua" w:cs="Book Antiqua"/>
          <w:vertAlign w:val="superscript"/>
        </w:rPr>
        <w:t>[9]</w:t>
      </w:r>
      <w:r w:rsidRPr="00342B2F">
        <w:rPr>
          <w:rFonts w:ascii="Book Antiqua" w:hAnsi="Book Antiqua" w:cs="Book Antiqua"/>
        </w:rPr>
        <w:t>. Intraductal ultrasound (IDUS) using a 20 MHz frequency probe may be more accurate in visualizing the mucosal layers compared with standard echoendoscopes</w:t>
      </w:r>
      <w:r w:rsidRPr="00342B2F">
        <w:rPr>
          <w:rFonts w:ascii="Book Antiqua" w:hAnsi="Book Antiqua" w:cs="Book Antiqua"/>
          <w:vertAlign w:val="superscript"/>
        </w:rPr>
        <w:t>[44-47]</w:t>
      </w:r>
      <w:r w:rsidRPr="00342B2F">
        <w:rPr>
          <w:rFonts w:ascii="Book Antiqua" w:hAnsi="Book Antiqua" w:cs="Book Antiqua"/>
        </w:rPr>
        <w:t>.</w:t>
      </w: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rPr>
      </w:pPr>
      <w:r w:rsidRPr="00342B2F">
        <w:rPr>
          <w:rFonts w:ascii="Book Antiqua" w:hAnsi="Book Antiqua" w:cs="Book Antiqua"/>
        </w:rPr>
        <w:t xml:space="preserve">EUS/IDUS are able to accurately detect involvement of the bile and pancreatic ducts. Tumor extension into either ductal system can also be assessed by endoscopic retrograde cholangiopancreatography (ERCP). This should be performed before ampullectomy if EUS is not available or the findings on EUS are equivocal. Although the presence of intraductal extension of tumor generally indicates the need for surgery, it has been shown that tumor extension of </w:t>
      </w:r>
      <w:r w:rsidRPr="00342B2F">
        <w:rPr>
          <w:rFonts w:ascii="Book Antiqua" w:hAnsi="Book Antiqua" w:cs="Book Antiqua"/>
          <w:b/>
          <w:bCs/>
        </w:rPr>
        <w:t>±</w:t>
      </w:r>
      <w:r w:rsidRPr="00342B2F">
        <w:rPr>
          <w:rFonts w:ascii="Book Antiqua" w:hAnsi="Book Antiqua" w:cs="Book Antiqua"/>
        </w:rPr>
        <w:t xml:space="preserve"> 1 cm into the common bile duct or pancreatic duct can be further resected and ablated endoscopically</w:t>
      </w:r>
      <w:r w:rsidRPr="00342B2F">
        <w:rPr>
          <w:rFonts w:ascii="Book Antiqua" w:hAnsi="Book Antiqua" w:cs="Book Antiqua"/>
          <w:vertAlign w:val="superscript"/>
        </w:rPr>
        <w:t>[18-20]</w:t>
      </w:r>
      <w:r w:rsidRPr="00342B2F">
        <w:rPr>
          <w:rFonts w:ascii="Book Antiqua" w:hAnsi="Book Antiqua" w:cs="Book Antiqua"/>
        </w:rPr>
        <w:t>.</w:t>
      </w:r>
    </w:p>
    <w:p w:rsidR="001368EB" w:rsidRPr="00342B2F" w:rsidRDefault="001368EB" w:rsidP="009310B7">
      <w:pPr>
        <w:widowControl w:val="0"/>
        <w:autoSpaceDE w:val="0"/>
        <w:autoSpaceDN w:val="0"/>
        <w:adjustRightInd w:val="0"/>
        <w:snapToGrid w:val="0"/>
        <w:spacing w:line="360" w:lineRule="auto"/>
        <w:ind w:firstLineChars="100" w:firstLine="240"/>
        <w:jc w:val="both"/>
        <w:rPr>
          <w:rFonts w:ascii="Book Antiqua" w:eastAsia="宋体" w:hAnsi="Book Antiqua" w:cs="Book Antiqua"/>
        </w:rPr>
      </w:pPr>
      <w:r w:rsidRPr="00342B2F">
        <w:rPr>
          <w:rFonts w:ascii="Book Antiqua" w:hAnsi="Book Antiqua" w:cs="Book Antiqua"/>
        </w:rPr>
        <w:t>CT scan, magnetic resonance imaging (MRI), and positron emission tomographic scans are highly sensitive for the detection of distant metastases. In the assessment of nodal involvement, MRI has been found to be superior to both CT and endoscopic ultrasound</w:t>
      </w:r>
      <w:r w:rsidRPr="00342B2F">
        <w:rPr>
          <w:rFonts w:ascii="Book Antiqua" w:hAnsi="Book Antiqua" w:cs="Book Antiqua"/>
          <w:vertAlign w:val="superscript"/>
        </w:rPr>
        <w:t>[38]</w:t>
      </w:r>
      <w:r w:rsidRPr="00342B2F">
        <w:rPr>
          <w:rFonts w:ascii="Book Antiqua" w:hAnsi="Book Antiqua" w:cs="Book Antiqua"/>
        </w:rPr>
        <w:t>.</w:t>
      </w:r>
    </w:p>
    <w:p w:rsidR="001368EB" w:rsidRPr="00342B2F" w:rsidRDefault="001368EB" w:rsidP="009310B7">
      <w:pPr>
        <w:widowControl w:val="0"/>
        <w:autoSpaceDE w:val="0"/>
        <w:autoSpaceDN w:val="0"/>
        <w:adjustRightInd w:val="0"/>
        <w:snapToGrid w:val="0"/>
        <w:spacing w:line="360" w:lineRule="auto"/>
        <w:ind w:firstLineChars="100" w:firstLine="240"/>
        <w:jc w:val="both"/>
        <w:rPr>
          <w:rFonts w:ascii="Book Antiqua" w:eastAsia="宋体" w:hAnsi="Book Antiqua" w:cs="Book Antiqua"/>
        </w:rPr>
      </w:pPr>
    </w:p>
    <w:p w:rsidR="001368EB" w:rsidRPr="00342B2F" w:rsidRDefault="001368EB" w:rsidP="002A49D5">
      <w:pPr>
        <w:snapToGrid w:val="0"/>
        <w:spacing w:line="360" w:lineRule="auto"/>
        <w:jc w:val="both"/>
        <w:rPr>
          <w:rFonts w:ascii="Book Antiqua" w:eastAsia="宋体" w:hAnsi="Book Antiqua" w:cs="Book Antiqua"/>
          <w:b/>
        </w:rPr>
      </w:pPr>
      <w:r w:rsidRPr="00342B2F">
        <w:rPr>
          <w:rFonts w:ascii="Book Antiqua" w:hAnsi="Book Antiqua" w:cs="Book Antiqua"/>
          <w:b/>
        </w:rPr>
        <w:t>TECHNIQUE</w:t>
      </w: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rPr>
      </w:pPr>
      <w:r w:rsidRPr="00342B2F">
        <w:rPr>
          <w:rFonts w:ascii="Book Antiqua" w:hAnsi="Book Antiqua" w:cs="Book Antiqua"/>
        </w:rPr>
        <w:t>Endoscopic ampullectomy is performed with a standard duodenoscope in a similar manner to snare polypectomy of a mucosal lesion. There is no standardization of equipmen</w:t>
      </w:r>
      <w:r>
        <w:rPr>
          <w:rFonts w:ascii="Book Antiqua" w:hAnsi="Book Antiqua" w:cs="Book Antiqua"/>
        </w:rPr>
        <w:t>t or technique and methods of E</w:t>
      </w:r>
      <w:r w:rsidRPr="00342B2F">
        <w:rPr>
          <w:rFonts w:ascii="Book Antiqua" w:hAnsi="Book Antiqua" w:cs="Book Antiqua"/>
        </w:rPr>
        <w:t>P are described broad. There are also no guidelines regarding</w:t>
      </w:r>
      <w:r w:rsidRPr="00342B2F">
        <w:rPr>
          <w:rFonts w:ascii="Book Antiqua" w:hAnsi="Book Antiqua" w:cs="Book Antiqua"/>
          <w:sz w:val="20"/>
          <w:szCs w:val="20"/>
        </w:rPr>
        <w:t xml:space="preserve"> </w:t>
      </w:r>
      <w:r w:rsidRPr="00342B2F">
        <w:rPr>
          <w:rFonts w:ascii="Book Antiqua" w:hAnsi="Book Antiqua" w:cs="Book Antiqua"/>
        </w:rPr>
        <w:t>the power output and the mode of electrosurgical current (cutting or coagulation), the use of adjunctive interventions, such as submucosal injection, post-ampullectomy ablative therapy, and prophylactic stent placement. The need for prophylactic antibiotics prior to ampullectomy has not been established</w:t>
      </w:r>
      <w:r w:rsidRPr="00342B2F">
        <w:rPr>
          <w:rFonts w:ascii="Book Antiqua" w:hAnsi="Book Antiqua" w:cs="Book Antiqua"/>
          <w:vertAlign w:val="superscript"/>
        </w:rPr>
        <w:t>[48]</w:t>
      </w:r>
      <w:r w:rsidRPr="00342B2F">
        <w:rPr>
          <w:rFonts w:ascii="Book Antiqua" w:hAnsi="Book Antiqua" w:cs="Book Antiqua"/>
        </w:rPr>
        <w:t xml:space="preserve">. </w:t>
      </w:r>
    </w:p>
    <w:p w:rsidR="001368EB" w:rsidRPr="00342B2F" w:rsidRDefault="001368EB" w:rsidP="00720BC1">
      <w:pPr>
        <w:widowControl w:val="0"/>
        <w:autoSpaceDE w:val="0"/>
        <w:autoSpaceDN w:val="0"/>
        <w:adjustRightInd w:val="0"/>
        <w:snapToGrid w:val="0"/>
        <w:spacing w:line="360" w:lineRule="auto"/>
        <w:ind w:firstLineChars="100" w:firstLine="240"/>
        <w:jc w:val="both"/>
        <w:rPr>
          <w:rFonts w:ascii="Book Antiqua" w:hAnsi="Book Antiqua" w:cs="Book Antiqua"/>
        </w:rPr>
      </w:pPr>
      <w:r w:rsidRPr="00342B2F">
        <w:rPr>
          <w:rFonts w:ascii="Book Antiqua" w:hAnsi="Book Antiqua" w:cs="Book Antiqua"/>
        </w:rPr>
        <w:t xml:space="preserve">The procedure starts with cannulation of both the bile duct and pancreatic duct and partially fill the ducts with contrast so they can be easily recannulated after the major papilla is resected. To preserve access to the pancreatic duct, some experts have placed methylene blue in contrast injected into the pancreatic duct to assist in identifying the pancreatic orifice. </w:t>
      </w:r>
    </w:p>
    <w:p w:rsidR="001368EB" w:rsidRPr="00342B2F" w:rsidRDefault="001368EB" w:rsidP="00720BC1">
      <w:pPr>
        <w:widowControl w:val="0"/>
        <w:autoSpaceDE w:val="0"/>
        <w:autoSpaceDN w:val="0"/>
        <w:adjustRightInd w:val="0"/>
        <w:snapToGrid w:val="0"/>
        <w:spacing w:line="360" w:lineRule="auto"/>
        <w:ind w:firstLineChars="100" w:firstLine="240"/>
        <w:jc w:val="both"/>
        <w:rPr>
          <w:rFonts w:ascii="Book Antiqua" w:hAnsi="Book Antiqua" w:cs="Book Antiqua"/>
        </w:rPr>
      </w:pPr>
      <w:r w:rsidRPr="00342B2F">
        <w:rPr>
          <w:rFonts w:ascii="Book Antiqua" w:hAnsi="Book Antiqua" w:cs="Book Antiqua"/>
        </w:rPr>
        <w:lastRenderedPageBreak/>
        <w:t xml:space="preserve">Once the delineation of the biliary and the pancreatic ducts has been made a standard polypectomy snare and blended electrosurgical current (50-60 J) are generally used. The papillary tumor is snared at the base, and constant tension is applied to the snare loop during electrosurgery until the lesion is transected. Aggressive efforts to retrieve all resected tissue in all patients for histopathologic evaluation are mandatory (Figure 1). </w:t>
      </w:r>
    </w:p>
    <w:p w:rsidR="001368EB" w:rsidRPr="00342B2F" w:rsidRDefault="001368EB" w:rsidP="00720BC1">
      <w:pPr>
        <w:widowControl w:val="0"/>
        <w:autoSpaceDE w:val="0"/>
        <w:autoSpaceDN w:val="0"/>
        <w:adjustRightInd w:val="0"/>
        <w:snapToGrid w:val="0"/>
        <w:spacing w:line="360" w:lineRule="auto"/>
        <w:ind w:firstLineChars="100" w:firstLine="240"/>
        <w:jc w:val="both"/>
        <w:rPr>
          <w:rFonts w:ascii="Book Antiqua" w:hAnsi="Book Antiqua" w:cs="Book Antiqua"/>
        </w:rPr>
      </w:pPr>
      <w:r w:rsidRPr="00342B2F">
        <w:rPr>
          <w:rFonts w:ascii="Book Antiqua" w:hAnsi="Book Antiqua" w:cs="Book Antiqua"/>
        </w:rPr>
        <w:t>Balloon-catheter-assisted papillectomy has also been advocated to facilitate</w:t>
      </w:r>
      <w:r w:rsidRPr="00342B2F">
        <w:rPr>
          <w:rFonts w:ascii="Book Antiqua" w:hAnsi="Book Antiqua" w:cs="Book Antiqua"/>
          <w:i/>
        </w:rPr>
        <w:t xml:space="preserve"> en bloc </w:t>
      </w:r>
      <w:r w:rsidRPr="00342B2F">
        <w:rPr>
          <w:rFonts w:ascii="Book Antiqua" w:hAnsi="Book Antiqua" w:cs="Book Antiqua"/>
        </w:rPr>
        <w:t>resection mainly of flat papillary tumors</w:t>
      </w:r>
      <w:r w:rsidRPr="00342B2F">
        <w:rPr>
          <w:rFonts w:ascii="Book Antiqua" w:hAnsi="Book Antiqua" w:cs="Book Antiqua"/>
          <w:vertAlign w:val="superscript"/>
        </w:rPr>
        <w:t>[18,19]</w:t>
      </w:r>
      <w:r w:rsidRPr="00342B2F">
        <w:rPr>
          <w:rFonts w:ascii="Book Antiqua" w:hAnsi="Book Antiqua" w:cs="Book Antiqua"/>
        </w:rPr>
        <w:t>.</w:t>
      </w:r>
    </w:p>
    <w:p w:rsidR="001368EB" w:rsidRPr="00342B2F" w:rsidRDefault="001368EB" w:rsidP="00720BC1">
      <w:pPr>
        <w:widowControl w:val="0"/>
        <w:autoSpaceDE w:val="0"/>
        <w:autoSpaceDN w:val="0"/>
        <w:adjustRightInd w:val="0"/>
        <w:snapToGrid w:val="0"/>
        <w:spacing w:line="360" w:lineRule="auto"/>
        <w:ind w:firstLineChars="100" w:firstLine="240"/>
        <w:jc w:val="both"/>
        <w:rPr>
          <w:rFonts w:ascii="Book Antiqua" w:hAnsi="Book Antiqua" w:cs="Book Antiqua"/>
        </w:rPr>
      </w:pPr>
      <w:r w:rsidRPr="00342B2F">
        <w:rPr>
          <w:rFonts w:ascii="Book Antiqua" w:hAnsi="Book Antiqua" w:cs="Book Antiqua"/>
        </w:rPr>
        <w:t>For lesions not resectable “</w:t>
      </w:r>
      <w:r w:rsidRPr="00342B2F">
        <w:rPr>
          <w:rFonts w:ascii="Book Antiqua" w:hAnsi="Book Antiqua" w:cs="Book Antiqua"/>
          <w:i/>
        </w:rPr>
        <w:t>en bloc</w:t>
      </w:r>
      <w:r w:rsidRPr="00342B2F">
        <w:rPr>
          <w:rFonts w:ascii="Book Antiqua" w:hAnsi="Book Antiqua" w:cs="Book Antiqua"/>
        </w:rPr>
        <w:t>”, piecemeal polypectomy is recommended.</w:t>
      </w:r>
      <w:r w:rsidRPr="00342B2F">
        <w:rPr>
          <w:rFonts w:ascii="Book Antiqua" w:hAnsi="Book Antiqua" w:cs="Book Antiqua"/>
          <w:sz w:val="20"/>
          <w:szCs w:val="20"/>
        </w:rPr>
        <w:t xml:space="preserve"> </w:t>
      </w:r>
      <w:r w:rsidRPr="00342B2F">
        <w:rPr>
          <w:rFonts w:ascii="Book Antiqua" w:hAnsi="Book Antiqua" w:cs="Book Antiqua"/>
        </w:rPr>
        <w:t xml:space="preserve">However, </w:t>
      </w:r>
      <w:r w:rsidRPr="00342B2F">
        <w:rPr>
          <w:rFonts w:ascii="Book Antiqua" w:hAnsi="Book Antiqua" w:cs="Book Antiqua"/>
          <w:i/>
        </w:rPr>
        <w:t>en bloc</w:t>
      </w:r>
      <w:r w:rsidRPr="00342B2F">
        <w:rPr>
          <w:rFonts w:ascii="Book Antiqua" w:hAnsi="Book Antiqua" w:cs="Book Antiqua"/>
        </w:rPr>
        <w:t xml:space="preserve"> resection is fundamental to the treatment of neoplastic lesions, because this allows more precise histopathologic evaluation of the resection specimen</w:t>
      </w:r>
      <w:r w:rsidRPr="00342B2F">
        <w:rPr>
          <w:rFonts w:ascii="Book Antiqua" w:hAnsi="Book Antiqua" w:cs="Book Antiqua"/>
          <w:vertAlign w:val="superscript"/>
        </w:rPr>
        <w:t>[19,49]</w:t>
      </w:r>
      <w:r w:rsidRPr="00342B2F">
        <w:rPr>
          <w:rFonts w:ascii="Book Antiqua" w:hAnsi="Book Antiqua" w:cs="Book Antiqua"/>
        </w:rPr>
        <w:t>.</w:t>
      </w:r>
    </w:p>
    <w:p w:rsidR="001368EB" w:rsidRPr="00342B2F" w:rsidRDefault="001368EB" w:rsidP="00720BC1">
      <w:pPr>
        <w:widowControl w:val="0"/>
        <w:autoSpaceDE w:val="0"/>
        <w:autoSpaceDN w:val="0"/>
        <w:adjustRightInd w:val="0"/>
        <w:snapToGrid w:val="0"/>
        <w:spacing w:line="360" w:lineRule="auto"/>
        <w:ind w:firstLineChars="100" w:firstLine="240"/>
        <w:jc w:val="both"/>
        <w:rPr>
          <w:rFonts w:ascii="Book Antiqua" w:hAnsi="Book Antiqua" w:cs="Book Antiqua"/>
        </w:rPr>
      </w:pPr>
      <w:r w:rsidRPr="00342B2F">
        <w:rPr>
          <w:rFonts w:ascii="Book Antiqua" w:hAnsi="Book Antiqua" w:cs="Book Antiqua"/>
        </w:rPr>
        <w:t>Submucosal injection of dilute epinephrine is suggested as a means of lifting the tumor from the wall; this also may decrease the risk of bleeding. It is uncertain, however, whether epinephrine injection reduces the risk of bleeding and perforation</w:t>
      </w:r>
      <w:r w:rsidRPr="00342B2F">
        <w:rPr>
          <w:rFonts w:ascii="Book Antiqua" w:hAnsi="Book Antiqua" w:cs="Book Antiqua"/>
          <w:vertAlign w:val="superscript"/>
        </w:rPr>
        <w:t>[11,20,50]</w:t>
      </w:r>
      <w:r w:rsidRPr="00342B2F">
        <w:rPr>
          <w:rFonts w:ascii="Book Antiqua" w:hAnsi="Book Antiqua" w:cs="Book Antiqua"/>
        </w:rPr>
        <w:t>.</w:t>
      </w:r>
    </w:p>
    <w:p w:rsidR="001368EB" w:rsidRPr="00342B2F" w:rsidRDefault="001368EB" w:rsidP="00720BC1">
      <w:pPr>
        <w:widowControl w:val="0"/>
        <w:autoSpaceDE w:val="0"/>
        <w:autoSpaceDN w:val="0"/>
        <w:adjustRightInd w:val="0"/>
        <w:snapToGrid w:val="0"/>
        <w:spacing w:line="360" w:lineRule="auto"/>
        <w:ind w:firstLineChars="100" w:firstLine="240"/>
        <w:jc w:val="both"/>
        <w:rPr>
          <w:rFonts w:ascii="Book Antiqua" w:hAnsi="Book Antiqua" w:cs="Book Antiqua"/>
        </w:rPr>
      </w:pPr>
      <w:r w:rsidRPr="00342B2F">
        <w:rPr>
          <w:rFonts w:ascii="Book Antiqua" w:hAnsi="Book Antiqua" w:cs="Book Antiqua"/>
        </w:rPr>
        <w:t>If residual neoplastic tissue remains after snare excision this should be destroyed.  Argon plasma coagulation is the most frequently used modality due to the non-contact approach that limits the depth of tissue injury</w:t>
      </w:r>
      <w:r w:rsidRPr="00342B2F">
        <w:rPr>
          <w:rFonts w:ascii="Book Antiqua" w:hAnsi="Book Antiqua" w:cs="Book Antiqua"/>
          <w:vertAlign w:val="superscript"/>
        </w:rPr>
        <w:t>[9,48,50,51]</w:t>
      </w:r>
      <w:r w:rsidRPr="00342B2F">
        <w:rPr>
          <w:rFonts w:ascii="Book Antiqua" w:hAnsi="Book Antiqua" w:cs="Book Antiqua"/>
        </w:rPr>
        <w:t>.</w:t>
      </w:r>
    </w:p>
    <w:p w:rsidR="001368EB" w:rsidRPr="00342B2F" w:rsidRDefault="001368EB" w:rsidP="00720BC1">
      <w:pPr>
        <w:widowControl w:val="0"/>
        <w:autoSpaceDE w:val="0"/>
        <w:autoSpaceDN w:val="0"/>
        <w:adjustRightInd w:val="0"/>
        <w:snapToGrid w:val="0"/>
        <w:spacing w:line="360" w:lineRule="auto"/>
        <w:ind w:firstLineChars="100" w:firstLine="240"/>
        <w:jc w:val="both"/>
        <w:rPr>
          <w:rFonts w:ascii="Book Antiqua" w:hAnsi="Book Antiqua" w:cs="Book Antiqua"/>
        </w:rPr>
      </w:pPr>
      <w:r w:rsidRPr="00342B2F">
        <w:rPr>
          <w:rFonts w:ascii="Book Antiqua" w:hAnsi="Book Antiqua" w:cs="Book Antiqua"/>
        </w:rPr>
        <w:t>Many authorities suggest that placement of a pancreatic stent reduces the risk of papillectomy-related pancreatitis minimizing, moreover, the risk of stenosis of the pancreatic duct orifice and also allowing safer use of adjunctive coagulative therapies, but this theory is unproven. Others advocate pancreatic stent placement only if the pancreatic duct does not drain after papillectomy</w:t>
      </w:r>
      <w:r w:rsidRPr="00342B2F">
        <w:rPr>
          <w:rFonts w:ascii="Book Antiqua" w:hAnsi="Book Antiqua" w:cs="Book Antiqua"/>
          <w:vertAlign w:val="superscript"/>
        </w:rPr>
        <w:t>[52-55]</w:t>
      </w:r>
      <w:r w:rsidRPr="00342B2F">
        <w:rPr>
          <w:rFonts w:ascii="Book Antiqua" w:hAnsi="Book Antiqua" w:cs="Book Antiqua"/>
        </w:rPr>
        <w:t>. The only prospective, randomized, controlled trial to evaluate the role of prophylactic pancreatic duct stenting for the reduction of post-ERCP pancreatitis after endoscopic papillectomy showed a statistically significant decrease in the rate of post-procedure pancreatitis in the stent group</w:t>
      </w:r>
      <w:r w:rsidRPr="00342B2F">
        <w:rPr>
          <w:rFonts w:ascii="Book Antiqua" w:hAnsi="Book Antiqua" w:cs="Book Antiqua"/>
          <w:vertAlign w:val="superscript"/>
        </w:rPr>
        <w:t>[56]</w:t>
      </w:r>
      <w:r w:rsidRPr="00342B2F">
        <w:rPr>
          <w:rFonts w:ascii="Book Antiqua" w:hAnsi="Book Antiqua" w:cs="Book Antiqua"/>
        </w:rPr>
        <w:t>. There is no data as to how long the duct should be stented.</w:t>
      </w:r>
      <w:r w:rsidRPr="00342B2F">
        <w:rPr>
          <w:rFonts w:ascii="Book Antiqua" w:hAnsi="Book Antiqua" w:cs="Book Antiqua"/>
          <w:sz w:val="20"/>
          <w:szCs w:val="20"/>
        </w:rPr>
        <w:t xml:space="preserve"> </w:t>
      </w:r>
      <w:r w:rsidRPr="00342B2F">
        <w:rPr>
          <w:rFonts w:ascii="Book Antiqua" w:hAnsi="Book Antiqua" w:cs="Book Antiqua"/>
        </w:rPr>
        <w:t>Most pancreatic stents will migrate spontaneously out of the pancreatic duct within 2 wk of insertion. This is confirmed with an abdominal x-ray at 2 wk. A stent that remains in situ is removed endoscopically.</w:t>
      </w:r>
    </w:p>
    <w:p w:rsidR="001368EB" w:rsidRPr="00342B2F" w:rsidRDefault="001368EB" w:rsidP="0018702F">
      <w:pPr>
        <w:widowControl w:val="0"/>
        <w:autoSpaceDE w:val="0"/>
        <w:autoSpaceDN w:val="0"/>
        <w:adjustRightInd w:val="0"/>
        <w:snapToGrid w:val="0"/>
        <w:spacing w:line="360" w:lineRule="auto"/>
        <w:ind w:firstLineChars="100" w:firstLine="240"/>
        <w:jc w:val="both"/>
        <w:rPr>
          <w:rFonts w:ascii="Book Antiqua" w:eastAsia="宋体" w:hAnsi="Book Antiqua" w:cs="Book Antiqua"/>
        </w:rPr>
      </w:pPr>
      <w:r w:rsidRPr="00342B2F">
        <w:rPr>
          <w:rFonts w:ascii="Book Antiqua" w:hAnsi="Book Antiqua" w:cs="Book Antiqua"/>
        </w:rPr>
        <w:t>Prophylactic biliary stenting to reduce the risk of post-procedural cholangitis has not been widely performed and cannot be uniformly recommended at this time unless there is concern about inadequate biliary drainage after a papillectomy</w:t>
      </w:r>
      <w:r w:rsidRPr="00342B2F">
        <w:rPr>
          <w:rFonts w:ascii="Book Antiqua" w:hAnsi="Book Antiqua" w:cs="Book Antiqua"/>
          <w:vertAlign w:val="superscript"/>
        </w:rPr>
        <w:t>[2,8,50,57]</w:t>
      </w:r>
      <w:r w:rsidRPr="00342B2F">
        <w:rPr>
          <w:rFonts w:ascii="Book Antiqua" w:hAnsi="Book Antiqua" w:cs="Book Antiqua"/>
        </w:rPr>
        <w:t>.</w:t>
      </w:r>
    </w:p>
    <w:p w:rsidR="001368EB" w:rsidRPr="00342B2F" w:rsidRDefault="001368EB" w:rsidP="0018702F">
      <w:pPr>
        <w:widowControl w:val="0"/>
        <w:autoSpaceDE w:val="0"/>
        <w:autoSpaceDN w:val="0"/>
        <w:adjustRightInd w:val="0"/>
        <w:snapToGrid w:val="0"/>
        <w:spacing w:line="360" w:lineRule="auto"/>
        <w:ind w:firstLineChars="100" w:firstLine="240"/>
        <w:jc w:val="both"/>
        <w:rPr>
          <w:rFonts w:ascii="Book Antiqua" w:eastAsia="宋体" w:hAnsi="Book Antiqua" w:cs="Book Antiqua"/>
        </w:rPr>
      </w:pPr>
    </w:p>
    <w:p w:rsidR="001368EB" w:rsidRPr="00342B2F" w:rsidRDefault="001368EB" w:rsidP="002A49D5">
      <w:pPr>
        <w:widowControl w:val="0"/>
        <w:autoSpaceDE w:val="0"/>
        <w:autoSpaceDN w:val="0"/>
        <w:adjustRightInd w:val="0"/>
        <w:snapToGrid w:val="0"/>
        <w:spacing w:line="360" w:lineRule="auto"/>
        <w:jc w:val="both"/>
        <w:rPr>
          <w:rFonts w:ascii="Book Antiqua" w:eastAsia="宋体" w:hAnsi="Book Antiqua" w:cs="Book Antiqua"/>
          <w:b/>
        </w:rPr>
      </w:pPr>
      <w:r w:rsidRPr="00342B2F">
        <w:rPr>
          <w:rFonts w:ascii="Book Antiqua" w:hAnsi="Book Antiqua" w:cs="Book Antiqua"/>
          <w:b/>
        </w:rPr>
        <w:t>COMPLICATIONS</w:t>
      </w: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rPr>
      </w:pPr>
      <w:r w:rsidRPr="00342B2F">
        <w:rPr>
          <w:rFonts w:ascii="Book Antiqua" w:hAnsi="Book Antiqua" w:cs="Book Antiqua"/>
        </w:rPr>
        <w:lastRenderedPageBreak/>
        <w:t xml:space="preserve">Endoscopic amoullectomy is considered a ‘‘high-risk’’ procedure for complications. Complications of endoscopic papillectomy can be classified as early (pancreatitis, bleeding, perforation, and cholangitis) and late (papillary stenosis) complications. </w:t>
      </w:r>
    </w:p>
    <w:p w:rsidR="001368EB" w:rsidRPr="00342B2F" w:rsidRDefault="001368EB" w:rsidP="0018702F">
      <w:pPr>
        <w:widowControl w:val="0"/>
        <w:autoSpaceDE w:val="0"/>
        <w:autoSpaceDN w:val="0"/>
        <w:adjustRightInd w:val="0"/>
        <w:snapToGrid w:val="0"/>
        <w:spacing w:line="360" w:lineRule="auto"/>
        <w:ind w:firstLineChars="100" w:firstLine="240"/>
        <w:jc w:val="both"/>
        <w:rPr>
          <w:rFonts w:ascii="Book Antiqua" w:hAnsi="Book Antiqua" w:cs="Book Antiqua"/>
        </w:rPr>
      </w:pPr>
      <w:r w:rsidRPr="00342B2F">
        <w:rPr>
          <w:rFonts w:ascii="Book Antiqua" w:hAnsi="Book Antiqua" w:cs="Book Antiqua"/>
        </w:rPr>
        <w:t>The overall rate of complications after ampullectomy reported from large, tertiary care referral centers varies between 8% and 35%, with the most common complication being pancreatitis (5%-15%) and bleeding (2%-16%)</w:t>
      </w:r>
      <w:r w:rsidRPr="00342B2F">
        <w:rPr>
          <w:rFonts w:ascii="Book Antiqua" w:hAnsi="Book Antiqua" w:cs="Book Antiqua"/>
          <w:vertAlign w:val="superscript"/>
        </w:rPr>
        <w:t>[14,17,51,58-61]</w:t>
      </w:r>
      <w:r w:rsidRPr="00342B2F">
        <w:rPr>
          <w:rFonts w:ascii="Book Antiqua" w:hAnsi="Book Antiqua" w:cs="Book Antiqua"/>
        </w:rPr>
        <w:t>. Most bleeding can be controlled by conservative management and endoscopic hemostasis. Most post-procedural pancreatitis was mild and resolved with conservative management only. Late complications include the development of pancreatic or biliary stenosis (0%-8%) and can be treated with sphincterotomy, stents, and balloon dilation. The appropriate use of stenting after ampullectomy may prevent post-procedural pancreatitis and papillary stenosis</w:t>
      </w:r>
      <w:r w:rsidRPr="00342B2F">
        <w:rPr>
          <w:rFonts w:ascii="Book Antiqua" w:hAnsi="Book Antiqua" w:cs="Book Antiqua"/>
          <w:vertAlign w:val="superscript"/>
        </w:rPr>
        <w:t>[52-57]</w:t>
      </w:r>
      <w:r w:rsidRPr="00342B2F">
        <w:rPr>
          <w:rFonts w:ascii="Book Antiqua" w:hAnsi="Book Antiqua" w:cs="Book Antiqua"/>
        </w:rPr>
        <w:t>. As evidenced by a recent randomized trial, prophylactic rectal indomethacin significantly reduces the incidence and severity of post-ERCP pancreatitis providing an incremental benefit over temporary pancreatic stents</w:t>
      </w:r>
      <w:r w:rsidRPr="00342B2F">
        <w:rPr>
          <w:rFonts w:ascii="Book Antiqua" w:hAnsi="Book Antiqua" w:cs="Book Antiqua"/>
          <w:vertAlign w:val="superscript"/>
        </w:rPr>
        <w:t>[62]</w:t>
      </w:r>
      <w:r w:rsidRPr="00342B2F">
        <w:rPr>
          <w:rFonts w:ascii="Book Antiqua" w:hAnsi="Book Antiqua" w:cs="Book Antiqua"/>
        </w:rPr>
        <w:t>.</w:t>
      </w:r>
    </w:p>
    <w:p w:rsidR="001368EB" w:rsidRPr="00342B2F" w:rsidRDefault="001368EB" w:rsidP="0018702F">
      <w:pPr>
        <w:widowControl w:val="0"/>
        <w:autoSpaceDE w:val="0"/>
        <w:autoSpaceDN w:val="0"/>
        <w:adjustRightInd w:val="0"/>
        <w:snapToGrid w:val="0"/>
        <w:spacing w:line="360" w:lineRule="auto"/>
        <w:ind w:firstLineChars="100" w:firstLine="240"/>
        <w:jc w:val="both"/>
        <w:rPr>
          <w:rFonts w:ascii="Book Antiqua" w:eastAsia="宋体" w:hAnsi="Book Antiqua" w:cs="Book Antiqua"/>
        </w:rPr>
      </w:pPr>
      <w:r w:rsidRPr="00342B2F">
        <w:rPr>
          <w:rFonts w:ascii="Book Antiqua" w:hAnsi="Book Antiqua" w:cs="Book Antiqua"/>
        </w:rPr>
        <w:t>Mortality after endoscopic ampullectomy is rare, but has been reported on average in 0.4% (range 0%-7%)</w:t>
      </w:r>
      <w:r w:rsidRPr="00342B2F">
        <w:rPr>
          <w:rFonts w:ascii="Book Antiqua" w:hAnsi="Book Antiqua" w:cs="Book Antiqua"/>
          <w:vertAlign w:val="superscript"/>
        </w:rPr>
        <w:t>[63]</w:t>
      </w:r>
      <w:r w:rsidRPr="00342B2F">
        <w:rPr>
          <w:rFonts w:ascii="Book Antiqua" w:hAnsi="Book Antiqua" w:cs="Book Antiqua"/>
        </w:rPr>
        <w:t xml:space="preserve">. </w:t>
      </w:r>
    </w:p>
    <w:p w:rsidR="001368EB" w:rsidRPr="00342B2F" w:rsidRDefault="001368EB" w:rsidP="0018702F">
      <w:pPr>
        <w:widowControl w:val="0"/>
        <w:autoSpaceDE w:val="0"/>
        <w:autoSpaceDN w:val="0"/>
        <w:adjustRightInd w:val="0"/>
        <w:snapToGrid w:val="0"/>
        <w:spacing w:line="360" w:lineRule="auto"/>
        <w:ind w:firstLineChars="100" w:firstLine="240"/>
        <w:jc w:val="both"/>
        <w:rPr>
          <w:rFonts w:ascii="Book Antiqua" w:eastAsia="宋体" w:hAnsi="Book Antiqua" w:cs="Book Antiqua"/>
        </w:rPr>
      </w:pPr>
    </w:p>
    <w:p w:rsidR="001368EB" w:rsidRPr="00342B2F" w:rsidRDefault="001368EB" w:rsidP="002A49D5">
      <w:pPr>
        <w:widowControl w:val="0"/>
        <w:autoSpaceDE w:val="0"/>
        <w:autoSpaceDN w:val="0"/>
        <w:adjustRightInd w:val="0"/>
        <w:snapToGrid w:val="0"/>
        <w:spacing w:line="360" w:lineRule="auto"/>
        <w:jc w:val="both"/>
        <w:rPr>
          <w:rFonts w:ascii="Book Antiqua" w:eastAsia="宋体" w:hAnsi="Book Antiqua" w:cs="Book Antiqua"/>
          <w:b/>
        </w:rPr>
      </w:pPr>
      <w:r w:rsidRPr="00342B2F">
        <w:rPr>
          <w:rFonts w:ascii="Book Antiqua" w:hAnsi="Book Antiqua" w:cs="Book Antiqua"/>
          <w:b/>
        </w:rPr>
        <w:t xml:space="preserve">OUTCOMES </w:t>
      </w:r>
    </w:p>
    <w:p w:rsidR="001368EB" w:rsidRPr="00342B2F" w:rsidRDefault="001368EB" w:rsidP="002A49D5">
      <w:pPr>
        <w:widowControl w:val="0"/>
        <w:autoSpaceDE w:val="0"/>
        <w:autoSpaceDN w:val="0"/>
        <w:adjustRightInd w:val="0"/>
        <w:snapToGrid w:val="0"/>
        <w:spacing w:line="360" w:lineRule="auto"/>
        <w:jc w:val="both"/>
        <w:rPr>
          <w:rFonts w:ascii="Book Antiqua" w:hAnsi="Book Antiqua" w:cs="Book Antiqua"/>
        </w:rPr>
      </w:pPr>
      <w:r w:rsidRPr="00342B2F">
        <w:rPr>
          <w:rFonts w:ascii="Book Antiqua" w:hAnsi="Book Antiqua" w:cs="Book Antiqua"/>
        </w:rPr>
        <w:t>Results of endoscopic treatment of ampulla tumors reported in the literature are shown in Table 1. Outcomes data of endoscopic ampullectomy are based on retrospective, heterogeneous case series. Because there is no consensus on the definition of ‘‘success’’ after endoscopic papillectomy, it is difficult to compare the outcome of the reported studies. Conventionally, ‘‘success’’ may be defined as complete resection of the tumor with endoscopic papillectomy (as the absence of endoscopically visible and histologically proven residual adenoma for a follow-up of 3 to 6 mo.</w:t>
      </w:r>
    </w:p>
    <w:p w:rsidR="001368EB" w:rsidRPr="00342B2F" w:rsidRDefault="001368EB" w:rsidP="0018702F">
      <w:pPr>
        <w:widowControl w:val="0"/>
        <w:autoSpaceDE w:val="0"/>
        <w:autoSpaceDN w:val="0"/>
        <w:adjustRightInd w:val="0"/>
        <w:snapToGrid w:val="0"/>
        <w:spacing w:line="360" w:lineRule="auto"/>
        <w:ind w:firstLineChars="100" w:firstLine="240"/>
        <w:jc w:val="both"/>
        <w:rPr>
          <w:rFonts w:ascii="Book Antiqua" w:eastAsia="宋体" w:hAnsi="Book Antiqua" w:cs="Book Antiqua"/>
        </w:rPr>
      </w:pPr>
      <w:r w:rsidRPr="00342B2F">
        <w:rPr>
          <w:rFonts w:ascii="Book Antiqua" w:hAnsi="Book Antiqua" w:cs="Book Antiqua"/>
        </w:rPr>
        <w:t>Tumor recurrence for benign lesion occurs in up to 20% of patients and depends on tumor size, final histology, presence of intraductal tumor, coexisting FAP, and the expertise of the endoscopist</w:t>
      </w:r>
      <w:r w:rsidRPr="00342B2F">
        <w:rPr>
          <w:rFonts w:ascii="Book Antiqua" w:hAnsi="Book Antiqua" w:cs="Book Antiqua"/>
          <w:vertAlign w:val="superscript"/>
        </w:rPr>
        <w:t>[14,63-7</w:t>
      </w:r>
      <w:r>
        <w:rPr>
          <w:rFonts w:ascii="Book Antiqua" w:eastAsia="宋体" w:hAnsi="Book Antiqua" w:cs="Book Antiqua"/>
          <w:vertAlign w:val="superscript"/>
        </w:rPr>
        <w:t>1</w:t>
      </w:r>
      <w:r w:rsidRPr="00342B2F">
        <w:rPr>
          <w:rFonts w:ascii="Book Antiqua" w:hAnsi="Book Antiqua" w:cs="Book Antiqua"/>
          <w:vertAlign w:val="superscript"/>
        </w:rPr>
        <w:t>]</w:t>
      </w:r>
      <w:r w:rsidRPr="00342B2F">
        <w:rPr>
          <w:rFonts w:ascii="Book Antiqua" w:hAnsi="Book Antiqua" w:cs="Book Antiqua"/>
        </w:rPr>
        <w:t>. Recurrent lesions are usually benign and most can be retreated endoscopically.</w:t>
      </w:r>
    </w:p>
    <w:p w:rsidR="001368EB" w:rsidRPr="00342B2F" w:rsidRDefault="001368EB" w:rsidP="002A49D5">
      <w:pPr>
        <w:widowControl w:val="0"/>
        <w:autoSpaceDE w:val="0"/>
        <w:autoSpaceDN w:val="0"/>
        <w:adjustRightInd w:val="0"/>
        <w:snapToGrid w:val="0"/>
        <w:spacing w:line="360" w:lineRule="auto"/>
        <w:jc w:val="both"/>
        <w:rPr>
          <w:rFonts w:ascii="Book Antiqua" w:eastAsia="宋体" w:hAnsi="Book Antiqua" w:cs="Book Antiqua"/>
        </w:rPr>
      </w:pPr>
    </w:p>
    <w:p w:rsidR="001368EB" w:rsidRPr="00342B2F" w:rsidRDefault="001368EB" w:rsidP="002A49D5">
      <w:pPr>
        <w:widowControl w:val="0"/>
        <w:autoSpaceDE w:val="0"/>
        <w:autoSpaceDN w:val="0"/>
        <w:adjustRightInd w:val="0"/>
        <w:snapToGrid w:val="0"/>
        <w:spacing w:line="360" w:lineRule="auto"/>
        <w:jc w:val="both"/>
        <w:rPr>
          <w:rFonts w:ascii="Book Antiqua" w:eastAsia="宋体" w:hAnsi="Book Antiqua" w:cs="Book Antiqua"/>
          <w:b/>
        </w:rPr>
      </w:pPr>
      <w:r w:rsidRPr="00342B2F">
        <w:rPr>
          <w:rFonts w:ascii="Book Antiqua" w:hAnsi="Book Antiqua" w:cs="Book Antiqua"/>
          <w:b/>
        </w:rPr>
        <w:t>CONCLUSION</w:t>
      </w:r>
    </w:p>
    <w:p w:rsidR="001368EB" w:rsidRPr="00342B2F" w:rsidRDefault="001368EB" w:rsidP="0018702F">
      <w:pPr>
        <w:widowControl w:val="0"/>
        <w:autoSpaceDE w:val="0"/>
        <w:autoSpaceDN w:val="0"/>
        <w:adjustRightInd w:val="0"/>
        <w:snapToGrid w:val="0"/>
        <w:spacing w:line="360" w:lineRule="auto"/>
        <w:jc w:val="both"/>
        <w:rPr>
          <w:rFonts w:ascii="Book Antiqua" w:eastAsia="宋体" w:hAnsi="Book Antiqua" w:cs="Book Antiqua"/>
        </w:rPr>
      </w:pPr>
      <w:r w:rsidRPr="00342B2F">
        <w:rPr>
          <w:rFonts w:ascii="Book Antiqua" w:hAnsi="Book Antiqua" w:cs="Book Antiqua"/>
        </w:rPr>
        <w:t xml:space="preserve">Endoscopic papillectomy is a relatively safe and effective therapy and should be </w:t>
      </w:r>
      <w:r w:rsidRPr="00342B2F">
        <w:rPr>
          <w:rFonts w:ascii="Book Antiqua" w:hAnsi="Book Antiqua" w:cs="Book Antiqua"/>
        </w:rPr>
        <w:lastRenderedPageBreak/>
        <w:t>established as a first-line therapy for adenomas of the major duodenal papilla. Accurate staging of ampullary tumors is important in the selection of appropriate candidates for endoscopic or surgical therapy. Compared with surgery, endoscopic ampullectomy is associated with lower morbidity and mortality, and appears to be a preferred treatment modality for small benign ampullary tumors that have no intraductal ductal extension. Endoscopic ampullectomy performed by experienced endoscopists leads to successful tumor eradication in over 85% of patients with ampullary adenomas.</w:t>
      </w:r>
    </w:p>
    <w:p w:rsidR="001368EB" w:rsidRPr="00342B2F" w:rsidRDefault="001368EB" w:rsidP="002A49D5">
      <w:pPr>
        <w:snapToGrid w:val="0"/>
        <w:spacing w:line="360" w:lineRule="auto"/>
        <w:jc w:val="both"/>
        <w:rPr>
          <w:rFonts w:ascii="Book Antiqua" w:hAnsi="Book Antiqua" w:cs="Book Antiqua"/>
          <w:b/>
          <w:color w:val="231F20"/>
        </w:rPr>
      </w:pPr>
    </w:p>
    <w:p w:rsidR="001368EB" w:rsidRPr="00342B2F" w:rsidRDefault="001368EB" w:rsidP="002A49D5">
      <w:pPr>
        <w:snapToGrid w:val="0"/>
        <w:spacing w:line="360" w:lineRule="auto"/>
        <w:jc w:val="both"/>
        <w:rPr>
          <w:rFonts w:ascii="Book Antiqua" w:eastAsia="宋体" w:hAnsi="Book Antiqua" w:cs="Book Antiqua"/>
          <w:b/>
          <w:color w:val="231F20"/>
        </w:rPr>
      </w:pPr>
      <w:r w:rsidRPr="00342B2F">
        <w:rPr>
          <w:rFonts w:ascii="Book Antiqua" w:hAnsi="Book Antiqua" w:cs="Book Antiqua"/>
          <w:b/>
          <w:color w:val="231F20"/>
        </w:rPr>
        <w:t>REFERENCES</w:t>
      </w:r>
    </w:p>
    <w:p w:rsidR="001368EB" w:rsidRPr="00342B2F" w:rsidRDefault="001368EB" w:rsidP="00342B2F">
      <w:pPr>
        <w:rPr>
          <w:rFonts w:ascii="Book Antiqua" w:eastAsia="宋体" w:hAnsi="Book Antiqua" w:cs="宋体"/>
        </w:rPr>
      </w:pPr>
      <w:r>
        <w:rPr>
          <w:rFonts w:ascii="Book Antiqua" w:eastAsia="宋体" w:hAnsi="Book Antiqua" w:cs="宋体"/>
        </w:rPr>
        <w:t>1</w:t>
      </w:r>
      <w:r w:rsidRPr="005D5EE2">
        <w:rPr>
          <w:rFonts w:ascii="Book Antiqua" w:eastAsia="宋体" w:hAnsi="Book Antiqua" w:cs="宋体"/>
          <w:b/>
        </w:rPr>
        <w:t xml:space="preserve"> Suzuki K</w:t>
      </w:r>
      <w:r w:rsidRPr="00342B2F">
        <w:rPr>
          <w:rFonts w:ascii="Book Antiqua" w:eastAsia="宋体" w:hAnsi="Book Antiqua" w:cs="宋体"/>
        </w:rPr>
        <w:t>, Kantou U, Murakami Y</w:t>
      </w:r>
      <w:r>
        <w:rPr>
          <w:rFonts w:ascii="Book Antiqua" w:eastAsia="宋体" w:hAnsi="Book Antiqua" w:cs="宋体"/>
        </w:rPr>
        <w:t>.</w:t>
      </w:r>
      <w:r w:rsidRPr="00342B2F">
        <w:rPr>
          <w:rFonts w:ascii="Book Antiqua" w:eastAsia="宋体" w:hAnsi="Book Antiqua" w:cs="宋体"/>
        </w:rPr>
        <w:t xml:space="preserve"> Two cases with ampullary cancer who underwent endoscopic excision. </w:t>
      </w:r>
      <w:r w:rsidRPr="005D5EE2">
        <w:rPr>
          <w:rFonts w:ascii="Book Antiqua" w:eastAsia="宋体" w:hAnsi="Book Antiqua" w:cs="宋体"/>
          <w:i/>
        </w:rPr>
        <w:t>Prog Dig Endos</w:t>
      </w:r>
      <w:r w:rsidRPr="00342B2F">
        <w:rPr>
          <w:rFonts w:ascii="Book Antiqua" w:eastAsia="宋体" w:hAnsi="Book Antiqua" w:cs="宋体"/>
        </w:rPr>
        <w:t xml:space="preserve">c 1983; </w:t>
      </w:r>
      <w:r w:rsidRPr="005D5EE2">
        <w:rPr>
          <w:rFonts w:ascii="Book Antiqua" w:eastAsia="宋体" w:hAnsi="Book Antiqua" w:cs="宋体"/>
          <w:b/>
        </w:rPr>
        <w:t>23</w:t>
      </w:r>
      <w:r w:rsidRPr="00342B2F">
        <w:rPr>
          <w:rFonts w:ascii="Book Antiqua" w:eastAsia="宋体" w:hAnsi="Book Antiqua" w:cs="宋体"/>
        </w:rPr>
        <w:t>: 236-239</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2 </w:t>
      </w:r>
      <w:r w:rsidRPr="00342B2F">
        <w:rPr>
          <w:rFonts w:ascii="Book Antiqua" w:eastAsia="宋体" w:hAnsi="Book Antiqua" w:cs="宋体"/>
          <w:b/>
          <w:bCs/>
        </w:rPr>
        <w:t>Binmoeller KF</w:t>
      </w:r>
      <w:r w:rsidRPr="00342B2F">
        <w:rPr>
          <w:rFonts w:ascii="Book Antiqua" w:eastAsia="宋体" w:hAnsi="Book Antiqua" w:cs="宋体"/>
        </w:rPr>
        <w:t xml:space="preserve">, Boaventura S, Ramsperger K, Soehendra N. Endoscopic snare excision of benign adenomas of the papilla of Vater. </w:t>
      </w:r>
      <w:r w:rsidRPr="00342B2F">
        <w:rPr>
          <w:rFonts w:ascii="Book Antiqua" w:eastAsia="宋体" w:hAnsi="Book Antiqua" w:cs="宋体"/>
          <w:i/>
          <w:iCs/>
        </w:rPr>
        <w:t>Gastrointest Endosc</w:t>
      </w:r>
      <w:r w:rsidRPr="00342B2F">
        <w:rPr>
          <w:rFonts w:ascii="Book Antiqua" w:eastAsia="宋体" w:hAnsi="Book Antiqua" w:cs="宋体"/>
        </w:rPr>
        <w:t xml:space="preserve"> </w:t>
      </w:r>
      <w:r>
        <w:rPr>
          <w:rFonts w:ascii="Book Antiqua" w:eastAsia="宋体" w:hAnsi="Book Antiqua" w:cs="宋体"/>
        </w:rPr>
        <w:t>1993</w:t>
      </w:r>
      <w:r w:rsidRPr="00342B2F">
        <w:rPr>
          <w:rFonts w:ascii="Book Antiqua" w:eastAsia="宋体" w:hAnsi="Book Antiqua" w:cs="宋体"/>
        </w:rPr>
        <w:t xml:space="preserve">; </w:t>
      </w:r>
      <w:r w:rsidRPr="00342B2F">
        <w:rPr>
          <w:rFonts w:ascii="Book Antiqua" w:eastAsia="宋体" w:hAnsi="Book Antiqua" w:cs="宋体"/>
          <w:b/>
          <w:bCs/>
        </w:rPr>
        <w:t>39</w:t>
      </w:r>
      <w:r w:rsidRPr="00342B2F">
        <w:rPr>
          <w:rFonts w:ascii="Book Antiqua" w:eastAsia="宋体" w:hAnsi="Book Antiqua" w:cs="宋体"/>
        </w:rPr>
        <w:t>: 127-131 [PMID: 8495831 DOI: 10.1016/S0016-5107(93)70051-6]</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3 </w:t>
      </w:r>
      <w:r w:rsidRPr="00342B2F">
        <w:rPr>
          <w:rFonts w:ascii="Book Antiqua" w:eastAsia="宋体" w:hAnsi="Book Antiqua" w:cs="宋体"/>
          <w:b/>
          <w:bCs/>
        </w:rPr>
        <w:t>Silvis SE</w:t>
      </w:r>
      <w:r w:rsidRPr="00342B2F">
        <w:rPr>
          <w:rFonts w:ascii="Book Antiqua" w:eastAsia="宋体" w:hAnsi="Book Antiqua" w:cs="宋体"/>
        </w:rPr>
        <w:t xml:space="preserve">. Endoscopic snare papillectomy. </w:t>
      </w:r>
      <w:r w:rsidRPr="00342B2F">
        <w:rPr>
          <w:rFonts w:ascii="Book Antiqua" w:eastAsia="宋体" w:hAnsi="Book Antiqua" w:cs="宋体"/>
          <w:i/>
          <w:iCs/>
        </w:rPr>
        <w:t>Gastrointest Endosc</w:t>
      </w:r>
      <w:r w:rsidRPr="00342B2F">
        <w:rPr>
          <w:rFonts w:ascii="Book Antiqua" w:eastAsia="宋体" w:hAnsi="Book Antiqua" w:cs="宋体"/>
        </w:rPr>
        <w:t xml:space="preserve"> </w:t>
      </w:r>
      <w:r>
        <w:rPr>
          <w:rFonts w:ascii="Book Antiqua" w:eastAsia="宋体" w:hAnsi="Book Antiqua" w:cs="宋体"/>
        </w:rPr>
        <w:t>1993</w:t>
      </w:r>
      <w:r w:rsidRPr="00342B2F">
        <w:rPr>
          <w:rFonts w:ascii="Book Antiqua" w:eastAsia="宋体" w:hAnsi="Book Antiqua" w:cs="宋体"/>
        </w:rPr>
        <w:t xml:space="preserve">; </w:t>
      </w:r>
      <w:r w:rsidRPr="00342B2F">
        <w:rPr>
          <w:rFonts w:ascii="Book Antiqua" w:eastAsia="宋体" w:hAnsi="Book Antiqua" w:cs="宋体"/>
          <w:b/>
          <w:bCs/>
        </w:rPr>
        <w:t>39</w:t>
      </w:r>
      <w:r w:rsidRPr="00342B2F">
        <w:rPr>
          <w:rFonts w:ascii="Book Antiqua" w:eastAsia="宋体" w:hAnsi="Book Antiqua" w:cs="宋体"/>
        </w:rPr>
        <w:t>: 205-207 [PMID: 8495850 DOI: 10.1016/S0016-5107(93)70074-7]</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4 </w:t>
      </w:r>
      <w:r w:rsidRPr="00342B2F">
        <w:rPr>
          <w:rFonts w:ascii="Book Antiqua" w:eastAsia="宋体" w:hAnsi="Book Antiqua" w:cs="宋体"/>
          <w:b/>
          <w:bCs/>
        </w:rPr>
        <w:t>El Hajj II</w:t>
      </w:r>
      <w:r w:rsidRPr="00342B2F">
        <w:rPr>
          <w:rFonts w:ascii="Book Antiqua" w:eastAsia="宋体" w:hAnsi="Book Antiqua" w:cs="宋体"/>
        </w:rPr>
        <w:t xml:space="preserve">, Coté GA. Endoscopic diagnosis and management of ampullary lesions. </w:t>
      </w:r>
      <w:r w:rsidRPr="00342B2F">
        <w:rPr>
          <w:rFonts w:ascii="Book Antiqua" w:eastAsia="宋体" w:hAnsi="Book Antiqua" w:cs="宋体"/>
          <w:i/>
          <w:iCs/>
        </w:rPr>
        <w:t>Gastrointest Endosc Clin N Am</w:t>
      </w:r>
      <w:r w:rsidRPr="00342B2F">
        <w:rPr>
          <w:rFonts w:ascii="Book Antiqua" w:eastAsia="宋体" w:hAnsi="Book Antiqua" w:cs="宋体"/>
        </w:rPr>
        <w:t xml:space="preserve"> 2013; </w:t>
      </w:r>
      <w:r w:rsidRPr="00342B2F">
        <w:rPr>
          <w:rFonts w:ascii="Book Antiqua" w:eastAsia="宋体" w:hAnsi="Book Antiqua" w:cs="宋体"/>
          <w:b/>
          <w:bCs/>
        </w:rPr>
        <w:t>23</w:t>
      </w:r>
      <w:r w:rsidRPr="00342B2F">
        <w:rPr>
          <w:rFonts w:ascii="Book Antiqua" w:eastAsia="宋体" w:hAnsi="Book Antiqua" w:cs="宋体"/>
        </w:rPr>
        <w:t>: 95-109 [PMID: 23168121 DOI: 10.1016/j.giec.2012.10.004</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5 </w:t>
      </w:r>
      <w:r w:rsidRPr="00342B2F">
        <w:rPr>
          <w:rFonts w:ascii="Book Antiqua" w:eastAsia="宋体" w:hAnsi="Book Antiqua" w:cs="宋体"/>
          <w:b/>
          <w:bCs/>
        </w:rPr>
        <w:t>Zádorová Z</w:t>
      </w:r>
      <w:r w:rsidRPr="00342B2F">
        <w:rPr>
          <w:rFonts w:ascii="Book Antiqua" w:eastAsia="宋体" w:hAnsi="Book Antiqua" w:cs="宋体"/>
        </w:rPr>
        <w:t xml:space="preserve">, Dvofák M, Hajer J. Endoscopic therapy of benign tumors of the papilla of Vater. </w:t>
      </w:r>
      <w:r w:rsidRPr="00342B2F">
        <w:rPr>
          <w:rFonts w:ascii="Book Antiqua" w:eastAsia="宋体" w:hAnsi="Book Antiqua" w:cs="宋体"/>
          <w:i/>
          <w:iCs/>
        </w:rPr>
        <w:t>Endoscopy</w:t>
      </w:r>
      <w:r w:rsidRPr="00342B2F">
        <w:rPr>
          <w:rFonts w:ascii="Book Antiqua" w:eastAsia="宋体" w:hAnsi="Book Antiqua" w:cs="宋体"/>
        </w:rPr>
        <w:t xml:space="preserve"> 2001; </w:t>
      </w:r>
      <w:r w:rsidRPr="00342B2F">
        <w:rPr>
          <w:rFonts w:ascii="Book Antiqua" w:eastAsia="宋体" w:hAnsi="Book Antiqua" w:cs="宋体"/>
          <w:b/>
          <w:bCs/>
        </w:rPr>
        <w:t>33</w:t>
      </w:r>
      <w:r w:rsidRPr="00342B2F">
        <w:rPr>
          <w:rFonts w:ascii="Book Antiqua" w:eastAsia="宋体" w:hAnsi="Book Antiqua" w:cs="宋体"/>
        </w:rPr>
        <w:t>: 345-347 [PMID: 11315897 DOI: 10.1055/s-2001-13693]</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6 </w:t>
      </w:r>
      <w:r w:rsidRPr="00342B2F">
        <w:rPr>
          <w:rFonts w:ascii="Book Antiqua" w:eastAsia="宋体" w:hAnsi="Book Antiqua" w:cs="宋体"/>
          <w:b/>
          <w:bCs/>
        </w:rPr>
        <w:t>Wong RF</w:t>
      </w:r>
      <w:r w:rsidRPr="00342B2F">
        <w:rPr>
          <w:rFonts w:ascii="Book Antiqua" w:eastAsia="宋体" w:hAnsi="Book Antiqua" w:cs="宋体"/>
        </w:rPr>
        <w:t xml:space="preserve">, DiSario JA. Approaches to endoscopic ampullectomy. </w:t>
      </w:r>
      <w:r w:rsidRPr="00342B2F">
        <w:rPr>
          <w:rFonts w:ascii="Book Antiqua" w:eastAsia="宋体" w:hAnsi="Book Antiqua" w:cs="宋体"/>
          <w:i/>
          <w:iCs/>
        </w:rPr>
        <w:t>Curr Opin Gastroenterol</w:t>
      </w:r>
      <w:r w:rsidRPr="00342B2F">
        <w:rPr>
          <w:rFonts w:ascii="Book Antiqua" w:eastAsia="宋体" w:hAnsi="Book Antiqua" w:cs="宋体"/>
        </w:rPr>
        <w:t xml:space="preserve"> 2004; </w:t>
      </w:r>
      <w:r w:rsidRPr="00342B2F">
        <w:rPr>
          <w:rFonts w:ascii="Book Antiqua" w:eastAsia="宋体" w:hAnsi="Book Antiqua" w:cs="宋体"/>
          <w:b/>
          <w:bCs/>
        </w:rPr>
        <w:t>20</w:t>
      </w:r>
      <w:r w:rsidRPr="00342B2F">
        <w:rPr>
          <w:rFonts w:ascii="Book Antiqua" w:eastAsia="宋体" w:hAnsi="Book Antiqua" w:cs="宋体"/>
        </w:rPr>
        <w:t>: 460-467 [PMID: 15689680 DOI: 10.1097/00001574-200409000-00008]</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7 </w:t>
      </w:r>
      <w:r w:rsidRPr="00342B2F">
        <w:rPr>
          <w:rFonts w:ascii="Book Antiqua" w:eastAsia="宋体" w:hAnsi="Book Antiqua" w:cs="宋体"/>
          <w:b/>
          <w:bCs/>
        </w:rPr>
        <w:t>Catalano MF</w:t>
      </w:r>
      <w:r w:rsidRPr="00342B2F">
        <w:rPr>
          <w:rFonts w:ascii="Book Antiqua" w:eastAsia="宋体" w:hAnsi="Book Antiqua" w:cs="宋体"/>
        </w:rPr>
        <w:t xml:space="preserve">, Linder JD, Chak A, Sivak MV, Raijman I, Geenen JE, Howell DA. Endoscopic management of adenoma of the major duodenal papilla. </w:t>
      </w:r>
      <w:r w:rsidRPr="00342B2F">
        <w:rPr>
          <w:rFonts w:ascii="Book Antiqua" w:eastAsia="宋体" w:hAnsi="Book Antiqua" w:cs="宋体"/>
          <w:i/>
          <w:iCs/>
        </w:rPr>
        <w:t>Gastrointest Endosc</w:t>
      </w:r>
      <w:r w:rsidRPr="00342B2F">
        <w:rPr>
          <w:rFonts w:ascii="Book Antiqua" w:eastAsia="宋体" w:hAnsi="Book Antiqua" w:cs="宋体"/>
        </w:rPr>
        <w:t xml:space="preserve"> 2004; </w:t>
      </w:r>
      <w:r w:rsidRPr="00342B2F">
        <w:rPr>
          <w:rFonts w:ascii="Book Antiqua" w:eastAsia="宋体" w:hAnsi="Book Antiqua" w:cs="宋体"/>
          <w:b/>
          <w:bCs/>
        </w:rPr>
        <w:t>59</w:t>
      </w:r>
      <w:r w:rsidRPr="00342B2F">
        <w:rPr>
          <w:rFonts w:ascii="Book Antiqua" w:eastAsia="宋体" w:hAnsi="Book Antiqua" w:cs="宋体"/>
        </w:rPr>
        <w:t>: 225-232 [PMID: 14745396 DOI: 10.1016/S0016-5107(03)02366-6]</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8 </w:t>
      </w:r>
      <w:r w:rsidRPr="00342B2F">
        <w:rPr>
          <w:rFonts w:ascii="Book Antiqua" w:eastAsia="宋体" w:hAnsi="Book Antiqua" w:cs="宋体"/>
          <w:b/>
          <w:bCs/>
        </w:rPr>
        <w:t>Cheng CL</w:t>
      </w:r>
      <w:r w:rsidRPr="00342B2F">
        <w:rPr>
          <w:rFonts w:ascii="Book Antiqua" w:eastAsia="宋体" w:hAnsi="Book Antiqua" w:cs="宋体"/>
        </w:rPr>
        <w:t xml:space="preserve">, Sherman S, Fogel EL, McHenry L, Watkins JL, Fukushima T, Howard TJ, Lazzell-Pannell L, Lehman GA. Endoscopic snare papillectomy for tumors of the duodenal papillae. </w:t>
      </w:r>
      <w:r w:rsidRPr="00342B2F">
        <w:rPr>
          <w:rFonts w:ascii="Book Antiqua" w:eastAsia="宋体" w:hAnsi="Book Antiqua" w:cs="宋体"/>
          <w:i/>
          <w:iCs/>
        </w:rPr>
        <w:t>Gastrointest Endosc</w:t>
      </w:r>
      <w:r w:rsidRPr="00342B2F">
        <w:rPr>
          <w:rFonts w:ascii="Book Antiqua" w:eastAsia="宋体" w:hAnsi="Book Antiqua" w:cs="宋体"/>
        </w:rPr>
        <w:t xml:space="preserve"> 2004; </w:t>
      </w:r>
      <w:r w:rsidRPr="00342B2F">
        <w:rPr>
          <w:rFonts w:ascii="Book Antiqua" w:eastAsia="宋体" w:hAnsi="Book Antiqua" w:cs="宋体"/>
          <w:b/>
          <w:bCs/>
        </w:rPr>
        <w:t>60</w:t>
      </w:r>
      <w:r w:rsidRPr="00342B2F">
        <w:rPr>
          <w:rFonts w:ascii="Book Antiqua" w:eastAsia="宋体" w:hAnsi="Book Antiqua" w:cs="宋体"/>
        </w:rPr>
        <w:t>: 757-764 [PMID: 15557951 DOI: 10.1016/S0016-5107(04)02029-2]</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9 </w:t>
      </w:r>
      <w:r w:rsidRPr="00342B2F">
        <w:rPr>
          <w:rFonts w:ascii="Book Antiqua" w:eastAsia="宋体" w:hAnsi="Book Antiqua" w:cs="宋体"/>
          <w:b/>
          <w:bCs/>
        </w:rPr>
        <w:t>Baillie J</w:t>
      </w:r>
      <w:r w:rsidRPr="00342B2F">
        <w:rPr>
          <w:rFonts w:ascii="Book Antiqua" w:eastAsia="宋体" w:hAnsi="Book Antiqua" w:cs="宋体"/>
        </w:rPr>
        <w:t xml:space="preserve">. Endoscopic ampullectomy. </w:t>
      </w:r>
      <w:r w:rsidRPr="00342B2F">
        <w:rPr>
          <w:rFonts w:ascii="Book Antiqua" w:eastAsia="宋体" w:hAnsi="Book Antiqua" w:cs="宋体"/>
          <w:i/>
          <w:iCs/>
        </w:rPr>
        <w:t>Am J Gastroenterol</w:t>
      </w:r>
      <w:r w:rsidRPr="00342B2F">
        <w:rPr>
          <w:rFonts w:ascii="Book Antiqua" w:eastAsia="宋体" w:hAnsi="Book Antiqua" w:cs="宋体"/>
        </w:rPr>
        <w:t xml:space="preserve"> 2005; </w:t>
      </w:r>
      <w:r w:rsidRPr="00342B2F">
        <w:rPr>
          <w:rFonts w:ascii="Book Antiqua" w:eastAsia="宋体" w:hAnsi="Book Antiqua" w:cs="宋体"/>
          <w:b/>
          <w:bCs/>
        </w:rPr>
        <w:t>100</w:t>
      </w:r>
      <w:r w:rsidRPr="00342B2F">
        <w:rPr>
          <w:rFonts w:ascii="Book Antiqua" w:eastAsia="宋体" w:hAnsi="Book Antiqua" w:cs="宋体"/>
        </w:rPr>
        <w:t>: 2379-2381 [PMID: 16279887 DOI: 10.1111/j.1572-0241.2005.00332.x]</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10 </w:t>
      </w:r>
      <w:r w:rsidRPr="00342B2F">
        <w:rPr>
          <w:rFonts w:ascii="Book Antiqua" w:eastAsia="宋体" w:hAnsi="Book Antiqua" w:cs="宋体"/>
          <w:b/>
          <w:bCs/>
        </w:rPr>
        <w:t>Han J</w:t>
      </w:r>
      <w:r w:rsidRPr="00342B2F">
        <w:rPr>
          <w:rFonts w:ascii="Book Antiqua" w:eastAsia="宋体" w:hAnsi="Book Antiqua" w:cs="宋体"/>
        </w:rPr>
        <w:t xml:space="preserve">, Kim MH. Endoscopic papillectomy for adenomas of the major duodenal papilla (with video). </w:t>
      </w:r>
      <w:r w:rsidRPr="00342B2F">
        <w:rPr>
          <w:rFonts w:ascii="Book Antiqua" w:eastAsia="宋体" w:hAnsi="Book Antiqua" w:cs="宋体"/>
          <w:i/>
          <w:iCs/>
        </w:rPr>
        <w:t>Gastrointest Endosc</w:t>
      </w:r>
      <w:r w:rsidRPr="00342B2F">
        <w:rPr>
          <w:rFonts w:ascii="Book Antiqua" w:eastAsia="宋体" w:hAnsi="Book Antiqua" w:cs="宋体"/>
        </w:rPr>
        <w:t xml:space="preserve"> 2006; </w:t>
      </w:r>
      <w:r w:rsidRPr="00342B2F">
        <w:rPr>
          <w:rFonts w:ascii="Book Antiqua" w:eastAsia="宋体" w:hAnsi="Book Antiqua" w:cs="宋体"/>
          <w:b/>
          <w:bCs/>
        </w:rPr>
        <w:t>63</w:t>
      </w:r>
      <w:r w:rsidRPr="00342B2F">
        <w:rPr>
          <w:rFonts w:ascii="Book Antiqua" w:eastAsia="宋体" w:hAnsi="Book Antiqua" w:cs="宋体"/>
        </w:rPr>
        <w:t>: 292-301 [PMID: 16427938 DOI: 10.1016/j.gie.2005.07.022]</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11 </w:t>
      </w:r>
      <w:r w:rsidRPr="00342B2F">
        <w:rPr>
          <w:rFonts w:ascii="Book Antiqua" w:eastAsia="宋体" w:hAnsi="Book Antiqua" w:cs="宋体"/>
          <w:b/>
          <w:bCs/>
        </w:rPr>
        <w:t>Bohnacker S</w:t>
      </w:r>
      <w:r w:rsidRPr="00342B2F">
        <w:rPr>
          <w:rFonts w:ascii="Book Antiqua" w:eastAsia="宋体" w:hAnsi="Book Antiqua" w:cs="宋体"/>
        </w:rPr>
        <w:t xml:space="preserve">, Soehendra N, Maguchi H, Chung JB, Howell DA. Endoscopic resection of benign tumors of the papilla of vater. </w:t>
      </w:r>
      <w:r w:rsidRPr="00342B2F">
        <w:rPr>
          <w:rFonts w:ascii="Book Antiqua" w:eastAsia="宋体" w:hAnsi="Book Antiqua" w:cs="宋体"/>
          <w:i/>
          <w:iCs/>
        </w:rPr>
        <w:t>Endoscopy</w:t>
      </w:r>
      <w:r w:rsidRPr="00342B2F">
        <w:rPr>
          <w:rFonts w:ascii="Book Antiqua" w:eastAsia="宋体" w:hAnsi="Book Antiqua" w:cs="宋体"/>
        </w:rPr>
        <w:t xml:space="preserve"> 2006; </w:t>
      </w:r>
      <w:r w:rsidRPr="00342B2F">
        <w:rPr>
          <w:rFonts w:ascii="Book Antiqua" w:eastAsia="宋体" w:hAnsi="Book Antiqua" w:cs="宋体"/>
          <w:b/>
          <w:bCs/>
        </w:rPr>
        <w:t>38</w:t>
      </w:r>
      <w:r w:rsidRPr="00342B2F">
        <w:rPr>
          <w:rFonts w:ascii="Book Antiqua" w:eastAsia="宋体" w:hAnsi="Book Antiqua" w:cs="宋体"/>
        </w:rPr>
        <w:t>: 521-525 [PMID: 16767591 DOI: 10.1055/s-2006-925263]</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12 </w:t>
      </w:r>
      <w:r w:rsidRPr="00342B2F">
        <w:rPr>
          <w:rFonts w:ascii="Book Antiqua" w:eastAsia="宋体" w:hAnsi="Book Antiqua" w:cs="宋体"/>
          <w:b/>
          <w:bCs/>
        </w:rPr>
        <w:t>Hernandez LV</w:t>
      </w:r>
      <w:r w:rsidRPr="00342B2F">
        <w:rPr>
          <w:rFonts w:ascii="Book Antiqua" w:eastAsia="宋体" w:hAnsi="Book Antiqua" w:cs="宋体"/>
        </w:rPr>
        <w:t xml:space="preserve">, Catalano MF. Endoscopic papillectomy. </w:t>
      </w:r>
      <w:r w:rsidRPr="00342B2F">
        <w:rPr>
          <w:rFonts w:ascii="Book Antiqua" w:eastAsia="宋体" w:hAnsi="Book Antiqua" w:cs="宋体"/>
          <w:i/>
          <w:iCs/>
        </w:rPr>
        <w:t>Curr Opin Gastroenterol</w:t>
      </w:r>
      <w:r w:rsidRPr="00342B2F">
        <w:rPr>
          <w:rFonts w:ascii="Book Antiqua" w:eastAsia="宋体" w:hAnsi="Book Antiqua" w:cs="宋体"/>
        </w:rPr>
        <w:t xml:space="preserve"> 2008; </w:t>
      </w:r>
      <w:r w:rsidRPr="00342B2F">
        <w:rPr>
          <w:rFonts w:ascii="Book Antiqua" w:eastAsia="宋体" w:hAnsi="Book Antiqua" w:cs="宋体"/>
          <w:b/>
          <w:bCs/>
        </w:rPr>
        <w:t>24</w:t>
      </w:r>
      <w:r w:rsidRPr="00342B2F">
        <w:rPr>
          <w:rFonts w:ascii="Book Antiqua" w:eastAsia="宋体" w:hAnsi="Book Antiqua" w:cs="宋体"/>
        </w:rPr>
        <w:t>: 617-622 [PMID: 19122504 DOI: 10.1097/MOG.0b013e3283088e12</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13 </w:t>
      </w:r>
      <w:r w:rsidRPr="00342B2F">
        <w:rPr>
          <w:rFonts w:ascii="Book Antiqua" w:eastAsia="宋体" w:hAnsi="Book Antiqua" w:cs="宋体"/>
          <w:b/>
          <w:bCs/>
        </w:rPr>
        <w:t>Ito K</w:t>
      </w:r>
      <w:r w:rsidRPr="00342B2F">
        <w:rPr>
          <w:rFonts w:ascii="Book Antiqua" w:eastAsia="宋体" w:hAnsi="Book Antiqua" w:cs="宋体"/>
        </w:rPr>
        <w:t xml:space="preserve">, Fujita N, Noda Y. Endoscopic diagnosis and treatment of ampullary neoplasm (with video). </w:t>
      </w:r>
      <w:r w:rsidRPr="00342B2F">
        <w:rPr>
          <w:rFonts w:ascii="Book Antiqua" w:eastAsia="宋体" w:hAnsi="Book Antiqua" w:cs="宋体"/>
          <w:i/>
          <w:iCs/>
        </w:rPr>
        <w:t>Dig Endosc</w:t>
      </w:r>
      <w:r w:rsidRPr="00342B2F">
        <w:rPr>
          <w:rFonts w:ascii="Book Antiqua" w:eastAsia="宋体" w:hAnsi="Book Antiqua" w:cs="宋体"/>
        </w:rPr>
        <w:t xml:space="preserve"> 2011; </w:t>
      </w:r>
      <w:r w:rsidRPr="00342B2F">
        <w:rPr>
          <w:rFonts w:ascii="Book Antiqua" w:eastAsia="宋体" w:hAnsi="Book Antiqua" w:cs="宋体"/>
          <w:b/>
          <w:bCs/>
        </w:rPr>
        <w:t>23</w:t>
      </w:r>
      <w:r w:rsidRPr="00342B2F">
        <w:rPr>
          <w:rFonts w:ascii="Book Antiqua" w:eastAsia="宋体" w:hAnsi="Book Antiqua" w:cs="宋体"/>
        </w:rPr>
        <w:t>: 113-117 [PMID: 21429014 DOI: 10</w:t>
      </w:r>
      <w:r>
        <w:rPr>
          <w:rFonts w:ascii="Book Antiqua" w:eastAsia="宋体" w:hAnsi="Book Antiqua" w:cs="宋体"/>
        </w:rPr>
        <w:t>.1111/j.1443-1661.2010.01101.x</w:t>
      </w:r>
      <w:r w:rsidRPr="00342B2F">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lastRenderedPageBreak/>
        <w:t xml:space="preserve">14 </w:t>
      </w:r>
      <w:r w:rsidRPr="00342B2F">
        <w:rPr>
          <w:rFonts w:ascii="Book Antiqua" w:eastAsia="宋体" w:hAnsi="Book Antiqua" w:cs="宋体"/>
          <w:b/>
          <w:bCs/>
        </w:rPr>
        <w:t>Patel R</w:t>
      </w:r>
      <w:r w:rsidRPr="00342B2F">
        <w:rPr>
          <w:rFonts w:ascii="Book Antiqua" w:eastAsia="宋体" w:hAnsi="Book Antiqua" w:cs="宋体"/>
        </w:rPr>
        <w:t xml:space="preserve">, Varadarajulu S, Wilcox CM. Endoscopic ampullectomy: techniques and outcomes. </w:t>
      </w:r>
      <w:r w:rsidRPr="00342B2F">
        <w:rPr>
          <w:rFonts w:ascii="Book Antiqua" w:eastAsia="宋体" w:hAnsi="Book Antiqua" w:cs="宋体"/>
          <w:i/>
          <w:iCs/>
        </w:rPr>
        <w:t>J Clin Gastroenterol</w:t>
      </w:r>
      <w:r w:rsidRPr="00342B2F">
        <w:rPr>
          <w:rFonts w:ascii="Book Antiqua" w:eastAsia="宋体" w:hAnsi="Book Antiqua" w:cs="宋体"/>
        </w:rPr>
        <w:t xml:space="preserve"> 2012; </w:t>
      </w:r>
      <w:r w:rsidRPr="00342B2F">
        <w:rPr>
          <w:rFonts w:ascii="Book Antiqua" w:eastAsia="宋体" w:hAnsi="Book Antiqua" w:cs="宋体"/>
          <w:b/>
          <w:bCs/>
        </w:rPr>
        <w:t>46</w:t>
      </w:r>
      <w:r w:rsidRPr="00342B2F">
        <w:rPr>
          <w:rFonts w:ascii="Book Antiqua" w:eastAsia="宋体" w:hAnsi="Book Antiqua" w:cs="宋体"/>
        </w:rPr>
        <w:t>: 8-15 [PMID: 22064552 DOI: 10.1097/MCG.0b013e318233a844</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15 </w:t>
      </w:r>
      <w:r w:rsidRPr="00342B2F">
        <w:rPr>
          <w:rFonts w:ascii="Book Antiqua" w:eastAsia="宋体" w:hAnsi="Book Antiqua" w:cs="宋体"/>
          <w:b/>
          <w:bCs/>
        </w:rPr>
        <w:t>Rattner DW</w:t>
      </w:r>
      <w:r w:rsidRPr="00342B2F">
        <w:rPr>
          <w:rFonts w:ascii="Book Antiqua" w:eastAsia="宋体" w:hAnsi="Book Antiqua" w:cs="宋体"/>
        </w:rPr>
        <w:t xml:space="preserve">, Fernandez-del Castillo C, Brugge WR, Warshaw AL. Defining the criteria for local resection of ampullary neoplasms. </w:t>
      </w:r>
      <w:r w:rsidRPr="00342B2F">
        <w:rPr>
          <w:rFonts w:ascii="Book Antiqua" w:eastAsia="宋体" w:hAnsi="Book Antiqua" w:cs="宋体"/>
          <w:i/>
          <w:iCs/>
        </w:rPr>
        <w:t>Arch Surg</w:t>
      </w:r>
      <w:r w:rsidRPr="00342B2F">
        <w:rPr>
          <w:rFonts w:ascii="Book Antiqua" w:eastAsia="宋体" w:hAnsi="Book Antiqua" w:cs="宋体"/>
        </w:rPr>
        <w:t xml:space="preserve"> 1996; </w:t>
      </w:r>
      <w:r w:rsidRPr="00342B2F">
        <w:rPr>
          <w:rFonts w:ascii="Book Antiqua" w:eastAsia="宋体" w:hAnsi="Book Antiqua" w:cs="宋体"/>
          <w:b/>
          <w:bCs/>
        </w:rPr>
        <w:t>131</w:t>
      </w:r>
      <w:r w:rsidRPr="00342B2F">
        <w:rPr>
          <w:rFonts w:ascii="Book Antiqua" w:eastAsia="宋体" w:hAnsi="Book Antiqua" w:cs="宋体"/>
        </w:rPr>
        <w:t>: 366-371 [PMID: 8615720 DOI: 10.1001/archsurg.1996.01430160024003</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16</w:t>
      </w:r>
      <w:r w:rsidRPr="00680764">
        <w:rPr>
          <w:b/>
          <w:bCs/>
          <w:color w:val="FF0000"/>
        </w:rPr>
        <w:t xml:space="preserve"> </w:t>
      </w:r>
      <w:r w:rsidRPr="00680764">
        <w:rPr>
          <w:rFonts w:ascii="Book Antiqua" w:eastAsia="宋体" w:hAnsi="Book Antiqua" w:cs="宋体"/>
          <w:b/>
        </w:rPr>
        <w:t>Bassan M</w:t>
      </w:r>
      <w:r w:rsidRPr="00680764">
        <w:rPr>
          <w:rFonts w:ascii="Book Antiqua" w:eastAsia="宋体" w:hAnsi="Book Antiqua" w:cs="宋体"/>
        </w:rPr>
        <w:t>, Bourke M.</w:t>
      </w:r>
      <w:r w:rsidRPr="00342B2F">
        <w:rPr>
          <w:rFonts w:ascii="Book Antiqua" w:eastAsia="宋体" w:hAnsi="Book Antiqua" w:cs="宋体"/>
        </w:rPr>
        <w:t xml:space="preserve"> Endoscopic ampullectomy: a practical guide. </w:t>
      </w:r>
      <w:r w:rsidRPr="00342B2F">
        <w:rPr>
          <w:rFonts w:ascii="Book Antiqua" w:eastAsia="宋体" w:hAnsi="Book Antiqua" w:cs="宋体"/>
          <w:i/>
          <w:iCs/>
        </w:rPr>
        <w:t>J Interv Gastroenterol</w:t>
      </w:r>
      <w:r w:rsidRPr="00342B2F">
        <w:rPr>
          <w:rFonts w:ascii="Book Antiqua" w:eastAsia="宋体" w:hAnsi="Book Antiqua" w:cs="宋体"/>
        </w:rPr>
        <w:t xml:space="preserve"> 2012; </w:t>
      </w:r>
      <w:r w:rsidRPr="00342B2F">
        <w:rPr>
          <w:rFonts w:ascii="Book Antiqua" w:eastAsia="宋体" w:hAnsi="Book Antiqua" w:cs="宋体"/>
          <w:b/>
          <w:bCs/>
        </w:rPr>
        <w:t>2</w:t>
      </w:r>
      <w:r w:rsidRPr="00342B2F">
        <w:rPr>
          <w:rFonts w:ascii="Book Antiqua" w:eastAsia="宋体" w:hAnsi="Book Antiqua" w:cs="宋体"/>
        </w:rPr>
        <w:t>: 23-30 [PMID: 22586547 DOI: 10.4161/jig.20131</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17 </w:t>
      </w:r>
      <w:r w:rsidRPr="00342B2F">
        <w:rPr>
          <w:rFonts w:ascii="Book Antiqua" w:eastAsia="宋体" w:hAnsi="Book Antiqua" w:cs="宋体"/>
          <w:b/>
          <w:bCs/>
        </w:rPr>
        <w:t>Ito K</w:t>
      </w:r>
      <w:r w:rsidRPr="00342B2F">
        <w:rPr>
          <w:rFonts w:ascii="Book Antiqua" w:eastAsia="宋体" w:hAnsi="Book Antiqua" w:cs="宋体"/>
        </w:rPr>
        <w:t xml:space="preserve">, Fujita N, Noda Y, Kobayashi G, Obana T, Horaguchi J, Koshita S, Kanno Y, Ogawa T, Kato Y, Yamashita Y. Impact of technical modification of endoscopic papillectomy for ampullary neoplasm on the occurrence of complications. </w:t>
      </w:r>
      <w:r w:rsidRPr="00342B2F">
        <w:rPr>
          <w:rFonts w:ascii="Book Antiqua" w:eastAsia="宋体" w:hAnsi="Book Antiqua" w:cs="宋体"/>
          <w:i/>
          <w:iCs/>
        </w:rPr>
        <w:t>Dig Endosc</w:t>
      </w:r>
      <w:r w:rsidRPr="00342B2F">
        <w:rPr>
          <w:rFonts w:ascii="Book Antiqua" w:eastAsia="宋体" w:hAnsi="Book Antiqua" w:cs="宋体"/>
        </w:rPr>
        <w:t xml:space="preserve"> 2012; </w:t>
      </w:r>
      <w:r w:rsidRPr="00342B2F">
        <w:rPr>
          <w:rFonts w:ascii="Book Antiqua" w:eastAsia="宋体" w:hAnsi="Book Antiqua" w:cs="宋体"/>
          <w:b/>
          <w:bCs/>
        </w:rPr>
        <w:t>24</w:t>
      </w:r>
      <w:r w:rsidRPr="00342B2F">
        <w:rPr>
          <w:rFonts w:ascii="Book Antiqua" w:eastAsia="宋体" w:hAnsi="Book Antiqua" w:cs="宋体"/>
        </w:rPr>
        <w:t>: 30-35 [PMID: 22211409 DOI: 10.1111/j.1443-1661.2011.01161.x</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18 </w:t>
      </w:r>
      <w:r w:rsidRPr="00342B2F">
        <w:rPr>
          <w:rFonts w:ascii="Book Antiqua" w:eastAsia="宋体" w:hAnsi="Book Antiqua" w:cs="宋体"/>
          <w:b/>
          <w:bCs/>
        </w:rPr>
        <w:t>Kim JH</w:t>
      </w:r>
      <w:r w:rsidRPr="00342B2F">
        <w:rPr>
          <w:rFonts w:ascii="Book Antiqua" w:eastAsia="宋体" w:hAnsi="Book Antiqua" w:cs="宋体"/>
        </w:rPr>
        <w:t xml:space="preserve">, Moon JH, Choi HJ, Lee HS, Kim HK, Cheon YK, Cho YD, Lee JS, Lee MS, Shim CS. Endoscopic snare papillectomy by using a balloon catheter for an unexposed ampullary adenoma with intraductal extension (with videos). </w:t>
      </w:r>
      <w:r w:rsidRPr="00342B2F">
        <w:rPr>
          <w:rFonts w:ascii="Book Antiqua" w:eastAsia="宋体" w:hAnsi="Book Antiqua" w:cs="宋体"/>
          <w:i/>
          <w:iCs/>
        </w:rPr>
        <w:t>Gastrointest Endosc</w:t>
      </w:r>
      <w:r w:rsidRPr="00342B2F">
        <w:rPr>
          <w:rFonts w:ascii="Book Antiqua" w:eastAsia="宋体" w:hAnsi="Book Antiqua" w:cs="宋体"/>
        </w:rPr>
        <w:t xml:space="preserve"> 2009; </w:t>
      </w:r>
      <w:r w:rsidRPr="00342B2F">
        <w:rPr>
          <w:rFonts w:ascii="Book Antiqua" w:eastAsia="宋体" w:hAnsi="Book Antiqua" w:cs="宋体"/>
          <w:b/>
          <w:bCs/>
        </w:rPr>
        <w:t>69</w:t>
      </w:r>
      <w:r w:rsidRPr="00342B2F">
        <w:rPr>
          <w:rFonts w:ascii="Book Antiqua" w:eastAsia="宋体" w:hAnsi="Book Antiqua" w:cs="宋体"/>
        </w:rPr>
        <w:t>: 1404-1406 [PMID: 19152886 DOI: 10.1016/j.gie.2008.07.049</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19 </w:t>
      </w:r>
      <w:r w:rsidRPr="00342B2F">
        <w:rPr>
          <w:rFonts w:ascii="Book Antiqua" w:eastAsia="宋体" w:hAnsi="Book Antiqua" w:cs="宋体"/>
          <w:b/>
          <w:bCs/>
        </w:rPr>
        <w:t>Aiura K</w:t>
      </w:r>
      <w:r w:rsidRPr="00342B2F">
        <w:rPr>
          <w:rFonts w:ascii="Book Antiqua" w:eastAsia="宋体" w:hAnsi="Book Antiqua" w:cs="宋体"/>
        </w:rPr>
        <w:t xml:space="preserve">, Imaeda H, Kitajima M, Kumai K. Balloon-catheter-assisted endoscopic snare papillectomy for benign tumors of the major duodenal papilla. </w:t>
      </w:r>
      <w:r w:rsidRPr="00342B2F">
        <w:rPr>
          <w:rFonts w:ascii="Book Antiqua" w:eastAsia="宋体" w:hAnsi="Book Antiqua" w:cs="宋体"/>
          <w:i/>
          <w:iCs/>
        </w:rPr>
        <w:t>Gastrointest Endosc</w:t>
      </w:r>
      <w:r w:rsidRPr="00342B2F">
        <w:rPr>
          <w:rFonts w:ascii="Book Antiqua" w:eastAsia="宋体" w:hAnsi="Book Antiqua" w:cs="宋体"/>
        </w:rPr>
        <w:t xml:space="preserve"> 2003; </w:t>
      </w:r>
      <w:r w:rsidRPr="00342B2F">
        <w:rPr>
          <w:rFonts w:ascii="Book Antiqua" w:eastAsia="宋体" w:hAnsi="Book Antiqua" w:cs="宋体"/>
          <w:b/>
          <w:bCs/>
        </w:rPr>
        <w:t>57</w:t>
      </w:r>
      <w:r w:rsidRPr="00342B2F">
        <w:rPr>
          <w:rFonts w:ascii="Book Antiqua" w:eastAsia="宋体" w:hAnsi="Book Antiqua" w:cs="宋体"/>
        </w:rPr>
        <w:t>: 743-747 [PMID: 12709713 DOI: 10.1067/mge.2003.213]</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20 </w:t>
      </w:r>
      <w:r w:rsidRPr="00342B2F">
        <w:rPr>
          <w:rFonts w:ascii="Book Antiqua" w:eastAsia="宋体" w:hAnsi="Book Antiqua" w:cs="宋体"/>
          <w:b/>
          <w:bCs/>
        </w:rPr>
        <w:t>Bohnacker S</w:t>
      </w:r>
      <w:r w:rsidRPr="00342B2F">
        <w:rPr>
          <w:rFonts w:ascii="Book Antiqua" w:eastAsia="宋体" w:hAnsi="Book Antiqua" w:cs="宋体"/>
        </w:rPr>
        <w:t xml:space="preserve">, Seitz U, Nguyen D, Thonke F, Seewald S, deWeerth A, Ponnudurai R, Omar S, Soehendra N. Endoscopic resection of benign tumors of the duodenal papilla without and with intraductal growth. </w:t>
      </w:r>
      <w:r w:rsidRPr="00342B2F">
        <w:rPr>
          <w:rFonts w:ascii="Book Antiqua" w:eastAsia="宋体" w:hAnsi="Book Antiqua" w:cs="宋体"/>
          <w:i/>
          <w:iCs/>
        </w:rPr>
        <w:t>Gastrointest Endosc</w:t>
      </w:r>
      <w:r w:rsidRPr="00342B2F">
        <w:rPr>
          <w:rFonts w:ascii="Book Antiqua" w:eastAsia="宋体" w:hAnsi="Book Antiqua" w:cs="宋体"/>
        </w:rPr>
        <w:t xml:space="preserve"> 2005; </w:t>
      </w:r>
      <w:r w:rsidRPr="00342B2F">
        <w:rPr>
          <w:rFonts w:ascii="Book Antiqua" w:eastAsia="宋体" w:hAnsi="Book Antiqua" w:cs="宋体"/>
          <w:b/>
          <w:bCs/>
        </w:rPr>
        <w:t>62</w:t>
      </w:r>
      <w:r w:rsidRPr="00342B2F">
        <w:rPr>
          <w:rFonts w:ascii="Book Antiqua" w:eastAsia="宋体" w:hAnsi="Book Antiqua" w:cs="宋体"/>
        </w:rPr>
        <w:t>: 551-560 [PMID: 16185970 DOI: 10.1016/j.gie.2005.04.053]</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21 </w:t>
      </w:r>
      <w:r w:rsidRPr="00342B2F">
        <w:rPr>
          <w:rFonts w:ascii="Book Antiqua" w:eastAsia="宋体" w:hAnsi="Book Antiqua" w:cs="宋体"/>
          <w:b/>
          <w:bCs/>
        </w:rPr>
        <w:t>Yoon SM</w:t>
      </w:r>
      <w:r w:rsidRPr="00342B2F">
        <w:rPr>
          <w:rFonts w:ascii="Book Antiqua" w:eastAsia="宋体" w:hAnsi="Book Antiqua" w:cs="宋体"/>
        </w:rPr>
        <w:t xml:space="preserve">, Kim MH, Kim MJ, Jang SJ, Lee TY, Kwon S, Oh HC, Lee SS, Seo DW, Lee SK. Focal early stage cancer in ampullary adenoma: surgery or endoscopic papillectomy? </w:t>
      </w:r>
      <w:r w:rsidRPr="00342B2F">
        <w:rPr>
          <w:rFonts w:ascii="Book Antiqua" w:eastAsia="宋体" w:hAnsi="Book Antiqua" w:cs="宋体"/>
          <w:i/>
          <w:iCs/>
        </w:rPr>
        <w:t>Gastrointest Endosc</w:t>
      </w:r>
      <w:r w:rsidRPr="00342B2F">
        <w:rPr>
          <w:rFonts w:ascii="Book Antiqua" w:eastAsia="宋体" w:hAnsi="Book Antiqua" w:cs="宋体"/>
        </w:rPr>
        <w:t xml:space="preserve"> 2007; </w:t>
      </w:r>
      <w:r w:rsidRPr="00342B2F">
        <w:rPr>
          <w:rFonts w:ascii="Book Antiqua" w:eastAsia="宋体" w:hAnsi="Book Antiqua" w:cs="宋体"/>
          <w:b/>
          <w:bCs/>
        </w:rPr>
        <w:t>66</w:t>
      </w:r>
      <w:r w:rsidRPr="00342B2F">
        <w:rPr>
          <w:rFonts w:ascii="Book Antiqua" w:eastAsia="宋体" w:hAnsi="Book Antiqua" w:cs="宋体"/>
        </w:rPr>
        <w:t>: 701-707 [PMID: 17905011 DOI: 0.1016/j.gie.2007.02.049]</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22 </w:t>
      </w:r>
      <w:r w:rsidRPr="00342B2F">
        <w:rPr>
          <w:rFonts w:ascii="Book Antiqua" w:eastAsia="宋体" w:hAnsi="Book Antiqua" w:cs="宋体"/>
          <w:b/>
          <w:bCs/>
        </w:rPr>
        <w:t>Woo SM</w:t>
      </w:r>
      <w:r w:rsidRPr="00342B2F">
        <w:rPr>
          <w:rFonts w:ascii="Book Antiqua" w:eastAsia="宋体" w:hAnsi="Book Antiqua" w:cs="宋体"/>
        </w:rPr>
        <w:t xml:space="preserve">, Ryu JK, Lee SH, Lee WJ, Hwang JH, Yoo JW, Park JK, Kang GH, Kim YT, Yoon YB. Feasibility of endoscopic papillectomy in early stage ampulla of Vater cancer. </w:t>
      </w:r>
      <w:r w:rsidRPr="00342B2F">
        <w:rPr>
          <w:rFonts w:ascii="Book Antiqua" w:eastAsia="宋体" w:hAnsi="Book Antiqua" w:cs="宋体"/>
          <w:i/>
          <w:iCs/>
        </w:rPr>
        <w:t>J Gastroenterol Hepatol</w:t>
      </w:r>
      <w:r w:rsidRPr="00342B2F">
        <w:rPr>
          <w:rFonts w:ascii="Book Antiqua" w:eastAsia="宋体" w:hAnsi="Book Antiqua" w:cs="宋体"/>
        </w:rPr>
        <w:t xml:space="preserve"> 2009; </w:t>
      </w:r>
      <w:r w:rsidRPr="00342B2F">
        <w:rPr>
          <w:rFonts w:ascii="Book Antiqua" w:eastAsia="宋体" w:hAnsi="Book Antiqua" w:cs="宋体"/>
          <w:b/>
          <w:bCs/>
        </w:rPr>
        <w:t>24</w:t>
      </w:r>
      <w:r w:rsidRPr="00342B2F">
        <w:rPr>
          <w:rFonts w:ascii="Book Antiqua" w:eastAsia="宋体" w:hAnsi="Book Antiqua" w:cs="宋体"/>
        </w:rPr>
        <w:t>: 120-124 [PMID: 19032444 DOI: 10.1111/j.1440-1746.2008.05578.x</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23 </w:t>
      </w:r>
      <w:r w:rsidRPr="00342B2F">
        <w:rPr>
          <w:rFonts w:ascii="Book Antiqua" w:eastAsia="宋体" w:hAnsi="Book Antiqua" w:cs="宋体"/>
          <w:b/>
          <w:bCs/>
        </w:rPr>
        <w:t>Salmi S</w:t>
      </w:r>
      <w:r w:rsidRPr="00342B2F">
        <w:rPr>
          <w:rFonts w:ascii="Book Antiqua" w:eastAsia="宋体" w:hAnsi="Book Antiqua" w:cs="宋体"/>
        </w:rPr>
        <w:t xml:space="preserve">, Ezzedine S, Vitton V, Ménard C, Gonzales JM, Desjeux A, Grimaud JC, Barthet M. Can papillary carcinomas be treated by endoscopic ampullectomy? </w:t>
      </w:r>
      <w:r w:rsidRPr="00342B2F">
        <w:rPr>
          <w:rFonts w:ascii="Book Antiqua" w:eastAsia="宋体" w:hAnsi="Book Antiqua" w:cs="宋体"/>
          <w:i/>
          <w:iCs/>
        </w:rPr>
        <w:t>Surg Endosc</w:t>
      </w:r>
      <w:r w:rsidRPr="00342B2F">
        <w:rPr>
          <w:rFonts w:ascii="Book Antiqua" w:eastAsia="宋体" w:hAnsi="Book Antiqua" w:cs="宋体"/>
        </w:rPr>
        <w:t xml:space="preserve"> 2012; </w:t>
      </w:r>
      <w:r w:rsidRPr="00342B2F">
        <w:rPr>
          <w:rFonts w:ascii="Book Antiqua" w:eastAsia="宋体" w:hAnsi="Book Antiqua" w:cs="宋体"/>
          <w:b/>
          <w:bCs/>
        </w:rPr>
        <w:t>26</w:t>
      </w:r>
      <w:r w:rsidRPr="00342B2F">
        <w:rPr>
          <w:rFonts w:ascii="Book Antiqua" w:eastAsia="宋体" w:hAnsi="Book Antiqua" w:cs="宋体"/>
        </w:rPr>
        <w:t>: 920-925 [PMID: 22011948 DOI: 10.1007/s00464-011-1968-7</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24 </w:t>
      </w:r>
      <w:r w:rsidRPr="00342B2F">
        <w:rPr>
          <w:rFonts w:ascii="Book Antiqua" w:eastAsia="宋体" w:hAnsi="Book Antiqua" w:cs="宋体"/>
          <w:b/>
          <w:bCs/>
        </w:rPr>
        <w:t>Kim HK</w:t>
      </w:r>
      <w:r w:rsidRPr="00342B2F">
        <w:rPr>
          <w:rFonts w:ascii="Book Antiqua" w:eastAsia="宋体" w:hAnsi="Book Antiqua" w:cs="宋体"/>
        </w:rPr>
        <w:t xml:space="preserve">, Lo SK. Endoscopic approach to the patient with benign or malignant ampullary lesions. </w:t>
      </w:r>
      <w:r w:rsidRPr="00342B2F">
        <w:rPr>
          <w:rFonts w:ascii="Book Antiqua" w:eastAsia="宋体" w:hAnsi="Book Antiqua" w:cs="宋体"/>
          <w:i/>
          <w:iCs/>
        </w:rPr>
        <w:t>Gastrointest Endosc Clin N Am</w:t>
      </w:r>
      <w:r w:rsidRPr="00342B2F">
        <w:rPr>
          <w:rFonts w:ascii="Book Antiqua" w:eastAsia="宋体" w:hAnsi="Book Antiqua" w:cs="宋体"/>
        </w:rPr>
        <w:t xml:space="preserve"> 2013; </w:t>
      </w:r>
      <w:r w:rsidRPr="00342B2F">
        <w:rPr>
          <w:rFonts w:ascii="Book Antiqua" w:eastAsia="宋体" w:hAnsi="Book Antiqua" w:cs="宋体"/>
          <w:b/>
          <w:bCs/>
        </w:rPr>
        <w:t>23</w:t>
      </w:r>
      <w:r w:rsidRPr="00342B2F">
        <w:rPr>
          <w:rFonts w:ascii="Book Antiqua" w:eastAsia="宋体" w:hAnsi="Book Antiqua" w:cs="宋体"/>
        </w:rPr>
        <w:t>: 347-383 [PMID: 23540965 DOI: 10.1016/j.giec.2013.01.003</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25 </w:t>
      </w:r>
      <w:r w:rsidRPr="00342B2F">
        <w:rPr>
          <w:rFonts w:ascii="Book Antiqua" w:eastAsia="宋体" w:hAnsi="Book Antiqua" w:cs="宋体"/>
          <w:b/>
          <w:bCs/>
        </w:rPr>
        <w:t>Petrone G</w:t>
      </w:r>
      <w:r w:rsidRPr="00342B2F">
        <w:rPr>
          <w:rFonts w:ascii="Book Antiqua" w:eastAsia="宋体" w:hAnsi="Book Antiqua" w:cs="宋体"/>
        </w:rPr>
        <w:t xml:space="preserve">, Ricci R, Familiari P, Inzani F, Matsuoka M, Mutignani M, Delle Fave G, Costamagna G, Rindi G. Endoscopic snare papillectomy: a possible radical treatment for a subgroup of T1 ampullary adenocarcinomas. </w:t>
      </w:r>
      <w:r w:rsidRPr="00342B2F">
        <w:rPr>
          <w:rFonts w:ascii="Book Antiqua" w:eastAsia="宋体" w:hAnsi="Book Antiqua" w:cs="宋体"/>
          <w:i/>
          <w:iCs/>
        </w:rPr>
        <w:t>Endoscopy</w:t>
      </w:r>
      <w:r w:rsidRPr="00342B2F">
        <w:rPr>
          <w:rFonts w:ascii="Book Antiqua" w:eastAsia="宋体" w:hAnsi="Book Antiqua" w:cs="宋体"/>
        </w:rPr>
        <w:t xml:space="preserve"> 2013; </w:t>
      </w:r>
      <w:r w:rsidRPr="00342B2F">
        <w:rPr>
          <w:rFonts w:ascii="Book Antiqua" w:eastAsia="宋体" w:hAnsi="Book Antiqua" w:cs="宋体"/>
          <w:b/>
          <w:bCs/>
        </w:rPr>
        <w:t>45</w:t>
      </w:r>
      <w:r w:rsidRPr="00342B2F">
        <w:rPr>
          <w:rFonts w:ascii="Book Antiqua" w:eastAsia="宋体" w:hAnsi="Book Antiqua" w:cs="宋体"/>
        </w:rPr>
        <w:t>: 401-404 [PMID: 23616129 DOI: 10.1055/s-0032-1326213</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26 </w:t>
      </w:r>
      <w:r w:rsidRPr="00342B2F">
        <w:rPr>
          <w:rFonts w:ascii="Book Antiqua" w:eastAsia="宋体" w:hAnsi="Book Antiqua" w:cs="宋体"/>
          <w:b/>
          <w:bCs/>
        </w:rPr>
        <w:t>Ogawa T</w:t>
      </w:r>
      <w:r w:rsidRPr="00342B2F">
        <w:rPr>
          <w:rFonts w:ascii="Book Antiqua" w:eastAsia="宋体" w:hAnsi="Book Antiqua" w:cs="宋体"/>
        </w:rPr>
        <w:t xml:space="preserve">, Ito K, Fujita N, Noda Y, Kobayashi G, Horaguchi J, Koshita S, Kanno Y, Masu K, Ishii S. Endoscopic papillectomy as a method of total biopsy for possible early ampullary cancer. </w:t>
      </w:r>
      <w:r w:rsidRPr="00342B2F">
        <w:rPr>
          <w:rFonts w:ascii="Book Antiqua" w:eastAsia="宋体" w:hAnsi="Book Antiqua" w:cs="宋体"/>
          <w:i/>
          <w:iCs/>
        </w:rPr>
        <w:t>Dig Endosc</w:t>
      </w:r>
      <w:r w:rsidRPr="00342B2F">
        <w:rPr>
          <w:rFonts w:ascii="Book Antiqua" w:eastAsia="宋体" w:hAnsi="Book Antiqua" w:cs="宋体"/>
        </w:rPr>
        <w:t xml:space="preserve"> 2012; </w:t>
      </w:r>
      <w:r w:rsidRPr="00342B2F">
        <w:rPr>
          <w:rFonts w:ascii="Book Antiqua" w:eastAsia="宋体" w:hAnsi="Book Antiqua" w:cs="宋体"/>
          <w:b/>
          <w:bCs/>
        </w:rPr>
        <w:t>24</w:t>
      </w:r>
      <w:r w:rsidRPr="00342B2F">
        <w:rPr>
          <w:rFonts w:ascii="Book Antiqua" w:eastAsia="宋体" w:hAnsi="Book Antiqua" w:cs="宋体"/>
        </w:rPr>
        <w:t>: 291 [PMID: 22725127 DOI: 10.1111/j.1443-1661.2011.01214.x</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27 </w:t>
      </w:r>
      <w:r w:rsidRPr="00342B2F">
        <w:rPr>
          <w:rFonts w:ascii="Book Antiqua" w:eastAsia="宋体" w:hAnsi="Book Antiqua" w:cs="宋体"/>
          <w:b/>
          <w:bCs/>
        </w:rPr>
        <w:t>Niido T</w:t>
      </w:r>
      <w:r w:rsidRPr="00342B2F">
        <w:rPr>
          <w:rFonts w:ascii="Book Antiqua" w:eastAsia="宋体" w:hAnsi="Book Antiqua" w:cs="宋体"/>
        </w:rPr>
        <w:t xml:space="preserve">, Itoi T, Harada Y, Haruyama K, Ebihara Y, Tsuchida A, Kasuya K. Carcinoid of major duodenal papilla. </w:t>
      </w:r>
      <w:r w:rsidRPr="00342B2F">
        <w:rPr>
          <w:rFonts w:ascii="Book Antiqua" w:eastAsia="宋体" w:hAnsi="Book Antiqua" w:cs="宋体"/>
          <w:i/>
          <w:iCs/>
        </w:rPr>
        <w:t>Gastrointest Endosc</w:t>
      </w:r>
      <w:r w:rsidRPr="00342B2F">
        <w:rPr>
          <w:rFonts w:ascii="Book Antiqua" w:eastAsia="宋体" w:hAnsi="Book Antiqua" w:cs="宋体"/>
        </w:rPr>
        <w:t xml:space="preserve"> 2005; </w:t>
      </w:r>
      <w:r w:rsidRPr="00342B2F">
        <w:rPr>
          <w:rFonts w:ascii="Book Antiqua" w:eastAsia="宋体" w:hAnsi="Book Antiqua" w:cs="宋体"/>
          <w:b/>
          <w:bCs/>
        </w:rPr>
        <w:t>61</w:t>
      </w:r>
      <w:r w:rsidRPr="00342B2F">
        <w:rPr>
          <w:rFonts w:ascii="Book Antiqua" w:eastAsia="宋体" w:hAnsi="Book Antiqua" w:cs="宋体"/>
        </w:rPr>
        <w:t>: 106-107 [PMID: 15672069 DOI: 10.1016/S0016-5107(04)02384-3]</w:t>
      </w:r>
    </w:p>
    <w:p w:rsidR="001368EB" w:rsidRPr="00342B2F" w:rsidRDefault="001368EB" w:rsidP="00342B2F">
      <w:pPr>
        <w:rPr>
          <w:rFonts w:ascii="Book Antiqua" w:eastAsia="宋体" w:hAnsi="Book Antiqua" w:cs="宋体"/>
        </w:rPr>
      </w:pPr>
      <w:r w:rsidRPr="00342B2F">
        <w:rPr>
          <w:rFonts w:ascii="Book Antiqua" w:eastAsia="宋体" w:hAnsi="Book Antiqua" w:cs="宋体"/>
        </w:rPr>
        <w:lastRenderedPageBreak/>
        <w:t xml:space="preserve">28 </w:t>
      </w:r>
      <w:r w:rsidRPr="00342B2F">
        <w:rPr>
          <w:rFonts w:ascii="Book Antiqua" w:eastAsia="宋体" w:hAnsi="Book Antiqua" w:cs="宋体"/>
          <w:b/>
          <w:bCs/>
        </w:rPr>
        <w:t>Kwon J</w:t>
      </w:r>
      <w:r w:rsidRPr="00342B2F">
        <w:rPr>
          <w:rFonts w:ascii="Book Antiqua" w:eastAsia="宋体" w:hAnsi="Book Antiqua" w:cs="宋体"/>
        </w:rPr>
        <w:t xml:space="preserve">, Lee SE, Kang MJ, Jang JY, Kim SW. A case of gangliocytic paraganglioma in the ampulla of Vater. </w:t>
      </w:r>
      <w:r w:rsidRPr="00342B2F">
        <w:rPr>
          <w:rFonts w:ascii="Book Antiqua" w:eastAsia="宋体" w:hAnsi="Book Antiqua" w:cs="宋体"/>
          <w:i/>
          <w:iCs/>
        </w:rPr>
        <w:t>World J Surg Oncol</w:t>
      </w:r>
      <w:r w:rsidRPr="00342B2F">
        <w:rPr>
          <w:rFonts w:ascii="Book Antiqua" w:eastAsia="宋体" w:hAnsi="Book Antiqua" w:cs="宋体"/>
        </w:rPr>
        <w:t xml:space="preserve"> 2010; </w:t>
      </w:r>
      <w:r w:rsidRPr="00342B2F">
        <w:rPr>
          <w:rFonts w:ascii="Book Antiqua" w:eastAsia="宋体" w:hAnsi="Book Antiqua" w:cs="宋体"/>
          <w:b/>
          <w:bCs/>
        </w:rPr>
        <w:t>8</w:t>
      </w:r>
      <w:r w:rsidRPr="00342B2F">
        <w:rPr>
          <w:rFonts w:ascii="Book Antiqua" w:eastAsia="宋体" w:hAnsi="Book Antiqua" w:cs="宋体"/>
        </w:rPr>
        <w:t>: 42 [PMID: 20497533 DOI: 10.1186/1477-7819-8-42</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29 </w:t>
      </w:r>
      <w:r w:rsidRPr="00342B2F">
        <w:rPr>
          <w:rFonts w:ascii="Book Antiqua" w:eastAsia="宋体" w:hAnsi="Book Antiqua" w:cs="宋体"/>
          <w:b/>
          <w:bCs/>
        </w:rPr>
        <w:t>De Palma GD</w:t>
      </w:r>
      <w:r w:rsidRPr="00342B2F">
        <w:rPr>
          <w:rFonts w:ascii="Book Antiqua" w:eastAsia="宋体" w:hAnsi="Book Antiqua" w:cs="宋体"/>
        </w:rPr>
        <w:t xml:space="preserve">, Masone S, Siciliano S, Maione F, Falleti J, Mansueto G, De Rosa G, Persico G. Endocrine carcinoma of the major papilla: report of two cases and review of the literature. </w:t>
      </w:r>
      <w:r w:rsidRPr="00342B2F">
        <w:rPr>
          <w:rFonts w:ascii="Book Antiqua" w:eastAsia="宋体" w:hAnsi="Book Antiqua" w:cs="宋体"/>
          <w:i/>
          <w:iCs/>
        </w:rPr>
        <w:t>Surg Oncol</w:t>
      </w:r>
      <w:r w:rsidRPr="00342B2F">
        <w:rPr>
          <w:rFonts w:ascii="Book Antiqua" w:eastAsia="宋体" w:hAnsi="Book Antiqua" w:cs="宋体"/>
        </w:rPr>
        <w:t xml:space="preserve"> 2010; </w:t>
      </w:r>
      <w:r w:rsidRPr="00342B2F">
        <w:rPr>
          <w:rFonts w:ascii="Book Antiqua" w:eastAsia="宋体" w:hAnsi="Book Antiqua" w:cs="宋体"/>
          <w:b/>
          <w:bCs/>
        </w:rPr>
        <w:t>19</w:t>
      </w:r>
      <w:r w:rsidRPr="00342B2F">
        <w:rPr>
          <w:rFonts w:ascii="Book Antiqua" w:eastAsia="宋体" w:hAnsi="Book Antiqua" w:cs="宋体"/>
        </w:rPr>
        <w:t>: 235-242 [PMID: 19586767 DOI: 10.1016/j.suronc.2009.06.003</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30 </w:t>
      </w:r>
      <w:r w:rsidRPr="00342B2F">
        <w:rPr>
          <w:rFonts w:ascii="Book Antiqua" w:eastAsia="宋体" w:hAnsi="Book Antiqua" w:cs="宋体"/>
          <w:b/>
          <w:bCs/>
        </w:rPr>
        <w:t>Uchiyama Y</w:t>
      </w:r>
      <w:r w:rsidRPr="00342B2F">
        <w:rPr>
          <w:rFonts w:ascii="Book Antiqua" w:eastAsia="宋体" w:hAnsi="Book Antiqua" w:cs="宋体"/>
        </w:rPr>
        <w:t xml:space="preserve">, Imazu H, Kakutani H, Hino S, Sumiyama K, Kuramochi A, Tsukinaga S, Matsunaga K, Nakayoshi T, Goda K, Saito S, Kaise M, Kawamuara M, Omar S, Tajiri H. New approach to diagnosing ampullary tumors by magnifying endoscopy combined with a narrow-band imaging system. </w:t>
      </w:r>
      <w:r w:rsidRPr="00342B2F">
        <w:rPr>
          <w:rFonts w:ascii="Book Antiqua" w:eastAsia="宋体" w:hAnsi="Book Antiqua" w:cs="宋体"/>
          <w:i/>
          <w:iCs/>
        </w:rPr>
        <w:t>J Gastroenterol</w:t>
      </w:r>
      <w:r w:rsidRPr="00342B2F">
        <w:rPr>
          <w:rFonts w:ascii="Book Antiqua" w:eastAsia="宋体" w:hAnsi="Book Antiqua" w:cs="宋体"/>
        </w:rPr>
        <w:t xml:space="preserve"> 2006; </w:t>
      </w:r>
      <w:r w:rsidRPr="00342B2F">
        <w:rPr>
          <w:rFonts w:ascii="Book Antiqua" w:eastAsia="宋体" w:hAnsi="Book Antiqua" w:cs="宋体"/>
          <w:b/>
          <w:bCs/>
        </w:rPr>
        <w:t>41</w:t>
      </w:r>
      <w:r w:rsidRPr="00342B2F">
        <w:rPr>
          <w:rFonts w:ascii="Book Antiqua" w:eastAsia="宋体" w:hAnsi="Book Antiqua" w:cs="宋体"/>
        </w:rPr>
        <w:t>: 483-490 [PMID: 16799891 DOI: 10.1007/s00535-006-1800-7]</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31 </w:t>
      </w:r>
      <w:r w:rsidRPr="00342B2F">
        <w:rPr>
          <w:rFonts w:ascii="Book Antiqua" w:eastAsia="宋体" w:hAnsi="Book Antiqua" w:cs="宋体"/>
          <w:b/>
          <w:bCs/>
        </w:rPr>
        <w:t>Itoi T</w:t>
      </w:r>
      <w:r w:rsidRPr="00342B2F">
        <w:rPr>
          <w:rFonts w:ascii="Book Antiqua" w:eastAsia="宋体" w:hAnsi="Book Antiqua" w:cs="宋体"/>
        </w:rPr>
        <w:t xml:space="preserve">, Tsuji S, Sofuni A, Itokawa F, Kurihara T, Tsuchiya T, Ishii K, Ikeuchi N, Igarashi M, Gotoda T, Moriyasu F. A novel approach emphasizing preoperative margin enhancement of tumor of the major duodenal papilla with narrow-band imaging in comparison to indigo carmine chromoendoscopy (with videos). </w:t>
      </w:r>
      <w:r w:rsidRPr="00342B2F">
        <w:rPr>
          <w:rFonts w:ascii="Book Antiqua" w:eastAsia="宋体" w:hAnsi="Book Antiqua" w:cs="宋体"/>
          <w:i/>
          <w:iCs/>
        </w:rPr>
        <w:t>Gastrointest Endosc</w:t>
      </w:r>
      <w:r w:rsidRPr="00342B2F">
        <w:rPr>
          <w:rFonts w:ascii="Book Antiqua" w:eastAsia="宋体" w:hAnsi="Book Antiqua" w:cs="宋体"/>
        </w:rPr>
        <w:t xml:space="preserve"> 2009; </w:t>
      </w:r>
      <w:r w:rsidRPr="00342B2F">
        <w:rPr>
          <w:rFonts w:ascii="Book Antiqua" w:eastAsia="宋体" w:hAnsi="Book Antiqua" w:cs="宋体"/>
          <w:b/>
          <w:bCs/>
        </w:rPr>
        <w:t>69</w:t>
      </w:r>
      <w:r w:rsidRPr="00342B2F">
        <w:rPr>
          <w:rFonts w:ascii="Book Antiqua" w:eastAsia="宋体" w:hAnsi="Book Antiqua" w:cs="宋体"/>
        </w:rPr>
        <w:t>: 136-141 [PMID: 19026411 DOI: 10.1016/j.gie.2008.07.036</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32 </w:t>
      </w:r>
      <w:r w:rsidRPr="00342B2F">
        <w:rPr>
          <w:rFonts w:ascii="Book Antiqua" w:eastAsia="宋体" w:hAnsi="Book Antiqua" w:cs="宋体"/>
          <w:b/>
          <w:bCs/>
        </w:rPr>
        <w:t>Yamaguchi K</w:t>
      </w:r>
      <w:r w:rsidRPr="00342B2F">
        <w:rPr>
          <w:rFonts w:ascii="Book Antiqua" w:eastAsia="宋体" w:hAnsi="Book Antiqua" w:cs="宋体"/>
        </w:rPr>
        <w:t xml:space="preserve">, Enjoji M, Kitamura K. Endoscopic biopsy has limited accuracy in diagnosis of ampullary tumors. </w:t>
      </w:r>
      <w:r w:rsidRPr="00342B2F">
        <w:rPr>
          <w:rFonts w:ascii="Book Antiqua" w:eastAsia="宋体" w:hAnsi="Book Antiqua" w:cs="宋体"/>
          <w:i/>
          <w:iCs/>
        </w:rPr>
        <w:t>Gastrointest Endosc</w:t>
      </w:r>
      <w:r w:rsidRPr="00342B2F">
        <w:rPr>
          <w:rFonts w:ascii="Book Antiqua" w:eastAsia="宋体" w:hAnsi="Book Antiqua" w:cs="宋体"/>
        </w:rPr>
        <w:t xml:space="preserve"> </w:t>
      </w:r>
      <w:r>
        <w:rPr>
          <w:rFonts w:ascii="Book Antiqua" w:eastAsia="宋体" w:hAnsi="Book Antiqua" w:cs="宋体"/>
        </w:rPr>
        <w:t>1990</w:t>
      </w:r>
      <w:r w:rsidRPr="00342B2F">
        <w:rPr>
          <w:rFonts w:ascii="Book Antiqua" w:eastAsia="宋体" w:hAnsi="Book Antiqua" w:cs="宋体"/>
        </w:rPr>
        <w:t xml:space="preserve">; </w:t>
      </w:r>
      <w:r w:rsidRPr="00342B2F">
        <w:rPr>
          <w:rFonts w:ascii="Book Antiqua" w:eastAsia="宋体" w:hAnsi="Book Antiqua" w:cs="宋体"/>
          <w:b/>
          <w:bCs/>
        </w:rPr>
        <w:t>36</w:t>
      </w:r>
      <w:r w:rsidRPr="00342B2F">
        <w:rPr>
          <w:rFonts w:ascii="Book Antiqua" w:eastAsia="宋体" w:hAnsi="Book Antiqua" w:cs="宋体"/>
        </w:rPr>
        <w:t>: 588-592 [PMID: 2279648 DOI: 10.1016/S0016-5107(90)71170-4</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33 </w:t>
      </w:r>
      <w:r w:rsidRPr="00342B2F">
        <w:rPr>
          <w:rFonts w:ascii="Book Antiqua" w:eastAsia="宋体" w:hAnsi="Book Antiqua" w:cs="宋体"/>
          <w:b/>
          <w:bCs/>
        </w:rPr>
        <w:t>Elek G</w:t>
      </w:r>
      <w:r w:rsidRPr="00342B2F">
        <w:rPr>
          <w:rFonts w:ascii="Book Antiqua" w:eastAsia="宋体" w:hAnsi="Book Antiqua" w:cs="宋体"/>
        </w:rPr>
        <w:t xml:space="preserve">, Gyôri S, Tóth B, Pap A. Histological evaluation of preoperative biopsies from ampulla vateri. </w:t>
      </w:r>
      <w:r w:rsidRPr="00342B2F">
        <w:rPr>
          <w:rFonts w:ascii="Book Antiqua" w:eastAsia="宋体" w:hAnsi="Book Antiqua" w:cs="宋体"/>
          <w:i/>
          <w:iCs/>
        </w:rPr>
        <w:t>Pathol Oncol Res</w:t>
      </w:r>
      <w:r w:rsidRPr="00342B2F">
        <w:rPr>
          <w:rFonts w:ascii="Book Antiqua" w:eastAsia="宋体" w:hAnsi="Book Antiqua" w:cs="宋体"/>
        </w:rPr>
        <w:t xml:space="preserve"> 2003; </w:t>
      </w:r>
      <w:r w:rsidRPr="00342B2F">
        <w:rPr>
          <w:rFonts w:ascii="Book Antiqua" w:eastAsia="宋体" w:hAnsi="Book Antiqua" w:cs="宋体"/>
          <w:b/>
          <w:bCs/>
        </w:rPr>
        <w:t>9</w:t>
      </w:r>
      <w:r w:rsidRPr="00342B2F">
        <w:rPr>
          <w:rFonts w:ascii="Book Antiqua" w:eastAsia="宋体" w:hAnsi="Book Antiqua" w:cs="宋体"/>
        </w:rPr>
        <w:t>: 32-41 [PMID: 12704445 DOI: 10.1007/BF03033712</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34 </w:t>
      </w:r>
      <w:r w:rsidRPr="00342B2F">
        <w:rPr>
          <w:rFonts w:ascii="Book Antiqua" w:eastAsia="宋体" w:hAnsi="Book Antiqua" w:cs="宋体"/>
          <w:b/>
          <w:bCs/>
        </w:rPr>
        <w:t>Bellizzi AM</w:t>
      </w:r>
      <w:r w:rsidRPr="00342B2F">
        <w:rPr>
          <w:rFonts w:ascii="Book Antiqua" w:eastAsia="宋体" w:hAnsi="Book Antiqua" w:cs="宋体"/>
        </w:rPr>
        <w:t xml:space="preserve">, Kahaleh M, Stelow EB. The assessment of specimens procured by endoscopic ampullectomy. </w:t>
      </w:r>
      <w:r w:rsidRPr="00342B2F">
        <w:rPr>
          <w:rFonts w:ascii="Book Antiqua" w:eastAsia="宋体" w:hAnsi="Book Antiqua" w:cs="宋体"/>
          <w:i/>
          <w:iCs/>
        </w:rPr>
        <w:t>Am J Clin Pathol</w:t>
      </w:r>
      <w:r w:rsidRPr="00342B2F">
        <w:rPr>
          <w:rFonts w:ascii="Book Antiqua" w:eastAsia="宋体" w:hAnsi="Book Antiqua" w:cs="宋体"/>
        </w:rPr>
        <w:t xml:space="preserve"> 2009; </w:t>
      </w:r>
      <w:r w:rsidRPr="00342B2F">
        <w:rPr>
          <w:rFonts w:ascii="Book Antiqua" w:eastAsia="宋体" w:hAnsi="Book Antiqua" w:cs="宋体"/>
          <w:b/>
          <w:bCs/>
        </w:rPr>
        <w:t>132</w:t>
      </w:r>
      <w:r w:rsidRPr="00342B2F">
        <w:rPr>
          <w:rFonts w:ascii="Book Antiqua" w:eastAsia="宋体" w:hAnsi="Book Antiqua" w:cs="宋体"/>
        </w:rPr>
        <w:t>: 506-513 [PMID: 19762527 DOI: 10.1309/AJCPUZWJ8WA2IHBG</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35 </w:t>
      </w:r>
      <w:r w:rsidRPr="00342B2F">
        <w:rPr>
          <w:rFonts w:ascii="Book Antiqua" w:eastAsia="宋体" w:hAnsi="Book Antiqua" w:cs="宋体"/>
          <w:b/>
          <w:bCs/>
        </w:rPr>
        <w:t>Bourgeois N</w:t>
      </w:r>
      <w:r w:rsidRPr="00342B2F">
        <w:rPr>
          <w:rFonts w:ascii="Book Antiqua" w:eastAsia="宋体" w:hAnsi="Book Antiqua" w:cs="宋体"/>
        </w:rPr>
        <w:t xml:space="preserve">, Dunham F, Verhest A, Cremer M. Endoscopic biopsies of the papilla of Vater at the time of endoscopic sphincterotomy: difficulties in interpretation. </w:t>
      </w:r>
      <w:r w:rsidRPr="00342B2F">
        <w:rPr>
          <w:rFonts w:ascii="Book Antiqua" w:eastAsia="宋体" w:hAnsi="Book Antiqua" w:cs="宋体"/>
          <w:i/>
          <w:iCs/>
        </w:rPr>
        <w:t>Gastrointest Endosc</w:t>
      </w:r>
      <w:r w:rsidRPr="00342B2F">
        <w:rPr>
          <w:rFonts w:ascii="Book Antiqua" w:eastAsia="宋体" w:hAnsi="Book Antiqua" w:cs="宋体"/>
        </w:rPr>
        <w:t xml:space="preserve"> 1984; </w:t>
      </w:r>
      <w:r w:rsidRPr="00342B2F">
        <w:rPr>
          <w:rFonts w:ascii="Book Antiqua" w:eastAsia="宋体" w:hAnsi="Book Antiqua" w:cs="宋体"/>
          <w:b/>
          <w:bCs/>
        </w:rPr>
        <w:t>30</w:t>
      </w:r>
      <w:r w:rsidRPr="00342B2F">
        <w:rPr>
          <w:rFonts w:ascii="Book Antiqua" w:eastAsia="宋体" w:hAnsi="Book Antiqua" w:cs="宋体"/>
        </w:rPr>
        <w:t>: 163-166 [PMID: 6735092 DOI: 10.1016/S0016-5107(84)72357-1</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36 </w:t>
      </w:r>
      <w:r w:rsidRPr="00342B2F">
        <w:rPr>
          <w:rFonts w:ascii="Book Antiqua" w:eastAsia="宋体" w:hAnsi="Book Antiqua" w:cs="宋体"/>
          <w:b/>
          <w:bCs/>
        </w:rPr>
        <w:t>Menzel J</w:t>
      </w:r>
      <w:r w:rsidRPr="00342B2F">
        <w:rPr>
          <w:rFonts w:ascii="Book Antiqua" w:eastAsia="宋体" w:hAnsi="Book Antiqua" w:cs="宋体"/>
        </w:rPr>
        <w:t xml:space="preserve">, Poremba C, Dietl KH, Böcker W, Domschke W. Tumors of the papilla of Vater--inadequate diagnostic impact of endoscopic forceps biopsies taken prior to and following sphincterotomy. </w:t>
      </w:r>
      <w:r w:rsidRPr="00342B2F">
        <w:rPr>
          <w:rFonts w:ascii="Book Antiqua" w:eastAsia="宋体" w:hAnsi="Book Antiqua" w:cs="宋体"/>
          <w:i/>
          <w:iCs/>
        </w:rPr>
        <w:t>Ann Oncol</w:t>
      </w:r>
      <w:r w:rsidRPr="00342B2F">
        <w:rPr>
          <w:rFonts w:ascii="Book Antiqua" w:eastAsia="宋体" w:hAnsi="Book Antiqua" w:cs="宋体"/>
        </w:rPr>
        <w:t xml:space="preserve"> 1999; </w:t>
      </w:r>
      <w:r w:rsidRPr="00342B2F">
        <w:rPr>
          <w:rFonts w:ascii="Book Antiqua" w:eastAsia="宋体" w:hAnsi="Book Antiqua" w:cs="宋体"/>
          <w:b/>
          <w:bCs/>
        </w:rPr>
        <w:t>10</w:t>
      </w:r>
      <w:r w:rsidRPr="00342B2F">
        <w:rPr>
          <w:rFonts w:ascii="Book Antiqua" w:eastAsia="宋体" w:hAnsi="Book Antiqua" w:cs="宋体"/>
        </w:rPr>
        <w:t>: 1227-1231 [PMID: 10586341 DOI: 10.1023/A: 1008368807817]</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37 </w:t>
      </w:r>
      <w:r w:rsidRPr="00342B2F">
        <w:rPr>
          <w:rFonts w:ascii="Book Antiqua" w:eastAsia="宋体" w:hAnsi="Book Antiqua" w:cs="宋体"/>
          <w:b/>
          <w:bCs/>
        </w:rPr>
        <w:t>Rivadeneira DE</w:t>
      </w:r>
      <w:r w:rsidRPr="00342B2F">
        <w:rPr>
          <w:rFonts w:ascii="Book Antiqua" w:eastAsia="宋体" w:hAnsi="Book Antiqua" w:cs="宋体"/>
        </w:rPr>
        <w:t xml:space="preserve">, Pochapin M, Grobmyer SR, Lieberman MD, Christos PJ, Jacobson I, Daly JM. Comparison of linear array endoscopic ultrasound and helical computed tomography for the staging of periampullary malignancies. </w:t>
      </w:r>
      <w:r w:rsidRPr="00342B2F">
        <w:rPr>
          <w:rFonts w:ascii="Book Antiqua" w:eastAsia="宋体" w:hAnsi="Book Antiqua" w:cs="宋体"/>
          <w:i/>
          <w:iCs/>
        </w:rPr>
        <w:t>Ann Surg Oncol</w:t>
      </w:r>
      <w:r w:rsidRPr="00342B2F">
        <w:rPr>
          <w:rFonts w:ascii="Book Antiqua" w:eastAsia="宋体" w:hAnsi="Book Antiqua" w:cs="宋体"/>
        </w:rPr>
        <w:t xml:space="preserve"> 2003; </w:t>
      </w:r>
      <w:r w:rsidRPr="00342B2F">
        <w:rPr>
          <w:rFonts w:ascii="Book Antiqua" w:eastAsia="宋体" w:hAnsi="Book Antiqua" w:cs="宋体"/>
          <w:b/>
          <w:bCs/>
        </w:rPr>
        <w:t>10</w:t>
      </w:r>
      <w:r w:rsidRPr="00342B2F">
        <w:rPr>
          <w:rFonts w:ascii="Book Antiqua" w:eastAsia="宋体" w:hAnsi="Book Antiqua" w:cs="宋体"/>
        </w:rPr>
        <w:t>: 890-897 [PMID: 14527907 DOI: 10.1245/ASO.2003.03.555]</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38 </w:t>
      </w:r>
      <w:r w:rsidRPr="00342B2F">
        <w:rPr>
          <w:rFonts w:ascii="Book Antiqua" w:eastAsia="宋体" w:hAnsi="Book Antiqua" w:cs="宋体"/>
          <w:b/>
          <w:bCs/>
        </w:rPr>
        <w:t>Cannon ME</w:t>
      </w:r>
      <w:r w:rsidRPr="00342B2F">
        <w:rPr>
          <w:rFonts w:ascii="Book Antiqua" w:eastAsia="宋体" w:hAnsi="Book Antiqua" w:cs="宋体"/>
        </w:rPr>
        <w:t xml:space="preserve">, Carpenter SL, Elta GH, Nostrant TT, Kochman ML, Ginsberg GG, Stotland B, Rosato EF, Morris JB, Eckhauser F, Scheiman JM. EUS compared with CT, magnetic resonance imaging, and angiography and the influence of biliary stenting on staging accuracy of ampullary neoplasms. </w:t>
      </w:r>
      <w:r w:rsidRPr="00342B2F">
        <w:rPr>
          <w:rFonts w:ascii="Book Antiqua" w:eastAsia="宋体" w:hAnsi="Book Antiqua" w:cs="宋体"/>
          <w:i/>
          <w:iCs/>
        </w:rPr>
        <w:t>Gastrointest Endosc</w:t>
      </w:r>
      <w:r w:rsidRPr="00342B2F">
        <w:rPr>
          <w:rFonts w:ascii="Book Antiqua" w:eastAsia="宋体" w:hAnsi="Book Antiqua" w:cs="宋体"/>
        </w:rPr>
        <w:t xml:space="preserve"> 1999; </w:t>
      </w:r>
      <w:r w:rsidRPr="00342B2F">
        <w:rPr>
          <w:rFonts w:ascii="Book Antiqua" w:eastAsia="宋体" w:hAnsi="Book Antiqua" w:cs="宋体"/>
          <w:b/>
          <w:bCs/>
        </w:rPr>
        <w:t>50</w:t>
      </w:r>
      <w:r w:rsidRPr="00342B2F">
        <w:rPr>
          <w:rFonts w:ascii="Book Antiqua" w:eastAsia="宋体" w:hAnsi="Book Antiqua" w:cs="宋体"/>
        </w:rPr>
        <w:t>: 27-33 [PMID: 10385718 DOI: 10.1016/S0016-5107(99)70340-8]</w:t>
      </w:r>
    </w:p>
    <w:p w:rsidR="001368EB" w:rsidRPr="0044031F" w:rsidRDefault="001368EB" w:rsidP="00342B2F">
      <w:pPr>
        <w:rPr>
          <w:rFonts w:ascii="Book Antiqua" w:eastAsia="宋体" w:hAnsi="Book Antiqua" w:cs="宋体"/>
        </w:rPr>
      </w:pPr>
      <w:r w:rsidRPr="0044031F">
        <w:rPr>
          <w:rFonts w:ascii="Book Antiqua" w:eastAsia="宋体" w:hAnsi="Book Antiqua" w:cs="宋体"/>
        </w:rPr>
        <w:t>39</w:t>
      </w:r>
      <w:r w:rsidRPr="0044031F">
        <w:rPr>
          <w:rFonts w:ascii="Book Antiqua" w:hAnsi="Book Antiqua"/>
          <w:b/>
          <w:bCs/>
        </w:rPr>
        <w:t xml:space="preserve"> Rösch T</w:t>
      </w:r>
      <w:r w:rsidRPr="0044031F">
        <w:rPr>
          <w:rFonts w:ascii="Book Antiqua" w:hAnsi="Book Antiqua"/>
        </w:rPr>
        <w:t xml:space="preserve">, Lorenz R, Braig C, Feuerbach S, Siewert JR, Schusdziarra V, Classen M. Endoscopic ultrasound in pancreatic tumor diagnosis. </w:t>
      </w:r>
      <w:r w:rsidRPr="0044031F">
        <w:rPr>
          <w:rFonts w:ascii="Book Antiqua" w:hAnsi="Book Antiqua"/>
          <w:i/>
          <w:iCs/>
        </w:rPr>
        <w:t>Gastrointest Endosc</w:t>
      </w:r>
      <w:r w:rsidRPr="0044031F">
        <w:rPr>
          <w:rFonts w:ascii="Book Antiqua" w:hAnsi="Book Antiqua"/>
        </w:rPr>
        <w:t xml:space="preserve"> </w:t>
      </w:r>
      <w:r>
        <w:rPr>
          <w:rFonts w:ascii="Book Antiqua" w:eastAsia="宋体" w:hAnsi="Book Antiqua"/>
        </w:rPr>
        <w:t>1991</w:t>
      </w:r>
      <w:r w:rsidRPr="0044031F">
        <w:rPr>
          <w:rFonts w:ascii="Book Antiqua" w:hAnsi="Book Antiqua"/>
        </w:rPr>
        <w:t xml:space="preserve">; </w:t>
      </w:r>
      <w:r w:rsidRPr="0044031F">
        <w:rPr>
          <w:rFonts w:ascii="Book Antiqua" w:hAnsi="Book Antiqua"/>
          <w:b/>
          <w:bCs/>
        </w:rPr>
        <w:t>37</w:t>
      </w:r>
      <w:r w:rsidRPr="0044031F">
        <w:rPr>
          <w:rFonts w:ascii="Book Antiqua" w:hAnsi="Book Antiqua"/>
        </w:rPr>
        <w:t>: 347-352 [PMID: 2070987 DOI</w:t>
      </w:r>
      <w:r>
        <w:rPr>
          <w:rFonts w:ascii="Book Antiqua" w:hAnsi="Book Antiqua"/>
        </w:rPr>
        <w:t>: 10.1016/S0016-5107(91)70729-3</w:t>
      </w:r>
      <w:r w:rsidRPr="0044031F">
        <w:rPr>
          <w:rFonts w:ascii="Book Antiqua" w:hAnsi="Book Antiqua"/>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40 </w:t>
      </w:r>
      <w:r w:rsidRPr="00342B2F">
        <w:rPr>
          <w:rFonts w:ascii="Book Antiqua" w:eastAsia="宋体" w:hAnsi="Book Antiqua" w:cs="宋体"/>
          <w:b/>
          <w:bCs/>
        </w:rPr>
        <w:t>Azih LC</w:t>
      </w:r>
      <w:r w:rsidRPr="00342B2F">
        <w:rPr>
          <w:rFonts w:ascii="Book Antiqua" w:eastAsia="宋体" w:hAnsi="Book Antiqua" w:cs="宋体"/>
        </w:rPr>
        <w:t xml:space="preserve">, Broussard BL, Phadnis MA, Heslin MJ, Eloubeidi MA, Varadarajulu S, Arnoletti JP. Endoscopic ultrasound evaluation in the surgical treatment of duodenal and peri-ampullary adenomas. </w:t>
      </w:r>
      <w:r w:rsidRPr="00342B2F">
        <w:rPr>
          <w:rFonts w:ascii="Book Antiqua" w:eastAsia="宋体" w:hAnsi="Book Antiqua" w:cs="宋体"/>
          <w:i/>
          <w:iCs/>
        </w:rPr>
        <w:t>World J Gastroenterol</w:t>
      </w:r>
      <w:r w:rsidRPr="00342B2F">
        <w:rPr>
          <w:rFonts w:ascii="Book Antiqua" w:eastAsia="宋体" w:hAnsi="Book Antiqua" w:cs="宋体"/>
        </w:rPr>
        <w:t xml:space="preserve"> 2013; </w:t>
      </w:r>
      <w:r w:rsidRPr="00342B2F">
        <w:rPr>
          <w:rFonts w:ascii="Book Antiqua" w:eastAsia="宋体" w:hAnsi="Book Antiqua" w:cs="宋体"/>
          <w:b/>
          <w:bCs/>
        </w:rPr>
        <w:t>19</w:t>
      </w:r>
      <w:r w:rsidRPr="00342B2F">
        <w:rPr>
          <w:rFonts w:ascii="Book Antiqua" w:eastAsia="宋体" w:hAnsi="Book Antiqua" w:cs="宋体"/>
        </w:rPr>
        <w:t>: 511-515 [PMID: 23382629 DOI: 10.3748/wjg.v19.i4.511</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lastRenderedPageBreak/>
        <w:t xml:space="preserve">41 </w:t>
      </w:r>
      <w:r w:rsidRPr="00342B2F">
        <w:rPr>
          <w:rFonts w:ascii="Book Antiqua" w:eastAsia="宋体" w:hAnsi="Book Antiqua" w:cs="宋体"/>
          <w:b/>
          <w:bCs/>
        </w:rPr>
        <w:t>Ito K</w:t>
      </w:r>
      <w:r w:rsidRPr="00342B2F">
        <w:rPr>
          <w:rFonts w:ascii="Book Antiqua" w:eastAsia="宋体" w:hAnsi="Book Antiqua" w:cs="宋体"/>
        </w:rPr>
        <w:t xml:space="preserve">, Fujita N, Noda Y, Kobayashi G, Horaguchi J, Takasawa O, Obana T. Preoperative evaluation of ampullary neoplasm with EUS and transpapillary intraductal US: a prospective and histopathologically controlled study. </w:t>
      </w:r>
      <w:r w:rsidRPr="00342B2F">
        <w:rPr>
          <w:rFonts w:ascii="Book Antiqua" w:eastAsia="宋体" w:hAnsi="Book Antiqua" w:cs="宋体"/>
          <w:i/>
          <w:iCs/>
        </w:rPr>
        <w:t>Gastrointest Endosc</w:t>
      </w:r>
      <w:r w:rsidRPr="00342B2F">
        <w:rPr>
          <w:rFonts w:ascii="Book Antiqua" w:eastAsia="宋体" w:hAnsi="Book Antiqua" w:cs="宋体"/>
        </w:rPr>
        <w:t xml:space="preserve"> 2007; </w:t>
      </w:r>
      <w:r w:rsidRPr="00342B2F">
        <w:rPr>
          <w:rFonts w:ascii="Book Antiqua" w:eastAsia="宋体" w:hAnsi="Book Antiqua" w:cs="宋体"/>
          <w:b/>
          <w:bCs/>
        </w:rPr>
        <w:t>66</w:t>
      </w:r>
      <w:r w:rsidRPr="00342B2F">
        <w:rPr>
          <w:rFonts w:ascii="Book Antiqua" w:eastAsia="宋体" w:hAnsi="Book Antiqua" w:cs="宋体"/>
        </w:rPr>
        <w:t>: 740-747 [PMID: 17905017 DOI: 10.1016/j.gie.2007.03.1081]</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42 </w:t>
      </w:r>
      <w:r w:rsidRPr="00342B2F">
        <w:rPr>
          <w:rFonts w:ascii="Book Antiqua" w:eastAsia="宋体" w:hAnsi="Book Antiqua" w:cs="宋体"/>
          <w:b/>
          <w:bCs/>
        </w:rPr>
        <w:t>Will U</w:t>
      </w:r>
      <w:r w:rsidRPr="00342B2F">
        <w:rPr>
          <w:rFonts w:ascii="Book Antiqua" w:eastAsia="宋体" w:hAnsi="Book Antiqua" w:cs="宋体"/>
        </w:rPr>
        <w:t xml:space="preserve">, Bosseckert H, Meyer F. Correlation of endoscopic ultrasonography (EUS) for differential diagnostics between inflammatory and neoplastic lesions of the papilla of Vater and the peripapillary region with results of histologic investigation. </w:t>
      </w:r>
      <w:r w:rsidRPr="00342B2F">
        <w:rPr>
          <w:rFonts w:ascii="Book Antiqua" w:eastAsia="宋体" w:hAnsi="Book Antiqua" w:cs="宋体"/>
          <w:i/>
          <w:iCs/>
        </w:rPr>
        <w:t>Ultraschall Med</w:t>
      </w:r>
      <w:r w:rsidRPr="00342B2F">
        <w:rPr>
          <w:rFonts w:ascii="Book Antiqua" w:eastAsia="宋体" w:hAnsi="Book Antiqua" w:cs="宋体"/>
        </w:rPr>
        <w:t xml:space="preserve"> 2008; </w:t>
      </w:r>
      <w:r w:rsidRPr="00342B2F">
        <w:rPr>
          <w:rFonts w:ascii="Book Antiqua" w:eastAsia="宋体" w:hAnsi="Book Antiqua" w:cs="宋体"/>
          <w:b/>
          <w:bCs/>
        </w:rPr>
        <w:t>29</w:t>
      </w:r>
      <w:r w:rsidRPr="00342B2F">
        <w:rPr>
          <w:rFonts w:ascii="Book Antiqua" w:eastAsia="宋体" w:hAnsi="Book Antiqua" w:cs="宋体"/>
        </w:rPr>
        <w:t>: 275-280 [PMID: 18491258 DOI: 10.1055/s-2008-1027327</w:t>
      </w:r>
      <w:r>
        <w:rPr>
          <w:rFonts w:ascii="Book Antiqua" w:eastAsia="宋体" w:hAnsi="Book Antiqua" w:cs="宋体"/>
        </w:rPr>
        <w:t>]</w:t>
      </w:r>
    </w:p>
    <w:p w:rsidR="001368EB" w:rsidRPr="00342B2F" w:rsidRDefault="001368EB" w:rsidP="00342B2F">
      <w:pPr>
        <w:rPr>
          <w:rFonts w:ascii="Book Antiqua" w:eastAsia="宋体" w:hAnsi="Book Antiqua" w:cs="宋体"/>
        </w:rPr>
      </w:pPr>
      <w:r w:rsidRPr="00C6408D">
        <w:rPr>
          <w:rFonts w:ascii="Book Antiqua" w:eastAsia="宋体" w:hAnsi="Book Antiqua" w:cs="宋体"/>
        </w:rPr>
        <w:t>43</w:t>
      </w:r>
      <w:r w:rsidRPr="00C6408D">
        <w:rPr>
          <w:rFonts w:ascii="Book Antiqua" w:eastAsia="宋体" w:hAnsi="Book Antiqua" w:cs="宋体"/>
          <w:b/>
        </w:rPr>
        <w:t xml:space="preserve"> Cote GA</w:t>
      </w:r>
      <w:r w:rsidRPr="00C6408D">
        <w:rPr>
          <w:rFonts w:ascii="Book Antiqua" w:eastAsia="宋体" w:hAnsi="Book Antiqua" w:cs="宋体"/>
        </w:rPr>
        <w:t xml:space="preserve">, Edmundowicz SA. The Role of Endoscopic Ultrasonography (EUS) and Endoscopic Retrograde Cholangiopancreatography (ERCP) in the Evaluation and Management of Ampullary Adenomas. </w:t>
      </w:r>
      <w:r w:rsidRPr="00C6408D">
        <w:rPr>
          <w:rFonts w:ascii="Book Antiqua" w:eastAsia="宋体" w:hAnsi="Book Antiqua" w:cs="宋体"/>
          <w:i/>
        </w:rPr>
        <w:t>Tech Gastrointest Endosc</w:t>
      </w:r>
      <w:r w:rsidRPr="00C6408D">
        <w:rPr>
          <w:rFonts w:ascii="Book Antiqua" w:eastAsia="宋体" w:hAnsi="Book Antiqua" w:cs="宋体"/>
        </w:rPr>
        <w:t xml:space="preserve"> 2009;</w:t>
      </w:r>
      <w:r w:rsidRPr="00C6408D">
        <w:rPr>
          <w:rFonts w:ascii="Book Antiqua" w:eastAsia="宋体" w:hAnsi="Book Antiqua" w:cs="宋体"/>
          <w:b/>
        </w:rPr>
        <w:t xml:space="preserve"> 11</w:t>
      </w:r>
      <w:r w:rsidRPr="00C6408D">
        <w:rPr>
          <w:rFonts w:ascii="Book Antiqua" w:eastAsia="宋体" w:hAnsi="Book Antiqua" w:cs="宋体"/>
        </w:rPr>
        <w:t>: 49-57 [DOI: 10.1016/j.tgie.2009.03.004]</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44 </w:t>
      </w:r>
      <w:r w:rsidRPr="00342B2F">
        <w:rPr>
          <w:rFonts w:ascii="Book Antiqua" w:eastAsia="宋体" w:hAnsi="Book Antiqua" w:cs="宋体"/>
          <w:b/>
          <w:bCs/>
        </w:rPr>
        <w:t>Menzel J</w:t>
      </w:r>
      <w:r w:rsidRPr="00342B2F">
        <w:rPr>
          <w:rFonts w:ascii="Book Antiqua" w:eastAsia="宋体" w:hAnsi="Book Antiqua" w:cs="宋体"/>
        </w:rPr>
        <w:t xml:space="preserve">, Hoepffner N, Sulkowski U, Reimer P, Heinecke A, Poremba C, Domschke W. Polypoid tumors of the major duodenal papilla: preoperative staging with intraductal US, EUS, and CT--a prospective, histopathologically controlled study. </w:t>
      </w:r>
      <w:r w:rsidRPr="00342B2F">
        <w:rPr>
          <w:rFonts w:ascii="Book Antiqua" w:eastAsia="宋体" w:hAnsi="Book Antiqua" w:cs="宋体"/>
          <w:i/>
          <w:iCs/>
        </w:rPr>
        <w:t>Gastrointest Endosc</w:t>
      </w:r>
      <w:r w:rsidRPr="00342B2F">
        <w:rPr>
          <w:rFonts w:ascii="Book Antiqua" w:eastAsia="宋体" w:hAnsi="Book Antiqua" w:cs="宋体"/>
        </w:rPr>
        <w:t xml:space="preserve"> 1999; </w:t>
      </w:r>
      <w:r w:rsidRPr="00342B2F">
        <w:rPr>
          <w:rFonts w:ascii="Book Antiqua" w:eastAsia="宋体" w:hAnsi="Book Antiqua" w:cs="宋体"/>
          <w:b/>
          <w:bCs/>
        </w:rPr>
        <w:t>49</w:t>
      </w:r>
      <w:r w:rsidRPr="00342B2F">
        <w:rPr>
          <w:rFonts w:ascii="Book Antiqua" w:eastAsia="宋体" w:hAnsi="Book Antiqua" w:cs="宋体"/>
        </w:rPr>
        <w:t>: 349-357 [PMID: 10049419 DOI: 10.1016/S0016-5107(99)70012-X</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45 </w:t>
      </w:r>
      <w:r w:rsidRPr="00342B2F">
        <w:rPr>
          <w:rFonts w:ascii="Book Antiqua" w:eastAsia="宋体" w:hAnsi="Book Antiqua" w:cs="宋体"/>
          <w:b/>
          <w:bCs/>
        </w:rPr>
        <w:t>Itoh A</w:t>
      </w:r>
      <w:r w:rsidRPr="00342B2F">
        <w:rPr>
          <w:rFonts w:ascii="Book Antiqua" w:eastAsia="宋体" w:hAnsi="Book Antiqua" w:cs="宋体"/>
        </w:rPr>
        <w:t xml:space="preserve">, Goto H, Naitoh Y, Hirooka Y, Furukawa T, Hayakawa T. Intraductal ultrasonography in diagnosing tumor extension of cancer of the papilla of Vater. </w:t>
      </w:r>
      <w:r w:rsidRPr="00342B2F">
        <w:rPr>
          <w:rFonts w:ascii="Book Antiqua" w:eastAsia="宋体" w:hAnsi="Book Antiqua" w:cs="宋体"/>
          <w:i/>
          <w:iCs/>
        </w:rPr>
        <w:t>Gastrointest Endosc</w:t>
      </w:r>
      <w:r w:rsidRPr="00342B2F">
        <w:rPr>
          <w:rFonts w:ascii="Book Antiqua" w:eastAsia="宋体" w:hAnsi="Book Antiqua" w:cs="宋体"/>
        </w:rPr>
        <w:t xml:space="preserve"> 1997; </w:t>
      </w:r>
      <w:r w:rsidRPr="00342B2F">
        <w:rPr>
          <w:rFonts w:ascii="Book Antiqua" w:eastAsia="宋体" w:hAnsi="Book Antiqua" w:cs="宋体"/>
          <w:b/>
          <w:bCs/>
        </w:rPr>
        <w:t>45</w:t>
      </w:r>
      <w:r w:rsidRPr="00342B2F">
        <w:rPr>
          <w:rFonts w:ascii="Book Antiqua" w:eastAsia="宋体" w:hAnsi="Book Antiqua" w:cs="宋体"/>
        </w:rPr>
        <w:t>: 251-260 [PMID: 9087831 DOI: 10.1016/S0016-5107(97)70267-0]</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46 </w:t>
      </w:r>
      <w:r w:rsidRPr="00342B2F">
        <w:rPr>
          <w:rFonts w:ascii="Book Antiqua" w:eastAsia="宋体" w:hAnsi="Book Antiqua" w:cs="宋体"/>
          <w:b/>
          <w:bCs/>
        </w:rPr>
        <w:t>Menzel J</w:t>
      </w:r>
      <w:r w:rsidRPr="00342B2F">
        <w:rPr>
          <w:rFonts w:ascii="Book Antiqua" w:eastAsia="宋体" w:hAnsi="Book Antiqua" w:cs="宋体"/>
        </w:rPr>
        <w:t xml:space="preserve">, Domschke W. Gastrointestinal miniprobe sonography: the current status. </w:t>
      </w:r>
      <w:r w:rsidRPr="00342B2F">
        <w:rPr>
          <w:rFonts w:ascii="Book Antiqua" w:eastAsia="宋体" w:hAnsi="Book Antiqua" w:cs="宋体"/>
          <w:i/>
          <w:iCs/>
        </w:rPr>
        <w:t>Am J Gastroenterol</w:t>
      </w:r>
      <w:r w:rsidRPr="00342B2F">
        <w:rPr>
          <w:rFonts w:ascii="Book Antiqua" w:eastAsia="宋体" w:hAnsi="Book Antiqua" w:cs="宋体"/>
        </w:rPr>
        <w:t xml:space="preserve"> 2000; </w:t>
      </w:r>
      <w:r w:rsidRPr="00342B2F">
        <w:rPr>
          <w:rFonts w:ascii="Book Antiqua" w:eastAsia="宋体" w:hAnsi="Book Antiqua" w:cs="宋体"/>
          <w:b/>
          <w:bCs/>
        </w:rPr>
        <w:t>95</w:t>
      </w:r>
      <w:r w:rsidRPr="00342B2F">
        <w:rPr>
          <w:rFonts w:ascii="Book Antiqua" w:eastAsia="宋体" w:hAnsi="Book Antiqua" w:cs="宋体"/>
        </w:rPr>
        <w:t>: 605-616 [PMID: 10710047 DOI: 10.1111/j.1572-0241.2000.01832.x</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47 </w:t>
      </w:r>
      <w:r w:rsidRPr="00342B2F">
        <w:rPr>
          <w:rFonts w:ascii="Book Antiqua" w:eastAsia="宋体" w:hAnsi="Book Antiqua" w:cs="宋体"/>
          <w:b/>
          <w:bCs/>
        </w:rPr>
        <w:t>Ito K</w:t>
      </w:r>
      <w:r w:rsidRPr="00342B2F">
        <w:rPr>
          <w:rFonts w:ascii="Book Antiqua" w:eastAsia="宋体" w:hAnsi="Book Antiqua" w:cs="宋体"/>
        </w:rPr>
        <w:t xml:space="preserve">, Fujita N, Noda Y, Kobayashi G, Horaguchi J. Diagnosis of ampullary cancer. </w:t>
      </w:r>
      <w:r w:rsidRPr="00342B2F">
        <w:rPr>
          <w:rFonts w:ascii="Book Antiqua" w:eastAsia="宋体" w:hAnsi="Book Antiqua" w:cs="宋体"/>
          <w:i/>
          <w:iCs/>
        </w:rPr>
        <w:t>Dig Surg</w:t>
      </w:r>
      <w:r w:rsidRPr="00342B2F">
        <w:rPr>
          <w:rFonts w:ascii="Book Antiqua" w:eastAsia="宋体" w:hAnsi="Book Antiqua" w:cs="宋体"/>
        </w:rPr>
        <w:t xml:space="preserve"> 2010; </w:t>
      </w:r>
      <w:r w:rsidRPr="00342B2F">
        <w:rPr>
          <w:rFonts w:ascii="Book Antiqua" w:eastAsia="宋体" w:hAnsi="Book Antiqua" w:cs="宋体"/>
          <w:b/>
          <w:bCs/>
        </w:rPr>
        <w:t>27</w:t>
      </w:r>
      <w:r w:rsidRPr="00342B2F">
        <w:rPr>
          <w:rFonts w:ascii="Book Antiqua" w:eastAsia="宋体" w:hAnsi="Book Antiqua" w:cs="宋体"/>
        </w:rPr>
        <w:t>: 115-118 [PMID: 20551654 DOI: 10.1159/000286607</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48 </w:t>
      </w:r>
      <w:r w:rsidRPr="00342B2F">
        <w:rPr>
          <w:rFonts w:ascii="Book Antiqua" w:eastAsia="宋体" w:hAnsi="Book Antiqua" w:cs="宋体"/>
          <w:b/>
          <w:bCs/>
        </w:rPr>
        <w:t>Menees SB</w:t>
      </w:r>
      <w:r w:rsidRPr="00342B2F">
        <w:rPr>
          <w:rFonts w:ascii="Book Antiqua" w:eastAsia="宋体" w:hAnsi="Book Antiqua" w:cs="宋体"/>
        </w:rPr>
        <w:t xml:space="preserve">, Schoenfeld P, Kim HM, Elta GH. A survey of ampullectomy practices. </w:t>
      </w:r>
      <w:r w:rsidRPr="00342B2F">
        <w:rPr>
          <w:rFonts w:ascii="Book Antiqua" w:eastAsia="宋体" w:hAnsi="Book Antiqua" w:cs="宋体"/>
          <w:i/>
          <w:iCs/>
        </w:rPr>
        <w:t>World J Gastroenterol</w:t>
      </w:r>
      <w:r w:rsidRPr="00342B2F">
        <w:rPr>
          <w:rFonts w:ascii="Book Antiqua" w:eastAsia="宋体" w:hAnsi="Book Antiqua" w:cs="宋体"/>
        </w:rPr>
        <w:t xml:space="preserve"> 2009; </w:t>
      </w:r>
      <w:r w:rsidRPr="00342B2F">
        <w:rPr>
          <w:rFonts w:ascii="Book Antiqua" w:eastAsia="宋体" w:hAnsi="Book Antiqua" w:cs="宋体"/>
          <w:b/>
          <w:bCs/>
        </w:rPr>
        <w:t>15</w:t>
      </w:r>
      <w:r w:rsidRPr="00342B2F">
        <w:rPr>
          <w:rFonts w:ascii="Book Antiqua" w:eastAsia="宋体" w:hAnsi="Book Antiqua" w:cs="宋体"/>
        </w:rPr>
        <w:t>: 3486-3492 [PMID: 19630102 DOI: 10.3748/wjg.15.3486]</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49 </w:t>
      </w:r>
      <w:r w:rsidRPr="00342B2F">
        <w:rPr>
          <w:rFonts w:ascii="Book Antiqua" w:eastAsia="宋体" w:hAnsi="Book Antiqua" w:cs="宋体"/>
          <w:b/>
          <w:bCs/>
        </w:rPr>
        <w:t>Charton JP</w:t>
      </w:r>
      <w:r w:rsidRPr="00342B2F">
        <w:rPr>
          <w:rFonts w:ascii="Book Antiqua" w:eastAsia="宋体" w:hAnsi="Book Antiqua" w:cs="宋体"/>
        </w:rPr>
        <w:t xml:space="preserve">, Deinert K, Schumacher B, Neuhaus H. Endoscopic resection for neoplastic diseases of the papilla of Vater. </w:t>
      </w:r>
      <w:r w:rsidRPr="00342B2F">
        <w:rPr>
          <w:rFonts w:ascii="Book Antiqua" w:eastAsia="宋体" w:hAnsi="Book Antiqua" w:cs="宋体"/>
          <w:i/>
          <w:iCs/>
        </w:rPr>
        <w:t>J Hepatobiliary Pancreat Surg</w:t>
      </w:r>
      <w:r w:rsidRPr="00342B2F">
        <w:rPr>
          <w:rFonts w:ascii="Book Antiqua" w:eastAsia="宋体" w:hAnsi="Book Antiqua" w:cs="宋体"/>
        </w:rPr>
        <w:t xml:space="preserve"> 2004; </w:t>
      </w:r>
      <w:r w:rsidRPr="00342B2F">
        <w:rPr>
          <w:rFonts w:ascii="Book Antiqua" w:eastAsia="宋体" w:hAnsi="Book Antiqua" w:cs="宋体"/>
          <w:b/>
          <w:bCs/>
        </w:rPr>
        <w:t>11</w:t>
      </w:r>
      <w:r w:rsidRPr="00342B2F">
        <w:rPr>
          <w:rFonts w:ascii="Book Antiqua" w:eastAsia="宋体" w:hAnsi="Book Antiqua" w:cs="宋体"/>
        </w:rPr>
        <w:t>: 245-251 [PMID: 15368108 DOI: 10.1007/s00534-004-0897-4]</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50 </w:t>
      </w:r>
      <w:r w:rsidRPr="00342B2F">
        <w:rPr>
          <w:rFonts w:ascii="Book Antiqua" w:eastAsia="宋体" w:hAnsi="Book Antiqua" w:cs="宋体"/>
          <w:b/>
          <w:bCs/>
        </w:rPr>
        <w:t>Desilets DJ</w:t>
      </w:r>
      <w:r w:rsidRPr="00342B2F">
        <w:rPr>
          <w:rFonts w:ascii="Book Antiqua" w:eastAsia="宋体" w:hAnsi="Book Antiqua" w:cs="宋体"/>
        </w:rPr>
        <w:t xml:space="preserve">, Dy RM, Ku PM, Hanson BL, Elton E, Mattia A, Howell DA. Endoscopic management of tumors of the major duodenal papilla: Refined techniques to improve outcome and avoid complications. </w:t>
      </w:r>
      <w:r w:rsidRPr="00342B2F">
        <w:rPr>
          <w:rFonts w:ascii="Book Antiqua" w:eastAsia="宋体" w:hAnsi="Book Antiqua" w:cs="宋体"/>
          <w:i/>
          <w:iCs/>
        </w:rPr>
        <w:t>Gastrointest Endosc</w:t>
      </w:r>
      <w:r w:rsidRPr="00342B2F">
        <w:rPr>
          <w:rFonts w:ascii="Book Antiqua" w:eastAsia="宋体" w:hAnsi="Book Antiqua" w:cs="宋体"/>
        </w:rPr>
        <w:t xml:space="preserve"> 2001; </w:t>
      </w:r>
      <w:r w:rsidRPr="00342B2F">
        <w:rPr>
          <w:rFonts w:ascii="Book Antiqua" w:eastAsia="宋体" w:hAnsi="Book Antiqua" w:cs="宋体"/>
          <w:b/>
          <w:bCs/>
        </w:rPr>
        <w:t>54</w:t>
      </w:r>
      <w:r w:rsidRPr="00342B2F">
        <w:rPr>
          <w:rFonts w:ascii="Book Antiqua" w:eastAsia="宋体" w:hAnsi="Book Antiqua" w:cs="宋体"/>
        </w:rPr>
        <w:t>: 202-208 [PMID: 11474391 DOI: 10.1067/mge.2001.116564</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51 </w:t>
      </w:r>
      <w:r w:rsidRPr="00342B2F">
        <w:rPr>
          <w:rFonts w:ascii="Book Antiqua" w:eastAsia="宋体" w:hAnsi="Book Antiqua" w:cs="宋体"/>
          <w:b/>
          <w:bCs/>
        </w:rPr>
        <w:t>Norton ID</w:t>
      </w:r>
      <w:r w:rsidRPr="00342B2F">
        <w:rPr>
          <w:rFonts w:ascii="Book Antiqua" w:eastAsia="宋体" w:hAnsi="Book Antiqua" w:cs="宋体"/>
        </w:rPr>
        <w:t xml:space="preserve">, Gostout CJ, Baron TH, Geller A, Petersen BT, Wiersema MJ. Safety and outcome of endoscopic snare excision of the major duodenal papilla. </w:t>
      </w:r>
      <w:r w:rsidRPr="00342B2F">
        <w:rPr>
          <w:rFonts w:ascii="Book Antiqua" w:eastAsia="宋体" w:hAnsi="Book Antiqua" w:cs="宋体"/>
          <w:i/>
          <w:iCs/>
        </w:rPr>
        <w:t>Gastrointest Endosc</w:t>
      </w:r>
      <w:r w:rsidRPr="00342B2F">
        <w:rPr>
          <w:rFonts w:ascii="Book Antiqua" w:eastAsia="宋体" w:hAnsi="Book Antiqua" w:cs="宋体"/>
        </w:rPr>
        <w:t xml:space="preserve"> 2002; </w:t>
      </w:r>
      <w:r w:rsidRPr="00342B2F">
        <w:rPr>
          <w:rFonts w:ascii="Book Antiqua" w:eastAsia="宋体" w:hAnsi="Book Antiqua" w:cs="宋体"/>
          <w:b/>
          <w:bCs/>
        </w:rPr>
        <w:t>56</w:t>
      </w:r>
      <w:r w:rsidRPr="00342B2F">
        <w:rPr>
          <w:rFonts w:ascii="Book Antiqua" w:eastAsia="宋体" w:hAnsi="Book Antiqua" w:cs="宋体"/>
        </w:rPr>
        <w:t>: 239-243 [PMID: 12145603 DOI: 10.1016/S0016-5107(02)70184-3]</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52 </w:t>
      </w:r>
      <w:r w:rsidRPr="00342B2F">
        <w:rPr>
          <w:rFonts w:ascii="Book Antiqua" w:eastAsia="宋体" w:hAnsi="Book Antiqua" w:cs="宋体"/>
          <w:b/>
          <w:bCs/>
        </w:rPr>
        <w:t>Lee SK</w:t>
      </w:r>
      <w:r w:rsidRPr="00342B2F">
        <w:rPr>
          <w:rFonts w:ascii="Book Antiqua" w:eastAsia="宋体" w:hAnsi="Book Antiqua" w:cs="宋体"/>
        </w:rPr>
        <w:t xml:space="preserve">, Kim MH, Seo DW, Lee SS, Park JS. Endoscopic sphincterotomy and pancreatic duct stent placement before endoscopic papillectomy: are they necessary and safe procedures? </w:t>
      </w:r>
      <w:r w:rsidRPr="00342B2F">
        <w:rPr>
          <w:rFonts w:ascii="Book Antiqua" w:eastAsia="宋体" w:hAnsi="Book Antiqua" w:cs="宋体"/>
          <w:i/>
          <w:iCs/>
        </w:rPr>
        <w:t>Gastrointest Endosc</w:t>
      </w:r>
      <w:r w:rsidRPr="00342B2F">
        <w:rPr>
          <w:rFonts w:ascii="Book Antiqua" w:eastAsia="宋体" w:hAnsi="Book Antiqua" w:cs="宋体"/>
        </w:rPr>
        <w:t xml:space="preserve"> 2002; </w:t>
      </w:r>
      <w:r w:rsidRPr="00342B2F">
        <w:rPr>
          <w:rFonts w:ascii="Book Antiqua" w:eastAsia="宋体" w:hAnsi="Book Antiqua" w:cs="宋体"/>
          <w:b/>
          <w:bCs/>
        </w:rPr>
        <w:t>55</w:t>
      </w:r>
      <w:r w:rsidRPr="00342B2F">
        <w:rPr>
          <w:rFonts w:ascii="Book Antiqua" w:eastAsia="宋体" w:hAnsi="Book Antiqua" w:cs="宋体"/>
        </w:rPr>
        <w:t>: 302-304 [PMID: 11818948 DOI: 10.1067/mge.2002.120885]</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53 </w:t>
      </w:r>
      <w:r w:rsidRPr="00342B2F">
        <w:rPr>
          <w:rFonts w:ascii="Book Antiqua" w:eastAsia="宋体" w:hAnsi="Book Antiqua" w:cs="宋体"/>
          <w:b/>
          <w:bCs/>
        </w:rPr>
        <w:t>Baillie J</w:t>
      </w:r>
      <w:r w:rsidRPr="00342B2F">
        <w:rPr>
          <w:rFonts w:ascii="Book Antiqua" w:eastAsia="宋体" w:hAnsi="Book Antiqua" w:cs="宋体"/>
        </w:rPr>
        <w:t xml:space="preserve">. Endoscopic ampullectomy: does pancreatic stent placement make it safer? </w:t>
      </w:r>
      <w:r w:rsidRPr="00342B2F">
        <w:rPr>
          <w:rFonts w:ascii="Book Antiqua" w:eastAsia="宋体" w:hAnsi="Book Antiqua" w:cs="宋体"/>
          <w:i/>
          <w:iCs/>
        </w:rPr>
        <w:t>Gastrointest Endosc</w:t>
      </w:r>
      <w:r w:rsidRPr="00342B2F">
        <w:rPr>
          <w:rFonts w:ascii="Book Antiqua" w:eastAsia="宋体" w:hAnsi="Book Antiqua" w:cs="宋体"/>
        </w:rPr>
        <w:t xml:space="preserve"> 2005; </w:t>
      </w:r>
      <w:r w:rsidRPr="00342B2F">
        <w:rPr>
          <w:rFonts w:ascii="Book Antiqua" w:eastAsia="宋体" w:hAnsi="Book Antiqua" w:cs="宋体"/>
          <w:b/>
          <w:bCs/>
        </w:rPr>
        <w:t>62</w:t>
      </w:r>
      <w:r w:rsidRPr="00342B2F">
        <w:rPr>
          <w:rFonts w:ascii="Book Antiqua" w:eastAsia="宋体" w:hAnsi="Book Antiqua" w:cs="宋体"/>
        </w:rPr>
        <w:t>: 371-373 [PMID: 16111954 DOI: 10.1016/j.gie.2005.04.021]</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54 </w:t>
      </w:r>
      <w:r w:rsidRPr="00342B2F">
        <w:rPr>
          <w:rFonts w:ascii="Book Antiqua" w:eastAsia="宋体" w:hAnsi="Book Antiqua" w:cs="宋体"/>
          <w:b/>
          <w:bCs/>
        </w:rPr>
        <w:t>Yamao T</w:t>
      </w:r>
      <w:r w:rsidRPr="00342B2F">
        <w:rPr>
          <w:rFonts w:ascii="Book Antiqua" w:eastAsia="宋体" w:hAnsi="Book Antiqua" w:cs="宋体"/>
        </w:rPr>
        <w:t xml:space="preserve">, Isomoto H, Kohno S, Mizuta Y, Yamakawa M, Nakao K, Irie J. Endoscopic snare papillectomy with biliary and pancreatic stent placement for tumors of the major duodenal papilla. </w:t>
      </w:r>
      <w:r w:rsidRPr="00342B2F">
        <w:rPr>
          <w:rFonts w:ascii="Book Antiqua" w:eastAsia="宋体" w:hAnsi="Book Antiqua" w:cs="宋体"/>
          <w:i/>
          <w:iCs/>
        </w:rPr>
        <w:t>Surg Endosc</w:t>
      </w:r>
      <w:r w:rsidRPr="00342B2F">
        <w:rPr>
          <w:rFonts w:ascii="Book Antiqua" w:eastAsia="宋体" w:hAnsi="Book Antiqua" w:cs="宋体"/>
        </w:rPr>
        <w:t xml:space="preserve"> 2010; </w:t>
      </w:r>
      <w:r w:rsidRPr="00342B2F">
        <w:rPr>
          <w:rFonts w:ascii="Book Antiqua" w:eastAsia="宋体" w:hAnsi="Book Antiqua" w:cs="宋体"/>
          <w:b/>
          <w:bCs/>
        </w:rPr>
        <w:t>24</w:t>
      </w:r>
      <w:r w:rsidRPr="00342B2F">
        <w:rPr>
          <w:rFonts w:ascii="Book Antiqua" w:eastAsia="宋体" w:hAnsi="Book Antiqua" w:cs="宋体"/>
        </w:rPr>
        <w:t>: 119-124 [PMID: 19517183 DOI: 10.1007/s00464-009-0538-8</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55 </w:t>
      </w:r>
      <w:r w:rsidRPr="00342B2F">
        <w:rPr>
          <w:rFonts w:ascii="Book Antiqua" w:eastAsia="宋体" w:hAnsi="Book Antiqua" w:cs="宋体"/>
          <w:b/>
          <w:bCs/>
        </w:rPr>
        <w:t>Napoléon B</w:t>
      </w:r>
      <w:r w:rsidRPr="00342B2F">
        <w:rPr>
          <w:rFonts w:ascii="Book Antiqua" w:eastAsia="宋体" w:hAnsi="Book Antiqua" w:cs="宋体"/>
        </w:rPr>
        <w:t xml:space="preserve">, Alvarez-Sanchez MV, Leclercq P, Mion F, Pialat J, Gincul R, Ribeiro D, Cambou M, Lefort C, Rodríguez-Girondo M, Scoazec JY. Systematic pancreatic stenting </w:t>
      </w:r>
      <w:r w:rsidRPr="00342B2F">
        <w:rPr>
          <w:rFonts w:ascii="Book Antiqua" w:eastAsia="宋体" w:hAnsi="Book Antiqua" w:cs="宋体"/>
        </w:rPr>
        <w:lastRenderedPageBreak/>
        <w:t xml:space="preserve">after endoscopic snare papillectomy may reduce the risk of postinterventional pancreatitis. </w:t>
      </w:r>
      <w:r w:rsidRPr="00342B2F">
        <w:rPr>
          <w:rFonts w:ascii="Book Antiqua" w:eastAsia="宋体" w:hAnsi="Book Antiqua" w:cs="宋体"/>
          <w:i/>
          <w:iCs/>
        </w:rPr>
        <w:t>Surg Endosc</w:t>
      </w:r>
      <w:r w:rsidRPr="00342B2F">
        <w:rPr>
          <w:rFonts w:ascii="Book Antiqua" w:eastAsia="宋体" w:hAnsi="Book Antiqua" w:cs="宋体"/>
        </w:rPr>
        <w:t xml:space="preserve"> 2013; </w:t>
      </w:r>
      <w:r w:rsidRPr="00342B2F">
        <w:rPr>
          <w:rFonts w:ascii="Book Antiqua" w:eastAsia="宋体" w:hAnsi="Book Antiqua" w:cs="宋体"/>
          <w:b/>
          <w:bCs/>
        </w:rPr>
        <w:t>27</w:t>
      </w:r>
      <w:r w:rsidRPr="00342B2F">
        <w:rPr>
          <w:rFonts w:ascii="Book Antiqua" w:eastAsia="宋体" w:hAnsi="Book Antiqua" w:cs="宋体"/>
        </w:rPr>
        <w:t>: 3377-3387 [PMID: 23549765 DOI: 10.1007/s00464-013-2920-9</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56 </w:t>
      </w:r>
      <w:r w:rsidRPr="00342B2F">
        <w:rPr>
          <w:rFonts w:ascii="Book Antiqua" w:eastAsia="宋体" w:hAnsi="Book Antiqua" w:cs="宋体"/>
          <w:b/>
          <w:bCs/>
        </w:rPr>
        <w:t>Harewood GC</w:t>
      </w:r>
      <w:r w:rsidRPr="00342B2F">
        <w:rPr>
          <w:rFonts w:ascii="Book Antiqua" w:eastAsia="宋体" w:hAnsi="Book Antiqua" w:cs="宋体"/>
        </w:rPr>
        <w:t xml:space="preserve">, Pochron NL, Gostout CJ. Prospective, randomized, controlled trial of prophylactic pancreatic stent placement for endoscopic snare excision of the duodenal ampulla. </w:t>
      </w:r>
      <w:r w:rsidRPr="00342B2F">
        <w:rPr>
          <w:rFonts w:ascii="Book Antiqua" w:eastAsia="宋体" w:hAnsi="Book Antiqua" w:cs="宋体"/>
          <w:i/>
          <w:iCs/>
        </w:rPr>
        <w:t>Gastrointest Endosc</w:t>
      </w:r>
      <w:r w:rsidRPr="00342B2F">
        <w:rPr>
          <w:rFonts w:ascii="Book Antiqua" w:eastAsia="宋体" w:hAnsi="Book Antiqua" w:cs="宋体"/>
        </w:rPr>
        <w:t xml:space="preserve"> 2005; </w:t>
      </w:r>
      <w:r w:rsidRPr="00342B2F">
        <w:rPr>
          <w:rFonts w:ascii="Book Antiqua" w:eastAsia="宋体" w:hAnsi="Book Antiqua" w:cs="宋体"/>
          <w:b/>
          <w:bCs/>
        </w:rPr>
        <w:t>62</w:t>
      </w:r>
      <w:r w:rsidRPr="00342B2F">
        <w:rPr>
          <w:rFonts w:ascii="Book Antiqua" w:eastAsia="宋体" w:hAnsi="Book Antiqua" w:cs="宋体"/>
        </w:rPr>
        <w:t>: 367-370 [PMID: 16111953 DOI: 10.1016/j.gie.2005.04.020</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57 </w:t>
      </w:r>
      <w:r w:rsidRPr="00342B2F">
        <w:rPr>
          <w:rFonts w:ascii="Book Antiqua" w:eastAsia="宋体" w:hAnsi="Book Antiqua" w:cs="宋体"/>
          <w:b/>
          <w:bCs/>
        </w:rPr>
        <w:t>Adler DG</w:t>
      </w:r>
      <w:r w:rsidRPr="00342B2F">
        <w:rPr>
          <w:rFonts w:ascii="Book Antiqua" w:eastAsia="宋体" w:hAnsi="Book Antiqua" w:cs="宋体"/>
        </w:rPr>
        <w:t xml:space="preserve">, Qureshi W, Davila R, Gan SI, Lichtenstein D, Rajan E, Shen B, Zuckerman MJ, Fanelli RD, Van Guilder T, Baron TH. The role of endoscopy in ampullary and duodenal adenomas. </w:t>
      </w:r>
      <w:r w:rsidRPr="00342B2F">
        <w:rPr>
          <w:rFonts w:ascii="Book Antiqua" w:eastAsia="宋体" w:hAnsi="Book Antiqua" w:cs="宋体"/>
          <w:i/>
          <w:iCs/>
        </w:rPr>
        <w:t>Gastrointest Endosc</w:t>
      </w:r>
      <w:r w:rsidRPr="00342B2F">
        <w:rPr>
          <w:rFonts w:ascii="Book Antiqua" w:eastAsia="宋体" w:hAnsi="Book Antiqua" w:cs="宋体"/>
        </w:rPr>
        <w:t xml:space="preserve"> 2006; </w:t>
      </w:r>
      <w:r w:rsidRPr="00342B2F">
        <w:rPr>
          <w:rFonts w:ascii="Book Antiqua" w:eastAsia="宋体" w:hAnsi="Book Antiqua" w:cs="宋体"/>
          <w:b/>
          <w:bCs/>
        </w:rPr>
        <w:t>64</w:t>
      </w:r>
      <w:r w:rsidRPr="00342B2F">
        <w:rPr>
          <w:rFonts w:ascii="Book Antiqua" w:eastAsia="宋体" w:hAnsi="Book Antiqua" w:cs="宋体"/>
        </w:rPr>
        <w:t>: 849-854 [PMID: 17140885 DOI: 10.1016/j.gie.2006.08.044]</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58 </w:t>
      </w:r>
      <w:r w:rsidRPr="00342B2F">
        <w:rPr>
          <w:rFonts w:ascii="Book Antiqua" w:eastAsia="宋体" w:hAnsi="Book Antiqua" w:cs="宋体"/>
          <w:b/>
          <w:bCs/>
        </w:rPr>
        <w:t>Jun DW</w:t>
      </w:r>
      <w:r w:rsidRPr="00342B2F">
        <w:rPr>
          <w:rFonts w:ascii="Book Antiqua" w:eastAsia="宋体" w:hAnsi="Book Antiqua" w:cs="宋体"/>
        </w:rPr>
        <w:t xml:space="preserve">, Choi HS. [Is the endoscopic papillectomy safe procedure in periampullary tumors?]. </w:t>
      </w:r>
      <w:r w:rsidRPr="00342B2F">
        <w:rPr>
          <w:rFonts w:ascii="Book Antiqua" w:eastAsia="宋体" w:hAnsi="Book Antiqua" w:cs="宋体"/>
          <w:i/>
          <w:iCs/>
        </w:rPr>
        <w:t>Korean J Gastroenterol</w:t>
      </w:r>
      <w:r w:rsidRPr="00342B2F">
        <w:rPr>
          <w:rFonts w:ascii="Book Antiqua" w:eastAsia="宋体" w:hAnsi="Book Antiqua" w:cs="宋体"/>
        </w:rPr>
        <w:t xml:space="preserve"> 2005; </w:t>
      </w:r>
      <w:r w:rsidRPr="00342B2F">
        <w:rPr>
          <w:rFonts w:ascii="Book Antiqua" w:eastAsia="宋体" w:hAnsi="Book Antiqua" w:cs="宋体"/>
          <w:b/>
          <w:bCs/>
        </w:rPr>
        <w:t>46</w:t>
      </w:r>
      <w:r w:rsidRPr="00342B2F">
        <w:rPr>
          <w:rFonts w:ascii="Book Antiqua" w:eastAsia="宋体" w:hAnsi="Book Antiqua" w:cs="宋体"/>
        </w:rPr>
        <w:t>: 247-250 [PMID: 16179847]</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59 </w:t>
      </w:r>
      <w:r w:rsidRPr="00342B2F">
        <w:rPr>
          <w:rFonts w:ascii="Book Antiqua" w:eastAsia="宋体" w:hAnsi="Book Antiqua" w:cs="宋体"/>
          <w:b/>
          <w:bCs/>
        </w:rPr>
        <w:t>Lee SY</w:t>
      </w:r>
      <w:r w:rsidRPr="00342B2F">
        <w:rPr>
          <w:rFonts w:ascii="Book Antiqua" w:eastAsia="宋体" w:hAnsi="Book Antiqua" w:cs="宋体"/>
        </w:rPr>
        <w:t xml:space="preserve">, Jang KT, Lee KT, Lee JK, Choi SH, Heo JS, Paik SW, Rhee JC. Can endoscopic resection be applied for early stage ampulla of Vater cancer? </w:t>
      </w:r>
      <w:r w:rsidRPr="00342B2F">
        <w:rPr>
          <w:rFonts w:ascii="Book Antiqua" w:eastAsia="宋体" w:hAnsi="Book Antiqua" w:cs="宋体"/>
          <w:i/>
          <w:iCs/>
        </w:rPr>
        <w:t>Gastrointest Endosc</w:t>
      </w:r>
      <w:r w:rsidRPr="00342B2F">
        <w:rPr>
          <w:rFonts w:ascii="Book Antiqua" w:eastAsia="宋体" w:hAnsi="Book Antiqua" w:cs="宋体"/>
        </w:rPr>
        <w:t xml:space="preserve"> 2006; </w:t>
      </w:r>
      <w:r w:rsidRPr="00342B2F">
        <w:rPr>
          <w:rFonts w:ascii="Book Antiqua" w:eastAsia="宋体" w:hAnsi="Book Antiqua" w:cs="宋体"/>
          <w:b/>
          <w:bCs/>
        </w:rPr>
        <w:t>63</w:t>
      </w:r>
      <w:r w:rsidRPr="00342B2F">
        <w:rPr>
          <w:rFonts w:ascii="Book Antiqua" w:eastAsia="宋体" w:hAnsi="Book Antiqua" w:cs="宋体"/>
        </w:rPr>
        <w:t>: 783-788 [PMID: 16650538]</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60 </w:t>
      </w:r>
      <w:r w:rsidRPr="00342B2F">
        <w:rPr>
          <w:rFonts w:ascii="Book Antiqua" w:eastAsia="宋体" w:hAnsi="Book Antiqua" w:cs="宋体"/>
          <w:b/>
          <w:bCs/>
        </w:rPr>
        <w:t>Katsinelos P</w:t>
      </w:r>
      <w:r w:rsidRPr="00342B2F">
        <w:rPr>
          <w:rFonts w:ascii="Book Antiqua" w:eastAsia="宋体" w:hAnsi="Book Antiqua" w:cs="宋体"/>
        </w:rPr>
        <w:t xml:space="preserve">, Paroutoglou G, Kountouras J, Beltsis A, Papaziogas B, Mimidis K, Zavos C, Dimiropoulos S. Safety and long-term follow-up of endoscopic snare excision of ampullary adenomas. </w:t>
      </w:r>
      <w:r w:rsidRPr="00342B2F">
        <w:rPr>
          <w:rFonts w:ascii="Book Antiqua" w:eastAsia="宋体" w:hAnsi="Book Antiqua" w:cs="宋体"/>
          <w:i/>
          <w:iCs/>
        </w:rPr>
        <w:t>Surg Endosc</w:t>
      </w:r>
      <w:r w:rsidRPr="00342B2F">
        <w:rPr>
          <w:rFonts w:ascii="Book Antiqua" w:eastAsia="宋体" w:hAnsi="Book Antiqua" w:cs="宋体"/>
        </w:rPr>
        <w:t xml:space="preserve"> 2006; </w:t>
      </w:r>
      <w:r w:rsidRPr="00342B2F">
        <w:rPr>
          <w:rFonts w:ascii="Book Antiqua" w:eastAsia="宋体" w:hAnsi="Book Antiqua" w:cs="宋体"/>
          <w:b/>
          <w:bCs/>
        </w:rPr>
        <w:t>20</w:t>
      </w:r>
      <w:r w:rsidRPr="00342B2F">
        <w:rPr>
          <w:rFonts w:ascii="Book Antiqua" w:eastAsia="宋体" w:hAnsi="Book Antiqua" w:cs="宋体"/>
        </w:rPr>
        <w:t>: 608-613 [PMID: 16508819 DOI: 10.1007/s00464-004-2278-0</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61 </w:t>
      </w:r>
      <w:r w:rsidRPr="00342B2F">
        <w:rPr>
          <w:rFonts w:ascii="Book Antiqua" w:eastAsia="宋体" w:hAnsi="Book Antiqua" w:cs="宋体"/>
          <w:b/>
          <w:bCs/>
        </w:rPr>
        <w:t>Pandolfi M</w:t>
      </w:r>
      <w:r w:rsidRPr="00342B2F">
        <w:rPr>
          <w:rFonts w:ascii="Book Antiqua" w:eastAsia="宋体" w:hAnsi="Book Antiqua" w:cs="宋体"/>
        </w:rPr>
        <w:t xml:space="preserve">, Martino M, Gabbrielli A. Endoscopic treatment of ampullary adenomas. </w:t>
      </w:r>
      <w:r w:rsidRPr="00342B2F">
        <w:rPr>
          <w:rFonts w:ascii="Book Antiqua" w:eastAsia="宋体" w:hAnsi="Book Antiqua" w:cs="宋体"/>
          <w:i/>
          <w:iCs/>
        </w:rPr>
        <w:t>JOP</w:t>
      </w:r>
      <w:r w:rsidRPr="00342B2F">
        <w:rPr>
          <w:rFonts w:ascii="Book Antiqua" w:eastAsia="宋体" w:hAnsi="Book Antiqua" w:cs="宋体"/>
        </w:rPr>
        <w:t xml:space="preserve"> 2008; </w:t>
      </w:r>
      <w:r w:rsidRPr="00342B2F">
        <w:rPr>
          <w:rFonts w:ascii="Book Antiqua" w:eastAsia="宋体" w:hAnsi="Book Antiqua" w:cs="宋体"/>
          <w:b/>
          <w:bCs/>
        </w:rPr>
        <w:t>9</w:t>
      </w:r>
      <w:r w:rsidRPr="00342B2F">
        <w:rPr>
          <w:rFonts w:ascii="Book Antiqua" w:eastAsia="宋体" w:hAnsi="Book Antiqua" w:cs="宋体"/>
        </w:rPr>
        <w:t>: 1-8 [PMID: 18182736]</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62 </w:t>
      </w:r>
      <w:r w:rsidRPr="00342B2F">
        <w:rPr>
          <w:rFonts w:ascii="Book Antiqua" w:eastAsia="宋体" w:hAnsi="Book Antiqua" w:cs="宋体"/>
          <w:b/>
          <w:bCs/>
        </w:rPr>
        <w:t>Elmunzer BJ</w:t>
      </w:r>
      <w:r w:rsidRPr="00342B2F">
        <w:rPr>
          <w:rFonts w:ascii="Book Antiqua" w:eastAsia="宋体" w:hAnsi="Book Antiqua" w:cs="宋体"/>
        </w:rPr>
        <w:t xml:space="preserve">, Scheiman JM, Lehman GA, Chak A, Mosler P, Higgins PD, Hayward RA, Romagnuolo J, Elta GH, Sherman S, Waljee AK, Repaka A, Atkinson MR, Cote GA, Kwon RS, McHenry L, Piraka CR, Wamsteker EJ, Watkins JL, Korsnes SJ, Schmidt SE, Turner SM, Nicholson S, Fogel EL. A randomized trial of rectal indomethacin to prevent post-ERCP pancreatitis. </w:t>
      </w:r>
      <w:r w:rsidRPr="00342B2F">
        <w:rPr>
          <w:rFonts w:ascii="Book Antiqua" w:eastAsia="宋体" w:hAnsi="Book Antiqua" w:cs="宋体"/>
          <w:i/>
          <w:iCs/>
        </w:rPr>
        <w:t>N Engl J Med</w:t>
      </w:r>
      <w:r w:rsidRPr="00342B2F">
        <w:rPr>
          <w:rFonts w:ascii="Book Antiqua" w:eastAsia="宋体" w:hAnsi="Book Antiqua" w:cs="宋体"/>
        </w:rPr>
        <w:t xml:space="preserve"> 2012; </w:t>
      </w:r>
      <w:r w:rsidRPr="00342B2F">
        <w:rPr>
          <w:rFonts w:ascii="Book Antiqua" w:eastAsia="宋体" w:hAnsi="Book Antiqua" w:cs="宋体"/>
          <w:b/>
          <w:bCs/>
        </w:rPr>
        <w:t>366</w:t>
      </w:r>
      <w:r w:rsidRPr="00342B2F">
        <w:rPr>
          <w:rFonts w:ascii="Book Antiqua" w:eastAsia="宋体" w:hAnsi="Book Antiqua" w:cs="宋体"/>
        </w:rPr>
        <w:t>: 1414-1422 [PMID: 22494121 DOI: 10.1056/NEJMoa1111103</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63 </w:t>
      </w:r>
      <w:r w:rsidRPr="00342B2F">
        <w:rPr>
          <w:rFonts w:ascii="Book Antiqua" w:eastAsia="宋体" w:hAnsi="Book Antiqua" w:cs="宋体"/>
          <w:b/>
          <w:bCs/>
        </w:rPr>
        <w:t>Heinzow HS</w:t>
      </w:r>
      <w:r w:rsidRPr="00342B2F">
        <w:rPr>
          <w:rFonts w:ascii="Book Antiqua" w:eastAsia="宋体" w:hAnsi="Book Antiqua" w:cs="宋体"/>
        </w:rPr>
        <w:t xml:space="preserve">, Lenz P, Lenze F, Domagk D, Domschke W, Meister T. Feasibility of snare papillectomy in ampulla of Vater tumors: meta-analysis and study results from a tertiary referral center. </w:t>
      </w:r>
      <w:r w:rsidRPr="00342B2F">
        <w:rPr>
          <w:rFonts w:ascii="Book Antiqua" w:eastAsia="宋体" w:hAnsi="Book Antiqua" w:cs="宋体"/>
          <w:i/>
          <w:iCs/>
        </w:rPr>
        <w:t>Hepatogastroenterology</w:t>
      </w:r>
      <w:r w:rsidRPr="00342B2F">
        <w:rPr>
          <w:rFonts w:ascii="Book Antiqua" w:eastAsia="宋体" w:hAnsi="Book Antiqua" w:cs="宋体"/>
        </w:rPr>
        <w:t xml:space="preserve"> </w:t>
      </w:r>
      <w:r>
        <w:rPr>
          <w:rFonts w:ascii="Book Antiqua" w:eastAsia="宋体" w:hAnsi="Book Antiqua" w:cs="宋体"/>
        </w:rPr>
        <w:t>2012</w:t>
      </w:r>
      <w:r w:rsidRPr="00342B2F">
        <w:rPr>
          <w:rFonts w:ascii="Book Antiqua" w:eastAsia="宋体" w:hAnsi="Book Antiqua" w:cs="宋体"/>
        </w:rPr>
        <w:t xml:space="preserve">; </w:t>
      </w:r>
      <w:r w:rsidRPr="00342B2F">
        <w:rPr>
          <w:rFonts w:ascii="Book Antiqua" w:eastAsia="宋体" w:hAnsi="Book Antiqua" w:cs="宋体"/>
          <w:b/>
          <w:bCs/>
        </w:rPr>
        <w:t>59</w:t>
      </w:r>
      <w:r w:rsidRPr="00342B2F">
        <w:rPr>
          <w:rFonts w:ascii="Book Antiqua" w:eastAsia="宋体" w:hAnsi="Book Antiqua" w:cs="宋体"/>
        </w:rPr>
        <w:t>: 332-335 [PMID: 21940377 DOI: 10.5754/hge11414</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64 </w:t>
      </w:r>
      <w:r w:rsidRPr="00342B2F">
        <w:rPr>
          <w:rFonts w:ascii="Book Antiqua" w:eastAsia="宋体" w:hAnsi="Book Antiqua" w:cs="宋体"/>
          <w:b/>
          <w:bCs/>
        </w:rPr>
        <w:t>Han J</w:t>
      </w:r>
      <w:r w:rsidRPr="00342B2F">
        <w:rPr>
          <w:rFonts w:ascii="Book Antiqua" w:eastAsia="宋体" w:hAnsi="Book Antiqua" w:cs="宋体"/>
        </w:rPr>
        <w:t xml:space="preserve">, Lee SK, Park DH, Choi JS, Lee SS, Seo DW, Kim MH. [Treatment outcome after endoscopic papillectomy of tumors of the major duodenal papilla]. </w:t>
      </w:r>
      <w:r w:rsidRPr="00342B2F">
        <w:rPr>
          <w:rFonts w:ascii="Book Antiqua" w:eastAsia="宋体" w:hAnsi="Book Antiqua" w:cs="宋体"/>
          <w:i/>
          <w:iCs/>
        </w:rPr>
        <w:t>Korean J Gastroenterol</w:t>
      </w:r>
      <w:r w:rsidRPr="00342B2F">
        <w:rPr>
          <w:rFonts w:ascii="Book Antiqua" w:eastAsia="宋体" w:hAnsi="Book Antiqua" w:cs="宋体"/>
        </w:rPr>
        <w:t xml:space="preserve"> 2005; </w:t>
      </w:r>
      <w:r w:rsidRPr="00342B2F">
        <w:rPr>
          <w:rFonts w:ascii="Book Antiqua" w:eastAsia="宋体" w:hAnsi="Book Antiqua" w:cs="宋体"/>
          <w:b/>
          <w:bCs/>
        </w:rPr>
        <w:t>46</w:t>
      </w:r>
      <w:r w:rsidRPr="00342B2F">
        <w:rPr>
          <w:rFonts w:ascii="Book Antiqua" w:eastAsia="宋体" w:hAnsi="Book Antiqua" w:cs="宋体"/>
        </w:rPr>
        <w:t>: 110-119 [PMID: 16118521]</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65 </w:t>
      </w:r>
      <w:r w:rsidRPr="00342B2F">
        <w:rPr>
          <w:rFonts w:ascii="Book Antiqua" w:eastAsia="宋体" w:hAnsi="Book Antiqua" w:cs="宋体"/>
          <w:b/>
          <w:bCs/>
        </w:rPr>
        <w:t>Dittrick GW</w:t>
      </w:r>
      <w:r w:rsidRPr="00342B2F">
        <w:rPr>
          <w:rFonts w:ascii="Book Antiqua" w:eastAsia="宋体" w:hAnsi="Book Antiqua" w:cs="宋体"/>
        </w:rPr>
        <w:t xml:space="preserve">, Mallat DB, Lamont JP. Management of ampullary lesions. </w:t>
      </w:r>
      <w:r w:rsidRPr="00342B2F">
        <w:rPr>
          <w:rFonts w:ascii="Book Antiqua" w:eastAsia="宋体" w:hAnsi="Book Antiqua" w:cs="宋体"/>
          <w:i/>
          <w:iCs/>
        </w:rPr>
        <w:t>Curr Treat Options Gastroenterol</w:t>
      </w:r>
      <w:r w:rsidRPr="00342B2F">
        <w:rPr>
          <w:rFonts w:ascii="Book Antiqua" w:eastAsia="宋体" w:hAnsi="Book Antiqua" w:cs="宋体"/>
        </w:rPr>
        <w:t xml:space="preserve"> 2006; </w:t>
      </w:r>
      <w:r w:rsidRPr="00342B2F">
        <w:rPr>
          <w:rFonts w:ascii="Book Antiqua" w:eastAsia="宋体" w:hAnsi="Book Antiqua" w:cs="宋体"/>
          <w:b/>
          <w:bCs/>
        </w:rPr>
        <w:t>9</w:t>
      </w:r>
      <w:r w:rsidRPr="00342B2F">
        <w:rPr>
          <w:rFonts w:ascii="Book Antiqua" w:eastAsia="宋体" w:hAnsi="Book Antiqua" w:cs="宋体"/>
        </w:rPr>
        <w:t>: 371-376 [PMID: 16942661 DOI: 10.1007/BF02738525]</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66 </w:t>
      </w:r>
      <w:r w:rsidRPr="00342B2F">
        <w:rPr>
          <w:rFonts w:ascii="Book Antiqua" w:eastAsia="宋体" w:hAnsi="Book Antiqua" w:cs="宋体"/>
          <w:b/>
          <w:bCs/>
        </w:rPr>
        <w:t>Boix J</w:t>
      </w:r>
      <w:r w:rsidRPr="00342B2F">
        <w:rPr>
          <w:rFonts w:ascii="Book Antiqua" w:eastAsia="宋体" w:hAnsi="Book Antiqua" w:cs="宋体"/>
        </w:rPr>
        <w:t xml:space="preserve">, Lorenzo-Zúñiga V, Moreno de Vega V, Domènech E, Gassull MA. Endoscopic resection of ampullary tumors: 12-year review of 21 cases. </w:t>
      </w:r>
      <w:r w:rsidRPr="00342B2F">
        <w:rPr>
          <w:rFonts w:ascii="Book Antiqua" w:eastAsia="宋体" w:hAnsi="Book Antiqua" w:cs="宋体"/>
          <w:i/>
          <w:iCs/>
        </w:rPr>
        <w:t>Surg Endosc</w:t>
      </w:r>
      <w:r w:rsidRPr="00342B2F">
        <w:rPr>
          <w:rFonts w:ascii="Book Antiqua" w:eastAsia="宋体" w:hAnsi="Book Antiqua" w:cs="宋体"/>
        </w:rPr>
        <w:t xml:space="preserve"> 2009; </w:t>
      </w:r>
      <w:r w:rsidRPr="00342B2F">
        <w:rPr>
          <w:rFonts w:ascii="Book Antiqua" w:eastAsia="宋体" w:hAnsi="Book Antiqua" w:cs="宋体"/>
          <w:b/>
          <w:bCs/>
        </w:rPr>
        <w:t>23</w:t>
      </w:r>
      <w:r w:rsidRPr="00342B2F">
        <w:rPr>
          <w:rFonts w:ascii="Book Antiqua" w:eastAsia="宋体" w:hAnsi="Book Antiqua" w:cs="宋体"/>
        </w:rPr>
        <w:t>: 45-49 [PMID: 18398649 DOI: 10.1007/s00464-008-9866-3</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67 </w:t>
      </w:r>
      <w:r w:rsidRPr="00342B2F">
        <w:rPr>
          <w:rFonts w:ascii="Book Antiqua" w:eastAsia="宋体" w:hAnsi="Book Antiqua" w:cs="宋体"/>
          <w:b/>
          <w:bCs/>
        </w:rPr>
        <w:t>Jung MK</w:t>
      </w:r>
      <w:r w:rsidRPr="00342B2F">
        <w:rPr>
          <w:rFonts w:ascii="Book Antiqua" w:eastAsia="宋体" w:hAnsi="Book Antiqua" w:cs="宋体"/>
        </w:rPr>
        <w:t xml:space="preserve">, Cho CM, Park SY, Jeon SW, Tak WY, Kweon YO, Kim SK, Choi YH. Endoscopic resection of ampullary neoplasms: a single-center experience. </w:t>
      </w:r>
      <w:r w:rsidRPr="00342B2F">
        <w:rPr>
          <w:rFonts w:ascii="Book Antiqua" w:eastAsia="宋体" w:hAnsi="Book Antiqua" w:cs="宋体"/>
          <w:i/>
          <w:iCs/>
        </w:rPr>
        <w:t>Surg Endosc</w:t>
      </w:r>
      <w:r w:rsidRPr="00342B2F">
        <w:rPr>
          <w:rFonts w:ascii="Book Antiqua" w:eastAsia="宋体" w:hAnsi="Book Antiqua" w:cs="宋体"/>
        </w:rPr>
        <w:t xml:space="preserve"> 2009; </w:t>
      </w:r>
      <w:r w:rsidRPr="00342B2F">
        <w:rPr>
          <w:rFonts w:ascii="Book Antiqua" w:eastAsia="宋体" w:hAnsi="Book Antiqua" w:cs="宋体"/>
          <w:b/>
          <w:bCs/>
        </w:rPr>
        <w:t>23</w:t>
      </w:r>
      <w:r w:rsidRPr="00342B2F">
        <w:rPr>
          <w:rFonts w:ascii="Book Antiqua" w:eastAsia="宋体" w:hAnsi="Book Antiqua" w:cs="宋体"/>
        </w:rPr>
        <w:t>: 2568-2574 [PMID: 19360365 DOI: 10.1007/s00464-009-0464-9</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 xml:space="preserve">68 </w:t>
      </w:r>
      <w:r w:rsidRPr="00342B2F">
        <w:rPr>
          <w:rFonts w:ascii="Book Antiqua" w:eastAsia="宋体" w:hAnsi="Book Antiqua" w:cs="宋体"/>
          <w:b/>
          <w:bCs/>
        </w:rPr>
        <w:t>Irani S</w:t>
      </w:r>
      <w:r w:rsidRPr="00342B2F">
        <w:rPr>
          <w:rFonts w:ascii="Book Antiqua" w:eastAsia="宋体" w:hAnsi="Book Antiqua" w:cs="宋体"/>
        </w:rPr>
        <w:t xml:space="preserve">, Arai A, Ayub K, Biehl T, Brandabur JJ, Dorer R, Gluck M, Jiranek G, Patterson D, Schembre D, Traverso LW, Kozarek RA. Papillectomy for ampullary neoplasm: results of a single referral center over a 10-year period. </w:t>
      </w:r>
      <w:r w:rsidRPr="00342B2F">
        <w:rPr>
          <w:rFonts w:ascii="Book Antiqua" w:eastAsia="宋体" w:hAnsi="Book Antiqua" w:cs="宋体"/>
          <w:i/>
          <w:iCs/>
        </w:rPr>
        <w:t>Gastrointest Endosc</w:t>
      </w:r>
      <w:r w:rsidRPr="00342B2F">
        <w:rPr>
          <w:rFonts w:ascii="Book Antiqua" w:eastAsia="宋体" w:hAnsi="Book Antiqua" w:cs="宋体"/>
        </w:rPr>
        <w:t xml:space="preserve"> 2009; </w:t>
      </w:r>
      <w:r w:rsidRPr="00342B2F">
        <w:rPr>
          <w:rFonts w:ascii="Book Antiqua" w:eastAsia="宋体" w:hAnsi="Book Antiqua" w:cs="宋体"/>
          <w:b/>
          <w:bCs/>
        </w:rPr>
        <w:t>70</w:t>
      </w:r>
      <w:r w:rsidRPr="00342B2F">
        <w:rPr>
          <w:rFonts w:ascii="Book Antiqua" w:eastAsia="宋体" w:hAnsi="Book Antiqua" w:cs="宋体"/>
        </w:rPr>
        <w:t>: 923-932 [PMID: 19608181 DOI: 10.1016/j.gie.2009.04.015</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lastRenderedPageBreak/>
        <w:t xml:space="preserve">69 </w:t>
      </w:r>
      <w:r w:rsidRPr="00342B2F">
        <w:rPr>
          <w:rFonts w:ascii="Book Antiqua" w:eastAsia="宋体" w:hAnsi="Book Antiqua" w:cs="宋体"/>
          <w:b/>
          <w:bCs/>
        </w:rPr>
        <w:t>Jeanniard-Malet O</w:t>
      </w:r>
      <w:r w:rsidRPr="00342B2F">
        <w:rPr>
          <w:rFonts w:ascii="Book Antiqua" w:eastAsia="宋体" w:hAnsi="Book Antiqua" w:cs="宋体"/>
        </w:rPr>
        <w:t xml:space="preserve">, Caillol F, Pesenti C, Bories E, Monges G, Giovannini M. Short-term results of 42 endoscopic ampullectomies: a single-center experience. </w:t>
      </w:r>
      <w:r w:rsidRPr="00342B2F">
        <w:rPr>
          <w:rFonts w:ascii="Book Antiqua" w:eastAsia="宋体" w:hAnsi="Book Antiqua" w:cs="宋体"/>
          <w:i/>
          <w:iCs/>
        </w:rPr>
        <w:t>Scand J Gastroenterol</w:t>
      </w:r>
      <w:r w:rsidRPr="00342B2F">
        <w:rPr>
          <w:rFonts w:ascii="Book Antiqua" w:eastAsia="宋体" w:hAnsi="Book Antiqua" w:cs="宋体"/>
        </w:rPr>
        <w:t xml:space="preserve"> 2011; </w:t>
      </w:r>
      <w:r w:rsidRPr="00342B2F">
        <w:rPr>
          <w:rFonts w:ascii="Book Antiqua" w:eastAsia="宋体" w:hAnsi="Book Antiqua" w:cs="宋体"/>
          <w:b/>
          <w:bCs/>
        </w:rPr>
        <w:t>46</w:t>
      </w:r>
      <w:r w:rsidRPr="00342B2F">
        <w:rPr>
          <w:rFonts w:ascii="Book Antiqua" w:eastAsia="宋体" w:hAnsi="Book Antiqua" w:cs="宋体"/>
        </w:rPr>
        <w:t>: 1014-1019 [PMID: 21492053 DOI: 10.3109/00365521.2011.571711</w:t>
      </w:r>
      <w:r>
        <w:rPr>
          <w:rFonts w:ascii="Book Antiqua" w:eastAsia="宋体" w:hAnsi="Book Antiqua" w:cs="宋体"/>
        </w:rPr>
        <w:t>]</w:t>
      </w:r>
    </w:p>
    <w:p w:rsidR="001368EB" w:rsidRPr="00342B2F" w:rsidRDefault="001368EB" w:rsidP="00342B2F">
      <w:pPr>
        <w:rPr>
          <w:rFonts w:ascii="Book Antiqua" w:eastAsia="宋体" w:hAnsi="Book Antiqua" w:cs="宋体"/>
        </w:rPr>
      </w:pPr>
      <w:r w:rsidRPr="00342B2F">
        <w:rPr>
          <w:rFonts w:ascii="Book Antiqua" w:eastAsia="宋体" w:hAnsi="Book Antiqua" w:cs="宋体"/>
        </w:rPr>
        <w:t>70</w:t>
      </w:r>
      <w:r w:rsidRPr="00680764">
        <w:rPr>
          <w:rFonts w:ascii="Book Antiqua" w:eastAsia="宋体" w:hAnsi="Book Antiqua" w:cs="宋体"/>
          <w:b/>
        </w:rPr>
        <w:t xml:space="preserve"> Kim JH</w:t>
      </w:r>
      <w:r w:rsidRPr="00680764">
        <w:rPr>
          <w:rFonts w:ascii="Book Antiqua" w:eastAsia="宋体" w:hAnsi="Book Antiqua" w:cs="宋体"/>
        </w:rPr>
        <w:t>, Kim JH, Hwang JC, Yoo BM, Moon JH, Lee3 DK, Kim HG, Cho YD, Lee DH, Park SH.</w:t>
      </w:r>
      <w:r w:rsidRPr="00342B2F">
        <w:rPr>
          <w:rFonts w:ascii="Book Antiqua" w:eastAsia="宋体" w:hAnsi="Book Antiqua" w:cs="宋体"/>
        </w:rPr>
        <w:t xml:space="preserve"> Management after Endoscopic Snare Papillectomy for Ampullary Adenomas. </w:t>
      </w:r>
      <w:r w:rsidRPr="00342B2F">
        <w:rPr>
          <w:rFonts w:ascii="Book Antiqua" w:eastAsia="宋体" w:hAnsi="Book Antiqua" w:cs="宋体"/>
          <w:i/>
          <w:iCs/>
        </w:rPr>
        <w:t>Hepatogastroenterology</w:t>
      </w:r>
      <w:r w:rsidRPr="00342B2F">
        <w:rPr>
          <w:rFonts w:ascii="Book Antiqua" w:eastAsia="宋体" w:hAnsi="Book Antiqua" w:cs="宋体"/>
        </w:rPr>
        <w:t xml:space="preserve"> 2013; </w:t>
      </w:r>
      <w:r w:rsidRPr="00342B2F">
        <w:rPr>
          <w:rFonts w:ascii="Book Antiqua" w:eastAsia="宋体" w:hAnsi="Book Antiqua" w:cs="宋体"/>
          <w:b/>
          <w:bCs/>
        </w:rPr>
        <w:t>60</w:t>
      </w:r>
      <w:r w:rsidRPr="00342B2F">
        <w:rPr>
          <w:rFonts w:ascii="Book Antiqua" w:eastAsia="宋体" w:hAnsi="Book Antiqua" w:cs="宋体"/>
        </w:rPr>
        <w:t>: [PMID: 23492013 DOI: 10.5754/hge11604</w:t>
      </w:r>
      <w:r>
        <w:rPr>
          <w:rFonts w:ascii="Book Antiqua" w:eastAsia="宋体" w:hAnsi="Book Antiqua" w:cs="宋体"/>
        </w:rPr>
        <w:t>]</w:t>
      </w:r>
    </w:p>
    <w:p w:rsidR="001368EB" w:rsidRDefault="001368EB" w:rsidP="0024268D">
      <w:pPr>
        <w:rPr>
          <w:rFonts w:ascii="Book Antiqua" w:hAnsi="Book Antiqua"/>
        </w:rPr>
      </w:pPr>
      <w:r w:rsidRPr="0024268D">
        <w:rPr>
          <w:rFonts w:ascii="Book Antiqua" w:eastAsia="宋体" w:hAnsi="Book Antiqua" w:cs="宋体"/>
        </w:rPr>
        <w:t xml:space="preserve">71 </w:t>
      </w:r>
      <w:r w:rsidRPr="0024268D">
        <w:rPr>
          <w:rFonts w:ascii="Book Antiqua" w:hAnsi="Book Antiqua"/>
          <w:b/>
          <w:bCs/>
        </w:rPr>
        <w:t>Ahn DW</w:t>
      </w:r>
      <w:r w:rsidRPr="0024268D">
        <w:rPr>
          <w:rFonts w:ascii="Book Antiqua" w:hAnsi="Book Antiqua"/>
        </w:rPr>
        <w:t xml:space="preserve">, Ryu JK, Kim J, Yoon WJ, Lee SH, Kim YT, Yoon YB. Endoscopic papillectomy for benign ampullary neoplasms: how can treatment outcome be predicted? </w:t>
      </w:r>
      <w:r w:rsidRPr="0024268D">
        <w:rPr>
          <w:rFonts w:ascii="Book Antiqua" w:hAnsi="Book Antiqua"/>
          <w:i/>
          <w:iCs/>
        </w:rPr>
        <w:t>Gut Liver</w:t>
      </w:r>
      <w:r w:rsidRPr="0024268D">
        <w:rPr>
          <w:rFonts w:ascii="Book Antiqua" w:hAnsi="Book Antiqua"/>
        </w:rPr>
        <w:t xml:space="preserve"> 2013; </w:t>
      </w:r>
      <w:r w:rsidRPr="0024268D">
        <w:rPr>
          <w:rFonts w:ascii="Book Antiqua" w:hAnsi="Book Antiqua"/>
          <w:b/>
          <w:bCs/>
        </w:rPr>
        <w:t>7</w:t>
      </w:r>
      <w:r w:rsidRPr="0024268D">
        <w:rPr>
          <w:rFonts w:ascii="Book Antiqua" w:hAnsi="Book Antiqua"/>
        </w:rPr>
        <w:t>: 239-245 [PMID: 23560162]</w:t>
      </w:r>
    </w:p>
    <w:p w:rsidR="001368EB" w:rsidRPr="008B0E7B" w:rsidRDefault="001368EB" w:rsidP="008B0E7B">
      <w:pPr>
        <w:rPr>
          <w:rFonts w:ascii="Book Antiqua" w:eastAsia="宋体" w:hAnsi="Book Antiqua" w:cs="宋体"/>
        </w:rPr>
      </w:pPr>
      <w:r w:rsidRPr="008B0E7B">
        <w:rPr>
          <w:rFonts w:ascii="Book Antiqua" w:eastAsia="宋体" w:hAnsi="Book Antiqua" w:cs="宋体"/>
        </w:rPr>
        <w:t xml:space="preserve">72 </w:t>
      </w:r>
      <w:r w:rsidRPr="008B0E7B">
        <w:rPr>
          <w:rFonts w:ascii="Book Antiqua" w:eastAsia="宋体" w:hAnsi="Book Antiqua" w:cs="宋体"/>
          <w:b/>
          <w:bCs/>
        </w:rPr>
        <w:t>Vogt M</w:t>
      </w:r>
      <w:r w:rsidRPr="008B0E7B">
        <w:rPr>
          <w:rFonts w:ascii="Book Antiqua" w:eastAsia="宋体" w:hAnsi="Book Antiqua" w:cs="宋体"/>
        </w:rPr>
        <w:t xml:space="preserve">, Jakobs R, Benz C, Arnold JC, Adamek HE, Riemann JF. Endoscopic therapy of adenomas of the papilla of Vater. A retrospective analysis with long-term follow-up. </w:t>
      </w:r>
      <w:r w:rsidRPr="008B0E7B">
        <w:rPr>
          <w:rFonts w:ascii="Book Antiqua" w:eastAsia="宋体" w:hAnsi="Book Antiqua" w:cs="宋体"/>
          <w:i/>
          <w:iCs/>
        </w:rPr>
        <w:t>Dig Liver Dis</w:t>
      </w:r>
      <w:r w:rsidRPr="008B0E7B">
        <w:rPr>
          <w:rFonts w:ascii="Book Antiqua" w:eastAsia="宋体" w:hAnsi="Book Antiqua" w:cs="宋体"/>
        </w:rPr>
        <w:t xml:space="preserve"> 2000; </w:t>
      </w:r>
      <w:r w:rsidRPr="008B0E7B">
        <w:rPr>
          <w:rFonts w:ascii="Book Antiqua" w:eastAsia="宋体" w:hAnsi="Book Antiqua" w:cs="宋体"/>
          <w:b/>
          <w:bCs/>
        </w:rPr>
        <w:t>32</w:t>
      </w:r>
      <w:r w:rsidRPr="008B0E7B">
        <w:rPr>
          <w:rFonts w:ascii="Book Antiqua" w:eastAsia="宋体" w:hAnsi="Book Antiqua" w:cs="宋体"/>
        </w:rPr>
        <w:t>: 339-345 [PMID: 11515633 DOI</w:t>
      </w:r>
      <w:r>
        <w:rPr>
          <w:rFonts w:ascii="Book Antiqua" w:eastAsia="宋体" w:hAnsi="Book Antiqua" w:cs="宋体"/>
        </w:rPr>
        <w:t>: 10.1016/S1590-8658(00)80028-6</w:t>
      </w:r>
      <w:r w:rsidRPr="008B0E7B">
        <w:rPr>
          <w:rFonts w:ascii="Book Antiqua" w:eastAsia="宋体" w:hAnsi="Book Antiqua" w:cs="宋体"/>
        </w:rPr>
        <w:t>]</w:t>
      </w:r>
    </w:p>
    <w:p w:rsidR="001368EB" w:rsidRPr="008B0E7B" w:rsidRDefault="001368EB" w:rsidP="0024268D">
      <w:pPr>
        <w:rPr>
          <w:rFonts w:ascii="Book Antiqua" w:hAnsi="Book Antiqua" w:cs="Book Antiqua"/>
        </w:rPr>
      </w:pPr>
    </w:p>
    <w:p w:rsidR="001368EB" w:rsidRPr="00342B2F" w:rsidRDefault="001368EB" w:rsidP="002A49D5">
      <w:pPr>
        <w:snapToGrid w:val="0"/>
        <w:spacing w:line="360" w:lineRule="auto"/>
        <w:jc w:val="both"/>
        <w:rPr>
          <w:rFonts w:ascii="Book Antiqua" w:hAnsi="Book Antiqua" w:cs="Book Antiqua"/>
          <w:b/>
        </w:rPr>
      </w:pPr>
    </w:p>
    <w:p w:rsidR="001368EB" w:rsidRPr="00C56046" w:rsidRDefault="001368EB" w:rsidP="00C06749">
      <w:pPr>
        <w:tabs>
          <w:tab w:val="left" w:pos="180"/>
          <w:tab w:val="left" w:pos="360"/>
        </w:tabs>
        <w:adjustRightInd w:val="0"/>
        <w:snapToGrid w:val="0"/>
        <w:spacing w:line="360" w:lineRule="auto"/>
        <w:jc w:val="right"/>
        <w:rPr>
          <w:rFonts w:ascii="Book Antiqua" w:hAnsi="Book Antiqua" w:cs="Tahoma"/>
          <w:b/>
          <w:color w:val="000000"/>
        </w:rPr>
      </w:pPr>
      <w:bookmarkStart w:id="323" w:name="OLE_LINK874"/>
      <w:bookmarkStart w:id="324" w:name="OLE_LINK875"/>
      <w:bookmarkStart w:id="325" w:name="OLE_LINK347"/>
      <w:bookmarkStart w:id="326" w:name="OLE_LINK384"/>
      <w:bookmarkStart w:id="327" w:name="OLE_LINK557"/>
      <w:bookmarkStart w:id="328" w:name="OLE_LINK558"/>
      <w:bookmarkStart w:id="329" w:name="OLE_LINK631"/>
      <w:bookmarkStart w:id="330" w:name="OLE_LINK632"/>
      <w:bookmarkStart w:id="331" w:name="OLE_LINK386"/>
      <w:bookmarkStart w:id="332" w:name="OLE_LINK431"/>
      <w:bookmarkStart w:id="333" w:name="OLE_LINK564"/>
      <w:bookmarkStart w:id="334" w:name="OLE_LINK493"/>
      <w:bookmarkStart w:id="335" w:name="OLE_LINK442"/>
      <w:bookmarkStart w:id="336" w:name="OLE_LINK551"/>
      <w:bookmarkStart w:id="337" w:name="OLE_LINK668"/>
      <w:bookmarkStart w:id="338" w:name="OLE_LINK669"/>
      <w:bookmarkStart w:id="339" w:name="OLE_LINK725"/>
      <w:bookmarkStart w:id="340" w:name="OLE_LINK489"/>
      <w:bookmarkStart w:id="341" w:name="OLE_LINK602"/>
      <w:bookmarkStart w:id="342" w:name="OLE_LINK658"/>
      <w:bookmarkStart w:id="343" w:name="OLE_LINK747"/>
      <w:bookmarkStart w:id="344" w:name="OLE_LINK897"/>
      <w:bookmarkStart w:id="345" w:name="OLE_LINK1138"/>
      <w:bookmarkStart w:id="346" w:name="OLE_LINK1139"/>
      <w:bookmarkStart w:id="347" w:name="OLE_LINK882"/>
      <w:bookmarkStart w:id="348" w:name="OLE_LINK1095"/>
      <w:bookmarkStart w:id="349" w:name="OLE_LINK1305"/>
      <w:bookmarkStart w:id="350" w:name="OLE_LINK1390"/>
      <w:bookmarkStart w:id="351" w:name="OLE_LINK964"/>
      <w:bookmarkStart w:id="352" w:name="OLE_LINK1190"/>
      <w:bookmarkStart w:id="353" w:name="OLE_LINK1314"/>
      <w:bookmarkStart w:id="354" w:name="OLE_LINK1031"/>
      <w:bookmarkStart w:id="355" w:name="OLE_LINK1092"/>
      <w:bookmarkStart w:id="356" w:name="OLE_LINK1258"/>
      <w:bookmarkStart w:id="357" w:name="OLE_LINK1259"/>
      <w:bookmarkStart w:id="358" w:name="OLE_LINK1337"/>
      <w:bookmarkStart w:id="359" w:name="OLE_LINK1338"/>
      <w:bookmarkStart w:id="360" w:name="OLE_LINK1363"/>
      <w:bookmarkStart w:id="361" w:name="OLE_LINK1364"/>
      <w:bookmarkStart w:id="362" w:name="OLE_LINK86"/>
      <w:bookmarkStart w:id="363" w:name="OLE_LINK1595"/>
      <w:bookmarkStart w:id="364" w:name="OLE_LINK1613"/>
      <w:bookmarkStart w:id="365" w:name="OLE_LINK1708"/>
      <w:bookmarkStart w:id="366" w:name="OLE_LINK1774"/>
      <w:bookmarkStart w:id="367" w:name="OLE_LINK1872"/>
      <w:bookmarkStart w:id="368" w:name="OLE_LINK1899"/>
      <w:bookmarkStart w:id="369" w:name="OLE_LINK1492"/>
      <w:bookmarkStart w:id="370" w:name="OLE_LINK1497"/>
      <w:bookmarkStart w:id="371" w:name="OLE_LINK1498"/>
      <w:bookmarkStart w:id="372" w:name="OLE_LINK1589"/>
      <w:bookmarkStart w:id="373" w:name="OLE_LINK1666"/>
      <w:bookmarkStart w:id="374" w:name="OLE_LINK1752"/>
      <w:bookmarkStart w:id="375" w:name="OLE_LINK1616"/>
      <w:bookmarkStart w:id="376" w:name="OLE_LINK1696"/>
      <w:bookmarkStart w:id="377" w:name="OLE_LINK1855"/>
      <w:bookmarkStart w:id="378" w:name="OLE_LINK1942"/>
      <w:bookmarkStart w:id="379" w:name="OLE_LINK1943"/>
      <w:bookmarkStart w:id="380" w:name="OLE_LINK1573"/>
      <w:bookmarkStart w:id="381" w:name="OLE_LINK1574"/>
      <w:bookmarkStart w:id="382" w:name="OLE_LINK1575"/>
      <w:bookmarkStart w:id="383" w:name="OLE_LINK1739"/>
      <w:bookmarkStart w:id="384" w:name="OLE_LINK1761"/>
      <w:bookmarkStart w:id="385" w:name="OLE_LINK1743"/>
      <w:bookmarkStart w:id="386" w:name="OLE_LINK1841"/>
      <w:bookmarkStart w:id="387" w:name="OLE_LINK1858"/>
      <w:bookmarkStart w:id="388" w:name="OLE_LINK1890"/>
      <w:bookmarkStart w:id="389" w:name="OLE_LINK1915"/>
      <w:bookmarkStart w:id="390" w:name="OLE_LINK1980"/>
      <w:bookmarkStart w:id="391" w:name="OLE_LINK1883"/>
      <w:bookmarkStart w:id="392" w:name="OLE_LINK1935"/>
      <w:bookmarkStart w:id="393" w:name="OLE_LINK1936"/>
      <w:bookmarkStart w:id="394" w:name="OLE_LINK1952"/>
      <w:bookmarkStart w:id="395" w:name="OLE_LINK1953"/>
      <w:bookmarkStart w:id="396" w:name="OLE_LINK1999"/>
      <w:bookmarkStart w:id="397" w:name="OLE_LINK2050"/>
      <w:bookmarkStart w:id="398" w:name="OLE_LINK1862"/>
      <w:bookmarkStart w:id="399" w:name="OLE_LINK1963"/>
      <w:bookmarkStart w:id="400" w:name="OLE_LINK2052"/>
      <w:bookmarkStart w:id="401" w:name="OLE_LINK1906"/>
      <w:bookmarkStart w:id="402" w:name="OLE_LINK2031"/>
      <w:bookmarkStart w:id="403" w:name="OLE_LINK2032"/>
      <w:bookmarkStart w:id="404" w:name="OLE_LINK1907"/>
      <w:bookmarkStart w:id="405" w:name="OLE_LINK2004"/>
      <w:bookmarkStart w:id="406" w:name="OLE_LINK2238"/>
      <w:bookmarkStart w:id="407" w:name="OLE_LINK2239"/>
      <w:bookmarkStart w:id="408" w:name="OLE_LINK2163"/>
      <w:bookmarkStart w:id="409" w:name="OLE_LINK2207"/>
      <w:bookmarkStart w:id="410" w:name="OLE_LINK2341"/>
      <w:bookmarkStart w:id="411" w:name="OLE_LINK2417"/>
      <w:bookmarkStart w:id="412" w:name="OLE_LINK2509"/>
      <w:bookmarkStart w:id="413" w:name="OLE_LINK2510"/>
      <w:bookmarkStart w:id="414" w:name="OLE_LINK2511"/>
      <w:bookmarkStart w:id="415" w:name="OLE_LINK2512"/>
      <w:bookmarkStart w:id="416" w:name="OLE_LINK2513"/>
      <w:bookmarkStart w:id="417" w:name="OLE_LINK2514"/>
      <w:bookmarkStart w:id="418" w:name="OLE_LINK2515"/>
      <w:bookmarkStart w:id="419" w:name="OLE_LINK2516"/>
      <w:bookmarkStart w:id="420" w:name="OLE_LINK2517"/>
      <w:bookmarkStart w:id="421" w:name="OLE_LINK2518"/>
      <w:bookmarkStart w:id="422" w:name="OLE_LINK2519"/>
      <w:bookmarkStart w:id="423" w:name="OLE_LINK2520"/>
      <w:bookmarkStart w:id="424" w:name="OLE_LINK2521"/>
      <w:bookmarkStart w:id="425" w:name="OLE_LINK2522"/>
      <w:bookmarkStart w:id="426" w:name="OLE_LINK2523"/>
      <w:bookmarkStart w:id="427" w:name="OLE_LINK2524"/>
      <w:bookmarkStart w:id="428" w:name="OLE_LINK2051"/>
      <w:bookmarkStart w:id="429" w:name="OLE_LINK2109"/>
      <w:bookmarkStart w:id="430" w:name="OLE_LINK2165"/>
      <w:bookmarkStart w:id="431" w:name="OLE_LINK2385"/>
      <w:bookmarkStart w:id="432" w:name="OLE_LINK2593"/>
      <w:bookmarkStart w:id="433" w:name="OLE_LINK2332"/>
      <w:bookmarkStart w:id="434" w:name="OLE_LINK2448"/>
      <w:bookmarkStart w:id="435" w:name="OLE_LINK2525"/>
      <w:bookmarkStart w:id="436" w:name="OLE_LINK2506"/>
      <w:bookmarkStart w:id="437" w:name="OLE_LINK2507"/>
      <w:bookmarkStart w:id="438" w:name="OLE_LINK2291"/>
      <w:bookmarkStart w:id="439" w:name="OLE_LINK2294"/>
      <w:bookmarkStart w:id="440" w:name="OLE_LINK2298"/>
      <w:bookmarkStart w:id="441" w:name="OLE_LINK2300"/>
      <w:bookmarkStart w:id="442" w:name="OLE_LINK2301"/>
      <w:bookmarkStart w:id="443" w:name="OLE_LINK2546"/>
      <w:bookmarkStart w:id="444" w:name="OLE_LINK2756"/>
      <w:bookmarkStart w:id="445" w:name="OLE_LINK2757"/>
      <w:bookmarkStart w:id="446" w:name="OLE_LINK2736"/>
      <w:bookmarkStart w:id="447" w:name="OLE_LINK2923"/>
      <w:bookmarkStart w:id="448" w:name="OLE_LINK2974"/>
      <w:bookmarkStart w:id="449" w:name="OLE_LINK3125"/>
      <w:bookmarkStart w:id="450" w:name="OLE_LINK3218"/>
      <w:bookmarkStart w:id="451" w:name="OLE_LINK2575"/>
      <w:bookmarkStart w:id="452" w:name="OLE_LINK2687"/>
      <w:bookmarkStart w:id="453" w:name="OLE_LINK2688"/>
      <w:bookmarkStart w:id="454" w:name="OLE_LINK2700"/>
      <w:bookmarkStart w:id="455" w:name="OLE_LINK2576"/>
      <w:bookmarkStart w:id="456" w:name="OLE_LINK2674"/>
      <w:bookmarkStart w:id="457" w:name="OLE_LINK2738"/>
      <w:bookmarkStart w:id="458" w:name="OLE_LINK2983"/>
      <w:bookmarkStart w:id="459" w:name="OLE_LINK76"/>
      <w:bookmarkStart w:id="460" w:name="OLE_LINK115"/>
      <w:bookmarkStart w:id="461" w:name="OLE_LINK155"/>
      <w:r w:rsidRPr="00C56046">
        <w:rPr>
          <w:rFonts w:ascii="Book Antiqua" w:hAnsi="Book Antiqua" w:cs="Tahoma"/>
          <w:b/>
          <w:color w:val="000000"/>
        </w:rPr>
        <w:t xml:space="preserve">P-Reviewer </w:t>
      </w:r>
      <w:r w:rsidRPr="002725A2">
        <w:rPr>
          <w:rFonts w:ascii="Book Antiqua" w:hAnsi="Book Antiqua" w:cs="Tahoma"/>
          <w:color w:val="000000"/>
        </w:rPr>
        <w:t>Meister T</w:t>
      </w:r>
      <w:r>
        <w:rPr>
          <w:rFonts w:ascii="Book Antiqua" w:eastAsia="宋体" w:hAnsi="Book Antiqua" w:cs="Tahoma"/>
          <w:b/>
          <w:color w:val="000000"/>
        </w:rPr>
        <w:t xml:space="preserve"> </w:t>
      </w:r>
      <w:r w:rsidRPr="00C56046">
        <w:rPr>
          <w:rFonts w:ascii="Book Antiqua" w:hAnsi="Book Antiqua" w:cs="Tahoma"/>
          <w:b/>
          <w:color w:val="000000"/>
        </w:rPr>
        <w:t xml:space="preserve">S-Editor </w:t>
      </w:r>
      <w:r w:rsidRPr="00C56046">
        <w:rPr>
          <w:rFonts w:ascii="Book Antiqua" w:hAnsi="Book Antiqua" w:cs="Tahoma"/>
          <w:color w:val="000000"/>
        </w:rPr>
        <w:t xml:space="preserve">Gou SX </w:t>
      </w:r>
      <w:r w:rsidRPr="00C56046">
        <w:rPr>
          <w:rFonts w:ascii="Book Antiqua" w:hAnsi="Book Antiqua" w:cs="Tahoma"/>
          <w:b/>
          <w:color w:val="000000"/>
        </w:rPr>
        <w:t xml:space="preserve">  L-Editor    E-Edito</w:t>
      </w:r>
      <w:bookmarkEnd w:id="323"/>
      <w:bookmarkEnd w:id="324"/>
      <w:r w:rsidRPr="00C56046">
        <w:rPr>
          <w:rFonts w:ascii="Book Antiqua" w:hAnsi="Book Antiqua" w:cs="Tahoma"/>
          <w:b/>
          <w:color w:val="000000"/>
        </w:rPr>
        <w:t>r</w:t>
      </w:r>
    </w:p>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rsidR="001368EB" w:rsidRPr="002725A2" w:rsidRDefault="001368EB" w:rsidP="004A76F4">
      <w:pPr>
        <w:snapToGrid w:val="0"/>
        <w:spacing w:line="360" w:lineRule="auto"/>
        <w:jc w:val="both"/>
        <w:rPr>
          <w:rFonts w:ascii="Book Antiqua" w:eastAsia="宋体" w:hAnsi="Book Antiqua" w:cs="Book Antiqua"/>
          <w:b/>
        </w:rPr>
      </w:pPr>
      <w:r>
        <w:rPr>
          <w:rFonts w:ascii="Book Antiqua" w:eastAsia="宋体" w:hAnsi="Book Antiqua" w:cs="Book Antiqua"/>
          <w:b/>
        </w:rPr>
        <w:t>A                                                              B</w:t>
      </w:r>
    </w:p>
    <w:p w:rsidR="001368EB" w:rsidRDefault="009B1A67" w:rsidP="004A76F4">
      <w:pPr>
        <w:snapToGrid w:val="0"/>
        <w:spacing w:line="360" w:lineRule="auto"/>
        <w:jc w:val="both"/>
        <w:rPr>
          <w:rFonts w:ascii="Book Antiqua" w:eastAsia="宋体" w:hAnsi="Book Antiqua" w:cs="Book Antiqua"/>
          <w:b/>
        </w:rPr>
      </w:pPr>
      <w:r>
        <w:rPr>
          <w:rFonts w:ascii="Book Antiqua" w:hAnsi="Book Antiqua" w:cs="Book Antiqua"/>
          <w:b/>
          <w:noProof/>
        </w:rPr>
        <w:drawing>
          <wp:inline distT="0" distB="0" distL="0" distR="0">
            <wp:extent cx="2536190" cy="1900555"/>
            <wp:effectExtent l="0" t="0" r="0" b="4445"/>
            <wp:docPr id="1" name="图片框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6190" cy="1900555"/>
                    </a:xfrm>
                    <a:prstGeom prst="rect">
                      <a:avLst/>
                    </a:prstGeom>
                    <a:noFill/>
                    <a:ln>
                      <a:noFill/>
                    </a:ln>
                  </pic:spPr>
                </pic:pic>
              </a:graphicData>
            </a:graphic>
          </wp:inline>
        </w:drawing>
      </w:r>
      <w:r>
        <w:rPr>
          <w:rFonts w:ascii="Book Antiqua" w:hAnsi="Book Antiqua" w:cs="Book Antiqua"/>
          <w:b/>
          <w:noProof/>
        </w:rPr>
        <w:drawing>
          <wp:inline distT="0" distB="0" distL="0" distR="0">
            <wp:extent cx="2536190" cy="1900555"/>
            <wp:effectExtent l="0" t="0" r="0" b="4445"/>
            <wp:docPr id="2" name="图片框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6190" cy="1900555"/>
                    </a:xfrm>
                    <a:prstGeom prst="rect">
                      <a:avLst/>
                    </a:prstGeom>
                    <a:noFill/>
                    <a:ln>
                      <a:noFill/>
                    </a:ln>
                  </pic:spPr>
                </pic:pic>
              </a:graphicData>
            </a:graphic>
          </wp:inline>
        </w:drawing>
      </w:r>
    </w:p>
    <w:p w:rsidR="001368EB" w:rsidRPr="002725A2" w:rsidRDefault="001368EB" w:rsidP="004A76F4">
      <w:pPr>
        <w:snapToGrid w:val="0"/>
        <w:spacing w:line="360" w:lineRule="auto"/>
        <w:jc w:val="both"/>
        <w:rPr>
          <w:rFonts w:ascii="Book Antiqua" w:eastAsia="宋体" w:hAnsi="Book Antiqua" w:cs="Book Antiqua"/>
          <w:b/>
        </w:rPr>
      </w:pPr>
      <w:r>
        <w:rPr>
          <w:rFonts w:ascii="Book Antiqua" w:eastAsia="宋体" w:hAnsi="Book Antiqua" w:cs="Book Antiqua"/>
          <w:b/>
        </w:rPr>
        <w:t>C                                                                D</w:t>
      </w:r>
    </w:p>
    <w:p w:rsidR="001368EB" w:rsidRDefault="009B1A67" w:rsidP="004A76F4">
      <w:pPr>
        <w:snapToGrid w:val="0"/>
        <w:spacing w:line="360" w:lineRule="auto"/>
        <w:jc w:val="both"/>
        <w:rPr>
          <w:rFonts w:ascii="Book Antiqua" w:eastAsia="宋体" w:hAnsi="Book Antiqua" w:cs="Book Antiqua"/>
        </w:rPr>
      </w:pPr>
      <w:r>
        <w:rPr>
          <w:rFonts w:ascii="Book Antiqua" w:hAnsi="Book Antiqua" w:cs="Book Antiqua"/>
          <w:noProof/>
        </w:rPr>
        <w:drawing>
          <wp:inline distT="0" distB="0" distL="0" distR="0">
            <wp:extent cx="2536190" cy="1900555"/>
            <wp:effectExtent l="0" t="0" r="0" b="4445"/>
            <wp:docPr id="3" name="图片框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6190" cy="1900555"/>
                    </a:xfrm>
                    <a:prstGeom prst="rect">
                      <a:avLst/>
                    </a:prstGeom>
                    <a:noFill/>
                    <a:ln>
                      <a:noFill/>
                    </a:ln>
                  </pic:spPr>
                </pic:pic>
              </a:graphicData>
            </a:graphic>
          </wp:inline>
        </w:drawing>
      </w:r>
      <w:r>
        <w:rPr>
          <w:rFonts w:ascii="Book Antiqua" w:hAnsi="Book Antiqua" w:cs="Book Antiqua"/>
          <w:noProof/>
        </w:rPr>
        <w:drawing>
          <wp:inline distT="0" distB="0" distL="0" distR="0">
            <wp:extent cx="2504440" cy="1876425"/>
            <wp:effectExtent l="0" t="0" r="0" b="9525"/>
            <wp:docPr id="4" name="图片框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4440" cy="1876425"/>
                    </a:xfrm>
                    <a:prstGeom prst="rect">
                      <a:avLst/>
                    </a:prstGeom>
                    <a:noFill/>
                    <a:ln>
                      <a:noFill/>
                    </a:ln>
                  </pic:spPr>
                </pic:pic>
              </a:graphicData>
            </a:graphic>
          </wp:inline>
        </w:drawing>
      </w:r>
    </w:p>
    <w:p w:rsidR="001368EB" w:rsidRPr="002725A2" w:rsidRDefault="001368EB" w:rsidP="004A76F4">
      <w:pPr>
        <w:snapToGrid w:val="0"/>
        <w:spacing w:line="360" w:lineRule="auto"/>
        <w:jc w:val="both"/>
        <w:rPr>
          <w:rFonts w:ascii="Book Antiqua" w:eastAsia="宋体" w:hAnsi="Book Antiqua" w:cs="Book Antiqua"/>
          <w:b/>
        </w:rPr>
      </w:pPr>
      <w:r w:rsidRPr="002725A2">
        <w:rPr>
          <w:rFonts w:ascii="Book Antiqua" w:eastAsia="宋体" w:hAnsi="Book Antiqua" w:cs="Book Antiqua"/>
          <w:b/>
        </w:rPr>
        <w:t>E                                                              F</w:t>
      </w:r>
    </w:p>
    <w:p w:rsidR="001368EB" w:rsidRPr="00342B2F" w:rsidRDefault="009B1A67" w:rsidP="004A76F4">
      <w:pPr>
        <w:snapToGrid w:val="0"/>
        <w:spacing w:line="360" w:lineRule="auto"/>
        <w:jc w:val="both"/>
        <w:rPr>
          <w:rFonts w:ascii="Book Antiqua" w:hAnsi="Book Antiqua" w:cs="Book Antiqua"/>
          <w:b/>
        </w:rPr>
      </w:pPr>
      <w:r>
        <w:rPr>
          <w:rFonts w:ascii="Book Antiqua" w:hAnsi="Book Antiqua" w:cs="Book Antiqua"/>
          <w:noProof/>
        </w:rPr>
        <w:lastRenderedPageBreak/>
        <w:drawing>
          <wp:inline distT="0" distB="0" distL="0" distR="0">
            <wp:extent cx="2536190" cy="1900555"/>
            <wp:effectExtent l="0" t="0" r="0" b="4445"/>
            <wp:docPr id="5" name="图片框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6190" cy="1900555"/>
                    </a:xfrm>
                    <a:prstGeom prst="rect">
                      <a:avLst/>
                    </a:prstGeom>
                    <a:noFill/>
                    <a:ln>
                      <a:noFill/>
                    </a:ln>
                  </pic:spPr>
                </pic:pic>
              </a:graphicData>
            </a:graphic>
          </wp:inline>
        </w:drawing>
      </w:r>
      <w:r>
        <w:rPr>
          <w:rFonts w:ascii="Book Antiqua" w:hAnsi="Book Antiqua" w:cs="Book Antiqua"/>
          <w:b/>
          <w:noProof/>
        </w:rPr>
        <w:drawing>
          <wp:inline distT="0" distB="0" distL="0" distR="0">
            <wp:extent cx="2456815" cy="2456815"/>
            <wp:effectExtent l="0" t="0" r="635" b="635"/>
            <wp:docPr id="6" name="图片框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6815" cy="2456815"/>
                    </a:xfrm>
                    <a:prstGeom prst="rect">
                      <a:avLst/>
                    </a:prstGeom>
                    <a:noFill/>
                    <a:ln>
                      <a:noFill/>
                    </a:ln>
                  </pic:spPr>
                </pic:pic>
              </a:graphicData>
            </a:graphic>
          </wp:inline>
        </w:drawing>
      </w:r>
    </w:p>
    <w:p w:rsidR="001368EB" w:rsidRPr="00342B2F" w:rsidRDefault="001368EB" w:rsidP="006A5AFB">
      <w:pPr>
        <w:snapToGrid w:val="0"/>
        <w:spacing w:line="360" w:lineRule="auto"/>
        <w:jc w:val="both"/>
        <w:rPr>
          <w:rFonts w:ascii="Book Antiqua" w:eastAsia="宋体" w:hAnsi="Book Antiqua" w:cs="Book Antiqua"/>
        </w:rPr>
      </w:pPr>
      <w:r w:rsidRPr="00342B2F">
        <w:rPr>
          <w:rFonts w:ascii="Book Antiqua" w:eastAsia="宋体" w:hAnsi="Book Antiqua" w:cs="Book Antiqua"/>
          <w:b/>
        </w:rPr>
        <w:t xml:space="preserve">Figure 1 </w:t>
      </w:r>
      <w:r w:rsidRPr="00342B2F">
        <w:rPr>
          <w:rFonts w:ascii="Book Antiqua" w:hAnsi="Book Antiqua" w:cs="Book Antiqua"/>
          <w:b/>
        </w:rPr>
        <w:t>Aggressive efforts to retrieve all resected tissue in all patients for histopathologic evaluation are mandatory</w:t>
      </w:r>
      <w:r w:rsidRPr="00342B2F">
        <w:rPr>
          <w:rFonts w:ascii="Book Antiqua" w:eastAsia="宋体" w:hAnsi="Book Antiqua" w:cs="Book Antiqua"/>
        </w:rPr>
        <w:t>. A:</w:t>
      </w:r>
      <w:r w:rsidRPr="00342B2F">
        <w:rPr>
          <w:rFonts w:ascii="Book Antiqua" w:hAnsi="Book Antiqua" w:cs="Book Antiqua"/>
        </w:rPr>
        <w:t xml:space="preserve"> Endoscopic view of a 3 cm’s neoplastic lesion of the major papilla</w:t>
      </w:r>
      <w:r w:rsidRPr="00342B2F">
        <w:rPr>
          <w:rFonts w:ascii="Book Antiqua" w:eastAsia="宋体" w:hAnsi="Book Antiqua" w:cs="Book Antiqua"/>
        </w:rPr>
        <w:t xml:space="preserve">; B: </w:t>
      </w:r>
      <w:r w:rsidRPr="00342B2F">
        <w:rPr>
          <w:rFonts w:ascii="Book Antiqua" w:hAnsi="Book Antiqua" w:cs="Book Antiqua"/>
        </w:rPr>
        <w:t>The lesion is entirely entrapped by endoscopic snare</w:t>
      </w:r>
      <w:r w:rsidRPr="00342B2F">
        <w:rPr>
          <w:rFonts w:ascii="Book Antiqua" w:eastAsia="宋体" w:hAnsi="Book Antiqua" w:cs="Book Antiqua"/>
        </w:rPr>
        <w:t xml:space="preserve">; C: </w:t>
      </w:r>
      <w:r w:rsidRPr="00342B2F">
        <w:rPr>
          <w:rFonts w:ascii="Book Antiqua" w:hAnsi="Book Antiqua" w:cs="Book Antiqua"/>
        </w:rPr>
        <w:t>The lesion is completely resected (</w:t>
      </w:r>
      <w:r w:rsidRPr="00342B2F">
        <w:rPr>
          <w:rFonts w:ascii="Book Antiqua" w:hAnsi="Book Antiqua" w:cs="Book Antiqua"/>
          <w:i/>
        </w:rPr>
        <w:t>en-bloc</w:t>
      </w:r>
      <w:r w:rsidRPr="00342B2F">
        <w:rPr>
          <w:rFonts w:ascii="Book Antiqua" w:hAnsi="Book Antiqua" w:cs="Book Antiqua"/>
        </w:rPr>
        <w:t xml:space="preserve"> resection)</w:t>
      </w:r>
      <w:r w:rsidRPr="00342B2F">
        <w:rPr>
          <w:rFonts w:ascii="Book Antiqua" w:eastAsia="宋体" w:hAnsi="Book Antiqua" w:cs="Book Antiqua"/>
        </w:rPr>
        <w:t xml:space="preserve">; D: </w:t>
      </w:r>
      <w:r w:rsidRPr="00342B2F">
        <w:rPr>
          <w:rFonts w:ascii="Book Antiqua" w:hAnsi="Book Antiqua" w:cs="Book Antiqua"/>
        </w:rPr>
        <w:t>The resected specimen is retrieved by a Roth Net</w:t>
      </w:r>
      <w:r w:rsidRPr="00342B2F">
        <w:rPr>
          <w:rFonts w:ascii="Book Antiqua" w:hAnsi="Book Antiqua" w:cs="Book Antiqua"/>
          <w:vertAlign w:val="superscript"/>
        </w:rPr>
        <w:t xml:space="preserve">© </w:t>
      </w:r>
      <w:r w:rsidRPr="00342B2F">
        <w:rPr>
          <w:rFonts w:ascii="Book Antiqua" w:hAnsi="Book Antiqua" w:cs="Book Antiqua"/>
        </w:rPr>
        <w:t>device (US Endoscopy, Mentor, OH, U</w:t>
      </w:r>
      <w:r w:rsidRPr="00342B2F">
        <w:rPr>
          <w:rFonts w:ascii="Book Antiqua" w:eastAsia="宋体" w:hAnsi="Book Antiqua" w:cs="Book Antiqua"/>
        </w:rPr>
        <w:t>nited States</w:t>
      </w:r>
      <w:r w:rsidRPr="00342B2F">
        <w:rPr>
          <w:rFonts w:ascii="Book Antiqua" w:hAnsi="Book Antiqua" w:cs="Book Antiqua"/>
        </w:rPr>
        <w:t>)</w:t>
      </w:r>
      <w:r w:rsidRPr="00342B2F">
        <w:rPr>
          <w:rFonts w:ascii="Book Antiqua" w:eastAsia="宋体" w:hAnsi="Book Antiqua" w:cs="Book Antiqua"/>
        </w:rPr>
        <w:t xml:space="preserve">; E: </w:t>
      </w:r>
      <w:r w:rsidRPr="00342B2F">
        <w:rPr>
          <w:rFonts w:ascii="Book Antiqua" w:hAnsi="Book Antiqua" w:cs="Book Antiqua"/>
        </w:rPr>
        <w:t>A plastic stent is implanted into the main pancreatic duct to prevent post-papillectomy pancreatitis</w:t>
      </w:r>
      <w:r w:rsidRPr="00342B2F">
        <w:rPr>
          <w:rFonts w:ascii="Book Antiqua" w:eastAsia="宋体" w:hAnsi="Book Antiqua" w:cs="Book Antiqua"/>
        </w:rPr>
        <w:t xml:space="preserve">; F: </w:t>
      </w:r>
      <w:r w:rsidRPr="00342B2F">
        <w:rPr>
          <w:rFonts w:ascii="Book Antiqua" w:hAnsi="Book Antiqua" w:cs="Book Antiqua"/>
        </w:rPr>
        <w:t>Duodenal view 6 mo after papillectomy. No evidence of recurrent disease is observed.</w:t>
      </w:r>
    </w:p>
    <w:p w:rsidR="001368EB" w:rsidRPr="00342B2F" w:rsidRDefault="001368EB" w:rsidP="004A76F4">
      <w:pPr>
        <w:snapToGrid w:val="0"/>
        <w:spacing w:line="360" w:lineRule="auto"/>
        <w:jc w:val="both"/>
        <w:rPr>
          <w:rFonts w:ascii="Book Antiqua" w:hAnsi="Book Antiqua" w:cs="Book Antiqua"/>
          <w:b/>
        </w:rPr>
      </w:pPr>
    </w:p>
    <w:p w:rsidR="001368EB" w:rsidRPr="00342B2F" w:rsidRDefault="001368EB" w:rsidP="002A49D5">
      <w:pPr>
        <w:snapToGrid w:val="0"/>
        <w:spacing w:line="360" w:lineRule="auto"/>
        <w:jc w:val="both"/>
        <w:rPr>
          <w:rFonts w:ascii="Book Antiqua" w:hAnsi="Book Antiqua" w:cs="Book Antiqua"/>
          <w:b/>
        </w:rPr>
      </w:pPr>
    </w:p>
    <w:p w:rsidR="001368EB" w:rsidRPr="00342B2F" w:rsidRDefault="001368EB" w:rsidP="002A49D5">
      <w:pPr>
        <w:snapToGrid w:val="0"/>
        <w:spacing w:line="360" w:lineRule="auto"/>
        <w:jc w:val="both"/>
        <w:rPr>
          <w:rFonts w:ascii="Book Antiqua" w:hAnsi="Book Antiqua" w:cs="Book Antiqua"/>
          <w:b/>
        </w:rPr>
      </w:pPr>
    </w:p>
    <w:p w:rsidR="001368EB" w:rsidRPr="00342B2F" w:rsidRDefault="001368EB" w:rsidP="002A49D5">
      <w:pPr>
        <w:snapToGrid w:val="0"/>
        <w:spacing w:line="360" w:lineRule="auto"/>
        <w:jc w:val="both"/>
        <w:rPr>
          <w:rFonts w:ascii="Book Antiqua" w:hAnsi="Book Antiqua" w:cs="Book Antiqua"/>
          <w:b/>
        </w:rPr>
      </w:pPr>
    </w:p>
    <w:p w:rsidR="001368EB" w:rsidRPr="00342B2F" w:rsidRDefault="001368EB" w:rsidP="002A49D5">
      <w:pPr>
        <w:snapToGrid w:val="0"/>
        <w:spacing w:line="360" w:lineRule="auto"/>
        <w:jc w:val="both"/>
        <w:rPr>
          <w:rFonts w:ascii="Book Antiqua" w:eastAsia="宋体" w:hAnsi="Book Antiqua" w:cs="Book Antiqua"/>
          <w:b/>
        </w:rPr>
      </w:pPr>
      <w:r w:rsidRPr="00342B2F">
        <w:rPr>
          <w:rFonts w:ascii="Book Antiqua" w:hAnsi="Book Antiqua" w:cs="Book Antiqua"/>
          <w:b/>
        </w:rPr>
        <w:t>Table 1</w:t>
      </w:r>
      <w:r w:rsidRPr="00342B2F">
        <w:rPr>
          <w:rFonts w:ascii="Book Antiqua" w:eastAsia="宋体" w:hAnsi="Book Antiqua" w:cs="Book Antiqua"/>
          <w:b/>
        </w:rPr>
        <w:t xml:space="preserve"> </w:t>
      </w:r>
      <w:r w:rsidRPr="00342B2F">
        <w:rPr>
          <w:rFonts w:ascii="Book Antiqua" w:hAnsi="Book Antiqua" w:cs="Book Antiqua"/>
          <w:b/>
        </w:rPr>
        <w:t>Outcomes after endoscopic papillectomy</w:t>
      </w:r>
    </w:p>
    <w:tbl>
      <w:tblPr>
        <w:tblW w:w="9411" w:type="dxa"/>
        <w:tblBorders>
          <w:top w:val="single" w:sz="4" w:space="0" w:color="auto"/>
          <w:bottom w:val="single" w:sz="4" w:space="0" w:color="auto"/>
        </w:tblBorders>
        <w:tblLook w:val="00A0" w:firstRow="1" w:lastRow="0" w:firstColumn="1" w:lastColumn="0" w:noHBand="0" w:noVBand="0"/>
      </w:tblPr>
      <w:tblGrid>
        <w:gridCol w:w="1380"/>
        <w:gridCol w:w="1096"/>
        <w:gridCol w:w="1376"/>
        <w:gridCol w:w="1816"/>
        <w:gridCol w:w="1257"/>
        <w:gridCol w:w="1443"/>
        <w:gridCol w:w="1043"/>
      </w:tblGrid>
      <w:tr w:rsidR="001368EB" w:rsidRPr="00342B2F" w:rsidTr="005A02B1">
        <w:tc>
          <w:tcPr>
            <w:tcW w:w="0" w:type="auto"/>
            <w:tcBorders>
              <w:top w:val="single" w:sz="4" w:space="0" w:color="auto"/>
              <w:bottom w:val="single" w:sz="4" w:space="0" w:color="auto"/>
            </w:tcBorders>
          </w:tcPr>
          <w:p w:rsidR="001368EB" w:rsidRPr="00642F1D" w:rsidRDefault="001368EB" w:rsidP="00AB5EA6">
            <w:pPr>
              <w:snapToGrid w:val="0"/>
              <w:spacing w:line="360" w:lineRule="auto"/>
              <w:rPr>
                <w:rFonts w:ascii="Book Antiqua" w:eastAsia="宋体" w:hAnsi="Book Antiqua" w:cs="Book Antiqua"/>
                <w:b/>
              </w:rPr>
            </w:pPr>
            <w:r>
              <w:rPr>
                <w:rFonts w:ascii="Book Antiqua" w:eastAsia="宋体" w:hAnsi="Book Antiqua" w:cs="Book Antiqua"/>
                <w:b/>
              </w:rPr>
              <w:t>Ref.</w:t>
            </w:r>
          </w:p>
        </w:tc>
        <w:tc>
          <w:tcPr>
            <w:tcW w:w="0" w:type="auto"/>
            <w:tcBorders>
              <w:top w:val="single" w:sz="4" w:space="0" w:color="auto"/>
              <w:bottom w:val="single" w:sz="4" w:space="0" w:color="auto"/>
            </w:tcBorders>
          </w:tcPr>
          <w:p w:rsidR="001368EB" w:rsidRPr="00342B2F" w:rsidRDefault="001368EB" w:rsidP="00594B7F">
            <w:pPr>
              <w:snapToGrid w:val="0"/>
              <w:spacing w:line="360" w:lineRule="auto"/>
              <w:jc w:val="center"/>
              <w:rPr>
                <w:rFonts w:ascii="Book Antiqua" w:hAnsi="Book Antiqua" w:cs="Book Antiqua"/>
                <w:b/>
              </w:rPr>
            </w:pPr>
            <w:r w:rsidRPr="00342B2F">
              <w:rPr>
                <w:rFonts w:ascii="Book Antiqua" w:hAnsi="Book Antiqua" w:cs="Book Antiqua"/>
                <w:b/>
              </w:rPr>
              <w:t>Patients</w:t>
            </w:r>
          </w:p>
        </w:tc>
        <w:tc>
          <w:tcPr>
            <w:tcW w:w="0" w:type="auto"/>
            <w:tcBorders>
              <w:top w:val="single" w:sz="4" w:space="0" w:color="auto"/>
              <w:bottom w:val="single" w:sz="4" w:space="0" w:color="auto"/>
            </w:tcBorders>
          </w:tcPr>
          <w:p w:rsidR="001368EB" w:rsidRPr="00342B2F" w:rsidRDefault="001368EB" w:rsidP="00594B7F">
            <w:pPr>
              <w:snapToGrid w:val="0"/>
              <w:spacing w:line="360" w:lineRule="auto"/>
              <w:jc w:val="center"/>
              <w:rPr>
                <w:rFonts w:ascii="Book Antiqua" w:hAnsi="Book Antiqua" w:cs="Book Antiqua"/>
                <w:b/>
              </w:rPr>
            </w:pPr>
            <w:r w:rsidRPr="00342B2F">
              <w:rPr>
                <w:rFonts w:ascii="Book Antiqua" w:hAnsi="Book Antiqua" w:cs="Book Antiqua"/>
                <w:b/>
              </w:rPr>
              <w:t>Successful resection</w:t>
            </w:r>
          </w:p>
        </w:tc>
        <w:tc>
          <w:tcPr>
            <w:tcW w:w="0" w:type="auto"/>
            <w:tcBorders>
              <w:top w:val="single" w:sz="4" w:space="0" w:color="auto"/>
              <w:bottom w:val="single" w:sz="4" w:space="0" w:color="auto"/>
            </w:tcBorders>
          </w:tcPr>
          <w:p w:rsidR="001368EB" w:rsidRPr="00342B2F" w:rsidRDefault="001368EB" w:rsidP="00594B7F">
            <w:pPr>
              <w:snapToGrid w:val="0"/>
              <w:spacing w:line="360" w:lineRule="auto"/>
              <w:jc w:val="center"/>
              <w:rPr>
                <w:rFonts w:ascii="Book Antiqua" w:hAnsi="Book Antiqua" w:cs="Book Antiqua"/>
                <w:b/>
              </w:rPr>
            </w:pPr>
            <w:r w:rsidRPr="00342B2F">
              <w:rPr>
                <w:rFonts w:ascii="Book Antiqua" w:hAnsi="Book Antiqua" w:cs="Book Antiqua"/>
                <w:b/>
              </w:rPr>
              <w:t>Complications</w:t>
            </w:r>
          </w:p>
        </w:tc>
        <w:tc>
          <w:tcPr>
            <w:tcW w:w="0" w:type="auto"/>
            <w:tcBorders>
              <w:top w:val="single" w:sz="4" w:space="0" w:color="auto"/>
              <w:bottom w:val="single" w:sz="4" w:space="0" w:color="auto"/>
            </w:tcBorders>
          </w:tcPr>
          <w:p w:rsidR="001368EB" w:rsidRPr="00342B2F" w:rsidRDefault="001368EB" w:rsidP="00594B7F">
            <w:pPr>
              <w:snapToGrid w:val="0"/>
              <w:spacing w:line="360" w:lineRule="auto"/>
              <w:jc w:val="center"/>
              <w:rPr>
                <w:rFonts w:ascii="Book Antiqua" w:hAnsi="Book Antiqua" w:cs="Book Antiqua"/>
                <w:b/>
              </w:rPr>
            </w:pPr>
            <w:r w:rsidRPr="00342B2F">
              <w:rPr>
                <w:rFonts w:ascii="Book Antiqua" w:hAnsi="Book Antiqua" w:cs="Book Antiqua"/>
                <w:b/>
              </w:rPr>
              <w:t>Mortality</w:t>
            </w:r>
          </w:p>
        </w:tc>
        <w:tc>
          <w:tcPr>
            <w:tcW w:w="0" w:type="auto"/>
            <w:tcBorders>
              <w:top w:val="single" w:sz="4" w:space="0" w:color="auto"/>
              <w:bottom w:val="single" w:sz="4" w:space="0" w:color="auto"/>
            </w:tcBorders>
          </w:tcPr>
          <w:p w:rsidR="001368EB" w:rsidRPr="00342B2F" w:rsidRDefault="001368EB" w:rsidP="00594B7F">
            <w:pPr>
              <w:snapToGrid w:val="0"/>
              <w:spacing w:line="360" w:lineRule="auto"/>
              <w:jc w:val="center"/>
              <w:rPr>
                <w:rFonts w:ascii="Book Antiqua" w:hAnsi="Book Antiqua" w:cs="Book Antiqua"/>
                <w:b/>
              </w:rPr>
            </w:pPr>
            <w:r w:rsidRPr="00342B2F">
              <w:rPr>
                <w:rFonts w:ascii="Book Antiqua" w:hAnsi="Book Antiqua" w:cs="Book Antiqua"/>
                <w:b/>
              </w:rPr>
              <w:t>Recurrence</w:t>
            </w:r>
          </w:p>
        </w:tc>
        <w:tc>
          <w:tcPr>
            <w:tcW w:w="0" w:type="auto"/>
            <w:tcBorders>
              <w:top w:val="single" w:sz="4" w:space="0" w:color="auto"/>
              <w:bottom w:val="single" w:sz="4" w:space="0" w:color="auto"/>
            </w:tcBorders>
          </w:tcPr>
          <w:p w:rsidR="001368EB" w:rsidRPr="00342B2F" w:rsidRDefault="001368EB" w:rsidP="00594B7F">
            <w:pPr>
              <w:snapToGrid w:val="0"/>
              <w:spacing w:line="360" w:lineRule="auto"/>
              <w:jc w:val="center"/>
              <w:rPr>
                <w:rFonts w:ascii="Book Antiqua" w:hAnsi="Book Antiqua" w:cs="Book Antiqua"/>
                <w:b/>
              </w:rPr>
            </w:pPr>
            <w:r w:rsidRPr="00342B2F">
              <w:rPr>
                <w:rFonts w:ascii="Book Antiqua" w:hAnsi="Book Antiqua" w:cs="Book Antiqua"/>
                <w:b/>
              </w:rPr>
              <w:t>Need for surgery</w:t>
            </w:r>
          </w:p>
        </w:tc>
      </w:tr>
      <w:tr w:rsidR="001368EB" w:rsidRPr="00342B2F" w:rsidTr="005A02B1">
        <w:tc>
          <w:tcPr>
            <w:tcW w:w="0" w:type="auto"/>
            <w:tcBorders>
              <w:top w:val="single" w:sz="4" w:space="0" w:color="auto"/>
            </w:tcBorders>
          </w:tcPr>
          <w:p w:rsidR="001368EB" w:rsidRPr="00642F1D" w:rsidRDefault="001368EB" w:rsidP="00AB5EA6">
            <w:pPr>
              <w:jc w:val="both"/>
              <w:rPr>
                <w:rFonts w:ascii="Book Antiqua" w:eastAsia="宋体" w:hAnsi="Book Antiqua"/>
              </w:rPr>
            </w:pPr>
            <w:r w:rsidRPr="00D15AA0">
              <w:rPr>
                <w:rFonts w:ascii="Book Antiqua" w:hAnsi="Book Antiqua"/>
              </w:rPr>
              <w:t>Binmoeller</w:t>
            </w:r>
            <w:r>
              <w:rPr>
                <w:rFonts w:ascii="Book Antiqua" w:eastAsia="宋体" w:hAnsi="Book Antiqua"/>
              </w:rPr>
              <w:t xml:space="preserve"> </w:t>
            </w:r>
            <w:r w:rsidRPr="00642F1D">
              <w:rPr>
                <w:rFonts w:ascii="Book Antiqua" w:eastAsia="宋体" w:hAnsi="Book Antiqua"/>
                <w:i/>
              </w:rPr>
              <w:t>et al</w:t>
            </w:r>
            <w:r w:rsidRPr="00642F1D">
              <w:rPr>
                <w:rFonts w:ascii="Book Antiqua" w:eastAsia="宋体" w:hAnsi="Book Antiqua"/>
                <w:vertAlign w:val="superscript"/>
              </w:rPr>
              <w:t>[2]</w:t>
            </w:r>
          </w:p>
        </w:tc>
        <w:tc>
          <w:tcPr>
            <w:tcW w:w="0" w:type="auto"/>
            <w:tcBorders>
              <w:top w:val="single" w:sz="4" w:space="0" w:color="auto"/>
            </w:tcBorders>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25</w:t>
            </w:r>
          </w:p>
        </w:tc>
        <w:tc>
          <w:tcPr>
            <w:tcW w:w="0" w:type="auto"/>
            <w:tcBorders>
              <w:top w:val="single" w:sz="4" w:space="0" w:color="auto"/>
            </w:tcBorders>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23</w:t>
            </w:r>
          </w:p>
        </w:tc>
        <w:tc>
          <w:tcPr>
            <w:tcW w:w="0" w:type="auto"/>
            <w:tcBorders>
              <w:top w:val="single" w:sz="4" w:space="0" w:color="auto"/>
            </w:tcBorders>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5</w:t>
            </w:r>
          </w:p>
        </w:tc>
        <w:tc>
          <w:tcPr>
            <w:tcW w:w="0" w:type="auto"/>
            <w:tcBorders>
              <w:top w:val="single" w:sz="4" w:space="0" w:color="auto"/>
            </w:tcBorders>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0</w:t>
            </w:r>
          </w:p>
        </w:tc>
        <w:tc>
          <w:tcPr>
            <w:tcW w:w="0" w:type="auto"/>
            <w:tcBorders>
              <w:top w:val="single" w:sz="4" w:space="0" w:color="auto"/>
            </w:tcBorders>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6</w:t>
            </w:r>
          </w:p>
        </w:tc>
        <w:tc>
          <w:tcPr>
            <w:tcW w:w="0" w:type="auto"/>
            <w:tcBorders>
              <w:top w:val="single" w:sz="4" w:space="0" w:color="auto"/>
            </w:tcBorders>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3</w:t>
            </w:r>
          </w:p>
        </w:tc>
      </w:tr>
      <w:tr w:rsidR="001368EB" w:rsidRPr="00342B2F" w:rsidTr="005A02B1">
        <w:tc>
          <w:tcPr>
            <w:tcW w:w="0" w:type="auto"/>
          </w:tcPr>
          <w:p w:rsidR="001368EB" w:rsidRPr="00D15AA0" w:rsidRDefault="001368EB" w:rsidP="00AB5EA6">
            <w:pPr>
              <w:jc w:val="both"/>
              <w:rPr>
                <w:rFonts w:ascii="Book Antiqua" w:hAnsi="Book Antiqua"/>
              </w:rPr>
            </w:pPr>
            <w:r w:rsidRPr="00C97E72">
              <w:rPr>
                <w:rFonts w:ascii="Book Antiqua" w:hAnsi="Book Antiqua"/>
              </w:rPr>
              <w:t>Vogt</w:t>
            </w:r>
            <w:r>
              <w:rPr>
                <w:rFonts w:ascii="Book Antiqua" w:hAnsi="Book Antiqua"/>
              </w:rPr>
              <w:t xml:space="preserve"> </w:t>
            </w:r>
            <w:r w:rsidRPr="00C97E72">
              <w:rPr>
                <w:rFonts w:ascii="Book Antiqua" w:hAnsi="Book Antiqua"/>
                <w:i/>
              </w:rPr>
              <w:t>et al</w:t>
            </w:r>
            <w:r w:rsidRPr="00E74C5D">
              <w:rPr>
                <w:rFonts w:ascii="Book Antiqua" w:hAnsi="Book Antiqua"/>
                <w:iCs/>
                <w:vertAlign w:val="superscript"/>
              </w:rPr>
              <w:t>[72]</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18</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12</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4</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0</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6</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eastAsia="宋体" w:hAnsi="Book Antiqua" w:cs="Book Antiqua"/>
              </w:rPr>
              <w:t>NA</w:t>
            </w:r>
          </w:p>
        </w:tc>
      </w:tr>
      <w:tr w:rsidR="001368EB" w:rsidRPr="00342B2F" w:rsidTr="005A02B1">
        <w:tc>
          <w:tcPr>
            <w:tcW w:w="0" w:type="auto"/>
          </w:tcPr>
          <w:p w:rsidR="001368EB" w:rsidRPr="00D15AA0" w:rsidRDefault="001368EB" w:rsidP="00AB5EA6">
            <w:pPr>
              <w:jc w:val="both"/>
              <w:rPr>
                <w:rFonts w:ascii="Book Antiqua" w:hAnsi="Book Antiqua"/>
              </w:rPr>
            </w:pPr>
            <w:r w:rsidRPr="00D31766">
              <w:rPr>
                <w:rFonts w:ascii="Book Antiqua" w:hAnsi="Book Antiqua"/>
              </w:rPr>
              <w:t>Zadorova</w:t>
            </w:r>
            <w:r>
              <w:rPr>
                <w:rFonts w:ascii="Book Antiqua" w:hAnsi="Book Antiqua"/>
              </w:rPr>
              <w:t xml:space="preserve"> </w:t>
            </w:r>
            <w:r w:rsidRPr="00E74C5D">
              <w:rPr>
                <w:rFonts w:ascii="Book Antiqua" w:hAnsi="Book Antiqua"/>
                <w:i/>
              </w:rPr>
              <w:t>et al</w:t>
            </w:r>
            <w:r w:rsidRPr="00E74C5D">
              <w:rPr>
                <w:rFonts w:ascii="Book Antiqua" w:hAnsi="Book Antiqua"/>
                <w:vertAlign w:val="superscript"/>
              </w:rPr>
              <w:t>[</w:t>
            </w:r>
            <w:r>
              <w:rPr>
                <w:rFonts w:ascii="Book Antiqua" w:hAnsi="Book Antiqua"/>
                <w:vertAlign w:val="superscript"/>
              </w:rPr>
              <w:t>5</w:t>
            </w:r>
            <w:r w:rsidRPr="00E74C5D">
              <w:rPr>
                <w:rFonts w:ascii="Book Antiqua" w:hAnsi="Book Antiqua"/>
                <w:vertAlign w:val="superscript"/>
              </w:rPr>
              <w:t>]</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16</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13</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4</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0</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3</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1</w:t>
            </w:r>
          </w:p>
        </w:tc>
      </w:tr>
      <w:tr w:rsidR="001368EB" w:rsidRPr="00342B2F" w:rsidTr="005A02B1">
        <w:tc>
          <w:tcPr>
            <w:tcW w:w="0" w:type="auto"/>
          </w:tcPr>
          <w:p w:rsidR="001368EB" w:rsidRPr="00D15AA0" w:rsidRDefault="001368EB" w:rsidP="00AB5EA6">
            <w:pPr>
              <w:jc w:val="both"/>
              <w:rPr>
                <w:rFonts w:ascii="Book Antiqua" w:hAnsi="Book Antiqua"/>
              </w:rPr>
            </w:pPr>
            <w:r w:rsidRPr="00D15AA0">
              <w:rPr>
                <w:rFonts w:ascii="Book Antiqua" w:hAnsi="Book Antiqua"/>
              </w:rPr>
              <w:t>Desilets</w:t>
            </w:r>
            <w:r w:rsidRPr="00642F1D">
              <w:rPr>
                <w:rFonts w:ascii="Book Antiqua" w:eastAsia="宋体" w:hAnsi="Book Antiqua"/>
                <w:i/>
              </w:rPr>
              <w:t xml:space="preserve"> et al</w:t>
            </w:r>
            <w:r w:rsidRPr="00642F1D">
              <w:rPr>
                <w:rFonts w:ascii="Book Antiqua" w:eastAsia="宋体" w:hAnsi="Book Antiqua"/>
                <w:vertAlign w:val="superscript"/>
              </w:rPr>
              <w:t>[</w:t>
            </w:r>
            <w:r>
              <w:rPr>
                <w:rFonts w:ascii="Book Antiqua" w:eastAsia="宋体" w:hAnsi="Book Antiqua"/>
                <w:vertAlign w:val="superscript"/>
              </w:rPr>
              <w:t>50</w:t>
            </w:r>
            <w:r w:rsidRPr="00642F1D">
              <w:rPr>
                <w:rFonts w:ascii="Book Antiqua" w:eastAsia="宋体" w:hAnsi="Book Antiqua"/>
                <w:vertAlign w:val="superscript"/>
              </w:rPr>
              <w:t>]</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13</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12</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1</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0</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0</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1</w:t>
            </w:r>
          </w:p>
        </w:tc>
      </w:tr>
      <w:tr w:rsidR="001368EB" w:rsidRPr="00342B2F" w:rsidTr="005A02B1">
        <w:tc>
          <w:tcPr>
            <w:tcW w:w="0" w:type="auto"/>
          </w:tcPr>
          <w:p w:rsidR="001368EB" w:rsidRPr="00D15AA0" w:rsidRDefault="001368EB" w:rsidP="00AB5EA6">
            <w:pPr>
              <w:jc w:val="both"/>
              <w:rPr>
                <w:rFonts w:ascii="Book Antiqua" w:hAnsi="Book Antiqua"/>
              </w:rPr>
            </w:pPr>
            <w:r w:rsidRPr="00D15AA0">
              <w:rPr>
                <w:rFonts w:ascii="Book Antiqua" w:hAnsi="Book Antiqua"/>
              </w:rPr>
              <w:t>Norton</w:t>
            </w:r>
            <w:r w:rsidRPr="00642F1D">
              <w:rPr>
                <w:rFonts w:ascii="Book Antiqua" w:eastAsia="宋体" w:hAnsi="Book Antiqua"/>
                <w:i/>
              </w:rPr>
              <w:t xml:space="preserve"> et al</w:t>
            </w:r>
            <w:r w:rsidRPr="00642F1D">
              <w:rPr>
                <w:rFonts w:ascii="Book Antiqua" w:eastAsia="宋体" w:hAnsi="Book Antiqua"/>
                <w:vertAlign w:val="superscript"/>
              </w:rPr>
              <w:t>[</w:t>
            </w:r>
            <w:r>
              <w:rPr>
                <w:rFonts w:ascii="Book Antiqua" w:eastAsia="宋体" w:hAnsi="Book Antiqua"/>
                <w:vertAlign w:val="superscript"/>
              </w:rPr>
              <w:t>51</w:t>
            </w:r>
            <w:r w:rsidRPr="00642F1D">
              <w:rPr>
                <w:rFonts w:ascii="Book Antiqua" w:eastAsia="宋体" w:hAnsi="Book Antiqua"/>
                <w:vertAlign w:val="superscript"/>
              </w:rPr>
              <w:t>]</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26</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12</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5</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0</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2</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1</w:t>
            </w:r>
          </w:p>
        </w:tc>
      </w:tr>
      <w:tr w:rsidR="001368EB" w:rsidRPr="00342B2F" w:rsidTr="005A02B1">
        <w:tc>
          <w:tcPr>
            <w:tcW w:w="0" w:type="auto"/>
          </w:tcPr>
          <w:p w:rsidR="001368EB" w:rsidRPr="00642F1D" w:rsidRDefault="001368EB" w:rsidP="00AB5EA6">
            <w:pPr>
              <w:jc w:val="both"/>
              <w:rPr>
                <w:rFonts w:ascii="Book Antiqua" w:eastAsia="宋体" w:hAnsi="Book Antiqua"/>
              </w:rPr>
            </w:pPr>
            <w:r w:rsidRPr="00D15AA0">
              <w:rPr>
                <w:rFonts w:ascii="Book Antiqua" w:hAnsi="Book Antiqua"/>
              </w:rPr>
              <w:t>Bohnacker</w:t>
            </w:r>
            <w:r>
              <w:rPr>
                <w:rFonts w:ascii="Book Antiqua" w:eastAsia="宋体" w:hAnsi="Book Antiqua"/>
              </w:rPr>
              <w:t xml:space="preserve"> </w:t>
            </w:r>
            <w:r w:rsidRPr="00642F1D">
              <w:rPr>
                <w:rFonts w:ascii="Book Antiqua" w:eastAsia="宋体" w:hAnsi="Book Antiqua"/>
                <w:i/>
              </w:rPr>
              <w:t>et al</w:t>
            </w:r>
            <w:r w:rsidRPr="00642F1D">
              <w:rPr>
                <w:rFonts w:ascii="Book Antiqua" w:eastAsia="宋体" w:hAnsi="Book Antiqua"/>
                <w:vertAlign w:val="superscript"/>
              </w:rPr>
              <w:t>[</w:t>
            </w:r>
            <w:r>
              <w:rPr>
                <w:rFonts w:ascii="Book Antiqua" w:eastAsia="宋体" w:hAnsi="Book Antiqua"/>
                <w:vertAlign w:val="superscript"/>
              </w:rPr>
              <w:t>20</w:t>
            </w:r>
            <w:r w:rsidRPr="00642F1D">
              <w:rPr>
                <w:rFonts w:ascii="Book Antiqua" w:eastAsia="宋体" w:hAnsi="Book Antiqua"/>
                <w:vertAlign w:val="superscript"/>
              </w:rPr>
              <w:t>]</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87</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74</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29</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0</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15</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17</w:t>
            </w:r>
          </w:p>
        </w:tc>
      </w:tr>
      <w:tr w:rsidR="001368EB" w:rsidRPr="00342B2F" w:rsidTr="005A02B1">
        <w:tc>
          <w:tcPr>
            <w:tcW w:w="0" w:type="auto"/>
          </w:tcPr>
          <w:p w:rsidR="001368EB" w:rsidRPr="00D15AA0" w:rsidRDefault="001368EB" w:rsidP="00AB5EA6">
            <w:pPr>
              <w:jc w:val="both"/>
              <w:rPr>
                <w:rFonts w:ascii="Book Antiqua" w:hAnsi="Book Antiqua"/>
              </w:rPr>
            </w:pPr>
            <w:r w:rsidRPr="00D15AA0">
              <w:rPr>
                <w:rFonts w:ascii="Book Antiqua" w:hAnsi="Book Antiqua"/>
              </w:rPr>
              <w:lastRenderedPageBreak/>
              <w:t>Catalano</w:t>
            </w:r>
            <w:r w:rsidRPr="00642F1D">
              <w:rPr>
                <w:rFonts w:ascii="Book Antiqua" w:eastAsia="宋体" w:hAnsi="Book Antiqua"/>
                <w:i/>
              </w:rPr>
              <w:t xml:space="preserve"> et al</w:t>
            </w:r>
            <w:r w:rsidRPr="00642F1D">
              <w:rPr>
                <w:rFonts w:ascii="Book Antiqua" w:eastAsia="宋体" w:hAnsi="Book Antiqua"/>
                <w:vertAlign w:val="superscript"/>
              </w:rPr>
              <w:t>[</w:t>
            </w:r>
            <w:r>
              <w:rPr>
                <w:rFonts w:ascii="Book Antiqua" w:eastAsia="宋体" w:hAnsi="Book Antiqua"/>
                <w:vertAlign w:val="superscript"/>
              </w:rPr>
              <w:t>7</w:t>
            </w:r>
            <w:r w:rsidRPr="00642F1D">
              <w:rPr>
                <w:rFonts w:ascii="Book Antiqua" w:eastAsia="宋体" w:hAnsi="Book Antiqua"/>
                <w:vertAlign w:val="superscript"/>
              </w:rPr>
              <w:t>]</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103</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83</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10</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0</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10</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16</w:t>
            </w:r>
          </w:p>
        </w:tc>
      </w:tr>
      <w:tr w:rsidR="001368EB" w:rsidRPr="00342B2F" w:rsidTr="005A02B1">
        <w:tc>
          <w:tcPr>
            <w:tcW w:w="0" w:type="auto"/>
          </w:tcPr>
          <w:p w:rsidR="001368EB" w:rsidRPr="00D15AA0" w:rsidRDefault="001368EB" w:rsidP="00AB5EA6">
            <w:pPr>
              <w:jc w:val="both"/>
              <w:rPr>
                <w:rFonts w:ascii="Book Antiqua" w:hAnsi="Book Antiqua"/>
              </w:rPr>
            </w:pPr>
            <w:r w:rsidRPr="00D15AA0">
              <w:rPr>
                <w:rFonts w:ascii="Book Antiqua" w:hAnsi="Book Antiqua"/>
              </w:rPr>
              <w:t>Cheng</w:t>
            </w:r>
            <w:r w:rsidRPr="00642F1D">
              <w:rPr>
                <w:rFonts w:ascii="Book Antiqua" w:eastAsia="宋体" w:hAnsi="Book Antiqua"/>
                <w:i/>
              </w:rPr>
              <w:t xml:space="preserve"> et al</w:t>
            </w:r>
            <w:r w:rsidRPr="00642F1D">
              <w:rPr>
                <w:rFonts w:ascii="Book Antiqua" w:eastAsia="宋体" w:hAnsi="Book Antiqua"/>
                <w:vertAlign w:val="superscript"/>
              </w:rPr>
              <w:t>[</w:t>
            </w:r>
            <w:r>
              <w:rPr>
                <w:rFonts w:ascii="Book Antiqua" w:eastAsia="宋体" w:hAnsi="Book Antiqua"/>
                <w:vertAlign w:val="superscript"/>
              </w:rPr>
              <w:t>8</w:t>
            </w:r>
            <w:r w:rsidRPr="00642F1D">
              <w:rPr>
                <w:rFonts w:ascii="Book Antiqua" w:eastAsia="宋体" w:hAnsi="Book Antiqua"/>
                <w:vertAlign w:val="superscript"/>
              </w:rPr>
              <w:t>]</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55</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39</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12</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0</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9</w:t>
            </w:r>
          </w:p>
        </w:tc>
        <w:tc>
          <w:tcPr>
            <w:tcW w:w="0" w:type="auto"/>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4</w:t>
            </w:r>
          </w:p>
        </w:tc>
      </w:tr>
      <w:tr w:rsidR="001368EB" w:rsidRPr="00342B2F" w:rsidTr="005A02B1">
        <w:tc>
          <w:tcPr>
            <w:tcW w:w="0" w:type="auto"/>
            <w:tcBorders>
              <w:bottom w:val="single" w:sz="4" w:space="0" w:color="auto"/>
            </w:tcBorders>
          </w:tcPr>
          <w:p w:rsidR="001368EB" w:rsidRPr="00D15AA0" w:rsidRDefault="001368EB" w:rsidP="00AB5EA6">
            <w:pPr>
              <w:jc w:val="both"/>
              <w:rPr>
                <w:rFonts w:ascii="Book Antiqua" w:hAnsi="Book Antiqua"/>
              </w:rPr>
            </w:pPr>
            <w:r w:rsidRPr="00D15AA0">
              <w:rPr>
                <w:rFonts w:ascii="Book Antiqua" w:hAnsi="Book Antiqua"/>
              </w:rPr>
              <w:t>Han</w:t>
            </w:r>
            <w:r w:rsidRPr="00642F1D">
              <w:rPr>
                <w:rFonts w:ascii="Book Antiqua" w:eastAsia="宋体" w:hAnsi="Book Antiqua"/>
                <w:i/>
              </w:rPr>
              <w:t xml:space="preserve"> et al</w:t>
            </w:r>
            <w:r w:rsidRPr="00642F1D">
              <w:rPr>
                <w:rFonts w:ascii="Book Antiqua" w:eastAsia="宋体" w:hAnsi="Book Antiqua"/>
                <w:vertAlign w:val="superscript"/>
              </w:rPr>
              <w:t>[</w:t>
            </w:r>
            <w:r>
              <w:rPr>
                <w:rFonts w:ascii="Book Antiqua" w:eastAsia="宋体" w:hAnsi="Book Antiqua"/>
                <w:vertAlign w:val="superscript"/>
              </w:rPr>
              <w:t>10</w:t>
            </w:r>
            <w:r w:rsidRPr="00642F1D">
              <w:rPr>
                <w:rFonts w:ascii="Book Antiqua" w:eastAsia="宋体" w:hAnsi="Book Antiqua"/>
                <w:vertAlign w:val="superscript"/>
              </w:rPr>
              <w:t>]</w:t>
            </w:r>
          </w:p>
        </w:tc>
        <w:tc>
          <w:tcPr>
            <w:tcW w:w="0" w:type="auto"/>
            <w:tcBorders>
              <w:bottom w:val="single" w:sz="4" w:space="0" w:color="auto"/>
            </w:tcBorders>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33</w:t>
            </w:r>
          </w:p>
        </w:tc>
        <w:tc>
          <w:tcPr>
            <w:tcW w:w="0" w:type="auto"/>
            <w:tcBorders>
              <w:bottom w:val="single" w:sz="4" w:space="0" w:color="auto"/>
            </w:tcBorders>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20</w:t>
            </w:r>
          </w:p>
        </w:tc>
        <w:tc>
          <w:tcPr>
            <w:tcW w:w="0" w:type="auto"/>
            <w:tcBorders>
              <w:bottom w:val="single" w:sz="4" w:space="0" w:color="auto"/>
            </w:tcBorders>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11</w:t>
            </w:r>
          </w:p>
        </w:tc>
        <w:tc>
          <w:tcPr>
            <w:tcW w:w="0" w:type="auto"/>
            <w:tcBorders>
              <w:bottom w:val="single" w:sz="4" w:space="0" w:color="auto"/>
            </w:tcBorders>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0</w:t>
            </w:r>
          </w:p>
        </w:tc>
        <w:tc>
          <w:tcPr>
            <w:tcW w:w="0" w:type="auto"/>
            <w:tcBorders>
              <w:bottom w:val="single" w:sz="4" w:space="0" w:color="auto"/>
            </w:tcBorders>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2</w:t>
            </w:r>
          </w:p>
        </w:tc>
        <w:tc>
          <w:tcPr>
            <w:tcW w:w="0" w:type="auto"/>
            <w:tcBorders>
              <w:bottom w:val="single" w:sz="4" w:space="0" w:color="auto"/>
            </w:tcBorders>
          </w:tcPr>
          <w:p w:rsidR="001368EB" w:rsidRPr="00342B2F" w:rsidRDefault="001368EB" w:rsidP="00594B7F">
            <w:pPr>
              <w:snapToGrid w:val="0"/>
              <w:spacing w:line="360" w:lineRule="auto"/>
              <w:jc w:val="center"/>
              <w:rPr>
                <w:rFonts w:ascii="Book Antiqua" w:hAnsi="Book Antiqua" w:cs="Book Antiqua"/>
              </w:rPr>
            </w:pPr>
            <w:r w:rsidRPr="00342B2F">
              <w:rPr>
                <w:rFonts w:ascii="Book Antiqua" w:hAnsi="Book Antiqua" w:cs="Book Antiqua"/>
              </w:rPr>
              <w:t>2</w:t>
            </w:r>
          </w:p>
        </w:tc>
      </w:tr>
    </w:tbl>
    <w:p w:rsidR="001368EB" w:rsidRPr="00342B2F" w:rsidRDefault="001368EB" w:rsidP="002A49D5">
      <w:pPr>
        <w:snapToGrid w:val="0"/>
        <w:spacing w:line="360" w:lineRule="auto"/>
        <w:jc w:val="both"/>
        <w:rPr>
          <w:rFonts w:ascii="Book Antiqua" w:eastAsia="宋体" w:hAnsi="Book Antiqua" w:cs="Book Antiqua"/>
        </w:rPr>
      </w:pPr>
      <w:r w:rsidRPr="00342B2F">
        <w:rPr>
          <w:rFonts w:ascii="Book Antiqua" w:eastAsia="宋体" w:hAnsi="Book Antiqua" w:cs="Book Antiqua"/>
        </w:rPr>
        <w:t>NA</w:t>
      </w:r>
      <w:r w:rsidRPr="00342B2F">
        <w:rPr>
          <w:rFonts w:ascii="Book Antiqua" w:hAnsi="Book Antiqua" w:cs="Book Antiqua"/>
        </w:rPr>
        <w:t>: Not available</w:t>
      </w:r>
      <w:r w:rsidRPr="00342B2F">
        <w:rPr>
          <w:rFonts w:ascii="Book Antiqua" w:eastAsia="宋体" w:hAnsi="Book Antiqua" w:cs="Book Antiqua"/>
        </w:rPr>
        <w:t>.</w:t>
      </w:r>
    </w:p>
    <w:p w:rsidR="001368EB" w:rsidRPr="00342B2F" w:rsidRDefault="001368EB">
      <w:pPr>
        <w:snapToGrid w:val="0"/>
        <w:spacing w:line="360" w:lineRule="auto"/>
        <w:jc w:val="both"/>
        <w:rPr>
          <w:rFonts w:ascii="Book Antiqua" w:eastAsia="宋体" w:hAnsi="Book Antiqua" w:cs="Book Antiqua"/>
        </w:rPr>
      </w:pPr>
    </w:p>
    <w:sectPr w:rsidR="001368EB" w:rsidRPr="00342B2F" w:rsidSect="000F6F40">
      <w:footerReference w:type="even" r:id="rId14"/>
      <w:footerReference w:type="default" r:id="rId15"/>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A3B" w:rsidRDefault="00262A3B" w:rsidP="000F6F40">
      <w:r>
        <w:separator/>
      </w:r>
    </w:p>
  </w:endnote>
  <w:endnote w:type="continuationSeparator" w:id="0">
    <w:p w:rsidR="00262A3B" w:rsidRDefault="00262A3B" w:rsidP="000F6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A1002AE7" w:usb1="C0000063" w:usb2="00000038" w:usb3="00000000" w:csb0="000000B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8EB" w:rsidRDefault="001368EB">
    <w:pPr>
      <w:pStyle w:val="a4"/>
      <w:framePr w:wrap="around" w:vAnchor="text" w:hAnchor="margin" w:xAlign="right" w:y="1"/>
      <w:rPr>
        <w:rStyle w:val="10"/>
      </w:rPr>
    </w:pPr>
    <w:r>
      <w:rPr>
        <w:rStyle w:val="10"/>
      </w:rPr>
      <w:fldChar w:fldCharType="begin"/>
    </w:r>
    <w:r>
      <w:rPr>
        <w:rStyle w:val="10"/>
      </w:rPr>
      <w:instrText xml:space="preserve">PAGE  </w:instrText>
    </w:r>
    <w:r>
      <w:rPr>
        <w:rStyle w:val="10"/>
      </w:rPr>
      <w:fldChar w:fldCharType="end"/>
    </w:r>
  </w:p>
  <w:p w:rsidR="001368EB" w:rsidRDefault="001368EB">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8EB" w:rsidRDefault="001368EB">
    <w:pPr>
      <w:pStyle w:val="a4"/>
      <w:framePr w:wrap="around" w:vAnchor="text" w:hAnchor="margin" w:xAlign="right" w:y="1"/>
      <w:rPr>
        <w:rStyle w:val="10"/>
      </w:rPr>
    </w:pPr>
    <w:r>
      <w:rPr>
        <w:rStyle w:val="10"/>
      </w:rPr>
      <w:fldChar w:fldCharType="begin"/>
    </w:r>
    <w:r>
      <w:rPr>
        <w:rStyle w:val="10"/>
      </w:rPr>
      <w:instrText xml:space="preserve">PAGE  </w:instrText>
    </w:r>
    <w:r>
      <w:rPr>
        <w:rStyle w:val="10"/>
      </w:rPr>
      <w:fldChar w:fldCharType="separate"/>
    </w:r>
    <w:r w:rsidR="009B1A67">
      <w:rPr>
        <w:rStyle w:val="10"/>
        <w:noProof/>
      </w:rPr>
      <w:t>1</w:t>
    </w:r>
    <w:r>
      <w:rPr>
        <w:rStyle w:val="10"/>
      </w:rPr>
      <w:fldChar w:fldCharType="end"/>
    </w:r>
  </w:p>
  <w:p w:rsidR="001368EB" w:rsidRDefault="001368EB">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A3B" w:rsidRDefault="00262A3B" w:rsidP="000F6F40">
      <w:r>
        <w:separator/>
      </w:r>
    </w:p>
  </w:footnote>
  <w:footnote w:type="continuationSeparator" w:id="0">
    <w:p w:rsidR="00262A3B" w:rsidRDefault="00262A3B" w:rsidP="000F6F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08"/>
  <w:hyphenationZone w:val="283"/>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F40"/>
    <w:rsid w:val="000672F6"/>
    <w:rsid w:val="000D1E92"/>
    <w:rsid w:val="000D339A"/>
    <w:rsid w:val="000F5E14"/>
    <w:rsid w:val="000F6F40"/>
    <w:rsid w:val="001368EB"/>
    <w:rsid w:val="0018702F"/>
    <w:rsid w:val="0024268D"/>
    <w:rsid w:val="00262A3B"/>
    <w:rsid w:val="00266087"/>
    <w:rsid w:val="002725A2"/>
    <w:rsid w:val="002A49D5"/>
    <w:rsid w:val="002B1C25"/>
    <w:rsid w:val="002D5361"/>
    <w:rsid w:val="00342B2F"/>
    <w:rsid w:val="0036643F"/>
    <w:rsid w:val="003710BC"/>
    <w:rsid w:val="0044031F"/>
    <w:rsid w:val="004655A6"/>
    <w:rsid w:val="004916B3"/>
    <w:rsid w:val="004A76F4"/>
    <w:rsid w:val="004B62FA"/>
    <w:rsid w:val="004C7DAE"/>
    <w:rsid w:val="00594B7F"/>
    <w:rsid w:val="005A02B1"/>
    <w:rsid w:val="005A71D1"/>
    <w:rsid w:val="005B396E"/>
    <w:rsid w:val="005C3ED9"/>
    <w:rsid w:val="005D5EE2"/>
    <w:rsid w:val="00642F1D"/>
    <w:rsid w:val="00646A96"/>
    <w:rsid w:val="00647372"/>
    <w:rsid w:val="00680764"/>
    <w:rsid w:val="006A5AFB"/>
    <w:rsid w:val="00720BC1"/>
    <w:rsid w:val="00790599"/>
    <w:rsid w:val="00835C18"/>
    <w:rsid w:val="008B0E7B"/>
    <w:rsid w:val="008B346A"/>
    <w:rsid w:val="008D4DCD"/>
    <w:rsid w:val="008F6D03"/>
    <w:rsid w:val="008F6DD5"/>
    <w:rsid w:val="00902A00"/>
    <w:rsid w:val="00923DF7"/>
    <w:rsid w:val="009310B7"/>
    <w:rsid w:val="00931DD0"/>
    <w:rsid w:val="00981FE1"/>
    <w:rsid w:val="009B1A67"/>
    <w:rsid w:val="009D463F"/>
    <w:rsid w:val="00A31B84"/>
    <w:rsid w:val="00A94BE8"/>
    <w:rsid w:val="00AB5EA6"/>
    <w:rsid w:val="00AF2EEF"/>
    <w:rsid w:val="00AF3E89"/>
    <w:rsid w:val="00B44832"/>
    <w:rsid w:val="00B62B43"/>
    <w:rsid w:val="00BC51FC"/>
    <w:rsid w:val="00C06749"/>
    <w:rsid w:val="00C33D36"/>
    <w:rsid w:val="00C56046"/>
    <w:rsid w:val="00C6408D"/>
    <w:rsid w:val="00C97E72"/>
    <w:rsid w:val="00CA5FA7"/>
    <w:rsid w:val="00CB1702"/>
    <w:rsid w:val="00D15AA0"/>
    <w:rsid w:val="00D267DB"/>
    <w:rsid w:val="00D31766"/>
    <w:rsid w:val="00E74C5D"/>
    <w:rsid w:val="00E9037A"/>
    <w:rsid w:val="00EA2361"/>
    <w:rsid w:val="00F73F16"/>
    <w:rsid w:val="00F748D6"/>
    <w:rsid w:val="00FC5D9E"/>
    <w:rsid w:val="00FC71A0"/>
    <w:rsid w:val="00FE74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6F40"/>
    <w:rPr>
      <w:rFonts w:ascii="Cambria" w:eastAsia="MS Mincho" w:hAnsi="Cambria"/>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rsid w:val="000F6F40"/>
    <w:rPr>
      <w:rFonts w:ascii="Lucida Grande" w:hAnsi="Lucida Grande" w:cs="Lucida Grande"/>
      <w:sz w:val="18"/>
      <w:szCs w:val="18"/>
    </w:rPr>
  </w:style>
  <w:style w:type="character" w:customStyle="1" w:styleId="Char">
    <w:name w:val="批注框文本 Char"/>
    <w:basedOn w:val="a0"/>
    <w:link w:val="a3"/>
    <w:uiPriority w:val="99"/>
    <w:semiHidden/>
    <w:locked/>
    <w:rsid w:val="000F6F40"/>
    <w:rPr>
      <w:rFonts w:ascii="Lucida Grande" w:hAnsi="Lucida Grande" w:cs="Lucida Grande"/>
      <w:sz w:val="18"/>
      <w:szCs w:val="18"/>
    </w:rPr>
  </w:style>
  <w:style w:type="paragraph" w:styleId="a4">
    <w:name w:val="footer"/>
    <w:basedOn w:val="a"/>
    <w:link w:val="Char0"/>
    <w:uiPriority w:val="99"/>
    <w:rsid w:val="000F6F40"/>
    <w:pPr>
      <w:tabs>
        <w:tab w:val="center" w:pos="4819"/>
        <w:tab w:val="right" w:pos="9638"/>
      </w:tabs>
    </w:pPr>
  </w:style>
  <w:style w:type="character" w:customStyle="1" w:styleId="Char0">
    <w:name w:val="页脚 Char"/>
    <w:basedOn w:val="a0"/>
    <w:link w:val="a4"/>
    <w:uiPriority w:val="99"/>
    <w:semiHidden/>
    <w:locked/>
    <w:rsid w:val="000F6F40"/>
    <w:rPr>
      <w:rFonts w:cs="Times New Roman"/>
    </w:rPr>
  </w:style>
  <w:style w:type="paragraph" w:customStyle="1" w:styleId="1">
    <w:name w:val="列出段落1"/>
    <w:basedOn w:val="a"/>
    <w:uiPriority w:val="99"/>
    <w:rsid w:val="000F6F40"/>
    <w:pPr>
      <w:ind w:left="720"/>
      <w:contextualSpacing/>
    </w:pPr>
  </w:style>
  <w:style w:type="character" w:customStyle="1" w:styleId="10">
    <w:name w:val="页码1"/>
    <w:basedOn w:val="a0"/>
    <w:uiPriority w:val="99"/>
    <w:rsid w:val="000F6F40"/>
    <w:rPr>
      <w:rFonts w:cs="Times New Roman"/>
    </w:rPr>
  </w:style>
  <w:style w:type="paragraph" w:styleId="a5">
    <w:name w:val="header"/>
    <w:basedOn w:val="a"/>
    <w:link w:val="Char1"/>
    <w:uiPriority w:val="99"/>
    <w:semiHidden/>
    <w:rsid w:val="0064737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locked/>
    <w:rsid w:val="00647372"/>
    <w:rPr>
      <w:rFonts w:ascii="Cambria" w:eastAsia="MS Mincho" w:hAnsi="Cambria" w:cs="Times New Roman"/>
      <w:sz w:val="18"/>
      <w:szCs w:val="18"/>
    </w:rPr>
  </w:style>
  <w:style w:type="paragraph" w:customStyle="1" w:styleId="p0">
    <w:name w:val="p0"/>
    <w:basedOn w:val="a"/>
    <w:uiPriority w:val="99"/>
    <w:rsid w:val="00647372"/>
    <w:pPr>
      <w:spacing w:line="240" w:lineRule="atLeast"/>
    </w:pPr>
    <w:rPr>
      <w:rFonts w:ascii="Century" w:eastAsia="宋体" w:hAnsi="Century" w:cs="宋体"/>
      <w:sz w:val="21"/>
      <w:szCs w:val="21"/>
    </w:rPr>
  </w:style>
  <w:style w:type="character" w:styleId="a6">
    <w:name w:val="Hyperlink"/>
    <w:basedOn w:val="a0"/>
    <w:uiPriority w:val="99"/>
    <w:rsid w:val="002A49D5"/>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6F40"/>
    <w:rPr>
      <w:rFonts w:ascii="Cambria" w:eastAsia="MS Mincho" w:hAnsi="Cambria"/>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rsid w:val="000F6F40"/>
    <w:rPr>
      <w:rFonts w:ascii="Lucida Grande" w:hAnsi="Lucida Grande" w:cs="Lucida Grande"/>
      <w:sz w:val="18"/>
      <w:szCs w:val="18"/>
    </w:rPr>
  </w:style>
  <w:style w:type="character" w:customStyle="1" w:styleId="Char">
    <w:name w:val="批注框文本 Char"/>
    <w:basedOn w:val="a0"/>
    <w:link w:val="a3"/>
    <w:uiPriority w:val="99"/>
    <w:semiHidden/>
    <w:locked/>
    <w:rsid w:val="000F6F40"/>
    <w:rPr>
      <w:rFonts w:ascii="Lucida Grande" w:hAnsi="Lucida Grande" w:cs="Lucida Grande"/>
      <w:sz w:val="18"/>
      <w:szCs w:val="18"/>
    </w:rPr>
  </w:style>
  <w:style w:type="paragraph" w:styleId="a4">
    <w:name w:val="footer"/>
    <w:basedOn w:val="a"/>
    <w:link w:val="Char0"/>
    <w:uiPriority w:val="99"/>
    <w:rsid w:val="000F6F40"/>
    <w:pPr>
      <w:tabs>
        <w:tab w:val="center" w:pos="4819"/>
        <w:tab w:val="right" w:pos="9638"/>
      </w:tabs>
    </w:pPr>
  </w:style>
  <w:style w:type="character" w:customStyle="1" w:styleId="Char0">
    <w:name w:val="页脚 Char"/>
    <w:basedOn w:val="a0"/>
    <w:link w:val="a4"/>
    <w:uiPriority w:val="99"/>
    <w:semiHidden/>
    <w:locked/>
    <w:rsid w:val="000F6F40"/>
    <w:rPr>
      <w:rFonts w:cs="Times New Roman"/>
    </w:rPr>
  </w:style>
  <w:style w:type="paragraph" w:customStyle="1" w:styleId="1">
    <w:name w:val="列出段落1"/>
    <w:basedOn w:val="a"/>
    <w:uiPriority w:val="99"/>
    <w:rsid w:val="000F6F40"/>
    <w:pPr>
      <w:ind w:left="720"/>
      <w:contextualSpacing/>
    </w:pPr>
  </w:style>
  <w:style w:type="character" w:customStyle="1" w:styleId="10">
    <w:name w:val="页码1"/>
    <w:basedOn w:val="a0"/>
    <w:uiPriority w:val="99"/>
    <w:rsid w:val="000F6F40"/>
    <w:rPr>
      <w:rFonts w:cs="Times New Roman"/>
    </w:rPr>
  </w:style>
  <w:style w:type="paragraph" w:styleId="a5">
    <w:name w:val="header"/>
    <w:basedOn w:val="a"/>
    <w:link w:val="Char1"/>
    <w:uiPriority w:val="99"/>
    <w:semiHidden/>
    <w:rsid w:val="0064737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locked/>
    <w:rsid w:val="00647372"/>
    <w:rPr>
      <w:rFonts w:ascii="Cambria" w:eastAsia="MS Mincho" w:hAnsi="Cambria" w:cs="Times New Roman"/>
      <w:sz w:val="18"/>
      <w:szCs w:val="18"/>
    </w:rPr>
  </w:style>
  <w:style w:type="paragraph" w:customStyle="1" w:styleId="p0">
    <w:name w:val="p0"/>
    <w:basedOn w:val="a"/>
    <w:uiPriority w:val="99"/>
    <w:rsid w:val="00647372"/>
    <w:pPr>
      <w:spacing w:line="240" w:lineRule="atLeast"/>
    </w:pPr>
    <w:rPr>
      <w:rFonts w:ascii="Century" w:eastAsia="宋体" w:hAnsi="Century" w:cs="宋体"/>
      <w:sz w:val="21"/>
      <w:szCs w:val="21"/>
    </w:rPr>
  </w:style>
  <w:style w:type="character" w:styleId="a6">
    <w:name w:val="Hyperlink"/>
    <w:basedOn w:val="a0"/>
    <w:uiPriority w:val="99"/>
    <w:rsid w:val="002A49D5"/>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47907">
      <w:marLeft w:val="0"/>
      <w:marRight w:val="0"/>
      <w:marTop w:val="0"/>
      <w:marBottom w:val="0"/>
      <w:divBdr>
        <w:top w:val="none" w:sz="0" w:space="0" w:color="auto"/>
        <w:left w:val="none" w:sz="0" w:space="0" w:color="auto"/>
        <w:bottom w:val="none" w:sz="0" w:space="0" w:color="auto"/>
        <w:right w:val="none" w:sz="0" w:space="0" w:color="auto"/>
      </w:divBdr>
      <w:divsChild>
        <w:div w:id="43647977">
          <w:marLeft w:val="0"/>
          <w:marRight w:val="0"/>
          <w:marTop w:val="0"/>
          <w:marBottom w:val="0"/>
          <w:divBdr>
            <w:top w:val="none" w:sz="0" w:space="0" w:color="auto"/>
            <w:left w:val="none" w:sz="0" w:space="0" w:color="auto"/>
            <w:bottom w:val="none" w:sz="0" w:space="0" w:color="auto"/>
            <w:right w:val="none" w:sz="0" w:space="0" w:color="auto"/>
          </w:divBdr>
          <w:divsChild>
            <w:div w:id="43647901">
              <w:marLeft w:val="0"/>
              <w:marRight w:val="0"/>
              <w:marTop w:val="0"/>
              <w:marBottom w:val="0"/>
              <w:divBdr>
                <w:top w:val="none" w:sz="0" w:space="0" w:color="auto"/>
                <w:left w:val="none" w:sz="0" w:space="0" w:color="auto"/>
                <w:bottom w:val="none" w:sz="0" w:space="0" w:color="auto"/>
                <w:right w:val="none" w:sz="0" w:space="0" w:color="auto"/>
              </w:divBdr>
            </w:div>
            <w:div w:id="43647902">
              <w:marLeft w:val="0"/>
              <w:marRight w:val="0"/>
              <w:marTop w:val="0"/>
              <w:marBottom w:val="0"/>
              <w:divBdr>
                <w:top w:val="none" w:sz="0" w:space="0" w:color="auto"/>
                <w:left w:val="none" w:sz="0" w:space="0" w:color="auto"/>
                <w:bottom w:val="none" w:sz="0" w:space="0" w:color="auto"/>
                <w:right w:val="none" w:sz="0" w:space="0" w:color="auto"/>
              </w:divBdr>
            </w:div>
            <w:div w:id="43647903">
              <w:marLeft w:val="0"/>
              <w:marRight w:val="0"/>
              <w:marTop w:val="0"/>
              <w:marBottom w:val="0"/>
              <w:divBdr>
                <w:top w:val="none" w:sz="0" w:space="0" w:color="auto"/>
                <w:left w:val="none" w:sz="0" w:space="0" w:color="auto"/>
                <w:bottom w:val="none" w:sz="0" w:space="0" w:color="auto"/>
                <w:right w:val="none" w:sz="0" w:space="0" w:color="auto"/>
              </w:divBdr>
            </w:div>
            <w:div w:id="43647904">
              <w:marLeft w:val="0"/>
              <w:marRight w:val="0"/>
              <w:marTop w:val="0"/>
              <w:marBottom w:val="0"/>
              <w:divBdr>
                <w:top w:val="none" w:sz="0" w:space="0" w:color="auto"/>
                <w:left w:val="none" w:sz="0" w:space="0" w:color="auto"/>
                <w:bottom w:val="none" w:sz="0" w:space="0" w:color="auto"/>
                <w:right w:val="none" w:sz="0" w:space="0" w:color="auto"/>
              </w:divBdr>
            </w:div>
            <w:div w:id="43647905">
              <w:marLeft w:val="0"/>
              <w:marRight w:val="0"/>
              <w:marTop w:val="0"/>
              <w:marBottom w:val="0"/>
              <w:divBdr>
                <w:top w:val="none" w:sz="0" w:space="0" w:color="auto"/>
                <w:left w:val="none" w:sz="0" w:space="0" w:color="auto"/>
                <w:bottom w:val="none" w:sz="0" w:space="0" w:color="auto"/>
                <w:right w:val="none" w:sz="0" w:space="0" w:color="auto"/>
              </w:divBdr>
            </w:div>
            <w:div w:id="43647906">
              <w:marLeft w:val="0"/>
              <w:marRight w:val="0"/>
              <w:marTop w:val="0"/>
              <w:marBottom w:val="0"/>
              <w:divBdr>
                <w:top w:val="none" w:sz="0" w:space="0" w:color="auto"/>
                <w:left w:val="none" w:sz="0" w:space="0" w:color="auto"/>
                <w:bottom w:val="none" w:sz="0" w:space="0" w:color="auto"/>
                <w:right w:val="none" w:sz="0" w:space="0" w:color="auto"/>
              </w:divBdr>
            </w:div>
            <w:div w:id="43647908">
              <w:marLeft w:val="0"/>
              <w:marRight w:val="0"/>
              <w:marTop w:val="0"/>
              <w:marBottom w:val="0"/>
              <w:divBdr>
                <w:top w:val="none" w:sz="0" w:space="0" w:color="auto"/>
                <w:left w:val="none" w:sz="0" w:space="0" w:color="auto"/>
                <w:bottom w:val="none" w:sz="0" w:space="0" w:color="auto"/>
                <w:right w:val="none" w:sz="0" w:space="0" w:color="auto"/>
              </w:divBdr>
            </w:div>
            <w:div w:id="43647909">
              <w:marLeft w:val="0"/>
              <w:marRight w:val="0"/>
              <w:marTop w:val="0"/>
              <w:marBottom w:val="0"/>
              <w:divBdr>
                <w:top w:val="none" w:sz="0" w:space="0" w:color="auto"/>
                <w:left w:val="none" w:sz="0" w:space="0" w:color="auto"/>
                <w:bottom w:val="none" w:sz="0" w:space="0" w:color="auto"/>
                <w:right w:val="none" w:sz="0" w:space="0" w:color="auto"/>
              </w:divBdr>
            </w:div>
            <w:div w:id="43647910">
              <w:marLeft w:val="0"/>
              <w:marRight w:val="0"/>
              <w:marTop w:val="0"/>
              <w:marBottom w:val="0"/>
              <w:divBdr>
                <w:top w:val="none" w:sz="0" w:space="0" w:color="auto"/>
                <w:left w:val="none" w:sz="0" w:space="0" w:color="auto"/>
                <w:bottom w:val="none" w:sz="0" w:space="0" w:color="auto"/>
                <w:right w:val="none" w:sz="0" w:space="0" w:color="auto"/>
              </w:divBdr>
            </w:div>
            <w:div w:id="43647911">
              <w:marLeft w:val="0"/>
              <w:marRight w:val="0"/>
              <w:marTop w:val="0"/>
              <w:marBottom w:val="0"/>
              <w:divBdr>
                <w:top w:val="none" w:sz="0" w:space="0" w:color="auto"/>
                <w:left w:val="none" w:sz="0" w:space="0" w:color="auto"/>
                <w:bottom w:val="none" w:sz="0" w:space="0" w:color="auto"/>
                <w:right w:val="none" w:sz="0" w:space="0" w:color="auto"/>
              </w:divBdr>
            </w:div>
            <w:div w:id="43647912">
              <w:marLeft w:val="0"/>
              <w:marRight w:val="0"/>
              <w:marTop w:val="0"/>
              <w:marBottom w:val="0"/>
              <w:divBdr>
                <w:top w:val="none" w:sz="0" w:space="0" w:color="auto"/>
                <w:left w:val="none" w:sz="0" w:space="0" w:color="auto"/>
                <w:bottom w:val="none" w:sz="0" w:space="0" w:color="auto"/>
                <w:right w:val="none" w:sz="0" w:space="0" w:color="auto"/>
              </w:divBdr>
            </w:div>
            <w:div w:id="43647913">
              <w:marLeft w:val="0"/>
              <w:marRight w:val="0"/>
              <w:marTop w:val="0"/>
              <w:marBottom w:val="0"/>
              <w:divBdr>
                <w:top w:val="none" w:sz="0" w:space="0" w:color="auto"/>
                <w:left w:val="none" w:sz="0" w:space="0" w:color="auto"/>
                <w:bottom w:val="none" w:sz="0" w:space="0" w:color="auto"/>
                <w:right w:val="none" w:sz="0" w:space="0" w:color="auto"/>
              </w:divBdr>
            </w:div>
            <w:div w:id="43647914">
              <w:marLeft w:val="0"/>
              <w:marRight w:val="0"/>
              <w:marTop w:val="0"/>
              <w:marBottom w:val="0"/>
              <w:divBdr>
                <w:top w:val="none" w:sz="0" w:space="0" w:color="auto"/>
                <w:left w:val="none" w:sz="0" w:space="0" w:color="auto"/>
                <w:bottom w:val="none" w:sz="0" w:space="0" w:color="auto"/>
                <w:right w:val="none" w:sz="0" w:space="0" w:color="auto"/>
              </w:divBdr>
            </w:div>
            <w:div w:id="43647915">
              <w:marLeft w:val="0"/>
              <w:marRight w:val="0"/>
              <w:marTop w:val="0"/>
              <w:marBottom w:val="0"/>
              <w:divBdr>
                <w:top w:val="none" w:sz="0" w:space="0" w:color="auto"/>
                <w:left w:val="none" w:sz="0" w:space="0" w:color="auto"/>
                <w:bottom w:val="none" w:sz="0" w:space="0" w:color="auto"/>
                <w:right w:val="none" w:sz="0" w:space="0" w:color="auto"/>
              </w:divBdr>
            </w:div>
            <w:div w:id="43647916">
              <w:marLeft w:val="0"/>
              <w:marRight w:val="0"/>
              <w:marTop w:val="0"/>
              <w:marBottom w:val="0"/>
              <w:divBdr>
                <w:top w:val="none" w:sz="0" w:space="0" w:color="auto"/>
                <w:left w:val="none" w:sz="0" w:space="0" w:color="auto"/>
                <w:bottom w:val="none" w:sz="0" w:space="0" w:color="auto"/>
                <w:right w:val="none" w:sz="0" w:space="0" w:color="auto"/>
              </w:divBdr>
            </w:div>
            <w:div w:id="43647917">
              <w:marLeft w:val="0"/>
              <w:marRight w:val="0"/>
              <w:marTop w:val="0"/>
              <w:marBottom w:val="0"/>
              <w:divBdr>
                <w:top w:val="none" w:sz="0" w:space="0" w:color="auto"/>
                <w:left w:val="none" w:sz="0" w:space="0" w:color="auto"/>
                <w:bottom w:val="none" w:sz="0" w:space="0" w:color="auto"/>
                <w:right w:val="none" w:sz="0" w:space="0" w:color="auto"/>
              </w:divBdr>
            </w:div>
            <w:div w:id="43647918">
              <w:marLeft w:val="0"/>
              <w:marRight w:val="0"/>
              <w:marTop w:val="0"/>
              <w:marBottom w:val="0"/>
              <w:divBdr>
                <w:top w:val="none" w:sz="0" w:space="0" w:color="auto"/>
                <w:left w:val="none" w:sz="0" w:space="0" w:color="auto"/>
                <w:bottom w:val="none" w:sz="0" w:space="0" w:color="auto"/>
                <w:right w:val="none" w:sz="0" w:space="0" w:color="auto"/>
              </w:divBdr>
            </w:div>
            <w:div w:id="43647919">
              <w:marLeft w:val="0"/>
              <w:marRight w:val="0"/>
              <w:marTop w:val="0"/>
              <w:marBottom w:val="0"/>
              <w:divBdr>
                <w:top w:val="none" w:sz="0" w:space="0" w:color="auto"/>
                <w:left w:val="none" w:sz="0" w:space="0" w:color="auto"/>
                <w:bottom w:val="none" w:sz="0" w:space="0" w:color="auto"/>
                <w:right w:val="none" w:sz="0" w:space="0" w:color="auto"/>
              </w:divBdr>
            </w:div>
            <w:div w:id="43647920">
              <w:marLeft w:val="0"/>
              <w:marRight w:val="0"/>
              <w:marTop w:val="0"/>
              <w:marBottom w:val="0"/>
              <w:divBdr>
                <w:top w:val="none" w:sz="0" w:space="0" w:color="auto"/>
                <w:left w:val="none" w:sz="0" w:space="0" w:color="auto"/>
                <w:bottom w:val="none" w:sz="0" w:space="0" w:color="auto"/>
                <w:right w:val="none" w:sz="0" w:space="0" w:color="auto"/>
              </w:divBdr>
            </w:div>
            <w:div w:id="43647922">
              <w:marLeft w:val="0"/>
              <w:marRight w:val="0"/>
              <w:marTop w:val="0"/>
              <w:marBottom w:val="0"/>
              <w:divBdr>
                <w:top w:val="none" w:sz="0" w:space="0" w:color="auto"/>
                <w:left w:val="none" w:sz="0" w:space="0" w:color="auto"/>
                <w:bottom w:val="none" w:sz="0" w:space="0" w:color="auto"/>
                <w:right w:val="none" w:sz="0" w:space="0" w:color="auto"/>
              </w:divBdr>
            </w:div>
            <w:div w:id="43647923">
              <w:marLeft w:val="0"/>
              <w:marRight w:val="0"/>
              <w:marTop w:val="0"/>
              <w:marBottom w:val="0"/>
              <w:divBdr>
                <w:top w:val="none" w:sz="0" w:space="0" w:color="auto"/>
                <w:left w:val="none" w:sz="0" w:space="0" w:color="auto"/>
                <w:bottom w:val="none" w:sz="0" w:space="0" w:color="auto"/>
                <w:right w:val="none" w:sz="0" w:space="0" w:color="auto"/>
              </w:divBdr>
            </w:div>
            <w:div w:id="43647924">
              <w:marLeft w:val="0"/>
              <w:marRight w:val="0"/>
              <w:marTop w:val="0"/>
              <w:marBottom w:val="0"/>
              <w:divBdr>
                <w:top w:val="none" w:sz="0" w:space="0" w:color="auto"/>
                <w:left w:val="none" w:sz="0" w:space="0" w:color="auto"/>
                <w:bottom w:val="none" w:sz="0" w:space="0" w:color="auto"/>
                <w:right w:val="none" w:sz="0" w:space="0" w:color="auto"/>
              </w:divBdr>
            </w:div>
            <w:div w:id="43647925">
              <w:marLeft w:val="0"/>
              <w:marRight w:val="0"/>
              <w:marTop w:val="0"/>
              <w:marBottom w:val="0"/>
              <w:divBdr>
                <w:top w:val="none" w:sz="0" w:space="0" w:color="auto"/>
                <w:left w:val="none" w:sz="0" w:space="0" w:color="auto"/>
                <w:bottom w:val="none" w:sz="0" w:space="0" w:color="auto"/>
                <w:right w:val="none" w:sz="0" w:space="0" w:color="auto"/>
              </w:divBdr>
            </w:div>
            <w:div w:id="43647926">
              <w:marLeft w:val="0"/>
              <w:marRight w:val="0"/>
              <w:marTop w:val="0"/>
              <w:marBottom w:val="0"/>
              <w:divBdr>
                <w:top w:val="none" w:sz="0" w:space="0" w:color="auto"/>
                <w:left w:val="none" w:sz="0" w:space="0" w:color="auto"/>
                <w:bottom w:val="none" w:sz="0" w:space="0" w:color="auto"/>
                <w:right w:val="none" w:sz="0" w:space="0" w:color="auto"/>
              </w:divBdr>
            </w:div>
            <w:div w:id="43647927">
              <w:marLeft w:val="0"/>
              <w:marRight w:val="0"/>
              <w:marTop w:val="0"/>
              <w:marBottom w:val="0"/>
              <w:divBdr>
                <w:top w:val="none" w:sz="0" w:space="0" w:color="auto"/>
                <w:left w:val="none" w:sz="0" w:space="0" w:color="auto"/>
                <w:bottom w:val="none" w:sz="0" w:space="0" w:color="auto"/>
                <w:right w:val="none" w:sz="0" w:space="0" w:color="auto"/>
              </w:divBdr>
            </w:div>
            <w:div w:id="43647929">
              <w:marLeft w:val="0"/>
              <w:marRight w:val="0"/>
              <w:marTop w:val="0"/>
              <w:marBottom w:val="0"/>
              <w:divBdr>
                <w:top w:val="none" w:sz="0" w:space="0" w:color="auto"/>
                <w:left w:val="none" w:sz="0" w:space="0" w:color="auto"/>
                <w:bottom w:val="none" w:sz="0" w:space="0" w:color="auto"/>
                <w:right w:val="none" w:sz="0" w:space="0" w:color="auto"/>
              </w:divBdr>
            </w:div>
            <w:div w:id="43647930">
              <w:marLeft w:val="0"/>
              <w:marRight w:val="0"/>
              <w:marTop w:val="0"/>
              <w:marBottom w:val="0"/>
              <w:divBdr>
                <w:top w:val="none" w:sz="0" w:space="0" w:color="auto"/>
                <w:left w:val="none" w:sz="0" w:space="0" w:color="auto"/>
                <w:bottom w:val="none" w:sz="0" w:space="0" w:color="auto"/>
                <w:right w:val="none" w:sz="0" w:space="0" w:color="auto"/>
              </w:divBdr>
            </w:div>
            <w:div w:id="43647931">
              <w:marLeft w:val="0"/>
              <w:marRight w:val="0"/>
              <w:marTop w:val="0"/>
              <w:marBottom w:val="0"/>
              <w:divBdr>
                <w:top w:val="none" w:sz="0" w:space="0" w:color="auto"/>
                <w:left w:val="none" w:sz="0" w:space="0" w:color="auto"/>
                <w:bottom w:val="none" w:sz="0" w:space="0" w:color="auto"/>
                <w:right w:val="none" w:sz="0" w:space="0" w:color="auto"/>
              </w:divBdr>
            </w:div>
            <w:div w:id="43647932">
              <w:marLeft w:val="0"/>
              <w:marRight w:val="0"/>
              <w:marTop w:val="0"/>
              <w:marBottom w:val="0"/>
              <w:divBdr>
                <w:top w:val="none" w:sz="0" w:space="0" w:color="auto"/>
                <w:left w:val="none" w:sz="0" w:space="0" w:color="auto"/>
                <w:bottom w:val="none" w:sz="0" w:space="0" w:color="auto"/>
                <w:right w:val="none" w:sz="0" w:space="0" w:color="auto"/>
              </w:divBdr>
            </w:div>
            <w:div w:id="43647933">
              <w:marLeft w:val="0"/>
              <w:marRight w:val="0"/>
              <w:marTop w:val="0"/>
              <w:marBottom w:val="0"/>
              <w:divBdr>
                <w:top w:val="none" w:sz="0" w:space="0" w:color="auto"/>
                <w:left w:val="none" w:sz="0" w:space="0" w:color="auto"/>
                <w:bottom w:val="none" w:sz="0" w:space="0" w:color="auto"/>
                <w:right w:val="none" w:sz="0" w:space="0" w:color="auto"/>
              </w:divBdr>
            </w:div>
            <w:div w:id="43647934">
              <w:marLeft w:val="0"/>
              <w:marRight w:val="0"/>
              <w:marTop w:val="0"/>
              <w:marBottom w:val="0"/>
              <w:divBdr>
                <w:top w:val="none" w:sz="0" w:space="0" w:color="auto"/>
                <w:left w:val="none" w:sz="0" w:space="0" w:color="auto"/>
                <w:bottom w:val="none" w:sz="0" w:space="0" w:color="auto"/>
                <w:right w:val="none" w:sz="0" w:space="0" w:color="auto"/>
              </w:divBdr>
            </w:div>
            <w:div w:id="43647935">
              <w:marLeft w:val="0"/>
              <w:marRight w:val="0"/>
              <w:marTop w:val="0"/>
              <w:marBottom w:val="0"/>
              <w:divBdr>
                <w:top w:val="none" w:sz="0" w:space="0" w:color="auto"/>
                <w:left w:val="none" w:sz="0" w:space="0" w:color="auto"/>
                <w:bottom w:val="none" w:sz="0" w:space="0" w:color="auto"/>
                <w:right w:val="none" w:sz="0" w:space="0" w:color="auto"/>
              </w:divBdr>
            </w:div>
            <w:div w:id="43647936">
              <w:marLeft w:val="0"/>
              <w:marRight w:val="0"/>
              <w:marTop w:val="0"/>
              <w:marBottom w:val="0"/>
              <w:divBdr>
                <w:top w:val="none" w:sz="0" w:space="0" w:color="auto"/>
                <w:left w:val="none" w:sz="0" w:space="0" w:color="auto"/>
                <w:bottom w:val="none" w:sz="0" w:space="0" w:color="auto"/>
                <w:right w:val="none" w:sz="0" w:space="0" w:color="auto"/>
              </w:divBdr>
            </w:div>
            <w:div w:id="43647937">
              <w:marLeft w:val="0"/>
              <w:marRight w:val="0"/>
              <w:marTop w:val="0"/>
              <w:marBottom w:val="0"/>
              <w:divBdr>
                <w:top w:val="none" w:sz="0" w:space="0" w:color="auto"/>
                <w:left w:val="none" w:sz="0" w:space="0" w:color="auto"/>
                <w:bottom w:val="none" w:sz="0" w:space="0" w:color="auto"/>
                <w:right w:val="none" w:sz="0" w:space="0" w:color="auto"/>
              </w:divBdr>
            </w:div>
            <w:div w:id="43647938">
              <w:marLeft w:val="0"/>
              <w:marRight w:val="0"/>
              <w:marTop w:val="0"/>
              <w:marBottom w:val="0"/>
              <w:divBdr>
                <w:top w:val="none" w:sz="0" w:space="0" w:color="auto"/>
                <w:left w:val="none" w:sz="0" w:space="0" w:color="auto"/>
                <w:bottom w:val="none" w:sz="0" w:space="0" w:color="auto"/>
                <w:right w:val="none" w:sz="0" w:space="0" w:color="auto"/>
              </w:divBdr>
            </w:div>
            <w:div w:id="43647939">
              <w:marLeft w:val="0"/>
              <w:marRight w:val="0"/>
              <w:marTop w:val="0"/>
              <w:marBottom w:val="0"/>
              <w:divBdr>
                <w:top w:val="none" w:sz="0" w:space="0" w:color="auto"/>
                <w:left w:val="none" w:sz="0" w:space="0" w:color="auto"/>
                <w:bottom w:val="none" w:sz="0" w:space="0" w:color="auto"/>
                <w:right w:val="none" w:sz="0" w:space="0" w:color="auto"/>
              </w:divBdr>
            </w:div>
            <w:div w:id="43647940">
              <w:marLeft w:val="0"/>
              <w:marRight w:val="0"/>
              <w:marTop w:val="0"/>
              <w:marBottom w:val="0"/>
              <w:divBdr>
                <w:top w:val="none" w:sz="0" w:space="0" w:color="auto"/>
                <w:left w:val="none" w:sz="0" w:space="0" w:color="auto"/>
                <w:bottom w:val="none" w:sz="0" w:space="0" w:color="auto"/>
                <w:right w:val="none" w:sz="0" w:space="0" w:color="auto"/>
              </w:divBdr>
            </w:div>
            <w:div w:id="43647941">
              <w:marLeft w:val="0"/>
              <w:marRight w:val="0"/>
              <w:marTop w:val="0"/>
              <w:marBottom w:val="0"/>
              <w:divBdr>
                <w:top w:val="none" w:sz="0" w:space="0" w:color="auto"/>
                <w:left w:val="none" w:sz="0" w:space="0" w:color="auto"/>
                <w:bottom w:val="none" w:sz="0" w:space="0" w:color="auto"/>
                <w:right w:val="none" w:sz="0" w:space="0" w:color="auto"/>
              </w:divBdr>
            </w:div>
            <w:div w:id="43647942">
              <w:marLeft w:val="0"/>
              <w:marRight w:val="0"/>
              <w:marTop w:val="0"/>
              <w:marBottom w:val="0"/>
              <w:divBdr>
                <w:top w:val="none" w:sz="0" w:space="0" w:color="auto"/>
                <w:left w:val="none" w:sz="0" w:space="0" w:color="auto"/>
                <w:bottom w:val="none" w:sz="0" w:space="0" w:color="auto"/>
                <w:right w:val="none" w:sz="0" w:space="0" w:color="auto"/>
              </w:divBdr>
            </w:div>
            <w:div w:id="43647943">
              <w:marLeft w:val="0"/>
              <w:marRight w:val="0"/>
              <w:marTop w:val="0"/>
              <w:marBottom w:val="0"/>
              <w:divBdr>
                <w:top w:val="none" w:sz="0" w:space="0" w:color="auto"/>
                <w:left w:val="none" w:sz="0" w:space="0" w:color="auto"/>
                <w:bottom w:val="none" w:sz="0" w:space="0" w:color="auto"/>
                <w:right w:val="none" w:sz="0" w:space="0" w:color="auto"/>
              </w:divBdr>
            </w:div>
            <w:div w:id="43647944">
              <w:marLeft w:val="0"/>
              <w:marRight w:val="0"/>
              <w:marTop w:val="0"/>
              <w:marBottom w:val="0"/>
              <w:divBdr>
                <w:top w:val="none" w:sz="0" w:space="0" w:color="auto"/>
                <w:left w:val="none" w:sz="0" w:space="0" w:color="auto"/>
                <w:bottom w:val="none" w:sz="0" w:space="0" w:color="auto"/>
                <w:right w:val="none" w:sz="0" w:space="0" w:color="auto"/>
              </w:divBdr>
            </w:div>
            <w:div w:id="43647946">
              <w:marLeft w:val="0"/>
              <w:marRight w:val="0"/>
              <w:marTop w:val="0"/>
              <w:marBottom w:val="0"/>
              <w:divBdr>
                <w:top w:val="none" w:sz="0" w:space="0" w:color="auto"/>
                <w:left w:val="none" w:sz="0" w:space="0" w:color="auto"/>
                <w:bottom w:val="none" w:sz="0" w:space="0" w:color="auto"/>
                <w:right w:val="none" w:sz="0" w:space="0" w:color="auto"/>
              </w:divBdr>
            </w:div>
            <w:div w:id="43647947">
              <w:marLeft w:val="0"/>
              <w:marRight w:val="0"/>
              <w:marTop w:val="0"/>
              <w:marBottom w:val="0"/>
              <w:divBdr>
                <w:top w:val="none" w:sz="0" w:space="0" w:color="auto"/>
                <w:left w:val="none" w:sz="0" w:space="0" w:color="auto"/>
                <w:bottom w:val="none" w:sz="0" w:space="0" w:color="auto"/>
                <w:right w:val="none" w:sz="0" w:space="0" w:color="auto"/>
              </w:divBdr>
            </w:div>
            <w:div w:id="43647949">
              <w:marLeft w:val="0"/>
              <w:marRight w:val="0"/>
              <w:marTop w:val="0"/>
              <w:marBottom w:val="0"/>
              <w:divBdr>
                <w:top w:val="none" w:sz="0" w:space="0" w:color="auto"/>
                <w:left w:val="none" w:sz="0" w:space="0" w:color="auto"/>
                <w:bottom w:val="none" w:sz="0" w:space="0" w:color="auto"/>
                <w:right w:val="none" w:sz="0" w:space="0" w:color="auto"/>
              </w:divBdr>
            </w:div>
            <w:div w:id="43647950">
              <w:marLeft w:val="0"/>
              <w:marRight w:val="0"/>
              <w:marTop w:val="0"/>
              <w:marBottom w:val="0"/>
              <w:divBdr>
                <w:top w:val="none" w:sz="0" w:space="0" w:color="auto"/>
                <w:left w:val="none" w:sz="0" w:space="0" w:color="auto"/>
                <w:bottom w:val="none" w:sz="0" w:space="0" w:color="auto"/>
                <w:right w:val="none" w:sz="0" w:space="0" w:color="auto"/>
              </w:divBdr>
            </w:div>
            <w:div w:id="43647951">
              <w:marLeft w:val="0"/>
              <w:marRight w:val="0"/>
              <w:marTop w:val="0"/>
              <w:marBottom w:val="0"/>
              <w:divBdr>
                <w:top w:val="none" w:sz="0" w:space="0" w:color="auto"/>
                <w:left w:val="none" w:sz="0" w:space="0" w:color="auto"/>
                <w:bottom w:val="none" w:sz="0" w:space="0" w:color="auto"/>
                <w:right w:val="none" w:sz="0" w:space="0" w:color="auto"/>
              </w:divBdr>
            </w:div>
            <w:div w:id="43647952">
              <w:marLeft w:val="0"/>
              <w:marRight w:val="0"/>
              <w:marTop w:val="0"/>
              <w:marBottom w:val="0"/>
              <w:divBdr>
                <w:top w:val="none" w:sz="0" w:space="0" w:color="auto"/>
                <w:left w:val="none" w:sz="0" w:space="0" w:color="auto"/>
                <w:bottom w:val="none" w:sz="0" w:space="0" w:color="auto"/>
                <w:right w:val="none" w:sz="0" w:space="0" w:color="auto"/>
              </w:divBdr>
            </w:div>
            <w:div w:id="43647953">
              <w:marLeft w:val="0"/>
              <w:marRight w:val="0"/>
              <w:marTop w:val="0"/>
              <w:marBottom w:val="0"/>
              <w:divBdr>
                <w:top w:val="none" w:sz="0" w:space="0" w:color="auto"/>
                <w:left w:val="none" w:sz="0" w:space="0" w:color="auto"/>
                <w:bottom w:val="none" w:sz="0" w:space="0" w:color="auto"/>
                <w:right w:val="none" w:sz="0" w:space="0" w:color="auto"/>
              </w:divBdr>
            </w:div>
            <w:div w:id="43647954">
              <w:marLeft w:val="0"/>
              <w:marRight w:val="0"/>
              <w:marTop w:val="0"/>
              <w:marBottom w:val="0"/>
              <w:divBdr>
                <w:top w:val="none" w:sz="0" w:space="0" w:color="auto"/>
                <w:left w:val="none" w:sz="0" w:space="0" w:color="auto"/>
                <w:bottom w:val="none" w:sz="0" w:space="0" w:color="auto"/>
                <w:right w:val="none" w:sz="0" w:space="0" w:color="auto"/>
              </w:divBdr>
            </w:div>
            <w:div w:id="43647955">
              <w:marLeft w:val="0"/>
              <w:marRight w:val="0"/>
              <w:marTop w:val="0"/>
              <w:marBottom w:val="0"/>
              <w:divBdr>
                <w:top w:val="none" w:sz="0" w:space="0" w:color="auto"/>
                <w:left w:val="none" w:sz="0" w:space="0" w:color="auto"/>
                <w:bottom w:val="none" w:sz="0" w:space="0" w:color="auto"/>
                <w:right w:val="none" w:sz="0" w:space="0" w:color="auto"/>
              </w:divBdr>
            </w:div>
            <w:div w:id="43647956">
              <w:marLeft w:val="0"/>
              <w:marRight w:val="0"/>
              <w:marTop w:val="0"/>
              <w:marBottom w:val="0"/>
              <w:divBdr>
                <w:top w:val="none" w:sz="0" w:space="0" w:color="auto"/>
                <w:left w:val="none" w:sz="0" w:space="0" w:color="auto"/>
                <w:bottom w:val="none" w:sz="0" w:space="0" w:color="auto"/>
                <w:right w:val="none" w:sz="0" w:space="0" w:color="auto"/>
              </w:divBdr>
            </w:div>
            <w:div w:id="43647957">
              <w:marLeft w:val="0"/>
              <w:marRight w:val="0"/>
              <w:marTop w:val="0"/>
              <w:marBottom w:val="0"/>
              <w:divBdr>
                <w:top w:val="none" w:sz="0" w:space="0" w:color="auto"/>
                <w:left w:val="none" w:sz="0" w:space="0" w:color="auto"/>
                <w:bottom w:val="none" w:sz="0" w:space="0" w:color="auto"/>
                <w:right w:val="none" w:sz="0" w:space="0" w:color="auto"/>
              </w:divBdr>
            </w:div>
            <w:div w:id="43647958">
              <w:marLeft w:val="0"/>
              <w:marRight w:val="0"/>
              <w:marTop w:val="0"/>
              <w:marBottom w:val="0"/>
              <w:divBdr>
                <w:top w:val="none" w:sz="0" w:space="0" w:color="auto"/>
                <w:left w:val="none" w:sz="0" w:space="0" w:color="auto"/>
                <w:bottom w:val="none" w:sz="0" w:space="0" w:color="auto"/>
                <w:right w:val="none" w:sz="0" w:space="0" w:color="auto"/>
              </w:divBdr>
            </w:div>
            <w:div w:id="43647959">
              <w:marLeft w:val="0"/>
              <w:marRight w:val="0"/>
              <w:marTop w:val="0"/>
              <w:marBottom w:val="0"/>
              <w:divBdr>
                <w:top w:val="none" w:sz="0" w:space="0" w:color="auto"/>
                <w:left w:val="none" w:sz="0" w:space="0" w:color="auto"/>
                <w:bottom w:val="none" w:sz="0" w:space="0" w:color="auto"/>
                <w:right w:val="none" w:sz="0" w:space="0" w:color="auto"/>
              </w:divBdr>
            </w:div>
            <w:div w:id="43647961">
              <w:marLeft w:val="0"/>
              <w:marRight w:val="0"/>
              <w:marTop w:val="0"/>
              <w:marBottom w:val="0"/>
              <w:divBdr>
                <w:top w:val="none" w:sz="0" w:space="0" w:color="auto"/>
                <w:left w:val="none" w:sz="0" w:space="0" w:color="auto"/>
                <w:bottom w:val="none" w:sz="0" w:space="0" w:color="auto"/>
                <w:right w:val="none" w:sz="0" w:space="0" w:color="auto"/>
              </w:divBdr>
            </w:div>
            <w:div w:id="43647962">
              <w:marLeft w:val="0"/>
              <w:marRight w:val="0"/>
              <w:marTop w:val="0"/>
              <w:marBottom w:val="0"/>
              <w:divBdr>
                <w:top w:val="none" w:sz="0" w:space="0" w:color="auto"/>
                <w:left w:val="none" w:sz="0" w:space="0" w:color="auto"/>
                <w:bottom w:val="none" w:sz="0" w:space="0" w:color="auto"/>
                <w:right w:val="none" w:sz="0" w:space="0" w:color="auto"/>
              </w:divBdr>
            </w:div>
            <w:div w:id="43647963">
              <w:marLeft w:val="0"/>
              <w:marRight w:val="0"/>
              <w:marTop w:val="0"/>
              <w:marBottom w:val="0"/>
              <w:divBdr>
                <w:top w:val="none" w:sz="0" w:space="0" w:color="auto"/>
                <w:left w:val="none" w:sz="0" w:space="0" w:color="auto"/>
                <w:bottom w:val="none" w:sz="0" w:space="0" w:color="auto"/>
                <w:right w:val="none" w:sz="0" w:space="0" w:color="auto"/>
              </w:divBdr>
            </w:div>
            <w:div w:id="43647964">
              <w:marLeft w:val="0"/>
              <w:marRight w:val="0"/>
              <w:marTop w:val="0"/>
              <w:marBottom w:val="0"/>
              <w:divBdr>
                <w:top w:val="none" w:sz="0" w:space="0" w:color="auto"/>
                <w:left w:val="none" w:sz="0" w:space="0" w:color="auto"/>
                <w:bottom w:val="none" w:sz="0" w:space="0" w:color="auto"/>
                <w:right w:val="none" w:sz="0" w:space="0" w:color="auto"/>
              </w:divBdr>
            </w:div>
            <w:div w:id="43647965">
              <w:marLeft w:val="0"/>
              <w:marRight w:val="0"/>
              <w:marTop w:val="0"/>
              <w:marBottom w:val="0"/>
              <w:divBdr>
                <w:top w:val="none" w:sz="0" w:space="0" w:color="auto"/>
                <w:left w:val="none" w:sz="0" w:space="0" w:color="auto"/>
                <w:bottom w:val="none" w:sz="0" w:space="0" w:color="auto"/>
                <w:right w:val="none" w:sz="0" w:space="0" w:color="auto"/>
              </w:divBdr>
            </w:div>
            <w:div w:id="43647966">
              <w:marLeft w:val="0"/>
              <w:marRight w:val="0"/>
              <w:marTop w:val="0"/>
              <w:marBottom w:val="0"/>
              <w:divBdr>
                <w:top w:val="none" w:sz="0" w:space="0" w:color="auto"/>
                <w:left w:val="none" w:sz="0" w:space="0" w:color="auto"/>
                <w:bottom w:val="none" w:sz="0" w:space="0" w:color="auto"/>
                <w:right w:val="none" w:sz="0" w:space="0" w:color="auto"/>
              </w:divBdr>
            </w:div>
            <w:div w:id="43647967">
              <w:marLeft w:val="0"/>
              <w:marRight w:val="0"/>
              <w:marTop w:val="0"/>
              <w:marBottom w:val="0"/>
              <w:divBdr>
                <w:top w:val="none" w:sz="0" w:space="0" w:color="auto"/>
                <w:left w:val="none" w:sz="0" w:space="0" w:color="auto"/>
                <w:bottom w:val="none" w:sz="0" w:space="0" w:color="auto"/>
                <w:right w:val="none" w:sz="0" w:space="0" w:color="auto"/>
              </w:divBdr>
            </w:div>
            <w:div w:id="43647968">
              <w:marLeft w:val="0"/>
              <w:marRight w:val="0"/>
              <w:marTop w:val="0"/>
              <w:marBottom w:val="0"/>
              <w:divBdr>
                <w:top w:val="none" w:sz="0" w:space="0" w:color="auto"/>
                <w:left w:val="none" w:sz="0" w:space="0" w:color="auto"/>
                <w:bottom w:val="none" w:sz="0" w:space="0" w:color="auto"/>
                <w:right w:val="none" w:sz="0" w:space="0" w:color="auto"/>
              </w:divBdr>
            </w:div>
            <w:div w:id="43647969">
              <w:marLeft w:val="0"/>
              <w:marRight w:val="0"/>
              <w:marTop w:val="0"/>
              <w:marBottom w:val="0"/>
              <w:divBdr>
                <w:top w:val="none" w:sz="0" w:space="0" w:color="auto"/>
                <w:left w:val="none" w:sz="0" w:space="0" w:color="auto"/>
                <w:bottom w:val="none" w:sz="0" w:space="0" w:color="auto"/>
                <w:right w:val="none" w:sz="0" w:space="0" w:color="auto"/>
              </w:divBdr>
            </w:div>
            <w:div w:id="43647970">
              <w:marLeft w:val="0"/>
              <w:marRight w:val="0"/>
              <w:marTop w:val="0"/>
              <w:marBottom w:val="0"/>
              <w:divBdr>
                <w:top w:val="none" w:sz="0" w:space="0" w:color="auto"/>
                <w:left w:val="none" w:sz="0" w:space="0" w:color="auto"/>
                <w:bottom w:val="none" w:sz="0" w:space="0" w:color="auto"/>
                <w:right w:val="none" w:sz="0" w:space="0" w:color="auto"/>
              </w:divBdr>
            </w:div>
            <w:div w:id="43647971">
              <w:marLeft w:val="0"/>
              <w:marRight w:val="0"/>
              <w:marTop w:val="0"/>
              <w:marBottom w:val="0"/>
              <w:divBdr>
                <w:top w:val="none" w:sz="0" w:space="0" w:color="auto"/>
                <w:left w:val="none" w:sz="0" w:space="0" w:color="auto"/>
                <w:bottom w:val="none" w:sz="0" w:space="0" w:color="auto"/>
                <w:right w:val="none" w:sz="0" w:space="0" w:color="auto"/>
              </w:divBdr>
            </w:div>
            <w:div w:id="43647972">
              <w:marLeft w:val="0"/>
              <w:marRight w:val="0"/>
              <w:marTop w:val="0"/>
              <w:marBottom w:val="0"/>
              <w:divBdr>
                <w:top w:val="none" w:sz="0" w:space="0" w:color="auto"/>
                <w:left w:val="none" w:sz="0" w:space="0" w:color="auto"/>
                <w:bottom w:val="none" w:sz="0" w:space="0" w:color="auto"/>
                <w:right w:val="none" w:sz="0" w:space="0" w:color="auto"/>
              </w:divBdr>
            </w:div>
            <w:div w:id="43647973">
              <w:marLeft w:val="0"/>
              <w:marRight w:val="0"/>
              <w:marTop w:val="0"/>
              <w:marBottom w:val="0"/>
              <w:divBdr>
                <w:top w:val="none" w:sz="0" w:space="0" w:color="auto"/>
                <w:left w:val="none" w:sz="0" w:space="0" w:color="auto"/>
                <w:bottom w:val="none" w:sz="0" w:space="0" w:color="auto"/>
                <w:right w:val="none" w:sz="0" w:space="0" w:color="auto"/>
              </w:divBdr>
            </w:div>
            <w:div w:id="43647974">
              <w:marLeft w:val="0"/>
              <w:marRight w:val="0"/>
              <w:marTop w:val="0"/>
              <w:marBottom w:val="0"/>
              <w:divBdr>
                <w:top w:val="none" w:sz="0" w:space="0" w:color="auto"/>
                <w:left w:val="none" w:sz="0" w:space="0" w:color="auto"/>
                <w:bottom w:val="none" w:sz="0" w:space="0" w:color="auto"/>
                <w:right w:val="none" w:sz="0" w:space="0" w:color="auto"/>
              </w:divBdr>
            </w:div>
            <w:div w:id="43647976">
              <w:marLeft w:val="0"/>
              <w:marRight w:val="0"/>
              <w:marTop w:val="0"/>
              <w:marBottom w:val="0"/>
              <w:divBdr>
                <w:top w:val="none" w:sz="0" w:space="0" w:color="auto"/>
                <w:left w:val="none" w:sz="0" w:space="0" w:color="auto"/>
                <w:bottom w:val="none" w:sz="0" w:space="0" w:color="auto"/>
                <w:right w:val="none" w:sz="0" w:space="0" w:color="auto"/>
              </w:divBdr>
            </w:div>
            <w:div w:id="43647978">
              <w:marLeft w:val="0"/>
              <w:marRight w:val="0"/>
              <w:marTop w:val="0"/>
              <w:marBottom w:val="0"/>
              <w:divBdr>
                <w:top w:val="none" w:sz="0" w:space="0" w:color="auto"/>
                <w:left w:val="none" w:sz="0" w:space="0" w:color="auto"/>
                <w:bottom w:val="none" w:sz="0" w:space="0" w:color="auto"/>
                <w:right w:val="none" w:sz="0" w:space="0" w:color="auto"/>
              </w:divBdr>
            </w:div>
            <w:div w:id="436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7928">
      <w:marLeft w:val="0"/>
      <w:marRight w:val="0"/>
      <w:marTop w:val="0"/>
      <w:marBottom w:val="0"/>
      <w:divBdr>
        <w:top w:val="none" w:sz="0" w:space="0" w:color="auto"/>
        <w:left w:val="none" w:sz="0" w:space="0" w:color="auto"/>
        <w:bottom w:val="none" w:sz="0" w:space="0" w:color="auto"/>
        <w:right w:val="none" w:sz="0" w:space="0" w:color="auto"/>
      </w:divBdr>
    </w:div>
    <w:div w:id="43647948">
      <w:marLeft w:val="0"/>
      <w:marRight w:val="0"/>
      <w:marTop w:val="0"/>
      <w:marBottom w:val="0"/>
      <w:divBdr>
        <w:top w:val="none" w:sz="0" w:space="0" w:color="auto"/>
        <w:left w:val="none" w:sz="0" w:space="0" w:color="auto"/>
        <w:bottom w:val="none" w:sz="0" w:space="0" w:color="auto"/>
        <w:right w:val="none" w:sz="0" w:space="0" w:color="auto"/>
      </w:divBdr>
      <w:divsChild>
        <w:div w:id="43647975">
          <w:marLeft w:val="0"/>
          <w:marRight w:val="0"/>
          <w:marTop w:val="0"/>
          <w:marBottom w:val="0"/>
          <w:divBdr>
            <w:top w:val="none" w:sz="0" w:space="0" w:color="auto"/>
            <w:left w:val="none" w:sz="0" w:space="0" w:color="auto"/>
            <w:bottom w:val="none" w:sz="0" w:space="0" w:color="auto"/>
            <w:right w:val="none" w:sz="0" w:space="0" w:color="auto"/>
          </w:divBdr>
          <w:divsChild>
            <w:div w:id="43647921">
              <w:marLeft w:val="0"/>
              <w:marRight w:val="0"/>
              <w:marTop w:val="0"/>
              <w:marBottom w:val="0"/>
              <w:divBdr>
                <w:top w:val="none" w:sz="0" w:space="0" w:color="auto"/>
                <w:left w:val="none" w:sz="0" w:space="0" w:color="auto"/>
                <w:bottom w:val="none" w:sz="0" w:space="0" w:color="auto"/>
                <w:right w:val="none" w:sz="0" w:space="0" w:color="auto"/>
              </w:divBdr>
            </w:div>
            <w:div w:id="436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79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dx.doi.org/10.3748/wjg.v19.i0.0000" TargetMode="Externa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4959</Words>
  <Characters>28272</Characters>
  <Application>Microsoft Office Word</Application>
  <DocSecurity>0</DocSecurity>
  <Lines>235</Lines>
  <Paragraphs>66</Paragraphs>
  <ScaleCrop>false</ScaleCrop>
  <Company>微软中国</Company>
  <LinksUpToDate>false</LinksUpToDate>
  <CharactersWithSpaces>33165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dc:title>
  <dc:creator>MacPro</dc:creator>
  <cp:lastModifiedBy>LS Ma</cp:lastModifiedBy>
  <cp:revision>2</cp:revision>
  <dcterms:created xsi:type="dcterms:W3CDTF">2013-12-12T03:32:00Z</dcterms:created>
  <dcterms:modified xsi:type="dcterms:W3CDTF">2013-12-12T03:32:00Z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2052-9.1.0.4249</vt:lpwstr>
  </property>
</Properties>
</file>