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A3" w:rsidRPr="00A02A04" w:rsidRDefault="003C29A3" w:rsidP="009E446B">
      <w:pPr>
        <w:spacing w:after="0" w:line="360" w:lineRule="auto"/>
        <w:jc w:val="both"/>
        <w:rPr>
          <w:rFonts w:ascii="Book Antiqua" w:eastAsia="Times New Roman" w:hAnsi="Book Antiqua" w:cs="Tahoma"/>
          <w:b/>
          <w:color w:val="000000"/>
          <w:sz w:val="24"/>
          <w:szCs w:val="24"/>
        </w:rPr>
      </w:pPr>
      <w:r w:rsidRPr="00A02A04">
        <w:rPr>
          <w:rFonts w:ascii="Book Antiqua" w:eastAsia="Times New Roman" w:hAnsi="Book Antiqua" w:cs="Tahoma"/>
          <w:b/>
          <w:color w:val="000000"/>
          <w:sz w:val="24"/>
          <w:szCs w:val="24"/>
        </w:rPr>
        <w:t>Name of journal: World Journal of Gastroenterology</w:t>
      </w:r>
    </w:p>
    <w:p w:rsidR="003C29A3" w:rsidRPr="00A02A04" w:rsidRDefault="003C29A3" w:rsidP="009E446B">
      <w:pPr>
        <w:spacing w:after="0" w:line="360" w:lineRule="auto"/>
        <w:jc w:val="both"/>
        <w:rPr>
          <w:rFonts w:ascii="Book Antiqua" w:hAnsi="Book Antiqua" w:cs="Tahoma"/>
          <w:b/>
          <w:color w:val="000000"/>
          <w:sz w:val="24"/>
          <w:szCs w:val="24"/>
          <w:lang w:eastAsia="zh-CN"/>
        </w:rPr>
      </w:pPr>
      <w:r w:rsidRPr="00A02A04">
        <w:rPr>
          <w:rFonts w:ascii="Book Antiqua" w:eastAsia="Times New Roman" w:hAnsi="Book Antiqua" w:cs="Tahoma"/>
          <w:b/>
          <w:color w:val="000000"/>
          <w:sz w:val="24"/>
          <w:szCs w:val="24"/>
        </w:rPr>
        <w:t xml:space="preserve">ESPS Manuscript NO: </w:t>
      </w:r>
      <w:r w:rsidRPr="00A02A04">
        <w:rPr>
          <w:rFonts w:ascii="Book Antiqua" w:hAnsi="Book Antiqua" w:cs="Tahoma"/>
          <w:b/>
          <w:color w:val="000000"/>
          <w:sz w:val="24"/>
          <w:szCs w:val="24"/>
          <w:lang w:eastAsia="zh-CN"/>
        </w:rPr>
        <w:t>3764</w:t>
      </w:r>
    </w:p>
    <w:p w:rsidR="003C29A3" w:rsidRPr="00A02A04" w:rsidRDefault="003C29A3" w:rsidP="009E446B">
      <w:pPr>
        <w:spacing w:after="0" w:line="360" w:lineRule="auto"/>
        <w:jc w:val="both"/>
        <w:rPr>
          <w:rFonts w:ascii="Book Antiqua" w:eastAsia="Times New Roman" w:hAnsi="Book Antiqua" w:cs="Tahoma"/>
          <w:b/>
          <w:color w:val="000000"/>
          <w:sz w:val="24"/>
          <w:szCs w:val="24"/>
        </w:rPr>
      </w:pPr>
      <w:r w:rsidRPr="00A02A04">
        <w:rPr>
          <w:rFonts w:ascii="Book Antiqua" w:eastAsia="Times New Roman" w:hAnsi="Book Antiqua" w:cs="Tahoma"/>
          <w:b/>
          <w:color w:val="000000"/>
          <w:sz w:val="24"/>
          <w:szCs w:val="24"/>
        </w:rPr>
        <w:t>Columns: BRIEF ARTICLE</w:t>
      </w:r>
    </w:p>
    <w:p w:rsidR="003C29A3" w:rsidRPr="00A02A04" w:rsidRDefault="003C29A3" w:rsidP="009E446B">
      <w:pPr>
        <w:spacing w:after="0" w:line="360" w:lineRule="auto"/>
        <w:jc w:val="both"/>
        <w:rPr>
          <w:rFonts w:ascii="Book Antiqua" w:eastAsia="AdvAGaramond-R" w:hAnsi="Book Antiqua"/>
          <w:b/>
          <w:bCs/>
          <w:color w:val="000000"/>
          <w:sz w:val="24"/>
          <w:szCs w:val="24"/>
        </w:rPr>
      </w:pPr>
    </w:p>
    <w:p w:rsidR="003C29A3" w:rsidRPr="00A02A04" w:rsidRDefault="003C29A3" w:rsidP="009E446B">
      <w:pPr>
        <w:spacing w:after="0" w:line="360" w:lineRule="auto"/>
        <w:jc w:val="both"/>
        <w:rPr>
          <w:rFonts w:ascii="Book Antiqua" w:eastAsia="AdvAGaramond-R" w:hAnsi="Book Antiqua"/>
          <w:bCs/>
          <w:color w:val="000000"/>
          <w:sz w:val="24"/>
          <w:szCs w:val="24"/>
          <w:lang w:val="en-US"/>
        </w:rPr>
      </w:pPr>
      <w:r w:rsidRPr="00A02A04">
        <w:rPr>
          <w:rFonts w:ascii="Book Antiqua" w:eastAsia="AdvAGaramond-R" w:hAnsi="Book Antiqua"/>
          <w:bCs/>
          <w:color w:val="000000"/>
          <w:sz w:val="24"/>
          <w:szCs w:val="24"/>
          <w:lang w:val="en-US"/>
        </w:rPr>
        <w:t>Predictors of survival</w:t>
      </w:r>
      <w:r w:rsidRPr="00A02A04">
        <w:rPr>
          <w:rFonts w:ascii="Book Antiqua" w:eastAsia="AdvAGaramond-R" w:hAnsi="Book Antiqua"/>
          <w:color w:val="000000"/>
          <w:sz w:val="24"/>
          <w:szCs w:val="24"/>
          <w:lang w:val="en-US"/>
        </w:rPr>
        <w:t xml:space="preserve"> in </w:t>
      </w:r>
      <w:r w:rsidRPr="00A02A04">
        <w:rPr>
          <w:rFonts w:ascii="Book Antiqua" w:eastAsia="AdvAGaramond-R" w:hAnsi="Book Antiqua"/>
          <w:bCs/>
          <w:color w:val="000000"/>
          <w:sz w:val="24"/>
          <w:szCs w:val="24"/>
          <w:lang w:val="en-US"/>
        </w:rPr>
        <w:t xml:space="preserve">patients with established cirrhosis and hepatocellular carcinoma treated with </w:t>
      </w:r>
      <w:proofErr w:type="spellStart"/>
      <w:r w:rsidRPr="00A02A04">
        <w:rPr>
          <w:rFonts w:ascii="Book Antiqua" w:eastAsia="AdvAGaramond-R" w:hAnsi="Book Antiqua"/>
          <w:bCs/>
          <w:color w:val="000000"/>
          <w:sz w:val="24"/>
          <w:szCs w:val="24"/>
          <w:lang w:val="en-US"/>
        </w:rPr>
        <w:t>sorafenib</w:t>
      </w:r>
      <w:proofErr w:type="spellEnd"/>
      <w:r w:rsidRPr="00A02A04">
        <w:rPr>
          <w:rFonts w:ascii="Book Antiqua" w:eastAsia="AdvAGaramond-R" w:hAnsi="Book Antiqua"/>
          <w:bCs/>
          <w:color w:val="000000"/>
          <w:sz w:val="24"/>
          <w:szCs w:val="24"/>
          <w:lang w:val="en-US"/>
        </w:rPr>
        <w:t xml:space="preserve"> </w:t>
      </w:r>
    </w:p>
    <w:p w:rsidR="003C29A3" w:rsidRPr="00A02A04" w:rsidRDefault="003C29A3" w:rsidP="009E446B">
      <w:pPr>
        <w:spacing w:after="0" w:line="360" w:lineRule="auto"/>
        <w:jc w:val="both"/>
        <w:rPr>
          <w:rFonts w:ascii="Book Antiqua" w:hAnsi="Book Antiqua"/>
          <w:b/>
          <w:color w:val="000000"/>
          <w:sz w:val="24"/>
          <w:szCs w:val="24"/>
          <w:lang w:val="en-US" w:eastAsia="zh-CN"/>
        </w:rPr>
      </w:pPr>
    </w:p>
    <w:p w:rsidR="003C29A3" w:rsidRPr="00A02A04" w:rsidRDefault="003C29A3" w:rsidP="00815C76">
      <w:pPr>
        <w:spacing w:after="0" w:line="360" w:lineRule="auto"/>
        <w:jc w:val="both"/>
        <w:rPr>
          <w:rFonts w:ascii="Book Antiqua" w:hAnsi="Book Antiqua"/>
          <w:color w:val="000000"/>
          <w:sz w:val="24"/>
          <w:szCs w:val="24"/>
          <w:lang w:val="en-US" w:eastAsia="zh-CN"/>
        </w:rPr>
      </w:pPr>
      <w:proofErr w:type="spellStart"/>
      <w:r w:rsidRPr="00A02A04">
        <w:rPr>
          <w:rFonts w:ascii="Book Antiqua" w:eastAsia="Times New Roman" w:hAnsi="Book Antiqua"/>
          <w:color w:val="000000"/>
          <w:sz w:val="24"/>
          <w:szCs w:val="24"/>
          <w:lang w:val="en-US"/>
        </w:rPr>
        <w:t>Inghilesi</w:t>
      </w:r>
      <w:proofErr w:type="spellEnd"/>
      <w:r w:rsidRPr="00A02A04">
        <w:rPr>
          <w:rFonts w:ascii="Book Antiqua" w:hAnsi="Book Antiqua"/>
          <w:color w:val="000000"/>
          <w:sz w:val="24"/>
          <w:szCs w:val="24"/>
          <w:lang w:val="en-US" w:eastAsia="zh-CN"/>
        </w:rPr>
        <w:t xml:space="preserve"> AL </w:t>
      </w:r>
      <w:r w:rsidRPr="00A02A04">
        <w:rPr>
          <w:rFonts w:ascii="Book Antiqua" w:hAnsi="Book Antiqua"/>
          <w:i/>
          <w:color w:val="000000"/>
          <w:sz w:val="24"/>
          <w:szCs w:val="24"/>
          <w:lang w:val="en-US" w:eastAsia="zh-CN"/>
        </w:rPr>
        <w:t>et al</w:t>
      </w:r>
      <w:r w:rsidRPr="00A02A04">
        <w:rPr>
          <w:rFonts w:ascii="Book Antiqua" w:hAnsi="Book Antiqua"/>
          <w:color w:val="000000"/>
          <w:sz w:val="24"/>
          <w:szCs w:val="24"/>
          <w:lang w:val="en-US" w:eastAsia="zh-CN"/>
        </w:rPr>
        <w:t xml:space="preserve">. </w:t>
      </w:r>
      <w:r w:rsidRPr="00A02A04">
        <w:rPr>
          <w:rFonts w:ascii="Book Antiqua" w:eastAsia="AdvAGaramond-R" w:hAnsi="Book Antiqua"/>
          <w:bCs/>
          <w:color w:val="000000"/>
          <w:sz w:val="24"/>
          <w:szCs w:val="24"/>
          <w:lang w:val="en-US"/>
        </w:rPr>
        <w:t xml:space="preserve">Cirrhosis and hepatocellular carcinoma with </w:t>
      </w:r>
      <w:proofErr w:type="spellStart"/>
      <w:r w:rsidRPr="00A02A04">
        <w:rPr>
          <w:rFonts w:ascii="Book Antiqua" w:eastAsia="AdvAGaramond-R" w:hAnsi="Book Antiqua"/>
          <w:bCs/>
          <w:color w:val="000000"/>
          <w:sz w:val="24"/>
          <w:szCs w:val="24"/>
          <w:lang w:val="en-US"/>
        </w:rPr>
        <w:t>sorafenib</w:t>
      </w:r>
      <w:proofErr w:type="spellEnd"/>
    </w:p>
    <w:p w:rsidR="003C29A3" w:rsidRPr="00A02A04" w:rsidRDefault="003C29A3" w:rsidP="009E446B">
      <w:pPr>
        <w:spacing w:after="0" w:line="360" w:lineRule="auto"/>
        <w:jc w:val="both"/>
        <w:rPr>
          <w:rFonts w:ascii="Book Antiqua" w:hAnsi="Book Antiqua"/>
          <w:b/>
          <w:color w:val="000000"/>
          <w:sz w:val="24"/>
          <w:szCs w:val="24"/>
          <w:lang w:val="en-US" w:eastAsia="zh-CN"/>
        </w:rPr>
      </w:pPr>
    </w:p>
    <w:p w:rsidR="003C29A3" w:rsidRPr="00A02A04" w:rsidRDefault="003C29A3" w:rsidP="009E446B">
      <w:pPr>
        <w:spacing w:after="0" w:line="360" w:lineRule="auto"/>
        <w:jc w:val="both"/>
        <w:rPr>
          <w:rFonts w:ascii="Book Antiqua" w:eastAsia="AdvAGaramond-R" w:hAnsi="Book Antiqua"/>
          <w:color w:val="000000"/>
          <w:sz w:val="24"/>
          <w:szCs w:val="24"/>
          <w:lang w:val="it-IT"/>
        </w:rPr>
      </w:pPr>
      <w:r w:rsidRPr="00A02A04">
        <w:rPr>
          <w:rFonts w:ascii="Book Antiqua" w:eastAsia="AdvAGaramond-R" w:hAnsi="Book Antiqua"/>
          <w:bCs/>
          <w:color w:val="000000"/>
          <w:sz w:val="24"/>
          <w:szCs w:val="24"/>
          <w:lang w:val="it-IT"/>
        </w:rPr>
        <w:t>Andrea L Inghilesi, Donatella Gallori, Lorenzo Antonuzzo, Paolo Forte, Daniela Tomcikova, Umberto Arena, Stefano Colagrande, Silvia Pradella, Bernardo Fani, Elena Gianni, Luca Boni, Giacomo Laffi, Francesco Di Costanzo</w:t>
      </w:r>
      <w:r w:rsidRPr="00A02A04">
        <w:rPr>
          <w:rFonts w:ascii="Book Antiqua" w:hAnsi="Book Antiqua"/>
          <w:bCs/>
          <w:color w:val="000000"/>
          <w:sz w:val="24"/>
          <w:szCs w:val="24"/>
          <w:lang w:val="it-IT" w:eastAsia="zh-CN"/>
        </w:rPr>
        <w:t xml:space="preserve">, </w:t>
      </w:r>
      <w:r w:rsidRPr="00A02A04">
        <w:rPr>
          <w:rFonts w:ascii="Book Antiqua" w:eastAsia="AdvAGaramond-R" w:hAnsi="Book Antiqua"/>
          <w:bCs/>
          <w:color w:val="000000"/>
          <w:sz w:val="24"/>
          <w:szCs w:val="24"/>
          <w:lang w:val="it-IT"/>
        </w:rPr>
        <w:t>Fabio Marra</w:t>
      </w:r>
    </w:p>
    <w:p w:rsidR="003C29A3" w:rsidRPr="00A02A04" w:rsidRDefault="003C29A3" w:rsidP="009E446B">
      <w:pPr>
        <w:spacing w:after="0" w:line="360" w:lineRule="auto"/>
        <w:jc w:val="both"/>
        <w:rPr>
          <w:rFonts w:ascii="Book Antiqua" w:hAnsi="Book Antiqua"/>
          <w:bCs/>
          <w:color w:val="000000"/>
          <w:sz w:val="24"/>
          <w:szCs w:val="24"/>
          <w:lang w:val="it-IT" w:eastAsia="zh-CN"/>
        </w:rPr>
      </w:pPr>
    </w:p>
    <w:p w:rsidR="003C29A3" w:rsidRPr="00A02A04" w:rsidRDefault="003C29A3" w:rsidP="009E446B">
      <w:pPr>
        <w:spacing w:after="0" w:line="360" w:lineRule="auto"/>
        <w:jc w:val="both"/>
        <w:rPr>
          <w:rFonts w:ascii="Book Antiqua" w:hAnsi="Book Antiqua"/>
          <w:color w:val="000000"/>
          <w:sz w:val="24"/>
          <w:szCs w:val="24"/>
          <w:lang w:val="it-IT" w:eastAsia="zh-CN"/>
        </w:rPr>
      </w:pPr>
      <w:r w:rsidRPr="00A02A04">
        <w:rPr>
          <w:rFonts w:ascii="Book Antiqua" w:eastAsia="AdvAGaramond-R" w:hAnsi="Book Antiqua"/>
          <w:b/>
          <w:bCs/>
          <w:color w:val="000000"/>
          <w:sz w:val="24"/>
          <w:szCs w:val="24"/>
          <w:lang w:val="it-IT"/>
        </w:rPr>
        <w:t>Andrea L Inghilesi, Donatella Gallori,</w:t>
      </w:r>
      <w:r w:rsidRPr="00A02A04">
        <w:rPr>
          <w:rFonts w:ascii="Book Antiqua" w:hAnsi="Book Antiqua"/>
          <w:b/>
          <w:bCs/>
          <w:color w:val="000000"/>
          <w:sz w:val="24"/>
          <w:szCs w:val="24"/>
          <w:lang w:val="it-IT" w:eastAsia="zh-CN"/>
        </w:rPr>
        <w:t xml:space="preserve"> </w:t>
      </w:r>
      <w:r w:rsidRPr="00A02A04">
        <w:rPr>
          <w:rFonts w:ascii="Book Antiqua" w:eastAsia="AdvAGaramond-R" w:hAnsi="Book Antiqua"/>
          <w:b/>
          <w:bCs/>
          <w:color w:val="000000"/>
          <w:sz w:val="24"/>
          <w:szCs w:val="24"/>
          <w:lang w:val="it-IT"/>
        </w:rPr>
        <w:t>Umberto Arena,</w:t>
      </w:r>
      <w:r w:rsidRPr="00A02A04">
        <w:rPr>
          <w:rFonts w:ascii="Book Antiqua" w:hAnsi="Book Antiqua"/>
          <w:b/>
          <w:bCs/>
          <w:color w:val="000000"/>
          <w:sz w:val="24"/>
          <w:szCs w:val="24"/>
          <w:lang w:val="it-IT" w:eastAsia="zh-CN"/>
        </w:rPr>
        <w:t xml:space="preserve"> </w:t>
      </w:r>
      <w:r w:rsidRPr="00A02A04">
        <w:rPr>
          <w:rFonts w:ascii="Book Antiqua" w:eastAsia="AdvAGaramond-R" w:hAnsi="Book Antiqua"/>
          <w:b/>
          <w:bCs/>
          <w:color w:val="000000"/>
          <w:sz w:val="24"/>
          <w:szCs w:val="24"/>
          <w:lang w:val="it-IT"/>
        </w:rPr>
        <w:t>Bernardo Fani,</w:t>
      </w:r>
      <w:r w:rsidRPr="00A02A04">
        <w:rPr>
          <w:rFonts w:ascii="Book Antiqua" w:hAnsi="Book Antiqua"/>
          <w:b/>
          <w:bCs/>
          <w:color w:val="000000"/>
          <w:sz w:val="24"/>
          <w:szCs w:val="24"/>
          <w:lang w:val="it-IT" w:eastAsia="zh-CN"/>
        </w:rPr>
        <w:t xml:space="preserve"> </w:t>
      </w:r>
      <w:r w:rsidRPr="00A02A04">
        <w:rPr>
          <w:rFonts w:ascii="Book Antiqua" w:eastAsia="AdvAGaramond-R" w:hAnsi="Book Antiqua"/>
          <w:b/>
          <w:bCs/>
          <w:color w:val="000000"/>
          <w:sz w:val="24"/>
          <w:szCs w:val="24"/>
          <w:lang w:val="it-IT"/>
        </w:rPr>
        <w:t>Giacomo Laffi,</w:t>
      </w:r>
      <w:r w:rsidRPr="00A02A04">
        <w:rPr>
          <w:rFonts w:ascii="Book Antiqua" w:hAnsi="Book Antiqua"/>
          <w:b/>
          <w:bCs/>
          <w:color w:val="000000"/>
          <w:sz w:val="24"/>
          <w:szCs w:val="24"/>
          <w:lang w:val="it-IT" w:eastAsia="zh-CN"/>
        </w:rPr>
        <w:t xml:space="preserve"> </w:t>
      </w:r>
      <w:r w:rsidRPr="00A02A04">
        <w:rPr>
          <w:rFonts w:ascii="Book Antiqua" w:eastAsia="AdvAGaramond-R" w:hAnsi="Book Antiqua"/>
          <w:b/>
          <w:bCs/>
          <w:color w:val="000000"/>
          <w:sz w:val="24"/>
          <w:szCs w:val="24"/>
          <w:lang w:val="it-IT"/>
        </w:rPr>
        <w:t>Fabio Marra</w:t>
      </w:r>
      <w:r w:rsidRPr="00A02A04">
        <w:rPr>
          <w:rFonts w:ascii="Book Antiqua" w:hAnsi="Book Antiqua"/>
          <w:b/>
          <w:bCs/>
          <w:color w:val="000000"/>
          <w:sz w:val="24"/>
          <w:szCs w:val="24"/>
          <w:lang w:val="it-IT" w:eastAsia="zh-CN"/>
        </w:rPr>
        <w:t>,</w:t>
      </w:r>
      <w:r w:rsidRPr="00A02A04">
        <w:rPr>
          <w:rFonts w:ascii="Book Antiqua" w:hAnsi="Book Antiqua"/>
          <w:bCs/>
          <w:color w:val="000000"/>
          <w:sz w:val="24"/>
          <w:szCs w:val="24"/>
          <w:lang w:val="it-IT" w:eastAsia="zh-CN"/>
        </w:rPr>
        <w:t xml:space="preserve"> </w:t>
      </w:r>
      <w:r w:rsidRPr="00A02A04">
        <w:rPr>
          <w:rFonts w:ascii="Book Antiqua" w:eastAsia="AdvAGaramond-R" w:hAnsi="Book Antiqua"/>
          <w:color w:val="000000"/>
          <w:sz w:val="24"/>
          <w:szCs w:val="24"/>
          <w:lang w:val="it-IT"/>
        </w:rPr>
        <w:t>Dipartimento di Medicina Sperimentale e Clinica, Università degli Studi di Firenze</w:t>
      </w:r>
      <w:r w:rsidRPr="00A02A04">
        <w:rPr>
          <w:rFonts w:ascii="Book Antiqua" w:hAnsi="Book Antiqua"/>
          <w:color w:val="000000"/>
          <w:sz w:val="24"/>
          <w:szCs w:val="24"/>
          <w:lang w:val="it-IT" w:eastAsia="zh-CN"/>
        </w:rPr>
        <w:t xml:space="preserve">, </w:t>
      </w:r>
      <w:r w:rsidRPr="00A02A04">
        <w:rPr>
          <w:rFonts w:ascii="Book Antiqua" w:eastAsia="AdvAGaramond-R" w:hAnsi="Book Antiqua"/>
          <w:color w:val="000000"/>
          <w:sz w:val="24"/>
          <w:szCs w:val="24"/>
          <w:lang w:val="it-IT"/>
        </w:rPr>
        <w:t>I-50134 Florence, Italy</w:t>
      </w:r>
    </w:p>
    <w:p w:rsidR="003C29A3" w:rsidRPr="00A02A04" w:rsidRDefault="003C29A3" w:rsidP="009E446B">
      <w:pPr>
        <w:spacing w:after="0" w:line="360" w:lineRule="auto"/>
        <w:jc w:val="both"/>
        <w:rPr>
          <w:rFonts w:ascii="Book Antiqua" w:hAnsi="Book Antiqua"/>
          <w:color w:val="000000"/>
          <w:sz w:val="24"/>
          <w:szCs w:val="24"/>
          <w:lang w:val="it-IT" w:eastAsia="zh-CN"/>
        </w:rPr>
      </w:pPr>
    </w:p>
    <w:p w:rsidR="003C29A3" w:rsidRPr="00A02A04" w:rsidRDefault="003C29A3" w:rsidP="009E446B">
      <w:pPr>
        <w:spacing w:after="0" w:line="360" w:lineRule="auto"/>
        <w:jc w:val="both"/>
        <w:rPr>
          <w:rFonts w:ascii="Book Antiqua" w:hAnsi="Book Antiqua"/>
          <w:color w:val="000000"/>
          <w:sz w:val="24"/>
          <w:szCs w:val="24"/>
          <w:lang w:val="it-IT" w:eastAsia="zh-CN"/>
        </w:rPr>
      </w:pPr>
      <w:r w:rsidRPr="00A02A04">
        <w:rPr>
          <w:rFonts w:ascii="Book Antiqua" w:eastAsia="AdvAGaramond-R" w:hAnsi="Book Antiqua"/>
          <w:b/>
          <w:bCs/>
          <w:color w:val="000000"/>
          <w:sz w:val="24"/>
          <w:szCs w:val="24"/>
          <w:lang w:val="it-IT"/>
        </w:rPr>
        <w:t xml:space="preserve">Stefano Colagrande, Silvia Pradella, </w:t>
      </w:r>
      <w:r w:rsidRPr="00A02A04">
        <w:rPr>
          <w:rFonts w:ascii="Book Antiqua" w:eastAsia="AdvAGaramond-R" w:hAnsi="Book Antiqua"/>
          <w:color w:val="000000"/>
          <w:sz w:val="24"/>
          <w:szCs w:val="24"/>
          <w:lang w:val="it-IT"/>
        </w:rPr>
        <w:t>Dipartimento di Scienze Biomediche, Sperimentali e Cliniche, Università degli Studi di Firenze</w:t>
      </w:r>
      <w:r w:rsidRPr="00A02A04">
        <w:rPr>
          <w:rFonts w:ascii="Book Antiqua" w:hAnsi="Book Antiqua"/>
          <w:color w:val="000000"/>
          <w:sz w:val="24"/>
          <w:szCs w:val="24"/>
          <w:lang w:val="it-IT" w:eastAsia="zh-CN"/>
        </w:rPr>
        <w:t>,</w:t>
      </w:r>
      <w:r w:rsidRPr="00A02A04">
        <w:rPr>
          <w:rFonts w:ascii="Book Antiqua" w:eastAsia="AdvAGaramond-R" w:hAnsi="Book Antiqua"/>
          <w:color w:val="000000"/>
          <w:sz w:val="24"/>
          <w:szCs w:val="24"/>
          <w:lang w:val="it-IT"/>
        </w:rPr>
        <w:t xml:space="preserve"> I-50134 Florence, Italy</w:t>
      </w:r>
    </w:p>
    <w:p w:rsidR="003C29A3" w:rsidRPr="00A02A04" w:rsidRDefault="003C29A3" w:rsidP="009E446B">
      <w:pPr>
        <w:spacing w:after="0" w:line="360" w:lineRule="auto"/>
        <w:jc w:val="both"/>
        <w:rPr>
          <w:rFonts w:ascii="Book Antiqua" w:hAnsi="Book Antiqua"/>
          <w:color w:val="000000"/>
          <w:sz w:val="24"/>
          <w:szCs w:val="24"/>
          <w:lang w:val="it-IT" w:eastAsia="zh-CN"/>
        </w:rPr>
      </w:pPr>
    </w:p>
    <w:p w:rsidR="003C29A3" w:rsidRPr="00A02A04" w:rsidRDefault="003C29A3" w:rsidP="009E446B">
      <w:pPr>
        <w:spacing w:after="0" w:line="360" w:lineRule="auto"/>
        <w:jc w:val="both"/>
        <w:rPr>
          <w:rFonts w:ascii="Book Antiqua" w:hAnsi="Book Antiqua"/>
          <w:color w:val="000000"/>
          <w:sz w:val="24"/>
          <w:szCs w:val="24"/>
          <w:lang w:val="it-IT" w:eastAsia="zh-CN"/>
        </w:rPr>
      </w:pPr>
      <w:r w:rsidRPr="00A02A04">
        <w:rPr>
          <w:rFonts w:ascii="Book Antiqua" w:eastAsia="AdvAGaramond-R" w:hAnsi="Book Antiqua"/>
          <w:b/>
          <w:bCs/>
          <w:color w:val="000000"/>
          <w:sz w:val="24"/>
          <w:szCs w:val="24"/>
          <w:lang w:val="it-IT"/>
        </w:rPr>
        <w:t>Lorenzo Antonuzzo,</w:t>
      </w:r>
      <w:r w:rsidRPr="00A02A04">
        <w:rPr>
          <w:rFonts w:ascii="Book Antiqua" w:hAnsi="Book Antiqua"/>
          <w:b/>
          <w:bCs/>
          <w:color w:val="000000"/>
          <w:sz w:val="24"/>
          <w:szCs w:val="24"/>
          <w:lang w:val="it-IT" w:eastAsia="zh-CN"/>
        </w:rPr>
        <w:t xml:space="preserve"> </w:t>
      </w:r>
      <w:r w:rsidRPr="00A02A04">
        <w:rPr>
          <w:rFonts w:ascii="Book Antiqua" w:eastAsia="AdvAGaramond-R" w:hAnsi="Book Antiqua"/>
          <w:b/>
          <w:bCs/>
          <w:color w:val="000000"/>
          <w:sz w:val="24"/>
          <w:szCs w:val="24"/>
          <w:lang w:val="it-IT"/>
        </w:rPr>
        <w:t>Francesco Di Costanzo,</w:t>
      </w:r>
      <w:r w:rsidRPr="00A02A04">
        <w:rPr>
          <w:rFonts w:ascii="Book Antiqua" w:eastAsia="AdvAGaramond-R" w:hAnsi="Book Antiqua"/>
          <w:color w:val="000000"/>
          <w:sz w:val="24"/>
          <w:szCs w:val="24"/>
          <w:lang w:val="it-IT"/>
        </w:rPr>
        <w:t xml:space="preserve"> Oncologia Medica</w:t>
      </w:r>
      <w:r w:rsidRPr="00A02A04">
        <w:rPr>
          <w:rFonts w:ascii="Book Antiqua" w:hAnsi="Book Antiqua"/>
          <w:color w:val="000000"/>
          <w:sz w:val="24"/>
          <w:szCs w:val="24"/>
          <w:lang w:val="it-IT" w:eastAsia="zh-CN"/>
        </w:rPr>
        <w:t xml:space="preserve">, </w:t>
      </w:r>
      <w:r w:rsidRPr="00A02A04">
        <w:rPr>
          <w:rFonts w:ascii="Book Antiqua" w:eastAsia="AdvAGaramond-R" w:hAnsi="Book Antiqua"/>
          <w:color w:val="000000"/>
          <w:sz w:val="24"/>
          <w:szCs w:val="24"/>
          <w:lang w:val="it-IT"/>
        </w:rPr>
        <w:t>Azienda Ospedaliero-Universitaria Careggi, I-50134 Florence, Italy</w:t>
      </w:r>
    </w:p>
    <w:p w:rsidR="003C29A3" w:rsidRPr="00A02A04" w:rsidRDefault="003C29A3" w:rsidP="009E446B">
      <w:pPr>
        <w:spacing w:after="0" w:line="360" w:lineRule="auto"/>
        <w:jc w:val="both"/>
        <w:rPr>
          <w:rFonts w:ascii="Book Antiqua" w:hAnsi="Book Antiqua"/>
          <w:color w:val="000000"/>
          <w:sz w:val="24"/>
          <w:szCs w:val="24"/>
          <w:lang w:val="it-IT" w:eastAsia="zh-CN"/>
        </w:rPr>
      </w:pPr>
    </w:p>
    <w:p w:rsidR="003C29A3" w:rsidRPr="00A02A04" w:rsidRDefault="003C29A3" w:rsidP="009E446B">
      <w:pPr>
        <w:jc w:val="both"/>
        <w:rPr>
          <w:rFonts w:ascii="Book Antiqua" w:hAnsi="Book Antiqua"/>
          <w:color w:val="000000"/>
          <w:sz w:val="24"/>
          <w:szCs w:val="24"/>
          <w:lang w:val="it-IT" w:eastAsia="zh-CN"/>
        </w:rPr>
      </w:pPr>
      <w:r w:rsidRPr="00A02A04">
        <w:rPr>
          <w:rFonts w:ascii="Book Antiqua" w:eastAsia="AdvAGaramond-R" w:hAnsi="Book Antiqua"/>
          <w:b/>
          <w:bCs/>
          <w:color w:val="000000"/>
          <w:sz w:val="24"/>
          <w:szCs w:val="24"/>
          <w:lang w:val="it-IT"/>
        </w:rPr>
        <w:t>Paolo Forte,</w:t>
      </w:r>
      <w:r w:rsidRPr="00A02A04">
        <w:rPr>
          <w:rFonts w:ascii="Book Antiqua" w:hAnsi="Book Antiqua"/>
          <w:b/>
          <w:bCs/>
          <w:color w:val="000000"/>
          <w:sz w:val="24"/>
          <w:szCs w:val="24"/>
          <w:lang w:val="it-IT" w:eastAsia="zh-CN"/>
        </w:rPr>
        <w:t xml:space="preserve"> </w:t>
      </w:r>
      <w:r w:rsidRPr="00A02A04">
        <w:rPr>
          <w:rFonts w:ascii="Book Antiqua" w:eastAsia="AdvAGaramond-R" w:hAnsi="Book Antiqua"/>
          <w:b/>
          <w:bCs/>
          <w:color w:val="000000"/>
          <w:sz w:val="24"/>
          <w:szCs w:val="24"/>
          <w:lang w:val="it-IT"/>
        </w:rPr>
        <w:t xml:space="preserve">Elena Gianni, </w:t>
      </w:r>
      <w:r w:rsidRPr="00A02A04">
        <w:rPr>
          <w:rFonts w:ascii="Book Antiqua" w:eastAsia="AdvAGaramond-R" w:hAnsi="Book Antiqua"/>
          <w:color w:val="000000"/>
          <w:sz w:val="24"/>
          <w:szCs w:val="24"/>
          <w:lang w:val="it-IT"/>
        </w:rPr>
        <w:t>Gastroenterologia 2, Azienda Ospedaliero-Universitaria Careggi, I-50134 Florence, Italy</w:t>
      </w:r>
    </w:p>
    <w:p w:rsidR="003C29A3" w:rsidRPr="00A02A04" w:rsidRDefault="003C29A3" w:rsidP="009E446B">
      <w:pPr>
        <w:jc w:val="both"/>
        <w:rPr>
          <w:rFonts w:ascii="Book Antiqua" w:hAnsi="Book Antiqua"/>
          <w:color w:val="000000"/>
          <w:sz w:val="24"/>
          <w:szCs w:val="24"/>
          <w:lang w:val="it-IT" w:eastAsia="zh-CN"/>
        </w:rPr>
      </w:pPr>
    </w:p>
    <w:p w:rsidR="003C29A3" w:rsidRPr="00A02A04" w:rsidRDefault="003C29A3" w:rsidP="009E446B">
      <w:pPr>
        <w:jc w:val="both"/>
        <w:rPr>
          <w:rFonts w:ascii="Book Antiqua" w:hAnsi="Book Antiqua"/>
          <w:color w:val="000000"/>
          <w:sz w:val="24"/>
          <w:szCs w:val="24"/>
          <w:lang w:val="it-IT" w:eastAsia="zh-CN"/>
        </w:rPr>
      </w:pPr>
      <w:r w:rsidRPr="00A02A04">
        <w:rPr>
          <w:rFonts w:ascii="Book Antiqua" w:eastAsia="AdvAGaramond-R" w:hAnsi="Book Antiqua"/>
          <w:b/>
          <w:bCs/>
          <w:color w:val="000000"/>
          <w:sz w:val="24"/>
          <w:szCs w:val="24"/>
          <w:lang w:val="it-IT"/>
        </w:rPr>
        <w:t>Daniela Tomcikova</w:t>
      </w:r>
      <w:r w:rsidRPr="00A02A04">
        <w:rPr>
          <w:rFonts w:ascii="Book Antiqua" w:hAnsi="Book Antiqua"/>
          <w:b/>
          <w:bCs/>
          <w:color w:val="000000"/>
          <w:sz w:val="24"/>
          <w:szCs w:val="24"/>
          <w:lang w:val="it-IT" w:eastAsia="zh-CN"/>
        </w:rPr>
        <w:t xml:space="preserve">, </w:t>
      </w:r>
      <w:r w:rsidRPr="00A02A04">
        <w:rPr>
          <w:rFonts w:ascii="Book Antiqua" w:eastAsia="AdvAGaramond-R" w:hAnsi="Book Antiqua"/>
          <w:b/>
          <w:bCs/>
          <w:color w:val="000000"/>
          <w:sz w:val="24"/>
          <w:szCs w:val="24"/>
          <w:lang w:val="it-IT"/>
        </w:rPr>
        <w:t>Luca Boni</w:t>
      </w:r>
      <w:r w:rsidRPr="00A02A04">
        <w:rPr>
          <w:rFonts w:ascii="Book Antiqua" w:hAnsi="Book Antiqua"/>
          <w:b/>
          <w:bCs/>
          <w:color w:val="000000"/>
          <w:sz w:val="24"/>
          <w:szCs w:val="24"/>
          <w:lang w:val="it-IT" w:eastAsia="zh-CN"/>
        </w:rPr>
        <w:t xml:space="preserve">,  </w:t>
      </w:r>
      <w:r w:rsidRPr="00A02A04">
        <w:rPr>
          <w:rFonts w:ascii="Book Antiqua" w:eastAsia="AdvAGaramond-R" w:hAnsi="Book Antiqua"/>
          <w:color w:val="000000"/>
          <w:sz w:val="24"/>
          <w:szCs w:val="24"/>
          <w:lang w:val="it-IT"/>
        </w:rPr>
        <w:t>Centro per il Coordinamento delle Sperimentazioni Cliniche, Istituto Toscano Tumori, and Azienda Ospedaliero-Universitaria Careggi, I-50134 Florence, Italy</w:t>
      </w:r>
    </w:p>
    <w:p w:rsidR="003C29A3" w:rsidRPr="00A02A04" w:rsidRDefault="003C29A3" w:rsidP="009E446B">
      <w:pPr>
        <w:spacing w:after="0" w:line="360" w:lineRule="auto"/>
        <w:jc w:val="both"/>
        <w:rPr>
          <w:rFonts w:ascii="Book Antiqua" w:hAnsi="Book Antiqua"/>
          <w:b/>
          <w:color w:val="000000"/>
          <w:sz w:val="24"/>
          <w:szCs w:val="24"/>
          <w:lang w:val="it-IT" w:eastAsia="zh-CN"/>
        </w:rPr>
      </w:pPr>
    </w:p>
    <w:p w:rsidR="003C29A3" w:rsidRPr="00A02A04" w:rsidRDefault="003C29A3" w:rsidP="009E446B">
      <w:pPr>
        <w:spacing w:after="0" w:line="360" w:lineRule="auto"/>
        <w:jc w:val="both"/>
        <w:rPr>
          <w:rFonts w:ascii="Book Antiqua" w:hAnsi="Book Antiqua"/>
          <w:color w:val="000000"/>
          <w:sz w:val="24"/>
          <w:szCs w:val="24"/>
          <w:lang w:val="en-US" w:eastAsia="zh-CN"/>
        </w:rPr>
      </w:pPr>
      <w:proofErr w:type="gramStart"/>
      <w:r w:rsidRPr="00A02A04">
        <w:rPr>
          <w:rFonts w:ascii="Book Antiqua" w:eastAsia="MS Mincho" w:hAnsi="Book Antiqua"/>
          <w:b/>
          <w:color w:val="000000"/>
          <w:sz w:val="24"/>
          <w:lang w:eastAsia="ja-JP"/>
        </w:rPr>
        <w:t xml:space="preserve">Author contributions: </w:t>
      </w:r>
      <w:proofErr w:type="spellStart"/>
      <w:r w:rsidRPr="00A02A04">
        <w:rPr>
          <w:rFonts w:ascii="Book Antiqua" w:eastAsia="Times New Roman" w:hAnsi="Book Antiqua"/>
          <w:color w:val="000000"/>
          <w:sz w:val="24"/>
          <w:szCs w:val="24"/>
          <w:lang w:val="en-US"/>
        </w:rPr>
        <w:t>Inghilesi</w:t>
      </w:r>
      <w:proofErr w:type="spellEnd"/>
      <w:r w:rsidRPr="00A02A04">
        <w:rPr>
          <w:rFonts w:ascii="Book Antiqua" w:hAnsi="Book Antiqua"/>
          <w:color w:val="000000"/>
          <w:sz w:val="24"/>
          <w:szCs w:val="24"/>
          <w:lang w:val="en-US" w:eastAsia="zh-CN"/>
        </w:rPr>
        <w:t xml:space="preserve"> AL</w:t>
      </w:r>
      <w:r w:rsidRPr="00A02A04">
        <w:rPr>
          <w:rFonts w:ascii="Book Antiqua" w:eastAsia="Times New Roman" w:hAnsi="Book Antiqua"/>
          <w:color w:val="000000"/>
          <w:sz w:val="24"/>
          <w:szCs w:val="24"/>
          <w:lang w:val="en-US"/>
        </w:rPr>
        <w:t xml:space="preserve">, </w:t>
      </w:r>
      <w:proofErr w:type="spellStart"/>
      <w:r w:rsidRPr="00A02A04">
        <w:rPr>
          <w:rFonts w:ascii="Book Antiqua" w:eastAsia="Times New Roman" w:hAnsi="Book Antiqua"/>
          <w:color w:val="000000"/>
          <w:sz w:val="24"/>
          <w:szCs w:val="24"/>
          <w:lang w:val="en-US"/>
        </w:rPr>
        <w:t>Gallori</w:t>
      </w:r>
      <w:proofErr w:type="spellEnd"/>
      <w:r w:rsidRPr="00A02A04">
        <w:rPr>
          <w:rFonts w:ascii="Book Antiqua" w:hAnsi="Book Antiqua"/>
          <w:color w:val="000000"/>
          <w:sz w:val="24"/>
          <w:szCs w:val="24"/>
          <w:lang w:val="en-US" w:eastAsia="zh-CN"/>
        </w:rPr>
        <w:t xml:space="preserve"> D</w:t>
      </w:r>
      <w:r w:rsidRPr="00A02A04">
        <w:rPr>
          <w:rFonts w:ascii="Book Antiqua" w:eastAsia="Times New Roman" w:hAnsi="Book Antiqua"/>
          <w:color w:val="000000"/>
          <w:sz w:val="24"/>
          <w:szCs w:val="24"/>
          <w:lang w:val="en-US"/>
        </w:rPr>
        <w:t xml:space="preserve">, </w:t>
      </w:r>
      <w:proofErr w:type="spellStart"/>
      <w:r w:rsidRPr="00A02A04">
        <w:rPr>
          <w:rFonts w:ascii="Book Antiqua" w:eastAsia="Times New Roman" w:hAnsi="Book Antiqua"/>
          <w:color w:val="000000"/>
          <w:sz w:val="24"/>
          <w:szCs w:val="24"/>
          <w:lang w:val="en-US"/>
        </w:rPr>
        <w:t>Antonuzzo</w:t>
      </w:r>
      <w:proofErr w:type="spellEnd"/>
      <w:r w:rsidRPr="00A02A04">
        <w:rPr>
          <w:rFonts w:ascii="Book Antiqua" w:hAnsi="Book Antiqua"/>
          <w:color w:val="000000"/>
          <w:sz w:val="24"/>
          <w:szCs w:val="24"/>
          <w:lang w:val="en-US" w:eastAsia="zh-CN"/>
        </w:rPr>
        <w:t xml:space="preserve"> L</w:t>
      </w:r>
      <w:r w:rsidRPr="00A02A04">
        <w:rPr>
          <w:rFonts w:ascii="Book Antiqua" w:eastAsia="Times New Roman" w:hAnsi="Book Antiqua"/>
          <w:color w:val="000000"/>
          <w:sz w:val="24"/>
          <w:szCs w:val="24"/>
          <w:lang w:val="en-US"/>
        </w:rPr>
        <w:t>, Forte</w:t>
      </w:r>
      <w:r w:rsidRPr="00A02A04">
        <w:rPr>
          <w:rFonts w:ascii="Book Antiqua" w:hAnsi="Book Antiqua"/>
          <w:color w:val="000000"/>
          <w:sz w:val="24"/>
          <w:szCs w:val="24"/>
          <w:lang w:val="en-US" w:eastAsia="zh-CN"/>
        </w:rPr>
        <w:t xml:space="preserve"> P</w:t>
      </w:r>
      <w:r w:rsidRPr="00A02A04">
        <w:rPr>
          <w:rFonts w:ascii="Book Antiqua" w:eastAsia="Times New Roman" w:hAnsi="Book Antiqua"/>
          <w:color w:val="000000"/>
          <w:sz w:val="24"/>
          <w:szCs w:val="24"/>
          <w:lang w:val="en-US"/>
        </w:rPr>
        <w:t>, Arena</w:t>
      </w:r>
      <w:r w:rsidRPr="00A02A04">
        <w:rPr>
          <w:rFonts w:ascii="Book Antiqua" w:hAnsi="Book Antiqua"/>
          <w:color w:val="000000"/>
          <w:sz w:val="24"/>
          <w:szCs w:val="24"/>
          <w:lang w:val="en-US" w:eastAsia="zh-CN"/>
        </w:rPr>
        <w:t xml:space="preserve"> U</w:t>
      </w:r>
      <w:r w:rsidRPr="00A02A04">
        <w:rPr>
          <w:rFonts w:ascii="Book Antiqua" w:eastAsia="Times New Roman" w:hAnsi="Book Antiqua"/>
          <w:color w:val="000000"/>
          <w:sz w:val="24"/>
          <w:szCs w:val="24"/>
          <w:lang w:val="en-US"/>
        </w:rPr>
        <w:t xml:space="preserve">, </w:t>
      </w:r>
      <w:proofErr w:type="spellStart"/>
      <w:r w:rsidRPr="00A02A04">
        <w:rPr>
          <w:rFonts w:ascii="Book Antiqua" w:eastAsia="Times New Roman" w:hAnsi="Book Antiqua"/>
          <w:color w:val="000000"/>
          <w:sz w:val="24"/>
          <w:szCs w:val="24"/>
          <w:lang w:val="en-US"/>
        </w:rPr>
        <w:t>Fani</w:t>
      </w:r>
      <w:proofErr w:type="spellEnd"/>
      <w:r w:rsidRPr="00A02A04">
        <w:rPr>
          <w:rFonts w:ascii="Book Antiqua" w:hAnsi="Book Antiqua"/>
          <w:color w:val="000000"/>
          <w:sz w:val="24"/>
          <w:szCs w:val="24"/>
          <w:lang w:val="en-US" w:eastAsia="zh-CN"/>
        </w:rPr>
        <w:t xml:space="preserve"> B</w:t>
      </w:r>
      <w:r w:rsidRPr="00A02A04">
        <w:rPr>
          <w:rFonts w:ascii="Book Antiqua" w:eastAsia="Times New Roman" w:hAnsi="Book Antiqua"/>
          <w:color w:val="000000"/>
          <w:sz w:val="24"/>
          <w:szCs w:val="24"/>
          <w:lang w:val="en-US"/>
        </w:rPr>
        <w:t>, Gianni</w:t>
      </w:r>
      <w:r w:rsidRPr="00A02A04">
        <w:rPr>
          <w:rFonts w:ascii="Book Antiqua" w:hAnsi="Book Antiqua"/>
          <w:color w:val="000000"/>
          <w:sz w:val="24"/>
          <w:szCs w:val="24"/>
          <w:lang w:val="en-US" w:eastAsia="zh-CN"/>
        </w:rPr>
        <w:t xml:space="preserve"> E</w:t>
      </w:r>
      <w:r w:rsidRPr="00A02A04">
        <w:rPr>
          <w:rFonts w:ascii="Book Antiqua" w:eastAsia="Times New Roman" w:hAnsi="Book Antiqua"/>
          <w:color w:val="000000"/>
          <w:sz w:val="24"/>
          <w:szCs w:val="24"/>
          <w:lang w:val="en-US"/>
        </w:rPr>
        <w:t xml:space="preserve">, </w:t>
      </w:r>
      <w:proofErr w:type="spellStart"/>
      <w:r w:rsidRPr="00A02A04">
        <w:rPr>
          <w:rFonts w:ascii="Book Antiqua" w:eastAsia="Times New Roman" w:hAnsi="Book Antiqua"/>
          <w:color w:val="000000"/>
          <w:sz w:val="24"/>
          <w:szCs w:val="24"/>
          <w:lang w:val="en-US"/>
        </w:rPr>
        <w:t>Laffi</w:t>
      </w:r>
      <w:proofErr w:type="spellEnd"/>
      <w:r w:rsidRPr="00A02A04">
        <w:rPr>
          <w:rFonts w:ascii="Book Antiqua" w:hAnsi="Book Antiqua"/>
          <w:color w:val="000000"/>
          <w:sz w:val="24"/>
          <w:szCs w:val="24"/>
          <w:lang w:val="en-US" w:eastAsia="zh-CN"/>
        </w:rPr>
        <w:t xml:space="preserve"> G</w:t>
      </w:r>
      <w:r w:rsidRPr="00A02A04">
        <w:rPr>
          <w:rFonts w:ascii="Book Antiqua" w:eastAsia="Times New Roman" w:hAnsi="Book Antiqua"/>
          <w:color w:val="000000"/>
          <w:sz w:val="24"/>
          <w:szCs w:val="24"/>
          <w:lang w:val="en-US"/>
        </w:rPr>
        <w:t xml:space="preserve">, Di Costanzo </w:t>
      </w:r>
      <w:r w:rsidRPr="00A02A04">
        <w:rPr>
          <w:rFonts w:ascii="Book Antiqua" w:hAnsi="Book Antiqua"/>
          <w:color w:val="000000"/>
          <w:sz w:val="24"/>
          <w:szCs w:val="24"/>
          <w:lang w:val="en-US" w:eastAsia="zh-CN"/>
        </w:rPr>
        <w:t xml:space="preserve">F </w:t>
      </w:r>
      <w:r w:rsidRPr="00A02A04">
        <w:rPr>
          <w:rFonts w:ascii="Book Antiqua" w:eastAsia="Times New Roman" w:hAnsi="Book Antiqua"/>
          <w:color w:val="000000"/>
          <w:sz w:val="24"/>
          <w:szCs w:val="24"/>
          <w:lang w:val="en-US"/>
        </w:rPr>
        <w:t xml:space="preserve">and </w:t>
      </w:r>
      <w:proofErr w:type="spellStart"/>
      <w:r w:rsidRPr="00A02A04">
        <w:rPr>
          <w:rFonts w:ascii="Book Antiqua" w:eastAsia="Times New Roman" w:hAnsi="Book Antiqua"/>
          <w:color w:val="000000"/>
          <w:sz w:val="24"/>
          <w:szCs w:val="24"/>
          <w:lang w:val="en-US"/>
        </w:rPr>
        <w:t>Marra</w:t>
      </w:r>
      <w:proofErr w:type="spellEnd"/>
      <w:r w:rsidRPr="00A02A04">
        <w:rPr>
          <w:rFonts w:ascii="Book Antiqua" w:eastAsia="Times New Roman" w:hAnsi="Book Antiqua"/>
          <w:color w:val="000000"/>
          <w:sz w:val="24"/>
          <w:szCs w:val="24"/>
          <w:lang w:val="en-US"/>
        </w:rPr>
        <w:t xml:space="preserve"> </w:t>
      </w:r>
      <w:r w:rsidRPr="00A02A04">
        <w:rPr>
          <w:rFonts w:ascii="Book Antiqua" w:hAnsi="Book Antiqua"/>
          <w:color w:val="000000"/>
          <w:sz w:val="24"/>
          <w:szCs w:val="24"/>
          <w:lang w:val="en-US" w:eastAsia="zh-CN"/>
        </w:rPr>
        <w:t xml:space="preserve">F </w:t>
      </w:r>
      <w:r w:rsidRPr="00A02A04">
        <w:rPr>
          <w:rFonts w:ascii="Book Antiqua" w:eastAsia="Times New Roman" w:hAnsi="Book Antiqua"/>
          <w:color w:val="000000"/>
          <w:sz w:val="24"/>
          <w:szCs w:val="24"/>
          <w:lang w:val="en-US"/>
        </w:rPr>
        <w:t xml:space="preserve">recruited and followed the patients, and </w:t>
      </w:r>
      <w:r w:rsidRPr="00A02A04">
        <w:rPr>
          <w:rFonts w:ascii="Book Antiqua" w:eastAsia="Times New Roman" w:hAnsi="Book Antiqua"/>
          <w:color w:val="000000"/>
          <w:sz w:val="24"/>
          <w:szCs w:val="24"/>
          <w:lang w:val="en-US"/>
        </w:rPr>
        <w:lastRenderedPageBreak/>
        <w:t>analyzed the data</w:t>
      </w:r>
      <w:r w:rsidRPr="00A02A04">
        <w:rPr>
          <w:rFonts w:ascii="Book Antiqua" w:hAnsi="Book Antiqua"/>
          <w:color w:val="000000"/>
          <w:sz w:val="24"/>
          <w:szCs w:val="24"/>
          <w:lang w:val="en-US" w:eastAsia="zh-CN"/>
        </w:rPr>
        <w:t xml:space="preserve">; </w:t>
      </w:r>
      <w:proofErr w:type="spellStart"/>
      <w:r w:rsidRPr="00A02A04">
        <w:rPr>
          <w:rFonts w:ascii="Book Antiqua" w:eastAsia="Times New Roman" w:hAnsi="Book Antiqua"/>
          <w:color w:val="000000"/>
          <w:sz w:val="24"/>
          <w:szCs w:val="24"/>
          <w:lang w:val="en-US"/>
        </w:rPr>
        <w:t>Colagrande</w:t>
      </w:r>
      <w:proofErr w:type="spellEnd"/>
      <w:r w:rsidRPr="00A02A04">
        <w:rPr>
          <w:rFonts w:ascii="Book Antiqua" w:eastAsia="Times New Roman" w:hAnsi="Book Antiqua"/>
          <w:color w:val="000000"/>
          <w:sz w:val="24"/>
          <w:szCs w:val="24"/>
          <w:lang w:val="en-US"/>
        </w:rPr>
        <w:t xml:space="preserve"> </w:t>
      </w:r>
      <w:r w:rsidRPr="00A02A04">
        <w:rPr>
          <w:rFonts w:ascii="Book Antiqua" w:hAnsi="Book Antiqua"/>
          <w:color w:val="000000"/>
          <w:sz w:val="24"/>
          <w:szCs w:val="24"/>
          <w:lang w:val="en-US" w:eastAsia="zh-CN"/>
        </w:rPr>
        <w:t xml:space="preserve">S </w:t>
      </w:r>
      <w:r w:rsidRPr="00A02A04">
        <w:rPr>
          <w:rFonts w:ascii="Book Antiqua" w:eastAsia="Times New Roman" w:hAnsi="Book Antiqua"/>
          <w:color w:val="000000"/>
          <w:sz w:val="24"/>
          <w:szCs w:val="24"/>
          <w:lang w:val="en-US"/>
        </w:rPr>
        <w:t xml:space="preserve">and </w:t>
      </w:r>
      <w:proofErr w:type="spellStart"/>
      <w:r w:rsidRPr="00A02A04">
        <w:rPr>
          <w:rFonts w:ascii="Book Antiqua" w:eastAsia="Times New Roman" w:hAnsi="Book Antiqua"/>
          <w:color w:val="000000"/>
          <w:sz w:val="24"/>
          <w:szCs w:val="24"/>
          <w:lang w:val="en-US"/>
        </w:rPr>
        <w:t>Pradella</w:t>
      </w:r>
      <w:proofErr w:type="spellEnd"/>
      <w:r w:rsidRPr="00A02A04">
        <w:rPr>
          <w:rFonts w:ascii="Book Antiqua" w:eastAsia="Times New Roman" w:hAnsi="Book Antiqua"/>
          <w:color w:val="000000"/>
          <w:sz w:val="24"/>
          <w:szCs w:val="24"/>
          <w:lang w:val="en-US"/>
        </w:rPr>
        <w:t xml:space="preserve"> </w:t>
      </w:r>
      <w:r w:rsidRPr="00A02A04">
        <w:rPr>
          <w:rFonts w:ascii="Book Antiqua" w:hAnsi="Book Antiqua"/>
          <w:color w:val="000000"/>
          <w:sz w:val="24"/>
          <w:szCs w:val="24"/>
          <w:lang w:val="en-US" w:eastAsia="zh-CN"/>
        </w:rPr>
        <w:t xml:space="preserve">S </w:t>
      </w:r>
      <w:r w:rsidRPr="00A02A04">
        <w:rPr>
          <w:rFonts w:ascii="Book Antiqua" w:eastAsia="Times New Roman" w:hAnsi="Book Antiqua"/>
          <w:color w:val="000000"/>
          <w:sz w:val="24"/>
          <w:szCs w:val="24"/>
          <w:lang w:val="en-US"/>
        </w:rPr>
        <w:t>analyzed CT and MR imaging</w:t>
      </w:r>
      <w:r w:rsidRPr="00A02A04">
        <w:rPr>
          <w:rFonts w:ascii="Book Antiqua" w:hAnsi="Book Antiqua"/>
          <w:color w:val="000000"/>
          <w:sz w:val="24"/>
          <w:szCs w:val="24"/>
          <w:lang w:val="en-US" w:eastAsia="zh-CN"/>
        </w:rPr>
        <w:t xml:space="preserve">; </w:t>
      </w:r>
      <w:proofErr w:type="spellStart"/>
      <w:r w:rsidRPr="00A02A04">
        <w:rPr>
          <w:rFonts w:ascii="Book Antiqua" w:eastAsia="Times New Roman" w:hAnsi="Book Antiqua"/>
          <w:color w:val="000000"/>
          <w:sz w:val="24"/>
          <w:szCs w:val="24"/>
          <w:lang w:val="en-US"/>
        </w:rPr>
        <w:t>Tomcikova</w:t>
      </w:r>
      <w:proofErr w:type="spellEnd"/>
      <w:r w:rsidRPr="00A02A04">
        <w:rPr>
          <w:rFonts w:ascii="Book Antiqua" w:eastAsia="Times New Roman" w:hAnsi="Book Antiqua"/>
          <w:color w:val="000000"/>
          <w:sz w:val="24"/>
          <w:szCs w:val="24"/>
          <w:lang w:val="en-US"/>
        </w:rPr>
        <w:t xml:space="preserve"> </w:t>
      </w:r>
      <w:r w:rsidRPr="00A02A04">
        <w:rPr>
          <w:rFonts w:ascii="Book Antiqua" w:hAnsi="Book Antiqua"/>
          <w:color w:val="000000"/>
          <w:sz w:val="24"/>
          <w:szCs w:val="24"/>
          <w:lang w:val="en-US" w:eastAsia="zh-CN"/>
        </w:rPr>
        <w:t xml:space="preserve">D </w:t>
      </w:r>
      <w:r w:rsidRPr="00A02A04">
        <w:rPr>
          <w:rFonts w:ascii="Book Antiqua" w:eastAsia="Times New Roman" w:hAnsi="Book Antiqua"/>
          <w:color w:val="000000"/>
          <w:sz w:val="24"/>
          <w:szCs w:val="24"/>
          <w:lang w:val="en-US"/>
        </w:rPr>
        <w:t xml:space="preserve">and </w:t>
      </w:r>
      <w:proofErr w:type="spellStart"/>
      <w:r w:rsidRPr="00A02A04">
        <w:rPr>
          <w:rFonts w:ascii="Book Antiqua" w:eastAsia="Times New Roman" w:hAnsi="Book Antiqua"/>
          <w:color w:val="000000"/>
          <w:sz w:val="24"/>
          <w:szCs w:val="24"/>
          <w:lang w:val="en-US"/>
        </w:rPr>
        <w:t>Boni</w:t>
      </w:r>
      <w:proofErr w:type="spellEnd"/>
      <w:r w:rsidRPr="00A02A04">
        <w:rPr>
          <w:rFonts w:ascii="Book Antiqua" w:eastAsia="Times New Roman" w:hAnsi="Book Antiqua"/>
          <w:color w:val="000000"/>
          <w:sz w:val="24"/>
          <w:szCs w:val="24"/>
          <w:lang w:val="en-US"/>
        </w:rPr>
        <w:t xml:space="preserve"> </w:t>
      </w:r>
      <w:r w:rsidRPr="00A02A04">
        <w:rPr>
          <w:rFonts w:ascii="Book Antiqua" w:hAnsi="Book Antiqua"/>
          <w:color w:val="000000"/>
          <w:sz w:val="24"/>
          <w:szCs w:val="24"/>
          <w:lang w:val="en-US" w:eastAsia="zh-CN"/>
        </w:rPr>
        <w:t xml:space="preserve">L </w:t>
      </w:r>
      <w:proofErr w:type="spellStart"/>
      <w:r w:rsidRPr="00A02A04">
        <w:rPr>
          <w:rFonts w:ascii="Book Antiqua" w:eastAsia="Times New Roman" w:hAnsi="Book Antiqua"/>
          <w:color w:val="000000"/>
          <w:sz w:val="24"/>
          <w:szCs w:val="24"/>
          <w:lang w:val="en-US"/>
        </w:rPr>
        <w:t>perfomed</w:t>
      </w:r>
      <w:proofErr w:type="spellEnd"/>
      <w:r w:rsidRPr="00A02A04">
        <w:rPr>
          <w:rFonts w:ascii="Book Antiqua" w:eastAsia="Times New Roman" w:hAnsi="Book Antiqua"/>
          <w:color w:val="000000"/>
          <w:sz w:val="24"/>
          <w:szCs w:val="24"/>
          <w:lang w:val="en-US"/>
        </w:rPr>
        <w:t xml:space="preserve"> statistical analysis</w:t>
      </w:r>
      <w:r w:rsidRPr="00A02A04">
        <w:rPr>
          <w:rFonts w:ascii="Book Antiqua" w:hAnsi="Book Antiqua"/>
          <w:color w:val="000000"/>
          <w:sz w:val="24"/>
          <w:szCs w:val="24"/>
          <w:lang w:val="en-US" w:eastAsia="zh-CN"/>
        </w:rPr>
        <w:t xml:space="preserve">; </w:t>
      </w:r>
      <w:proofErr w:type="spellStart"/>
      <w:r w:rsidRPr="00A02A04">
        <w:rPr>
          <w:rFonts w:ascii="Book Antiqua" w:eastAsia="Times New Roman" w:hAnsi="Book Antiqua"/>
          <w:color w:val="000000"/>
          <w:sz w:val="24"/>
          <w:szCs w:val="24"/>
          <w:lang w:val="en-US"/>
        </w:rPr>
        <w:t>Inghilesi</w:t>
      </w:r>
      <w:proofErr w:type="spellEnd"/>
      <w:r w:rsidRPr="00A02A04">
        <w:rPr>
          <w:rFonts w:ascii="Book Antiqua" w:eastAsia="Times New Roman" w:hAnsi="Book Antiqua"/>
          <w:color w:val="000000"/>
          <w:sz w:val="24"/>
          <w:szCs w:val="24"/>
          <w:lang w:val="en-US"/>
        </w:rPr>
        <w:t xml:space="preserve"> </w:t>
      </w:r>
      <w:r w:rsidRPr="00A02A04">
        <w:rPr>
          <w:rFonts w:ascii="Book Antiqua" w:hAnsi="Book Antiqua"/>
          <w:color w:val="000000"/>
          <w:sz w:val="24"/>
          <w:szCs w:val="24"/>
          <w:lang w:val="en-US" w:eastAsia="zh-CN"/>
        </w:rPr>
        <w:t xml:space="preserve">AL </w:t>
      </w:r>
      <w:r w:rsidRPr="00A02A04">
        <w:rPr>
          <w:rFonts w:ascii="Book Antiqua" w:eastAsia="Times New Roman" w:hAnsi="Book Antiqua"/>
          <w:color w:val="000000"/>
          <w:sz w:val="24"/>
          <w:szCs w:val="24"/>
          <w:lang w:val="en-US"/>
        </w:rPr>
        <w:t xml:space="preserve">and </w:t>
      </w:r>
      <w:proofErr w:type="spellStart"/>
      <w:r w:rsidRPr="00A02A04">
        <w:rPr>
          <w:rFonts w:ascii="Book Antiqua" w:eastAsia="Times New Roman" w:hAnsi="Book Antiqua"/>
          <w:color w:val="000000"/>
          <w:sz w:val="24"/>
          <w:szCs w:val="24"/>
          <w:lang w:val="en-US"/>
        </w:rPr>
        <w:t>Marra</w:t>
      </w:r>
      <w:proofErr w:type="spellEnd"/>
      <w:r w:rsidRPr="00A02A04">
        <w:rPr>
          <w:rFonts w:ascii="Book Antiqua" w:eastAsia="Times New Roman" w:hAnsi="Book Antiqua"/>
          <w:color w:val="000000"/>
          <w:sz w:val="24"/>
          <w:szCs w:val="24"/>
          <w:lang w:val="en-US"/>
        </w:rPr>
        <w:t xml:space="preserve"> </w:t>
      </w:r>
      <w:r w:rsidRPr="00A02A04">
        <w:rPr>
          <w:rFonts w:ascii="Book Antiqua" w:hAnsi="Book Antiqua"/>
          <w:color w:val="000000"/>
          <w:sz w:val="24"/>
          <w:szCs w:val="24"/>
          <w:lang w:val="en-US" w:eastAsia="zh-CN"/>
        </w:rPr>
        <w:t xml:space="preserve">F </w:t>
      </w:r>
      <w:r w:rsidRPr="00A02A04">
        <w:rPr>
          <w:rFonts w:ascii="Book Antiqua" w:eastAsia="Times New Roman" w:hAnsi="Book Antiqua"/>
          <w:color w:val="000000"/>
          <w:sz w:val="24"/>
          <w:szCs w:val="24"/>
          <w:lang w:val="en-US"/>
        </w:rPr>
        <w:t>wrote the paper</w:t>
      </w:r>
      <w:r w:rsidRPr="00A02A04">
        <w:rPr>
          <w:rFonts w:ascii="Book Antiqua" w:hAnsi="Book Antiqua"/>
          <w:color w:val="000000"/>
          <w:sz w:val="24"/>
          <w:szCs w:val="24"/>
          <w:lang w:val="en-US" w:eastAsia="zh-CN"/>
        </w:rPr>
        <w:t>.</w:t>
      </w:r>
      <w:proofErr w:type="gramEnd"/>
    </w:p>
    <w:p w:rsidR="003C29A3" w:rsidRPr="00A02A04" w:rsidRDefault="003C29A3" w:rsidP="009E446B">
      <w:pPr>
        <w:spacing w:after="0" w:line="360" w:lineRule="auto"/>
        <w:jc w:val="both"/>
        <w:rPr>
          <w:rFonts w:ascii="Book Antiqua" w:hAnsi="Book Antiqua"/>
          <w:b/>
          <w:color w:val="000000"/>
          <w:sz w:val="24"/>
          <w:szCs w:val="24"/>
          <w:lang w:val="en-US" w:eastAsia="zh-CN"/>
        </w:rPr>
      </w:pPr>
    </w:p>
    <w:p w:rsidR="003C29A3" w:rsidRPr="00A02A04" w:rsidRDefault="003C29A3" w:rsidP="009E446B">
      <w:pPr>
        <w:spacing w:line="360" w:lineRule="auto"/>
        <w:jc w:val="both"/>
        <w:rPr>
          <w:rFonts w:ascii="Book Antiqua" w:hAnsi="Book Antiqua"/>
          <w:color w:val="000000"/>
          <w:sz w:val="24"/>
          <w:szCs w:val="24"/>
          <w:lang w:val="it-IT" w:eastAsia="zh-CN"/>
        </w:rPr>
      </w:pPr>
      <w:r w:rsidRPr="00A02A04">
        <w:rPr>
          <w:rFonts w:ascii="Book Antiqua" w:eastAsia="Times New Roman" w:hAnsi="Book Antiqua"/>
          <w:b/>
          <w:color w:val="000000"/>
          <w:sz w:val="24"/>
          <w:lang w:val="it-IT"/>
        </w:rPr>
        <w:t xml:space="preserve">Supported by: </w:t>
      </w:r>
      <w:r w:rsidRPr="00A02A04">
        <w:rPr>
          <w:rFonts w:ascii="Book Antiqua" w:eastAsia="Times New Roman" w:hAnsi="Book Antiqua"/>
          <w:color w:val="000000"/>
          <w:sz w:val="24"/>
          <w:szCs w:val="24"/>
          <w:lang w:val="it-IT"/>
        </w:rPr>
        <w:t xml:space="preserve">Grants from Associazione Italiana per la Ricerca sul Cancro (AIRC) and Istituto Toscano Tumori (ITT) to </w:t>
      </w:r>
      <w:r w:rsidRPr="00A02A04">
        <w:rPr>
          <w:rFonts w:ascii="Book Antiqua" w:eastAsia="AdvAGaramond-R" w:hAnsi="Book Antiqua"/>
          <w:bCs/>
          <w:color w:val="000000"/>
          <w:sz w:val="24"/>
          <w:szCs w:val="24"/>
          <w:lang w:val="it-IT"/>
        </w:rPr>
        <w:t>Marra</w:t>
      </w:r>
      <w:r w:rsidRPr="00A02A04">
        <w:rPr>
          <w:rFonts w:ascii="Book Antiqua" w:hAnsi="Book Antiqua"/>
          <w:bCs/>
          <w:color w:val="000000"/>
          <w:sz w:val="24"/>
          <w:szCs w:val="24"/>
          <w:lang w:val="it-IT" w:eastAsia="zh-CN"/>
        </w:rPr>
        <w:t xml:space="preserve"> F</w:t>
      </w:r>
    </w:p>
    <w:p w:rsidR="003C29A3" w:rsidRPr="00A02A04" w:rsidRDefault="003C29A3" w:rsidP="009E446B">
      <w:pPr>
        <w:spacing w:after="0" w:line="360" w:lineRule="auto"/>
        <w:jc w:val="both"/>
        <w:rPr>
          <w:rFonts w:ascii="Book Antiqua" w:hAnsi="Book Antiqua"/>
          <w:b/>
          <w:color w:val="000000"/>
          <w:sz w:val="24"/>
          <w:szCs w:val="24"/>
          <w:lang w:val="it-IT" w:eastAsia="zh-CN"/>
        </w:rPr>
      </w:pPr>
    </w:p>
    <w:p w:rsidR="003C29A3" w:rsidRPr="00A02A04" w:rsidRDefault="003C29A3" w:rsidP="009E446B">
      <w:pPr>
        <w:spacing w:after="0" w:line="360" w:lineRule="auto"/>
        <w:jc w:val="both"/>
        <w:rPr>
          <w:rFonts w:ascii="Book Antiqua" w:eastAsia="AdvAGaramond-R" w:hAnsi="Book Antiqua"/>
          <w:color w:val="000000"/>
          <w:sz w:val="24"/>
          <w:szCs w:val="24"/>
          <w:lang w:val="it-IT"/>
        </w:rPr>
      </w:pPr>
      <w:r w:rsidRPr="00A02A04">
        <w:rPr>
          <w:rFonts w:ascii="Book Antiqua" w:eastAsia="Times New Roman" w:hAnsi="Book Antiqua"/>
          <w:b/>
          <w:color w:val="000000"/>
          <w:sz w:val="24"/>
          <w:lang w:val="it-IT"/>
        </w:rPr>
        <w:t xml:space="preserve">Correspondence to: </w:t>
      </w:r>
      <w:r w:rsidRPr="00A02A04">
        <w:rPr>
          <w:rFonts w:ascii="Book Antiqua" w:eastAsia="AdvAGaramond-R" w:hAnsi="Book Antiqua"/>
          <w:b/>
          <w:color w:val="000000"/>
          <w:sz w:val="24"/>
          <w:szCs w:val="24"/>
          <w:lang w:val="it-IT"/>
        </w:rPr>
        <w:t>Fabio Marra, MD, PhD</w:t>
      </w:r>
      <w:r w:rsidRPr="00A02A04">
        <w:rPr>
          <w:rFonts w:ascii="Book Antiqua" w:hAnsi="Book Antiqua"/>
          <w:b/>
          <w:color w:val="000000"/>
          <w:sz w:val="24"/>
          <w:szCs w:val="24"/>
          <w:lang w:val="it-IT" w:eastAsia="zh-CN"/>
        </w:rPr>
        <w:t xml:space="preserve">, </w:t>
      </w:r>
      <w:r w:rsidRPr="00A02A04">
        <w:rPr>
          <w:rFonts w:ascii="Book Antiqua" w:eastAsia="AdvAGaramond-R" w:hAnsi="Book Antiqua"/>
          <w:color w:val="000000"/>
          <w:sz w:val="24"/>
          <w:szCs w:val="24"/>
          <w:lang w:val="it-IT"/>
        </w:rPr>
        <w:t>Dipartimento di Medicina Sperimentale e Clinica</w:t>
      </w:r>
      <w:r w:rsidRPr="00A02A04">
        <w:rPr>
          <w:rFonts w:ascii="Book Antiqua" w:hAnsi="Book Antiqua"/>
          <w:color w:val="000000"/>
          <w:sz w:val="24"/>
          <w:szCs w:val="24"/>
          <w:lang w:val="it-IT" w:eastAsia="zh-CN"/>
        </w:rPr>
        <w:t xml:space="preserve">, </w:t>
      </w:r>
      <w:r w:rsidRPr="00A02A04">
        <w:rPr>
          <w:rFonts w:ascii="Book Antiqua" w:eastAsia="AdvAGaramond-R" w:hAnsi="Book Antiqua"/>
          <w:color w:val="000000"/>
          <w:sz w:val="24"/>
          <w:szCs w:val="24"/>
          <w:lang w:val="it-IT"/>
        </w:rPr>
        <w:t>Università degli Studi di Firenze</w:t>
      </w:r>
      <w:r w:rsidRPr="00A02A04">
        <w:rPr>
          <w:rFonts w:ascii="Book Antiqua" w:hAnsi="Book Antiqua"/>
          <w:color w:val="000000"/>
          <w:sz w:val="24"/>
          <w:szCs w:val="24"/>
          <w:lang w:val="it-IT" w:eastAsia="zh-CN"/>
        </w:rPr>
        <w:t xml:space="preserve">, </w:t>
      </w:r>
      <w:r w:rsidRPr="00A02A04">
        <w:rPr>
          <w:rFonts w:ascii="Book Antiqua" w:eastAsia="AdvAGaramond-R" w:hAnsi="Book Antiqua"/>
          <w:color w:val="000000"/>
          <w:sz w:val="24"/>
          <w:szCs w:val="24"/>
          <w:lang w:val="it-IT"/>
        </w:rPr>
        <w:t>Largo Brambilla 3</w:t>
      </w:r>
      <w:r w:rsidRPr="00A02A04">
        <w:rPr>
          <w:rFonts w:ascii="Book Antiqua" w:hAnsi="Book Antiqua"/>
          <w:color w:val="000000"/>
          <w:sz w:val="24"/>
          <w:szCs w:val="24"/>
          <w:lang w:val="it-IT" w:eastAsia="zh-CN"/>
        </w:rPr>
        <w:t xml:space="preserve">, </w:t>
      </w:r>
      <w:r w:rsidRPr="00A02A04">
        <w:rPr>
          <w:rFonts w:ascii="Book Antiqua" w:eastAsia="AdvAGaramond-R" w:hAnsi="Book Antiqua"/>
          <w:color w:val="000000"/>
          <w:sz w:val="24"/>
          <w:szCs w:val="24"/>
          <w:lang w:val="it-IT"/>
        </w:rPr>
        <w:t>I-50134 Florence, Italy</w:t>
      </w:r>
      <w:r w:rsidRPr="00A02A04">
        <w:rPr>
          <w:rFonts w:ascii="Book Antiqua" w:hAnsi="Book Antiqua"/>
          <w:color w:val="000000"/>
          <w:sz w:val="24"/>
          <w:szCs w:val="24"/>
          <w:lang w:val="it-IT" w:eastAsia="zh-CN"/>
        </w:rPr>
        <w:t xml:space="preserve">. </w:t>
      </w:r>
      <w:r w:rsidRPr="00A02A04">
        <w:rPr>
          <w:rFonts w:ascii="Book Antiqua" w:eastAsia="AdvAGaramond-R" w:hAnsi="Book Antiqua"/>
          <w:color w:val="000000"/>
          <w:sz w:val="24"/>
          <w:szCs w:val="24"/>
          <w:lang w:val="it-IT"/>
        </w:rPr>
        <w:t>fabio.marra@unifi.it</w:t>
      </w:r>
    </w:p>
    <w:p w:rsidR="003C29A3" w:rsidRPr="00A02A04" w:rsidRDefault="003C29A3" w:rsidP="009E446B">
      <w:pPr>
        <w:spacing w:after="0" w:line="360" w:lineRule="auto"/>
        <w:jc w:val="both"/>
        <w:rPr>
          <w:rFonts w:ascii="Book Antiqua" w:eastAsia="Times New Roman" w:hAnsi="Book Antiqua"/>
          <w:b/>
          <w:color w:val="000000"/>
          <w:sz w:val="24"/>
        </w:rPr>
      </w:pPr>
      <w:r w:rsidRPr="00A02A04">
        <w:rPr>
          <w:rFonts w:ascii="Book Antiqua" w:eastAsia="Times New Roman" w:hAnsi="Book Antiqua"/>
          <w:b/>
          <w:color w:val="000000"/>
          <w:sz w:val="24"/>
        </w:rPr>
        <w:t>Telephone:</w:t>
      </w:r>
      <w:r w:rsidRPr="00A02A04">
        <w:rPr>
          <w:rFonts w:ascii="Book Antiqua" w:hAnsi="Book Antiqua"/>
          <w:b/>
          <w:color w:val="000000"/>
          <w:sz w:val="24"/>
          <w:lang w:eastAsia="zh-CN"/>
        </w:rPr>
        <w:t xml:space="preserve"> </w:t>
      </w:r>
      <w:r w:rsidRPr="00A02A04">
        <w:rPr>
          <w:rFonts w:ascii="Book Antiqua" w:eastAsia="AdvAGaramond-R" w:hAnsi="Book Antiqua"/>
          <w:color w:val="000000"/>
          <w:sz w:val="24"/>
          <w:szCs w:val="24"/>
          <w:lang w:val="en-US"/>
        </w:rPr>
        <w:t>+39</w:t>
      </w:r>
      <w:r w:rsidRPr="00A02A04">
        <w:rPr>
          <w:rFonts w:ascii="Book Antiqua" w:hAnsi="Book Antiqua"/>
          <w:color w:val="000000"/>
          <w:sz w:val="24"/>
          <w:szCs w:val="24"/>
          <w:lang w:val="en-US" w:eastAsia="zh-CN"/>
        </w:rPr>
        <w:t>-</w:t>
      </w:r>
      <w:r w:rsidRPr="00A02A04">
        <w:rPr>
          <w:rFonts w:ascii="Book Antiqua" w:eastAsia="AdvAGaramond-R" w:hAnsi="Book Antiqua"/>
          <w:color w:val="000000"/>
          <w:sz w:val="24"/>
          <w:szCs w:val="24"/>
          <w:lang w:val="en-US"/>
        </w:rPr>
        <w:t>55</w:t>
      </w:r>
      <w:r w:rsidRPr="00A02A04">
        <w:rPr>
          <w:rFonts w:ascii="Book Antiqua" w:hAnsi="Book Antiqua"/>
          <w:color w:val="000000"/>
          <w:sz w:val="24"/>
          <w:szCs w:val="24"/>
          <w:lang w:val="en-US" w:eastAsia="zh-CN"/>
        </w:rPr>
        <w:t>-</w:t>
      </w:r>
      <w:r w:rsidRPr="00A02A04">
        <w:rPr>
          <w:rFonts w:ascii="Book Antiqua" w:eastAsia="AdvAGaramond-R" w:hAnsi="Book Antiqua"/>
          <w:color w:val="000000"/>
          <w:sz w:val="24"/>
          <w:szCs w:val="24"/>
          <w:lang w:val="en-US"/>
        </w:rPr>
        <w:t xml:space="preserve">7945425 </w:t>
      </w:r>
      <w:r w:rsidRPr="00A02A04">
        <w:rPr>
          <w:rFonts w:ascii="Book Antiqua" w:hAnsi="Book Antiqua"/>
          <w:color w:val="000000"/>
          <w:sz w:val="24"/>
          <w:szCs w:val="24"/>
          <w:lang w:val="en-US" w:eastAsia="zh-CN"/>
        </w:rPr>
        <w:t xml:space="preserve">      </w:t>
      </w:r>
      <w:r w:rsidRPr="00A02A04">
        <w:rPr>
          <w:rFonts w:ascii="Book Antiqua" w:eastAsia="Times New Roman" w:hAnsi="Book Antiqua"/>
          <w:b/>
          <w:color w:val="000000"/>
          <w:sz w:val="24"/>
        </w:rPr>
        <w:t>Fax:</w:t>
      </w:r>
      <w:r w:rsidRPr="00A02A04">
        <w:rPr>
          <w:rFonts w:ascii="Book Antiqua" w:hAnsi="Book Antiqua"/>
          <w:b/>
          <w:color w:val="000000"/>
          <w:sz w:val="24"/>
          <w:lang w:eastAsia="zh-CN"/>
        </w:rPr>
        <w:t xml:space="preserve"> </w:t>
      </w:r>
      <w:r w:rsidRPr="00A02A04">
        <w:rPr>
          <w:rFonts w:ascii="Book Antiqua" w:eastAsia="AdvAGaramond-R" w:hAnsi="Book Antiqua"/>
          <w:color w:val="000000"/>
          <w:sz w:val="24"/>
          <w:szCs w:val="24"/>
          <w:lang w:val="en-US"/>
        </w:rPr>
        <w:t>+39</w:t>
      </w:r>
      <w:r w:rsidRPr="00A02A04">
        <w:rPr>
          <w:rFonts w:ascii="Book Antiqua" w:hAnsi="Book Antiqua"/>
          <w:color w:val="000000"/>
          <w:sz w:val="24"/>
          <w:szCs w:val="24"/>
          <w:lang w:val="en-US" w:eastAsia="zh-CN"/>
        </w:rPr>
        <w:t>-</w:t>
      </w:r>
      <w:r w:rsidRPr="00A02A04">
        <w:rPr>
          <w:rFonts w:ascii="Book Antiqua" w:eastAsia="AdvAGaramond-R" w:hAnsi="Book Antiqua"/>
          <w:color w:val="000000"/>
          <w:sz w:val="24"/>
          <w:szCs w:val="24"/>
          <w:lang w:val="en-US"/>
        </w:rPr>
        <w:t>55</w:t>
      </w:r>
      <w:r w:rsidRPr="00A02A04">
        <w:rPr>
          <w:rFonts w:ascii="Book Antiqua" w:hAnsi="Book Antiqua"/>
          <w:color w:val="000000"/>
          <w:sz w:val="24"/>
          <w:szCs w:val="24"/>
          <w:lang w:val="en-US" w:eastAsia="zh-CN"/>
        </w:rPr>
        <w:t>-</w:t>
      </w:r>
      <w:r w:rsidRPr="00A02A04">
        <w:rPr>
          <w:rFonts w:ascii="Book Antiqua" w:eastAsia="AdvAGaramond-R" w:hAnsi="Book Antiqua"/>
          <w:color w:val="000000"/>
          <w:sz w:val="24"/>
          <w:szCs w:val="24"/>
          <w:lang w:val="en-US"/>
        </w:rPr>
        <w:t>417123</w:t>
      </w:r>
    </w:p>
    <w:p w:rsidR="003C29A3" w:rsidRPr="00A02A04" w:rsidRDefault="003C29A3" w:rsidP="009E446B">
      <w:pPr>
        <w:spacing w:after="0" w:line="360" w:lineRule="auto"/>
        <w:jc w:val="both"/>
        <w:rPr>
          <w:rFonts w:ascii="Book Antiqua" w:hAnsi="Book Antiqua"/>
          <w:color w:val="000000"/>
          <w:sz w:val="24"/>
          <w:szCs w:val="24"/>
          <w:lang w:val="it-IT" w:eastAsia="zh-CN"/>
        </w:rPr>
      </w:pPr>
    </w:p>
    <w:p w:rsidR="003C29A3" w:rsidRPr="00A02A04" w:rsidRDefault="003C29A3" w:rsidP="009E446B">
      <w:pPr>
        <w:spacing w:after="0" w:line="360" w:lineRule="auto"/>
        <w:jc w:val="both"/>
        <w:rPr>
          <w:rFonts w:ascii="Book Antiqua" w:hAnsi="Book Antiqua"/>
          <w:b/>
          <w:color w:val="000000"/>
          <w:sz w:val="24"/>
          <w:lang w:eastAsia="zh-CN"/>
        </w:rPr>
      </w:pPr>
      <w:r w:rsidRPr="00A02A04">
        <w:rPr>
          <w:rFonts w:ascii="Book Antiqua" w:eastAsia="Times New Roman" w:hAnsi="Book Antiqua"/>
          <w:b/>
          <w:color w:val="000000"/>
          <w:sz w:val="24"/>
        </w:rPr>
        <w:t>Received:</w:t>
      </w:r>
      <w:bookmarkStart w:id="0" w:name="OLE_LINK131"/>
      <w:bookmarkStart w:id="1" w:name="OLE_LINK132"/>
      <w:bookmarkStart w:id="2" w:name="OLE_LINK141"/>
      <w:bookmarkStart w:id="3" w:name="OLE_LINK151"/>
      <w:r w:rsidRPr="00A02A04">
        <w:rPr>
          <w:rFonts w:ascii="Book Antiqua" w:eastAsia="Times New Roman" w:hAnsi="Book Antiqua"/>
          <w:color w:val="000000"/>
          <w:sz w:val="24"/>
          <w:szCs w:val="24"/>
        </w:rPr>
        <w:t xml:space="preserve"> May</w:t>
      </w:r>
      <w:bookmarkEnd w:id="0"/>
      <w:bookmarkEnd w:id="1"/>
      <w:bookmarkEnd w:id="2"/>
      <w:bookmarkEnd w:id="3"/>
      <w:r w:rsidRPr="00A02A04">
        <w:rPr>
          <w:rFonts w:ascii="Book Antiqua" w:hAnsi="Book Antiqua"/>
          <w:color w:val="000000"/>
          <w:sz w:val="24"/>
          <w:szCs w:val="24"/>
          <w:lang w:eastAsia="zh-CN"/>
        </w:rPr>
        <w:t xml:space="preserve"> 20, 2013             </w:t>
      </w:r>
      <w:r w:rsidRPr="00A02A04">
        <w:rPr>
          <w:rFonts w:ascii="Book Antiqua" w:eastAsia="Times New Roman" w:hAnsi="Book Antiqua"/>
          <w:b/>
          <w:color w:val="000000"/>
          <w:sz w:val="24"/>
        </w:rPr>
        <w:t xml:space="preserve"> Revised: </w:t>
      </w:r>
      <w:r w:rsidRPr="00A02A04">
        <w:rPr>
          <w:rFonts w:ascii="Book Antiqua" w:eastAsia="Times New Roman" w:hAnsi="Book Antiqua"/>
          <w:color w:val="000000"/>
          <w:sz w:val="24"/>
          <w:szCs w:val="24"/>
        </w:rPr>
        <w:t>August</w:t>
      </w:r>
      <w:r w:rsidRPr="00A02A04">
        <w:rPr>
          <w:rFonts w:ascii="Book Antiqua" w:hAnsi="Book Antiqua"/>
          <w:color w:val="000000"/>
          <w:sz w:val="24"/>
          <w:szCs w:val="24"/>
          <w:lang w:eastAsia="zh-CN"/>
        </w:rPr>
        <w:t xml:space="preserve"> 19, 2013</w:t>
      </w:r>
    </w:p>
    <w:p w:rsidR="00F03B90" w:rsidRPr="00AA44A7" w:rsidRDefault="003C29A3" w:rsidP="00F03B90">
      <w:pPr>
        <w:rPr>
          <w:rFonts w:ascii="Book Antiqua" w:hAnsi="Book Antiqua"/>
          <w:sz w:val="24"/>
          <w:szCs w:val="24"/>
        </w:rPr>
      </w:pPr>
      <w:r w:rsidRPr="00A02A04">
        <w:rPr>
          <w:rFonts w:ascii="Book Antiqua" w:eastAsia="Times New Roman" w:hAnsi="Book Antiqua"/>
          <w:b/>
          <w:color w:val="000000"/>
          <w:sz w:val="24"/>
        </w:rPr>
        <w:t xml:space="preserve">Accepted: </w:t>
      </w:r>
      <w:r w:rsidR="00F03B90" w:rsidRPr="00AA44A7">
        <w:rPr>
          <w:rFonts w:ascii="Book Antiqua" w:hAnsi="Book Antiqua"/>
          <w:sz w:val="24"/>
          <w:szCs w:val="24"/>
        </w:rPr>
        <w:t>August 28, 2013</w:t>
      </w:r>
    </w:p>
    <w:p w:rsidR="003C29A3" w:rsidRPr="00A02A04" w:rsidRDefault="003C29A3" w:rsidP="009E446B">
      <w:pPr>
        <w:spacing w:after="0" w:line="360" w:lineRule="auto"/>
        <w:jc w:val="both"/>
        <w:rPr>
          <w:rFonts w:ascii="Book Antiqua" w:eastAsia="Times New Roman" w:hAnsi="Book Antiqua"/>
          <w:b/>
          <w:color w:val="000000"/>
          <w:sz w:val="24"/>
        </w:rPr>
      </w:pPr>
      <w:bookmarkStart w:id="4" w:name="_GoBack"/>
      <w:bookmarkEnd w:id="4"/>
    </w:p>
    <w:p w:rsidR="003C29A3" w:rsidRPr="00A02A04" w:rsidRDefault="003C29A3" w:rsidP="009E446B">
      <w:pPr>
        <w:spacing w:after="0" w:line="360" w:lineRule="auto"/>
        <w:jc w:val="both"/>
        <w:rPr>
          <w:rFonts w:ascii="Book Antiqua" w:eastAsia="Times New Roman" w:hAnsi="Book Antiqua"/>
          <w:color w:val="000000"/>
          <w:sz w:val="24"/>
        </w:rPr>
      </w:pPr>
      <w:r w:rsidRPr="00A02A04">
        <w:rPr>
          <w:rFonts w:ascii="Book Antiqua" w:eastAsia="Times New Roman" w:hAnsi="Book Antiqua"/>
          <w:b/>
          <w:color w:val="000000"/>
          <w:sz w:val="24"/>
        </w:rPr>
        <w:t xml:space="preserve">Published online: </w:t>
      </w:r>
    </w:p>
    <w:p w:rsidR="003C29A3" w:rsidRPr="00A02A04" w:rsidRDefault="003C29A3" w:rsidP="009E446B">
      <w:pPr>
        <w:spacing w:after="0" w:line="360" w:lineRule="auto"/>
        <w:jc w:val="both"/>
        <w:rPr>
          <w:rFonts w:ascii="Book Antiqua" w:eastAsia="AdvAGaramond-R" w:hAnsi="Book Antiqua"/>
          <w:b/>
          <w:color w:val="000000"/>
          <w:sz w:val="24"/>
          <w:szCs w:val="24"/>
          <w:lang w:val="en-US"/>
        </w:rPr>
      </w:pPr>
      <w:r w:rsidRPr="00A02A04">
        <w:rPr>
          <w:rFonts w:ascii="Book Antiqua" w:eastAsia="AdvAGaramond-R" w:hAnsi="Book Antiqua"/>
          <w:b/>
          <w:color w:val="000000"/>
          <w:sz w:val="24"/>
          <w:szCs w:val="24"/>
          <w:lang w:val="en-US"/>
        </w:rPr>
        <w:br w:type="page"/>
      </w:r>
    </w:p>
    <w:p w:rsidR="003C29A3" w:rsidRPr="00A02A04" w:rsidRDefault="003C29A3" w:rsidP="009E446B">
      <w:pPr>
        <w:autoSpaceDE w:val="0"/>
        <w:autoSpaceDN w:val="0"/>
        <w:adjustRightInd w:val="0"/>
        <w:spacing w:after="0" w:line="360" w:lineRule="auto"/>
        <w:jc w:val="both"/>
        <w:rPr>
          <w:rFonts w:ascii="Book Antiqua" w:eastAsia="AdvAGaramond-R" w:hAnsi="Book Antiqua"/>
          <w:b/>
          <w:color w:val="000000"/>
          <w:sz w:val="24"/>
          <w:szCs w:val="24"/>
          <w:lang w:val="en-US"/>
        </w:rPr>
      </w:pPr>
      <w:r w:rsidRPr="00A02A04">
        <w:rPr>
          <w:rFonts w:ascii="Book Antiqua" w:eastAsia="AdvAGaramond-R" w:hAnsi="Book Antiqua"/>
          <w:b/>
          <w:color w:val="000000"/>
          <w:sz w:val="24"/>
          <w:szCs w:val="24"/>
          <w:lang w:val="en-US"/>
        </w:rPr>
        <w:t>Abstract</w:t>
      </w:r>
    </w:p>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eastAsia="AdvAGaramond-R" w:hAnsi="Book Antiqua"/>
          <w:b/>
          <w:color w:val="000000"/>
          <w:sz w:val="24"/>
          <w:szCs w:val="24"/>
          <w:lang w:val="en-US"/>
        </w:rPr>
        <w:t xml:space="preserve">AIM: </w:t>
      </w:r>
      <w:r w:rsidRPr="00A02A04">
        <w:rPr>
          <w:rFonts w:ascii="Book Antiqua" w:eastAsia="AdvAGaramond-R" w:hAnsi="Book Antiqua"/>
          <w:color w:val="000000"/>
          <w:sz w:val="24"/>
          <w:szCs w:val="24"/>
          <w:lang w:val="en-US"/>
        </w:rPr>
        <w:t xml:space="preserve">To investigate in greater detail the efficacy and safety of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for the treatment of hepatocellular carcinoma (HCC) in patients with established cirrhosis.</w:t>
      </w:r>
    </w:p>
    <w:p w:rsidR="003C29A3" w:rsidRPr="00A02A04" w:rsidRDefault="003C29A3" w:rsidP="009E446B">
      <w:pPr>
        <w:spacing w:after="0" w:line="360" w:lineRule="auto"/>
        <w:jc w:val="both"/>
        <w:rPr>
          <w:rFonts w:ascii="Book Antiqua" w:hAnsi="Book Antiqua"/>
          <w:color w:val="000000"/>
          <w:sz w:val="24"/>
          <w:szCs w:val="24"/>
          <w:lang w:val="en-US" w:eastAsia="zh-CN"/>
        </w:rPr>
      </w:pPr>
    </w:p>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eastAsia="AdvAGaramond-R" w:hAnsi="Book Antiqua"/>
          <w:b/>
          <w:color w:val="000000"/>
          <w:sz w:val="24"/>
          <w:szCs w:val="24"/>
          <w:lang w:val="en-US"/>
        </w:rPr>
        <w:t>METHODS</w:t>
      </w:r>
      <w:r w:rsidRPr="00A02A04">
        <w:rPr>
          <w:rFonts w:ascii="Book Antiqua" w:eastAsia="AdvAGaramond-R" w:hAnsi="Book Antiqua"/>
          <w:color w:val="000000"/>
          <w:sz w:val="24"/>
          <w:szCs w:val="24"/>
          <w:lang w:val="en-US"/>
        </w:rPr>
        <w:t xml:space="preserve">: From October 2009 to July 2012 patients with an established diagnosis of cirrhosis and HCC treated with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were consecutively enrolled. According to the Barcelona Clinic Liver Cancer (BCLC) classification, patients were in the advanced stage (BCLC-C) or in the intermediate stage (BCLC-B) but unfit or unresponsive to other therapeutic strategies. Treatment was evaluated performing a 4-phase </w:t>
      </w:r>
      <w:bookmarkStart w:id="5" w:name="OLE_LINK23"/>
      <w:bookmarkStart w:id="6" w:name="OLE_LINK24"/>
      <w:r w:rsidRPr="00A02A04">
        <w:rPr>
          <w:rFonts w:ascii="Book Antiqua" w:eastAsia="Times New Roman" w:hAnsi="Book Antiqua"/>
          <w:color w:val="000000"/>
          <w:sz w:val="24"/>
          <w:szCs w:val="24"/>
        </w:rPr>
        <w:t>computed tomography</w:t>
      </w:r>
      <w:bookmarkEnd w:id="5"/>
      <w:bookmarkEnd w:id="6"/>
      <w:r w:rsidRPr="00A02A04">
        <w:rPr>
          <w:rFonts w:ascii="Book Antiqua" w:eastAsia="AdvAGaramond-R" w:hAnsi="Book Antiqua"/>
          <w:color w:val="000000"/>
          <w:sz w:val="24"/>
          <w:szCs w:val="24"/>
          <w:lang w:val="en-US"/>
        </w:rPr>
        <w:t xml:space="preserve"> or </w:t>
      </w:r>
      <w:r w:rsidRPr="00A02A04">
        <w:rPr>
          <w:rFonts w:ascii="Book Antiqua" w:eastAsia="Times New Roman" w:hAnsi="Book Antiqua" w:cs="宋体"/>
          <w:color w:val="000000"/>
          <w:sz w:val="24"/>
          <w:szCs w:val="24"/>
        </w:rPr>
        <w:t xml:space="preserve">magnetic resonance </w:t>
      </w:r>
      <w:proofErr w:type="gramStart"/>
      <w:r w:rsidRPr="00A02A04">
        <w:rPr>
          <w:rFonts w:ascii="Book Antiqua" w:eastAsia="Times New Roman" w:hAnsi="Book Antiqua" w:cs="宋体"/>
          <w:color w:val="000000"/>
          <w:sz w:val="24"/>
          <w:szCs w:val="24"/>
        </w:rPr>
        <w:t>imaging</w:t>
      </w:r>
      <w:r w:rsidRPr="00A02A04">
        <w:rPr>
          <w:rFonts w:ascii="Book Antiqua" w:eastAsia="AdvAGaramond-R" w:hAnsi="Book Antiqua"/>
          <w:color w:val="000000"/>
          <w:sz w:val="24"/>
          <w:szCs w:val="24"/>
          <w:lang w:val="en-US"/>
        </w:rPr>
        <w:t xml:space="preserve"> scan</w:t>
      </w:r>
      <w:proofErr w:type="gramEnd"/>
      <w:r w:rsidRPr="00A02A04">
        <w:rPr>
          <w:rFonts w:ascii="Book Antiqua" w:eastAsia="AdvAGaramond-R" w:hAnsi="Book Antiqua"/>
          <w:color w:val="000000"/>
          <w:sz w:val="24"/>
          <w:szCs w:val="24"/>
          <w:lang w:val="en-US"/>
        </w:rPr>
        <w:t xml:space="preserve"> every 2-3 </w:t>
      </w:r>
      <w:proofErr w:type="spellStart"/>
      <w:r w:rsidRPr="00A02A04">
        <w:rPr>
          <w:rFonts w:ascii="Book Antiqua" w:eastAsia="AdvAGaramond-R" w:hAnsi="Book Antiqua"/>
          <w:color w:val="000000"/>
          <w:sz w:val="24"/>
          <w:szCs w:val="24"/>
          <w:lang w:val="en-US"/>
        </w:rPr>
        <w:t>mo</w:t>
      </w:r>
      <w:proofErr w:type="spellEnd"/>
      <w:r w:rsidRPr="00A02A04">
        <w:rPr>
          <w:rFonts w:ascii="Book Antiqua" w:eastAsia="AdvAGaramond-R" w:hAnsi="Book Antiqua"/>
          <w:color w:val="000000"/>
          <w:sz w:val="24"/>
          <w:szCs w:val="24"/>
          <w:lang w:val="en-US"/>
        </w:rPr>
        <w:t xml:space="preserve">, and analyzed according to the modified Response Evaluation Criteria in Solid Tumors.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was administered at 800 mg/d</w:t>
      </w:r>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 xml:space="preserve">until radiological progression or occurrence of unacceptable adverse events (AEs). </w:t>
      </w:r>
      <w:proofErr w:type="spellStart"/>
      <w:r w:rsidRPr="00A02A04">
        <w:rPr>
          <w:rFonts w:ascii="Book Antiqua" w:eastAsia="AdvAGaramond-R" w:hAnsi="Book Antiqua"/>
          <w:color w:val="000000"/>
          <w:sz w:val="24"/>
          <w:szCs w:val="24"/>
          <w:lang w:val="en-US"/>
        </w:rPr>
        <w:t>Univariate</w:t>
      </w:r>
      <w:proofErr w:type="spellEnd"/>
      <w:r w:rsidRPr="00A02A04">
        <w:rPr>
          <w:rFonts w:ascii="Book Antiqua" w:eastAsia="AdvAGaramond-R" w:hAnsi="Book Antiqua"/>
          <w:color w:val="000000"/>
          <w:sz w:val="24"/>
          <w:szCs w:val="24"/>
          <w:lang w:val="en-US"/>
        </w:rPr>
        <w:t xml:space="preserve"> and multivariate analyses identified predictors of 16-week clinical benefit and overall survival.</w:t>
      </w:r>
    </w:p>
    <w:p w:rsidR="003C29A3" w:rsidRPr="00A02A04" w:rsidRDefault="003C29A3" w:rsidP="009E446B">
      <w:pPr>
        <w:spacing w:after="0" w:line="360" w:lineRule="auto"/>
        <w:jc w:val="both"/>
        <w:rPr>
          <w:rFonts w:ascii="Book Antiqua" w:hAnsi="Book Antiqua"/>
          <w:color w:val="000000"/>
          <w:sz w:val="24"/>
          <w:szCs w:val="24"/>
          <w:lang w:val="en-US" w:eastAsia="zh-CN"/>
        </w:rPr>
      </w:pPr>
    </w:p>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eastAsia="AdvAGaramond-R" w:hAnsi="Book Antiqua"/>
          <w:b/>
          <w:color w:val="000000"/>
          <w:sz w:val="24"/>
          <w:szCs w:val="24"/>
          <w:lang w:val="en-US"/>
        </w:rPr>
        <w:t>RESULTS:</w:t>
      </w:r>
      <w:r w:rsidRPr="00A02A04">
        <w:rPr>
          <w:rFonts w:ascii="Book Antiqua" w:eastAsia="AdvAGaramond-R" w:hAnsi="Book Antiqua"/>
          <w:color w:val="000000"/>
          <w:sz w:val="24"/>
          <w:szCs w:val="24"/>
          <w:lang w:val="en-US"/>
        </w:rPr>
        <w:t xml:space="preserve"> </w:t>
      </w:r>
      <w:r>
        <w:rPr>
          <w:rFonts w:ascii="Book Antiqua" w:hAnsi="Book Antiqua"/>
          <w:color w:val="000000"/>
          <w:sz w:val="24"/>
          <w:szCs w:val="24"/>
          <w:lang w:val="en-US" w:eastAsia="zh-CN"/>
        </w:rPr>
        <w:t xml:space="preserve">About </w:t>
      </w:r>
      <w:r w:rsidRPr="00A02A04">
        <w:rPr>
          <w:rFonts w:ascii="Book Antiqua" w:eastAsia="AdvAGaramond-R" w:hAnsi="Book Antiqua"/>
          <w:color w:val="000000"/>
          <w:sz w:val="24"/>
          <w:szCs w:val="24"/>
          <w:lang w:val="en-US"/>
        </w:rPr>
        <w:t xml:space="preserve">44 patients were enrolled, 15 had intermediate HCC and </w:t>
      </w:r>
      <w:smartTag w:uri="urn:schemas-microsoft-com:office:smarttags" w:element="chmetcnv">
        <w:smartTagPr>
          <w:attr w:name="UnitName" w:val="a"/>
          <w:attr w:name="SourceValue" w:val="14"/>
          <w:attr w:name="HasSpace" w:val="True"/>
          <w:attr w:name="Negative" w:val="False"/>
          <w:attr w:name="NumberType" w:val="1"/>
          <w:attr w:name="TCSC" w:val="0"/>
        </w:smartTagPr>
        <w:r w:rsidRPr="00A02A04">
          <w:rPr>
            <w:rFonts w:ascii="Book Antiqua" w:eastAsia="AdvAGaramond-R" w:hAnsi="Book Antiqua"/>
            <w:color w:val="000000"/>
            <w:sz w:val="24"/>
            <w:szCs w:val="24"/>
            <w:lang w:val="en-US"/>
          </w:rPr>
          <w:t>14 a</w:t>
        </w:r>
      </w:smartTag>
      <w:r w:rsidRPr="00A02A04">
        <w:rPr>
          <w:rFonts w:ascii="Book Antiqua" w:eastAsia="AdvAGaramond-R" w:hAnsi="Book Antiqua"/>
          <w:color w:val="000000"/>
          <w:sz w:val="24"/>
          <w:szCs w:val="24"/>
          <w:lang w:val="en-US"/>
        </w:rPr>
        <w:t xml:space="preserve"> Child-Pugh score of B7. AEs caused treatment interruption in 19 patients (43%), and median treatment duration was shorter in this subset (5 </w:t>
      </w:r>
      <w:proofErr w:type="spellStart"/>
      <w:r w:rsidRPr="00A02A04">
        <w:rPr>
          <w:rFonts w:ascii="Book Antiqua" w:eastAsia="AdvAGaramond-R" w:hAnsi="Book Antiqua"/>
          <w:color w:val="000000"/>
          <w:sz w:val="24"/>
          <w:szCs w:val="24"/>
          <w:lang w:val="en-US"/>
        </w:rPr>
        <w:t>wk</w:t>
      </w:r>
      <w:proofErr w:type="spellEnd"/>
      <w:r w:rsidRPr="00A02A04">
        <w:rPr>
          <w:rFonts w:ascii="Book Antiqua" w:eastAsia="AdvAGaramond-R" w:hAnsi="Book Antiqua"/>
          <w:i/>
          <w:color w:val="000000"/>
          <w:sz w:val="24"/>
          <w:szCs w:val="24"/>
          <w:lang w:val="en-US"/>
        </w:rPr>
        <w:t xml:space="preserve"> </w:t>
      </w:r>
      <w:proofErr w:type="spellStart"/>
      <w:r w:rsidRPr="00A02A04">
        <w:rPr>
          <w:rFonts w:ascii="Book Antiqua" w:eastAsia="AdvAGaramond-R" w:hAnsi="Book Antiqua"/>
          <w:i/>
          <w:color w:val="000000"/>
          <w:sz w:val="24"/>
          <w:szCs w:val="24"/>
          <w:lang w:val="en-US"/>
        </w:rPr>
        <w:t>vs</w:t>
      </w:r>
      <w:proofErr w:type="spellEnd"/>
      <w:r w:rsidRPr="00A02A04">
        <w:rPr>
          <w:rFonts w:ascii="Book Antiqua" w:eastAsia="AdvAGaramond-R" w:hAnsi="Book Antiqua"/>
          <w:color w:val="000000"/>
          <w:sz w:val="24"/>
          <w:szCs w:val="24"/>
          <w:lang w:val="en-US"/>
        </w:rPr>
        <w:t xml:space="preserve"> 19 </w:t>
      </w:r>
      <w:proofErr w:type="spellStart"/>
      <w:r w:rsidRPr="00A02A04">
        <w:rPr>
          <w:rFonts w:ascii="Book Antiqua" w:eastAsia="AdvAGaramond-R" w:hAnsi="Book Antiqua"/>
          <w:color w:val="000000"/>
          <w:sz w:val="24"/>
          <w:szCs w:val="24"/>
          <w:lang w:val="en-US"/>
        </w:rPr>
        <w:t>wk</w:t>
      </w:r>
      <w:proofErr w:type="spellEnd"/>
      <w:r w:rsidRPr="00A02A04">
        <w:rPr>
          <w:rFonts w:ascii="Book Antiqua" w:eastAsia="AdvAGaramond-R" w:hAnsi="Book Antiqua"/>
          <w:color w:val="000000"/>
          <w:sz w:val="24"/>
          <w:szCs w:val="24"/>
          <w:lang w:val="en-US"/>
        </w:rPr>
        <w:t xml:space="preserve">, </w:t>
      </w:r>
      <w:r w:rsidRPr="00A02A04">
        <w:rPr>
          <w:rFonts w:ascii="Book Antiqua" w:eastAsia="AdvAGaramond-R" w:hAnsi="Book Antiqua"/>
          <w:i/>
          <w:color w:val="000000"/>
          <w:sz w:val="24"/>
          <w:szCs w:val="24"/>
          <w:lang w:val="en-US"/>
        </w:rPr>
        <w:t>P &lt;</w:t>
      </w:r>
      <w:r w:rsidRPr="00A02A04">
        <w:rPr>
          <w:rFonts w:ascii="Book Antiqua" w:hAnsi="Book Antiqua"/>
          <w:i/>
          <w:color w:val="000000"/>
          <w:sz w:val="24"/>
          <w:szCs w:val="24"/>
          <w:lang w:val="en-US" w:eastAsia="zh-CN"/>
        </w:rPr>
        <w:t xml:space="preserve"> </w:t>
      </w:r>
      <w:r w:rsidRPr="00A02A04">
        <w:rPr>
          <w:rFonts w:ascii="Book Antiqua" w:eastAsia="AdvAGaramond-R" w:hAnsi="Book Antiqua"/>
          <w:color w:val="000000"/>
          <w:sz w:val="24"/>
          <w:szCs w:val="24"/>
          <w:lang w:val="en-US"/>
        </w:rPr>
        <w:t xml:space="preserve">0.001) and in the BCLC-C subgroup (13 </w:t>
      </w:r>
      <w:proofErr w:type="spellStart"/>
      <w:r w:rsidRPr="00A02A04">
        <w:rPr>
          <w:rFonts w:ascii="Book Antiqua" w:eastAsia="AdvAGaramond-R" w:hAnsi="Book Antiqua"/>
          <w:color w:val="000000"/>
          <w:sz w:val="24"/>
          <w:szCs w:val="24"/>
          <w:lang w:val="en-US"/>
        </w:rPr>
        <w:t>wk</w:t>
      </w:r>
      <w:proofErr w:type="spellEnd"/>
      <w:r w:rsidRPr="00A02A04">
        <w:rPr>
          <w:rFonts w:ascii="Book Antiqua" w:eastAsia="AdvAGaramond-R" w:hAnsi="Book Antiqua"/>
          <w:i/>
          <w:color w:val="000000"/>
          <w:sz w:val="24"/>
          <w:szCs w:val="24"/>
          <w:lang w:val="en-US"/>
        </w:rPr>
        <w:t xml:space="preserve"> </w:t>
      </w:r>
      <w:proofErr w:type="spellStart"/>
      <w:r w:rsidRPr="00A02A04">
        <w:rPr>
          <w:rFonts w:ascii="Book Antiqua" w:eastAsia="AdvAGaramond-R" w:hAnsi="Book Antiqua"/>
          <w:i/>
          <w:color w:val="000000"/>
          <w:sz w:val="24"/>
          <w:szCs w:val="24"/>
          <w:lang w:val="en-US"/>
        </w:rPr>
        <w:t>vs</w:t>
      </w:r>
      <w:proofErr w:type="spellEnd"/>
      <w:r w:rsidRPr="00A02A04">
        <w:rPr>
          <w:rFonts w:ascii="Book Antiqua" w:eastAsia="AdvAGaramond-R" w:hAnsi="Book Antiqua"/>
          <w:color w:val="000000"/>
          <w:sz w:val="24"/>
          <w:szCs w:val="24"/>
          <w:lang w:val="en-US"/>
        </w:rPr>
        <w:t xml:space="preserve"> 40 </w:t>
      </w:r>
      <w:proofErr w:type="spellStart"/>
      <w:r w:rsidRPr="00A02A04">
        <w:rPr>
          <w:rFonts w:ascii="Book Antiqua" w:eastAsia="AdvAGaramond-R" w:hAnsi="Book Antiqua"/>
          <w:color w:val="000000"/>
          <w:sz w:val="24"/>
          <w:szCs w:val="24"/>
          <w:lang w:val="en-US"/>
        </w:rPr>
        <w:t>wk</w:t>
      </w:r>
      <w:proofErr w:type="spellEnd"/>
      <w:r w:rsidRPr="00A02A04">
        <w:rPr>
          <w:rFonts w:ascii="Book Antiqua" w:eastAsia="AdvAGaramond-R" w:hAnsi="Book Antiqua"/>
          <w:color w:val="000000"/>
          <w:sz w:val="24"/>
          <w:szCs w:val="24"/>
          <w:lang w:val="en-US"/>
        </w:rPr>
        <w:t xml:space="preserve">, </w:t>
      </w:r>
      <w:r w:rsidRPr="00A02A04">
        <w:rPr>
          <w:rFonts w:ascii="Book Antiqua" w:eastAsia="AdvAGaramond-R" w:hAnsi="Book Antiqua"/>
          <w:i/>
          <w:color w:val="000000"/>
          <w:sz w:val="24"/>
          <w:szCs w:val="24"/>
          <w:lang w:val="en-US"/>
        </w:rPr>
        <w:t xml:space="preserve">P = </w:t>
      </w:r>
      <w:r w:rsidRPr="00A02A04">
        <w:rPr>
          <w:rFonts w:ascii="Book Antiqua" w:eastAsia="AdvAGaramond-R" w:hAnsi="Book Antiqua"/>
          <w:color w:val="000000"/>
          <w:sz w:val="24"/>
          <w:szCs w:val="24"/>
          <w:lang w:val="en-US"/>
        </w:rPr>
        <w:t xml:space="preserve">0.015). </w:t>
      </w:r>
      <w:r w:rsidRPr="00A02A04">
        <w:rPr>
          <w:rFonts w:ascii="Book Antiqua" w:eastAsia="Times New Roman" w:hAnsi="Book Antiqua"/>
          <w:color w:val="000000"/>
          <w:sz w:val="24"/>
          <w:szCs w:val="24"/>
          <w:lang w:val="en-US"/>
        </w:rPr>
        <w:t xml:space="preserve">No significant differences in the reason for treatment interruption or in treatment duration were found comparing patients in Child-Pugh class A </w:t>
      </w:r>
      <w:proofErr w:type="spellStart"/>
      <w:r w:rsidRPr="00A02A04">
        <w:rPr>
          <w:rFonts w:ascii="Book Antiqua" w:eastAsia="Times New Roman" w:hAnsi="Book Antiqua"/>
          <w:i/>
          <w:color w:val="000000"/>
          <w:sz w:val="24"/>
          <w:szCs w:val="24"/>
          <w:lang w:val="en-US"/>
        </w:rPr>
        <w:t>vs</w:t>
      </w:r>
      <w:proofErr w:type="spellEnd"/>
      <w:r w:rsidRPr="00A02A04">
        <w:rPr>
          <w:rFonts w:ascii="Book Antiqua" w:eastAsia="Times New Roman" w:hAnsi="Book Antiqua"/>
          <w:color w:val="000000"/>
          <w:sz w:val="24"/>
          <w:szCs w:val="24"/>
          <w:lang w:val="en-US"/>
        </w:rPr>
        <w:t xml:space="preserve"> B or in patients older or younger than 70 y</w:t>
      </w:r>
      <w:r w:rsidRPr="00A02A04">
        <w:rPr>
          <w:rFonts w:ascii="Book Antiqua" w:hAnsi="Book Antiqua"/>
          <w:color w:val="000000"/>
          <w:sz w:val="24"/>
          <w:szCs w:val="24"/>
          <w:lang w:val="en-US" w:eastAsia="zh-CN"/>
        </w:rPr>
        <w:t>ears</w:t>
      </w:r>
      <w:r w:rsidRPr="00A02A04">
        <w:rPr>
          <w:rFonts w:ascii="Book Antiqua" w:eastAsia="Times New Roman" w:hAnsi="Book Antiqua"/>
          <w:color w:val="000000"/>
          <w:sz w:val="24"/>
          <w:szCs w:val="24"/>
          <w:lang w:val="en-US"/>
        </w:rPr>
        <w:t xml:space="preserve">. </w:t>
      </w:r>
      <w:r w:rsidRPr="00A02A04">
        <w:rPr>
          <w:rFonts w:ascii="Book Antiqua" w:eastAsia="AdvAGaramond-R" w:hAnsi="Book Antiqua"/>
          <w:color w:val="000000"/>
          <w:sz w:val="24"/>
          <w:szCs w:val="24"/>
          <w:lang w:val="en-US"/>
        </w:rPr>
        <w:t xml:space="preserve">After 16 </w:t>
      </w:r>
      <w:proofErr w:type="spellStart"/>
      <w:r w:rsidRPr="00A02A04">
        <w:rPr>
          <w:rFonts w:ascii="Book Antiqua" w:eastAsia="AdvAGaramond-R" w:hAnsi="Book Antiqua"/>
          <w:color w:val="000000"/>
          <w:sz w:val="24"/>
          <w:szCs w:val="24"/>
          <w:lang w:val="en-US"/>
        </w:rPr>
        <w:t>wk</w:t>
      </w:r>
      <w:proofErr w:type="spellEnd"/>
      <w:r w:rsidRPr="00A02A04">
        <w:rPr>
          <w:rFonts w:ascii="Book Antiqua" w:eastAsia="AdvAGaramond-R" w:hAnsi="Book Antiqua"/>
          <w:color w:val="000000"/>
          <w:sz w:val="24"/>
          <w:szCs w:val="24"/>
          <w:lang w:val="en-US"/>
        </w:rPr>
        <w:t xml:space="preserve"> of treatment, 18 patients (41%) had stable disease or partial response. Patients with viral infection or BCLC-C were at higher risk of disease progression. ECOG, </w:t>
      </w:r>
      <w:proofErr w:type="spellStart"/>
      <w:r w:rsidRPr="00A02A04">
        <w:rPr>
          <w:rFonts w:ascii="Book Antiqua" w:eastAsia="AdvAGaramond-R" w:hAnsi="Book Antiqua"/>
          <w:color w:val="000000"/>
          <w:sz w:val="24"/>
          <w:szCs w:val="24"/>
          <w:lang w:val="en-US"/>
        </w:rPr>
        <w:t>extrahepatic</w:t>
      </w:r>
      <w:proofErr w:type="spellEnd"/>
      <w:r w:rsidRPr="00A02A04">
        <w:rPr>
          <w:rFonts w:ascii="Book Antiqua" w:eastAsia="AdvAGaramond-R" w:hAnsi="Book Antiqua"/>
          <w:color w:val="000000"/>
          <w:sz w:val="24"/>
          <w:szCs w:val="24"/>
          <w:lang w:val="en-US"/>
        </w:rPr>
        <w:t xml:space="preserve"> spread, </w:t>
      </w:r>
      <w:proofErr w:type="spellStart"/>
      <w:r w:rsidRPr="00A02A04">
        <w:rPr>
          <w:rFonts w:ascii="Book Antiqua" w:eastAsia="AdvAGaramond-R" w:hAnsi="Book Antiqua"/>
          <w:color w:val="000000"/>
          <w:sz w:val="24"/>
          <w:szCs w:val="24"/>
          <w:lang w:val="en-US"/>
        </w:rPr>
        <w:t>macrovascular</w:t>
      </w:r>
      <w:proofErr w:type="spellEnd"/>
      <w:r w:rsidRPr="00A02A04">
        <w:rPr>
          <w:rFonts w:ascii="Book Antiqua" w:eastAsia="AdvAGaramond-R" w:hAnsi="Book Antiqua"/>
          <w:color w:val="000000"/>
          <w:sz w:val="24"/>
          <w:szCs w:val="24"/>
          <w:lang w:val="en-US"/>
        </w:rPr>
        <w:t xml:space="preserve"> invasion, alpha-fetoprotein (AFP) or alkaline phosphatase (ALP) levels at admission were independent predictors of overall survival.</w:t>
      </w:r>
    </w:p>
    <w:p w:rsidR="003C29A3" w:rsidRPr="00A02A04" w:rsidRDefault="003C29A3" w:rsidP="009E446B">
      <w:pPr>
        <w:spacing w:after="0" w:line="360" w:lineRule="auto"/>
        <w:jc w:val="both"/>
        <w:rPr>
          <w:rFonts w:ascii="Book Antiqua" w:hAnsi="Book Antiqua"/>
          <w:color w:val="000000"/>
          <w:sz w:val="24"/>
          <w:szCs w:val="24"/>
          <w:lang w:val="en-US" w:eastAsia="zh-CN"/>
        </w:rPr>
      </w:pPr>
    </w:p>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eastAsia="AdvAGaramond-R" w:hAnsi="Book Antiqua"/>
          <w:b/>
          <w:color w:val="000000"/>
          <w:sz w:val="24"/>
          <w:szCs w:val="24"/>
          <w:lang w:val="en-US"/>
        </w:rPr>
        <w:t>CONCLUSION</w:t>
      </w:r>
      <w:r w:rsidRPr="00A02A04">
        <w:rPr>
          <w:rFonts w:ascii="Book Antiqua" w:eastAsia="AdvAGaramond-R" w:hAnsi="Book Antiqua"/>
          <w:color w:val="000000"/>
          <w:sz w:val="24"/>
          <w:szCs w:val="24"/>
          <w:lang w:val="en-US"/>
        </w:rPr>
        <w:t xml:space="preserve">: In patients with cirrhosis and HCC treated with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AEs are a common cause of early treatment withdrawal. Vascular invasion and </w:t>
      </w:r>
      <w:proofErr w:type="spellStart"/>
      <w:r w:rsidRPr="00A02A04">
        <w:rPr>
          <w:rFonts w:ascii="Book Antiqua" w:eastAsia="AdvAGaramond-R" w:hAnsi="Book Antiqua"/>
          <w:color w:val="000000"/>
          <w:sz w:val="24"/>
          <w:szCs w:val="24"/>
          <w:lang w:val="en-US"/>
        </w:rPr>
        <w:t>extrahepatic</w:t>
      </w:r>
      <w:proofErr w:type="spellEnd"/>
      <w:r w:rsidRPr="00A02A04">
        <w:rPr>
          <w:rFonts w:ascii="Book Antiqua" w:eastAsia="AdvAGaramond-R" w:hAnsi="Book Antiqua"/>
          <w:color w:val="000000"/>
          <w:sz w:val="24"/>
          <w:szCs w:val="24"/>
          <w:lang w:val="en-US"/>
        </w:rPr>
        <w:t xml:space="preserve"> spread condition early response to treatment and survival. Baseline biochemical parameters may be helpful to identify patients at higher risk of shorter overall survival. </w:t>
      </w:r>
    </w:p>
    <w:p w:rsidR="003C29A3" w:rsidRPr="00A02A04" w:rsidRDefault="003C29A3" w:rsidP="009E446B">
      <w:pPr>
        <w:spacing w:after="0" w:line="360" w:lineRule="auto"/>
        <w:jc w:val="both"/>
        <w:rPr>
          <w:rFonts w:ascii="Book Antiqua" w:hAnsi="Book Antiqua"/>
          <w:color w:val="000000"/>
          <w:sz w:val="24"/>
          <w:szCs w:val="24"/>
          <w:lang w:val="en-US" w:eastAsia="zh-CN"/>
        </w:rPr>
      </w:pPr>
    </w:p>
    <w:p w:rsidR="003C29A3" w:rsidRPr="00A02A04" w:rsidRDefault="003C29A3" w:rsidP="009E446B">
      <w:pPr>
        <w:spacing w:line="360" w:lineRule="auto"/>
        <w:jc w:val="both"/>
        <w:rPr>
          <w:rFonts w:ascii="Book Antiqua" w:eastAsia="Times New Roman" w:hAnsi="Book Antiqua"/>
          <w:color w:val="000000"/>
          <w:sz w:val="24"/>
        </w:rPr>
      </w:pPr>
      <w:r w:rsidRPr="00A02A04">
        <w:rPr>
          <w:rFonts w:ascii="Book Antiqua" w:eastAsia="Times New Roman" w:hAnsi="Book Antiqua"/>
          <w:color w:val="000000"/>
          <w:sz w:val="24"/>
        </w:rPr>
        <w:lastRenderedPageBreak/>
        <w:t xml:space="preserve">© 2013 </w:t>
      </w:r>
      <w:proofErr w:type="spellStart"/>
      <w:r w:rsidRPr="00A02A04">
        <w:rPr>
          <w:rFonts w:ascii="Book Antiqua" w:eastAsia="Times New Roman" w:hAnsi="Book Antiqua"/>
          <w:color w:val="000000"/>
          <w:sz w:val="24"/>
        </w:rPr>
        <w:t>Baishideng</w:t>
      </w:r>
      <w:proofErr w:type="spellEnd"/>
      <w:r w:rsidRPr="00A02A04">
        <w:rPr>
          <w:rFonts w:ascii="Book Antiqua" w:eastAsia="Times New Roman" w:hAnsi="Book Antiqua"/>
          <w:color w:val="000000"/>
          <w:sz w:val="24"/>
        </w:rPr>
        <w:t>. All rights reserved.</w:t>
      </w:r>
    </w:p>
    <w:p w:rsidR="003C29A3" w:rsidRPr="00A02A04" w:rsidRDefault="003C29A3" w:rsidP="009E446B">
      <w:pPr>
        <w:spacing w:after="0" w:line="360" w:lineRule="auto"/>
        <w:jc w:val="both"/>
        <w:rPr>
          <w:rFonts w:ascii="Book Antiqua" w:hAnsi="Book Antiqua"/>
          <w:color w:val="000000"/>
          <w:sz w:val="24"/>
          <w:szCs w:val="24"/>
          <w:lang w:val="en-US" w:eastAsia="zh-CN"/>
        </w:rPr>
      </w:pPr>
    </w:p>
    <w:p w:rsidR="003C29A3" w:rsidRPr="00A02A04" w:rsidRDefault="003C29A3" w:rsidP="009E446B">
      <w:pPr>
        <w:spacing w:after="0" w:line="360" w:lineRule="auto"/>
        <w:jc w:val="both"/>
        <w:rPr>
          <w:rFonts w:ascii="Book Antiqua" w:eastAsia="AdvAGaramond-R" w:hAnsi="Book Antiqua"/>
          <w:color w:val="000000"/>
          <w:sz w:val="24"/>
          <w:szCs w:val="24"/>
          <w:lang w:val="en-US"/>
        </w:rPr>
      </w:pPr>
      <w:r w:rsidRPr="00A02A04">
        <w:rPr>
          <w:rFonts w:ascii="Book Antiqua" w:eastAsia="AdvAGaramond-R" w:hAnsi="Book Antiqua"/>
          <w:b/>
          <w:color w:val="000000"/>
          <w:sz w:val="24"/>
          <w:szCs w:val="24"/>
          <w:lang w:val="en-US"/>
        </w:rPr>
        <w:t xml:space="preserve">Keywords: </w:t>
      </w:r>
      <w:r w:rsidRPr="00A02A04">
        <w:rPr>
          <w:rFonts w:ascii="Book Antiqua" w:eastAsia="AdvAGaramond-R" w:hAnsi="Book Antiqua"/>
          <w:color w:val="000000"/>
          <w:sz w:val="24"/>
          <w:szCs w:val="24"/>
          <w:lang w:val="en-US"/>
        </w:rPr>
        <w:t>Hepatocellular carcinoma</w:t>
      </w:r>
      <w:r w:rsidRPr="00A02A04">
        <w:rPr>
          <w:rFonts w:ascii="Book Antiqua" w:hAnsi="Book Antiqua"/>
          <w:color w:val="000000"/>
          <w:sz w:val="24"/>
          <w:szCs w:val="24"/>
          <w:lang w:val="en-US" w:eastAsia="zh-CN"/>
        </w:rPr>
        <w:t>;</w:t>
      </w:r>
      <w:r w:rsidRPr="00A02A04">
        <w:rPr>
          <w:rFonts w:ascii="Book Antiqua" w:eastAsia="AdvAGaramond-R" w:hAnsi="Book Antiqua"/>
          <w:color w:val="000000"/>
          <w:sz w:val="24"/>
          <w:szCs w:val="24"/>
          <w:lang w:val="en-US"/>
        </w:rPr>
        <w:t xml:space="preserve">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Cirrhosis</w:t>
      </w:r>
      <w:r w:rsidRPr="00A02A04">
        <w:rPr>
          <w:rFonts w:ascii="Book Antiqua" w:hAnsi="Book Antiqua"/>
          <w:color w:val="000000"/>
          <w:sz w:val="24"/>
          <w:szCs w:val="24"/>
          <w:lang w:val="en-US" w:eastAsia="zh-CN"/>
        </w:rPr>
        <w:t>;</w:t>
      </w:r>
      <w:r w:rsidRPr="00A02A04">
        <w:rPr>
          <w:rFonts w:ascii="Book Antiqua" w:eastAsia="AdvAGaramond-R" w:hAnsi="Book Antiqua"/>
          <w:color w:val="000000"/>
          <w:sz w:val="24"/>
          <w:szCs w:val="24"/>
          <w:lang w:val="en-US"/>
        </w:rPr>
        <w:t xml:space="preserve"> Adverse events</w:t>
      </w:r>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Barcelona Clinic Liver Cancer.</w:t>
      </w:r>
    </w:p>
    <w:p w:rsidR="003C29A3" w:rsidRPr="00A02A04" w:rsidRDefault="003C29A3" w:rsidP="009E446B">
      <w:pPr>
        <w:spacing w:after="0" w:line="360" w:lineRule="auto"/>
        <w:jc w:val="both"/>
        <w:rPr>
          <w:rFonts w:ascii="Book Antiqua" w:eastAsia="AdvAGaramond-R" w:hAnsi="Book Antiqua"/>
          <w:color w:val="000000"/>
          <w:sz w:val="24"/>
          <w:szCs w:val="24"/>
          <w:lang w:val="en-US"/>
        </w:rPr>
      </w:pPr>
    </w:p>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eastAsia="AdvAGaramond-R" w:hAnsi="Book Antiqua"/>
          <w:b/>
          <w:color w:val="000000"/>
          <w:sz w:val="24"/>
          <w:szCs w:val="24"/>
          <w:lang w:val="en-US"/>
        </w:rPr>
        <w:t>Core tip</w:t>
      </w:r>
      <w:r w:rsidRPr="00A02A04">
        <w:rPr>
          <w:rFonts w:ascii="Book Antiqua" w:hAnsi="Book Antiqua"/>
          <w:b/>
          <w:color w:val="000000"/>
          <w:sz w:val="24"/>
          <w:szCs w:val="24"/>
          <w:lang w:val="en-US" w:eastAsia="zh-CN"/>
        </w:rPr>
        <w:t xml:space="preserve">: </w:t>
      </w:r>
      <w:r w:rsidRPr="00A02A04">
        <w:rPr>
          <w:rFonts w:ascii="Book Antiqua" w:eastAsia="AdvAGaramond-R" w:hAnsi="Book Antiqua"/>
          <w:color w:val="000000"/>
          <w:sz w:val="24"/>
          <w:szCs w:val="24"/>
          <w:lang w:val="en-US"/>
        </w:rPr>
        <w:t xml:space="preserve">The study provides information on the clinical characteristics and laboratory findings that predict survival in patients with hepatocellular carcinoma and established cirrhosis. This group of patients is particularly fragile and difficult to treat, and therapy with systemic agents, including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requires careful monitoring. We report that parameters related to the tumor (</w:t>
      </w:r>
      <w:proofErr w:type="spellStart"/>
      <w:r w:rsidRPr="00A02A04">
        <w:rPr>
          <w:rFonts w:ascii="Book Antiqua" w:eastAsia="AdvAGaramond-R" w:hAnsi="Book Antiqua"/>
          <w:color w:val="000000"/>
          <w:sz w:val="24"/>
          <w:szCs w:val="24"/>
          <w:lang w:val="en-US"/>
        </w:rPr>
        <w:t>extrahepatic</w:t>
      </w:r>
      <w:proofErr w:type="spellEnd"/>
      <w:r w:rsidRPr="00A02A04">
        <w:rPr>
          <w:rFonts w:ascii="Book Antiqua" w:eastAsia="AdvAGaramond-R" w:hAnsi="Book Antiqua"/>
          <w:color w:val="000000"/>
          <w:sz w:val="24"/>
          <w:szCs w:val="24"/>
          <w:lang w:val="en-US"/>
        </w:rPr>
        <w:t xml:space="preserve"> spread, vascular invasion), common laboratory tests (alpha-fetoprotein or alkaline phosphatase) and patients characteristics (performance status) are significant predictors of overall survival in this group. These data provide important clinical information for the management of this type of patients.</w:t>
      </w:r>
    </w:p>
    <w:p w:rsidR="003C29A3" w:rsidRPr="00A02A04" w:rsidRDefault="003C29A3" w:rsidP="009E446B">
      <w:pPr>
        <w:spacing w:after="0" w:line="360" w:lineRule="auto"/>
        <w:jc w:val="both"/>
        <w:rPr>
          <w:rFonts w:ascii="Book Antiqua" w:hAnsi="Book Antiqua"/>
          <w:color w:val="000000"/>
          <w:sz w:val="24"/>
          <w:szCs w:val="24"/>
          <w:lang w:val="en-US" w:eastAsia="zh-CN"/>
        </w:rPr>
      </w:pPr>
    </w:p>
    <w:p w:rsidR="003C29A3" w:rsidRPr="00A02A04" w:rsidRDefault="003C29A3" w:rsidP="009E446B">
      <w:pPr>
        <w:spacing w:after="0" w:line="360" w:lineRule="auto"/>
        <w:jc w:val="both"/>
        <w:rPr>
          <w:rFonts w:ascii="Book Antiqua" w:hAnsi="Book Antiqua"/>
          <w:bCs/>
          <w:color w:val="000000"/>
          <w:sz w:val="24"/>
          <w:szCs w:val="24"/>
          <w:lang w:val="en-US" w:eastAsia="zh-CN"/>
        </w:rPr>
      </w:pPr>
      <w:proofErr w:type="spellStart"/>
      <w:r w:rsidRPr="00A02A04">
        <w:rPr>
          <w:rFonts w:ascii="Book Antiqua" w:eastAsia="AdvAGaramond-R" w:hAnsi="Book Antiqua"/>
          <w:bCs/>
          <w:color w:val="000000"/>
          <w:sz w:val="24"/>
          <w:szCs w:val="24"/>
          <w:lang w:val="en-US"/>
        </w:rPr>
        <w:t>Inghilesi</w:t>
      </w:r>
      <w:proofErr w:type="spellEnd"/>
      <w:r w:rsidRPr="00A02A04">
        <w:rPr>
          <w:rFonts w:ascii="Book Antiqua" w:hAnsi="Book Antiqua"/>
          <w:bCs/>
          <w:color w:val="000000"/>
          <w:sz w:val="24"/>
          <w:szCs w:val="24"/>
          <w:lang w:val="en-US" w:eastAsia="zh-CN"/>
        </w:rPr>
        <w:t xml:space="preserve"> AL</w:t>
      </w:r>
      <w:r w:rsidRPr="00A02A04">
        <w:rPr>
          <w:rFonts w:ascii="Book Antiqua" w:eastAsia="AdvAGaramond-R" w:hAnsi="Book Antiqua"/>
          <w:bCs/>
          <w:color w:val="000000"/>
          <w:sz w:val="24"/>
          <w:szCs w:val="24"/>
          <w:lang w:val="en-US"/>
        </w:rPr>
        <w:t xml:space="preserve">, </w:t>
      </w:r>
      <w:proofErr w:type="spellStart"/>
      <w:r w:rsidRPr="00A02A04">
        <w:rPr>
          <w:rFonts w:ascii="Book Antiqua" w:eastAsia="AdvAGaramond-R" w:hAnsi="Book Antiqua"/>
          <w:bCs/>
          <w:color w:val="000000"/>
          <w:sz w:val="24"/>
          <w:szCs w:val="24"/>
          <w:lang w:val="en-US"/>
        </w:rPr>
        <w:t>Gallori</w:t>
      </w:r>
      <w:proofErr w:type="spellEnd"/>
      <w:r w:rsidRPr="00A02A04">
        <w:rPr>
          <w:rFonts w:ascii="Book Antiqua" w:eastAsia="AdvAGaramond-R" w:hAnsi="Book Antiqua"/>
          <w:bCs/>
          <w:color w:val="000000"/>
          <w:sz w:val="24"/>
          <w:szCs w:val="24"/>
          <w:lang w:val="en-US"/>
        </w:rPr>
        <w:t xml:space="preserve"> </w:t>
      </w:r>
      <w:r w:rsidRPr="00A02A04">
        <w:rPr>
          <w:rFonts w:ascii="Book Antiqua" w:hAnsi="Book Antiqua"/>
          <w:bCs/>
          <w:color w:val="000000"/>
          <w:sz w:val="24"/>
          <w:szCs w:val="24"/>
          <w:lang w:val="en-US" w:eastAsia="zh-CN"/>
        </w:rPr>
        <w:t>D</w:t>
      </w:r>
      <w:r w:rsidRPr="00A02A04">
        <w:rPr>
          <w:rFonts w:ascii="Book Antiqua" w:eastAsia="AdvAGaramond-R" w:hAnsi="Book Antiqua"/>
          <w:bCs/>
          <w:color w:val="000000"/>
          <w:sz w:val="24"/>
          <w:szCs w:val="24"/>
          <w:lang w:val="en-US"/>
        </w:rPr>
        <w:t xml:space="preserve">, </w:t>
      </w:r>
      <w:proofErr w:type="spellStart"/>
      <w:r w:rsidRPr="00A02A04">
        <w:rPr>
          <w:rFonts w:ascii="Book Antiqua" w:eastAsia="AdvAGaramond-R" w:hAnsi="Book Antiqua"/>
          <w:bCs/>
          <w:color w:val="000000"/>
          <w:sz w:val="24"/>
          <w:szCs w:val="24"/>
          <w:lang w:val="en-US"/>
        </w:rPr>
        <w:t>Antonuzzo</w:t>
      </w:r>
      <w:proofErr w:type="spellEnd"/>
      <w:r w:rsidRPr="00A02A04">
        <w:rPr>
          <w:rFonts w:ascii="Book Antiqua" w:eastAsia="AdvAGaramond-R" w:hAnsi="Book Antiqua"/>
          <w:bCs/>
          <w:color w:val="000000"/>
          <w:sz w:val="24"/>
          <w:szCs w:val="24"/>
          <w:lang w:val="en-US"/>
        </w:rPr>
        <w:t xml:space="preserve"> </w:t>
      </w:r>
      <w:r w:rsidRPr="00A02A04">
        <w:rPr>
          <w:rFonts w:ascii="Book Antiqua" w:hAnsi="Book Antiqua"/>
          <w:bCs/>
          <w:color w:val="000000"/>
          <w:sz w:val="24"/>
          <w:szCs w:val="24"/>
          <w:lang w:val="en-US" w:eastAsia="zh-CN"/>
        </w:rPr>
        <w:t>L</w:t>
      </w:r>
      <w:r w:rsidRPr="00A02A04">
        <w:rPr>
          <w:rFonts w:ascii="Book Antiqua" w:eastAsia="AdvAGaramond-R" w:hAnsi="Book Antiqua"/>
          <w:bCs/>
          <w:color w:val="000000"/>
          <w:sz w:val="24"/>
          <w:szCs w:val="24"/>
          <w:lang w:val="en-US"/>
        </w:rPr>
        <w:t xml:space="preserve">, Forte </w:t>
      </w:r>
      <w:r w:rsidRPr="00A02A04">
        <w:rPr>
          <w:rFonts w:ascii="Book Antiqua" w:hAnsi="Book Antiqua"/>
          <w:bCs/>
          <w:color w:val="000000"/>
          <w:sz w:val="24"/>
          <w:szCs w:val="24"/>
          <w:lang w:val="en-US" w:eastAsia="zh-CN"/>
        </w:rPr>
        <w:t>P</w:t>
      </w:r>
      <w:r w:rsidRPr="00A02A04">
        <w:rPr>
          <w:rFonts w:ascii="Book Antiqua" w:eastAsia="AdvAGaramond-R" w:hAnsi="Book Antiqua"/>
          <w:bCs/>
          <w:color w:val="000000"/>
          <w:sz w:val="24"/>
          <w:szCs w:val="24"/>
          <w:lang w:val="en-US"/>
        </w:rPr>
        <w:t xml:space="preserve">, </w:t>
      </w:r>
      <w:proofErr w:type="spellStart"/>
      <w:r w:rsidRPr="00A02A04">
        <w:rPr>
          <w:rFonts w:ascii="Book Antiqua" w:eastAsia="AdvAGaramond-R" w:hAnsi="Book Antiqua"/>
          <w:bCs/>
          <w:color w:val="000000"/>
          <w:sz w:val="24"/>
          <w:szCs w:val="24"/>
          <w:lang w:val="en-US"/>
        </w:rPr>
        <w:t>Tomcikova</w:t>
      </w:r>
      <w:proofErr w:type="spellEnd"/>
      <w:r w:rsidRPr="00A02A04">
        <w:rPr>
          <w:rFonts w:ascii="Book Antiqua" w:eastAsia="AdvAGaramond-R" w:hAnsi="Book Antiqua"/>
          <w:bCs/>
          <w:color w:val="000000"/>
          <w:sz w:val="24"/>
          <w:szCs w:val="24"/>
          <w:lang w:val="en-US"/>
        </w:rPr>
        <w:t xml:space="preserve"> </w:t>
      </w:r>
      <w:r w:rsidRPr="00A02A04">
        <w:rPr>
          <w:rFonts w:ascii="Book Antiqua" w:hAnsi="Book Antiqua"/>
          <w:bCs/>
          <w:color w:val="000000"/>
          <w:sz w:val="24"/>
          <w:szCs w:val="24"/>
          <w:lang w:val="en-US" w:eastAsia="zh-CN"/>
        </w:rPr>
        <w:t>D</w:t>
      </w:r>
      <w:r w:rsidRPr="00A02A04">
        <w:rPr>
          <w:rFonts w:ascii="Book Antiqua" w:eastAsia="AdvAGaramond-R" w:hAnsi="Book Antiqua"/>
          <w:bCs/>
          <w:color w:val="000000"/>
          <w:sz w:val="24"/>
          <w:szCs w:val="24"/>
          <w:lang w:val="en-US"/>
        </w:rPr>
        <w:t>, Arena</w:t>
      </w:r>
      <w:r w:rsidRPr="00A02A04">
        <w:rPr>
          <w:rFonts w:ascii="Book Antiqua" w:hAnsi="Book Antiqua"/>
          <w:bCs/>
          <w:color w:val="000000"/>
          <w:sz w:val="24"/>
          <w:szCs w:val="24"/>
          <w:lang w:val="en-US" w:eastAsia="zh-CN"/>
        </w:rPr>
        <w:t xml:space="preserve"> U</w:t>
      </w:r>
      <w:r w:rsidRPr="00A02A04">
        <w:rPr>
          <w:rFonts w:ascii="Book Antiqua" w:eastAsia="AdvAGaramond-R" w:hAnsi="Book Antiqua"/>
          <w:bCs/>
          <w:color w:val="000000"/>
          <w:sz w:val="24"/>
          <w:szCs w:val="24"/>
          <w:lang w:val="en-US"/>
        </w:rPr>
        <w:t xml:space="preserve">, </w:t>
      </w:r>
      <w:proofErr w:type="spellStart"/>
      <w:r w:rsidRPr="00A02A04">
        <w:rPr>
          <w:rFonts w:ascii="Book Antiqua" w:eastAsia="AdvAGaramond-R" w:hAnsi="Book Antiqua"/>
          <w:bCs/>
          <w:color w:val="000000"/>
          <w:sz w:val="24"/>
          <w:szCs w:val="24"/>
          <w:lang w:val="en-US"/>
        </w:rPr>
        <w:t>Colagrande</w:t>
      </w:r>
      <w:proofErr w:type="spellEnd"/>
      <w:r w:rsidRPr="00A02A04">
        <w:rPr>
          <w:rFonts w:ascii="Book Antiqua" w:eastAsia="AdvAGaramond-R" w:hAnsi="Book Antiqua"/>
          <w:bCs/>
          <w:color w:val="000000"/>
          <w:sz w:val="24"/>
          <w:szCs w:val="24"/>
          <w:lang w:val="en-US"/>
        </w:rPr>
        <w:t xml:space="preserve"> </w:t>
      </w:r>
      <w:r w:rsidRPr="00A02A04">
        <w:rPr>
          <w:rFonts w:ascii="Book Antiqua" w:hAnsi="Book Antiqua"/>
          <w:bCs/>
          <w:color w:val="000000"/>
          <w:sz w:val="24"/>
          <w:szCs w:val="24"/>
          <w:lang w:val="en-US" w:eastAsia="zh-CN"/>
        </w:rPr>
        <w:t>S</w:t>
      </w:r>
      <w:r w:rsidRPr="00A02A04">
        <w:rPr>
          <w:rFonts w:ascii="Book Antiqua" w:eastAsia="AdvAGaramond-R" w:hAnsi="Book Antiqua"/>
          <w:bCs/>
          <w:color w:val="000000"/>
          <w:sz w:val="24"/>
          <w:szCs w:val="24"/>
          <w:lang w:val="en-US"/>
        </w:rPr>
        <w:t xml:space="preserve">, </w:t>
      </w:r>
      <w:proofErr w:type="spellStart"/>
      <w:r w:rsidRPr="00A02A04">
        <w:rPr>
          <w:rFonts w:ascii="Book Antiqua" w:eastAsia="AdvAGaramond-R" w:hAnsi="Book Antiqua"/>
          <w:bCs/>
          <w:color w:val="000000"/>
          <w:sz w:val="24"/>
          <w:szCs w:val="24"/>
          <w:lang w:val="en-US"/>
        </w:rPr>
        <w:t>Pradella</w:t>
      </w:r>
      <w:proofErr w:type="spellEnd"/>
      <w:r w:rsidRPr="00A02A04">
        <w:rPr>
          <w:rFonts w:ascii="Book Antiqua" w:eastAsia="AdvAGaramond-R" w:hAnsi="Book Antiqua"/>
          <w:bCs/>
          <w:color w:val="000000"/>
          <w:sz w:val="24"/>
          <w:szCs w:val="24"/>
          <w:lang w:val="en-US"/>
        </w:rPr>
        <w:t xml:space="preserve"> </w:t>
      </w:r>
      <w:r w:rsidRPr="00A02A04">
        <w:rPr>
          <w:rFonts w:ascii="Book Antiqua" w:hAnsi="Book Antiqua"/>
          <w:bCs/>
          <w:color w:val="000000"/>
          <w:sz w:val="24"/>
          <w:szCs w:val="24"/>
          <w:lang w:val="en-US" w:eastAsia="zh-CN"/>
        </w:rPr>
        <w:t>S</w:t>
      </w:r>
      <w:r w:rsidRPr="00A02A04">
        <w:rPr>
          <w:rFonts w:ascii="Book Antiqua" w:eastAsia="AdvAGaramond-R" w:hAnsi="Book Antiqua"/>
          <w:bCs/>
          <w:color w:val="000000"/>
          <w:sz w:val="24"/>
          <w:szCs w:val="24"/>
          <w:lang w:val="en-US"/>
        </w:rPr>
        <w:t xml:space="preserve">, </w:t>
      </w:r>
      <w:proofErr w:type="spellStart"/>
      <w:r w:rsidRPr="00A02A04">
        <w:rPr>
          <w:rFonts w:ascii="Book Antiqua" w:eastAsia="AdvAGaramond-R" w:hAnsi="Book Antiqua"/>
          <w:bCs/>
          <w:color w:val="000000"/>
          <w:sz w:val="24"/>
          <w:szCs w:val="24"/>
          <w:lang w:val="en-US"/>
        </w:rPr>
        <w:t>Fani</w:t>
      </w:r>
      <w:proofErr w:type="spellEnd"/>
      <w:r w:rsidRPr="00A02A04">
        <w:rPr>
          <w:rFonts w:ascii="Book Antiqua" w:eastAsia="AdvAGaramond-R" w:hAnsi="Book Antiqua"/>
          <w:bCs/>
          <w:color w:val="000000"/>
          <w:sz w:val="24"/>
          <w:szCs w:val="24"/>
          <w:lang w:val="en-US"/>
        </w:rPr>
        <w:t xml:space="preserve"> </w:t>
      </w:r>
      <w:r w:rsidRPr="00A02A04">
        <w:rPr>
          <w:rFonts w:ascii="Book Antiqua" w:hAnsi="Book Antiqua"/>
          <w:bCs/>
          <w:color w:val="000000"/>
          <w:sz w:val="24"/>
          <w:szCs w:val="24"/>
          <w:lang w:val="en-US" w:eastAsia="zh-CN"/>
        </w:rPr>
        <w:t>B</w:t>
      </w:r>
      <w:r w:rsidRPr="00A02A04">
        <w:rPr>
          <w:rFonts w:ascii="Book Antiqua" w:eastAsia="AdvAGaramond-R" w:hAnsi="Book Antiqua"/>
          <w:bCs/>
          <w:color w:val="000000"/>
          <w:sz w:val="24"/>
          <w:szCs w:val="24"/>
          <w:lang w:val="en-US"/>
        </w:rPr>
        <w:t>, Gianni</w:t>
      </w:r>
      <w:r w:rsidRPr="00A02A04">
        <w:rPr>
          <w:rFonts w:ascii="Book Antiqua" w:hAnsi="Book Antiqua"/>
          <w:bCs/>
          <w:color w:val="000000"/>
          <w:sz w:val="24"/>
          <w:szCs w:val="24"/>
          <w:lang w:val="en-US" w:eastAsia="zh-CN"/>
        </w:rPr>
        <w:t xml:space="preserve"> E</w:t>
      </w:r>
      <w:r w:rsidRPr="00A02A04">
        <w:rPr>
          <w:rFonts w:ascii="Book Antiqua" w:eastAsia="AdvAGaramond-R" w:hAnsi="Book Antiqua"/>
          <w:bCs/>
          <w:color w:val="000000"/>
          <w:sz w:val="24"/>
          <w:szCs w:val="24"/>
          <w:lang w:val="en-US"/>
        </w:rPr>
        <w:t xml:space="preserve">, </w:t>
      </w:r>
      <w:proofErr w:type="spellStart"/>
      <w:r w:rsidRPr="00A02A04">
        <w:rPr>
          <w:rFonts w:ascii="Book Antiqua" w:eastAsia="AdvAGaramond-R" w:hAnsi="Book Antiqua"/>
          <w:bCs/>
          <w:color w:val="000000"/>
          <w:sz w:val="24"/>
          <w:szCs w:val="24"/>
          <w:lang w:val="en-US"/>
        </w:rPr>
        <w:t>Boni</w:t>
      </w:r>
      <w:proofErr w:type="spellEnd"/>
      <w:r w:rsidRPr="00A02A04">
        <w:rPr>
          <w:rFonts w:ascii="Book Antiqua" w:eastAsia="AdvAGaramond-R" w:hAnsi="Book Antiqua"/>
          <w:bCs/>
          <w:color w:val="000000"/>
          <w:sz w:val="24"/>
          <w:szCs w:val="24"/>
          <w:lang w:val="en-US"/>
        </w:rPr>
        <w:t xml:space="preserve"> </w:t>
      </w:r>
      <w:r w:rsidRPr="00A02A04">
        <w:rPr>
          <w:rFonts w:ascii="Book Antiqua" w:hAnsi="Book Antiqua"/>
          <w:bCs/>
          <w:color w:val="000000"/>
          <w:sz w:val="24"/>
          <w:szCs w:val="24"/>
          <w:lang w:val="en-US" w:eastAsia="zh-CN"/>
        </w:rPr>
        <w:t>L</w:t>
      </w:r>
      <w:r w:rsidRPr="00A02A04">
        <w:rPr>
          <w:rFonts w:ascii="Book Antiqua" w:eastAsia="AdvAGaramond-R" w:hAnsi="Book Antiqua"/>
          <w:bCs/>
          <w:color w:val="000000"/>
          <w:sz w:val="24"/>
          <w:szCs w:val="24"/>
          <w:lang w:val="en-US"/>
        </w:rPr>
        <w:t xml:space="preserve">, </w:t>
      </w:r>
      <w:proofErr w:type="spellStart"/>
      <w:r w:rsidRPr="00A02A04">
        <w:rPr>
          <w:rFonts w:ascii="Book Antiqua" w:eastAsia="AdvAGaramond-R" w:hAnsi="Book Antiqua"/>
          <w:bCs/>
          <w:color w:val="000000"/>
          <w:sz w:val="24"/>
          <w:szCs w:val="24"/>
          <w:lang w:val="en-US"/>
        </w:rPr>
        <w:t>Laffi</w:t>
      </w:r>
      <w:proofErr w:type="spellEnd"/>
      <w:r w:rsidRPr="00A02A04">
        <w:rPr>
          <w:rFonts w:ascii="Book Antiqua" w:eastAsia="AdvAGaramond-R" w:hAnsi="Book Antiqua"/>
          <w:bCs/>
          <w:color w:val="000000"/>
          <w:sz w:val="24"/>
          <w:szCs w:val="24"/>
          <w:lang w:val="en-US"/>
        </w:rPr>
        <w:t xml:space="preserve"> </w:t>
      </w:r>
      <w:r w:rsidRPr="00A02A04">
        <w:rPr>
          <w:rFonts w:ascii="Book Antiqua" w:hAnsi="Book Antiqua"/>
          <w:bCs/>
          <w:color w:val="000000"/>
          <w:sz w:val="24"/>
          <w:szCs w:val="24"/>
          <w:lang w:val="en-US" w:eastAsia="zh-CN"/>
        </w:rPr>
        <w:t>G</w:t>
      </w:r>
      <w:r w:rsidRPr="00A02A04">
        <w:rPr>
          <w:rFonts w:ascii="Book Antiqua" w:eastAsia="AdvAGaramond-R" w:hAnsi="Book Antiqua"/>
          <w:bCs/>
          <w:color w:val="000000"/>
          <w:sz w:val="24"/>
          <w:szCs w:val="24"/>
          <w:lang w:val="en-US"/>
        </w:rPr>
        <w:t xml:space="preserve">, Di Costanzo </w:t>
      </w:r>
      <w:r w:rsidRPr="00A02A04">
        <w:rPr>
          <w:rFonts w:ascii="Book Antiqua" w:hAnsi="Book Antiqua"/>
          <w:bCs/>
          <w:color w:val="000000"/>
          <w:sz w:val="24"/>
          <w:szCs w:val="24"/>
          <w:lang w:val="en-US" w:eastAsia="zh-CN"/>
        </w:rPr>
        <w:t>F,</w:t>
      </w:r>
      <w:r w:rsidRPr="00A02A04">
        <w:rPr>
          <w:rFonts w:ascii="Book Antiqua" w:eastAsia="AdvAGaramond-R" w:hAnsi="Book Antiqua"/>
          <w:bCs/>
          <w:color w:val="000000"/>
          <w:sz w:val="24"/>
          <w:szCs w:val="24"/>
          <w:lang w:val="en-US"/>
        </w:rPr>
        <w:t xml:space="preserve"> </w:t>
      </w:r>
      <w:proofErr w:type="spellStart"/>
      <w:r w:rsidRPr="00A02A04">
        <w:rPr>
          <w:rFonts w:ascii="Book Antiqua" w:eastAsia="AdvAGaramond-R" w:hAnsi="Book Antiqua"/>
          <w:bCs/>
          <w:color w:val="000000"/>
          <w:sz w:val="24"/>
          <w:szCs w:val="24"/>
          <w:lang w:val="en-US"/>
        </w:rPr>
        <w:t>Marra</w:t>
      </w:r>
      <w:proofErr w:type="spellEnd"/>
      <w:r w:rsidRPr="00A02A04">
        <w:rPr>
          <w:rFonts w:ascii="Book Antiqua" w:eastAsia="AdvAGaramond-R" w:hAnsi="Book Antiqua"/>
          <w:bCs/>
          <w:color w:val="000000"/>
          <w:sz w:val="24"/>
          <w:szCs w:val="24"/>
          <w:lang w:val="en-US"/>
        </w:rPr>
        <w:t xml:space="preserve"> </w:t>
      </w:r>
      <w:r w:rsidRPr="00A02A04">
        <w:rPr>
          <w:rFonts w:ascii="Book Antiqua" w:hAnsi="Book Antiqua"/>
          <w:color w:val="000000"/>
          <w:sz w:val="24"/>
          <w:szCs w:val="24"/>
          <w:lang w:val="en-US" w:eastAsia="zh-CN"/>
        </w:rPr>
        <w:t xml:space="preserve">F. </w:t>
      </w:r>
      <w:r w:rsidRPr="00A02A04">
        <w:rPr>
          <w:rFonts w:ascii="Book Antiqua" w:eastAsia="AdvAGaramond-R" w:hAnsi="Book Antiqua"/>
          <w:bCs/>
          <w:color w:val="000000"/>
          <w:sz w:val="24"/>
          <w:szCs w:val="24"/>
          <w:lang w:val="en-US"/>
        </w:rPr>
        <w:t>Predictors of survival</w:t>
      </w:r>
      <w:r w:rsidRPr="00A02A04">
        <w:rPr>
          <w:rFonts w:ascii="Book Antiqua" w:eastAsia="AdvAGaramond-R" w:hAnsi="Book Antiqua"/>
          <w:color w:val="000000"/>
          <w:sz w:val="24"/>
          <w:szCs w:val="24"/>
          <w:lang w:val="en-US"/>
        </w:rPr>
        <w:t xml:space="preserve"> in </w:t>
      </w:r>
      <w:r w:rsidRPr="00A02A04">
        <w:rPr>
          <w:rFonts w:ascii="Book Antiqua" w:eastAsia="AdvAGaramond-R" w:hAnsi="Book Antiqua"/>
          <w:bCs/>
          <w:color w:val="000000"/>
          <w:sz w:val="24"/>
          <w:szCs w:val="24"/>
          <w:lang w:val="en-US"/>
        </w:rPr>
        <w:t xml:space="preserve">patients with established cirrhosis and hepatocellular carcinoma treated with </w:t>
      </w:r>
      <w:proofErr w:type="spellStart"/>
      <w:r w:rsidRPr="00A02A04">
        <w:rPr>
          <w:rFonts w:ascii="Book Antiqua" w:eastAsia="AdvAGaramond-R" w:hAnsi="Book Antiqua"/>
          <w:bCs/>
          <w:color w:val="000000"/>
          <w:sz w:val="24"/>
          <w:szCs w:val="24"/>
          <w:lang w:val="en-US"/>
        </w:rPr>
        <w:t>sorafenib</w:t>
      </w:r>
      <w:proofErr w:type="spellEnd"/>
      <w:r w:rsidRPr="00A02A04">
        <w:rPr>
          <w:rFonts w:ascii="Book Antiqua" w:hAnsi="Book Antiqua"/>
          <w:bCs/>
          <w:color w:val="000000"/>
          <w:sz w:val="24"/>
          <w:szCs w:val="24"/>
          <w:lang w:val="en-US" w:eastAsia="zh-CN"/>
        </w:rPr>
        <w:t>.</w:t>
      </w:r>
    </w:p>
    <w:p w:rsidR="003C29A3" w:rsidRPr="00A02A04" w:rsidRDefault="003C29A3" w:rsidP="009E446B">
      <w:pPr>
        <w:spacing w:after="0" w:line="360" w:lineRule="auto"/>
        <w:jc w:val="both"/>
        <w:rPr>
          <w:rFonts w:ascii="Book Antiqua" w:hAnsi="Book Antiqua"/>
          <w:b/>
          <w:bCs/>
          <w:color w:val="000000"/>
          <w:sz w:val="24"/>
          <w:szCs w:val="24"/>
          <w:lang w:val="en-US" w:eastAsia="zh-CN"/>
        </w:rPr>
      </w:pPr>
    </w:p>
    <w:p w:rsidR="003C29A3" w:rsidRPr="00A02A04" w:rsidRDefault="003C29A3" w:rsidP="009E446B">
      <w:pPr>
        <w:spacing w:line="360" w:lineRule="auto"/>
        <w:jc w:val="both"/>
        <w:rPr>
          <w:rFonts w:ascii="Book Antiqua" w:eastAsia="Times New Roman" w:hAnsi="Book Antiqua"/>
          <w:b/>
          <w:color w:val="000000"/>
          <w:sz w:val="24"/>
          <w:szCs w:val="24"/>
        </w:rPr>
      </w:pPr>
      <w:r w:rsidRPr="00A02A04">
        <w:rPr>
          <w:rFonts w:ascii="Book Antiqua" w:eastAsia="Times New Roman" w:hAnsi="Book Antiqua"/>
          <w:b/>
          <w:color w:val="000000"/>
          <w:sz w:val="24"/>
          <w:szCs w:val="24"/>
        </w:rPr>
        <w:t xml:space="preserve">Available from: URL: </w:t>
      </w:r>
    </w:p>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eastAsia="Times New Roman" w:hAnsi="Book Antiqua"/>
          <w:b/>
          <w:color w:val="000000"/>
          <w:sz w:val="24"/>
          <w:szCs w:val="24"/>
        </w:rPr>
        <w:t>DOI:</w:t>
      </w:r>
    </w:p>
    <w:p w:rsidR="003C29A3" w:rsidRPr="00A02A04" w:rsidRDefault="003C29A3" w:rsidP="009E446B">
      <w:pPr>
        <w:spacing w:after="0" w:line="360" w:lineRule="auto"/>
        <w:jc w:val="both"/>
        <w:rPr>
          <w:rFonts w:ascii="Book Antiqua" w:eastAsia="AdvAGaramond-R" w:hAnsi="Book Antiqua"/>
          <w:color w:val="000000"/>
          <w:sz w:val="24"/>
          <w:szCs w:val="24"/>
          <w:lang w:val="en-US"/>
        </w:rPr>
      </w:pPr>
      <w:r w:rsidRPr="00A02A04">
        <w:rPr>
          <w:rFonts w:ascii="Book Antiqua" w:eastAsia="AdvAGaramond-R" w:hAnsi="Book Antiqua"/>
          <w:color w:val="000000"/>
          <w:sz w:val="24"/>
          <w:szCs w:val="24"/>
          <w:lang w:val="en-US"/>
        </w:rPr>
        <w:br w:type="page"/>
      </w:r>
      <w:r w:rsidRPr="00A02A04">
        <w:rPr>
          <w:rFonts w:ascii="Book Antiqua" w:eastAsia="AdvAGaramond-R" w:hAnsi="Book Antiqua"/>
          <w:b/>
          <w:color w:val="000000"/>
          <w:sz w:val="24"/>
          <w:szCs w:val="24"/>
          <w:lang w:val="en-US"/>
        </w:rPr>
        <w:lastRenderedPageBreak/>
        <w:t>INTRODUCTION</w:t>
      </w:r>
    </w:p>
    <w:p w:rsidR="003C29A3" w:rsidRPr="00A02A04" w:rsidRDefault="003C29A3" w:rsidP="009E446B">
      <w:pPr>
        <w:autoSpaceDE w:val="0"/>
        <w:autoSpaceDN w:val="0"/>
        <w:adjustRightInd w:val="0"/>
        <w:spacing w:after="0" w:line="360" w:lineRule="auto"/>
        <w:jc w:val="both"/>
        <w:rPr>
          <w:rFonts w:ascii="Book Antiqua" w:eastAsia="AdvAGaramond-R" w:hAnsi="Book Antiqua"/>
          <w:color w:val="000000"/>
          <w:sz w:val="24"/>
          <w:szCs w:val="24"/>
          <w:lang w:val="en-US"/>
        </w:rPr>
      </w:pPr>
      <w:r w:rsidRPr="00A02A04">
        <w:rPr>
          <w:rFonts w:ascii="Book Antiqua" w:eastAsia="AdvAGaramond-R" w:hAnsi="Book Antiqua"/>
          <w:color w:val="000000"/>
          <w:sz w:val="24"/>
          <w:szCs w:val="24"/>
          <w:lang w:val="en-US"/>
        </w:rPr>
        <w:t xml:space="preserve">Hepatocellular carcinoma (HCC) is one of the most deadly cancers worldwide, and its incidence has increased steadily over the last 20 years in Western Europe and </w:t>
      </w:r>
      <w:smartTag w:uri="urn:schemas-microsoft-com:office:smarttags" w:element="place">
        <w:r w:rsidRPr="00A02A04">
          <w:rPr>
            <w:rFonts w:ascii="Book Antiqua" w:eastAsia="AdvAGaramond-R" w:hAnsi="Book Antiqua"/>
            <w:color w:val="000000"/>
            <w:sz w:val="24"/>
            <w:szCs w:val="24"/>
            <w:lang w:val="en-US"/>
          </w:rPr>
          <w:t xml:space="preserve">North </w:t>
        </w:r>
        <w:r w:rsidRPr="00A02A04">
          <w:rPr>
            <w:rFonts w:ascii="Book Antiqua" w:eastAsia="AdvAGaramond-R" w:hAnsi="Book Antiqua"/>
            <w:noProof/>
            <w:color w:val="000000"/>
            <w:sz w:val="24"/>
            <w:szCs w:val="24"/>
            <w:lang w:val="en-US"/>
          </w:rPr>
          <w:t>America</w:t>
        </w:r>
      </w:smartTag>
      <w:r w:rsidRPr="00A02A04">
        <w:rPr>
          <w:rFonts w:ascii="Book Antiqua" w:eastAsia="AdvAGaramond-R" w:hAnsi="Book Antiqua"/>
          <w:noProof/>
          <w:color w:val="000000"/>
          <w:sz w:val="24"/>
          <w:szCs w:val="24"/>
          <w:vertAlign w:val="superscript"/>
          <w:lang w:val="en-US"/>
        </w:rPr>
        <w:t>[1]</w:t>
      </w:r>
      <w:r w:rsidRPr="00A02A04">
        <w:rPr>
          <w:rFonts w:ascii="Book Antiqua" w:eastAsia="AdvAGaramond-R" w:hAnsi="Book Antiqua"/>
          <w:color w:val="000000"/>
          <w:sz w:val="24"/>
          <w:szCs w:val="24"/>
          <w:lang w:val="en-US"/>
        </w:rPr>
        <w:t xml:space="preserve">. </w:t>
      </w:r>
      <w:r w:rsidRPr="00A02A04">
        <w:rPr>
          <w:rFonts w:ascii="Book Antiqua" w:eastAsia="AdvAGaramond-R" w:hAnsi="Book Antiqua"/>
          <w:noProof/>
          <w:color w:val="000000"/>
          <w:sz w:val="24"/>
          <w:szCs w:val="24"/>
          <w:lang w:val="en-US"/>
        </w:rPr>
        <w:t>One</w:t>
      </w:r>
      <w:r w:rsidRPr="00A02A04">
        <w:rPr>
          <w:rFonts w:ascii="Book Antiqua" w:eastAsia="AdvAGaramond-R" w:hAnsi="Book Antiqua"/>
          <w:color w:val="000000"/>
          <w:sz w:val="24"/>
          <w:szCs w:val="24"/>
          <w:lang w:val="en-US"/>
        </w:rPr>
        <w:t xml:space="preserve"> of the hallmarks of HCC is its strict association with chronic liver disease and in </w:t>
      </w:r>
      <w:r w:rsidRPr="00A02A04">
        <w:rPr>
          <w:rFonts w:ascii="Book Antiqua" w:eastAsia="AdvAGaramond-R" w:hAnsi="Book Antiqua"/>
          <w:noProof/>
          <w:color w:val="000000"/>
          <w:sz w:val="24"/>
          <w:szCs w:val="24"/>
          <w:lang w:val="en-US"/>
        </w:rPr>
        <w:t>particular</w:t>
      </w:r>
      <w:r w:rsidRPr="00A02A04">
        <w:rPr>
          <w:rFonts w:ascii="Book Antiqua" w:eastAsia="AdvAGaramond-R" w:hAnsi="Book Antiqua"/>
          <w:color w:val="000000"/>
          <w:sz w:val="24"/>
          <w:szCs w:val="24"/>
          <w:lang w:val="en-US"/>
        </w:rPr>
        <w:t xml:space="preserve"> cirrhosis, which represents the major risk factor for this type of cancer. The presence of cirrhosis makes the treatment of HCC particularly challenging, as tumor destruction must maximally preserve the amount of functioning liver tissue to prevent hepatic failure</w:t>
      </w:r>
      <w:r w:rsidRPr="00A02A04">
        <w:rPr>
          <w:rFonts w:ascii="Book Antiqua" w:eastAsia="AdvAGaramond-R" w:hAnsi="Book Antiqua"/>
          <w:noProof/>
          <w:color w:val="000000"/>
          <w:sz w:val="24"/>
          <w:szCs w:val="24"/>
          <w:vertAlign w:val="superscript"/>
          <w:lang w:val="en-US"/>
        </w:rPr>
        <w:t>[1]</w:t>
      </w:r>
      <w:r w:rsidRPr="00A02A04">
        <w:rPr>
          <w:rFonts w:ascii="Book Antiqua" w:eastAsia="AdvAGaramond-R" w:hAnsi="Book Antiqua"/>
          <w:color w:val="000000"/>
          <w:sz w:val="24"/>
          <w:szCs w:val="24"/>
          <w:lang w:val="en-US"/>
        </w:rPr>
        <w:t xml:space="preserve">. </w:t>
      </w:r>
    </w:p>
    <w:p w:rsidR="003C29A3" w:rsidRPr="00A02A04" w:rsidRDefault="003C29A3" w:rsidP="009E446B">
      <w:pPr>
        <w:autoSpaceDE w:val="0"/>
        <w:autoSpaceDN w:val="0"/>
        <w:adjustRightInd w:val="0"/>
        <w:spacing w:after="0" w:line="360" w:lineRule="auto"/>
        <w:ind w:firstLineChars="250" w:firstLine="600"/>
        <w:jc w:val="both"/>
        <w:rPr>
          <w:rFonts w:ascii="Book Antiqua" w:eastAsia="AdvAGaramond-R" w:hAnsi="Book Antiqua"/>
          <w:color w:val="000000"/>
          <w:sz w:val="24"/>
          <w:szCs w:val="24"/>
          <w:lang w:val="en-US"/>
        </w:rPr>
      </w:pPr>
      <w:r w:rsidRPr="00A02A04">
        <w:rPr>
          <w:rFonts w:ascii="Book Antiqua" w:eastAsia="AdvAGaramond-R" w:hAnsi="Book Antiqua"/>
          <w:color w:val="000000"/>
          <w:sz w:val="24"/>
          <w:szCs w:val="24"/>
          <w:lang w:val="en-US"/>
        </w:rPr>
        <w:t xml:space="preserve">According to the Barcelona Clinic Liver Cancer (BCLC) classification, advanced HCC is identified as an </w:t>
      </w:r>
      <w:proofErr w:type="spellStart"/>
      <w:r w:rsidRPr="00A02A04">
        <w:rPr>
          <w:rFonts w:ascii="Book Antiqua" w:eastAsia="AdvAGaramond-R" w:hAnsi="Book Antiqua"/>
          <w:color w:val="000000"/>
          <w:sz w:val="24"/>
          <w:szCs w:val="24"/>
          <w:lang w:val="en-US"/>
        </w:rPr>
        <w:t>unresectable</w:t>
      </w:r>
      <w:proofErr w:type="spellEnd"/>
      <w:r w:rsidRPr="00A02A04">
        <w:rPr>
          <w:rFonts w:ascii="Book Antiqua" w:eastAsia="AdvAGaramond-R" w:hAnsi="Book Antiqua"/>
          <w:color w:val="000000"/>
          <w:sz w:val="24"/>
          <w:szCs w:val="24"/>
          <w:lang w:val="en-US"/>
        </w:rPr>
        <w:t xml:space="preserve"> HCC associated with symptoms, and/or </w:t>
      </w:r>
      <w:proofErr w:type="spellStart"/>
      <w:r w:rsidRPr="00A02A04">
        <w:rPr>
          <w:rFonts w:ascii="Book Antiqua" w:eastAsia="AdvAGaramond-R" w:hAnsi="Book Antiqua"/>
          <w:color w:val="000000"/>
          <w:sz w:val="24"/>
          <w:szCs w:val="24"/>
          <w:lang w:val="en-US"/>
        </w:rPr>
        <w:t>macrovascular</w:t>
      </w:r>
      <w:proofErr w:type="spellEnd"/>
      <w:r w:rsidRPr="00A02A04">
        <w:rPr>
          <w:rFonts w:ascii="Book Antiqua" w:eastAsia="AdvAGaramond-R" w:hAnsi="Book Antiqua"/>
          <w:color w:val="000000"/>
          <w:sz w:val="24"/>
          <w:szCs w:val="24"/>
          <w:lang w:val="en-US"/>
        </w:rPr>
        <w:t xml:space="preserve"> invasion, and/or </w:t>
      </w:r>
      <w:proofErr w:type="spellStart"/>
      <w:r w:rsidRPr="00A02A04">
        <w:rPr>
          <w:rFonts w:ascii="Book Antiqua" w:eastAsia="AdvAGaramond-R" w:hAnsi="Book Antiqua"/>
          <w:color w:val="000000"/>
          <w:sz w:val="24"/>
          <w:szCs w:val="24"/>
          <w:lang w:val="en-US"/>
        </w:rPr>
        <w:t>extrahepatic</w:t>
      </w:r>
      <w:proofErr w:type="spellEnd"/>
      <w:r w:rsidRPr="00A02A04">
        <w:rPr>
          <w:rFonts w:ascii="Book Antiqua" w:eastAsia="AdvAGaramond-R" w:hAnsi="Book Antiqua"/>
          <w:color w:val="000000"/>
          <w:sz w:val="24"/>
          <w:szCs w:val="24"/>
          <w:lang w:val="en-US"/>
        </w:rPr>
        <w:t xml:space="preserve"> spread</w:t>
      </w:r>
      <w:r w:rsidRPr="00A02A04">
        <w:rPr>
          <w:rFonts w:ascii="Book Antiqua" w:eastAsia="AdvAGaramond-R" w:hAnsi="Book Antiqua"/>
          <w:noProof/>
          <w:color w:val="000000"/>
          <w:sz w:val="24"/>
          <w:szCs w:val="24"/>
          <w:vertAlign w:val="superscript"/>
          <w:lang w:val="en-US"/>
        </w:rPr>
        <w:t>[2]</w:t>
      </w:r>
      <w:r w:rsidRPr="00A02A04">
        <w:rPr>
          <w:rFonts w:ascii="Book Antiqua" w:eastAsia="AdvAGaramond-R" w:hAnsi="Book Antiqua"/>
          <w:color w:val="000000"/>
          <w:sz w:val="24"/>
          <w:szCs w:val="24"/>
          <w:lang w:val="en-US"/>
        </w:rPr>
        <w:t xml:space="preserve">. While advanced HCC has long been considered untreatable, recent controlled trials have shown that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a multi-kinase inhibitor, prolongs survival of these patients</w:t>
      </w:r>
      <w:r w:rsidRPr="00A02A04">
        <w:rPr>
          <w:rFonts w:ascii="Book Antiqua" w:eastAsia="AdvAGaramond-R" w:hAnsi="Book Antiqua"/>
          <w:noProof/>
          <w:color w:val="000000"/>
          <w:sz w:val="24"/>
          <w:szCs w:val="24"/>
          <w:vertAlign w:val="superscript"/>
          <w:lang w:val="en-US"/>
        </w:rPr>
        <w:t>[3, 4]</w:t>
      </w:r>
      <w:r w:rsidRPr="00A02A04">
        <w:rPr>
          <w:rFonts w:ascii="Book Antiqua" w:eastAsia="AdvAGaramond-R" w:hAnsi="Book Antiqua"/>
          <w:color w:val="000000"/>
          <w:sz w:val="24"/>
          <w:szCs w:val="24"/>
          <w:lang w:val="en-US"/>
        </w:rPr>
        <w:t xml:space="preserve">. However, the survival benefit afforded by this drug is limited to a median of 8 to 10 </w:t>
      </w:r>
      <w:proofErr w:type="spellStart"/>
      <w:r w:rsidRPr="00A02A04">
        <w:rPr>
          <w:rFonts w:ascii="Book Antiqua" w:eastAsia="AdvAGaramond-R" w:hAnsi="Book Antiqua"/>
          <w:color w:val="000000"/>
          <w:sz w:val="24"/>
          <w:szCs w:val="24"/>
          <w:lang w:val="en-US"/>
        </w:rPr>
        <w:t>wk</w:t>
      </w:r>
      <w:proofErr w:type="spellEnd"/>
      <w:r w:rsidRPr="00A02A04">
        <w:rPr>
          <w:rFonts w:ascii="Book Antiqua" w:eastAsia="AdvAGaramond-R" w:hAnsi="Book Antiqua"/>
          <w:color w:val="000000"/>
          <w:sz w:val="24"/>
          <w:szCs w:val="24"/>
          <w:lang w:val="en-US"/>
        </w:rPr>
        <w:t xml:space="preserve"> over placebo, and information indicating which patients are more likely to take advantage from treatment with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is still very limited. Better patient selection would also be associated with rationalization of health care costs, given the high reimbursement price of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treatment</w:t>
      </w:r>
      <w:r w:rsidRPr="00A02A04">
        <w:rPr>
          <w:rFonts w:ascii="Book Antiqua" w:eastAsia="AdvAGaramond-R" w:hAnsi="Book Antiqua"/>
          <w:noProof/>
          <w:color w:val="000000"/>
          <w:sz w:val="24"/>
          <w:szCs w:val="24"/>
          <w:vertAlign w:val="superscript"/>
          <w:lang w:val="en-US"/>
        </w:rPr>
        <w:t>[5]</w:t>
      </w:r>
      <w:r w:rsidRPr="00A02A04">
        <w:rPr>
          <w:rFonts w:ascii="Book Antiqua" w:eastAsia="AdvAGaramond-R" w:hAnsi="Book Antiqua"/>
          <w:color w:val="000000"/>
          <w:sz w:val="24"/>
          <w:szCs w:val="24"/>
          <w:lang w:val="en-US"/>
        </w:rPr>
        <w:t xml:space="preserve">. Additionally, the burden of side effects associated with systemic therapies may be particularly heavy in patients with cirrhosis, who are prone to </w:t>
      </w:r>
      <w:proofErr w:type="spellStart"/>
      <w:r w:rsidRPr="00A02A04">
        <w:rPr>
          <w:rFonts w:ascii="Book Antiqua" w:eastAsia="AdvAGaramond-R" w:hAnsi="Book Antiqua"/>
          <w:color w:val="000000"/>
          <w:sz w:val="24"/>
          <w:szCs w:val="24"/>
          <w:lang w:val="en-US"/>
        </w:rPr>
        <w:t>decompensation</w:t>
      </w:r>
      <w:proofErr w:type="spellEnd"/>
      <w:r w:rsidRPr="00A02A04">
        <w:rPr>
          <w:rFonts w:ascii="Book Antiqua" w:eastAsia="AdvAGaramond-R" w:hAnsi="Book Antiqua"/>
          <w:color w:val="000000"/>
          <w:sz w:val="24"/>
          <w:szCs w:val="24"/>
          <w:lang w:val="en-US"/>
        </w:rPr>
        <w:t xml:space="preserve"> of the underlying disorder</w:t>
      </w:r>
      <w:r w:rsidRPr="00A02A04">
        <w:rPr>
          <w:rFonts w:ascii="Book Antiqua" w:eastAsia="AdvAGaramond-R" w:hAnsi="Book Antiqua"/>
          <w:noProof/>
          <w:color w:val="000000"/>
          <w:sz w:val="24"/>
          <w:szCs w:val="24"/>
          <w:vertAlign w:val="superscript"/>
          <w:lang w:val="en-US"/>
        </w:rPr>
        <w:t>[6]</w:t>
      </w:r>
      <w:r w:rsidRPr="00A02A04">
        <w:rPr>
          <w:rFonts w:ascii="Book Antiqua" w:eastAsia="AdvAGaramond-R" w:hAnsi="Book Antiqua"/>
          <w:color w:val="000000"/>
          <w:sz w:val="24"/>
          <w:szCs w:val="24"/>
          <w:lang w:val="en-US"/>
        </w:rPr>
        <w:t>.</w:t>
      </w:r>
    </w:p>
    <w:p w:rsidR="003C29A3" w:rsidRPr="00A02A04" w:rsidRDefault="003C29A3" w:rsidP="009E446B">
      <w:pPr>
        <w:autoSpaceDE w:val="0"/>
        <w:autoSpaceDN w:val="0"/>
        <w:adjustRightInd w:val="0"/>
        <w:spacing w:after="0" w:line="360" w:lineRule="auto"/>
        <w:ind w:firstLineChars="250" w:firstLine="600"/>
        <w:jc w:val="both"/>
        <w:rPr>
          <w:rFonts w:ascii="Book Antiqua" w:hAnsi="Book Antiqua"/>
          <w:color w:val="000000"/>
          <w:sz w:val="24"/>
          <w:szCs w:val="24"/>
          <w:lang w:val="en-US" w:eastAsia="zh-CN"/>
        </w:rPr>
      </w:pPr>
      <w:r w:rsidRPr="00A02A04">
        <w:rPr>
          <w:rFonts w:ascii="Book Antiqua" w:eastAsia="AdvAGaramond-R" w:hAnsi="Book Antiqua"/>
          <w:color w:val="000000"/>
          <w:sz w:val="24"/>
          <w:szCs w:val="24"/>
          <w:lang w:val="en-US"/>
        </w:rPr>
        <w:t xml:space="preserve">Although the safety of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has been the focus of some post-marketing studies, few have analyzed its effects in patients with a clear diagnosis of cirrhosis. Aim of this study was to evaluate the safety of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in patients with HCC and established cirrhosis, consecutively recruited in a single tertiary referral center, and to carefully analyze the variables that could be predictive of response to treatment or survival.</w:t>
      </w:r>
    </w:p>
    <w:p w:rsidR="003C29A3" w:rsidRPr="00A02A04" w:rsidRDefault="003C29A3" w:rsidP="009E446B">
      <w:pPr>
        <w:autoSpaceDE w:val="0"/>
        <w:autoSpaceDN w:val="0"/>
        <w:adjustRightInd w:val="0"/>
        <w:spacing w:after="0" w:line="360" w:lineRule="auto"/>
        <w:ind w:firstLineChars="250" w:firstLine="600"/>
        <w:jc w:val="both"/>
        <w:rPr>
          <w:rFonts w:ascii="Book Antiqua" w:hAnsi="Book Antiqua"/>
          <w:color w:val="000000"/>
          <w:sz w:val="24"/>
          <w:szCs w:val="24"/>
          <w:lang w:val="en-US" w:eastAsia="zh-CN"/>
        </w:rPr>
      </w:pPr>
    </w:p>
    <w:p w:rsidR="003C29A3" w:rsidRPr="00A02A04" w:rsidRDefault="003C29A3" w:rsidP="009E446B">
      <w:pPr>
        <w:autoSpaceDE w:val="0"/>
        <w:autoSpaceDN w:val="0"/>
        <w:adjustRightInd w:val="0"/>
        <w:spacing w:after="0" w:line="360" w:lineRule="auto"/>
        <w:jc w:val="both"/>
        <w:rPr>
          <w:rFonts w:ascii="Book Antiqua" w:eastAsia="AdvAGaramond-R" w:hAnsi="Book Antiqua"/>
          <w:b/>
          <w:color w:val="000000"/>
          <w:sz w:val="24"/>
          <w:szCs w:val="24"/>
          <w:lang w:val="en-US"/>
        </w:rPr>
      </w:pPr>
      <w:r w:rsidRPr="00A02A04">
        <w:rPr>
          <w:rFonts w:ascii="Book Antiqua" w:eastAsia="AdvAGaramond-R" w:hAnsi="Book Antiqua"/>
          <w:b/>
          <w:color w:val="000000"/>
          <w:sz w:val="24"/>
          <w:szCs w:val="24"/>
          <w:lang w:val="en-US"/>
        </w:rPr>
        <w:t>MATERIALS AND METHODS</w:t>
      </w:r>
    </w:p>
    <w:p w:rsidR="003C29A3" w:rsidRPr="00A02A04" w:rsidRDefault="003C29A3" w:rsidP="009E446B">
      <w:pPr>
        <w:autoSpaceDE w:val="0"/>
        <w:autoSpaceDN w:val="0"/>
        <w:adjustRightInd w:val="0"/>
        <w:spacing w:after="0" w:line="360" w:lineRule="auto"/>
        <w:jc w:val="both"/>
        <w:rPr>
          <w:rFonts w:ascii="Book Antiqua" w:hAnsi="Book Antiqua"/>
          <w:b/>
          <w:i/>
          <w:color w:val="000000"/>
          <w:sz w:val="24"/>
          <w:szCs w:val="24"/>
          <w:lang w:val="en-US" w:eastAsia="zh-CN"/>
        </w:rPr>
      </w:pPr>
      <w:r w:rsidRPr="00A02A04">
        <w:rPr>
          <w:rFonts w:ascii="Book Antiqua" w:eastAsia="AdvAGaramond-R" w:hAnsi="Book Antiqua"/>
          <w:b/>
          <w:i/>
          <w:color w:val="000000"/>
          <w:sz w:val="24"/>
          <w:szCs w:val="24"/>
          <w:lang w:val="en-US"/>
        </w:rPr>
        <w:t>Patients</w:t>
      </w:r>
    </w:p>
    <w:p w:rsidR="003C29A3" w:rsidRPr="00A02A04" w:rsidRDefault="003C29A3" w:rsidP="009E446B">
      <w:pPr>
        <w:autoSpaceDE w:val="0"/>
        <w:autoSpaceDN w:val="0"/>
        <w:adjustRightInd w:val="0"/>
        <w:spacing w:after="0" w:line="360" w:lineRule="auto"/>
        <w:jc w:val="both"/>
        <w:rPr>
          <w:rFonts w:ascii="Book Antiqua" w:eastAsia="AdvAGaramond-R" w:hAnsi="Book Antiqua"/>
          <w:color w:val="000000"/>
          <w:sz w:val="24"/>
          <w:szCs w:val="24"/>
          <w:lang w:val="en-US"/>
        </w:rPr>
      </w:pPr>
      <w:r w:rsidRPr="00A02A04">
        <w:rPr>
          <w:rFonts w:ascii="Book Antiqua" w:eastAsia="AdvAGaramond-R" w:hAnsi="Book Antiqua"/>
          <w:color w:val="000000"/>
          <w:sz w:val="24"/>
          <w:szCs w:val="24"/>
          <w:lang w:val="en-US"/>
        </w:rPr>
        <w:t xml:space="preserve">From October 2009 to July 2012 all patients with hepatocellular carcinoma and an established diagnosis of cirrhosis undergoing treatment with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at one of the prescribing Centers at the </w:t>
      </w:r>
      <w:proofErr w:type="spellStart"/>
      <w:smartTag w:uri="urn:schemas-microsoft-com:office:smarttags" w:element="PlaceName">
        <w:r w:rsidRPr="00A02A04">
          <w:rPr>
            <w:rFonts w:ascii="Book Antiqua" w:eastAsia="AdvAGaramond-R" w:hAnsi="Book Antiqua"/>
            <w:color w:val="000000"/>
            <w:sz w:val="24"/>
            <w:szCs w:val="24"/>
            <w:lang w:val="en-US"/>
          </w:rPr>
          <w:t>Careggi</w:t>
        </w:r>
      </w:smartTag>
      <w:proofErr w:type="spellEnd"/>
      <w:r w:rsidRPr="00A02A04">
        <w:rPr>
          <w:rFonts w:ascii="Book Antiqua" w:eastAsia="AdvAGaramond-R" w:hAnsi="Book Antiqua"/>
          <w:color w:val="000000"/>
          <w:sz w:val="24"/>
          <w:szCs w:val="24"/>
          <w:lang w:val="en-US"/>
        </w:rPr>
        <w:t xml:space="preserve"> </w:t>
      </w:r>
      <w:smartTag w:uri="urn:schemas-microsoft-com:office:smarttags" w:element="PlaceType">
        <w:r w:rsidRPr="00A02A04">
          <w:rPr>
            <w:rFonts w:ascii="Book Antiqua" w:eastAsia="AdvAGaramond-R" w:hAnsi="Book Antiqua"/>
            <w:color w:val="000000"/>
            <w:sz w:val="24"/>
            <w:szCs w:val="24"/>
            <w:lang w:val="en-US"/>
          </w:rPr>
          <w:t>Hospital</w:t>
        </w:r>
      </w:smartTag>
      <w:r w:rsidRPr="00A02A04">
        <w:rPr>
          <w:rFonts w:ascii="Book Antiqua" w:eastAsia="AdvAGaramond-R" w:hAnsi="Book Antiqua"/>
          <w:color w:val="000000"/>
          <w:sz w:val="24"/>
          <w:szCs w:val="24"/>
          <w:lang w:val="en-US"/>
        </w:rPr>
        <w:t xml:space="preserve">, </w:t>
      </w:r>
      <w:smartTag w:uri="urn:schemas-microsoft-com:office:smarttags" w:element="place">
        <w:smartTag w:uri="urn:schemas-microsoft-com:office:smarttags" w:element="City">
          <w:r w:rsidRPr="00A02A04">
            <w:rPr>
              <w:rFonts w:ascii="Book Antiqua" w:eastAsia="AdvAGaramond-R" w:hAnsi="Book Antiqua"/>
              <w:color w:val="000000"/>
              <w:sz w:val="24"/>
              <w:szCs w:val="24"/>
              <w:lang w:val="en-US"/>
            </w:rPr>
            <w:t>Florence</w:t>
          </w:r>
        </w:smartTag>
      </w:smartTag>
      <w:r w:rsidRPr="00A02A04">
        <w:rPr>
          <w:rFonts w:ascii="Book Antiqua" w:eastAsia="AdvAGaramond-R" w:hAnsi="Book Antiqua"/>
          <w:color w:val="000000"/>
          <w:sz w:val="24"/>
          <w:szCs w:val="24"/>
          <w:lang w:val="en-US"/>
        </w:rPr>
        <w:t>, were enrolled. These included patients with advanced (stage C) HCC, according to BCLC classification</w:t>
      </w:r>
      <w:r w:rsidRPr="00A02A04">
        <w:rPr>
          <w:rFonts w:ascii="Book Antiqua" w:eastAsia="AdvAGaramond-R" w:hAnsi="Book Antiqua"/>
          <w:noProof/>
          <w:color w:val="000000"/>
          <w:sz w:val="24"/>
          <w:szCs w:val="24"/>
          <w:vertAlign w:val="superscript"/>
          <w:lang w:val="en-US"/>
        </w:rPr>
        <w:t>[7]</w:t>
      </w:r>
      <w:r w:rsidRPr="00A02A04">
        <w:rPr>
          <w:rFonts w:ascii="Book Antiqua" w:eastAsia="AdvAGaramond-R" w:hAnsi="Book Antiqua"/>
          <w:color w:val="000000"/>
          <w:sz w:val="24"/>
          <w:szCs w:val="24"/>
          <w:lang w:val="en-US"/>
        </w:rPr>
        <w:t xml:space="preserve"> or with intermediate stage (BCLC-B) who were unfit or failed to respond to other approved </w:t>
      </w:r>
      <w:r w:rsidRPr="00A02A04">
        <w:rPr>
          <w:rFonts w:ascii="Book Antiqua" w:eastAsia="AdvAGaramond-R" w:hAnsi="Book Antiqua"/>
          <w:color w:val="000000"/>
          <w:sz w:val="24"/>
          <w:szCs w:val="24"/>
          <w:lang w:val="en-US"/>
        </w:rPr>
        <w:lastRenderedPageBreak/>
        <w:t xml:space="preserve">therapeutic strategies. Patients were either referred to a group of gastroenterologists and </w:t>
      </w:r>
      <w:proofErr w:type="spellStart"/>
      <w:r w:rsidRPr="00A02A04">
        <w:rPr>
          <w:rFonts w:ascii="Book Antiqua" w:eastAsia="AdvAGaramond-R" w:hAnsi="Book Antiqua"/>
          <w:color w:val="000000"/>
          <w:sz w:val="24"/>
          <w:szCs w:val="24"/>
          <w:lang w:val="en-US"/>
        </w:rPr>
        <w:t>hepatologists</w:t>
      </w:r>
      <w:proofErr w:type="spellEnd"/>
      <w:r w:rsidRPr="00A02A04">
        <w:rPr>
          <w:rFonts w:ascii="Book Antiqua" w:eastAsia="AdvAGaramond-R" w:hAnsi="Book Antiqua"/>
          <w:color w:val="000000"/>
          <w:sz w:val="24"/>
          <w:szCs w:val="24"/>
          <w:lang w:val="en-US"/>
        </w:rPr>
        <w:t xml:space="preserve"> specifically dealing with the management of HCC (collectively defined as </w:t>
      </w:r>
      <w:r w:rsidRPr="00A02A04">
        <w:rPr>
          <w:rFonts w:ascii="Book Antiqua" w:hAnsi="Book Antiqua"/>
          <w:color w:val="000000"/>
          <w:sz w:val="24"/>
          <w:szCs w:val="24"/>
          <w:lang w:val="en-US" w:eastAsia="zh-CN"/>
        </w:rPr>
        <w:t>“</w:t>
      </w:r>
      <w:proofErr w:type="spellStart"/>
      <w:r w:rsidRPr="00A02A04">
        <w:rPr>
          <w:rFonts w:ascii="Book Antiqua" w:eastAsia="AdvAGaramond-R" w:hAnsi="Book Antiqua"/>
          <w:color w:val="000000"/>
          <w:sz w:val="24"/>
          <w:szCs w:val="24"/>
          <w:lang w:val="en-US"/>
        </w:rPr>
        <w:t>Hepatology</w:t>
      </w:r>
      <w:proofErr w:type="spellEnd"/>
      <w:r w:rsidRPr="00A02A04">
        <w:rPr>
          <w:rFonts w:ascii="Book Antiqua" w:eastAsia="AdvAGaramond-R" w:hAnsi="Book Antiqua"/>
          <w:color w:val="000000"/>
          <w:sz w:val="24"/>
          <w:szCs w:val="24"/>
          <w:lang w:val="en-US"/>
        </w:rPr>
        <w:t xml:space="preserve"> Unit</w:t>
      </w:r>
      <w:r w:rsidRPr="00A02A04">
        <w:rPr>
          <w:rFonts w:ascii="Book Antiqua" w:hAnsi="Book Antiqua"/>
          <w:color w:val="000000"/>
          <w:sz w:val="24"/>
          <w:szCs w:val="24"/>
          <w:lang w:val="en-US" w:eastAsia="zh-CN"/>
        </w:rPr>
        <w:t>”</w:t>
      </w:r>
      <w:r w:rsidRPr="00A02A04">
        <w:rPr>
          <w:rFonts w:ascii="Book Antiqua" w:eastAsia="AdvAGaramond-R" w:hAnsi="Book Antiqua"/>
          <w:color w:val="000000"/>
          <w:sz w:val="24"/>
          <w:szCs w:val="24"/>
          <w:lang w:val="en-US"/>
        </w:rPr>
        <w:t xml:space="preserve">) or to the Medical Oncology Unit of </w:t>
      </w:r>
      <w:proofErr w:type="spellStart"/>
      <w:r w:rsidRPr="00A02A04">
        <w:rPr>
          <w:rFonts w:ascii="Book Antiqua" w:eastAsia="AdvAGaramond-R" w:hAnsi="Book Antiqua"/>
          <w:color w:val="000000"/>
          <w:sz w:val="24"/>
          <w:szCs w:val="24"/>
          <w:lang w:val="en-US"/>
        </w:rPr>
        <w:t>Careggi</w:t>
      </w:r>
      <w:proofErr w:type="spellEnd"/>
      <w:r w:rsidRPr="00A02A04">
        <w:rPr>
          <w:rFonts w:ascii="Book Antiqua" w:eastAsia="AdvAGaramond-R" w:hAnsi="Book Antiqua"/>
          <w:color w:val="000000"/>
          <w:sz w:val="24"/>
          <w:szCs w:val="24"/>
          <w:lang w:val="en-US"/>
        </w:rPr>
        <w:t xml:space="preserve"> Hospital.</w:t>
      </w:r>
    </w:p>
    <w:p w:rsidR="003C29A3" w:rsidRPr="00A02A04" w:rsidRDefault="003C29A3" w:rsidP="009E446B">
      <w:pPr>
        <w:autoSpaceDE w:val="0"/>
        <w:autoSpaceDN w:val="0"/>
        <w:adjustRightInd w:val="0"/>
        <w:spacing w:after="0" w:line="360" w:lineRule="auto"/>
        <w:ind w:firstLineChars="250" w:firstLine="600"/>
        <w:jc w:val="both"/>
        <w:rPr>
          <w:rFonts w:ascii="Book Antiqua" w:hAnsi="Book Antiqua"/>
          <w:color w:val="000000"/>
          <w:sz w:val="24"/>
          <w:szCs w:val="24"/>
          <w:lang w:val="en-US" w:eastAsia="zh-CN"/>
        </w:rPr>
      </w:pPr>
      <w:r w:rsidRPr="00A02A04">
        <w:rPr>
          <w:rFonts w:ascii="Book Antiqua" w:eastAsia="AdvAGaramond-R" w:hAnsi="Book Antiqua"/>
          <w:color w:val="000000"/>
          <w:sz w:val="24"/>
          <w:szCs w:val="24"/>
          <w:lang w:val="en-US"/>
        </w:rPr>
        <w:t>HCC was diagnosed by radiologic criteria according to AASLD</w:t>
      </w:r>
      <w:r w:rsidRPr="00A02A04">
        <w:rPr>
          <w:rFonts w:ascii="Book Antiqua" w:eastAsia="AdvAGaramond-R" w:hAnsi="Book Antiqua"/>
          <w:noProof/>
          <w:color w:val="000000"/>
          <w:sz w:val="24"/>
          <w:szCs w:val="24"/>
          <w:vertAlign w:val="superscript"/>
          <w:lang w:val="en-US"/>
        </w:rPr>
        <w:t>[8]</w:t>
      </w:r>
      <w:r w:rsidRPr="00A02A04">
        <w:rPr>
          <w:rFonts w:ascii="Book Antiqua" w:eastAsia="AdvAGaramond-R" w:hAnsi="Book Antiqua"/>
          <w:color w:val="000000"/>
          <w:sz w:val="24"/>
          <w:szCs w:val="24"/>
          <w:lang w:val="en-US"/>
        </w:rPr>
        <w:t xml:space="preserve"> or EASL guidelines</w:t>
      </w:r>
      <w:r w:rsidRPr="00A02A04">
        <w:rPr>
          <w:rFonts w:ascii="Book Antiqua" w:eastAsia="AdvAGaramond-R" w:hAnsi="Book Antiqua"/>
          <w:noProof/>
          <w:color w:val="000000"/>
          <w:sz w:val="24"/>
          <w:szCs w:val="24"/>
          <w:vertAlign w:val="superscript"/>
          <w:lang w:val="en-US"/>
        </w:rPr>
        <w:t>[2]</w:t>
      </w:r>
      <w:r w:rsidRPr="00A02A04">
        <w:rPr>
          <w:rFonts w:ascii="Book Antiqua" w:eastAsia="AdvAGaramond-R" w:hAnsi="Book Antiqua"/>
          <w:color w:val="000000"/>
          <w:sz w:val="24"/>
          <w:szCs w:val="24"/>
          <w:lang w:val="en-US"/>
        </w:rPr>
        <w:t xml:space="preserve"> and/or by biopsy when required. In this study only patients with an established diagnosis of cirrhosis were included. Cirrhosis was diagnosed on the basis of a history of chronic liver disease, and clinical (presence of signs of portal hypertension, previous episodes of </w:t>
      </w:r>
      <w:proofErr w:type="spellStart"/>
      <w:r w:rsidRPr="00A02A04">
        <w:rPr>
          <w:rFonts w:ascii="Book Antiqua" w:eastAsia="AdvAGaramond-R" w:hAnsi="Book Antiqua"/>
          <w:color w:val="000000"/>
          <w:sz w:val="24"/>
          <w:szCs w:val="24"/>
          <w:lang w:val="en-US"/>
        </w:rPr>
        <w:t>decompensation</w:t>
      </w:r>
      <w:proofErr w:type="spellEnd"/>
      <w:r w:rsidRPr="00A02A04">
        <w:rPr>
          <w:rFonts w:ascii="Book Antiqua" w:eastAsia="AdvAGaramond-R" w:hAnsi="Book Antiqua"/>
          <w:color w:val="000000"/>
          <w:sz w:val="24"/>
          <w:szCs w:val="24"/>
          <w:lang w:val="en-US"/>
        </w:rPr>
        <w:t xml:space="preserve">), imaging (liver nodular surface or splenomegaly), </w:t>
      </w:r>
      <w:proofErr w:type="spellStart"/>
      <w:r w:rsidRPr="00A02A04">
        <w:rPr>
          <w:rFonts w:ascii="Book Antiqua" w:eastAsia="AdvAGaramond-R" w:hAnsi="Book Antiqua"/>
          <w:color w:val="000000"/>
          <w:sz w:val="24"/>
          <w:szCs w:val="24"/>
          <w:lang w:val="en-US"/>
        </w:rPr>
        <w:t>elastographic</w:t>
      </w:r>
      <w:proofErr w:type="spellEnd"/>
      <w:r w:rsidRPr="00A02A04">
        <w:rPr>
          <w:rFonts w:ascii="Book Antiqua" w:eastAsia="AdvAGaramond-R" w:hAnsi="Book Antiqua"/>
          <w:color w:val="000000"/>
          <w:sz w:val="24"/>
          <w:szCs w:val="24"/>
          <w:lang w:val="en-US"/>
        </w:rPr>
        <w:t xml:space="preserve"> (stiffness ≥</w:t>
      </w:r>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 xml:space="preserve">18kPa) and/or hematological and biochemical findings (thrombocytopenia, </w:t>
      </w:r>
      <w:proofErr w:type="spellStart"/>
      <w:r w:rsidRPr="00A02A04">
        <w:rPr>
          <w:rFonts w:ascii="Book Antiqua" w:eastAsia="AdvAGaramond-R" w:hAnsi="Book Antiqua"/>
          <w:color w:val="000000"/>
          <w:sz w:val="24"/>
          <w:szCs w:val="24"/>
          <w:lang w:val="en-US"/>
        </w:rPr>
        <w:t>hyperbilirubinemia</w:t>
      </w:r>
      <w:proofErr w:type="spellEnd"/>
      <w:r w:rsidRPr="00A02A04">
        <w:rPr>
          <w:rFonts w:ascii="Book Antiqua" w:eastAsia="AdvAGaramond-R" w:hAnsi="Book Antiqua"/>
          <w:color w:val="000000"/>
          <w:sz w:val="24"/>
          <w:szCs w:val="24"/>
          <w:lang w:val="en-US"/>
        </w:rPr>
        <w:t>, high INR). Patients were sub-classified according to the Child-Pugh score</w:t>
      </w:r>
      <w:r w:rsidRPr="00A02A04">
        <w:rPr>
          <w:rFonts w:ascii="Book Antiqua" w:eastAsia="AdvAGaramond-R" w:hAnsi="Book Antiqua"/>
          <w:noProof/>
          <w:color w:val="000000"/>
          <w:sz w:val="24"/>
          <w:szCs w:val="24"/>
          <w:vertAlign w:val="superscript"/>
          <w:lang w:val="en-US"/>
        </w:rPr>
        <w:t>[9]</w:t>
      </w:r>
      <w:r w:rsidRPr="00A02A04">
        <w:rPr>
          <w:rFonts w:ascii="Book Antiqua" w:eastAsia="AdvAGaramond-R" w:hAnsi="Book Antiqua"/>
          <w:color w:val="000000"/>
          <w:sz w:val="24"/>
          <w:szCs w:val="24"/>
          <w:lang w:val="en-US"/>
        </w:rPr>
        <w:t xml:space="preserve">. All patients in whom a score of 7, but not higher, was calculated at least once in the two months preceding enrollment were considered as Child-Pugh class B, regardless of the actual score at the time of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initiation. Concomitant antiviral therapy for hepatitis B was allowed. Performance status was evaluated according to the Eastern Cooperative Oncology Group (ECOG)</w:t>
      </w:r>
      <w:r w:rsidRPr="00A02A04">
        <w:rPr>
          <w:rFonts w:ascii="Book Antiqua" w:eastAsia="AdvAGaramond-R" w:hAnsi="Book Antiqua"/>
          <w:noProof/>
          <w:color w:val="000000"/>
          <w:sz w:val="24"/>
          <w:szCs w:val="24"/>
          <w:vertAlign w:val="superscript"/>
          <w:lang w:val="en-US"/>
        </w:rPr>
        <w:t>[10]</w:t>
      </w:r>
      <w:r w:rsidRPr="00A02A04">
        <w:rPr>
          <w:rFonts w:ascii="Book Antiqua" w:eastAsia="AdvAGaramond-R" w:hAnsi="Book Antiqua"/>
          <w:color w:val="000000"/>
          <w:sz w:val="24"/>
          <w:szCs w:val="24"/>
          <w:lang w:val="en-US"/>
        </w:rPr>
        <w:t>.</w:t>
      </w:r>
    </w:p>
    <w:p w:rsidR="003C29A3" w:rsidRPr="00A02A04" w:rsidRDefault="003C29A3" w:rsidP="009E446B">
      <w:pPr>
        <w:autoSpaceDE w:val="0"/>
        <w:autoSpaceDN w:val="0"/>
        <w:adjustRightInd w:val="0"/>
        <w:spacing w:after="0" w:line="360" w:lineRule="auto"/>
        <w:ind w:firstLineChars="250" w:firstLine="600"/>
        <w:jc w:val="both"/>
        <w:rPr>
          <w:rFonts w:ascii="Book Antiqua" w:hAnsi="Book Antiqua"/>
          <w:color w:val="000000"/>
          <w:sz w:val="24"/>
          <w:szCs w:val="24"/>
          <w:lang w:val="en-US" w:eastAsia="zh-CN"/>
        </w:rPr>
      </w:pPr>
    </w:p>
    <w:p w:rsidR="003C29A3" w:rsidRPr="00A02A04" w:rsidRDefault="003C29A3" w:rsidP="009E446B">
      <w:pPr>
        <w:autoSpaceDE w:val="0"/>
        <w:autoSpaceDN w:val="0"/>
        <w:adjustRightInd w:val="0"/>
        <w:spacing w:after="0" w:line="360" w:lineRule="auto"/>
        <w:jc w:val="both"/>
        <w:rPr>
          <w:rFonts w:ascii="Book Antiqua" w:hAnsi="Book Antiqua"/>
          <w:b/>
          <w:color w:val="000000"/>
          <w:sz w:val="24"/>
          <w:szCs w:val="24"/>
          <w:lang w:val="en-US" w:eastAsia="zh-CN"/>
        </w:rPr>
      </w:pPr>
      <w:r w:rsidRPr="00A02A04">
        <w:rPr>
          <w:rFonts w:ascii="Book Antiqua" w:eastAsia="AdvAGaramond-R" w:hAnsi="Book Antiqua"/>
          <w:b/>
          <w:i/>
          <w:color w:val="000000"/>
          <w:sz w:val="24"/>
          <w:szCs w:val="24"/>
          <w:lang w:val="en-US"/>
        </w:rPr>
        <w:t>Treatment schedule and interruption, and dose modification</w:t>
      </w:r>
    </w:p>
    <w:p w:rsidR="003C29A3" w:rsidRPr="00A02A04" w:rsidRDefault="003C29A3" w:rsidP="009E446B">
      <w:pPr>
        <w:autoSpaceDE w:val="0"/>
        <w:autoSpaceDN w:val="0"/>
        <w:adjustRightInd w:val="0"/>
        <w:spacing w:after="0" w:line="360" w:lineRule="auto"/>
        <w:jc w:val="both"/>
        <w:rPr>
          <w:rFonts w:ascii="Book Antiqua" w:hAnsi="Book Antiqua"/>
          <w:color w:val="000000"/>
          <w:sz w:val="24"/>
          <w:szCs w:val="24"/>
          <w:lang w:val="en-US" w:eastAsia="zh-CN"/>
        </w:rPr>
      </w:pP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was administered at 800 mg/d. Adverse events (AEs) were graded according to the Common Terminology Criteria for Adverse Events (CTCAE) version 3.0</w:t>
      </w:r>
      <w:r w:rsidRPr="00A02A04">
        <w:rPr>
          <w:rFonts w:ascii="Book Antiqua" w:eastAsia="AdvAGaramond-R" w:hAnsi="Book Antiqua"/>
          <w:noProof/>
          <w:color w:val="000000"/>
          <w:sz w:val="24"/>
          <w:szCs w:val="24"/>
          <w:vertAlign w:val="superscript"/>
          <w:lang w:val="en-US"/>
        </w:rPr>
        <w:t>[11]</w:t>
      </w:r>
      <w:r w:rsidRPr="00A02A04">
        <w:rPr>
          <w:rFonts w:ascii="Book Antiqua" w:eastAsia="AdvAGaramond-R" w:hAnsi="Book Antiqua"/>
          <w:color w:val="000000"/>
          <w:sz w:val="24"/>
          <w:szCs w:val="24"/>
          <w:lang w:val="en-US"/>
        </w:rPr>
        <w:t xml:space="preserve">. Elevation of aminotransferases and/or bilirubin were collectively considered as </w:t>
      </w:r>
      <w:r w:rsidRPr="00A02A04">
        <w:rPr>
          <w:rFonts w:ascii="Book Antiqua" w:hAnsi="Book Antiqua"/>
          <w:color w:val="000000"/>
          <w:sz w:val="24"/>
          <w:szCs w:val="24"/>
          <w:lang w:val="en-US" w:eastAsia="zh-CN"/>
        </w:rPr>
        <w:t>“</w:t>
      </w:r>
      <w:r w:rsidRPr="00A02A04">
        <w:rPr>
          <w:rFonts w:ascii="Book Antiqua" w:eastAsia="AdvAGaramond-R" w:hAnsi="Book Antiqua"/>
          <w:color w:val="000000"/>
          <w:sz w:val="24"/>
          <w:szCs w:val="24"/>
          <w:lang w:val="en-US"/>
        </w:rPr>
        <w:t>hepatic</w:t>
      </w:r>
      <w:r w:rsidRPr="00A02A04">
        <w:rPr>
          <w:rFonts w:ascii="Book Antiqua" w:hAnsi="Book Antiqua"/>
          <w:color w:val="000000"/>
          <w:sz w:val="24"/>
          <w:szCs w:val="24"/>
          <w:lang w:val="en-US" w:eastAsia="zh-CN"/>
        </w:rPr>
        <w:t>”</w:t>
      </w:r>
      <w:r w:rsidRPr="00A02A04">
        <w:rPr>
          <w:rFonts w:ascii="Book Antiqua" w:eastAsia="AdvAGaramond-R" w:hAnsi="Book Antiqua"/>
          <w:color w:val="000000"/>
          <w:sz w:val="24"/>
          <w:szCs w:val="24"/>
          <w:lang w:val="en-US"/>
        </w:rPr>
        <w:t xml:space="preserve"> AEs and graded according to CTCAE of the individual component. Appearance of AEs ≥</w:t>
      </w:r>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2 resulted in dose reduction, temporary withdrawal or permanent interruption according to the physician’s decision. Dose reduction or temporary interruption were maintained until AE resolution or grade regression, and was based on the physician’s judgment. Therapy was continued until progression, death, or appearance of unacceptable AEs. Treatment was also stopped upon withdrawal of patient’s consent.</w:t>
      </w:r>
    </w:p>
    <w:p w:rsidR="003C29A3" w:rsidRPr="00A02A04" w:rsidRDefault="003C29A3" w:rsidP="009E446B">
      <w:pPr>
        <w:autoSpaceDE w:val="0"/>
        <w:autoSpaceDN w:val="0"/>
        <w:adjustRightInd w:val="0"/>
        <w:spacing w:after="0" w:line="360" w:lineRule="auto"/>
        <w:jc w:val="both"/>
        <w:rPr>
          <w:rFonts w:ascii="Book Antiqua" w:hAnsi="Book Antiqua"/>
          <w:color w:val="000000"/>
          <w:sz w:val="24"/>
          <w:szCs w:val="24"/>
          <w:lang w:val="en-US" w:eastAsia="zh-CN"/>
        </w:rPr>
      </w:pPr>
    </w:p>
    <w:p w:rsidR="003C29A3" w:rsidRPr="00A02A04" w:rsidRDefault="003C29A3" w:rsidP="009E446B">
      <w:pPr>
        <w:autoSpaceDE w:val="0"/>
        <w:autoSpaceDN w:val="0"/>
        <w:adjustRightInd w:val="0"/>
        <w:spacing w:after="0" w:line="360" w:lineRule="auto"/>
        <w:jc w:val="both"/>
        <w:rPr>
          <w:rFonts w:ascii="Book Antiqua" w:hAnsi="Book Antiqua"/>
          <w:b/>
          <w:i/>
          <w:color w:val="000000"/>
          <w:sz w:val="24"/>
          <w:szCs w:val="24"/>
          <w:lang w:val="en-US" w:eastAsia="zh-CN"/>
        </w:rPr>
      </w:pPr>
      <w:r w:rsidRPr="00A02A04">
        <w:rPr>
          <w:rFonts w:ascii="Book Antiqua" w:eastAsia="AdvAGaramond-R" w:hAnsi="Book Antiqua"/>
          <w:b/>
          <w:i/>
          <w:color w:val="000000"/>
          <w:sz w:val="24"/>
          <w:szCs w:val="24"/>
          <w:lang w:val="en-US"/>
        </w:rPr>
        <w:t>Patient follow-up</w:t>
      </w:r>
    </w:p>
    <w:p w:rsidR="003C29A3" w:rsidRPr="00A02A04" w:rsidRDefault="003C29A3" w:rsidP="009E446B">
      <w:pPr>
        <w:autoSpaceDE w:val="0"/>
        <w:autoSpaceDN w:val="0"/>
        <w:adjustRightInd w:val="0"/>
        <w:spacing w:after="0" w:line="360" w:lineRule="auto"/>
        <w:jc w:val="both"/>
        <w:rPr>
          <w:rFonts w:ascii="Book Antiqua" w:hAnsi="Book Antiqua"/>
          <w:color w:val="000000"/>
          <w:sz w:val="24"/>
          <w:szCs w:val="24"/>
          <w:lang w:val="en-US" w:eastAsia="zh-CN"/>
        </w:rPr>
      </w:pPr>
      <w:r w:rsidRPr="00A02A04">
        <w:rPr>
          <w:rFonts w:ascii="Book Antiqua" w:eastAsia="AdvAGaramond-R" w:hAnsi="Book Antiqua"/>
          <w:color w:val="000000"/>
          <w:sz w:val="24"/>
          <w:szCs w:val="24"/>
          <w:lang w:val="en-US"/>
        </w:rPr>
        <w:t xml:space="preserve">Patients underwent evaluation at baseline and at weekly to monthly intervals, according to the physician’s judgment. Blood tests were obtained at intervals not greater than 4 </w:t>
      </w:r>
      <w:proofErr w:type="spellStart"/>
      <w:r w:rsidRPr="00A02A04">
        <w:rPr>
          <w:rFonts w:ascii="Book Antiqua" w:eastAsia="AdvAGaramond-R" w:hAnsi="Book Antiqua"/>
          <w:color w:val="000000"/>
          <w:sz w:val="24"/>
          <w:szCs w:val="24"/>
          <w:lang w:val="en-US"/>
        </w:rPr>
        <w:t>wk</w:t>
      </w:r>
      <w:proofErr w:type="spellEnd"/>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 xml:space="preserve">and included a complete blood count and serum chemistries. Treatment was evaluated performing a 4-phase CT or MR scan, and analyzed according to the modified Response </w:t>
      </w:r>
      <w:r w:rsidRPr="00A02A04">
        <w:rPr>
          <w:rFonts w:ascii="Book Antiqua" w:eastAsia="AdvAGaramond-R" w:hAnsi="Book Antiqua"/>
          <w:color w:val="000000"/>
          <w:sz w:val="24"/>
          <w:szCs w:val="24"/>
          <w:lang w:val="en-US"/>
        </w:rPr>
        <w:lastRenderedPageBreak/>
        <w:t>Evaluation Criteria in Solid Tumors (</w:t>
      </w:r>
      <w:proofErr w:type="spellStart"/>
      <w:r w:rsidRPr="00A02A04">
        <w:rPr>
          <w:rFonts w:ascii="Book Antiqua" w:eastAsia="AdvAGaramond-R" w:hAnsi="Book Antiqua"/>
          <w:color w:val="000000"/>
          <w:sz w:val="24"/>
          <w:szCs w:val="24"/>
          <w:lang w:val="en-US"/>
        </w:rPr>
        <w:t>mRECIST</w:t>
      </w:r>
      <w:proofErr w:type="spellEnd"/>
      <w:r w:rsidRPr="00A02A04">
        <w:rPr>
          <w:rFonts w:ascii="Book Antiqua" w:eastAsia="AdvAGaramond-R" w:hAnsi="Book Antiqua"/>
          <w:color w:val="000000"/>
          <w:sz w:val="24"/>
          <w:szCs w:val="24"/>
          <w:lang w:val="en-US"/>
        </w:rPr>
        <w:t>)</w:t>
      </w:r>
      <w:r w:rsidRPr="00A02A04">
        <w:rPr>
          <w:rFonts w:ascii="Book Antiqua" w:eastAsia="AdvAGaramond-R" w:hAnsi="Book Antiqua"/>
          <w:noProof/>
          <w:color w:val="000000"/>
          <w:sz w:val="24"/>
          <w:szCs w:val="24"/>
          <w:vertAlign w:val="superscript"/>
          <w:lang w:val="en-US"/>
        </w:rPr>
        <w:t>[12]</w:t>
      </w:r>
      <w:r w:rsidRPr="00A02A04">
        <w:rPr>
          <w:rFonts w:ascii="Book Antiqua" w:eastAsia="AdvAGaramond-R" w:hAnsi="Book Antiqua"/>
          <w:color w:val="000000"/>
          <w:sz w:val="24"/>
          <w:szCs w:val="24"/>
          <w:lang w:val="en-US"/>
        </w:rPr>
        <w:t xml:space="preserve">. Radiologic evaluation was repeated every 2-3 </w:t>
      </w:r>
      <w:proofErr w:type="spellStart"/>
      <w:r w:rsidRPr="00A02A04">
        <w:rPr>
          <w:rFonts w:ascii="Book Antiqua" w:eastAsia="AdvAGaramond-R" w:hAnsi="Book Antiqua"/>
          <w:color w:val="000000"/>
          <w:sz w:val="24"/>
          <w:szCs w:val="24"/>
          <w:lang w:val="en-US"/>
        </w:rPr>
        <w:t>mo</w:t>
      </w:r>
      <w:proofErr w:type="spellEnd"/>
      <w:r w:rsidRPr="00A02A04">
        <w:rPr>
          <w:rFonts w:ascii="Book Antiqua" w:eastAsia="AdvAGaramond-R" w:hAnsi="Book Antiqua"/>
          <w:color w:val="000000"/>
          <w:sz w:val="24"/>
          <w:szCs w:val="24"/>
          <w:lang w:val="en-US"/>
        </w:rPr>
        <w:t xml:space="preserve"> until progression or treatment interruption for AEs. Patients were followed after treatment suspension and overall survival was evaluated.</w:t>
      </w:r>
    </w:p>
    <w:p w:rsidR="003C29A3" w:rsidRPr="00A02A04" w:rsidRDefault="003C29A3" w:rsidP="009E446B">
      <w:pPr>
        <w:autoSpaceDE w:val="0"/>
        <w:autoSpaceDN w:val="0"/>
        <w:adjustRightInd w:val="0"/>
        <w:spacing w:after="0" w:line="360" w:lineRule="auto"/>
        <w:jc w:val="both"/>
        <w:rPr>
          <w:rFonts w:ascii="Book Antiqua" w:hAnsi="Book Antiqua"/>
          <w:color w:val="000000"/>
          <w:sz w:val="24"/>
          <w:szCs w:val="24"/>
          <w:lang w:val="en-US" w:eastAsia="zh-CN"/>
        </w:rPr>
      </w:pPr>
    </w:p>
    <w:p w:rsidR="003C29A3" w:rsidRPr="00A02A04" w:rsidRDefault="003C29A3" w:rsidP="009E446B">
      <w:pPr>
        <w:autoSpaceDE w:val="0"/>
        <w:autoSpaceDN w:val="0"/>
        <w:adjustRightInd w:val="0"/>
        <w:spacing w:after="0" w:line="360" w:lineRule="auto"/>
        <w:jc w:val="both"/>
        <w:rPr>
          <w:rFonts w:ascii="Book Antiqua" w:hAnsi="Book Antiqua"/>
          <w:b/>
          <w:i/>
          <w:color w:val="000000"/>
          <w:sz w:val="24"/>
          <w:szCs w:val="24"/>
          <w:lang w:val="en-US" w:eastAsia="zh-CN"/>
        </w:rPr>
      </w:pPr>
      <w:r w:rsidRPr="00A02A04">
        <w:rPr>
          <w:rFonts w:ascii="Book Antiqua" w:eastAsia="AdvAGaramond-R" w:hAnsi="Book Antiqua"/>
          <w:b/>
          <w:i/>
          <w:color w:val="000000"/>
          <w:sz w:val="24"/>
          <w:szCs w:val="24"/>
          <w:lang w:val="en-US"/>
        </w:rPr>
        <w:t>Statistical analysis</w:t>
      </w:r>
    </w:p>
    <w:p w:rsidR="003C29A3" w:rsidRPr="00A02A04" w:rsidRDefault="003C29A3" w:rsidP="009E446B">
      <w:pPr>
        <w:autoSpaceDE w:val="0"/>
        <w:autoSpaceDN w:val="0"/>
        <w:adjustRightInd w:val="0"/>
        <w:spacing w:after="0" w:line="360" w:lineRule="auto"/>
        <w:jc w:val="both"/>
        <w:rPr>
          <w:rFonts w:ascii="Book Antiqua" w:eastAsia="AdvAGaramond-R" w:hAnsi="Book Antiqua"/>
          <w:color w:val="000000"/>
          <w:sz w:val="24"/>
          <w:szCs w:val="24"/>
          <w:lang w:val="en-US"/>
        </w:rPr>
      </w:pPr>
      <w:r w:rsidRPr="00A02A04">
        <w:rPr>
          <w:rFonts w:ascii="Book Antiqua" w:eastAsia="AdvAGaramond-R" w:hAnsi="Book Antiqua"/>
          <w:color w:val="000000"/>
          <w:sz w:val="24"/>
          <w:szCs w:val="24"/>
          <w:lang w:val="en-US"/>
        </w:rPr>
        <w:t xml:space="preserve">In descriptive statistics </w:t>
      </w:r>
      <w:bookmarkStart w:id="7" w:name="OLE_LINK41"/>
      <w:bookmarkStart w:id="8" w:name="OLE_LINK42"/>
      <w:r w:rsidRPr="00A02A04">
        <w:rPr>
          <w:rFonts w:ascii="Book Antiqua" w:eastAsia="Times New Roman" w:hAnsi="Book Antiqua"/>
          <w:i/>
          <w:color w:val="000000"/>
          <w:sz w:val="24"/>
          <w:szCs w:val="24"/>
        </w:rPr>
        <w:sym w:font="SymbolPS" w:char="F063"/>
      </w:r>
      <w:r w:rsidRPr="00A02A04">
        <w:rPr>
          <w:rFonts w:ascii="Book Antiqua" w:eastAsia="Times New Roman" w:hAnsi="Book Antiqua"/>
          <w:color w:val="000000"/>
          <w:sz w:val="24"/>
          <w:szCs w:val="24"/>
          <w:vertAlign w:val="superscript"/>
        </w:rPr>
        <w:t>2</w:t>
      </w:r>
      <w:bookmarkEnd w:id="7"/>
      <w:bookmarkEnd w:id="8"/>
      <w:r w:rsidRPr="00A02A04">
        <w:rPr>
          <w:rFonts w:ascii="Book Antiqua" w:eastAsia="AdvAGaramond-R" w:hAnsi="Book Antiqua"/>
          <w:color w:val="000000"/>
          <w:sz w:val="24"/>
          <w:szCs w:val="24"/>
          <w:lang w:val="en-US"/>
        </w:rPr>
        <w:t xml:space="preserve"> test and Fisher's exact test were used for testing differences for categorical and Mann-Whitney U-test for continuous variables between patients groups. A </w:t>
      </w:r>
      <w:r w:rsidRPr="00A02A04">
        <w:rPr>
          <w:rFonts w:ascii="Book Antiqua" w:eastAsia="AdvAGaramond-R" w:hAnsi="Book Antiqua"/>
          <w:i/>
          <w:color w:val="000000"/>
          <w:sz w:val="24"/>
          <w:szCs w:val="24"/>
          <w:lang w:val="en-US"/>
        </w:rPr>
        <w:t>P</w:t>
      </w:r>
      <w:r w:rsidRPr="00A02A04">
        <w:rPr>
          <w:rFonts w:ascii="Book Antiqua" w:eastAsia="AdvAGaramond-R" w:hAnsi="Book Antiqua"/>
          <w:color w:val="000000"/>
          <w:sz w:val="24"/>
          <w:szCs w:val="24"/>
          <w:lang w:val="en-US"/>
        </w:rPr>
        <w:t>-value &lt;</w:t>
      </w:r>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0.05 was considered statistically significant. Further analyses were targeted on: (1) 16-week clinical benefit (</w:t>
      </w:r>
      <w:r w:rsidRPr="00A02A04">
        <w:rPr>
          <w:rFonts w:ascii="Book Antiqua" w:eastAsia="AdvAGaramond-R" w:hAnsi="Book Antiqua"/>
          <w:i/>
          <w:color w:val="000000"/>
          <w:sz w:val="24"/>
          <w:szCs w:val="24"/>
          <w:lang w:val="en-US"/>
        </w:rPr>
        <w:t>i.e.</w:t>
      </w:r>
      <w:r w:rsidRPr="00A02A04">
        <w:rPr>
          <w:rFonts w:ascii="Book Antiqua" w:hAnsi="Book Antiqua"/>
          <w:color w:val="000000"/>
          <w:sz w:val="24"/>
          <w:szCs w:val="24"/>
          <w:lang w:val="en-US" w:eastAsia="zh-CN"/>
        </w:rPr>
        <w:t>,</w:t>
      </w:r>
      <w:r w:rsidRPr="00A02A04">
        <w:rPr>
          <w:rFonts w:ascii="Book Antiqua" w:eastAsia="AdvAGaramond-R" w:hAnsi="Book Antiqua"/>
          <w:color w:val="000000"/>
          <w:sz w:val="24"/>
          <w:szCs w:val="24"/>
          <w:lang w:val="en-US"/>
        </w:rPr>
        <w:t xml:space="preserve"> presence/absence of partial response or stable disease at imaging) using logistic regression; and (2) overall survival (end-point was death during follow-up, other patients were censored up to the date of the last contact) using Kaplan-Meier method, log-rank test and Cox PH modeling.</w:t>
      </w:r>
    </w:p>
    <w:p w:rsidR="003C29A3" w:rsidRPr="00A02A04" w:rsidRDefault="003C29A3" w:rsidP="009E446B">
      <w:pPr>
        <w:autoSpaceDE w:val="0"/>
        <w:autoSpaceDN w:val="0"/>
        <w:adjustRightInd w:val="0"/>
        <w:spacing w:after="0" w:line="360" w:lineRule="auto"/>
        <w:ind w:firstLineChars="300" w:firstLine="720"/>
        <w:jc w:val="both"/>
        <w:rPr>
          <w:rFonts w:ascii="Book Antiqua" w:hAnsi="Book Antiqua"/>
          <w:color w:val="000000"/>
          <w:sz w:val="24"/>
          <w:szCs w:val="24"/>
          <w:lang w:val="en-US" w:eastAsia="zh-CN"/>
        </w:rPr>
      </w:pPr>
      <w:r w:rsidRPr="00A02A04">
        <w:rPr>
          <w:rFonts w:ascii="Book Antiqua" w:eastAsia="AdvAGaramond-R" w:hAnsi="Book Antiqua"/>
          <w:color w:val="000000"/>
          <w:sz w:val="24"/>
          <w:szCs w:val="24"/>
          <w:lang w:val="en-US"/>
        </w:rPr>
        <w:t xml:space="preserve">In both types of analyses all clinical variables collected at enrolling were considered. The frequency of missing values ranged from 0% to 13.6%, mostly present in laboratory parameters. Due to the small number of patients in the sample, missing values were handled by single imputation technique. The results coming from </w:t>
      </w:r>
      <w:proofErr w:type="spellStart"/>
      <w:r w:rsidRPr="00A02A04">
        <w:rPr>
          <w:rFonts w:ascii="Book Antiqua" w:eastAsia="AdvAGaramond-R" w:hAnsi="Book Antiqua"/>
          <w:color w:val="000000"/>
          <w:sz w:val="24"/>
          <w:szCs w:val="24"/>
          <w:lang w:val="en-US"/>
        </w:rPr>
        <w:t>univariate</w:t>
      </w:r>
      <w:proofErr w:type="spellEnd"/>
      <w:r w:rsidRPr="00A02A04">
        <w:rPr>
          <w:rFonts w:ascii="Book Antiqua" w:eastAsia="AdvAGaramond-R" w:hAnsi="Book Antiqua"/>
          <w:color w:val="000000"/>
          <w:sz w:val="24"/>
          <w:szCs w:val="24"/>
          <w:lang w:val="en-US"/>
        </w:rPr>
        <w:t xml:space="preserve"> analyses before and after data imputation were compared. Parameters resulting statistically significant with </w:t>
      </w:r>
      <w:r w:rsidRPr="00A02A04">
        <w:rPr>
          <w:rFonts w:ascii="Book Antiqua" w:eastAsia="AdvAGaramond-R" w:hAnsi="Book Antiqua"/>
          <w:i/>
          <w:color w:val="000000"/>
          <w:sz w:val="24"/>
          <w:szCs w:val="24"/>
          <w:lang w:val="en-US"/>
        </w:rPr>
        <w:t>P &lt;</w:t>
      </w:r>
      <w:r w:rsidRPr="00A02A04">
        <w:rPr>
          <w:rFonts w:ascii="Book Antiqua" w:hAnsi="Book Antiqua"/>
          <w:i/>
          <w:color w:val="000000"/>
          <w:sz w:val="24"/>
          <w:szCs w:val="24"/>
          <w:lang w:val="en-US" w:eastAsia="zh-CN"/>
        </w:rPr>
        <w:t xml:space="preserve"> </w:t>
      </w:r>
      <w:r w:rsidRPr="00A02A04">
        <w:rPr>
          <w:rFonts w:ascii="Book Antiqua" w:eastAsia="AdvAGaramond-R" w:hAnsi="Book Antiqua"/>
          <w:color w:val="000000"/>
          <w:sz w:val="24"/>
          <w:szCs w:val="24"/>
          <w:lang w:val="en-US"/>
        </w:rPr>
        <w:t xml:space="preserve">0.20 in </w:t>
      </w:r>
      <w:proofErr w:type="spellStart"/>
      <w:r w:rsidRPr="00A02A04">
        <w:rPr>
          <w:rFonts w:ascii="Book Antiqua" w:eastAsia="AdvAGaramond-R" w:hAnsi="Book Antiqua"/>
          <w:color w:val="000000"/>
          <w:sz w:val="24"/>
          <w:szCs w:val="24"/>
          <w:lang w:val="en-US"/>
        </w:rPr>
        <w:t>univariate</w:t>
      </w:r>
      <w:proofErr w:type="spellEnd"/>
      <w:r w:rsidRPr="00A02A04">
        <w:rPr>
          <w:rFonts w:ascii="Book Antiqua" w:eastAsia="AdvAGaramond-R" w:hAnsi="Book Antiqua"/>
          <w:color w:val="000000"/>
          <w:sz w:val="24"/>
          <w:szCs w:val="24"/>
          <w:lang w:val="en-US"/>
        </w:rPr>
        <w:t xml:space="preserve"> analyses were further included into multivariate analyses. Then, starting from the full model with all variables included, the models were built applying backwards stepwise selection procedure with </w:t>
      </w:r>
      <w:r w:rsidRPr="00A02A04">
        <w:rPr>
          <w:rFonts w:ascii="Book Antiqua" w:eastAsia="AdvAGaramond-R" w:hAnsi="Book Antiqua"/>
          <w:i/>
          <w:color w:val="000000"/>
          <w:sz w:val="24"/>
          <w:szCs w:val="24"/>
          <w:lang w:val="en-US"/>
        </w:rPr>
        <w:t>P</w:t>
      </w:r>
      <w:r w:rsidRPr="00A02A04">
        <w:rPr>
          <w:rFonts w:ascii="Book Antiqua" w:hAnsi="Book Antiqua"/>
          <w:i/>
          <w:color w:val="000000"/>
          <w:sz w:val="24"/>
          <w:szCs w:val="24"/>
          <w:lang w:val="en-US" w:eastAsia="zh-CN"/>
        </w:rPr>
        <w:t xml:space="preserve"> </w:t>
      </w:r>
      <w:r w:rsidRPr="00A02A04">
        <w:rPr>
          <w:rFonts w:ascii="Book Antiqua" w:eastAsia="AdvAGaramond-R" w:hAnsi="Book Antiqua"/>
          <w:color w:val="000000"/>
          <w:sz w:val="24"/>
          <w:szCs w:val="24"/>
          <w:lang w:val="en-US"/>
        </w:rPr>
        <w:t>&gt;</w:t>
      </w:r>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 xml:space="preserve">0.10 as remove and </w:t>
      </w:r>
      <w:r w:rsidRPr="00A02A04">
        <w:rPr>
          <w:rFonts w:ascii="Book Antiqua" w:eastAsia="AdvAGaramond-R" w:hAnsi="Book Antiqua"/>
          <w:i/>
          <w:color w:val="000000"/>
          <w:sz w:val="24"/>
          <w:szCs w:val="24"/>
          <w:lang w:val="en-US"/>
        </w:rPr>
        <w:t>P &lt;</w:t>
      </w:r>
      <w:r w:rsidRPr="00A02A04">
        <w:rPr>
          <w:rFonts w:ascii="Book Antiqua" w:hAnsi="Book Antiqua"/>
          <w:i/>
          <w:color w:val="000000"/>
          <w:sz w:val="24"/>
          <w:szCs w:val="24"/>
          <w:lang w:val="en-US" w:eastAsia="zh-CN"/>
        </w:rPr>
        <w:t xml:space="preserve"> </w:t>
      </w:r>
      <w:r w:rsidRPr="00A02A04">
        <w:rPr>
          <w:rFonts w:ascii="Book Antiqua" w:eastAsia="AdvAGaramond-R" w:hAnsi="Book Antiqua"/>
          <w:color w:val="000000"/>
          <w:sz w:val="24"/>
          <w:szCs w:val="24"/>
          <w:lang w:val="en-US"/>
        </w:rPr>
        <w:t>0.10 re-entry criteria. As a strength of association between each predictor and outcome the OR and 95% confidence interval for logistic regression and HR, and 95%</w:t>
      </w:r>
      <w:r w:rsidRPr="00A02A04">
        <w:rPr>
          <w:rFonts w:ascii="Book Antiqua" w:hAnsi="Book Antiqua"/>
          <w:color w:val="000000"/>
          <w:sz w:val="24"/>
          <w:szCs w:val="24"/>
          <w:lang w:val="en-US" w:eastAsia="zh-CN"/>
        </w:rPr>
        <w:t>CI</w:t>
      </w:r>
      <w:r w:rsidRPr="00A02A04">
        <w:rPr>
          <w:rFonts w:ascii="Book Antiqua" w:eastAsia="AdvAGaramond-R" w:hAnsi="Book Antiqua"/>
          <w:color w:val="000000"/>
          <w:sz w:val="24"/>
          <w:szCs w:val="24"/>
          <w:lang w:val="en-US"/>
        </w:rPr>
        <w:t xml:space="preserve"> for survival analysis were calculated. Statistical analysis was performed with SAS 9.2 software (SAS Institute Inc., Cary, NC, </w:t>
      </w:r>
      <w:bookmarkStart w:id="9" w:name="OLE_LINK144"/>
      <w:bookmarkStart w:id="10" w:name="OLE_LINK145"/>
      <w:r w:rsidRPr="00A02A04">
        <w:rPr>
          <w:rFonts w:ascii="Book Antiqua" w:eastAsia="Times New Roman" w:hAnsi="Book Antiqua" w:cs="Garamond"/>
          <w:color w:val="000000"/>
          <w:sz w:val="24"/>
          <w:szCs w:val="24"/>
        </w:rPr>
        <w:t>United States</w:t>
      </w:r>
      <w:bookmarkEnd w:id="9"/>
      <w:bookmarkEnd w:id="10"/>
      <w:r w:rsidRPr="00A02A04">
        <w:rPr>
          <w:rFonts w:ascii="Book Antiqua" w:eastAsia="AdvAGaramond-R" w:hAnsi="Book Antiqua"/>
          <w:color w:val="000000"/>
          <w:sz w:val="24"/>
          <w:szCs w:val="24"/>
          <w:lang w:val="en-US"/>
        </w:rPr>
        <w:t>).</w:t>
      </w:r>
    </w:p>
    <w:p w:rsidR="003C29A3" w:rsidRPr="00A02A04" w:rsidRDefault="003C29A3" w:rsidP="009E446B">
      <w:pPr>
        <w:autoSpaceDE w:val="0"/>
        <w:autoSpaceDN w:val="0"/>
        <w:adjustRightInd w:val="0"/>
        <w:spacing w:after="0" w:line="360" w:lineRule="auto"/>
        <w:ind w:firstLineChars="300" w:firstLine="720"/>
        <w:jc w:val="both"/>
        <w:rPr>
          <w:rFonts w:ascii="Book Antiqua" w:hAnsi="Book Antiqua"/>
          <w:color w:val="000000"/>
          <w:sz w:val="24"/>
          <w:szCs w:val="24"/>
          <w:lang w:val="en-US" w:eastAsia="zh-CN"/>
        </w:rPr>
      </w:pPr>
    </w:p>
    <w:p w:rsidR="003C29A3" w:rsidRPr="00A02A04" w:rsidRDefault="003C29A3" w:rsidP="009E446B">
      <w:pPr>
        <w:spacing w:after="0" w:line="360" w:lineRule="auto"/>
        <w:jc w:val="both"/>
        <w:rPr>
          <w:rFonts w:ascii="Book Antiqua" w:eastAsia="Times New Roman" w:hAnsi="Book Antiqua"/>
          <w:b/>
          <w:color w:val="000000"/>
          <w:sz w:val="24"/>
          <w:szCs w:val="24"/>
          <w:lang w:val="en-US"/>
        </w:rPr>
      </w:pPr>
      <w:r w:rsidRPr="00A02A04">
        <w:rPr>
          <w:rFonts w:ascii="Book Antiqua" w:eastAsia="Times New Roman" w:hAnsi="Book Antiqua"/>
          <w:b/>
          <w:color w:val="000000"/>
          <w:sz w:val="24"/>
          <w:szCs w:val="24"/>
          <w:lang w:val="en-US"/>
        </w:rPr>
        <w:t>RESULTS</w:t>
      </w:r>
      <w:r w:rsidRPr="00A02A04">
        <w:rPr>
          <w:rFonts w:ascii="Book Antiqua" w:eastAsia="Times New Roman" w:hAnsi="Book Antiqua"/>
          <w:b/>
          <w:color w:val="000000"/>
          <w:sz w:val="24"/>
          <w:szCs w:val="24"/>
          <w:lang w:val="en-US"/>
        </w:rPr>
        <w:tab/>
      </w:r>
    </w:p>
    <w:p w:rsidR="003C29A3" w:rsidRPr="00A02A04" w:rsidRDefault="003C29A3" w:rsidP="009E446B">
      <w:pPr>
        <w:spacing w:after="0" w:line="360" w:lineRule="auto"/>
        <w:jc w:val="both"/>
        <w:rPr>
          <w:rFonts w:ascii="Book Antiqua" w:eastAsia="Times New Roman" w:hAnsi="Book Antiqua"/>
          <w:color w:val="000000"/>
          <w:sz w:val="24"/>
          <w:szCs w:val="24"/>
          <w:lang w:val="en-US"/>
        </w:rPr>
      </w:pPr>
      <w:r w:rsidRPr="00A02A04">
        <w:rPr>
          <w:rFonts w:ascii="Book Antiqua" w:eastAsia="Times New Roman" w:hAnsi="Book Antiqua"/>
          <w:color w:val="000000"/>
          <w:sz w:val="24"/>
          <w:szCs w:val="24"/>
          <w:lang w:val="en-US"/>
        </w:rPr>
        <w:t>The clinical characteristics of the 44 patients enrolled in the study are shown in Table 1. Patients were mostly males and their age concentrated in the 7</w:t>
      </w:r>
      <w:r w:rsidRPr="00A02A04">
        <w:rPr>
          <w:rFonts w:ascii="Book Antiqua" w:eastAsia="Times New Roman" w:hAnsi="Book Antiqua"/>
          <w:color w:val="000000"/>
          <w:sz w:val="24"/>
          <w:szCs w:val="24"/>
          <w:vertAlign w:val="superscript"/>
          <w:lang w:val="en-US"/>
        </w:rPr>
        <w:t>th</w:t>
      </w:r>
      <w:r w:rsidRPr="00A02A04">
        <w:rPr>
          <w:rFonts w:ascii="Book Antiqua" w:eastAsia="Times New Roman" w:hAnsi="Book Antiqua"/>
          <w:color w:val="000000"/>
          <w:sz w:val="24"/>
          <w:szCs w:val="24"/>
          <w:lang w:val="en-US"/>
        </w:rPr>
        <w:t>-8</w:t>
      </w:r>
      <w:r w:rsidRPr="00A02A04">
        <w:rPr>
          <w:rFonts w:ascii="Book Antiqua" w:eastAsia="Times New Roman" w:hAnsi="Book Antiqua"/>
          <w:color w:val="000000"/>
          <w:sz w:val="24"/>
          <w:szCs w:val="24"/>
          <w:vertAlign w:val="superscript"/>
          <w:lang w:val="en-US"/>
        </w:rPr>
        <w:t>th</w:t>
      </w:r>
      <w:r w:rsidRPr="00A02A04">
        <w:rPr>
          <w:rFonts w:ascii="Book Antiqua" w:eastAsia="Times New Roman" w:hAnsi="Book Antiqua"/>
          <w:color w:val="000000"/>
          <w:sz w:val="24"/>
          <w:szCs w:val="24"/>
          <w:lang w:val="en-US"/>
        </w:rPr>
        <w:t xml:space="preserve"> decade. Viral etiology, alone or in combination with other factors, was present in more than two-thirds of patients. Nine patients had </w:t>
      </w:r>
      <w:proofErr w:type="spellStart"/>
      <w:r w:rsidRPr="00A02A04">
        <w:rPr>
          <w:rFonts w:ascii="Book Antiqua" w:eastAsia="Times New Roman" w:hAnsi="Book Antiqua"/>
          <w:color w:val="000000"/>
          <w:sz w:val="24"/>
          <w:szCs w:val="24"/>
          <w:lang w:val="en-US"/>
        </w:rPr>
        <w:t>extrahepatic</w:t>
      </w:r>
      <w:proofErr w:type="spellEnd"/>
      <w:r w:rsidRPr="00A02A04">
        <w:rPr>
          <w:rFonts w:ascii="Book Antiqua" w:eastAsia="Times New Roman" w:hAnsi="Book Antiqua"/>
          <w:color w:val="000000"/>
          <w:sz w:val="24"/>
          <w:szCs w:val="24"/>
          <w:lang w:val="en-US"/>
        </w:rPr>
        <w:t xml:space="preserve"> spread (4 lungs, 3 lymph nodes and 2 skeleton). The majority of patients (84%) had a tumor burden ≤</w:t>
      </w:r>
      <w:r w:rsidRPr="00A02A04">
        <w:rPr>
          <w:rFonts w:ascii="Book Antiqua" w:hAnsi="Book Antiqua"/>
          <w:color w:val="000000"/>
          <w:sz w:val="24"/>
          <w:szCs w:val="24"/>
          <w:lang w:val="en-US" w:eastAsia="zh-CN"/>
        </w:rPr>
        <w:t xml:space="preserve"> </w:t>
      </w:r>
      <w:r w:rsidRPr="00A02A04">
        <w:rPr>
          <w:rFonts w:ascii="Book Antiqua" w:eastAsia="Times New Roman" w:hAnsi="Book Antiqua"/>
          <w:color w:val="000000"/>
          <w:sz w:val="24"/>
          <w:szCs w:val="24"/>
          <w:lang w:val="en-US"/>
        </w:rPr>
        <w:t xml:space="preserve">3 nodules. Approximately half of the patients (56.8%) had been previously treated with other modalities, chemoembolization </w:t>
      </w:r>
      <w:r w:rsidRPr="00A02A04">
        <w:rPr>
          <w:rFonts w:ascii="Book Antiqua" w:eastAsia="Times New Roman" w:hAnsi="Book Antiqua"/>
          <w:color w:val="000000"/>
          <w:sz w:val="24"/>
          <w:szCs w:val="24"/>
          <w:lang w:val="en-US"/>
        </w:rPr>
        <w:lastRenderedPageBreak/>
        <w:t xml:space="preserve">being the most frequent. No patient had undergone liver transplantation. No patient was lost to follow up during treatment, while 2 patients were lost to follow up after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withdrawal.</w:t>
      </w:r>
    </w:p>
    <w:p w:rsidR="003C29A3" w:rsidRPr="00A02A04" w:rsidRDefault="003C29A3" w:rsidP="009E446B">
      <w:pPr>
        <w:spacing w:after="0" w:line="360" w:lineRule="auto"/>
        <w:ind w:firstLineChars="250" w:firstLine="600"/>
        <w:jc w:val="both"/>
        <w:rPr>
          <w:rFonts w:ascii="Book Antiqua" w:eastAsia="Times New Roman" w:hAnsi="Book Antiqua"/>
          <w:color w:val="000000"/>
          <w:sz w:val="24"/>
          <w:szCs w:val="24"/>
          <w:lang w:val="en-US"/>
        </w:rPr>
      </w:pPr>
      <w:r w:rsidRPr="00A02A04">
        <w:rPr>
          <w:rFonts w:ascii="Book Antiqua" w:eastAsia="Times New Roman" w:hAnsi="Book Antiqua"/>
          <w:color w:val="000000"/>
          <w:sz w:val="24"/>
          <w:szCs w:val="24"/>
          <w:lang w:val="en-US"/>
        </w:rPr>
        <w:t xml:space="preserve">Median treatment duration was 15 </w:t>
      </w:r>
      <w:proofErr w:type="spellStart"/>
      <w:r w:rsidRPr="00A02A04">
        <w:rPr>
          <w:rFonts w:ascii="Book Antiqua" w:eastAsia="Times New Roman" w:hAnsi="Book Antiqua"/>
          <w:color w:val="000000"/>
          <w:sz w:val="24"/>
          <w:szCs w:val="24"/>
          <w:lang w:val="en-US"/>
        </w:rPr>
        <w:t>wk</w:t>
      </w:r>
      <w:proofErr w:type="spellEnd"/>
      <w:r w:rsidRPr="00A02A04">
        <w:rPr>
          <w:rFonts w:ascii="Book Antiqua" w:eastAsia="Times New Roman" w:hAnsi="Book Antiqua"/>
          <w:color w:val="000000"/>
          <w:sz w:val="24"/>
          <w:szCs w:val="24"/>
          <w:lang w:val="en-US"/>
        </w:rPr>
        <w:t xml:space="preserve"> (range 1-81). At the time of analysis no patients were still under treatment. The reason for stopping treatment was disease progression in 25 patients (56</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8%) and unacceptable AEs in 19 (43.2%). Median treatment duration was significantly shorter in patients who stopped treatment because of AEs </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5 </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range 1-57</w:t>
      </w:r>
      <w:r w:rsidRPr="00A02A04">
        <w:rPr>
          <w:rFonts w:ascii="Book Antiqua" w:hAnsi="Book Antiqua"/>
          <w:color w:val="000000"/>
          <w:sz w:val="24"/>
          <w:szCs w:val="24"/>
          <w:lang w:val="en-US" w:eastAsia="zh-CN"/>
        </w:rPr>
        <w:t xml:space="preserve">) </w:t>
      </w:r>
      <w:proofErr w:type="spellStart"/>
      <w:r w:rsidRPr="00A02A04">
        <w:rPr>
          <w:rFonts w:ascii="Book Antiqua" w:eastAsia="Times New Roman" w:hAnsi="Book Antiqua"/>
          <w:i/>
          <w:color w:val="000000"/>
          <w:sz w:val="24"/>
          <w:szCs w:val="24"/>
          <w:lang w:val="en-US"/>
        </w:rPr>
        <w:t>vs</w:t>
      </w:r>
      <w:proofErr w:type="spellEnd"/>
      <w:r w:rsidRPr="00A02A04">
        <w:rPr>
          <w:rFonts w:ascii="Book Antiqua" w:eastAsia="Times New Roman" w:hAnsi="Book Antiqua"/>
          <w:color w:val="000000"/>
          <w:sz w:val="24"/>
          <w:szCs w:val="24"/>
          <w:lang w:val="en-US"/>
        </w:rPr>
        <w:t xml:space="preserve"> 19 </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5-81</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 </w:t>
      </w:r>
      <w:proofErr w:type="spellStart"/>
      <w:r w:rsidRPr="00A02A04">
        <w:rPr>
          <w:rFonts w:ascii="Book Antiqua" w:eastAsia="Times New Roman" w:hAnsi="Book Antiqua"/>
          <w:color w:val="000000"/>
          <w:sz w:val="24"/>
          <w:szCs w:val="24"/>
          <w:lang w:val="en-US"/>
        </w:rPr>
        <w:t>wk</w:t>
      </w:r>
      <w:proofErr w:type="spellEnd"/>
      <w:r w:rsidRPr="00A02A04">
        <w:rPr>
          <w:rFonts w:ascii="Book Antiqua" w:eastAsia="Times New Roman" w:hAnsi="Book Antiqua"/>
          <w:color w:val="000000"/>
          <w:sz w:val="24"/>
          <w:szCs w:val="24"/>
          <w:lang w:val="en-US"/>
        </w:rPr>
        <w:t xml:space="preserve">, </w:t>
      </w:r>
      <w:r w:rsidRPr="00A02A04">
        <w:rPr>
          <w:rFonts w:ascii="Book Antiqua" w:eastAsia="Times New Roman" w:hAnsi="Book Antiqua"/>
          <w:i/>
          <w:color w:val="000000"/>
          <w:sz w:val="24"/>
          <w:szCs w:val="24"/>
          <w:lang w:val="en-US"/>
        </w:rPr>
        <w:t>P &lt;</w:t>
      </w:r>
      <w:r w:rsidRPr="00A02A04">
        <w:rPr>
          <w:rFonts w:ascii="Book Antiqua" w:eastAsia="Times New Roman" w:hAnsi="Book Antiqua"/>
          <w:color w:val="000000"/>
          <w:sz w:val="24"/>
          <w:szCs w:val="24"/>
          <w:lang w:val="en-US"/>
        </w:rPr>
        <w:t>0.001</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 No significant differences in the reason for treatment interruption or in treatment duration were found comparing patients in Child Pugh A </w:t>
      </w:r>
      <w:proofErr w:type="spellStart"/>
      <w:r w:rsidRPr="00A02A04">
        <w:rPr>
          <w:rFonts w:ascii="Book Antiqua" w:eastAsia="Times New Roman" w:hAnsi="Book Antiqua"/>
          <w:i/>
          <w:color w:val="000000"/>
          <w:sz w:val="24"/>
          <w:szCs w:val="24"/>
          <w:lang w:val="en-US"/>
        </w:rPr>
        <w:t>vs</w:t>
      </w:r>
      <w:proofErr w:type="spellEnd"/>
      <w:r w:rsidRPr="00A02A04">
        <w:rPr>
          <w:rFonts w:ascii="Book Antiqua" w:eastAsia="Times New Roman" w:hAnsi="Book Antiqua"/>
          <w:color w:val="000000"/>
          <w:sz w:val="24"/>
          <w:szCs w:val="24"/>
          <w:lang w:val="en-US"/>
        </w:rPr>
        <w:t xml:space="preserve"> B class or patients older or younger than 70 years. Patients in the BCLC-C stage had a significantly shorter median duration of treatment compared to BCLC-B patients </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13 </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2-73</w:t>
      </w:r>
      <w:r w:rsidRPr="00A02A04">
        <w:rPr>
          <w:rFonts w:ascii="Book Antiqua" w:hAnsi="Book Antiqua"/>
          <w:color w:val="000000"/>
          <w:sz w:val="24"/>
          <w:szCs w:val="24"/>
          <w:lang w:val="en-US" w:eastAsia="zh-CN"/>
        </w:rPr>
        <w:t xml:space="preserve">) </w:t>
      </w:r>
      <w:proofErr w:type="spellStart"/>
      <w:r w:rsidRPr="00A02A04">
        <w:rPr>
          <w:rFonts w:ascii="Book Antiqua" w:eastAsia="Times New Roman" w:hAnsi="Book Antiqua"/>
          <w:i/>
          <w:color w:val="000000"/>
          <w:sz w:val="24"/>
          <w:szCs w:val="24"/>
          <w:lang w:val="en-US"/>
        </w:rPr>
        <w:t>vs</w:t>
      </w:r>
      <w:proofErr w:type="spellEnd"/>
      <w:r w:rsidRPr="00A02A04">
        <w:rPr>
          <w:rFonts w:ascii="Book Antiqua" w:eastAsia="Times New Roman" w:hAnsi="Book Antiqua"/>
          <w:color w:val="000000"/>
          <w:sz w:val="24"/>
          <w:szCs w:val="24"/>
          <w:lang w:val="en-US"/>
        </w:rPr>
        <w:t xml:space="preserve"> 40 </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1-81</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 </w:t>
      </w:r>
      <w:proofErr w:type="spellStart"/>
      <w:r w:rsidRPr="00A02A04">
        <w:rPr>
          <w:rFonts w:ascii="Book Antiqua" w:eastAsia="Times New Roman" w:hAnsi="Book Antiqua"/>
          <w:color w:val="000000"/>
          <w:sz w:val="24"/>
          <w:szCs w:val="24"/>
          <w:lang w:val="en-US"/>
        </w:rPr>
        <w:t>wk</w:t>
      </w:r>
      <w:proofErr w:type="spellEnd"/>
      <w:r w:rsidRPr="00A02A04">
        <w:rPr>
          <w:rFonts w:ascii="Book Antiqua" w:eastAsia="Times New Roman" w:hAnsi="Book Antiqua"/>
          <w:color w:val="000000"/>
          <w:sz w:val="24"/>
          <w:szCs w:val="24"/>
          <w:lang w:val="en-US"/>
        </w:rPr>
        <w:t xml:space="preserve">, </w:t>
      </w:r>
      <w:r w:rsidRPr="00A02A04">
        <w:rPr>
          <w:rFonts w:ascii="Book Antiqua" w:eastAsia="Times New Roman" w:hAnsi="Book Antiqua"/>
          <w:i/>
          <w:color w:val="000000"/>
          <w:sz w:val="24"/>
          <w:szCs w:val="24"/>
          <w:lang w:val="en-US"/>
        </w:rPr>
        <w:t xml:space="preserve">P = </w:t>
      </w:r>
      <w:r w:rsidRPr="00A02A04">
        <w:rPr>
          <w:rFonts w:ascii="Book Antiqua" w:eastAsia="Times New Roman" w:hAnsi="Book Antiqua"/>
          <w:color w:val="000000"/>
          <w:sz w:val="24"/>
          <w:szCs w:val="24"/>
          <w:lang w:val="en-US"/>
        </w:rPr>
        <w:t>0.015</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 However, these two latter groups did not differ considering the causes of treatment interruption. Interestingly, patients enrolled in the Oncology Unit were more likely to interrupt treatment due to AEs than patients enrolled in the </w:t>
      </w:r>
      <w:proofErr w:type="spellStart"/>
      <w:r w:rsidRPr="00A02A04">
        <w:rPr>
          <w:rFonts w:ascii="Book Antiqua" w:eastAsia="Times New Roman" w:hAnsi="Book Antiqua"/>
          <w:color w:val="000000"/>
          <w:sz w:val="24"/>
          <w:szCs w:val="24"/>
          <w:lang w:val="en-US"/>
        </w:rPr>
        <w:t>Hepatology</w:t>
      </w:r>
      <w:proofErr w:type="spellEnd"/>
      <w:r w:rsidRPr="00A02A04">
        <w:rPr>
          <w:rFonts w:ascii="Book Antiqua" w:eastAsia="Times New Roman" w:hAnsi="Book Antiqua"/>
          <w:color w:val="000000"/>
          <w:sz w:val="24"/>
          <w:szCs w:val="24"/>
          <w:lang w:val="en-US"/>
        </w:rPr>
        <w:t xml:space="preserve"> Unit (73.3% </w:t>
      </w:r>
      <w:proofErr w:type="spellStart"/>
      <w:r w:rsidRPr="00A02A04">
        <w:rPr>
          <w:rFonts w:ascii="Book Antiqua" w:eastAsia="Times New Roman" w:hAnsi="Book Antiqua"/>
          <w:i/>
          <w:color w:val="000000"/>
          <w:sz w:val="24"/>
          <w:szCs w:val="24"/>
          <w:lang w:val="en-US"/>
        </w:rPr>
        <w:t>vs</w:t>
      </w:r>
      <w:proofErr w:type="spellEnd"/>
      <w:r w:rsidRPr="00A02A04">
        <w:rPr>
          <w:rFonts w:ascii="Book Antiqua" w:eastAsia="Times New Roman" w:hAnsi="Book Antiqua"/>
          <w:color w:val="000000"/>
          <w:sz w:val="24"/>
          <w:szCs w:val="24"/>
          <w:lang w:val="en-US"/>
        </w:rPr>
        <w:t xml:space="preserve"> 27.6%, </w:t>
      </w:r>
      <w:r w:rsidRPr="00A02A04">
        <w:rPr>
          <w:rFonts w:ascii="Book Antiqua" w:eastAsia="Times New Roman" w:hAnsi="Book Antiqua"/>
          <w:i/>
          <w:color w:val="000000"/>
          <w:sz w:val="24"/>
          <w:szCs w:val="24"/>
          <w:lang w:val="en-US"/>
        </w:rPr>
        <w:t xml:space="preserve">P = </w:t>
      </w:r>
      <w:r w:rsidRPr="00A02A04">
        <w:rPr>
          <w:rFonts w:ascii="Book Antiqua" w:eastAsia="Times New Roman" w:hAnsi="Book Antiqua"/>
          <w:color w:val="000000"/>
          <w:sz w:val="24"/>
          <w:szCs w:val="24"/>
          <w:lang w:val="en-US"/>
        </w:rPr>
        <w:t>0.01).</w:t>
      </w:r>
    </w:p>
    <w:p w:rsidR="003C29A3" w:rsidRPr="00A02A04" w:rsidRDefault="003C29A3" w:rsidP="009E446B">
      <w:pPr>
        <w:spacing w:after="0" w:line="360" w:lineRule="auto"/>
        <w:ind w:firstLineChars="300" w:firstLine="720"/>
        <w:jc w:val="both"/>
        <w:rPr>
          <w:rFonts w:ascii="Book Antiqua" w:eastAsia="Times New Roman" w:hAnsi="Book Antiqua"/>
          <w:color w:val="000000"/>
          <w:sz w:val="24"/>
          <w:szCs w:val="24"/>
          <w:lang w:val="en-US"/>
        </w:rPr>
      </w:pPr>
      <w:r w:rsidRPr="00A02A04">
        <w:rPr>
          <w:rFonts w:ascii="Book Antiqua" w:eastAsia="Times New Roman" w:hAnsi="Book Antiqua"/>
          <w:color w:val="000000"/>
          <w:sz w:val="24"/>
          <w:szCs w:val="24"/>
          <w:lang w:val="en-US"/>
        </w:rPr>
        <w:t>The overall incidence of AEs during the treatment period was 93.2%. As shown in Table 2, fatigue was the most frequently observed AE, and occurred in 2 out of 3 patients. Twenty-eight patients (63</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7%) presented 2 or more AEs during treatment, irrespective of the grade. Remarkably, 25% and 11% of the whole series presented 3 or 4 AEs, respectively, and in one case (2.3%) 5 AEs were recorded. Grade 3 AEs were observed in 19/44 patients (43.2%), but no more than one grade 3 AE was observed in the same patient. In the 19 patients who stopped treatment because of AEs, grade 3 fatigue (7 patients) or hepatic AEs (8 patients) were those most frequently involved.  Twenty-one patients (47</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7%) required dose reduction or temporary interruption of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treatment. Considering the whole series, 28 patients (63.6%) received a mean daily dose of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greater than 400 mg. After excluding those patients whose treatment duration was lower than 4 weeks, 24 out of 37 patients (64</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9%) received more than 400 mg/d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No significant differences in the overall occurrence of AEs was found comparing patients in Child A </w:t>
      </w:r>
      <w:proofErr w:type="spellStart"/>
      <w:r w:rsidRPr="00A02A04">
        <w:rPr>
          <w:rFonts w:ascii="Book Antiqua" w:eastAsia="Times New Roman" w:hAnsi="Book Antiqua"/>
          <w:i/>
          <w:color w:val="000000"/>
          <w:sz w:val="24"/>
          <w:szCs w:val="24"/>
          <w:lang w:val="en-US"/>
        </w:rPr>
        <w:t>vs</w:t>
      </w:r>
      <w:proofErr w:type="spellEnd"/>
      <w:r w:rsidRPr="00A02A04">
        <w:rPr>
          <w:rFonts w:ascii="Book Antiqua" w:eastAsia="Times New Roman" w:hAnsi="Book Antiqua"/>
          <w:color w:val="000000"/>
          <w:sz w:val="24"/>
          <w:szCs w:val="24"/>
          <w:lang w:val="en-US"/>
        </w:rPr>
        <w:t xml:space="preserve"> B classes. Grade 3 hepatic AEs tended to be more common in Child B patients, although this difference did not reach statistical significance (33</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3% </w:t>
      </w:r>
      <w:proofErr w:type="spellStart"/>
      <w:r w:rsidRPr="00A02A04">
        <w:rPr>
          <w:rFonts w:ascii="Book Antiqua" w:eastAsia="Times New Roman" w:hAnsi="Book Antiqua"/>
          <w:i/>
          <w:color w:val="000000"/>
          <w:sz w:val="24"/>
          <w:szCs w:val="24"/>
          <w:lang w:val="en-US"/>
        </w:rPr>
        <w:t>vs</w:t>
      </w:r>
      <w:proofErr w:type="spellEnd"/>
      <w:r w:rsidRPr="00A02A04">
        <w:rPr>
          <w:rFonts w:ascii="Book Antiqua" w:eastAsia="Times New Roman" w:hAnsi="Book Antiqua"/>
          <w:color w:val="000000"/>
          <w:sz w:val="24"/>
          <w:szCs w:val="24"/>
          <w:lang w:val="en-US"/>
        </w:rPr>
        <w:t xml:space="preserve"> 10</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3%, </w:t>
      </w:r>
      <w:r w:rsidRPr="00A02A04">
        <w:rPr>
          <w:rFonts w:ascii="Book Antiqua" w:eastAsia="Times New Roman" w:hAnsi="Book Antiqua"/>
          <w:i/>
          <w:color w:val="000000"/>
          <w:sz w:val="24"/>
          <w:szCs w:val="24"/>
          <w:lang w:val="en-US"/>
        </w:rPr>
        <w:t xml:space="preserve">P = </w:t>
      </w:r>
      <w:r w:rsidRPr="00A02A04">
        <w:rPr>
          <w:rFonts w:ascii="Book Antiqua" w:eastAsia="Times New Roman" w:hAnsi="Book Antiqua"/>
          <w:color w:val="000000"/>
          <w:sz w:val="24"/>
          <w:szCs w:val="24"/>
          <w:lang w:val="en-US"/>
        </w:rPr>
        <w:t>0</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099). AEs occurred at a similar frequency comparing patients older or younger than 70 years or </w:t>
      </w:r>
      <w:r w:rsidRPr="00A02A04">
        <w:rPr>
          <w:rFonts w:ascii="Book Antiqua" w:eastAsia="Times New Roman" w:hAnsi="Book Antiqua"/>
          <w:color w:val="000000"/>
          <w:sz w:val="24"/>
          <w:szCs w:val="24"/>
          <w:lang w:val="en-US"/>
        </w:rPr>
        <w:lastRenderedPageBreak/>
        <w:t xml:space="preserve">those in BCLC-C </w:t>
      </w:r>
      <w:proofErr w:type="spellStart"/>
      <w:r w:rsidRPr="00A02A04">
        <w:rPr>
          <w:rFonts w:ascii="Book Antiqua" w:eastAsia="Times New Roman" w:hAnsi="Book Antiqua"/>
          <w:i/>
          <w:color w:val="000000"/>
          <w:sz w:val="24"/>
          <w:szCs w:val="24"/>
          <w:lang w:val="en-US"/>
        </w:rPr>
        <w:t>vs</w:t>
      </w:r>
      <w:proofErr w:type="spellEnd"/>
      <w:r w:rsidRPr="00A02A04">
        <w:rPr>
          <w:rFonts w:ascii="Book Antiqua" w:eastAsia="Times New Roman" w:hAnsi="Book Antiqua"/>
          <w:color w:val="000000"/>
          <w:sz w:val="24"/>
          <w:szCs w:val="24"/>
          <w:lang w:val="en-US"/>
        </w:rPr>
        <w:t xml:space="preserve"> B stage. Biochemical parameters at the start and at the end of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therapy are shown in Table 3, subdivided according to the reason for interruption. </w:t>
      </w:r>
    </w:p>
    <w:p w:rsidR="003C29A3" w:rsidRPr="00A02A04" w:rsidRDefault="003C29A3" w:rsidP="009E446B">
      <w:pPr>
        <w:spacing w:after="0" w:line="360" w:lineRule="auto"/>
        <w:ind w:firstLineChars="250" w:firstLine="600"/>
        <w:jc w:val="both"/>
        <w:rPr>
          <w:rFonts w:ascii="Book Antiqua" w:eastAsia="Times New Roman" w:hAnsi="Book Antiqua"/>
          <w:color w:val="000000"/>
          <w:sz w:val="24"/>
          <w:szCs w:val="24"/>
          <w:lang w:val="en-US"/>
        </w:rPr>
      </w:pPr>
      <w:r w:rsidRPr="00A02A04">
        <w:rPr>
          <w:rFonts w:ascii="Book Antiqua" w:eastAsia="Times New Roman" w:hAnsi="Book Antiqua"/>
          <w:color w:val="000000"/>
          <w:sz w:val="24"/>
          <w:szCs w:val="24"/>
          <w:lang w:val="en-US"/>
        </w:rPr>
        <w:t xml:space="preserve">To identify possible predictors of the clinical response to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we analyzed our series of patients after 16 weeks of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treatment, defining a group with ‘clinical benefit’, as the composite of stable disease or partial response by CT/MR dynamic imaging. This group was compared to patients who showed progressive disease at this or earlier time points, or who interrupted treatment because of AEs. At the time of this evaluation, no complete responses were recorded, and no patients had died. Eighteen out of 44 patients (40.9%) had a clinical benefit at week 16, with 14 (31.8%) showing stable disease and 4 (9.1%) a partial response. Eleven patients (25%) had stopped because of a radiological progression and 15 (34.1%) due to the appearance of unacceptable AEs. </w:t>
      </w:r>
      <w:proofErr w:type="spellStart"/>
      <w:r w:rsidRPr="00A02A04">
        <w:rPr>
          <w:rFonts w:ascii="Book Antiqua" w:eastAsia="Times New Roman" w:hAnsi="Book Antiqua"/>
          <w:color w:val="000000"/>
          <w:sz w:val="24"/>
          <w:szCs w:val="24"/>
          <w:lang w:val="en-US"/>
        </w:rPr>
        <w:t>Univariate</w:t>
      </w:r>
      <w:proofErr w:type="spellEnd"/>
      <w:r w:rsidRPr="00A02A04">
        <w:rPr>
          <w:rFonts w:ascii="Book Antiqua" w:eastAsia="Times New Roman" w:hAnsi="Book Antiqua"/>
          <w:color w:val="000000"/>
          <w:sz w:val="24"/>
          <w:szCs w:val="24"/>
          <w:lang w:val="en-US"/>
        </w:rPr>
        <w:t xml:space="preserve"> analysis of the parameters associated with clinical benefit demonstrated that ECOG performance status 0, cirrhosis of non-viral etiology  and BCLC-B stage of disease were significantly associated with a clinical benefit at week 16 (Table 4). In a multivariate model, only BCLC-B and the presence of non-viral cirrhosis emerged as independent predictors of clinical benefit after 16 </w:t>
      </w:r>
      <w:proofErr w:type="spellStart"/>
      <w:r w:rsidRPr="00A02A04">
        <w:rPr>
          <w:rFonts w:ascii="Book Antiqua" w:eastAsia="Times New Roman" w:hAnsi="Book Antiqua"/>
          <w:color w:val="000000"/>
          <w:sz w:val="24"/>
          <w:szCs w:val="24"/>
          <w:lang w:val="en-US"/>
        </w:rPr>
        <w:t>wk</w:t>
      </w:r>
      <w:proofErr w:type="spellEnd"/>
      <w:r w:rsidRPr="00A02A04">
        <w:rPr>
          <w:rFonts w:ascii="Book Antiqua" w:eastAsia="Times New Roman" w:hAnsi="Book Antiqua"/>
          <w:color w:val="000000"/>
          <w:sz w:val="24"/>
          <w:szCs w:val="24"/>
          <w:lang w:val="en-US"/>
        </w:rPr>
        <w:t xml:space="preserve"> of treatment (Table 4).When a sub-analysis comparing patients infected with HCV or HBV was performed, no significant differences in survival were observed. </w:t>
      </w:r>
    </w:p>
    <w:p w:rsidR="003C29A3" w:rsidRPr="00A02A04" w:rsidRDefault="003C29A3" w:rsidP="009E446B">
      <w:pPr>
        <w:spacing w:after="0" w:line="360" w:lineRule="auto"/>
        <w:ind w:firstLineChars="300" w:firstLine="720"/>
        <w:jc w:val="both"/>
        <w:rPr>
          <w:rFonts w:ascii="Book Antiqua" w:hAnsi="Book Antiqua"/>
          <w:color w:val="000000"/>
          <w:sz w:val="24"/>
          <w:szCs w:val="24"/>
          <w:lang w:val="en-US" w:eastAsia="zh-CN"/>
        </w:rPr>
      </w:pPr>
      <w:r w:rsidRPr="00A02A04">
        <w:rPr>
          <w:rFonts w:ascii="Book Antiqua" w:eastAsia="Times New Roman" w:hAnsi="Book Antiqua"/>
          <w:color w:val="000000"/>
          <w:sz w:val="24"/>
          <w:szCs w:val="24"/>
          <w:lang w:val="en-US"/>
        </w:rPr>
        <w:t xml:space="preserve">Median overall survival was 11.4 months (range 7.1-15.7) (Figure 1A). At the time of analysis, 8 patients were still alive, none of them continuing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In </w:t>
      </w:r>
      <w:proofErr w:type="spellStart"/>
      <w:r w:rsidRPr="00A02A04">
        <w:rPr>
          <w:rFonts w:ascii="Book Antiqua" w:eastAsia="Times New Roman" w:hAnsi="Book Antiqua"/>
          <w:color w:val="000000"/>
          <w:sz w:val="24"/>
          <w:szCs w:val="24"/>
          <w:lang w:val="en-US"/>
        </w:rPr>
        <w:t>univariate</w:t>
      </w:r>
      <w:proofErr w:type="spellEnd"/>
      <w:r w:rsidRPr="00A02A04">
        <w:rPr>
          <w:rFonts w:ascii="Book Antiqua" w:eastAsia="Times New Roman" w:hAnsi="Book Antiqua"/>
          <w:color w:val="000000"/>
          <w:sz w:val="24"/>
          <w:szCs w:val="24"/>
          <w:lang w:val="en-US"/>
        </w:rPr>
        <w:t xml:space="preserve"> analysis we found that ECOG performance status ≥</w:t>
      </w:r>
      <w:r w:rsidRPr="00A02A04">
        <w:rPr>
          <w:rFonts w:ascii="Book Antiqua" w:hAnsi="Book Antiqua"/>
          <w:color w:val="000000"/>
          <w:sz w:val="24"/>
          <w:szCs w:val="24"/>
          <w:lang w:val="en-US" w:eastAsia="zh-CN"/>
        </w:rPr>
        <w:t xml:space="preserve"> </w:t>
      </w:r>
      <w:r w:rsidRPr="00A02A04">
        <w:rPr>
          <w:rFonts w:ascii="Book Antiqua" w:eastAsia="Times New Roman" w:hAnsi="Book Antiqua"/>
          <w:color w:val="000000"/>
          <w:sz w:val="24"/>
          <w:szCs w:val="24"/>
          <w:lang w:val="en-US"/>
        </w:rPr>
        <w:t xml:space="preserve">1, presence of metastases or </w:t>
      </w:r>
      <w:proofErr w:type="spellStart"/>
      <w:r w:rsidRPr="00A02A04">
        <w:rPr>
          <w:rFonts w:ascii="Book Antiqua" w:eastAsia="Times New Roman" w:hAnsi="Book Antiqua"/>
          <w:color w:val="000000"/>
          <w:sz w:val="24"/>
          <w:szCs w:val="24"/>
          <w:lang w:val="en-US"/>
        </w:rPr>
        <w:t>macrovascular</w:t>
      </w:r>
      <w:proofErr w:type="spellEnd"/>
      <w:r w:rsidRPr="00A02A04">
        <w:rPr>
          <w:rFonts w:ascii="Book Antiqua" w:eastAsia="Times New Roman" w:hAnsi="Book Antiqua"/>
          <w:color w:val="000000"/>
          <w:sz w:val="24"/>
          <w:szCs w:val="24"/>
          <w:lang w:val="en-US"/>
        </w:rPr>
        <w:t xml:space="preserve"> invasion, BCLC-C stage, and elevated baseline levels of AFP or ALP are significantly related to a shorter overall survival (Table 5). The multivariate model (Table 6) indicated that the presence of symptoms (ECOG performance status ≥</w:t>
      </w:r>
      <w:r w:rsidRPr="00A02A04">
        <w:rPr>
          <w:rFonts w:ascii="Book Antiqua" w:hAnsi="Book Antiqua"/>
          <w:color w:val="000000"/>
          <w:sz w:val="24"/>
          <w:szCs w:val="24"/>
          <w:lang w:val="en-US" w:eastAsia="zh-CN"/>
        </w:rPr>
        <w:t xml:space="preserve"> </w:t>
      </w:r>
      <w:r w:rsidRPr="00A02A04">
        <w:rPr>
          <w:rFonts w:ascii="Book Antiqua" w:eastAsia="Times New Roman" w:hAnsi="Book Antiqua"/>
          <w:color w:val="000000"/>
          <w:sz w:val="24"/>
          <w:szCs w:val="24"/>
          <w:lang w:val="en-US"/>
        </w:rPr>
        <w:t xml:space="preserve">1), </w:t>
      </w:r>
      <w:proofErr w:type="spellStart"/>
      <w:r w:rsidRPr="00A02A04">
        <w:rPr>
          <w:rFonts w:ascii="Book Antiqua" w:eastAsia="Times New Roman" w:hAnsi="Book Antiqua"/>
          <w:color w:val="000000"/>
          <w:sz w:val="24"/>
          <w:szCs w:val="24"/>
          <w:lang w:val="en-US"/>
        </w:rPr>
        <w:t>macrovascular</w:t>
      </w:r>
      <w:proofErr w:type="spellEnd"/>
      <w:r w:rsidRPr="00A02A04">
        <w:rPr>
          <w:rFonts w:ascii="Book Antiqua" w:eastAsia="Times New Roman" w:hAnsi="Book Antiqua"/>
          <w:color w:val="000000"/>
          <w:sz w:val="24"/>
          <w:szCs w:val="24"/>
          <w:lang w:val="en-US"/>
        </w:rPr>
        <w:t xml:space="preserve"> invasion, high levels of ALP or AFP at admission were independent predictors of mortality. Figure 1B and 1C show Kaplan-Meier curves for the series of patients stratified according to AFP or ALP levels, respectively.</w:t>
      </w:r>
    </w:p>
    <w:p w:rsidR="003C29A3" w:rsidRPr="00A02A04" w:rsidRDefault="003C29A3" w:rsidP="009E446B">
      <w:pPr>
        <w:spacing w:after="0" w:line="360" w:lineRule="auto"/>
        <w:jc w:val="both"/>
        <w:rPr>
          <w:rFonts w:ascii="Book Antiqua" w:hAnsi="Book Antiqua"/>
          <w:color w:val="000000"/>
          <w:sz w:val="24"/>
          <w:szCs w:val="24"/>
          <w:lang w:val="en-US" w:eastAsia="zh-CN"/>
        </w:rPr>
      </w:pPr>
    </w:p>
    <w:p w:rsidR="003C29A3" w:rsidRPr="00A02A04" w:rsidRDefault="003C29A3" w:rsidP="009E446B">
      <w:pPr>
        <w:spacing w:after="0" w:line="360" w:lineRule="auto"/>
        <w:jc w:val="both"/>
        <w:rPr>
          <w:rFonts w:ascii="Book Antiqua" w:eastAsia="Times New Roman" w:hAnsi="Book Antiqua"/>
          <w:b/>
          <w:color w:val="000000"/>
          <w:sz w:val="24"/>
          <w:szCs w:val="24"/>
          <w:lang w:val="en-US"/>
        </w:rPr>
      </w:pPr>
      <w:r w:rsidRPr="00A02A04">
        <w:rPr>
          <w:rFonts w:ascii="Book Antiqua" w:eastAsia="Times New Roman" w:hAnsi="Book Antiqua"/>
          <w:b/>
          <w:color w:val="000000"/>
          <w:sz w:val="24"/>
          <w:szCs w:val="24"/>
          <w:lang w:val="en-US"/>
        </w:rPr>
        <w:t>DISCUSSION</w:t>
      </w:r>
    </w:p>
    <w:p w:rsidR="003C29A3" w:rsidRPr="00A02A04" w:rsidRDefault="003C29A3" w:rsidP="009E446B">
      <w:pPr>
        <w:spacing w:after="0" w:line="360" w:lineRule="auto"/>
        <w:jc w:val="both"/>
        <w:rPr>
          <w:rFonts w:ascii="Book Antiqua" w:eastAsia="Times New Roman" w:hAnsi="Book Antiqua"/>
          <w:color w:val="000000"/>
          <w:sz w:val="24"/>
          <w:szCs w:val="24"/>
          <w:lang w:val="en-US"/>
        </w:rPr>
      </w:pP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is the only systemic therapy approved for HCC in its advanced stage and has also been proposed for patients with otherwise untreatable, intermediate stage HCC</w:t>
      </w:r>
      <w:r w:rsidRPr="00A02A04">
        <w:rPr>
          <w:rFonts w:ascii="Book Antiqua" w:eastAsia="Times New Roman" w:hAnsi="Book Antiqua"/>
          <w:noProof/>
          <w:color w:val="000000"/>
          <w:sz w:val="24"/>
          <w:szCs w:val="24"/>
          <w:vertAlign w:val="superscript"/>
          <w:lang w:val="en-US"/>
        </w:rPr>
        <w:t>[13]</w:t>
      </w:r>
      <w:r w:rsidRPr="00A02A04">
        <w:rPr>
          <w:rFonts w:ascii="Book Antiqua" w:eastAsia="Times New Roman" w:hAnsi="Book Antiqua"/>
          <w:color w:val="000000"/>
          <w:sz w:val="24"/>
          <w:szCs w:val="24"/>
          <w:lang w:val="en-US"/>
        </w:rPr>
        <w:t xml:space="preserve">. In this study, we report data from a group of patients with HCC and a definite diagnosis of </w:t>
      </w:r>
      <w:r w:rsidRPr="00A02A04">
        <w:rPr>
          <w:rFonts w:ascii="Book Antiqua" w:eastAsia="Times New Roman" w:hAnsi="Book Antiqua"/>
          <w:color w:val="000000"/>
          <w:sz w:val="24"/>
          <w:szCs w:val="24"/>
          <w:lang w:val="en-US"/>
        </w:rPr>
        <w:lastRenderedPageBreak/>
        <w:t xml:space="preserve">cirrhosis, consecutively recruited in single, tertiary referral center. Tolerability of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treatment was slightly lower than the one reported in the registration studies, in particular the SHARP trial (93% </w:t>
      </w:r>
      <w:proofErr w:type="spellStart"/>
      <w:r w:rsidRPr="00A02A04">
        <w:rPr>
          <w:rFonts w:ascii="Book Antiqua" w:eastAsia="Times New Roman" w:hAnsi="Book Antiqua"/>
          <w:i/>
          <w:color w:val="000000"/>
          <w:sz w:val="24"/>
          <w:szCs w:val="24"/>
          <w:lang w:val="en-US"/>
        </w:rPr>
        <w:t>vs</w:t>
      </w:r>
      <w:proofErr w:type="spellEnd"/>
      <w:r w:rsidRPr="00A02A04">
        <w:rPr>
          <w:rFonts w:ascii="Book Antiqua" w:eastAsia="Times New Roman" w:hAnsi="Book Antiqua"/>
          <w:color w:val="000000"/>
          <w:sz w:val="24"/>
          <w:szCs w:val="24"/>
          <w:lang w:val="en-US"/>
        </w:rPr>
        <w:t xml:space="preserve"> 80% incidence of AEs)</w:t>
      </w:r>
      <w:r w:rsidRPr="00A02A04">
        <w:rPr>
          <w:rFonts w:ascii="Book Antiqua" w:eastAsia="Times New Roman" w:hAnsi="Book Antiqua"/>
          <w:noProof/>
          <w:color w:val="000000"/>
          <w:sz w:val="24"/>
          <w:szCs w:val="24"/>
          <w:vertAlign w:val="superscript"/>
          <w:lang w:val="en-US"/>
        </w:rPr>
        <w:t>[3]</w:t>
      </w:r>
      <w:r w:rsidRPr="00A02A04">
        <w:rPr>
          <w:rFonts w:ascii="Book Antiqua" w:eastAsia="Times New Roman" w:hAnsi="Book Antiqua"/>
          <w:color w:val="000000"/>
          <w:sz w:val="24"/>
          <w:szCs w:val="24"/>
          <w:lang w:val="en-US"/>
        </w:rPr>
        <w:t>, and was similar to other field practice studies</w:t>
      </w:r>
      <w:r w:rsidRPr="00A02A04">
        <w:rPr>
          <w:rFonts w:ascii="Book Antiqua" w:eastAsia="Times New Roman" w:hAnsi="Book Antiqua"/>
          <w:noProof/>
          <w:color w:val="000000"/>
          <w:sz w:val="24"/>
          <w:szCs w:val="24"/>
          <w:vertAlign w:val="superscript"/>
          <w:lang w:val="en-US"/>
        </w:rPr>
        <w:t>[13]</w:t>
      </w:r>
      <w:r w:rsidRPr="00A02A04">
        <w:rPr>
          <w:rFonts w:ascii="Book Antiqua" w:eastAsia="Times New Roman" w:hAnsi="Book Antiqua"/>
          <w:color w:val="000000"/>
          <w:sz w:val="24"/>
          <w:szCs w:val="24"/>
          <w:lang w:val="en-US"/>
        </w:rPr>
        <w:t xml:space="preserve">. It should be kept in mind that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is a non-curative treatment, and therefore maintenance of the best possible quality of life should always be considered as an essential target in these patients</w:t>
      </w:r>
      <w:r w:rsidRPr="00A02A04">
        <w:rPr>
          <w:rFonts w:ascii="Book Antiqua" w:eastAsia="Times New Roman" w:hAnsi="Book Antiqua"/>
          <w:noProof/>
          <w:color w:val="000000"/>
          <w:sz w:val="24"/>
          <w:szCs w:val="24"/>
          <w:vertAlign w:val="superscript"/>
          <w:lang w:val="en-US"/>
        </w:rPr>
        <w:t>[5, 14]</w:t>
      </w:r>
      <w:r w:rsidRPr="00A02A04">
        <w:rPr>
          <w:rFonts w:ascii="Book Antiqua" w:eastAsia="Times New Roman" w:hAnsi="Book Antiqua"/>
          <w:color w:val="000000"/>
          <w:sz w:val="24"/>
          <w:szCs w:val="24"/>
          <w:lang w:val="en-US"/>
        </w:rPr>
        <w:t xml:space="preserve">. We found that the impact of AEs was more marked than in the SHARP trial, because fatigue was complained by two thirds of our patients, and in one fourth of these it reached grade 3 severity. In all patients who complained of fatigue, this symptom had a major influence on the quality of life, and was the cause of dose reduction in several cases. We also observed a higher incidence of grade 3 hepatic AEs, which are particularly worrisome in a patients with cirrhosis such as the ones investigated in this study. It is important to emphasize that almost half of the whole group of patients (19/44) could not continue therapy due to intolerable AEs, and in 15 out of these 19 patients (78.9%) treatment interruption was related to grade 3 fatigue or hepatic AEs. Of note, we observed a significantly shorter median duration of treatment in patients who interrupted treatment due to AEs. This may reflect on patient management, as close follow-up with office visits together with early and aggressive symptomatic therapy may maximize the possibility to drive the patient through this initial critical phase of the therapy. On the other hand, a prompt recognition of initial signs of hepatic AEs may avoid an eventual and possibly fatal deterioration of liver function. </w:t>
      </w:r>
    </w:p>
    <w:p w:rsidR="003C29A3" w:rsidRPr="00A02A04" w:rsidRDefault="003C29A3" w:rsidP="009E446B">
      <w:pPr>
        <w:spacing w:after="0" w:line="360" w:lineRule="auto"/>
        <w:ind w:firstLineChars="200" w:firstLine="480"/>
        <w:jc w:val="both"/>
        <w:rPr>
          <w:rFonts w:ascii="Book Antiqua" w:eastAsia="Times New Roman" w:hAnsi="Book Antiqua"/>
          <w:color w:val="000000"/>
          <w:sz w:val="24"/>
          <w:szCs w:val="24"/>
          <w:lang w:val="en-US"/>
        </w:rPr>
      </w:pPr>
      <w:r w:rsidRPr="00A02A04">
        <w:rPr>
          <w:rFonts w:ascii="Book Antiqua" w:eastAsia="Times New Roman" w:hAnsi="Book Antiqua"/>
          <w:color w:val="000000"/>
          <w:sz w:val="24"/>
          <w:szCs w:val="24"/>
          <w:lang w:val="en-US"/>
        </w:rPr>
        <w:t xml:space="preserve">A somehow surprising finding of this study is the lack of difference in terms of AEs incidence or AE-related treatment interruption comparing Child A </w:t>
      </w:r>
      <w:proofErr w:type="spellStart"/>
      <w:r w:rsidRPr="00A02A04">
        <w:rPr>
          <w:rFonts w:ascii="Book Antiqua" w:eastAsia="Times New Roman" w:hAnsi="Book Antiqua"/>
          <w:i/>
          <w:color w:val="000000"/>
          <w:sz w:val="24"/>
          <w:szCs w:val="24"/>
          <w:lang w:val="en-US"/>
        </w:rPr>
        <w:t>vs</w:t>
      </w:r>
      <w:proofErr w:type="spellEnd"/>
      <w:r w:rsidRPr="00A02A04">
        <w:rPr>
          <w:rFonts w:ascii="Book Antiqua" w:eastAsia="Times New Roman" w:hAnsi="Book Antiqua"/>
          <w:color w:val="000000"/>
          <w:sz w:val="24"/>
          <w:szCs w:val="24"/>
          <w:lang w:val="en-US"/>
        </w:rPr>
        <w:t xml:space="preserve"> Child B patients. These results may be at least partially dependent on the low number of patients and on the fact that all Child-Pugh B patients were extremely well compensated. Nonetheless, Child-Pugh B patients may still have a higher propensity to deteriorate hepatic function, as a trend towards a higher frequency of severe hepatic AEs was observed. Together with data available in the literature</w:t>
      </w:r>
      <w:r w:rsidRPr="00A02A04">
        <w:rPr>
          <w:rFonts w:ascii="Book Antiqua" w:eastAsia="Times New Roman" w:hAnsi="Book Antiqua"/>
          <w:noProof/>
          <w:color w:val="000000"/>
          <w:sz w:val="24"/>
          <w:szCs w:val="24"/>
          <w:vertAlign w:val="superscript"/>
          <w:lang w:val="en-US"/>
        </w:rPr>
        <w:t>[15-20]</w:t>
      </w:r>
      <w:r w:rsidRPr="00A02A04">
        <w:rPr>
          <w:rFonts w:ascii="Book Antiqua" w:eastAsia="Times New Roman" w:hAnsi="Book Antiqua"/>
          <w:color w:val="000000"/>
          <w:sz w:val="24"/>
          <w:szCs w:val="24"/>
          <w:lang w:val="en-US"/>
        </w:rPr>
        <w:t xml:space="preserve">,the results of the present study indicate that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therapy could be reasonably proposed to ‘borderline’ Child Pugh B patients, such as the ones described herein. However, close monitoring by a multidisciplinary group involving a </w:t>
      </w:r>
      <w:proofErr w:type="spellStart"/>
      <w:r w:rsidRPr="00A02A04">
        <w:rPr>
          <w:rFonts w:ascii="Book Antiqua" w:eastAsia="Times New Roman" w:hAnsi="Book Antiqua"/>
          <w:color w:val="000000"/>
          <w:sz w:val="24"/>
          <w:szCs w:val="24"/>
          <w:lang w:val="en-US"/>
        </w:rPr>
        <w:t>Hepatologist</w:t>
      </w:r>
      <w:proofErr w:type="spellEnd"/>
      <w:r w:rsidRPr="00A02A04">
        <w:rPr>
          <w:rFonts w:ascii="Book Antiqua" w:eastAsia="Times New Roman" w:hAnsi="Book Antiqua"/>
          <w:color w:val="000000"/>
          <w:sz w:val="24"/>
          <w:szCs w:val="24"/>
          <w:lang w:val="en-US"/>
        </w:rPr>
        <w:t xml:space="preserve"> is critical, as suggested by the observation that cirrhotic patients enrolled in an Oncology Unit were more likely to interrupt treatment due to AEs, although this did not translate into any differences in survival. Interestingly, we did not find any differences </w:t>
      </w:r>
      <w:r w:rsidRPr="00A02A04">
        <w:rPr>
          <w:rFonts w:ascii="Book Antiqua" w:eastAsia="Times New Roman" w:hAnsi="Book Antiqua"/>
          <w:color w:val="000000"/>
          <w:sz w:val="24"/>
          <w:szCs w:val="24"/>
          <w:lang w:val="en-US"/>
        </w:rPr>
        <w:lastRenderedPageBreak/>
        <w:t>in the overall appearance of AEs in a sub-analysis performed according to the age of the patients (below or above 70 years), in agreement with data from a Korean study</w:t>
      </w:r>
      <w:r w:rsidRPr="00A02A04">
        <w:rPr>
          <w:rFonts w:ascii="Book Antiqua" w:eastAsia="Times New Roman" w:hAnsi="Book Antiqua"/>
          <w:noProof/>
          <w:color w:val="000000"/>
          <w:sz w:val="24"/>
          <w:szCs w:val="24"/>
          <w:vertAlign w:val="superscript"/>
          <w:lang w:val="en-US"/>
        </w:rPr>
        <w:t>[21]</w:t>
      </w:r>
      <w:r w:rsidRPr="00A02A04">
        <w:rPr>
          <w:rFonts w:ascii="Book Antiqua" w:eastAsia="Times New Roman" w:hAnsi="Book Antiqua"/>
          <w:color w:val="000000"/>
          <w:sz w:val="24"/>
          <w:szCs w:val="24"/>
          <w:lang w:val="en-US"/>
        </w:rPr>
        <w:t>. This is particularly relevant, as in Western countries HCC is increasingly observed in the elderly</w:t>
      </w:r>
      <w:r w:rsidRPr="00A02A04">
        <w:rPr>
          <w:rFonts w:ascii="Book Antiqua" w:eastAsia="Times New Roman" w:hAnsi="Book Antiqua"/>
          <w:noProof/>
          <w:color w:val="000000"/>
          <w:sz w:val="24"/>
          <w:szCs w:val="24"/>
          <w:vertAlign w:val="superscript"/>
          <w:lang w:val="en-US"/>
        </w:rPr>
        <w:t>[22]</w:t>
      </w:r>
      <w:r w:rsidRPr="00A02A04">
        <w:rPr>
          <w:rFonts w:ascii="Book Antiqua" w:eastAsia="Times New Roman" w:hAnsi="Book Antiqua"/>
          <w:color w:val="000000"/>
          <w:sz w:val="24"/>
          <w:szCs w:val="24"/>
          <w:lang w:val="en-US"/>
        </w:rPr>
        <w:t xml:space="preserve">. </w:t>
      </w:r>
    </w:p>
    <w:p w:rsidR="003C29A3" w:rsidRPr="00A02A04" w:rsidRDefault="003C29A3" w:rsidP="009E446B">
      <w:pPr>
        <w:spacing w:after="0" w:line="360" w:lineRule="auto"/>
        <w:ind w:firstLineChars="250" w:firstLine="600"/>
        <w:jc w:val="both"/>
        <w:rPr>
          <w:rFonts w:ascii="Book Antiqua" w:eastAsia="Times New Roman" w:hAnsi="Book Antiqua"/>
          <w:color w:val="000000"/>
          <w:sz w:val="24"/>
          <w:szCs w:val="24"/>
          <w:lang w:val="en-US"/>
        </w:rPr>
      </w:pPr>
      <w:r w:rsidRPr="00A02A04">
        <w:rPr>
          <w:rFonts w:ascii="Book Antiqua" w:eastAsia="Times New Roman" w:hAnsi="Book Antiqua"/>
          <w:color w:val="000000"/>
          <w:sz w:val="24"/>
          <w:szCs w:val="24"/>
          <w:lang w:val="en-US"/>
        </w:rPr>
        <w:t xml:space="preserve">A common clinical problem is the need  to inform patients on the possible outcomes of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therapy in the medium term. For this reason, we analyzed the ‘clinical benefit’ afforded by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treatment at 16 weeks as a composite of radiological stable disease or partial response, versus treatment interruption regardless of its reason. This provides an indication of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efficacy at a time when the impact of early withdrawal due to AEs could be outbalanced by benefit in the subsequent weeks. Intermediate stage, and non-viral etiology of cirrhosis were independent predictors of clinical benefit at week 16 of treatment. These data support the potential usefulness of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in selected BCLC-B patients, in line with recent evidence reported in a sub-analysis of the SHARP trial or in field-practice studies</w:t>
      </w:r>
      <w:r w:rsidRPr="00A02A04">
        <w:rPr>
          <w:rFonts w:ascii="Book Antiqua" w:eastAsia="Times New Roman" w:hAnsi="Book Antiqua"/>
          <w:noProof/>
          <w:color w:val="000000"/>
          <w:sz w:val="24"/>
          <w:szCs w:val="24"/>
          <w:vertAlign w:val="superscript"/>
          <w:lang w:val="en-US"/>
        </w:rPr>
        <w:t>[13, 23]</w:t>
      </w:r>
      <w:r w:rsidRPr="00A02A04">
        <w:rPr>
          <w:rFonts w:ascii="Book Antiqua" w:eastAsia="Times New Roman" w:hAnsi="Book Antiqua"/>
          <w:color w:val="000000"/>
          <w:sz w:val="24"/>
          <w:szCs w:val="24"/>
          <w:lang w:val="en-US"/>
        </w:rPr>
        <w:t xml:space="preserve">. The possible significance of the predictive role of a non-viral etiology remains speculative, although in another, larger study the time to progression in HBV infected patients was not affected by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treatment</w:t>
      </w:r>
      <w:r w:rsidRPr="00A02A04">
        <w:rPr>
          <w:rFonts w:ascii="Book Antiqua" w:eastAsia="Times New Roman" w:hAnsi="Book Antiqua"/>
          <w:noProof/>
          <w:color w:val="000000"/>
          <w:sz w:val="24"/>
          <w:szCs w:val="24"/>
          <w:vertAlign w:val="superscript"/>
          <w:lang w:val="en-US"/>
        </w:rPr>
        <w:t>[23]</w:t>
      </w:r>
      <w:r w:rsidRPr="00A02A04">
        <w:rPr>
          <w:rFonts w:ascii="Book Antiqua" w:eastAsia="Times New Roman" w:hAnsi="Book Antiqua"/>
          <w:color w:val="000000"/>
          <w:sz w:val="24"/>
          <w:szCs w:val="24"/>
          <w:lang w:val="en-US"/>
        </w:rPr>
        <w:t xml:space="preserve">. Both HBV and HCV have been shown to interact with the </w:t>
      </w:r>
      <w:proofErr w:type="spellStart"/>
      <w:r w:rsidRPr="00A02A04">
        <w:rPr>
          <w:rFonts w:ascii="Book Antiqua" w:eastAsia="Times New Roman" w:hAnsi="Book Antiqua"/>
          <w:color w:val="000000"/>
          <w:sz w:val="24"/>
          <w:szCs w:val="24"/>
          <w:lang w:val="en-US"/>
        </w:rPr>
        <w:t>Raf</w:t>
      </w:r>
      <w:proofErr w:type="spellEnd"/>
      <w:r w:rsidRPr="00A02A04">
        <w:rPr>
          <w:rFonts w:ascii="Book Antiqua" w:eastAsia="Times New Roman" w:hAnsi="Book Antiqua"/>
          <w:color w:val="000000"/>
          <w:sz w:val="24"/>
          <w:szCs w:val="24"/>
          <w:lang w:val="en-US"/>
        </w:rPr>
        <w:t xml:space="preserve"> pathway and/or to modulate angiogenesis</w:t>
      </w:r>
      <w:r w:rsidRPr="00A02A04">
        <w:rPr>
          <w:rFonts w:ascii="Book Antiqua" w:eastAsia="Times New Roman" w:hAnsi="Book Antiqua"/>
          <w:noProof/>
          <w:color w:val="000000"/>
          <w:sz w:val="24"/>
          <w:szCs w:val="24"/>
          <w:vertAlign w:val="superscript"/>
          <w:lang w:val="en-US"/>
        </w:rPr>
        <w:t>[24-27]</w:t>
      </w:r>
      <w:r w:rsidRPr="00A02A04">
        <w:rPr>
          <w:rFonts w:ascii="Book Antiqua" w:eastAsia="Times New Roman" w:hAnsi="Book Antiqua"/>
          <w:color w:val="000000"/>
          <w:sz w:val="24"/>
          <w:szCs w:val="24"/>
          <w:lang w:val="en-US"/>
        </w:rPr>
        <w:t xml:space="preserve">. As these biologic actions are two of the major targets of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viral infection may translate in a lower sensitivity to treatment. Although cirrhosis caused by HBV or HCV has generally different outcomes and prognosis, we found no significant differences in clinical benefit and overall survival comparing these two groups of patients. This result could be related to the small number of patients enrolled, although at this time no clear associations between the type of viral infection and the outcome of HCC patients treated with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have been reported.</w:t>
      </w:r>
    </w:p>
    <w:p w:rsidR="003C29A3" w:rsidRPr="00A02A04" w:rsidRDefault="003C29A3" w:rsidP="009E446B">
      <w:pPr>
        <w:spacing w:after="0" w:line="360" w:lineRule="auto"/>
        <w:ind w:firstLineChars="250" w:firstLine="600"/>
        <w:jc w:val="both"/>
        <w:rPr>
          <w:rFonts w:ascii="Book Antiqua" w:eastAsia="Times New Roman" w:hAnsi="Book Antiqua"/>
          <w:color w:val="000000"/>
          <w:sz w:val="24"/>
          <w:szCs w:val="24"/>
          <w:lang w:val="en-US"/>
        </w:rPr>
      </w:pPr>
      <w:r w:rsidRPr="00A02A04">
        <w:rPr>
          <w:rFonts w:ascii="Book Antiqua" w:eastAsia="Times New Roman" w:hAnsi="Book Antiqua"/>
          <w:color w:val="000000"/>
          <w:sz w:val="24"/>
          <w:szCs w:val="24"/>
          <w:lang w:val="en-US"/>
        </w:rPr>
        <w:t>Median overall survival of the patients included in the present study was comparable to the one of the SHARP study and of the largest field-practice studies published so far</w:t>
      </w:r>
      <w:r w:rsidRPr="00A02A04">
        <w:rPr>
          <w:rFonts w:ascii="Book Antiqua" w:eastAsia="Times New Roman" w:hAnsi="Book Antiqua"/>
          <w:noProof/>
          <w:color w:val="000000"/>
          <w:sz w:val="24"/>
          <w:szCs w:val="24"/>
          <w:vertAlign w:val="superscript"/>
          <w:lang w:val="en-US"/>
        </w:rPr>
        <w:t>[3,13,15]</w:t>
      </w:r>
      <w:r w:rsidRPr="00A02A04">
        <w:rPr>
          <w:rFonts w:ascii="Book Antiqua" w:eastAsia="Times New Roman" w:hAnsi="Book Antiqua"/>
          <w:color w:val="000000"/>
          <w:sz w:val="24"/>
          <w:szCs w:val="24"/>
          <w:lang w:val="en-US"/>
        </w:rPr>
        <w:t xml:space="preserve">, indicating that selection of the patients was similar to what reported by other groups treating patients with advanced HCC. </w:t>
      </w:r>
      <w:proofErr w:type="spellStart"/>
      <w:r w:rsidRPr="00A02A04">
        <w:rPr>
          <w:rFonts w:ascii="Book Antiqua" w:eastAsia="Times New Roman" w:hAnsi="Book Antiqua"/>
          <w:color w:val="000000"/>
          <w:sz w:val="24"/>
          <w:szCs w:val="24"/>
          <w:lang w:val="en-US"/>
        </w:rPr>
        <w:t>Macrovascular</w:t>
      </w:r>
      <w:proofErr w:type="spellEnd"/>
      <w:r w:rsidRPr="00A02A04">
        <w:rPr>
          <w:rFonts w:ascii="Book Antiqua" w:eastAsia="Times New Roman" w:hAnsi="Book Antiqua"/>
          <w:color w:val="000000"/>
          <w:sz w:val="24"/>
          <w:szCs w:val="24"/>
          <w:lang w:val="en-US"/>
        </w:rPr>
        <w:t xml:space="preserve"> invasion and </w:t>
      </w:r>
      <w:proofErr w:type="spellStart"/>
      <w:r w:rsidRPr="00A02A04">
        <w:rPr>
          <w:rFonts w:ascii="Book Antiqua" w:eastAsia="Times New Roman" w:hAnsi="Book Antiqua"/>
          <w:color w:val="000000"/>
          <w:sz w:val="24"/>
          <w:szCs w:val="24"/>
          <w:lang w:val="en-US"/>
        </w:rPr>
        <w:t>extrahepatic</w:t>
      </w:r>
      <w:proofErr w:type="spellEnd"/>
      <w:r w:rsidRPr="00A02A04">
        <w:rPr>
          <w:rFonts w:ascii="Book Antiqua" w:eastAsia="Times New Roman" w:hAnsi="Book Antiqua"/>
          <w:color w:val="000000"/>
          <w:sz w:val="24"/>
          <w:szCs w:val="24"/>
          <w:lang w:val="en-US"/>
        </w:rPr>
        <w:t xml:space="preserve"> spread were strong predictors of survival, as reported in other studies</w:t>
      </w:r>
      <w:r w:rsidRPr="00A02A04">
        <w:rPr>
          <w:rFonts w:ascii="Book Antiqua" w:eastAsia="Times New Roman" w:hAnsi="Book Antiqua"/>
          <w:noProof/>
          <w:color w:val="000000"/>
          <w:sz w:val="24"/>
          <w:szCs w:val="24"/>
          <w:vertAlign w:val="superscript"/>
          <w:lang w:val="en-US"/>
        </w:rPr>
        <w:t>[13,17,28]</w:t>
      </w:r>
      <w:r w:rsidRPr="00A02A04">
        <w:rPr>
          <w:rFonts w:ascii="Book Antiqua" w:eastAsia="Times New Roman" w:hAnsi="Book Antiqua"/>
          <w:color w:val="000000"/>
          <w:sz w:val="24"/>
          <w:szCs w:val="24"/>
          <w:lang w:val="en-US"/>
        </w:rPr>
        <w:t xml:space="preserve">, confirming the prognostic significance of the BCLC classification, where these parameters characterize transition from stage B to C. Moreover, a performance status greater than 0 was associated with a 2-fold greater risk of shorter overall survival, in </w:t>
      </w:r>
      <w:r w:rsidRPr="00A02A04">
        <w:rPr>
          <w:rFonts w:ascii="Book Antiqua" w:eastAsia="Times New Roman" w:hAnsi="Book Antiqua"/>
          <w:color w:val="000000"/>
          <w:sz w:val="24"/>
          <w:szCs w:val="24"/>
          <w:lang w:val="en-US"/>
        </w:rPr>
        <w:lastRenderedPageBreak/>
        <w:t>agreement with data reported by the SOFIA group</w:t>
      </w:r>
      <w:r w:rsidRPr="00A02A04">
        <w:rPr>
          <w:rFonts w:ascii="Book Antiqua" w:eastAsia="Times New Roman" w:hAnsi="Book Antiqua"/>
          <w:noProof/>
          <w:color w:val="000000"/>
          <w:sz w:val="24"/>
          <w:szCs w:val="24"/>
          <w:vertAlign w:val="superscript"/>
          <w:lang w:val="en-US"/>
        </w:rPr>
        <w:t>[13]</w:t>
      </w:r>
      <w:r w:rsidRPr="00A02A04">
        <w:rPr>
          <w:rFonts w:ascii="Book Antiqua" w:eastAsia="Times New Roman" w:hAnsi="Book Antiqua"/>
          <w:color w:val="000000"/>
          <w:sz w:val="24"/>
          <w:szCs w:val="24"/>
          <w:lang w:val="en-US"/>
        </w:rPr>
        <w:t>. However, when evaluating the significance of performance status in HCC, the presence of cirrhosis should be considered, which by itself has an impact on the quality of life of the patient</w:t>
      </w:r>
      <w:r w:rsidRPr="00A02A04">
        <w:rPr>
          <w:rFonts w:ascii="Book Antiqua" w:eastAsia="Times New Roman" w:hAnsi="Book Antiqua"/>
          <w:noProof/>
          <w:color w:val="000000"/>
          <w:sz w:val="24"/>
          <w:szCs w:val="24"/>
          <w:vertAlign w:val="superscript"/>
          <w:lang w:val="en-US"/>
        </w:rPr>
        <w:t>[29]</w:t>
      </w:r>
      <w:r w:rsidRPr="00A02A04">
        <w:rPr>
          <w:rFonts w:ascii="Book Antiqua" w:eastAsia="Times New Roman" w:hAnsi="Book Antiqua"/>
          <w:color w:val="000000"/>
          <w:sz w:val="24"/>
          <w:szCs w:val="24"/>
          <w:lang w:val="en-US"/>
        </w:rPr>
        <w:t xml:space="preserve">. </w:t>
      </w:r>
    </w:p>
    <w:p w:rsidR="003C29A3" w:rsidRPr="00A02A04" w:rsidRDefault="003C29A3" w:rsidP="009E446B">
      <w:pPr>
        <w:spacing w:after="0" w:line="360" w:lineRule="auto"/>
        <w:ind w:firstLineChars="250" w:firstLine="600"/>
        <w:jc w:val="both"/>
        <w:rPr>
          <w:rFonts w:ascii="Book Antiqua" w:eastAsia="Times New Roman" w:hAnsi="Book Antiqua"/>
          <w:color w:val="000000"/>
          <w:sz w:val="24"/>
          <w:szCs w:val="24"/>
          <w:lang w:val="en-US"/>
        </w:rPr>
      </w:pPr>
      <w:r w:rsidRPr="00A02A04">
        <w:rPr>
          <w:rFonts w:ascii="Book Antiqua" w:eastAsia="Times New Roman" w:hAnsi="Book Antiqua"/>
          <w:color w:val="000000"/>
          <w:sz w:val="24"/>
          <w:szCs w:val="24"/>
          <w:lang w:val="en-US"/>
        </w:rPr>
        <w:t>Increased AFP baseline levels were found to confer a risk of mortality 2.33 times higher than patients below that limit. A possible role of AFP as a predictor of mortality in HCC has been reported in other field practice studies</w:t>
      </w:r>
      <w:r w:rsidRPr="00A02A04">
        <w:rPr>
          <w:rFonts w:ascii="Book Antiqua" w:eastAsia="Times New Roman" w:hAnsi="Book Antiqua"/>
          <w:noProof/>
          <w:color w:val="000000"/>
          <w:sz w:val="24"/>
          <w:szCs w:val="24"/>
          <w:vertAlign w:val="superscript"/>
          <w:lang w:val="en-US"/>
        </w:rPr>
        <w:t>[3,15,18,21]</w:t>
      </w:r>
      <w:r w:rsidRPr="00A02A04">
        <w:rPr>
          <w:rFonts w:ascii="Book Antiqua" w:eastAsia="Times New Roman" w:hAnsi="Book Antiqua"/>
          <w:color w:val="000000"/>
          <w:sz w:val="24"/>
          <w:szCs w:val="24"/>
          <w:lang w:val="en-US"/>
        </w:rPr>
        <w:t>, but the observed cut-off values were usually in a higher range. AFP levels have been shown to be associated with activation of the progenitor cell compartment and to correlate with a ‘</w:t>
      </w:r>
      <w:proofErr w:type="spellStart"/>
      <w:r w:rsidRPr="00A02A04">
        <w:rPr>
          <w:rFonts w:ascii="Book Antiqua" w:eastAsia="Times New Roman" w:hAnsi="Book Antiqua"/>
          <w:color w:val="000000"/>
          <w:sz w:val="24"/>
          <w:szCs w:val="24"/>
          <w:lang w:val="en-US"/>
        </w:rPr>
        <w:t>hepatoblastoma</w:t>
      </w:r>
      <w:proofErr w:type="spellEnd"/>
      <w:r w:rsidRPr="00A02A04">
        <w:rPr>
          <w:rFonts w:ascii="Book Antiqua" w:eastAsia="Times New Roman" w:hAnsi="Book Antiqua"/>
          <w:color w:val="000000"/>
          <w:sz w:val="24"/>
          <w:szCs w:val="24"/>
          <w:lang w:val="en-US"/>
        </w:rPr>
        <w:t xml:space="preserve">’ signature in </w:t>
      </w:r>
      <w:proofErr w:type="spellStart"/>
      <w:r w:rsidRPr="00A02A04">
        <w:rPr>
          <w:rFonts w:ascii="Book Antiqua" w:eastAsia="Times New Roman" w:hAnsi="Book Antiqua"/>
          <w:color w:val="000000"/>
          <w:sz w:val="24"/>
          <w:szCs w:val="24"/>
          <w:lang w:val="en-US"/>
        </w:rPr>
        <w:t>transcriptomic</w:t>
      </w:r>
      <w:proofErr w:type="spellEnd"/>
      <w:r w:rsidRPr="00A02A04">
        <w:rPr>
          <w:rFonts w:ascii="Book Antiqua" w:eastAsia="Times New Roman" w:hAnsi="Book Antiqua"/>
          <w:color w:val="000000"/>
          <w:sz w:val="24"/>
          <w:szCs w:val="24"/>
          <w:lang w:val="en-US"/>
        </w:rPr>
        <w:t xml:space="preserve"> studies</w:t>
      </w:r>
      <w:r w:rsidRPr="00A02A04">
        <w:rPr>
          <w:rFonts w:ascii="Book Antiqua" w:eastAsia="Times New Roman" w:hAnsi="Book Antiqua"/>
          <w:noProof/>
          <w:color w:val="000000"/>
          <w:sz w:val="24"/>
          <w:szCs w:val="24"/>
          <w:vertAlign w:val="superscript"/>
          <w:lang w:val="en-US"/>
        </w:rPr>
        <w:t>[30]</w:t>
      </w:r>
      <w:r w:rsidRPr="00A02A04">
        <w:rPr>
          <w:rFonts w:ascii="Book Antiqua" w:eastAsia="Times New Roman" w:hAnsi="Book Antiqua"/>
          <w:color w:val="000000"/>
          <w:sz w:val="24"/>
          <w:szCs w:val="24"/>
          <w:lang w:val="en-US"/>
        </w:rPr>
        <w:t>. Similar considerations may be made for the role of ALP, because patients with abnormal levels had a more than three times higher risk of shorter survival at multivariate analysis. ALP levels have been reported to predict survival in patients treated with different modalities</w:t>
      </w:r>
      <w:r w:rsidRPr="00A02A04">
        <w:rPr>
          <w:rFonts w:ascii="Book Antiqua" w:eastAsia="Times New Roman" w:hAnsi="Book Antiqua"/>
          <w:noProof/>
          <w:color w:val="000000"/>
          <w:sz w:val="24"/>
          <w:szCs w:val="24"/>
          <w:vertAlign w:val="superscript"/>
          <w:lang w:val="en-US"/>
        </w:rPr>
        <w:t>[31-33]</w:t>
      </w:r>
      <w:r w:rsidRPr="00A02A04">
        <w:rPr>
          <w:rFonts w:ascii="Book Antiqua" w:eastAsia="Times New Roman" w:hAnsi="Book Antiqua"/>
          <w:color w:val="000000"/>
          <w:sz w:val="24"/>
          <w:szCs w:val="24"/>
          <w:lang w:val="en-US"/>
        </w:rPr>
        <w:t xml:space="preserve">, although its role during systemic therapy has not been completely established. The pathophysiologic significance of this parameter remains uncertain, although it may be related to invasion of the smaller bile ducts as expression of the tendency of HCC to infiltrate adjoining structures. Taken together, data related to AFP and ALP indicate that simple baseline biochemical parameters may help to frame the patient in the most appropriate prognostic group. </w:t>
      </w:r>
    </w:p>
    <w:p w:rsidR="003C29A3" w:rsidRPr="00A02A04" w:rsidRDefault="003C29A3" w:rsidP="009E446B">
      <w:pPr>
        <w:spacing w:after="0" w:line="360" w:lineRule="auto"/>
        <w:ind w:firstLineChars="300" w:firstLine="720"/>
        <w:jc w:val="both"/>
        <w:rPr>
          <w:rFonts w:ascii="Book Antiqua" w:eastAsia="Times New Roman" w:hAnsi="Book Antiqua"/>
          <w:color w:val="000000"/>
          <w:sz w:val="24"/>
          <w:szCs w:val="24"/>
          <w:lang w:val="en-US"/>
        </w:rPr>
      </w:pPr>
      <w:r w:rsidRPr="00A02A04">
        <w:rPr>
          <w:rFonts w:ascii="Book Antiqua" w:eastAsia="Times New Roman" w:hAnsi="Book Antiqua"/>
          <w:color w:val="000000"/>
          <w:sz w:val="24"/>
          <w:szCs w:val="24"/>
          <w:lang w:val="en-US"/>
        </w:rPr>
        <w:t xml:space="preserve">Several limitations of the present study should be acknowledged, particularly the relatively small number of patients enrolled. On the other hand, although other studies have been published since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approval in 2008, in few cases a detailed analysis of patients with established cirrhosis associated with HCC has been conducted. Another limitation is related to the lack of histologic biomarkers to be possibly correlated with clinical outcomes. The fact that in cirrhotic patients imaging studies are usually sufficient to make a diagnosis of HCC</w:t>
      </w:r>
      <w:r w:rsidRPr="00A02A04">
        <w:rPr>
          <w:rFonts w:ascii="Book Antiqua" w:eastAsia="Times New Roman" w:hAnsi="Book Antiqua"/>
          <w:noProof/>
          <w:color w:val="000000"/>
          <w:sz w:val="24"/>
          <w:szCs w:val="24"/>
          <w:vertAlign w:val="superscript"/>
          <w:lang w:val="en-US"/>
        </w:rPr>
        <w:t>[2]</w:t>
      </w:r>
      <w:r w:rsidRPr="00A02A04">
        <w:rPr>
          <w:rFonts w:ascii="Book Antiqua" w:eastAsia="Times New Roman" w:hAnsi="Book Antiqua"/>
          <w:color w:val="000000"/>
          <w:sz w:val="24"/>
          <w:szCs w:val="24"/>
          <w:lang w:val="en-US"/>
        </w:rPr>
        <w:t xml:space="preserve"> has considerably limited the use of biopsy, an invasive procedure, but has hindered the discovery of molecular factors associated with prognosis. Although no molecular predictors of the response to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xml:space="preserve"> have yet been identified, additional investigation is warranted to try to select those patients who are more likely to benefit from a therapy which is expensive and sometimes difficult to tolerate. </w:t>
      </w:r>
    </w:p>
    <w:p w:rsidR="003C29A3" w:rsidRPr="00A02A04" w:rsidRDefault="003C29A3" w:rsidP="009E446B">
      <w:pPr>
        <w:spacing w:after="0" w:line="360" w:lineRule="auto"/>
        <w:ind w:firstLineChars="300" w:firstLine="720"/>
        <w:jc w:val="both"/>
        <w:rPr>
          <w:rFonts w:ascii="Book Antiqua" w:eastAsia="AdvAGaramond-R" w:hAnsi="Book Antiqua"/>
          <w:color w:val="000000"/>
          <w:sz w:val="24"/>
          <w:szCs w:val="24"/>
          <w:lang w:val="en-US"/>
        </w:rPr>
      </w:pPr>
      <w:r w:rsidRPr="00A02A04">
        <w:rPr>
          <w:rFonts w:ascii="Book Antiqua" w:eastAsia="Times New Roman" w:hAnsi="Book Antiqua"/>
          <w:color w:val="000000"/>
          <w:sz w:val="24"/>
          <w:szCs w:val="24"/>
          <w:lang w:val="en-US"/>
        </w:rPr>
        <w:t xml:space="preserve">In conclusion, </w:t>
      </w:r>
      <w:r w:rsidRPr="00A02A04">
        <w:rPr>
          <w:rFonts w:ascii="Book Antiqua" w:eastAsia="AdvAGaramond-R" w:hAnsi="Book Antiqua"/>
          <w:color w:val="000000"/>
          <w:sz w:val="24"/>
          <w:szCs w:val="24"/>
          <w:lang w:val="en-US"/>
        </w:rPr>
        <w:t xml:space="preserve">in patients with cirrhosis and HCC treated with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early management of AEs is critical, as they present in the large majority of patients and are a common cause of early withdrawal of the treatment. Tumor vascular invasion and </w:t>
      </w:r>
      <w:proofErr w:type="spellStart"/>
      <w:r w:rsidRPr="00A02A04">
        <w:rPr>
          <w:rFonts w:ascii="Book Antiqua" w:eastAsia="AdvAGaramond-R" w:hAnsi="Book Antiqua"/>
          <w:color w:val="000000"/>
          <w:sz w:val="24"/>
          <w:szCs w:val="24"/>
          <w:lang w:val="en-US"/>
        </w:rPr>
        <w:t>extrahepatic</w:t>
      </w:r>
      <w:proofErr w:type="spellEnd"/>
      <w:r w:rsidRPr="00A02A04">
        <w:rPr>
          <w:rFonts w:ascii="Book Antiqua" w:eastAsia="AdvAGaramond-R" w:hAnsi="Book Antiqua"/>
          <w:color w:val="000000"/>
          <w:sz w:val="24"/>
          <w:szCs w:val="24"/>
          <w:lang w:val="en-US"/>
        </w:rPr>
        <w:t xml:space="preserve"> spread are the most relevant factors conditioning early response to treatment </w:t>
      </w:r>
      <w:r w:rsidRPr="00A02A04">
        <w:rPr>
          <w:rFonts w:ascii="Book Antiqua" w:eastAsia="AdvAGaramond-R" w:hAnsi="Book Antiqua"/>
          <w:color w:val="000000"/>
          <w:sz w:val="24"/>
          <w:szCs w:val="24"/>
          <w:lang w:val="en-US"/>
        </w:rPr>
        <w:lastRenderedPageBreak/>
        <w:t xml:space="preserve">and survival. Moreover, tumor burden rather than parameters of liver function is critically relevant in the prognosis of these patients. Finally, common baseline biochemical parameters, such as AFP and ALP allow to identify patients at higher risk of a shorter overall survival. </w:t>
      </w:r>
    </w:p>
    <w:p w:rsidR="003C29A3" w:rsidRDefault="003C29A3" w:rsidP="009E446B">
      <w:pPr>
        <w:spacing w:after="0" w:line="360" w:lineRule="auto"/>
        <w:jc w:val="both"/>
        <w:rPr>
          <w:rFonts w:ascii="Book Antiqua" w:hAnsi="Book Antiqua"/>
          <w:color w:val="000000"/>
          <w:sz w:val="24"/>
          <w:szCs w:val="24"/>
          <w:lang w:val="en-US" w:eastAsia="zh-CN"/>
        </w:rPr>
      </w:pPr>
      <w:bookmarkStart w:id="11" w:name="OLE_LINK14"/>
      <w:bookmarkStart w:id="12" w:name="OLE_LINK15"/>
      <w:bookmarkStart w:id="13" w:name="OLE_LINK119"/>
      <w:bookmarkStart w:id="14" w:name="OLE_LINK180"/>
      <w:bookmarkStart w:id="15" w:name="OLE_LINK200"/>
      <w:bookmarkStart w:id="16" w:name="OLE_LINK30"/>
      <w:bookmarkStart w:id="17" w:name="OLE_LINK31"/>
      <w:bookmarkStart w:id="18" w:name="OLE_LINK46"/>
      <w:bookmarkStart w:id="19" w:name="OLE_LINK50"/>
      <w:bookmarkStart w:id="20" w:name="OLE_LINK168"/>
      <w:bookmarkStart w:id="21" w:name="OLE_LINK201"/>
    </w:p>
    <w:p w:rsidR="003C29A3" w:rsidRPr="00A02A04" w:rsidRDefault="003C29A3" w:rsidP="009E446B">
      <w:pPr>
        <w:spacing w:after="0" w:line="360" w:lineRule="auto"/>
        <w:jc w:val="both"/>
        <w:rPr>
          <w:rFonts w:ascii="Book Antiqua" w:hAnsi="Book Antiqua"/>
          <w:b/>
          <w:color w:val="000000"/>
          <w:sz w:val="24"/>
          <w:lang w:eastAsia="zh-CN"/>
        </w:rPr>
      </w:pPr>
      <w:r w:rsidRPr="00A02A04">
        <w:rPr>
          <w:rFonts w:ascii="Book Antiqua" w:eastAsia="Times New Roman" w:hAnsi="Book Antiqua"/>
          <w:b/>
          <w:color w:val="000000"/>
          <w:sz w:val="24"/>
        </w:rPr>
        <w:t>COMMENTS</w:t>
      </w:r>
    </w:p>
    <w:p w:rsidR="003C29A3" w:rsidRPr="00A02A04" w:rsidRDefault="003C29A3" w:rsidP="009E446B">
      <w:pPr>
        <w:spacing w:after="0" w:line="360" w:lineRule="auto"/>
        <w:jc w:val="both"/>
        <w:rPr>
          <w:rFonts w:ascii="Book Antiqua" w:eastAsia="Times New Roman" w:hAnsi="Book Antiqua"/>
          <w:b/>
          <w:color w:val="000000"/>
          <w:sz w:val="24"/>
        </w:rPr>
      </w:pPr>
      <w:r w:rsidRPr="00A02A04">
        <w:rPr>
          <w:rFonts w:ascii="Book Antiqua" w:eastAsia="Times New Roman" w:hAnsi="Book Antiqua"/>
          <w:b/>
          <w:i/>
          <w:color w:val="000000"/>
          <w:sz w:val="24"/>
        </w:rPr>
        <w:t>Background</w:t>
      </w:r>
    </w:p>
    <w:p w:rsidR="003C29A3" w:rsidRPr="00A02A04" w:rsidRDefault="003C29A3" w:rsidP="009E446B">
      <w:pPr>
        <w:spacing w:after="0" w:line="360" w:lineRule="auto"/>
        <w:jc w:val="both"/>
        <w:rPr>
          <w:rFonts w:ascii="Book Antiqua" w:hAnsi="Book Antiqua"/>
          <w:color w:val="000000"/>
          <w:sz w:val="24"/>
          <w:lang w:eastAsia="zh-CN"/>
        </w:rPr>
      </w:pPr>
      <w:proofErr w:type="spellStart"/>
      <w:r w:rsidRPr="00A02A04">
        <w:rPr>
          <w:rFonts w:ascii="Book Antiqua" w:eastAsia="Times New Roman" w:hAnsi="Book Antiqua"/>
          <w:color w:val="000000"/>
          <w:sz w:val="24"/>
        </w:rPr>
        <w:t>Sorafenib</w:t>
      </w:r>
      <w:proofErr w:type="spellEnd"/>
      <w:r w:rsidRPr="00A02A04">
        <w:rPr>
          <w:rFonts w:ascii="Book Antiqua" w:eastAsia="Times New Roman" w:hAnsi="Book Antiqua"/>
          <w:color w:val="000000"/>
          <w:sz w:val="24"/>
        </w:rPr>
        <w:t xml:space="preserve"> has been recently approved for the treatment of hepatocellular carcinoma, but only limited information is available on its effects in conditions of everyday practice. This is particularly true when patients with a clear diagnosis of cirrhosis are considered. Due to the high costs of </w:t>
      </w:r>
      <w:proofErr w:type="spellStart"/>
      <w:r w:rsidRPr="00A02A04">
        <w:rPr>
          <w:rFonts w:ascii="Book Antiqua" w:eastAsia="Times New Roman" w:hAnsi="Book Antiqua"/>
          <w:color w:val="000000"/>
          <w:sz w:val="24"/>
        </w:rPr>
        <w:t>sorafenib</w:t>
      </w:r>
      <w:proofErr w:type="spellEnd"/>
      <w:r w:rsidRPr="00A02A04">
        <w:rPr>
          <w:rFonts w:ascii="Book Antiqua" w:eastAsia="Times New Roman" w:hAnsi="Book Antiqua"/>
          <w:color w:val="000000"/>
          <w:sz w:val="24"/>
        </w:rPr>
        <w:t xml:space="preserve"> therapy and the burden of side effects, it is very important to obtain information on the predictors of survival and of clinical response in patients tre</w:t>
      </w:r>
      <w:r>
        <w:rPr>
          <w:rFonts w:ascii="Book Antiqua" w:eastAsia="Times New Roman" w:hAnsi="Book Antiqua"/>
          <w:color w:val="000000"/>
          <w:sz w:val="24"/>
        </w:rPr>
        <w:t>ated with this drug, especially</w:t>
      </w:r>
      <w:r w:rsidRPr="00A02A04">
        <w:rPr>
          <w:rFonts w:ascii="Book Antiqua" w:eastAsia="Times New Roman" w:hAnsi="Book Antiqua"/>
          <w:color w:val="000000"/>
          <w:sz w:val="24"/>
        </w:rPr>
        <w:t xml:space="preserve"> in the presence of established cirrhosis. </w:t>
      </w:r>
    </w:p>
    <w:p w:rsidR="003C29A3" w:rsidRPr="00A02A04" w:rsidRDefault="003C29A3" w:rsidP="009E446B">
      <w:pPr>
        <w:spacing w:after="0" w:line="360" w:lineRule="auto"/>
        <w:jc w:val="both"/>
        <w:rPr>
          <w:rFonts w:ascii="Book Antiqua" w:hAnsi="Book Antiqua"/>
          <w:color w:val="000000"/>
          <w:sz w:val="24"/>
          <w:lang w:eastAsia="zh-CN"/>
        </w:rPr>
      </w:pPr>
    </w:p>
    <w:p w:rsidR="003C29A3" w:rsidRPr="00A02A04" w:rsidRDefault="003C29A3" w:rsidP="009E446B">
      <w:pPr>
        <w:spacing w:after="0" w:line="360" w:lineRule="auto"/>
        <w:jc w:val="both"/>
        <w:rPr>
          <w:rFonts w:ascii="Book Antiqua" w:eastAsia="Times New Roman" w:hAnsi="Book Antiqua"/>
          <w:b/>
          <w:i/>
          <w:color w:val="000000"/>
          <w:sz w:val="24"/>
        </w:rPr>
      </w:pPr>
      <w:r w:rsidRPr="00A02A04">
        <w:rPr>
          <w:rFonts w:ascii="Book Antiqua" w:eastAsia="Times New Roman" w:hAnsi="Book Antiqua"/>
          <w:b/>
          <w:i/>
          <w:color w:val="000000"/>
          <w:sz w:val="24"/>
        </w:rPr>
        <w:t>Research frontiers</w:t>
      </w:r>
    </w:p>
    <w:p w:rsidR="003C29A3" w:rsidRPr="00A02A04" w:rsidRDefault="003C29A3" w:rsidP="009E446B">
      <w:pPr>
        <w:spacing w:after="0" w:line="360" w:lineRule="auto"/>
        <w:jc w:val="both"/>
        <w:rPr>
          <w:rFonts w:ascii="Book Antiqua" w:hAnsi="Book Antiqua"/>
          <w:color w:val="000000"/>
          <w:sz w:val="24"/>
          <w:lang w:eastAsia="zh-CN"/>
        </w:rPr>
      </w:pPr>
      <w:r w:rsidRPr="00A02A04">
        <w:rPr>
          <w:rFonts w:ascii="Book Antiqua" w:eastAsia="Times New Roman" w:hAnsi="Book Antiqua"/>
          <w:color w:val="000000"/>
          <w:sz w:val="24"/>
        </w:rPr>
        <w:t xml:space="preserve">The registration studies showing the efficacy of </w:t>
      </w:r>
      <w:proofErr w:type="spellStart"/>
      <w:r w:rsidRPr="00A02A04">
        <w:rPr>
          <w:rFonts w:ascii="Book Antiqua" w:eastAsia="Times New Roman" w:hAnsi="Book Antiqua"/>
          <w:color w:val="000000"/>
          <w:sz w:val="24"/>
        </w:rPr>
        <w:t>sorafenib</w:t>
      </w:r>
      <w:proofErr w:type="spellEnd"/>
      <w:r w:rsidRPr="00A02A04">
        <w:rPr>
          <w:rFonts w:ascii="Book Antiqua" w:eastAsia="Times New Roman" w:hAnsi="Book Antiqua"/>
          <w:color w:val="000000"/>
          <w:sz w:val="24"/>
        </w:rPr>
        <w:t xml:space="preserve"> in prolonging survival of patients with advanced hepatocellular carcinoma have given a great impulse to further research trying to better define which patients have a higher likelihood to benefit from treatment with this drug. This topic has a high clinical relevance and generates major efforts. </w:t>
      </w:r>
    </w:p>
    <w:p w:rsidR="003C29A3" w:rsidRPr="00A02A04" w:rsidRDefault="003C29A3" w:rsidP="009E446B">
      <w:pPr>
        <w:spacing w:after="0" w:line="360" w:lineRule="auto"/>
        <w:jc w:val="both"/>
        <w:rPr>
          <w:rFonts w:ascii="Book Antiqua" w:hAnsi="Book Antiqua"/>
          <w:color w:val="000000"/>
          <w:sz w:val="24"/>
          <w:lang w:eastAsia="zh-CN"/>
        </w:rPr>
      </w:pPr>
    </w:p>
    <w:p w:rsidR="003C29A3" w:rsidRPr="00A02A04" w:rsidRDefault="003C29A3" w:rsidP="009E446B">
      <w:pPr>
        <w:spacing w:after="0" w:line="360" w:lineRule="auto"/>
        <w:jc w:val="both"/>
        <w:rPr>
          <w:rFonts w:ascii="Book Antiqua" w:eastAsia="Times New Roman" w:hAnsi="Book Antiqua"/>
          <w:b/>
          <w:i/>
          <w:color w:val="000000"/>
          <w:sz w:val="24"/>
        </w:rPr>
      </w:pPr>
      <w:r w:rsidRPr="00A02A04">
        <w:rPr>
          <w:rFonts w:ascii="Book Antiqua" w:eastAsia="Times New Roman" w:hAnsi="Book Antiqua"/>
          <w:b/>
          <w:i/>
          <w:color w:val="000000"/>
          <w:sz w:val="24"/>
        </w:rPr>
        <w:t>Innovations and breakthroughs</w:t>
      </w:r>
    </w:p>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eastAsia="AdvAGaramond-R" w:hAnsi="Book Antiqua"/>
          <w:color w:val="000000"/>
          <w:sz w:val="24"/>
          <w:szCs w:val="24"/>
          <w:lang w:val="en-US"/>
        </w:rPr>
        <w:t xml:space="preserve">Identification of the predictive parameters of the response to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has been the focus of several studies after approval of this drug. Cirrhotic patients are extremely fragile and difficult to treat, and therapy with systemic agents should be conducted with great care. We found that parameters related to the tumor (</w:t>
      </w:r>
      <w:proofErr w:type="spellStart"/>
      <w:r w:rsidRPr="00A02A04">
        <w:rPr>
          <w:rFonts w:ascii="Book Antiqua" w:eastAsia="AdvAGaramond-R" w:hAnsi="Book Antiqua"/>
          <w:color w:val="000000"/>
          <w:sz w:val="24"/>
          <w:szCs w:val="24"/>
          <w:lang w:val="en-US"/>
        </w:rPr>
        <w:t>extrahepatic</w:t>
      </w:r>
      <w:proofErr w:type="spellEnd"/>
      <w:r w:rsidRPr="00A02A04">
        <w:rPr>
          <w:rFonts w:ascii="Book Antiqua" w:eastAsia="AdvAGaramond-R" w:hAnsi="Book Antiqua"/>
          <w:color w:val="000000"/>
          <w:sz w:val="24"/>
          <w:szCs w:val="24"/>
          <w:lang w:val="en-US"/>
        </w:rPr>
        <w:t xml:space="preserve"> spread, vascular invasion), and the patient (</w:t>
      </w:r>
      <w:r w:rsidRPr="00A02A04">
        <w:rPr>
          <w:rFonts w:ascii="Book Antiqua" w:eastAsia="AdvAGaramond-R" w:hAnsi="Book Antiqua"/>
          <w:i/>
          <w:color w:val="000000"/>
          <w:sz w:val="24"/>
          <w:szCs w:val="24"/>
          <w:lang w:val="en-US"/>
        </w:rPr>
        <w:t>e.g</w:t>
      </w:r>
      <w:r w:rsidRPr="00A02A04">
        <w:rPr>
          <w:rFonts w:ascii="Book Antiqua" w:eastAsia="AdvAGaramond-R" w:hAnsi="Book Antiqua"/>
          <w:color w:val="000000"/>
          <w:sz w:val="24"/>
          <w:szCs w:val="24"/>
          <w:lang w:val="en-US"/>
        </w:rPr>
        <w:t>.</w:t>
      </w:r>
      <w:r w:rsidRPr="00A02A04">
        <w:rPr>
          <w:rFonts w:ascii="Book Antiqua" w:hAnsi="Book Antiqua"/>
          <w:color w:val="000000"/>
          <w:sz w:val="24"/>
          <w:szCs w:val="24"/>
          <w:lang w:val="en-US" w:eastAsia="zh-CN"/>
        </w:rPr>
        <w:t>,</w:t>
      </w:r>
      <w:r w:rsidRPr="00A02A04">
        <w:rPr>
          <w:rFonts w:ascii="Book Antiqua" w:eastAsia="AdvAGaramond-R" w:hAnsi="Book Antiqua"/>
          <w:color w:val="000000"/>
          <w:sz w:val="24"/>
          <w:szCs w:val="24"/>
          <w:lang w:val="en-US"/>
        </w:rPr>
        <w:t xml:space="preserve"> laboratory tests including alpha-fetoprotein or alkaline phosphatase, or the patient’s performance status) are predictors of overall survival in this group. </w:t>
      </w:r>
    </w:p>
    <w:p w:rsidR="003C29A3" w:rsidRPr="00A02A04" w:rsidRDefault="003C29A3" w:rsidP="009E446B">
      <w:pPr>
        <w:spacing w:after="0" w:line="360" w:lineRule="auto"/>
        <w:jc w:val="both"/>
        <w:rPr>
          <w:rFonts w:ascii="Book Antiqua" w:hAnsi="Book Antiqua"/>
          <w:color w:val="000000"/>
          <w:sz w:val="24"/>
          <w:szCs w:val="24"/>
          <w:lang w:val="en-US" w:eastAsia="zh-CN"/>
        </w:rPr>
      </w:pPr>
    </w:p>
    <w:p w:rsidR="003C29A3" w:rsidRPr="00A02A04" w:rsidRDefault="003C29A3" w:rsidP="009E446B">
      <w:pPr>
        <w:spacing w:after="0" w:line="360" w:lineRule="auto"/>
        <w:jc w:val="both"/>
        <w:rPr>
          <w:rFonts w:ascii="Book Antiqua" w:eastAsia="AdvAGaramond-R" w:hAnsi="Book Antiqua"/>
          <w:b/>
          <w:i/>
          <w:color w:val="000000"/>
          <w:sz w:val="24"/>
          <w:szCs w:val="24"/>
          <w:lang w:val="en-US"/>
        </w:rPr>
      </w:pPr>
      <w:r w:rsidRPr="00A02A04">
        <w:rPr>
          <w:rFonts w:ascii="Book Antiqua" w:eastAsia="AdvAGaramond-R" w:hAnsi="Book Antiqua"/>
          <w:b/>
          <w:i/>
          <w:color w:val="000000"/>
          <w:sz w:val="24"/>
          <w:szCs w:val="24"/>
          <w:lang w:val="en-US"/>
        </w:rPr>
        <w:t>Applications</w:t>
      </w:r>
    </w:p>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eastAsia="AdvAGaramond-R" w:hAnsi="Book Antiqua"/>
          <w:color w:val="000000"/>
          <w:sz w:val="24"/>
          <w:szCs w:val="24"/>
          <w:lang w:val="en-US"/>
        </w:rPr>
        <w:t>Data presented in this study provide useful clinical information for the management of cirrhotic patients with advanced hepatocellular carcinoma.</w:t>
      </w:r>
    </w:p>
    <w:p w:rsidR="003C29A3" w:rsidRPr="00A02A04" w:rsidRDefault="003C29A3" w:rsidP="009E446B">
      <w:pPr>
        <w:spacing w:after="0" w:line="360" w:lineRule="auto"/>
        <w:jc w:val="both"/>
        <w:rPr>
          <w:rFonts w:ascii="Book Antiqua" w:hAnsi="Book Antiqua"/>
          <w:color w:val="000000"/>
          <w:sz w:val="24"/>
          <w:szCs w:val="24"/>
          <w:lang w:val="en-US" w:eastAsia="zh-CN"/>
        </w:rPr>
      </w:pPr>
    </w:p>
    <w:p w:rsidR="003C29A3" w:rsidRPr="00A02A04" w:rsidRDefault="003C29A3" w:rsidP="009E446B">
      <w:pPr>
        <w:spacing w:after="0" w:line="360" w:lineRule="auto"/>
        <w:jc w:val="both"/>
        <w:rPr>
          <w:rFonts w:ascii="Book Antiqua" w:eastAsia="AdvAGaramond-R" w:hAnsi="Book Antiqua"/>
          <w:b/>
          <w:i/>
          <w:color w:val="000000"/>
          <w:sz w:val="24"/>
          <w:szCs w:val="24"/>
          <w:lang w:val="en-US"/>
        </w:rPr>
      </w:pPr>
      <w:r w:rsidRPr="00A02A04">
        <w:rPr>
          <w:rFonts w:ascii="Book Antiqua" w:eastAsia="AdvAGaramond-R" w:hAnsi="Book Antiqua"/>
          <w:b/>
          <w:i/>
          <w:color w:val="000000"/>
          <w:sz w:val="24"/>
          <w:szCs w:val="24"/>
          <w:lang w:val="en-US"/>
        </w:rPr>
        <w:t>Terminology</w:t>
      </w:r>
    </w:p>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eastAsia="AdvAGaramond-R" w:hAnsi="Book Antiqua"/>
          <w:color w:val="000000"/>
          <w:sz w:val="24"/>
          <w:szCs w:val="24"/>
          <w:lang w:val="en-US"/>
        </w:rPr>
        <w:t xml:space="preserve">Hepatocellular carcinoma is the most prevalent primary liver tumor and is notoriously difficult to treat. It is associated in the great majority of cases with chronic liver injury or cirrhosis.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is a multi-kinase inhibitor approved for the treatment of advanced hepatocellular carcinoma. It acts both limiting tumor-associated angiogenesis and tumor cell proliferation.</w:t>
      </w:r>
    </w:p>
    <w:p w:rsidR="003C29A3" w:rsidRPr="00A02A04" w:rsidRDefault="003C29A3" w:rsidP="009E446B">
      <w:pPr>
        <w:spacing w:after="0" w:line="360" w:lineRule="auto"/>
        <w:jc w:val="both"/>
        <w:rPr>
          <w:rFonts w:ascii="Book Antiqua" w:hAnsi="Book Antiqua"/>
          <w:color w:val="000000"/>
          <w:sz w:val="24"/>
          <w:szCs w:val="24"/>
          <w:lang w:val="en-US" w:eastAsia="zh-CN"/>
        </w:rPr>
      </w:pPr>
    </w:p>
    <w:p w:rsidR="003C29A3" w:rsidRPr="00A02A04" w:rsidRDefault="003C29A3" w:rsidP="009E446B">
      <w:pPr>
        <w:spacing w:after="0" w:line="360" w:lineRule="auto"/>
        <w:jc w:val="both"/>
        <w:rPr>
          <w:rFonts w:ascii="Book Antiqua" w:hAnsi="Book Antiqua"/>
          <w:b/>
          <w:i/>
          <w:color w:val="000000"/>
          <w:sz w:val="24"/>
          <w:szCs w:val="24"/>
          <w:lang w:val="en-US" w:eastAsia="zh-CN"/>
        </w:rPr>
      </w:pPr>
      <w:r w:rsidRPr="00A02A04">
        <w:rPr>
          <w:rFonts w:ascii="Book Antiqua" w:eastAsia="AdvAGaramond-R" w:hAnsi="Book Antiqua"/>
          <w:b/>
          <w:i/>
          <w:color w:val="000000"/>
          <w:sz w:val="24"/>
          <w:szCs w:val="24"/>
          <w:lang w:val="en-US"/>
        </w:rPr>
        <w:t>Peer review</w:t>
      </w:r>
    </w:p>
    <w:p w:rsidR="003C29A3" w:rsidRPr="00A02A04" w:rsidRDefault="003C29A3" w:rsidP="009E446B">
      <w:pPr>
        <w:autoSpaceDE w:val="0"/>
        <w:autoSpaceDN w:val="0"/>
        <w:adjustRightInd w:val="0"/>
        <w:spacing w:after="0" w:line="360" w:lineRule="auto"/>
        <w:jc w:val="both"/>
        <w:rPr>
          <w:rFonts w:ascii="Book Antiqua" w:eastAsia="AdvAGaramond-R" w:hAnsi="Book Antiqua"/>
          <w:color w:val="000000"/>
          <w:sz w:val="24"/>
          <w:szCs w:val="24"/>
          <w:lang w:val="en-US"/>
        </w:rPr>
      </w:pPr>
      <w:r w:rsidRPr="00A02A04">
        <w:rPr>
          <w:rFonts w:ascii="Book Antiqua" w:eastAsia="AdvAGaramond-R" w:hAnsi="Book Antiqua"/>
          <w:color w:val="000000"/>
          <w:sz w:val="24"/>
          <w:szCs w:val="24"/>
          <w:lang w:val="en-US"/>
        </w:rPr>
        <w:t xml:space="preserve">In this manuscript, the Authors reported the efficacy and safety of </w:t>
      </w:r>
      <w:proofErr w:type="spellStart"/>
      <w:r w:rsidRPr="00A02A04">
        <w:rPr>
          <w:rFonts w:ascii="Book Antiqua" w:eastAsia="AdvAGaramond-R" w:hAnsi="Book Antiqua"/>
          <w:color w:val="000000"/>
          <w:sz w:val="24"/>
          <w:szCs w:val="24"/>
          <w:lang w:val="en-US"/>
        </w:rPr>
        <w:t>sorafenib</w:t>
      </w:r>
      <w:proofErr w:type="spellEnd"/>
      <w:r w:rsidRPr="00A02A04">
        <w:rPr>
          <w:rFonts w:ascii="Book Antiqua" w:eastAsia="AdvAGaramond-R" w:hAnsi="Book Antiqua"/>
          <w:color w:val="000000"/>
          <w:sz w:val="24"/>
          <w:szCs w:val="24"/>
          <w:lang w:val="en-US"/>
        </w:rPr>
        <w:t xml:space="preserve"> for hepatocellular carcinoma in patients with cirrhosis, and analyzed biomarker as predictors of outcomes. The results obtained seem to be reasonable and have some new information. The paper is well written, although there are some drawbacks, particularly the fact that the size of study is small.</w:t>
      </w:r>
    </w:p>
    <w:p w:rsidR="003C29A3" w:rsidRPr="00A02A04" w:rsidRDefault="003C29A3" w:rsidP="009E446B">
      <w:pPr>
        <w:spacing w:line="360" w:lineRule="auto"/>
        <w:jc w:val="both"/>
        <w:rPr>
          <w:rFonts w:eastAsia="Times New Roman"/>
          <w:color w:val="000000"/>
          <w:sz w:val="24"/>
        </w:rPr>
      </w:pPr>
    </w:p>
    <w:bookmarkEnd w:id="11"/>
    <w:bookmarkEnd w:id="12"/>
    <w:bookmarkEnd w:id="13"/>
    <w:bookmarkEnd w:id="14"/>
    <w:bookmarkEnd w:id="15"/>
    <w:bookmarkEnd w:id="16"/>
    <w:bookmarkEnd w:id="17"/>
    <w:bookmarkEnd w:id="18"/>
    <w:bookmarkEnd w:id="19"/>
    <w:bookmarkEnd w:id="20"/>
    <w:bookmarkEnd w:id="21"/>
    <w:p w:rsidR="003C29A3" w:rsidRPr="00A02A04" w:rsidRDefault="003C29A3" w:rsidP="009E446B">
      <w:pPr>
        <w:spacing w:after="0" w:line="360" w:lineRule="auto"/>
        <w:jc w:val="both"/>
        <w:rPr>
          <w:rFonts w:ascii="Book Antiqua" w:hAnsi="Book Antiqua"/>
          <w:b/>
          <w:color w:val="000000"/>
          <w:sz w:val="24"/>
          <w:szCs w:val="24"/>
          <w:lang w:val="en-US" w:eastAsia="zh-CN"/>
        </w:rPr>
      </w:pPr>
    </w:p>
    <w:p w:rsidR="003C29A3" w:rsidRPr="00A02A04" w:rsidRDefault="003C29A3" w:rsidP="009E446B">
      <w:pPr>
        <w:spacing w:after="200"/>
        <w:jc w:val="both"/>
        <w:rPr>
          <w:rFonts w:ascii="Book Antiqua" w:eastAsia="Times New Roman" w:hAnsi="Book Antiqua"/>
          <w:b/>
          <w:color w:val="000000"/>
          <w:sz w:val="24"/>
          <w:szCs w:val="24"/>
          <w:lang w:val="en-US"/>
        </w:rPr>
      </w:pPr>
      <w:r w:rsidRPr="00A02A04">
        <w:rPr>
          <w:rFonts w:ascii="Book Antiqua" w:eastAsia="Times New Roman" w:hAnsi="Book Antiqua"/>
          <w:b/>
          <w:color w:val="000000"/>
          <w:sz w:val="24"/>
          <w:szCs w:val="24"/>
          <w:lang w:val="en-US"/>
        </w:rPr>
        <w:br w:type="page"/>
      </w:r>
    </w:p>
    <w:p w:rsidR="003C29A3" w:rsidRPr="00A02A04" w:rsidRDefault="003C29A3" w:rsidP="009E446B">
      <w:pPr>
        <w:spacing w:after="0" w:line="360" w:lineRule="auto"/>
        <w:jc w:val="both"/>
        <w:rPr>
          <w:rFonts w:ascii="Book Antiqua" w:eastAsia="Times New Roman" w:hAnsi="Book Antiqua"/>
          <w:color w:val="000000"/>
          <w:sz w:val="24"/>
          <w:szCs w:val="24"/>
          <w:lang w:val="en-US"/>
        </w:rPr>
      </w:pPr>
      <w:r w:rsidRPr="00A02A04">
        <w:rPr>
          <w:rFonts w:ascii="Book Antiqua" w:eastAsia="Times New Roman" w:hAnsi="Book Antiqua"/>
          <w:b/>
          <w:color w:val="000000"/>
          <w:sz w:val="24"/>
          <w:szCs w:val="24"/>
          <w:lang w:val="en-US"/>
        </w:rPr>
        <w:t>REFERENCES</w:t>
      </w:r>
    </w:p>
    <w:p w:rsidR="003C29A3" w:rsidRPr="00A02A04" w:rsidRDefault="003C29A3" w:rsidP="00816A1F">
      <w:pPr>
        <w:spacing w:after="0"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1 </w:t>
      </w:r>
      <w:r w:rsidRPr="00A02A04">
        <w:rPr>
          <w:rFonts w:ascii="Book Antiqua" w:hAnsi="Book Antiqua" w:cs="宋体"/>
          <w:b/>
          <w:bCs/>
          <w:color w:val="000000"/>
          <w:sz w:val="24"/>
          <w:szCs w:val="24"/>
        </w:rPr>
        <w:t>El-</w:t>
      </w:r>
      <w:proofErr w:type="spellStart"/>
      <w:r w:rsidRPr="00A02A04">
        <w:rPr>
          <w:rFonts w:ascii="Book Antiqua" w:hAnsi="Book Antiqua" w:cs="宋体"/>
          <w:b/>
          <w:bCs/>
          <w:color w:val="000000"/>
          <w:sz w:val="24"/>
          <w:szCs w:val="24"/>
        </w:rPr>
        <w:t>Serag</w:t>
      </w:r>
      <w:proofErr w:type="spellEnd"/>
      <w:r w:rsidRPr="00A02A04">
        <w:rPr>
          <w:rFonts w:ascii="Book Antiqua" w:hAnsi="Book Antiqua" w:cs="宋体"/>
          <w:b/>
          <w:bCs/>
          <w:color w:val="000000"/>
          <w:sz w:val="24"/>
          <w:szCs w:val="24"/>
        </w:rPr>
        <w:t xml:space="preserve"> HB</w:t>
      </w:r>
      <w:r w:rsidRPr="00A02A04">
        <w:rPr>
          <w:rFonts w:ascii="Book Antiqua" w:hAnsi="Book Antiqua" w:cs="宋体"/>
          <w:color w:val="000000"/>
          <w:sz w:val="24"/>
          <w:szCs w:val="24"/>
        </w:rPr>
        <w:t>. Hepatocellular carcinoma. </w:t>
      </w:r>
      <w:r w:rsidRPr="00A02A04">
        <w:rPr>
          <w:rFonts w:ascii="Book Antiqua" w:hAnsi="Book Antiqua" w:cs="宋体"/>
          <w:i/>
          <w:iCs/>
          <w:color w:val="000000"/>
          <w:sz w:val="24"/>
          <w:szCs w:val="24"/>
        </w:rPr>
        <w:t xml:space="preserve">N </w:t>
      </w:r>
      <w:proofErr w:type="spellStart"/>
      <w:r w:rsidRPr="00A02A04">
        <w:rPr>
          <w:rFonts w:ascii="Book Antiqua" w:hAnsi="Book Antiqua" w:cs="宋体"/>
          <w:i/>
          <w:iCs/>
          <w:color w:val="000000"/>
          <w:sz w:val="24"/>
          <w:szCs w:val="24"/>
        </w:rPr>
        <w:t>Engl</w:t>
      </w:r>
      <w:proofErr w:type="spellEnd"/>
      <w:r w:rsidRPr="00A02A04">
        <w:rPr>
          <w:rFonts w:ascii="Book Antiqua" w:hAnsi="Book Antiqua" w:cs="宋体"/>
          <w:i/>
          <w:iCs/>
          <w:color w:val="000000"/>
          <w:sz w:val="24"/>
          <w:szCs w:val="24"/>
        </w:rPr>
        <w:t xml:space="preserve"> J Med</w:t>
      </w:r>
      <w:r w:rsidRPr="00A02A04">
        <w:rPr>
          <w:rFonts w:ascii="Book Antiqua" w:hAnsi="Book Antiqua" w:cs="宋体"/>
          <w:color w:val="000000"/>
          <w:sz w:val="24"/>
          <w:szCs w:val="24"/>
        </w:rPr>
        <w:t> 2011; </w:t>
      </w:r>
      <w:r w:rsidRPr="00A02A04">
        <w:rPr>
          <w:rFonts w:ascii="Book Antiqua" w:hAnsi="Book Antiqua" w:cs="宋体"/>
          <w:b/>
          <w:bCs/>
          <w:color w:val="000000"/>
          <w:sz w:val="24"/>
          <w:szCs w:val="24"/>
        </w:rPr>
        <w:t>365</w:t>
      </w:r>
      <w:r w:rsidRPr="00A02A04">
        <w:rPr>
          <w:rFonts w:ascii="Book Antiqua" w:hAnsi="Book Antiqua" w:cs="宋体"/>
          <w:color w:val="000000"/>
          <w:sz w:val="24"/>
          <w:szCs w:val="24"/>
        </w:rPr>
        <w:t>: 1118-1127 [PMID: 21992124]</w:t>
      </w:r>
    </w:p>
    <w:p w:rsidR="003C29A3" w:rsidRPr="00A02A04" w:rsidRDefault="003C29A3" w:rsidP="00816A1F">
      <w:pPr>
        <w:spacing w:after="0"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2 EASL-EORTC clinical practice guidelines: management of hepatocellular carcinoma. </w:t>
      </w:r>
      <w:r w:rsidRPr="00A02A04">
        <w:rPr>
          <w:rFonts w:ascii="Book Antiqua" w:hAnsi="Book Antiqua" w:cs="宋体"/>
          <w:i/>
          <w:iCs/>
          <w:color w:val="000000"/>
          <w:sz w:val="24"/>
          <w:szCs w:val="24"/>
        </w:rPr>
        <w:t xml:space="preserve">J </w:t>
      </w:r>
      <w:proofErr w:type="spellStart"/>
      <w:r w:rsidRPr="00A02A04">
        <w:rPr>
          <w:rFonts w:ascii="Book Antiqua" w:hAnsi="Book Antiqua" w:cs="宋体"/>
          <w:i/>
          <w:iCs/>
          <w:color w:val="000000"/>
          <w:sz w:val="24"/>
          <w:szCs w:val="24"/>
        </w:rPr>
        <w:t>Hepatol</w:t>
      </w:r>
      <w:proofErr w:type="spellEnd"/>
      <w:r w:rsidRPr="00A02A04">
        <w:rPr>
          <w:rFonts w:ascii="Book Antiqua" w:hAnsi="Book Antiqua" w:cs="宋体"/>
          <w:color w:val="000000"/>
          <w:sz w:val="24"/>
          <w:szCs w:val="24"/>
        </w:rPr>
        <w:t> 2012; </w:t>
      </w:r>
      <w:r w:rsidRPr="00A02A04">
        <w:rPr>
          <w:rFonts w:ascii="Book Antiqua" w:hAnsi="Book Antiqua" w:cs="宋体"/>
          <w:b/>
          <w:bCs/>
          <w:color w:val="000000"/>
          <w:sz w:val="24"/>
          <w:szCs w:val="24"/>
        </w:rPr>
        <w:t>56</w:t>
      </w:r>
      <w:r w:rsidRPr="00A02A04">
        <w:rPr>
          <w:rFonts w:ascii="Book Antiqua" w:hAnsi="Book Antiqua" w:cs="宋体"/>
          <w:color w:val="000000"/>
          <w:sz w:val="24"/>
          <w:szCs w:val="24"/>
        </w:rPr>
        <w:t>: 908-943 [PMID: 22424438 DOI: 10.1016/j.jhep.2011.12.001]</w:t>
      </w:r>
    </w:p>
    <w:p w:rsidR="003C29A3" w:rsidRPr="00A02A04" w:rsidRDefault="003C29A3" w:rsidP="00816A1F">
      <w:pPr>
        <w:spacing w:after="0" w:line="360" w:lineRule="auto"/>
        <w:jc w:val="both"/>
        <w:rPr>
          <w:rFonts w:ascii="Book Antiqua" w:hAnsi="Book Antiqua"/>
          <w:color w:val="000000"/>
          <w:sz w:val="24"/>
          <w:szCs w:val="24"/>
          <w:lang w:eastAsia="zh-CN"/>
        </w:rPr>
      </w:pPr>
      <w:r w:rsidRPr="00A02A04">
        <w:rPr>
          <w:rFonts w:ascii="Book Antiqua" w:hAnsi="Book Antiqua"/>
          <w:color w:val="000000"/>
          <w:sz w:val="24"/>
          <w:szCs w:val="24"/>
          <w:lang w:eastAsia="zh-CN"/>
        </w:rPr>
        <w:t>3</w:t>
      </w:r>
      <w:r w:rsidRPr="00A02A04">
        <w:rPr>
          <w:rStyle w:val="apple-converted-space"/>
          <w:rFonts w:ascii="Book Antiqua" w:eastAsia="Times New Roman" w:hAnsi="Book Antiqua"/>
          <w:color w:val="000000"/>
          <w:sz w:val="24"/>
          <w:szCs w:val="24"/>
        </w:rPr>
        <w:t> </w:t>
      </w:r>
      <w:proofErr w:type="spellStart"/>
      <w:r w:rsidRPr="00A02A04">
        <w:rPr>
          <w:rFonts w:ascii="Book Antiqua" w:eastAsia="Times New Roman" w:hAnsi="Book Antiqua"/>
          <w:b/>
          <w:bCs/>
          <w:color w:val="000000"/>
          <w:sz w:val="24"/>
          <w:szCs w:val="24"/>
        </w:rPr>
        <w:t>Llovet</w:t>
      </w:r>
      <w:proofErr w:type="spellEnd"/>
      <w:r w:rsidRPr="00A02A04">
        <w:rPr>
          <w:rFonts w:ascii="Book Antiqua" w:eastAsia="Times New Roman" w:hAnsi="Book Antiqua"/>
          <w:b/>
          <w:bCs/>
          <w:color w:val="000000"/>
          <w:sz w:val="24"/>
          <w:szCs w:val="24"/>
        </w:rPr>
        <w:t xml:space="preserve"> JM</w:t>
      </w:r>
      <w:r w:rsidRPr="00A02A04">
        <w:rPr>
          <w:rFonts w:ascii="Book Antiqua" w:eastAsia="Times New Roman" w:hAnsi="Book Antiqua"/>
          <w:color w:val="000000"/>
          <w:sz w:val="24"/>
          <w:szCs w:val="24"/>
        </w:rPr>
        <w:t xml:space="preserve">, Ricci S, </w:t>
      </w:r>
      <w:proofErr w:type="spellStart"/>
      <w:r w:rsidRPr="00A02A04">
        <w:rPr>
          <w:rFonts w:ascii="Book Antiqua" w:eastAsia="Times New Roman" w:hAnsi="Book Antiqua"/>
          <w:color w:val="000000"/>
          <w:sz w:val="24"/>
          <w:szCs w:val="24"/>
        </w:rPr>
        <w:t>Mazzaferro</w:t>
      </w:r>
      <w:proofErr w:type="spellEnd"/>
      <w:r w:rsidRPr="00A02A04">
        <w:rPr>
          <w:rFonts w:ascii="Book Antiqua" w:eastAsia="Times New Roman" w:hAnsi="Book Antiqua"/>
          <w:color w:val="000000"/>
          <w:sz w:val="24"/>
          <w:szCs w:val="24"/>
        </w:rPr>
        <w:t xml:space="preserve"> V, </w:t>
      </w:r>
      <w:proofErr w:type="spellStart"/>
      <w:r w:rsidRPr="00A02A04">
        <w:rPr>
          <w:rFonts w:ascii="Book Antiqua" w:eastAsia="Times New Roman" w:hAnsi="Book Antiqua"/>
          <w:color w:val="000000"/>
          <w:sz w:val="24"/>
          <w:szCs w:val="24"/>
        </w:rPr>
        <w:t>Hilgard</w:t>
      </w:r>
      <w:proofErr w:type="spellEnd"/>
      <w:r w:rsidRPr="00A02A04">
        <w:rPr>
          <w:rFonts w:ascii="Book Antiqua" w:eastAsia="Times New Roman" w:hAnsi="Book Antiqua"/>
          <w:color w:val="000000"/>
          <w:sz w:val="24"/>
          <w:szCs w:val="24"/>
        </w:rPr>
        <w:t xml:space="preserve"> P, </w:t>
      </w:r>
      <w:proofErr w:type="spellStart"/>
      <w:r w:rsidRPr="00A02A04">
        <w:rPr>
          <w:rFonts w:ascii="Book Antiqua" w:eastAsia="Times New Roman" w:hAnsi="Book Antiqua"/>
          <w:color w:val="000000"/>
          <w:sz w:val="24"/>
          <w:szCs w:val="24"/>
        </w:rPr>
        <w:t>Gane</w:t>
      </w:r>
      <w:proofErr w:type="spellEnd"/>
      <w:r w:rsidRPr="00A02A04">
        <w:rPr>
          <w:rFonts w:ascii="Book Antiqua" w:eastAsia="Times New Roman" w:hAnsi="Book Antiqua"/>
          <w:color w:val="000000"/>
          <w:sz w:val="24"/>
          <w:szCs w:val="24"/>
        </w:rPr>
        <w:t xml:space="preserve"> E, Blanc JF, de Oliveira AC, Santoro A, Raoul JL, </w:t>
      </w:r>
      <w:proofErr w:type="spellStart"/>
      <w:r w:rsidRPr="00A02A04">
        <w:rPr>
          <w:rFonts w:ascii="Book Antiqua" w:eastAsia="Times New Roman" w:hAnsi="Book Antiqua"/>
          <w:color w:val="000000"/>
          <w:sz w:val="24"/>
          <w:szCs w:val="24"/>
        </w:rPr>
        <w:t>Forner</w:t>
      </w:r>
      <w:proofErr w:type="spellEnd"/>
      <w:r w:rsidRPr="00A02A04">
        <w:rPr>
          <w:rFonts w:ascii="Book Antiqua" w:eastAsia="Times New Roman" w:hAnsi="Book Antiqua"/>
          <w:color w:val="000000"/>
          <w:sz w:val="24"/>
          <w:szCs w:val="24"/>
        </w:rPr>
        <w:t xml:space="preserve"> A, Schwartz M, </w:t>
      </w:r>
      <w:proofErr w:type="spellStart"/>
      <w:r w:rsidRPr="00A02A04">
        <w:rPr>
          <w:rFonts w:ascii="Book Antiqua" w:eastAsia="Times New Roman" w:hAnsi="Book Antiqua"/>
          <w:color w:val="000000"/>
          <w:sz w:val="24"/>
          <w:szCs w:val="24"/>
        </w:rPr>
        <w:t>Porta</w:t>
      </w:r>
      <w:proofErr w:type="spellEnd"/>
      <w:r w:rsidRPr="00A02A04">
        <w:rPr>
          <w:rFonts w:ascii="Book Antiqua" w:eastAsia="Times New Roman" w:hAnsi="Book Antiqua"/>
          <w:color w:val="000000"/>
          <w:sz w:val="24"/>
          <w:szCs w:val="24"/>
        </w:rPr>
        <w:t xml:space="preserve"> C, </w:t>
      </w:r>
      <w:proofErr w:type="spellStart"/>
      <w:r w:rsidRPr="00A02A04">
        <w:rPr>
          <w:rFonts w:ascii="Book Antiqua" w:eastAsia="Times New Roman" w:hAnsi="Book Antiqua"/>
          <w:color w:val="000000"/>
          <w:sz w:val="24"/>
          <w:szCs w:val="24"/>
        </w:rPr>
        <w:t>Zeuzem</w:t>
      </w:r>
      <w:proofErr w:type="spellEnd"/>
      <w:r w:rsidRPr="00A02A04">
        <w:rPr>
          <w:rFonts w:ascii="Book Antiqua" w:eastAsia="Times New Roman" w:hAnsi="Book Antiqua"/>
          <w:color w:val="000000"/>
          <w:sz w:val="24"/>
          <w:szCs w:val="24"/>
        </w:rPr>
        <w:t xml:space="preserve"> S, </w:t>
      </w:r>
      <w:proofErr w:type="spellStart"/>
      <w:r w:rsidRPr="00A02A04">
        <w:rPr>
          <w:rFonts w:ascii="Book Antiqua" w:eastAsia="Times New Roman" w:hAnsi="Book Antiqua"/>
          <w:color w:val="000000"/>
          <w:sz w:val="24"/>
          <w:szCs w:val="24"/>
        </w:rPr>
        <w:t>Bolondi</w:t>
      </w:r>
      <w:proofErr w:type="spellEnd"/>
      <w:r w:rsidRPr="00A02A04">
        <w:rPr>
          <w:rFonts w:ascii="Book Antiqua" w:eastAsia="Times New Roman" w:hAnsi="Book Antiqua"/>
          <w:color w:val="000000"/>
          <w:sz w:val="24"/>
          <w:szCs w:val="24"/>
        </w:rPr>
        <w:t xml:space="preserve"> L, </w:t>
      </w:r>
      <w:proofErr w:type="spellStart"/>
      <w:r w:rsidRPr="00A02A04">
        <w:rPr>
          <w:rFonts w:ascii="Book Antiqua" w:eastAsia="Times New Roman" w:hAnsi="Book Antiqua"/>
          <w:color w:val="000000"/>
          <w:sz w:val="24"/>
          <w:szCs w:val="24"/>
        </w:rPr>
        <w:t>Greten</w:t>
      </w:r>
      <w:proofErr w:type="spellEnd"/>
      <w:r w:rsidRPr="00A02A04">
        <w:rPr>
          <w:rFonts w:ascii="Book Antiqua" w:eastAsia="Times New Roman" w:hAnsi="Book Antiqua"/>
          <w:color w:val="000000"/>
          <w:sz w:val="24"/>
          <w:szCs w:val="24"/>
        </w:rPr>
        <w:t xml:space="preserve"> TF, Galle PR, Seitz JF, </w:t>
      </w:r>
      <w:proofErr w:type="spellStart"/>
      <w:r w:rsidRPr="00A02A04">
        <w:rPr>
          <w:rFonts w:ascii="Book Antiqua" w:eastAsia="Times New Roman" w:hAnsi="Book Antiqua"/>
          <w:color w:val="000000"/>
          <w:sz w:val="24"/>
          <w:szCs w:val="24"/>
        </w:rPr>
        <w:t>Borbath</w:t>
      </w:r>
      <w:proofErr w:type="spellEnd"/>
      <w:r w:rsidRPr="00A02A04">
        <w:rPr>
          <w:rFonts w:ascii="Book Antiqua" w:eastAsia="Times New Roman" w:hAnsi="Book Antiqua"/>
          <w:color w:val="000000"/>
          <w:sz w:val="24"/>
          <w:szCs w:val="24"/>
        </w:rPr>
        <w:t xml:space="preserve"> I, </w:t>
      </w:r>
      <w:proofErr w:type="spellStart"/>
      <w:r w:rsidRPr="00A02A04">
        <w:rPr>
          <w:rFonts w:ascii="Book Antiqua" w:eastAsia="Times New Roman" w:hAnsi="Book Antiqua"/>
          <w:color w:val="000000"/>
          <w:sz w:val="24"/>
          <w:szCs w:val="24"/>
        </w:rPr>
        <w:t>Häussinger</w:t>
      </w:r>
      <w:proofErr w:type="spellEnd"/>
      <w:r w:rsidRPr="00A02A04">
        <w:rPr>
          <w:rFonts w:ascii="Book Antiqua" w:eastAsia="Times New Roman" w:hAnsi="Book Antiqua"/>
          <w:color w:val="000000"/>
          <w:sz w:val="24"/>
          <w:szCs w:val="24"/>
        </w:rPr>
        <w:t xml:space="preserve"> D, </w:t>
      </w:r>
      <w:proofErr w:type="spellStart"/>
      <w:r w:rsidRPr="00A02A04">
        <w:rPr>
          <w:rFonts w:ascii="Book Antiqua" w:eastAsia="Times New Roman" w:hAnsi="Book Antiqua"/>
          <w:color w:val="000000"/>
          <w:sz w:val="24"/>
          <w:szCs w:val="24"/>
        </w:rPr>
        <w:t>Giannaris</w:t>
      </w:r>
      <w:proofErr w:type="spellEnd"/>
      <w:r w:rsidRPr="00A02A04">
        <w:rPr>
          <w:rFonts w:ascii="Book Antiqua" w:eastAsia="Times New Roman" w:hAnsi="Book Antiqua"/>
          <w:color w:val="000000"/>
          <w:sz w:val="24"/>
          <w:szCs w:val="24"/>
        </w:rPr>
        <w:t xml:space="preserve"> T, Shan M, </w:t>
      </w:r>
      <w:proofErr w:type="spellStart"/>
      <w:r w:rsidRPr="00A02A04">
        <w:rPr>
          <w:rFonts w:ascii="Book Antiqua" w:eastAsia="Times New Roman" w:hAnsi="Book Antiqua"/>
          <w:color w:val="000000"/>
          <w:sz w:val="24"/>
          <w:szCs w:val="24"/>
        </w:rPr>
        <w:t>Moscovici</w:t>
      </w:r>
      <w:proofErr w:type="spellEnd"/>
      <w:r w:rsidRPr="00A02A04">
        <w:rPr>
          <w:rFonts w:ascii="Book Antiqua" w:eastAsia="Times New Roman" w:hAnsi="Book Antiqua"/>
          <w:color w:val="000000"/>
          <w:sz w:val="24"/>
          <w:szCs w:val="24"/>
        </w:rPr>
        <w:t xml:space="preserve"> M, </w:t>
      </w:r>
      <w:proofErr w:type="spellStart"/>
      <w:r w:rsidRPr="00A02A04">
        <w:rPr>
          <w:rFonts w:ascii="Book Antiqua" w:eastAsia="Times New Roman" w:hAnsi="Book Antiqua"/>
          <w:color w:val="000000"/>
          <w:sz w:val="24"/>
          <w:szCs w:val="24"/>
        </w:rPr>
        <w:t>Voliotis</w:t>
      </w:r>
      <w:proofErr w:type="spellEnd"/>
      <w:r w:rsidRPr="00A02A04">
        <w:rPr>
          <w:rFonts w:ascii="Book Antiqua" w:eastAsia="Times New Roman" w:hAnsi="Book Antiqua"/>
          <w:color w:val="000000"/>
          <w:sz w:val="24"/>
          <w:szCs w:val="24"/>
        </w:rPr>
        <w:t xml:space="preserve"> D, </w:t>
      </w:r>
      <w:proofErr w:type="spellStart"/>
      <w:r w:rsidRPr="00A02A04">
        <w:rPr>
          <w:rFonts w:ascii="Book Antiqua" w:eastAsia="Times New Roman" w:hAnsi="Book Antiqua"/>
          <w:color w:val="000000"/>
          <w:sz w:val="24"/>
          <w:szCs w:val="24"/>
        </w:rPr>
        <w:t>Bruix</w:t>
      </w:r>
      <w:proofErr w:type="spellEnd"/>
      <w:r w:rsidRPr="00A02A04">
        <w:rPr>
          <w:rFonts w:ascii="Book Antiqua" w:eastAsia="Times New Roman" w:hAnsi="Book Antiqua"/>
          <w:color w:val="000000"/>
          <w:sz w:val="24"/>
          <w:szCs w:val="24"/>
        </w:rPr>
        <w:t xml:space="preserve"> J. </w:t>
      </w:r>
      <w:proofErr w:type="spellStart"/>
      <w:r w:rsidRPr="00A02A04">
        <w:rPr>
          <w:rFonts w:ascii="Book Antiqua" w:eastAsia="Times New Roman" w:hAnsi="Book Antiqua"/>
          <w:color w:val="000000"/>
          <w:sz w:val="24"/>
          <w:szCs w:val="24"/>
        </w:rPr>
        <w:t>Sorafenib</w:t>
      </w:r>
      <w:proofErr w:type="spellEnd"/>
      <w:r w:rsidRPr="00A02A04">
        <w:rPr>
          <w:rFonts w:ascii="Book Antiqua" w:eastAsia="Times New Roman" w:hAnsi="Book Antiqua"/>
          <w:color w:val="000000"/>
          <w:sz w:val="24"/>
          <w:szCs w:val="24"/>
        </w:rPr>
        <w:t xml:space="preserve"> in advanced hepatocellular carcinoma.</w:t>
      </w:r>
      <w:r w:rsidRPr="00A02A04">
        <w:rPr>
          <w:rStyle w:val="apple-converted-space"/>
          <w:rFonts w:ascii="Book Antiqua" w:eastAsia="Times New Roman" w:hAnsi="Book Antiqua"/>
          <w:color w:val="000000"/>
          <w:sz w:val="24"/>
          <w:szCs w:val="24"/>
        </w:rPr>
        <w:t> </w:t>
      </w:r>
      <w:r w:rsidRPr="00A02A04">
        <w:rPr>
          <w:rFonts w:ascii="Book Antiqua" w:eastAsia="Times New Roman" w:hAnsi="Book Antiqua"/>
          <w:i/>
          <w:iCs/>
          <w:color w:val="000000"/>
          <w:sz w:val="24"/>
          <w:szCs w:val="24"/>
        </w:rPr>
        <w:t xml:space="preserve">N </w:t>
      </w:r>
      <w:proofErr w:type="spellStart"/>
      <w:r w:rsidRPr="00A02A04">
        <w:rPr>
          <w:rFonts w:ascii="Book Antiqua" w:eastAsia="Times New Roman" w:hAnsi="Book Antiqua"/>
          <w:i/>
          <w:iCs/>
          <w:color w:val="000000"/>
          <w:sz w:val="24"/>
          <w:szCs w:val="24"/>
        </w:rPr>
        <w:t>Engl</w:t>
      </w:r>
      <w:proofErr w:type="spellEnd"/>
      <w:r w:rsidRPr="00A02A04">
        <w:rPr>
          <w:rFonts w:ascii="Book Antiqua" w:eastAsia="Times New Roman" w:hAnsi="Book Antiqua"/>
          <w:i/>
          <w:iCs/>
          <w:color w:val="000000"/>
          <w:sz w:val="24"/>
          <w:szCs w:val="24"/>
        </w:rPr>
        <w:t xml:space="preserve"> J Med</w:t>
      </w:r>
      <w:r w:rsidRPr="00A02A04">
        <w:rPr>
          <w:rStyle w:val="apple-converted-space"/>
          <w:rFonts w:ascii="Book Antiqua" w:eastAsia="Times New Roman" w:hAnsi="Book Antiqua"/>
          <w:color w:val="000000"/>
          <w:sz w:val="24"/>
          <w:szCs w:val="24"/>
        </w:rPr>
        <w:t> </w:t>
      </w:r>
      <w:r w:rsidRPr="00A02A04">
        <w:rPr>
          <w:rFonts w:ascii="Book Antiqua" w:eastAsia="Times New Roman" w:hAnsi="Book Antiqua"/>
          <w:color w:val="000000"/>
          <w:sz w:val="24"/>
          <w:szCs w:val="24"/>
        </w:rPr>
        <w:t>2008;</w:t>
      </w:r>
      <w:r w:rsidRPr="00A02A04">
        <w:rPr>
          <w:rStyle w:val="apple-converted-space"/>
          <w:rFonts w:ascii="Book Antiqua" w:eastAsia="Times New Roman" w:hAnsi="Book Antiqua"/>
          <w:color w:val="000000"/>
          <w:sz w:val="24"/>
          <w:szCs w:val="24"/>
        </w:rPr>
        <w:t> </w:t>
      </w:r>
      <w:r w:rsidRPr="00A02A04">
        <w:rPr>
          <w:rFonts w:ascii="Book Antiqua" w:eastAsia="Times New Roman" w:hAnsi="Book Antiqua"/>
          <w:b/>
          <w:bCs/>
          <w:color w:val="000000"/>
          <w:sz w:val="24"/>
          <w:szCs w:val="24"/>
        </w:rPr>
        <w:t>359</w:t>
      </w:r>
      <w:r w:rsidRPr="00A02A04">
        <w:rPr>
          <w:rFonts w:ascii="Book Antiqua" w:eastAsia="Times New Roman" w:hAnsi="Book Antiqua"/>
          <w:color w:val="000000"/>
          <w:sz w:val="24"/>
          <w:szCs w:val="24"/>
        </w:rPr>
        <w:t>: 378-390 [PMID: 18650514 DOI: 10.1056/NEJMoa0708857]</w:t>
      </w:r>
    </w:p>
    <w:p w:rsidR="003C29A3" w:rsidRPr="00A02A04" w:rsidRDefault="003C29A3" w:rsidP="00816A1F">
      <w:pPr>
        <w:spacing w:after="0"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4 </w:t>
      </w:r>
      <w:r w:rsidRPr="00A02A04">
        <w:rPr>
          <w:rFonts w:ascii="Book Antiqua" w:hAnsi="Book Antiqua" w:cs="宋体"/>
          <w:b/>
          <w:bCs/>
          <w:color w:val="000000"/>
          <w:sz w:val="24"/>
          <w:szCs w:val="24"/>
        </w:rPr>
        <w:t>Cheng AL</w:t>
      </w:r>
      <w:r w:rsidRPr="00A02A04">
        <w:rPr>
          <w:rFonts w:ascii="Book Antiqua" w:hAnsi="Book Antiqua" w:cs="宋体"/>
          <w:color w:val="000000"/>
          <w:sz w:val="24"/>
          <w:szCs w:val="24"/>
        </w:rPr>
        <w:t xml:space="preserve">, Kang YK, Chen Z, </w:t>
      </w:r>
      <w:proofErr w:type="spellStart"/>
      <w:r w:rsidRPr="00A02A04">
        <w:rPr>
          <w:rFonts w:ascii="Book Antiqua" w:hAnsi="Book Antiqua" w:cs="宋体"/>
          <w:color w:val="000000"/>
          <w:sz w:val="24"/>
          <w:szCs w:val="24"/>
        </w:rPr>
        <w:t>Tsao</w:t>
      </w:r>
      <w:proofErr w:type="spellEnd"/>
      <w:r w:rsidRPr="00A02A04">
        <w:rPr>
          <w:rFonts w:ascii="Book Antiqua" w:hAnsi="Book Antiqua" w:cs="宋体"/>
          <w:color w:val="000000"/>
          <w:sz w:val="24"/>
          <w:szCs w:val="24"/>
        </w:rPr>
        <w:t xml:space="preserve"> CJ, Qin S, Kim JS, </w:t>
      </w:r>
      <w:proofErr w:type="spellStart"/>
      <w:r w:rsidRPr="00A02A04">
        <w:rPr>
          <w:rFonts w:ascii="Book Antiqua" w:hAnsi="Book Antiqua" w:cs="宋体"/>
          <w:color w:val="000000"/>
          <w:sz w:val="24"/>
          <w:szCs w:val="24"/>
        </w:rPr>
        <w:t>Luo</w:t>
      </w:r>
      <w:proofErr w:type="spellEnd"/>
      <w:r w:rsidRPr="00A02A04">
        <w:rPr>
          <w:rFonts w:ascii="Book Antiqua" w:hAnsi="Book Antiqua" w:cs="宋体"/>
          <w:color w:val="000000"/>
          <w:sz w:val="24"/>
          <w:szCs w:val="24"/>
        </w:rPr>
        <w:t xml:space="preserve"> R, </w:t>
      </w:r>
      <w:proofErr w:type="spellStart"/>
      <w:r w:rsidRPr="00A02A04">
        <w:rPr>
          <w:rFonts w:ascii="Book Antiqua" w:hAnsi="Book Antiqua" w:cs="宋体"/>
          <w:color w:val="000000"/>
          <w:sz w:val="24"/>
          <w:szCs w:val="24"/>
        </w:rPr>
        <w:t>Feng</w:t>
      </w:r>
      <w:proofErr w:type="spellEnd"/>
      <w:r w:rsidRPr="00A02A04">
        <w:rPr>
          <w:rFonts w:ascii="Book Antiqua" w:hAnsi="Book Antiqua" w:cs="宋体"/>
          <w:color w:val="000000"/>
          <w:sz w:val="24"/>
          <w:szCs w:val="24"/>
        </w:rPr>
        <w:t xml:space="preserve"> J, Ye S, Yang TS, </w:t>
      </w:r>
      <w:proofErr w:type="spellStart"/>
      <w:r w:rsidRPr="00A02A04">
        <w:rPr>
          <w:rFonts w:ascii="Book Antiqua" w:hAnsi="Book Antiqua" w:cs="宋体"/>
          <w:color w:val="000000"/>
          <w:sz w:val="24"/>
          <w:szCs w:val="24"/>
        </w:rPr>
        <w:t>Xu</w:t>
      </w:r>
      <w:proofErr w:type="spellEnd"/>
      <w:r w:rsidRPr="00A02A04">
        <w:rPr>
          <w:rFonts w:ascii="Book Antiqua" w:hAnsi="Book Antiqua" w:cs="宋体"/>
          <w:color w:val="000000"/>
          <w:sz w:val="24"/>
          <w:szCs w:val="24"/>
        </w:rPr>
        <w:t xml:space="preserve"> J, Sun Y, Liang H, Liu J, Wang J, </w:t>
      </w:r>
      <w:proofErr w:type="spellStart"/>
      <w:r w:rsidRPr="00A02A04">
        <w:rPr>
          <w:rFonts w:ascii="Book Antiqua" w:hAnsi="Book Antiqua" w:cs="宋体"/>
          <w:color w:val="000000"/>
          <w:sz w:val="24"/>
          <w:szCs w:val="24"/>
        </w:rPr>
        <w:t>Tak</w:t>
      </w:r>
      <w:proofErr w:type="spellEnd"/>
      <w:r w:rsidRPr="00A02A04">
        <w:rPr>
          <w:rFonts w:ascii="Book Antiqua" w:hAnsi="Book Antiqua" w:cs="宋体"/>
          <w:color w:val="000000"/>
          <w:sz w:val="24"/>
          <w:szCs w:val="24"/>
        </w:rPr>
        <w:t xml:space="preserve"> WY, Pan H, </w:t>
      </w:r>
      <w:proofErr w:type="spellStart"/>
      <w:r w:rsidRPr="00A02A04">
        <w:rPr>
          <w:rFonts w:ascii="Book Antiqua" w:hAnsi="Book Antiqua" w:cs="宋体"/>
          <w:color w:val="000000"/>
          <w:sz w:val="24"/>
          <w:szCs w:val="24"/>
        </w:rPr>
        <w:t>Burock</w:t>
      </w:r>
      <w:proofErr w:type="spellEnd"/>
      <w:r w:rsidRPr="00A02A04">
        <w:rPr>
          <w:rFonts w:ascii="Book Antiqua" w:hAnsi="Book Antiqua" w:cs="宋体"/>
          <w:color w:val="000000"/>
          <w:sz w:val="24"/>
          <w:szCs w:val="24"/>
        </w:rPr>
        <w:t xml:space="preserve"> K, </w:t>
      </w:r>
      <w:proofErr w:type="spellStart"/>
      <w:r w:rsidRPr="00A02A04">
        <w:rPr>
          <w:rFonts w:ascii="Book Antiqua" w:hAnsi="Book Antiqua" w:cs="宋体"/>
          <w:color w:val="000000"/>
          <w:sz w:val="24"/>
          <w:szCs w:val="24"/>
        </w:rPr>
        <w:t>Zou</w:t>
      </w:r>
      <w:proofErr w:type="spellEnd"/>
      <w:r w:rsidRPr="00A02A04">
        <w:rPr>
          <w:rFonts w:ascii="Book Antiqua" w:hAnsi="Book Antiqua" w:cs="宋体"/>
          <w:color w:val="000000"/>
          <w:sz w:val="24"/>
          <w:szCs w:val="24"/>
        </w:rPr>
        <w:t xml:space="preserve"> J, </w:t>
      </w:r>
      <w:proofErr w:type="spellStart"/>
      <w:r w:rsidRPr="00A02A04">
        <w:rPr>
          <w:rFonts w:ascii="Book Antiqua" w:hAnsi="Book Antiqua" w:cs="宋体"/>
          <w:color w:val="000000"/>
          <w:sz w:val="24"/>
          <w:szCs w:val="24"/>
        </w:rPr>
        <w:t>Voliotis</w:t>
      </w:r>
      <w:proofErr w:type="spellEnd"/>
      <w:r w:rsidRPr="00A02A04">
        <w:rPr>
          <w:rFonts w:ascii="Book Antiqua" w:hAnsi="Book Antiqua" w:cs="宋体"/>
          <w:color w:val="000000"/>
          <w:sz w:val="24"/>
          <w:szCs w:val="24"/>
        </w:rPr>
        <w:t xml:space="preserve"> D, Guan Z. Efficacy and safety of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xml:space="preserve"> in patients in the Asia-Pacific region with advanced hepatocellular carcinoma: a phase III randomised, double-blind, placebo-controlled trial. </w:t>
      </w:r>
      <w:r w:rsidRPr="00A02A04">
        <w:rPr>
          <w:rFonts w:ascii="Book Antiqua" w:hAnsi="Book Antiqua" w:cs="宋体"/>
          <w:i/>
          <w:iCs/>
          <w:color w:val="000000"/>
          <w:sz w:val="24"/>
          <w:szCs w:val="24"/>
        </w:rPr>
        <w:t xml:space="preserve">Lancet </w:t>
      </w:r>
      <w:proofErr w:type="spellStart"/>
      <w:r w:rsidRPr="00A02A04">
        <w:rPr>
          <w:rFonts w:ascii="Book Antiqua" w:hAnsi="Book Antiqua" w:cs="宋体"/>
          <w:i/>
          <w:iCs/>
          <w:color w:val="000000"/>
          <w:sz w:val="24"/>
          <w:szCs w:val="24"/>
        </w:rPr>
        <w:t>Oncol</w:t>
      </w:r>
      <w:proofErr w:type="spellEnd"/>
      <w:r w:rsidRPr="00A02A04">
        <w:rPr>
          <w:rFonts w:ascii="Book Antiqua" w:hAnsi="Book Antiqua" w:cs="宋体"/>
          <w:color w:val="000000"/>
          <w:sz w:val="24"/>
          <w:szCs w:val="24"/>
        </w:rPr>
        <w:t> 2009; </w:t>
      </w:r>
      <w:r w:rsidRPr="00A02A04">
        <w:rPr>
          <w:rFonts w:ascii="Book Antiqua" w:hAnsi="Book Antiqua" w:cs="宋体"/>
          <w:b/>
          <w:bCs/>
          <w:color w:val="000000"/>
          <w:sz w:val="24"/>
          <w:szCs w:val="24"/>
        </w:rPr>
        <w:t>10</w:t>
      </w:r>
      <w:r w:rsidRPr="00A02A04">
        <w:rPr>
          <w:rFonts w:ascii="Book Antiqua" w:hAnsi="Book Antiqua" w:cs="宋体"/>
          <w:color w:val="000000"/>
          <w:sz w:val="24"/>
          <w:szCs w:val="24"/>
        </w:rPr>
        <w:t>: 25-34 [PMID: 19095497 DOI: 10.1016/S1470-2045(08)70285-7]</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5 </w:t>
      </w:r>
      <w:proofErr w:type="spellStart"/>
      <w:r w:rsidRPr="00A02A04">
        <w:rPr>
          <w:rFonts w:ascii="Book Antiqua" w:hAnsi="Book Antiqua" w:cs="宋体"/>
          <w:b/>
          <w:bCs/>
          <w:color w:val="000000"/>
          <w:sz w:val="24"/>
          <w:szCs w:val="24"/>
        </w:rPr>
        <w:t>Cammà</w:t>
      </w:r>
      <w:proofErr w:type="spellEnd"/>
      <w:r w:rsidRPr="00A02A04">
        <w:rPr>
          <w:rFonts w:ascii="Book Antiqua" w:hAnsi="Book Antiqua" w:cs="宋体"/>
          <w:b/>
          <w:bCs/>
          <w:color w:val="000000"/>
          <w:sz w:val="24"/>
          <w:szCs w:val="24"/>
        </w:rPr>
        <w:t xml:space="preserve"> C</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Cabibbo</w:t>
      </w:r>
      <w:proofErr w:type="spellEnd"/>
      <w:r w:rsidRPr="00A02A04">
        <w:rPr>
          <w:rFonts w:ascii="Book Antiqua" w:hAnsi="Book Antiqua" w:cs="宋体"/>
          <w:color w:val="000000"/>
          <w:sz w:val="24"/>
          <w:szCs w:val="24"/>
        </w:rPr>
        <w:t xml:space="preserve"> G, </w:t>
      </w:r>
      <w:proofErr w:type="spellStart"/>
      <w:r w:rsidRPr="00A02A04">
        <w:rPr>
          <w:rFonts w:ascii="Book Antiqua" w:hAnsi="Book Antiqua" w:cs="宋体"/>
          <w:color w:val="000000"/>
          <w:sz w:val="24"/>
          <w:szCs w:val="24"/>
        </w:rPr>
        <w:t>Petta</w:t>
      </w:r>
      <w:proofErr w:type="spellEnd"/>
      <w:r w:rsidRPr="00A02A04">
        <w:rPr>
          <w:rFonts w:ascii="Book Antiqua" w:hAnsi="Book Antiqua" w:cs="宋体"/>
          <w:color w:val="000000"/>
          <w:sz w:val="24"/>
          <w:szCs w:val="24"/>
        </w:rPr>
        <w:t xml:space="preserve"> S, </w:t>
      </w:r>
      <w:proofErr w:type="spellStart"/>
      <w:r w:rsidRPr="00A02A04">
        <w:rPr>
          <w:rFonts w:ascii="Book Antiqua" w:hAnsi="Book Antiqua" w:cs="宋体"/>
          <w:color w:val="000000"/>
          <w:sz w:val="24"/>
          <w:szCs w:val="24"/>
        </w:rPr>
        <w:t>Enea</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Iavarone</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Grieco</w:t>
      </w:r>
      <w:proofErr w:type="spellEnd"/>
      <w:r w:rsidRPr="00A02A04">
        <w:rPr>
          <w:rFonts w:ascii="Book Antiqua" w:hAnsi="Book Antiqua" w:cs="宋体"/>
          <w:color w:val="000000"/>
          <w:sz w:val="24"/>
          <w:szCs w:val="24"/>
        </w:rPr>
        <w:t xml:space="preserve"> A, </w:t>
      </w:r>
      <w:proofErr w:type="spellStart"/>
      <w:r w:rsidRPr="00A02A04">
        <w:rPr>
          <w:rFonts w:ascii="Book Antiqua" w:hAnsi="Book Antiqua" w:cs="宋体"/>
          <w:color w:val="000000"/>
          <w:sz w:val="24"/>
          <w:szCs w:val="24"/>
        </w:rPr>
        <w:t>Gasbarrini</w:t>
      </w:r>
      <w:proofErr w:type="spellEnd"/>
      <w:r w:rsidRPr="00A02A04">
        <w:rPr>
          <w:rFonts w:ascii="Book Antiqua" w:hAnsi="Book Antiqua" w:cs="宋体"/>
          <w:color w:val="000000"/>
          <w:sz w:val="24"/>
          <w:szCs w:val="24"/>
        </w:rPr>
        <w:t xml:space="preserve"> A, Villa E, </w:t>
      </w:r>
      <w:proofErr w:type="spellStart"/>
      <w:r w:rsidRPr="00A02A04">
        <w:rPr>
          <w:rFonts w:ascii="Book Antiqua" w:hAnsi="Book Antiqua" w:cs="宋体"/>
          <w:color w:val="000000"/>
          <w:sz w:val="24"/>
          <w:szCs w:val="24"/>
        </w:rPr>
        <w:t>Zavaglia</w:t>
      </w:r>
      <w:proofErr w:type="spellEnd"/>
      <w:r w:rsidRPr="00A02A04">
        <w:rPr>
          <w:rFonts w:ascii="Book Antiqua" w:hAnsi="Book Antiqua" w:cs="宋体"/>
          <w:color w:val="000000"/>
          <w:sz w:val="24"/>
          <w:szCs w:val="24"/>
        </w:rPr>
        <w:t xml:space="preserve"> C, Bruno R, Colombo M, </w:t>
      </w:r>
      <w:proofErr w:type="spellStart"/>
      <w:r w:rsidRPr="00A02A04">
        <w:rPr>
          <w:rFonts w:ascii="Book Antiqua" w:hAnsi="Book Antiqua" w:cs="宋体"/>
          <w:color w:val="000000"/>
          <w:sz w:val="24"/>
          <w:szCs w:val="24"/>
        </w:rPr>
        <w:t>Craxì</w:t>
      </w:r>
      <w:proofErr w:type="spellEnd"/>
      <w:r w:rsidRPr="00A02A04">
        <w:rPr>
          <w:rFonts w:ascii="Book Antiqua" w:hAnsi="Book Antiqua" w:cs="宋体"/>
          <w:color w:val="000000"/>
          <w:sz w:val="24"/>
          <w:szCs w:val="24"/>
        </w:rPr>
        <w:t xml:space="preserve"> A. Cost-effectiveness of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xml:space="preserve"> treatment in field practice for patients with hepatocellular carcinoma. </w:t>
      </w:r>
      <w:proofErr w:type="spellStart"/>
      <w:r w:rsidRPr="00A02A04">
        <w:rPr>
          <w:rFonts w:ascii="Book Antiqua" w:hAnsi="Book Antiqua" w:cs="宋体"/>
          <w:i/>
          <w:iCs/>
          <w:color w:val="000000"/>
          <w:sz w:val="24"/>
          <w:szCs w:val="24"/>
        </w:rPr>
        <w:t>Hepatology</w:t>
      </w:r>
      <w:proofErr w:type="spellEnd"/>
      <w:r w:rsidRPr="00A02A04">
        <w:rPr>
          <w:rFonts w:ascii="Book Antiqua" w:hAnsi="Book Antiqua" w:cs="宋体"/>
          <w:color w:val="000000"/>
          <w:sz w:val="24"/>
          <w:szCs w:val="24"/>
        </w:rPr>
        <w:t> 2013; </w:t>
      </w:r>
      <w:r w:rsidRPr="00A02A04">
        <w:rPr>
          <w:rFonts w:ascii="Book Antiqua" w:hAnsi="Book Antiqua" w:cs="宋体"/>
          <w:b/>
          <w:bCs/>
          <w:color w:val="000000"/>
          <w:sz w:val="24"/>
          <w:szCs w:val="24"/>
        </w:rPr>
        <w:t>57</w:t>
      </w:r>
      <w:r w:rsidRPr="00A02A04">
        <w:rPr>
          <w:rFonts w:ascii="Book Antiqua" w:hAnsi="Book Antiqua" w:cs="宋体"/>
          <w:color w:val="000000"/>
          <w:sz w:val="24"/>
          <w:szCs w:val="24"/>
        </w:rPr>
        <w:t>: 1046-1054 [PMID: 23299720 DOI: 10.1002/hep.26221]</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6 </w:t>
      </w:r>
      <w:r w:rsidRPr="00A02A04">
        <w:rPr>
          <w:rFonts w:ascii="Book Antiqua" w:hAnsi="Book Antiqua" w:cs="宋体"/>
          <w:b/>
          <w:bCs/>
          <w:color w:val="000000"/>
          <w:sz w:val="24"/>
          <w:szCs w:val="24"/>
        </w:rPr>
        <w:t>Moreau R</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Jalan</w:t>
      </w:r>
      <w:proofErr w:type="spellEnd"/>
      <w:r w:rsidRPr="00A02A04">
        <w:rPr>
          <w:rFonts w:ascii="Book Antiqua" w:hAnsi="Book Antiqua" w:cs="宋体"/>
          <w:color w:val="000000"/>
          <w:sz w:val="24"/>
          <w:szCs w:val="24"/>
        </w:rPr>
        <w:t xml:space="preserve"> R, </w:t>
      </w:r>
      <w:proofErr w:type="spellStart"/>
      <w:r w:rsidRPr="00A02A04">
        <w:rPr>
          <w:rFonts w:ascii="Book Antiqua" w:hAnsi="Book Antiqua" w:cs="宋体"/>
          <w:color w:val="000000"/>
          <w:sz w:val="24"/>
          <w:szCs w:val="24"/>
        </w:rPr>
        <w:t>Gines</w:t>
      </w:r>
      <w:proofErr w:type="spellEnd"/>
      <w:r w:rsidRPr="00A02A04">
        <w:rPr>
          <w:rFonts w:ascii="Book Antiqua" w:hAnsi="Book Antiqua" w:cs="宋体"/>
          <w:color w:val="000000"/>
          <w:sz w:val="24"/>
          <w:szCs w:val="24"/>
        </w:rPr>
        <w:t xml:space="preserve"> P, </w:t>
      </w:r>
      <w:proofErr w:type="spellStart"/>
      <w:r w:rsidRPr="00A02A04">
        <w:rPr>
          <w:rFonts w:ascii="Book Antiqua" w:hAnsi="Book Antiqua" w:cs="宋体"/>
          <w:color w:val="000000"/>
          <w:sz w:val="24"/>
          <w:szCs w:val="24"/>
        </w:rPr>
        <w:t>Pavesi</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Angeli</w:t>
      </w:r>
      <w:proofErr w:type="spellEnd"/>
      <w:r w:rsidRPr="00A02A04">
        <w:rPr>
          <w:rFonts w:ascii="Book Antiqua" w:hAnsi="Book Antiqua" w:cs="宋体"/>
          <w:color w:val="000000"/>
          <w:sz w:val="24"/>
          <w:szCs w:val="24"/>
        </w:rPr>
        <w:t xml:space="preserve"> P, Cordoba J, Durand F, </w:t>
      </w:r>
      <w:proofErr w:type="spellStart"/>
      <w:r w:rsidRPr="00A02A04">
        <w:rPr>
          <w:rFonts w:ascii="Book Antiqua" w:hAnsi="Book Antiqua" w:cs="宋体"/>
          <w:color w:val="000000"/>
          <w:sz w:val="24"/>
          <w:szCs w:val="24"/>
        </w:rPr>
        <w:t>Gustot</w:t>
      </w:r>
      <w:proofErr w:type="spellEnd"/>
      <w:r w:rsidRPr="00A02A04">
        <w:rPr>
          <w:rFonts w:ascii="Book Antiqua" w:hAnsi="Book Antiqua" w:cs="宋体"/>
          <w:color w:val="000000"/>
          <w:sz w:val="24"/>
          <w:szCs w:val="24"/>
        </w:rPr>
        <w:t xml:space="preserve"> T, </w:t>
      </w:r>
      <w:proofErr w:type="spellStart"/>
      <w:r w:rsidRPr="00A02A04">
        <w:rPr>
          <w:rFonts w:ascii="Book Antiqua" w:hAnsi="Book Antiqua" w:cs="宋体"/>
          <w:color w:val="000000"/>
          <w:sz w:val="24"/>
          <w:szCs w:val="24"/>
        </w:rPr>
        <w:t>Saliba</w:t>
      </w:r>
      <w:proofErr w:type="spellEnd"/>
      <w:r w:rsidRPr="00A02A04">
        <w:rPr>
          <w:rFonts w:ascii="Book Antiqua" w:hAnsi="Book Antiqua" w:cs="宋体"/>
          <w:color w:val="000000"/>
          <w:sz w:val="24"/>
          <w:szCs w:val="24"/>
        </w:rPr>
        <w:t xml:space="preserve"> F, </w:t>
      </w:r>
      <w:proofErr w:type="spellStart"/>
      <w:r w:rsidRPr="00A02A04">
        <w:rPr>
          <w:rFonts w:ascii="Book Antiqua" w:hAnsi="Book Antiqua" w:cs="宋体"/>
          <w:color w:val="000000"/>
          <w:sz w:val="24"/>
          <w:szCs w:val="24"/>
        </w:rPr>
        <w:t>Domenicali</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Gerbes</w:t>
      </w:r>
      <w:proofErr w:type="spellEnd"/>
      <w:r w:rsidRPr="00A02A04">
        <w:rPr>
          <w:rFonts w:ascii="Book Antiqua" w:hAnsi="Book Antiqua" w:cs="宋体"/>
          <w:color w:val="000000"/>
          <w:sz w:val="24"/>
          <w:szCs w:val="24"/>
        </w:rPr>
        <w:t xml:space="preserve"> A, </w:t>
      </w:r>
      <w:proofErr w:type="spellStart"/>
      <w:r w:rsidRPr="00A02A04">
        <w:rPr>
          <w:rFonts w:ascii="Book Antiqua" w:hAnsi="Book Antiqua" w:cs="宋体"/>
          <w:color w:val="000000"/>
          <w:sz w:val="24"/>
          <w:szCs w:val="24"/>
        </w:rPr>
        <w:t>Wendon</w:t>
      </w:r>
      <w:proofErr w:type="spellEnd"/>
      <w:r w:rsidRPr="00A02A04">
        <w:rPr>
          <w:rFonts w:ascii="Book Antiqua" w:hAnsi="Book Antiqua" w:cs="宋体"/>
          <w:color w:val="000000"/>
          <w:sz w:val="24"/>
          <w:szCs w:val="24"/>
        </w:rPr>
        <w:t xml:space="preserve"> J, Alessandria C, </w:t>
      </w:r>
      <w:proofErr w:type="spellStart"/>
      <w:r w:rsidRPr="00A02A04">
        <w:rPr>
          <w:rFonts w:ascii="Book Antiqua" w:hAnsi="Book Antiqua" w:cs="宋体"/>
          <w:color w:val="000000"/>
          <w:sz w:val="24"/>
          <w:szCs w:val="24"/>
        </w:rPr>
        <w:t>Laleman</w:t>
      </w:r>
      <w:proofErr w:type="spellEnd"/>
      <w:r w:rsidRPr="00A02A04">
        <w:rPr>
          <w:rFonts w:ascii="Book Antiqua" w:hAnsi="Book Antiqua" w:cs="宋体"/>
          <w:color w:val="000000"/>
          <w:sz w:val="24"/>
          <w:szCs w:val="24"/>
        </w:rPr>
        <w:t xml:space="preserve"> W, </w:t>
      </w:r>
      <w:proofErr w:type="spellStart"/>
      <w:r w:rsidRPr="00A02A04">
        <w:rPr>
          <w:rFonts w:ascii="Book Antiqua" w:hAnsi="Book Antiqua" w:cs="宋体"/>
          <w:color w:val="000000"/>
          <w:sz w:val="24"/>
          <w:szCs w:val="24"/>
        </w:rPr>
        <w:t>Zeuzem</w:t>
      </w:r>
      <w:proofErr w:type="spellEnd"/>
      <w:r w:rsidRPr="00A02A04">
        <w:rPr>
          <w:rFonts w:ascii="Book Antiqua" w:hAnsi="Book Antiqua" w:cs="宋体"/>
          <w:color w:val="000000"/>
          <w:sz w:val="24"/>
          <w:szCs w:val="24"/>
        </w:rPr>
        <w:t xml:space="preserve"> S, </w:t>
      </w:r>
      <w:proofErr w:type="spellStart"/>
      <w:r w:rsidRPr="00A02A04">
        <w:rPr>
          <w:rFonts w:ascii="Book Antiqua" w:hAnsi="Book Antiqua" w:cs="宋体"/>
          <w:color w:val="000000"/>
          <w:sz w:val="24"/>
          <w:szCs w:val="24"/>
        </w:rPr>
        <w:t>Trebicka</w:t>
      </w:r>
      <w:proofErr w:type="spellEnd"/>
      <w:r w:rsidRPr="00A02A04">
        <w:rPr>
          <w:rFonts w:ascii="Book Antiqua" w:hAnsi="Book Antiqua" w:cs="宋体"/>
          <w:color w:val="000000"/>
          <w:sz w:val="24"/>
          <w:szCs w:val="24"/>
        </w:rPr>
        <w:t xml:space="preserve"> J, </w:t>
      </w:r>
      <w:proofErr w:type="spellStart"/>
      <w:r w:rsidRPr="00A02A04">
        <w:rPr>
          <w:rFonts w:ascii="Book Antiqua" w:hAnsi="Book Antiqua" w:cs="宋体"/>
          <w:color w:val="000000"/>
          <w:sz w:val="24"/>
          <w:szCs w:val="24"/>
        </w:rPr>
        <w:t>Bernardi</w:t>
      </w:r>
      <w:proofErr w:type="spellEnd"/>
      <w:r w:rsidRPr="00A02A04">
        <w:rPr>
          <w:rFonts w:ascii="Book Antiqua" w:hAnsi="Book Antiqua" w:cs="宋体"/>
          <w:color w:val="000000"/>
          <w:sz w:val="24"/>
          <w:szCs w:val="24"/>
        </w:rPr>
        <w:t xml:space="preserve"> M, Arroyo V. Acute-on-chronic liver failure is a distinct syndrome that develops in patients with acute </w:t>
      </w:r>
      <w:proofErr w:type="spellStart"/>
      <w:r w:rsidRPr="00A02A04">
        <w:rPr>
          <w:rFonts w:ascii="Book Antiqua" w:hAnsi="Book Antiqua" w:cs="宋体"/>
          <w:color w:val="000000"/>
          <w:sz w:val="24"/>
          <w:szCs w:val="24"/>
        </w:rPr>
        <w:t>decompensation</w:t>
      </w:r>
      <w:proofErr w:type="spellEnd"/>
      <w:r w:rsidRPr="00A02A04">
        <w:rPr>
          <w:rFonts w:ascii="Book Antiqua" w:hAnsi="Book Antiqua" w:cs="宋体"/>
          <w:color w:val="000000"/>
          <w:sz w:val="24"/>
          <w:szCs w:val="24"/>
        </w:rPr>
        <w:t xml:space="preserve"> of cirrhosis. </w:t>
      </w:r>
      <w:r w:rsidRPr="00A02A04">
        <w:rPr>
          <w:rFonts w:ascii="Book Antiqua" w:hAnsi="Book Antiqua" w:cs="宋体"/>
          <w:i/>
          <w:iCs/>
          <w:color w:val="000000"/>
          <w:sz w:val="24"/>
          <w:szCs w:val="24"/>
        </w:rPr>
        <w:t>Gastroenterology</w:t>
      </w:r>
      <w:r w:rsidRPr="00A02A04">
        <w:rPr>
          <w:rFonts w:ascii="Book Antiqua" w:hAnsi="Book Antiqua" w:cs="宋体"/>
          <w:color w:val="000000"/>
          <w:sz w:val="24"/>
          <w:szCs w:val="24"/>
        </w:rPr>
        <w:t> 2013; </w:t>
      </w:r>
      <w:r w:rsidRPr="00A02A04">
        <w:rPr>
          <w:rFonts w:ascii="Book Antiqua" w:hAnsi="Book Antiqua" w:cs="宋体"/>
          <w:b/>
          <w:bCs/>
          <w:color w:val="000000"/>
          <w:sz w:val="24"/>
          <w:szCs w:val="24"/>
        </w:rPr>
        <w:t>144</w:t>
      </w:r>
      <w:r w:rsidRPr="00A02A04">
        <w:rPr>
          <w:rFonts w:ascii="Book Antiqua" w:hAnsi="Book Antiqua" w:cs="宋体"/>
          <w:color w:val="000000"/>
          <w:sz w:val="24"/>
          <w:szCs w:val="24"/>
        </w:rPr>
        <w:t>: 1426-137, 1426-137, [PMID: 23474284 DOI: 10.1053/j.gastro.2013.02.042]</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7 </w:t>
      </w:r>
      <w:proofErr w:type="spellStart"/>
      <w:r w:rsidRPr="00A02A04">
        <w:rPr>
          <w:rFonts w:ascii="Book Antiqua" w:hAnsi="Book Antiqua" w:cs="宋体"/>
          <w:b/>
          <w:bCs/>
          <w:color w:val="000000"/>
          <w:sz w:val="24"/>
          <w:szCs w:val="24"/>
        </w:rPr>
        <w:t>Llovet</w:t>
      </w:r>
      <w:proofErr w:type="spellEnd"/>
      <w:r w:rsidRPr="00A02A04">
        <w:rPr>
          <w:rFonts w:ascii="Book Antiqua" w:hAnsi="Book Antiqua" w:cs="宋体"/>
          <w:b/>
          <w:bCs/>
          <w:color w:val="000000"/>
          <w:sz w:val="24"/>
          <w:szCs w:val="24"/>
        </w:rPr>
        <w:t xml:space="preserve"> JM</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Brú</w:t>
      </w:r>
      <w:proofErr w:type="spellEnd"/>
      <w:r w:rsidRPr="00A02A04">
        <w:rPr>
          <w:rFonts w:ascii="Book Antiqua" w:hAnsi="Book Antiqua" w:cs="宋体"/>
          <w:color w:val="000000"/>
          <w:sz w:val="24"/>
          <w:szCs w:val="24"/>
        </w:rPr>
        <w:t xml:space="preserve"> C, </w:t>
      </w:r>
      <w:proofErr w:type="spellStart"/>
      <w:r w:rsidRPr="00A02A04">
        <w:rPr>
          <w:rFonts w:ascii="Book Antiqua" w:hAnsi="Book Antiqua" w:cs="宋体"/>
          <w:color w:val="000000"/>
          <w:sz w:val="24"/>
          <w:szCs w:val="24"/>
        </w:rPr>
        <w:t>Bruix</w:t>
      </w:r>
      <w:proofErr w:type="spellEnd"/>
      <w:r w:rsidRPr="00A02A04">
        <w:rPr>
          <w:rFonts w:ascii="Book Antiqua" w:hAnsi="Book Antiqua" w:cs="宋体"/>
          <w:color w:val="000000"/>
          <w:sz w:val="24"/>
          <w:szCs w:val="24"/>
        </w:rPr>
        <w:t xml:space="preserve"> J. Prognosis of hepatocellular carcinoma: the BCLC staging classification. </w:t>
      </w:r>
      <w:proofErr w:type="spellStart"/>
      <w:r w:rsidRPr="00A02A04">
        <w:rPr>
          <w:rFonts w:ascii="Book Antiqua" w:hAnsi="Book Antiqua" w:cs="宋体"/>
          <w:i/>
          <w:iCs/>
          <w:color w:val="000000"/>
          <w:sz w:val="24"/>
          <w:szCs w:val="24"/>
        </w:rPr>
        <w:t>Semin</w:t>
      </w:r>
      <w:proofErr w:type="spellEnd"/>
      <w:r w:rsidRPr="00A02A04">
        <w:rPr>
          <w:rFonts w:ascii="Book Antiqua" w:hAnsi="Book Antiqua" w:cs="宋体"/>
          <w:i/>
          <w:iCs/>
          <w:color w:val="000000"/>
          <w:sz w:val="24"/>
          <w:szCs w:val="24"/>
        </w:rPr>
        <w:t xml:space="preserve"> Liver Dis</w:t>
      </w:r>
      <w:r w:rsidRPr="00A02A04">
        <w:rPr>
          <w:rFonts w:ascii="Book Antiqua" w:hAnsi="Book Antiqua" w:cs="宋体"/>
          <w:color w:val="000000"/>
          <w:sz w:val="24"/>
          <w:szCs w:val="24"/>
        </w:rPr>
        <w:t> 1999; </w:t>
      </w:r>
      <w:r w:rsidRPr="00A02A04">
        <w:rPr>
          <w:rFonts w:ascii="Book Antiqua" w:hAnsi="Book Antiqua" w:cs="宋体"/>
          <w:b/>
          <w:bCs/>
          <w:color w:val="000000"/>
          <w:sz w:val="24"/>
          <w:szCs w:val="24"/>
        </w:rPr>
        <w:t>19</w:t>
      </w:r>
      <w:r w:rsidRPr="00A02A04">
        <w:rPr>
          <w:rFonts w:ascii="Book Antiqua" w:hAnsi="Book Antiqua" w:cs="宋体"/>
          <w:color w:val="000000"/>
          <w:sz w:val="24"/>
          <w:szCs w:val="24"/>
        </w:rPr>
        <w:t>: 329-338 [PMID: 10518312 DOI: 10.1055/s-2007-1007122]</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8 </w:t>
      </w:r>
      <w:proofErr w:type="spellStart"/>
      <w:r w:rsidRPr="00A02A04">
        <w:rPr>
          <w:rFonts w:ascii="Book Antiqua" w:hAnsi="Book Antiqua" w:cs="宋体"/>
          <w:b/>
          <w:bCs/>
          <w:color w:val="000000"/>
          <w:sz w:val="24"/>
          <w:szCs w:val="24"/>
        </w:rPr>
        <w:t>Bruix</w:t>
      </w:r>
      <w:proofErr w:type="spellEnd"/>
      <w:r w:rsidRPr="00A02A04">
        <w:rPr>
          <w:rFonts w:ascii="Book Antiqua" w:hAnsi="Book Antiqua" w:cs="宋体"/>
          <w:b/>
          <w:bCs/>
          <w:color w:val="000000"/>
          <w:sz w:val="24"/>
          <w:szCs w:val="24"/>
        </w:rPr>
        <w:t xml:space="preserve"> J</w:t>
      </w:r>
      <w:r w:rsidRPr="00A02A04">
        <w:rPr>
          <w:rFonts w:ascii="Book Antiqua" w:hAnsi="Book Antiqua" w:cs="宋体"/>
          <w:color w:val="000000"/>
          <w:sz w:val="24"/>
          <w:szCs w:val="24"/>
        </w:rPr>
        <w:t>, Sherman M. Management of hepatocellular carcinoma. </w:t>
      </w:r>
      <w:proofErr w:type="spellStart"/>
      <w:r w:rsidRPr="00A02A04">
        <w:rPr>
          <w:rFonts w:ascii="Book Antiqua" w:hAnsi="Book Antiqua" w:cs="宋体"/>
          <w:i/>
          <w:iCs/>
          <w:color w:val="000000"/>
          <w:sz w:val="24"/>
          <w:szCs w:val="24"/>
        </w:rPr>
        <w:t>Hepatology</w:t>
      </w:r>
      <w:proofErr w:type="spellEnd"/>
      <w:r w:rsidRPr="00A02A04">
        <w:rPr>
          <w:rFonts w:ascii="Book Antiqua" w:hAnsi="Book Antiqua" w:cs="宋体"/>
          <w:color w:val="000000"/>
          <w:sz w:val="24"/>
          <w:szCs w:val="24"/>
        </w:rPr>
        <w:t> 2005; </w:t>
      </w:r>
      <w:r w:rsidRPr="00A02A04">
        <w:rPr>
          <w:rFonts w:ascii="Book Antiqua" w:hAnsi="Book Antiqua" w:cs="宋体"/>
          <w:b/>
          <w:bCs/>
          <w:color w:val="000000"/>
          <w:sz w:val="24"/>
          <w:szCs w:val="24"/>
        </w:rPr>
        <w:t>42</w:t>
      </w:r>
      <w:r w:rsidRPr="00A02A04">
        <w:rPr>
          <w:rFonts w:ascii="Book Antiqua" w:hAnsi="Book Antiqua" w:cs="宋体"/>
          <w:color w:val="000000"/>
          <w:sz w:val="24"/>
          <w:szCs w:val="24"/>
        </w:rPr>
        <w:t>: 1208-1236 [PMID: 16250051 DOI: 10.1002/hep.20933]</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lastRenderedPageBreak/>
        <w:t>9 </w:t>
      </w:r>
      <w:r w:rsidRPr="00A02A04">
        <w:rPr>
          <w:rFonts w:ascii="Book Antiqua" w:hAnsi="Book Antiqua" w:cs="宋体"/>
          <w:b/>
          <w:bCs/>
          <w:color w:val="000000"/>
          <w:sz w:val="24"/>
          <w:szCs w:val="24"/>
        </w:rPr>
        <w:t>Pugh RN</w:t>
      </w:r>
      <w:r w:rsidRPr="00A02A04">
        <w:rPr>
          <w:rFonts w:ascii="Book Antiqua" w:hAnsi="Book Antiqua" w:cs="宋体"/>
          <w:color w:val="000000"/>
          <w:sz w:val="24"/>
          <w:szCs w:val="24"/>
        </w:rPr>
        <w:t xml:space="preserve">, Murray-Lyon IM, Dawson JL, </w:t>
      </w:r>
      <w:proofErr w:type="spellStart"/>
      <w:r w:rsidRPr="00A02A04">
        <w:rPr>
          <w:rFonts w:ascii="Book Antiqua" w:hAnsi="Book Antiqua" w:cs="宋体"/>
          <w:color w:val="000000"/>
          <w:sz w:val="24"/>
          <w:szCs w:val="24"/>
        </w:rPr>
        <w:t>Pietroni</w:t>
      </w:r>
      <w:proofErr w:type="spellEnd"/>
      <w:r w:rsidRPr="00A02A04">
        <w:rPr>
          <w:rFonts w:ascii="Book Antiqua" w:hAnsi="Book Antiqua" w:cs="宋体"/>
          <w:color w:val="000000"/>
          <w:sz w:val="24"/>
          <w:szCs w:val="24"/>
        </w:rPr>
        <w:t xml:space="preserve"> MC, Williams R. Transection of the oesophagus for bleeding oesophageal </w:t>
      </w:r>
      <w:proofErr w:type="spellStart"/>
      <w:r w:rsidRPr="00A02A04">
        <w:rPr>
          <w:rFonts w:ascii="Book Antiqua" w:hAnsi="Book Antiqua" w:cs="宋体"/>
          <w:color w:val="000000"/>
          <w:sz w:val="24"/>
          <w:szCs w:val="24"/>
        </w:rPr>
        <w:t>varices</w:t>
      </w:r>
      <w:proofErr w:type="spellEnd"/>
      <w:r w:rsidRPr="00A02A04">
        <w:rPr>
          <w:rFonts w:ascii="Book Antiqua" w:hAnsi="Book Antiqua" w:cs="宋体"/>
          <w:color w:val="000000"/>
          <w:sz w:val="24"/>
          <w:szCs w:val="24"/>
        </w:rPr>
        <w:t>. </w:t>
      </w:r>
      <w:r w:rsidRPr="00A02A04">
        <w:rPr>
          <w:rFonts w:ascii="Book Antiqua" w:hAnsi="Book Antiqua" w:cs="宋体"/>
          <w:i/>
          <w:iCs/>
          <w:color w:val="000000"/>
          <w:sz w:val="24"/>
          <w:szCs w:val="24"/>
        </w:rPr>
        <w:t xml:space="preserve">Br J </w:t>
      </w:r>
      <w:proofErr w:type="spellStart"/>
      <w:r w:rsidRPr="00A02A04">
        <w:rPr>
          <w:rFonts w:ascii="Book Antiqua" w:hAnsi="Book Antiqua" w:cs="宋体"/>
          <w:i/>
          <w:iCs/>
          <w:color w:val="000000"/>
          <w:sz w:val="24"/>
          <w:szCs w:val="24"/>
        </w:rPr>
        <w:t>Surg</w:t>
      </w:r>
      <w:proofErr w:type="spellEnd"/>
      <w:r w:rsidRPr="00A02A04">
        <w:rPr>
          <w:rFonts w:ascii="Book Antiqua" w:hAnsi="Book Antiqua" w:cs="宋体"/>
          <w:color w:val="000000"/>
          <w:sz w:val="24"/>
          <w:szCs w:val="24"/>
        </w:rPr>
        <w:t> 1973; </w:t>
      </w:r>
      <w:r w:rsidRPr="00A02A04">
        <w:rPr>
          <w:rFonts w:ascii="Book Antiqua" w:hAnsi="Book Antiqua" w:cs="宋体"/>
          <w:b/>
          <w:bCs/>
          <w:color w:val="000000"/>
          <w:sz w:val="24"/>
          <w:szCs w:val="24"/>
        </w:rPr>
        <w:t>60</w:t>
      </w:r>
      <w:r w:rsidRPr="00A02A04">
        <w:rPr>
          <w:rFonts w:ascii="Book Antiqua" w:hAnsi="Book Antiqua" w:cs="宋体"/>
          <w:color w:val="000000"/>
          <w:sz w:val="24"/>
          <w:szCs w:val="24"/>
        </w:rPr>
        <w:t>: 646-649 [PMID: 4541913]</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10 </w:t>
      </w:r>
      <w:proofErr w:type="spellStart"/>
      <w:r w:rsidRPr="00A02A04">
        <w:rPr>
          <w:rFonts w:ascii="Book Antiqua" w:hAnsi="Book Antiqua" w:cs="宋体"/>
          <w:b/>
          <w:bCs/>
          <w:color w:val="000000"/>
          <w:sz w:val="24"/>
          <w:szCs w:val="24"/>
        </w:rPr>
        <w:t>Oken</w:t>
      </w:r>
      <w:proofErr w:type="spellEnd"/>
      <w:r w:rsidRPr="00A02A04">
        <w:rPr>
          <w:rFonts w:ascii="Book Antiqua" w:hAnsi="Book Antiqua" w:cs="宋体"/>
          <w:b/>
          <w:bCs/>
          <w:color w:val="000000"/>
          <w:sz w:val="24"/>
          <w:szCs w:val="24"/>
        </w:rPr>
        <w:t xml:space="preserve"> MM</w:t>
      </w:r>
      <w:r w:rsidRPr="00A02A04">
        <w:rPr>
          <w:rFonts w:ascii="Book Antiqua" w:hAnsi="Book Antiqua" w:cs="宋体"/>
          <w:color w:val="000000"/>
          <w:sz w:val="24"/>
          <w:szCs w:val="24"/>
        </w:rPr>
        <w:t xml:space="preserve">, Creech RH, </w:t>
      </w:r>
      <w:proofErr w:type="spellStart"/>
      <w:r w:rsidRPr="00A02A04">
        <w:rPr>
          <w:rFonts w:ascii="Book Antiqua" w:hAnsi="Book Antiqua" w:cs="宋体"/>
          <w:color w:val="000000"/>
          <w:sz w:val="24"/>
          <w:szCs w:val="24"/>
        </w:rPr>
        <w:t>Tormey</w:t>
      </w:r>
      <w:proofErr w:type="spellEnd"/>
      <w:r w:rsidRPr="00A02A04">
        <w:rPr>
          <w:rFonts w:ascii="Book Antiqua" w:hAnsi="Book Antiqua" w:cs="宋体"/>
          <w:color w:val="000000"/>
          <w:sz w:val="24"/>
          <w:szCs w:val="24"/>
        </w:rPr>
        <w:t xml:space="preserve"> DC, Horton J, Davis TE, McFadden ET, Carbone PP. Toxicity and response criteria of the Eastern Cooperative Oncology Group. </w:t>
      </w:r>
      <w:r w:rsidRPr="00A02A04">
        <w:rPr>
          <w:rFonts w:ascii="Book Antiqua" w:hAnsi="Book Antiqua" w:cs="宋体"/>
          <w:i/>
          <w:iCs/>
          <w:color w:val="000000"/>
          <w:sz w:val="24"/>
          <w:szCs w:val="24"/>
        </w:rPr>
        <w:t xml:space="preserve">Am J </w:t>
      </w:r>
      <w:proofErr w:type="spellStart"/>
      <w:r w:rsidRPr="00A02A04">
        <w:rPr>
          <w:rFonts w:ascii="Book Antiqua" w:hAnsi="Book Antiqua" w:cs="宋体"/>
          <w:i/>
          <w:iCs/>
          <w:color w:val="000000"/>
          <w:sz w:val="24"/>
          <w:szCs w:val="24"/>
        </w:rPr>
        <w:t>Clin</w:t>
      </w:r>
      <w:proofErr w:type="spellEnd"/>
      <w:r w:rsidRPr="00A02A04">
        <w:rPr>
          <w:rFonts w:ascii="Book Antiqua" w:hAnsi="Book Antiqua" w:cs="宋体"/>
          <w:i/>
          <w:iCs/>
          <w:color w:val="000000"/>
          <w:sz w:val="24"/>
          <w:szCs w:val="24"/>
        </w:rPr>
        <w:t xml:space="preserve"> </w:t>
      </w:r>
      <w:proofErr w:type="spellStart"/>
      <w:r w:rsidRPr="00A02A04">
        <w:rPr>
          <w:rFonts w:ascii="Book Antiqua" w:hAnsi="Book Antiqua" w:cs="宋体"/>
          <w:i/>
          <w:iCs/>
          <w:color w:val="000000"/>
          <w:sz w:val="24"/>
          <w:szCs w:val="24"/>
        </w:rPr>
        <w:t>Oncol</w:t>
      </w:r>
      <w:proofErr w:type="spellEnd"/>
      <w:r w:rsidRPr="00A02A04">
        <w:rPr>
          <w:rFonts w:ascii="Book Antiqua" w:hAnsi="Book Antiqua" w:cs="宋体"/>
          <w:color w:val="000000"/>
          <w:sz w:val="24"/>
          <w:szCs w:val="24"/>
        </w:rPr>
        <w:t> 1982; </w:t>
      </w:r>
      <w:r w:rsidRPr="00A02A04">
        <w:rPr>
          <w:rFonts w:ascii="Book Antiqua" w:hAnsi="Book Antiqua" w:cs="宋体"/>
          <w:b/>
          <w:bCs/>
          <w:color w:val="000000"/>
          <w:sz w:val="24"/>
          <w:szCs w:val="24"/>
        </w:rPr>
        <w:t>5</w:t>
      </w:r>
      <w:r w:rsidRPr="00A02A04">
        <w:rPr>
          <w:rFonts w:ascii="Book Antiqua" w:hAnsi="Book Antiqua" w:cs="宋体"/>
          <w:color w:val="000000"/>
          <w:sz w:val="24"/>
          <w:szCs w:val="24"/>
        </w:rPr>
        <w:t>: 649-655 [PMID: 7165009]</w:t>
      </w:r>
    </w:p>
    <w:p w:rsidR="003C29A3" w:rsidRPr="00A02A04" w:rsidRDefault="003C29A3" w:rsidP="00AA60B1">
      <w:pPr>
        <w:spacing w:line="360" w:lineRule="auto"/>
        <w:jc w:val="both"/>
        <w:rPr>
          <w:rFonts w:ascii="Book Antiqua" w:hAnsi="Book Antiqua" w:cs="宋体"/>
          <w:color w:val="000000"/>
          <w:sz w:val="24"/>
          <w:szCs w:val="24"/>
          <w:lang w:eastAsia="zh-CN"/>
        </w:rPr>
      </w:pPr>
      <w:r w:rsidRPr="00A02A04">
        <w:rPr>
          <w:rFonts w:ascii="Book Antiqua" w:hAnsi="Book Antiqua" w:cs="宋体"/>
          <w:color w:val="000000"/>
          <w:sz w:val="24"/>
          <w:szCs w:val="24"/>
        </w:rPr>
        <w:t>11 Cancer Therapy Evaluation Program. Common terminology criteria for adverse events, versi</w:t>
      </w:r>
      <w:r>
        <w:rPr>
          <w:rFonts w:ascii="Book Antiqua" w:hAnsi="Book Antiqua" w:cs="宋体"/>
          <w:color w:val="000000"/>
          <w:sz w:val="24"/>
          <w:szCs w:val="24"/>
        </w:rPr>
        <w:t>on 3.0. http: //ctep.cancer.gov</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12 </w:t>
      </w:r>
      <w:proofErr w:type="spellStart"/>
      <w:r w:rsidRPr="00A02A04">
        <w:rPr>
          <w:rFonts w:ascii="Book Antiqua" w:hAnsi="Book Antiqua" w:cs="宋体"/>
          <w:b/>
          <w:bCs/>
          <w:color w:val="000000"/>
          <w:sz w:val="24"/>
          <w:szCs w:val="24"/>
        </w:rPr>
        <w:t>Lencioni</w:t>
      </w:r>
      <w:proofErr w:type="spellEnd"/>
      <w:r w:rsidRPr="00A02A04">
        <w:rPr>
          <w:rFonts w:ascii="Book Antiqua" w:hAnsi="Book Antiqua" w:cs="宋体"/>
          <w:b/>
          <w:bCs/>
          <w:color w:val="000000"/>
          <w:sz w:val="24"/>
          <w:szCs w:val="24"/>
        </w:rPr>
        <w:t xml:space="preserve"> R</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Llovet</w:t>
      </w:r>
      <w:proofErr w:type="spellEnd"/>
      <w:r w:rsidRPr="00A02A04">
        <w:rPr>
          <w:rFonts w:ascii="Book Antiqua" w:hAnsi="Book Antiqua" w:cs="宋体"/>
          <w:color w:val="000000"/>
          <w:sz w:val="24"/>
          <w:szCs w:val="24"/>
        </w:rPr>
        <w:t xml:space="preserve"> JM. Modified RECIST (</w:t>
      </w:r>
      <w:proofErr w:type="spellStart"/>
      <w:r w:rsidRPr="00A02A04">
        <w:rPr>
          <w:rFonts w:ascii="Book Antiqua" w:hAnsi="Book Antiqua" w:cs="宋体"/>
          <w:color w:val="000000"/>
          <w:sz w:val="24"/>
          <w:szCs w:val="24"/>
        </w:rPr>
        <w:t>mRECIST</w:t>
      </w:r>
      <w:proofErr w:type="spellEnd"/>
      <w:r w:rsidRPr="00A02A04">
        <w:rPr>
          <w:rFonts w:ascii="Book Antiqua" w:hAnsi="Book Antiqua" w:cs="宋体"/>
          <w:color w:val="000000"/>
          <w:sz w:val="24"/>
          <w:szCs w:val="24"/>
        </w:rPr>
        <w:t>) assessment for hepatocellular carcinoma. </w:t>
      </w:r>
      <w:proofErr w:type="spellStart"/>
      <w:r w:rsidRPr="00A02A04">
        <w:rPr>
          <w:rFonts w:ascii="Book Antiqua" w:hAnsi="Book Antiqua" w:cs="宋体"/>
          <w:i/>
          <w:iCs/>
          <w:color w:val="000000"/>
          <w:sz w:val="24"/>
          <w:szCs w:val="24"/>
        </w:rPr>
        <w:t>Semin</w:t>
      </w:r>
      <w:proofErr w:type="spellEnd"/>
      <w:r w:rsidRPr="00A02A04">
        <w:rPr>
          <w:rFonts w:ascii="Book Antiqua" w:hAnsi="Book Antiqua" w:cs="宋体"/>
          <w:i/>
          <w:iCs/>
          <w:color w:val="000000"/>
          <w:sz w:val="24"/>
          <w:szCs w:val="24"/>
        </w:rPr>
        <w:t xml:space="preserve"> Liver Dis</w:t>
      </w:r>
      <w:r w:rsidRPr="00A02A04">
        <w:rPr>
          <w:rFonts w:ascii="Book Antiqua" w:hAnsi="Book Antiqua" w:cs="宋体"/>
          <w:color w:val="000000"/>
          <w:sz w:val="24"/>
          <w:szCs w:val="24"/>
        </w:rPr>
        <w:t> 2010; </w:t>
      </w:r>
      <w:r w:rsidRPr="00A02A04">
        <w:rPr>
          <w:rFonts w:ascii="Book Antiqua" w:hAnsi="Book Antiqua" w:cs="宋体"/>
          <w:b/>
          <w:bCs/>
          <w:color w:val="000000"/>
          <w:sz w:val="24"/>
          <w:szCs w:val="24"/>
        </w:rPr>
        <w:t>30</w:t>
      </w:r>
      <w:r w:rsidRPr="00A02A04">
        <w:rPr>
          <w:rFonts w:ascii="Book Antiqua" w:hAnsi="Book Antiqua" w:cs="宋体"/>
          <w:color w:val="000000"/>
          <w:sz w:val="24"/>
          <w:szCs w:val="24"/>
        </w:rPr>
        <w:t>: 52-60 [PMID: 20175033 DOI: 10.1055/s-0030-1247132]</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13 </w:t>
      </w:r>
      <w:proofErr w:type="spellStart"/>
      <w:r w:rsidRPr="00A02A04">
        <w:rPr>
          <w:rFonts w:ascii="Book Antiqua" w:hAnsi="Book Antiqua" w:cs="宋体"/>
          <w:b/>
          <w:bCs/>
          <w:color w:val="000000"/>
          <w:sz w:val="24"/>
          <w:szCs w:val="24"/>
        </w:rPr>
        <w:t>Iavarone</w:t>
      </w:r>
      <w:proofErr w:type="spellEnd"/>
      <w:r w:rsidRPr="00A02A04">
        <w:rPr>
          <w:rFonts w:ascii="Book Antiqua" w:hAnsi="Book Antiqua" w:cs="宋体"/>
          <w:b/>
          <w:bCs/>
          <w:color w:val="000000"/>
          <w:sz w:val="24"/>
          <w:szCs w:val="24"/>
        </w:rPr>
        <w:t xml:space="preserve"> M</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Cabibbo</w:t>
      </w:r>
      <w:proofErr w:type="spellEnd"/>
      <w:r w:rsidRPr="00A02A04">
        <w:rPr>
          <w:rFonts w:ascii="Book Antiqua" w:hAnsi="Book Antiqua" w:cs="宋体"/>
          <w:color w:val="000000"/>
          <w:sz w:val="24"/>
          <w:szCs w:val="24"/>
        </w:rPr>
        <w:t xml:space="preserve"> G, </w:t>
      </w:r>
      <w:proofErr w:type="spellStart"/>
      <w:r w:rsidRPr="00A02A04">
        <w:rPr>
          <w:rFonts w:ascii="Book Antiqua" w:hAnsi="Book Antiqua" w:cs="宋体"/>
          <w:color w:val="000000"/>
          <w:sz w:val="24"/>
          <w:szCs w:val="24"/>
        </w:rPr>
        <w:t>Piscaglia</w:t>
      </w:r>
      <w:proofErr w:type="spellEnd"/>
      <w:r w:rsidRPr="00A02A04">
        <w:rPr>
          <w:rFonts w:ascii="Book Antiqua" w:hAnsi="Book Antiqua" w:cs="宋体"/>
          <w:color w:val="000000"/>
          <w:sz w:val="24"/>
          <w:szCs w:val="24"/>
        </w:rPr>
        <w:t xml:space="preserve"> F, </w:t>
      </w:r>
      <w:proofErr w:type="spellStart"/>
      <w:r w:rsidRPr="00A02A04">
        <w:rPr>
          <w:rFonts w:ascii="Book Antiqua" w:hAnsi="Book Antiqua" w:cs="宋体"/>
          <w:color w:val="000000"/>
          <w:sz w:val="24"/>
          <w:szCs w:val="24"/>
        </w:rPr>
        <w:t>Zavaglia</w:t>
      </w:r>
      <w:proofErr w:type="spellEnd"/>
      <w:r w:rsidRPr="00A02A04">
        <w:rPr>
          <w:rFonts w:ascii="Book Antiqua" w:hAnsi="Book Antiqua" w:cs="宋体"/>
          <w:color w:val="000000"/>
          <w:sz w:val="24"/>
          <w:szCs w:val="24"/>
        </w:rPr>
        <w:t xml:space="preserve"> C, </w:t>
      </w:r>
      <w:proofErr w:type="spellStart"/>
      <w:r w:rsidRPr="00A02A04">
        <w:rPr>
          <w:rFonts w:ascii="Book Antiqua" w:hAnsi="Book Antiqua" w:cs="宋体"/>
          <w:color w:val="000000"/>
          <w:sz w:val="24"/>
          <w:szCs w:val="24"/>
        </w:rPr>
        <w:t>Grieco</w:t>
      </w:r>
      <w:proofErr w:type="spellEnd"/>
      <w:r w:rsidRPr="00A02A04">
        <w:rPr>
          <w:rFonts w:ascii="Book Antiqua" w:hAnsi="Book Antiqua" w:cs="宋体"/>
          <w:color w:val="000000"/>
          <w:sz w:val="24"/>
          <w:szCs w:val="24"/>
        </w:rPr>
        <w:t xml:space="preserve"> A, Villa E, </w:t>
      </w:r>
      <w:proofErr w:type="spellStart"/>
      <w:r w:rsidRPr="00A02A04">
        <w:rPr>
          <w:rFonts w:ascii="Book Antiqua" w:hAnsi="Book Antiqua" w:cs="宋体"/>
          <w:color w:val="000000"/>
          <w:sz w:val="24"/>
          <w:szCs w:val="24"/>
        </w:rPr>
        <w:t>Cammà</w:t>
      </w:r>
      <w:proofErr w:type="spellEnd"/>
      <w:r w:rsidRPr="00A02A04">
        <w:rPr>
          <w:rFonts w:ascii="Book Antiqua" w:hAnsi="Book Antiqua" w:cs="宋体"/>
          <w:color w:val="000000"/>
          <w:sz w:val="24"/>
          <w:szCs w:val="24"/>
        </w:rPr>
        <w:t xml:space="preserve"> C, Colombo M. Field-practice study of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xml:space="preserve"> therapy for hepatocellular carcinoma: a prospective </w:t>
      </w:r>
      <w:proofErr w:type="spellStart"/>
      <w:r w:rsidRPr="00A02A04">
        <w:rPr>
          <w:rFonts w:ascii="Book Antiqua" w:hAnsi="Book Antiqua" w:cs="宋体"/>
          <w:color w:val="000000"/>
          <w:sz w:val="24"/>
          <w:szCs w:val="24"/>
        </w:rPr>
        <w:t>multicenter</w:t>
      </w:r>
      <w:proofErr w:type="spellEnd"/>
      <w:r w:rsidRPr="00A02A04">
        <w:rPr>
          <w:rFonts w:ascii="Book Antiqua" w:hAnsi="Book Antiqua" w:cs="宋体"/>
          <w:color w:val="000000"/>
          <w:sz w:val="24"/>
          <w:szCs w:val="24"/>
        </w:rPr>
        <w:t xml:space="preserve"> study in Italy. </w:t>
      </w:r>
      <w:proofErr w:type="spellStart"/>
      <w:r w:rsidRPr="00A02A04">
        <w:rPr>
          <w:rFonts w:ascii="Book Antiqua" w:hAnsi="Book Antiqua" w:cs="宋体"/>
          <w:i/>
          <w:iCs/>
          <w:color w:val="000000"/>
          <w:sz w:val="24"/>
          <w:szCs w:val="24"/>
        </w:rPr>
        <w:t>Hepatology</w:t>
      </w:r>
      <w:proofErr w:type="spellEnd"/>
      <w:r w:rsidRPr="00A02A04">
        <w:rPr>
          <w:rFonts w:ascii="Book Antiqua" w:hAnsi="Book Antiqua" w:cs="宋体"/>
          <w:color w:val="000000"/>
          <w:sz w:val="24"/>
          <w:szCs w:val="24"/>
        </w:rPr>
        <w:t> 2011; </w:t>
      </w:r>
      <w:r w:rsidRPr="00A02A04">
        <w:rPr>
          <w:rFonts w:ascii="Book Antiqua" w:hAnsi="Book Antiqua" w:cs="宋体"/>
          <w:b/>
          <w:bCs/>
          <w:color w:val="000000"/>
          <w:sz w:val="24"/>
          <w:szCs w:val="24"/>
        </w:rPr>
        <w:t>54</w:t>
      </w:r>
      <w:r w:rsidRPr="00A02A04">
        <w:rPr>
          <w:rFonts w:ascii="Book Antiqua" w:hAnsi="Book Antiqua" w:cs="宋体"/>
          <w:color w:val="000000"/>
          <w:sz w:val="24"/>
          <w:szCs w:val="24"/>
        </w:rPr>
        <w:t>: 2055-2063 [PMID: 21898496 DOI: 10.1002/hep.24644]</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14</w:t>
      </w:r>
      <w:r w:rsidRPr="00A02A04">
        <w:rPr>
          <w:rFonts w:ascii="Book Antiqua" w:eastAsia="Times New Roman" w:hAnsi="Book Antiqua"/>
          <w:b/>
          <w:noProof/>
          <w:color w:val="000000"/>
          <w:sz w:val="24"/>
          <w:szCs w:val="24"/>
        </w:rPr>
        <w:t xml:space="preserve"> </w:t>
      </w:r>
      <w:r w:rsidRPr="00A02A04">
        <w:rPr>
          <w:rFonts w:ascii="Book Antiqua" w:eastAsia="Times New Roman" w:hAnsi="Book Antiqua"/>
          <w:b/>
          <w:noProof/>
          <w:color w:val="000000"/>
          <w:sz w:val="24"/>
          <w:szCs w:val="24"/>
          <w:lang w:val="en-US"/>
        </w:rPr>
        <w:t>Brunocilla PR</w:t>
      </w:r>
      <w:r w:rsidRPr="00A02A04">
        <w:rPr>
          <w:rFonts w:ascii="Book Antiqua" w:eastAsia="Times New Roman" w:hAnsi="Book Antiqua"/>
          <w:noProof/>
          <w:color w:val="000000"/>
          <w:sz w:val="24"/>
          <w:szCs w:val="24"/>
          <w:lang w:val="en-US"/>
        </w:rPr>
        <w:t xml:space="preserve">, Brunello F, Carucci P, Gaia S, Rolle E, Cantamessa A, Castiglione A, Ciccone G, Rizzetto M. Sorafenib in hepatocellular carcinoma: prospective study on adverse events, quality of life, and related feasibility under daily conditions. </w:t>
      </w:r>
      <w:r w:rsidRPr="00A02A04">
        <w:rPr>
          <w:rFonts w:ascii="Book Antiqua" w:eastAsia="Times New Roman" w:hAnsi="Book Antiqua"/>
          <w:i/>
          <w:noProof/>
          <w:color w:val="000000"/>
          <w:sz w:val="24"/>
          <w:szCs w:val="24"/>
          <w:lang w:val="en-US"/>
        </w:rPr>
        <w:t>Med Oncol</w:t>
      </w:r>
      <w:r w:rsidRPr="00A02A04">
        <w:rPr>
          <w:rFonts w:ascii="Book Antiqua" w:eastAsia="Times New Roman" w:hAnsi="Book Antiqua"/>
          <w:noProof/>
          <w:color w:val="000000"/>
          <w:sz w:val="24"/>
          <w:szCs w:val="24"/>
          <w:lang w:val="en-US"/>
        </w:rPr>
        <w:t xml:space="preserve"> 2013;</w:t>
      </w:r>
      <w:r w:rsidRPr="00A02A04">
        <w:rPr>
          <w:rFonts w:ascii="Book Antiqua" w:eastAsia="Times New Roman" w:hAnsi="Book Antiqua"/>
          <w:b/>
          <w:noProof/>
          <w:color w:val="000000"/>
          <w:sz w:val="24"/>
          <w:szCs w:val="24"/>
          <w:lang w:val="en-US"/>
        </w:rPr>
        <w:t>30</w:t>
      </w:r>
      <w:r w:rsidRPr="00A02A04">
        <w:rPr>
          <w:rFonts w:ascii="Book Antiqua" w:eastAsia="Times New Roman" w:hAnsi="Book Antiqua"/>
          <w:noProof/>
          <w:color w:val="000000"/>
          <w:sz w:val="24"/>
          <w:szCs w:val="24"/>
          <w:lang w:val="en-US"/>
        </w:rPr>
        <w:t>:345.</w:t>
      </w:r>
      <w:r w:rsidRPr="00A02A04">
        <w:rPr>
          <w:rFonts w:ascii="Book Antiqua" w:eastAsia="Times New Roman" w:hAnsi="Book Antiqua"/>
          <w:noProof/>
          <w:color w:val="000000"/>
          <w:sz w:val="24"/>
          <w:szCs w:val="24"/>
        </w:rPr>
        <w:t xml:space="preserve"> </w:t>
      </w:r>
      <w:r w:rsidRPr="00A02A04">
        <w:rPr>
          <w:rFonts w:ascii="Book Antiqua" w:eastAsia="Times New Roman" w:hAnsi="Book Antiqua"/>
          <w:noProof/>
          <w:color w:val="000000"/>
          <w:sz w:val="24"/>
          <w:szCs w:val="24"/>
          <w:lang w:val="en-US"/>
        </w:rPr>
        <w:t>DOI: 10.1007/s12032-012-0345-2</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15 </w:t>
      </w:r>
      <w:proofErr w:type="spellStart"/>
      <w:r w:rsidRPr="00A02A04">
        <w:rPr>
          <w:rFonts w:ascii="Book Antiqua" w:hAnsi="Book Antiqua" w:cs="宋体"/>
          <w:b/>
          <w:bCs/>
          <w:color w:val="000000"/>
          <w:sz w:val="24"/>
          <w:szCs w:val="24"/>
        </w:rPr>
        <w:t>Hollebecque</w:t>
      </w:r>
      <w:proofErr w:type="spellEnd"/>
      <w:r w:rsidRPr="00A02A04">
        <w:rPr>
          <w:rFonts w:ascii="Book Antiqua" w:hAnsi="Book Antiqua" w:cs="宋体"/>
          <w:b/>
          <w:bCs/>
          <w:color w:val="000000"/>
          <w:sz w:val="24"/>
          <w:szCs w:val="24"/>
        </w:rPr>
        <w:t xml:space="preserve"> A</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Cattan</w:t>
      </w:r>
      <w:proofErr w:type="spellEnd"/>
      <w:r w:rsidRPr="00A02A04">
        <w:rPr>
          <w:rFonts w:ascii="Book Antiqua" w:hAnsi="Book Antiqua" w:cs="宋体"/>
          <w:color w:val="000000"/>
          <w:sz w:val="24"/>
          <w:szCs w:val="24"/>
        </w:rPr>
        <w:t xml:space="preserve"> S, Romano O, </w:t>
      </w:r>
      <w:proofErr w:type="spellStart"/>
      <w:r w:rsidRPr="00A02A04">
        <w:rPr>
          <w:rFonts w:ascii="Book Antiqua" w:hAnsi="Book Antiqua" w:cs="宋体"/>
          <w:color w:val="000000"/>
          <w:sz w:val="24"/>
          <w:szCs w:val="24"/>
        </w:rPr>
        <w:t>Sergent</w:t>
      </w:r>
      <w:proofErr w:type="spellEnd"/>
      <w:r w:rsidRPr="00A02A04">
        <w:rPr>
          <w:rFonts w:ascii="Book Antiqua" w:hAnsi="Book Antiqua" w:cs="宋体"/>
          <w:color w:val="000000"/>
          <w:sz w:val="24"/>
          <w:szCs w:val="24"/>
        </w:rPr>
        <w:t xml:space="preserve"> G, </w:t>
      </w:r>
      <w:proofErr w:type="spellStart"/>
      <w:r w:rsidRPr="00A02A04">
        <w:rPr>
          <w:rFonts w:ascii="Book Antiqua" w:hAnsi="Book Antiqua" w:cs="宋体"/>
          <w:color w:val="000000"/>
          <w:sz w:val="24"/>
          <w:szCs w:val="24"/>
        </w:rPr>
        <w:t>Mourad</w:t>
      </w:r>
      <w:proofErr w:type="spellEnd"/>
      <w:r w:rsidRPr="00A02A04">
        <w:rPr>
          <w:rFonts w:ascii="Book Antiqua" w:hAnsi="Book Antiqua" w:cs="宋体"/>
          <w:color w:val="000000"/>
          <w:sz w:val="24"/>
          <w:szCs w:val="24"/>
        </w:rPr>
        <w:t xml:space="preserve"> A, </w:t>
      </w:r>
      <w:proofErr w:type="spellStart"/>
      <w:r w:rsidRPr="00A02A04">
        <w:rPr>
          <w:rFonts w:ascii="Book Antiqua" w:hAnsi="Book Antiqua" w:cs="宋体"/>
          <w:color w:val="000000"/>
          <w:sz w:val="24"/>
          <w:szCs w:val="24"/>
        </w:rPr>
        <w:t>Louvet</w:t>
      </w:r>
      <w:proofErr w:type="spellEnd"/>
      <w:r w:rsidRPr="00A02A04">
        <w:rPr>
          <w:rFonts w:ascii="Book Antiqua" w:hAnsi="Book Antiqua" w:cs="宋体"/>
          <w:color w:val="000000"/>
          <w:sz w:val="24"/>
          <w:szCs w:val="24"/>
        </w:rPr>
        <w:t xml:space="preserve"> A, </w:t>
      </w:r>
      <w:proofErr w:type="spellStart"/>
      <w:r w:rsidRPr="00A02A04">
        <w:rPr>
          <w:rFonts w:ascii="Book Antiqua" w:hAnsi="Book Antiqua" w:cs="宋体"/>
          <w:color w:val="000000"/>
          <w:sz w:val="24"/>
          <w:szCs w:val="24"/>
        </w:rPr>
        <w:t>Dharancy</w:t>
      </w:r>
      <w:proofErr w:type="spellEnd"/>
      <w:r w:rsidRPr="00A02A04">
        <w:rPr>
          <w:rFonts w:ascii="Book Antiqua" w:hAnsi="Book Antiqua" w:cs="宋体"/>
          <w:color w:val="000000"/>
          <w:sz w:val="24"/>
          <w:szCs w:val="24"/>
        </w:rPr>
        <w:t xml:space="preserve"> S, </w:t>
      </w:r>
      <w:proofErr w:type="spellStart"/>
      <w:r w:rsidRPr="00A02A04">
        <w:rPr>
          <w:rFonts w:ascii="Book Antiqua" w:hAnsi="Book Antiqua" w:cs="宋体"/>
          <w:color w:val="000000"/>
          <w:sz w:val="24"/>
          <w:szCs w:val="24"/>
        </w:rPr>
        <w:t>Boleslawski</w:t>
      </w:r>
      <w:proofErr w:type="spellEnd"/>
      <w:r w:rsidRPr="00A02A04">
        <w:rPr>
          <w:rFonts w:ascii="Book Antiqua" w:hAnsi="Book Antiqua" w:cs="宋体"/>
          <w:color w:val="000000"/>
          <w:sz w:val="24"/>
          <w:szCs w:val="24"/>
        </w:rPr>
        <w:t xml:space="preserve"> E, Truant S, </w:t>
      </w:r>
      <w:proofErr w:type="spellStart"/>
      <w:r w:rsidRPr="00A02A04">
        <w:rPr>
          <w:rFonts w:ascii="Book Antiqua" w:hAnsi="Book Antiqua" w:cs="宋体"/>
          <w:color w:val="000000"/>
          <w:sz w:val="24"/>
          <w:szCs w:val="24"/>
        </w:rPr>
        <w:t>Pruvot</w:t>
      </w:r>
      <w:proofErr w:type="spellEnd"/>
      <w:r w:rsidRPr="00A02A04">
        <w:rPr>
          <w:rFonts w:ascii="Book Antiqua" w:hAnsi="Book Antiqua" w:cs="宋体"/>
          <w:color w:val="000000"/>
          <w:sz w:val="24"/>
          <w:szCs w:val="24"/>
        </w:rPr>
        <w:t xml:space="preserve"> FR, </w:t>
      </w:r>
      <w:proofErr w:type="spellStart"/>
      <w:r w:rsidRPr="00A02A04">
        <w:rPr>
          <w:rFonts w:ascii="Book Antiqua" w:hAnsi="Book Antiqua" w:cs="宋体"/>
          <w:color w:val="000000"/>
          <w:sz w:val="24"/>
          <w:szCs w:val="24"/>
        </w:rPr>
        <w:t>Hebbar</w:t>
      </w:r>
      <w:proofErr w:type="spellEnd"/>
      <w:r w:rsidRPr="00A02A04">
        <w:rPr>
          <w:rFonts w:ascii="Book Antiqua" w:hAnsi="Book Antiqua" w:cs="宋体"/>
          <w:color w:val="000000"/>
          <w:sz w:val="24"/>
          <w:szCs w:val="24"/>
        </w:rPr>
        <w:t xml:space="preserve"> M, Ernst O, </w:t>
      </w:r>
      <w:proofErr w:type="spellStart"/>
      <w:r w:rsidRPr="00A02A04">
        <w:rPr>
          <w:rFonts w:ascii="Book Antiqua" w:hAnsi="Book Antiqua" w:cs="宋体"/>
          <w:color w:val="000000"/>
          <w:sz w:val="24"/>
          <w:szCs w:val="24"/>
        </w:rPr>
        <w:t>Mathurin</w:t>
      </w:r>
      <w:proofErr w:type="spellEnd"/>
      <w:r w:rsidRPr="00A02A04">
        <w:rPr>
          <w:rFonts w:ascii="Book Antiqua" w:hAnsi="Book Antiqua" w:cs="宋体"/>
          <w:color w:val="000000"/>
          <w:sz w:val="24"/>
          <w:szCs w:val="24"/>
        </w:rPr>
        <w:t xml:space="preserve"> P. Safety and efficacy of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xml:space="preserve"> in hepatocellular carcinoma: the impact of the Child-Pugh score. </w:t>
      </w:r>
      <w:r w:rsidRPr="00A02A04">
        <w:rPr>
          <w:rFonts w:ascii="Book Antiqua" w:hAnsi="Book Antiqua" w:cs="宋体"/>
          <w:i/>
          <w:iCs/>
          <w:color w:val="000000"/>
          <w:sz w:val="24"/>
          <w:szCs w:val="24"/>
        </w:rPr>
        <w:t xml:space="preserve">Aliment </w:t>
      </w:r>
      <w:proofErr w:type="spellStart"/>
      <w:r w:rsidRPr="00A02A04">
        <w:rPr>
          <w:rFonts w:ascii="Book Antiqua" w:hAnsi="Book Antiqua" w:cs="宋体"/>
          <w:i/>
          <w:iCs/>
          <w:color w:val="000000"/>
          <w:sz w:val="24"/>
          <w:szCs w:val="24"/>
        </w:rPr>
        <w:t>Pharmacol</w:t>
      </w:r>
      <w:proofErr w:type="spellEnd"/>
      <w:r w:rsidRPr="00A02A04">
        <w:rPr>
          <w:rFonts w:ascii="Book Antiqua" w:hAnsi="Book Antiqua" w:cs="宋体"/>
          <w:i/>
          <w:iCs/>
          <w:color w:val="000000"/>
          <w:sz w:val="24"/>
          <w:szCs w:val="24"/>
        </w:rPr>
        <w:t xml:space="preserve"> </w:t>
      </w:r>
      <w:proofErr w:type="spellStart"/>
      <w:r w:rsidRPr="00A02A04">
        <w:rPr>
          <w:rFonts w:ascii="Book Antiqua" w:hAnsi="Book Antiqua" w:cs="宋体"/>
          <w:i/>
          <w:iCs/>
          <w:color w:val="000000"/>
          <w:sz w:val="24"/>
          <w:szCs w:val="24"/>
        </w:rPr>
        <w:t>Ther</w:t>
      </w:r>
      <w:proofErr w:type="spellEnd"/>
      <w:r w:rsidRPr="00A02A04">
        <w:rPr>
          <w:rFonts w:ascii="Book Antiqua" w:hAnsi="Book Antiqua" w:cs="宋体"/>
          <w:color w:val="000000"/>
          <w:sz w:val="24"/>
          <w:szCs w:val="24"/>
        </w:rPr>
        <w:t> 2011; </w:t>
      </w:r>
      <w:r w:rsidRPr="00A02A04">
        <w:rPr>
          <w:rFonts w:ascii="Book Antiqua" w:hAnsi="Book Antiqua" w:cs="宋体"/>
          <w:b/>
          <w:bCs/>
          <w:color w:val="000000"/>
          <w:sz w:val="24"/>
          <w:szCs w:val="24"/>
        </w:rPr>
        <w:t>34</w:t>
      </w:r>
      <w:r w:rsidRPr="00A02A04">
        <w:rPr>
          <w:rFonts w:ascii="Book Antiqua" w:hAnsi="Book Antiqua" w:cs="宋体"/>
          <w:color w:val="000000"/>
          <w:sz w:val="24"/>
          <w:szCs w:val="24"/>
        </w:rPr>
        <w:t>: 1193-1201 [PMID: 21958438 DOI: 10.1111/j.1365-2036.2011.04860.x]</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16 </w:t>
      </w:r>
      <w:proofErr w:type="spellStart"/>
      <w:r w:rsidRPr="00A02A04">
        <w:rPr>
          <w:rFonts w:ascii="Book Antiqua" w:hAnsi="Book Antiqua" w:cs="宋体"/>
          <w:b/>
          <w:bCs/>
          <w:color w:val="000000"/>
          <w:sz w:val="24"/>
          <w:szCs w:val="24"/>
        </w:rPr>
        <w:t>Zugazagoitia</w:t>
      </w:r>
      <w:proofErr w:type="spellEnd"/>
      <w:r w:rsidRPr="00A02A04">
        <w:rPr>
          <w:rFonts w:ascii="Book Antiqua" w:hAnsi="Book Antiqua" w:cs="宋体"/>
          <w:b/>
          <w:bCs/>
          <w:color w:val="000000"/>
          <w:sz w:val="24"/>
          <w:szCs w:val="24"/>
        </w:rPr>
        <w:t xml:space="preserve"> J</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Manzano</w:t>
      </w:r>
      <w:proofErr w:type="spellEnd"/>
      <w:r w:rsidRPr="00A02A04">
        <w:rPr>
          <w:rFonts w:ascii="Book Antiqua" w:hAnsi="Book Antiqua" w:cs="宋体"/>
          <w:color w:val="000000"/>
          <w:sz w:val="24"/>
          <w:szCs w:val="24"/>
        </w:rPr>
        <w:t xml:space="preserve"> A, </w:t>
      </w:r>
      <w:proofErr w:type="spellStart"/>
      <w:r w:rsidRPr="00A02A04">
        <w:rPr>
          <w:rFonts w:ascii="Book Antiqua" w:hAnsi="Book Antiqua" w:cs="宋体"/>
          <w:color w:val="000000"/>
          <w:sz w:val="24"/>
          <w:szCs w:val="24"/>
        </w:rPr>
        <w:t>Sastre</w:t>
      </w:r>
      <w:proofErr w:type="spellEnd"/>
      <w:r w:rsidRPr="00A02A04">
        <w:rPr>
          <w:rFonts w:ascii="Book Antiqua" w:hAnsi="Book Antiqua" w:cs="宋体"/>
          <w:color w:val="000000"/>
          <w:sz w:val="24"/>
          <w:szCs w:val="24"/>
        </w:rPr>
        <w:t xml:space="preserve"> J, </w:t>
      </w:r>
      <w:proofErr w:type="spellStart"/>
      <w:r w:rsidRPr="00A02A04">
        <w:rPr>
          <w:rFonts w:ascii="Book Antiqua" w:hAnsi="Book Antiqua" w:cs="宋体"/>
          <w:color w:val="000000"/>
          <w:sz w:val="24"/>
          <w:szCs w:val="24"/>
        </w:rPr>
        <w:t>Ladero</w:t>
      </w:r>
      <w:proofErr w:type="spellEnd"/>
      <w:r w:rsidRPr="00A02A04">
        <w:rPr>
          <w:rFonts w:ascii="Book Antiqua" w:hAnsi="Book Antiqua" w:cs="宋体"/>
          <w:color w:val="000000"/>
          <w:sz w:val="24"/>
          <w:szCs w:val="24"/>
        </w:rPr>
        <w:t xml:space="preserve"> JM, Puente J, </w:t>
      </w:r>
      <w:proofErr w:type="spellStart"/>
      <w:r w:rsidRPr="00A02A04">
        <w:rPr>
          <w:rFonts w:ascii="Book Antiqua" w:hAnsi="Book Antiqua" w:cs="宋体"/>
          <w:color w:val="000000"/>
          <w:sz w:val="24"/>
          <w:szCs w:val="24"/>
        </w:rPr>
        <w:t>Díaz</w:t>
      </w:r>
      <w:proofErr w:type="spellEnd"/>
      <w:r w:rsidRPr="00A02A04">
        <w:rPr>
          <w:rFonts w:ascii="Book Antiqua" w:hAnsi="Book Antiqua" w:cs="宋体"/>
          <w:color w:val="000000"/>
          <w:sz w:val="24"/>
          <w:szCs w:val="24"/>
        </w:rPr>
        <w:t xml:space="preserve">-Rubio E.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xml:space="preserve"> for non-selected patient population with advanced hepatocellular carcinoma: efficacy and safety data according to liver function. </w:t>
      </w:r>
      <w:proofErr w:type="spellStart"/>
      <w:r w:rsidRPr="00A02A04">
        <w:rPr>
          <w:rFonts w:ascii="Book Antiqua" w:hAnsi="Book Antiqua" w:cs="宋体"/>
          <w:i/>
          <w:iCs/>
          <w:color w:val="000000"/>
          <w:sz w:val="24"/>
          <w:szCs w:val="24"/>
        </w:rPr>
        <w:t>Clin</w:t>
      </w:r>
      <w:proofErr w:type="spellEnd"/>
      <w:r w:rsidRPr="00A02A04">
        <w:rPr>
          <w:rFonts w:ascii="Book Antiqua" w:hAnsi="Book Antiqua" w:cs="宋体"/>
          <w:i/>
          <w:iCs/>
          <w:color w:val="000000"/>
          <w:sz w:val="24"/>
          <w:szCs w:val="24"/>
        </w:rPr>
        <w:t xml:space="preserve"> </w:t>
      </w:r>
      <w:proofErr w:type="spellStart"/>
      <w:r w:rsidRPr="00A02A04">
        <w:rPr>
          <w:rFonts w:ascii="Book Antiqua" w:hAnsi="Book Antiqua" w:cs="宋体"/>
          <w:i/>
          <w:iCs/>
          <w:color w:val="000000"/>
          <w:sz w:val="24"/>
          <w:szCs w:val="24"/>
        </w:rPr>
        <w:t>Transl</w:t>
      </w:r>
      <w:proofErr w:type="spellEnd"/>
      <w:r w:rsidRPr="00A02A04">
        <w:rPr>
          <w:rFonts w:ascii="Book Antiqua" w:hAnsi="Book Antiqua" w:cs="宋体"/>
          <w:i/>
          <w:iCs/>
          <w:color w:val="000000"/>
          <w:sz w:val="24"/>
          <w:szCs w:val="24"/>
        </w:rPr>
        <w:t xml:space="preserve"> </w:t>
      </w:r>
      <w:proofErr w:type="spellStart"/>
      <w:r w:rsidRPr="00A02A04">
        <w:rPr>
          <w:rFonts w:ascii="Book Antiqua" w:hAnsi="Book Antiqua" w:cs="宋体"/>
          <w:i/>
          <w:iCs/>
          <w:color w:val="000000"/>
          <w:sz w:val="24"/>
          <w:szCs w:val="24"/>
        </w:rPr>
        <w:t>Oncol</w:t>
      </w:r>
      <w:proofErr w:type="spellEnd"/>
      <w:r w:rsidRPr="00A02A04">
        <w:rPr>
          <w:rFonts w:ascii="Book Antiqua" w:hAnsi="Book Antiqua" w:cs="宋体"/>
          <w:color w:val="000000"/>
          <w:sz w:val="24"/>
          <w:szCs w:val="24"/>
        </w:rPr>
        <w:t> 2013; </w:t>
      </w:r>
      <w:r w:rsidRPr="00A02A04">
        <w:rPr>
          <w:rFonts w:ascii="Book Antiqua" w:hAnsi="Book Antiqua" w:cs="宋体"/>
          <w:b/>
          <w:bCs/>
          <w:color w:val="000000"/>
          <w:sz w:val="24"/>
          <w:szCs w:val="24"/>
        </w:rPr>
        <w:t>15</w:t>
      </w:r>
      <w:r w:rsidRPr="00A02A04">
        <w:rPr>
          <w:rFonts w:ascii="Book Antiqua" w:hAnsi="Book Antiqua" w:cs="宋体"/>
          <w:color w:val="000000"/>
          <w:sz w:val="24"/>
          <w:szCs w:val="24"/>
        </w:rPr>
        <w:t>: 146-153 [PMID: 22875650 DOI: 10.1007/s12094-012-0902-3]</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17 </w:t>
      </w:r>
      <w:proofErr w:type="spellStart"/>
      <w:r w:rsidRPr="00A02A04">
        <w:rPr>
          <w:rFonts w:ascii="Book Antiqua" w:hAnsi="Book Antiqua" w:cs="宋体"/>
          <w:b/>
          <w:bCs/>
          <w:color w:val="000000"/>
          <w:sz w:val="24"/>
          <w:szCs w:val="24"/>
        </w:rPr>
        <w:t>Pressiani</w:t>
      </w:r>
      <w:proofErr w:type="spellEnd"/>
      <w:r w:rsidRPr="00A02A04">
        <w:rPr>
          <w:rFonts w:ascii="Book Antiqua" w:hAnsi="Book Antiqua" w:cs="宋体"/>
          <w:b/>
          <w:bCs/>
          <w:color w:val="000000"/>
          <w:sz w:val="24"/>
          <w:szCs w:val="24"/>
        </w:rPr>
        <w:t xml:space="preserve"> T</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Boni</w:t>
      </w:r>
      <w:proofErr w:type="spellEnd"/>
      <w:r w:rsidRPr="00A02A04">
        <w:rPr>
          <w:rFonts w:ascii="Book Antiqua" w:hAnsi="Book Antiqua" w:cs="宋体"/>
          <w:color w:val="000000"/>
          <w:sz w:val="24"/>
          <w:szCs w:val="24"/>
        </w:rPr>
        <w:t xml:space="preserve"> C, </w:t>
      </w:r>
      <w:proofErr w:type="spellStart"/>
      <w:r w:rsidRPr="00A02A04">
        <w:rPr>
          <w:rFonts w:ascii="Book Antiqua" w:hAnsi="Book Antiqua" w:cs="宋体"/>
          <w:color w:val="000000"/>
          <w:sz w:val="24"/>
          <w:szCs w:val="24"/>
        </w:rPr>
        <w:t>Rimassa</w:t>
      </w:r>
      <w:proofErr w:type="spellEnd"/>
      <w:r w:rsidRPr="00A02A04">
        <w:rPr>
          <w:rFonts w:ascii="Book Antiqua" w:hAnsi="Book Antiqua" w:cs="宋体"/>
          <w:color w:val="000000"/>
          <w:sz w:val="24"/>
          <w:szCs w:val="24"/>
        </w:rPr>
        <w:t xml:space="preserve"> L, </w:t>
      </w:r>
      <w:proofErr w:type="spellStart"/>
      <w:r w:rsidRPr="00A02A04">
        <w:rPr>
          <w:rFonts w:ascii="Book Antiqua" w:hAnsi="Book Antiqua" w:cs="宋体"/>
          <w:color w:val="000000"/>
          <w:sz w:val="24"/>
          <w:szCs w:val="24"/>
        </w:rPr>
        <w:t>Labianca</w:t>
      </w:r>
      <w:proofErr w:type="spellEnd"/>
      <w:r w:rsidRPr="00A02A04">
        <w:rPr>
          <w:rFonts w:ascii="Book Antiqua" w:hAnsi="Book Antiqua" w:cs="宋体"/>
          <w:color w:val="000000"/>
          <w:sz w:val="24"/>
          <w:szCs w:val="24"/>
        </w:rPr>
        <w:t xml:space="preserve"> R, </w:t>
      </w:r>
      <w:proofErr w:type="spellStart"/>
      <w:r w:rsidRPr="00A02A04">
        <w:rPr>
          <w:rFonts w:ascii="Book Antiqua" w:hAnsi="Book Antiqua" w:cs="宋体"/>
          <w:color w:val="000000"/>
          <w:sz w:val="24"/>
          <w:szCs w:val="24"/>
        </w:rPr>
        <w:t>Fagiuoli</w:t>
      </w:r>
      <w:proofErr w:type="spellEnd"/>
      <w:r w:rsidRPr="00A02A04">
        <w:rPr>
          <w:rFonts w:ascii="Book Antiqua" w:hAnsi="Book Antiqua" w:cs="宋体"/>
          <w:color w:val="000000"/>
          <w:sz w:val="24"/>
          <w:szCs w:val="24"/>
        </w:rPr>
        <w:t xml:space="preserve"> S, </w:t>
      </w:r>
      <w:proofErr w:type="spellStart"/>
      <w:r w:rsidRPr="00A02A04">
        <w:rPr>
          <w:rFonts w:ascii="Book Antiqua" w:hAnsi="Book Antiqua" w:cs="宋体"/>
          <w:color w:val="000000"/>
          <w:sz w:val="24"/>
          <w:szCs w:val="24"/>
        </w:rPr>
        <w:t>Salvagni</w:t>
      </w:r>
      <w:proofErr w:type="spellEnd"/>
      <w:r w:rsidRPr="00A02A04">
        <w:rPr>
          <w:rFonts w:ascii="Book Antiqua" w:hAnsi="Book Antiqua" w:cs="宋体"/>
          <w:color w:val="000000"/>
          <w:sz w:val="24"/>
          <w:szCs w:val="24"/>
        </w:rPr>
        <w:t xml:space="preserve"> S, Ferrari D, </w:t>
      </w:r>
      <w:proofErr w:type="spellStart"/>
      <w:r w:rsidRPr="00A02A04">
        <w:rPr>
          <w:rFonts w:ascii="Book Antiqua" w:hAnsi="Book Antiqua" w:cs="宋体"/>
          <w:color w:val="000000"/>
          <w:sz w:val="24"/>
          <w:szCs w:val="24"/>
        </w:rPr>
        <w:t>Cortesi</w:t>
      </w:r>
      <w:proofErr w:type="spellEnd"/>
      <w:r w:rsidRPr="00A02A04">
        <w:rPr>
          <w:rFonts w:ascii="Book Antiqua" w:hAnsi="Book Antiqua" w:cs="宋体"/>
          <w:color w:val="000000"/>
          <w:sz w:val="24"/>
          <w:szCs w:val="24"/>
        </w:rPr>
        <w:t xml:space="preserve"> E, </w:t>
      </w:r>
      <w:proofErr w:type="spellStart"/>
      <w:r w:rsidRPr="00A02A04">
        <w:rPr>
          <w:rFonts w:ascii="Book Antiqua" w:hAnsi="Book Antiqua" w:cs="宋体"/>
          <w:color w:val="000000"/>
          <w:sz w:val="24"/>
          <w:szCs w:val="24"/>
        </w:rPr>
        <w:t>Porta</w:t>
      </w:r>
      <w:proofErr w:type="spellEnd"/>
      <w:r w:rsidRPr="00A02A04">
        <w:rPr>
          <w:rFonts w:ascii="Book Antiqua" w:hAnsi="Book Antiqua" w:cs="宋体"/>
          <w:color w:val="000000"/>
          <w:sz w:val="24"/>
          <w:szCs w:val="24"/>
        </w:rPr>
        <w:t xml:space="preserve"> C, </w:t>
      </w:r>
      <w:proofErr w:type="spellStart"/>
      <w:r w:rsidRPr="00A02A04">
        <w:rPr>
          <w:rFonts w:ascii="Book Antiqua" w:hAnsi="Book Antiqua" w:cs="宋体"/>
          <w:color w:val="000000"/>
          <w:sz w:val="24"/>
          <w:szCs w:val="24"/>
        </w:rPr>
        <w:t>Mucciarini</w:t>
      </w:r>
      <w:proofErr w:type="spellEnd"/>
      <w:r w:rsidRPr="00A02A04">
        <w:rPr>
          <w:rFonts w:ascii="Book Antiqua" w:hAnsi="Book Antiqua" w:cs="宋体"/>
          <w:color w:val="000000"/>
          <w:sz w:val="24"/>
          <w:szCs w:val="24"/>
        </w:rPr>
        <w:t xml:space="preserve"> C, </w:t>
      </w:r>
      <w:proofErr w:type="spellStart"/>
      <w:r w:rsidRPr="00A02A04">
        <w:rPr>
          <w:rFonts w:ascii="Book Antiqua" w:hAnsi="Book Antiqua" w:cs="宋体"/>
          <w:color w:val="000000"/>
          <w:sz w:val="24"/>
          <w:szCs w:val="24"/>
        </w:rPr>
        <w:t>Latini</w:t>
      </w:r>
      <w:proofErr w:type="spellEnd"/>
      <w:r w:rsidRPr="00A02A04">
        <w:rPr>
          <w:rFonts w:ascii="Book Antiqua" w:hAnsi="Book Antiqua" w:cs="宋体"/>
          <w:color w:val="000000"/>
          <w:sz w:val="24"/>
          <w:szCs w:val="24"/>
        </w:rPr>
        <w:t xml:space="preserve"> L, </w:t>
      </w:r>
      <w:proofErr w:type="spellStart"/>
      <w:r w:rsidRPr="00A02A04">
        <w:rPr>
          <w:rFonts w:ascii="Book Antiqua" w:hAnsi="Book Antiqua" w:cs="宋体"/>
          <w:color w:val="000000"/>
          <w:sz w:val="24"/>
          <w:szCs w:val="24"/>
        </w:rPr>
        <w:t>Carnaghi</w:t>
      </w:r>
      <w:proofErr w:type="spellEnd"/>
      <w:r w:rsidRPr="00A02A04">
        <w:rPr>
          <w:rFonts w:ascii="Book Antiqua" w:hAnsi="Book Antiqua" w:cs="宋体"/>
          <w:color w:val="000000"/>
          <w:sz w:val="24"/>
          <w:szCs w:val="24"/>
        </w:rPr>
        <w:t xml:space="preserve"> C, </w:t>
      </w:r>
      <w:proofErr w:type="spellStart"/>
      <w:r w:rsidRPr="00A02A04">
        <w:rPr>
          <w:rFonts w:ascii="Book Antiqua" w:hAnsi="Book Antiqua" w:cs="宋体"/>
          <w:color w:val="000000"/>
          <w:sz w:val="24"/>
          <w:szCs w:val="24"/>
        </w:rPr>
        <w:t>Banzi</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Fanello</w:t>
      </w:r>
      <w:proofErr w:type="spellEnd"/>
      <w:r w:rsidRPr="00A02A04">
        <w:rPr>
          <w:rFonts w:ascii="Book Antiqua" w:hAnsi="Book Antiqua" w:cs="宋体"/>
          <w:color w:val="000000"/>
          <w:sz w:val="24"/>
          <w:szCs w:val="24"/>
        </w:rPr>
        <w:t xml:space="preserve"> S, De Giorgio M, </w:t>
      </w:r>
      <w:proofErr w:type="spellStart"/>
      <w:r w:rsidRPr="00A02A04">
        <w:rPr>
          <w:rFonts w:ascii="Book Antiqua" w:hAnsi="Book Antiqua" w:cs="宋体"/>
          <w:color w:val="000000"/>
          <w:sz w:val="24"/>
          <w:szCs w:val="24"/>
        </w:rPr>
        <w:t>Lutman</w:t>
      </w:r>
      <w:proofErr w:type="spellEnd"/>
      <w:r w:rsidRPr="00A02A04">
        <w:rPr>
          <w:rFonts w:ascii="Book Antiqua" w:hAnsi="Book Antiqua" w:cs="宋体"/>
          <w:color w:val="000000"/>
          <w:sz w:val="24"/>
          <w:szCs w:val="24"/>
        </w:rPr>
        <w:t xml:space="preserve"> FR, </w:t>
      </w:r>
      <w:proofErr w:type="spellStart"/>
      <w:r w:rsidRPr="00A02A04">
        <w:rPr>
          <w:rFonts w:ascii="Book Antiqua" w:hAnsi="Book Antiqua" w:cs="宋体"/>
          <w:color w:val="000000"/>
          <w:sz w:val="24"/>
          <w:szCs w:val="24"/>
        </w:rPr>
        <w:t>Torzilli</w:t>
      </w:r>
      <w:proofErr w:type="spellEnd"/>
      <w:r w:rsidRPr="00A02A04">
        <w:rPr>
          <w:rFonts w:ascii="Book Antiqua" w:hAnsi="Book Antiqua" w:cs="宋体"/>
          <w:color w:val="000000"/>
          <w:sz w:val="24"/>
          <w:szCs w:val="24"/>
        </w:rPr>
        <w:t xml:space="preserve"> G, </w:t>
      </w:r>
      <w:proofErr w:type="spellStart"/>
      <w:r w:rsidRPr="00A02A04">
        <w:rPr>
          <w:rFonts w:ascii="Book Antiqua" w:hAnsi="Book Antiqua" w:cs="宋体"/>
          <w:color w:val="000000"/>
          <w:sz w:val="24"/>
          <w:szCs w:val="24"/>
        </w:rPr>
        <w:t>Tommasini</w:t>
      </w:r>
      <w:proofErr w:type="spellEnd"/>
      <w:r w:rsidRPr="00A02A04">
        <w:rPr>
          <w:rFonts w:ascii="Book Antiqua" w:hAnsi="Book Antiqua" w:cs="宋体"/>
          <w:color w:val="000000"/>
          <w:sz w:val="24"/>
          <w:szCs w:val="24"/>
        </w:rPr>
        <w:t xml:space="preserve"> MA, </w:t>
      </w:r>
      <w:proofErr w:type="spellStart"/>
      <w:r w:rsidRPr="00A02A04">
        <w:rPr>
          <w:rFonts w:ascii="Book Antiqua" w:hAnsi="Book Antiqua" w:cs="宋体"/>
          <w:color w:val="000000"/>
          <w:sz w:val="24"/>
          <w:szCs w:val="24"/>
        </w:rPr>
        <w:t>Ceriani</w:t>
      </w:r>
      <w:proofErr w:type="spellEnd"/>
      <w:r w:rsidRPr="00A02A04">
        <w:rPr>
          <w:rFonts w:ascii="Book Antiqua" w:hAnsi="Book Antiqua" w:cs="宋体"/>
          <w:color w:val="000000"/>
          <w:sz w:val="24"/>
          <w:szCs w:val="24"/>
        </w:rPr>
        <w:t xml:space="preserve"> R, </w:t>
      </w:r>
      <w:proofErr w:type="spellStart"/>
      <w:r w:rsidRPr="00A02A04">
        <w:rPr>
          <w:rFonts w:ascii="Book Antiqua" w:hAnsi="Book Antiqua" w:cs="宋体"/>
          <w:color w:val="000000"/>
          <w:sz w:val="24"/>
          <w:szCs w:val="24"/>
        </w:rPr>
        <w:t>Covini</w:t>
      </w:r>
      <w:proofErr w:type="spellEnd"/>
      <w:r w:rsidRPr="00A02A04">
        <w:rPr>
          <w:rFonts w:ascii="Book Antiqua" w:hAnsi="Book Antiqua" w:cs="宋体"/>
          <w:color w:val="000000"/>
          <w:sz w:val="24"/>
          <w:szCs w:val="24"/>
        </w:rPr>
        <w:t xml:space="preserve"> G, </w:t>
      </w:r>
      <w:proofErr w:type="spellStart"/>
      <w:r w:rsidRPr="00A02A04">
        <w:rPr>
          <w:rFonts w:ascii="Book Antiqua" w:hAnsi="Book Antiqua" w:cs="宋体"/>
          <w:color w:val="000000"/>
          <w:sz w:val="24"/>
          <w:szCs w:val="24"/>
        </w:rPr>
        <w:t>Tronconi</w:t>
      </w:r>
      <w:proofErr w:type="spellEnd"/>
      <w:r w:rsidRPr="00A02A04">
        <w:rPr>
          <w:rFonts w:ascii="Book Antiqua" w:hAnsi="Book Antiqua" w:cs="宋体"/>
          <w:color w:val="000000"/>
          <w:sz w:val="24"/>
          <w:szCs w:val="24"/>
        </w:rPr>
        <w:t xml:space="preserve"> MC, Giordano L, </w:t>
      </w:r>
      <w:proofErr w:type="spellStart"/>
      <w:r w:rsidRPr="00A02A04">
        <w:rPr>
          <w:rFonts w:ascii="Book Antiqua" w:hAnsi="Book Antiqua" w:cs="宋体"/>
          <w:color w:val="000000"/>
          <w:sz w:val="24"/>
          <w:szCs w:val="24"/>
        </w:rPr>
        <w:t>Locopo</w:t>
      </w:r>
      <w:proofErr w:type="spellEnd"/>
      <w:r w:rsidRPr="00A02A04">
        <w:rPr>
          <w:rFonts w:ascii="Book Antiqua" w:hAnsi="Book Antiqua" w:cs="宋体"/>
          <w:color w:val="000000"/>
          <w:sz w:val="24"/>
          <w:szCs w:val="24"/>
        </w:rPr>
        <w:t xml:space="preserve"> N, </w:t>
      </w:r>
      <w:proofErr w:type="spellStart"/>
      <w:r w:rsidRPr="00A02A04">
        <w:rPr>
          <w:rFonts w:ascii="Book Antiqua" w:hAnsi="Book Antiqua" w:cs="宋体"/>
          <w:color w:val="000000"/>
          <w:sz w:val="24"/>
          <w:szCs w:val="24"/>
        </w:rPr>
        <w:t>Naimo</w:t>
      </w:r>
      <w:proofErr w:type="spellEnd"/>
      <w:r w:rsidRPr="00A02A04">
        <w:rPr>
          <w:rFonts w:ascii="Book Antiqua" w:hAnsi="Book Antiqua" w:cs="宋体"/>
          <w:color w:val="000000"/>
          <w:sz w:val="24"/>
          <w:szCs w:val="24"/>
        </w:rPr>
        <w:t xml:space="preserve"> S, Santoro A.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xml:space="preserve"> in patients with Child-Pugh class A and B advanced </w:t>
      </w:r>
      <w:r w:rsidRPr="00A02A04">
        <w:rPr>
          <w:rFonts w:ascii="Book Antiqua" w:hAnsi="Book Antiqua" w:cs="宋体"/>
          <w:color w:val="000000"/>
          <w:sz w:val="24"/>
          <w:szCs w:val="24"/>
        </w:rPr>
        <w:lastRenderedPageBreak/>
        <w:t>hepatocellular carcinoma: a prospective feasibility analysis. </w:t>
      </w:r>
      <w:r w:rsidRPr="00A02A04">
        <w:rPr>
          <w:rFonts w:ascii="Book Antiqua" w:hAnsi="Book Antiqua" w:cs="宋体"/>
          <w:i/>
          <w:iCs/>
          <w:color w:val="000000"/>
          <w:sz w:val="24"/>
          <w:szCs w:val="24"/>
        </w:rPr>
        <w:t xml:space="preserve">Ann </w:t>
      </w:r>
      <w:proofErr w:type="spellStart"/>
      <w:r w:rsidRPr="00A02A04">
        <w:rPr>
          <w:rFonts w:ascii="Book Antiqua" w:hAnsi="Book Antiqua" w:cs="宋体"/>
          <w:i/>
          <w:iCs/>
          <w:color w:val="000000"/>
          <w:sz w:val="24"/>
          <w:szCs w:val="24"/>
        </w:rPr>
        <w:t>Oncol</w:t>
      </w:r>
      <w:proofErr w:type="spellEnd"/>
      <w:r w:rsidRPr="00A02A04">
        <w:rPr>
          <w:rFonts w:ascii="Book Antiqua" w:hAnsi="Book Antiqua" w:cs="宋体"/>
          <w:color w:val="000000"/>
          <w:sz w:val="24"/>
          <w:szCs w:val="24"/>
        </w:rPr>
        <w:t> 2013; </w:t>
      </w:r>
      <w:r w:rsidRPr="00A02A04">
        <w:rPr>
          <w:rFonts w:ascii="Book Antiqua" w:hAnsi="Book Antiqua" w:cs="宋体"/>
          <w:b/>
          <w:bCs/>
          <w:color w:val="000000"/>
          <w:sz w:val="24"/>
          <w:szCs w:val="24"/>
        </w:rPr>
        <w:t>24</w:t>
      </w:r>
      <w:r w:rsidRPr="00A02A04">
        <w:rPr>
          <w:rFonts w:ascii="Book Antiqua" w:hAnsi="Book Antiqua" w:cs="宋体"/>
          <w:color w:val="000000"/>
          <w:sz w:val="24"/>
          <w:szCs w:val="24"/>
        </w:rPr>
        <w:t>: 406-411 [PMID: 23041587 DOI: 10.1093/</w:t>
      </w:r>
      <w:proofErr w:type="spellStart"/>
      <w:r w:rsidRPr="00A02A04">
        <w:rPr>
          <w:rFonts w:ascii="Book Antiqua" w:hAnsi="Book Antiqua" w:cs="宋体"/>
          <w:color w:val="000000"/>
          <w:sz w:val="24"/>
          <w:szCs w:val="24"/>
        </w:rPr>
        <w:t>annonc</w:t>
      </w:r>
      <w:proofErr w:type="spellEnd"/>
      <w:r w:rsidRPr="00A02A04">
        <w:rPr>
          <w:rFonts w:ascii="Book Antiqua" w:hAnsi="Book Antiqua" w:cs="宋体"/>
          <w:color w:val="000000"/>
          <w:sz w:val="24"/>
          <w:szCs w:val="24"/>
        </w:rPr>
        <w:t>/mds343]</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18 </w:t>
      </w:r>
      <w:r w:rsidRPr="00A02A04">
        <w:rPr>
          <w:rFonts w:ascii="Book Antiqua" w:hAnsi="Book Antiqua" w:cs="宋体"/>
          <w:b/>
          <w:bCs/>
          <w:color w:val="000000"/>
          <w:sz w:val="24"/>
          <w:szCs w:val="24"/>
        </w:rPr>
        <w:t>Chiu J</w:t>
      </w:r>
      <w:r w:rsidRPr="00A02A04">
        <w:rPr>
          <w:rFonts w:ascii="Book Antiqua" w:hAnsi="Book Antiqua" w:cs="宋体"/>
          <w:color w:val="000000"/>
          <w:sz w:val="24"/>
          <w:szCs w:val="24"/>
        </w:rPr>
        <w:t xml:space="preserve">, Tang YF, Yao TJ, Wong A, Wong H, Leung R, Chan P, Cheung TT, Chan AC, Pang R, Fan ST, Poon R, </w:t>
      </w:r>
      <w:proofErr w:type="spellStart"/>
      <w:r w:rsidRPr="00A02A04">
        <w:rPr>
          <w:rFonts w:ascii="Book Antiqua" w:hAnsi="Book Antiqua" w:cs="宋体"/>
          <w:color w:val="000000"/>
          <w:sz w:val="24"/>
          <w:szCs w:val="24"/>
        </w:rPr>
        <w:t>Yau</w:t>
      </w:r>
      <w:proofErr w:type="spellEnd"/>
      <w:r w:rsidRPr="00A02A04">
        <w:rPr>
          <w:rFonts w:ascii="Book Antiqua" w:hAnsi="Book Antiqua" w:cs="宋体"/>
          <w:color w:val="000000"/>
          <w:sz w:val="24"/>
          <w:szCs w:val="24"/>
        </w:rPr>
        <w:t xml:space="preserve"> T. The use of single-agent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xml:space="preserve"> in the treatment of advanced hepatocellular carcinoma patients with underlying Child-Pugh B liver cirrhosis: a retrospective analysis of efficacy, safety, and survival benefits. </w:t>
      </w:r>
      <w:r w:rsidRPr="00A02A04">
        <w:rPr>
          <w:rFonts w:ascii="Book Antiqua" w:hAnsi="Book Antiqua" w:cs="宋体"/>
          <w:i/>
          <w:iCs/>
          <w:color w:val="000000"/>
          <w:sz w:val="24"/>
          <w:szCs w:val="24"/>
        </w:rPr>
        <w:t>Cancer</w:t>
      </w:r>
      <w:r w:rsidRPr="00A02A04">
        <w:rPr>
          <w:rFonts w:ascii="Book Antiqua" w:hAnsi="Book Antiqua" w:cs="宋体"/>
          <w:color w:val="000000"/>
          <w:sz w:val="24"/>
          <w:szCs w:val="24"/>
        </w:rPr>
        <w:t> 2012; </w:t>
      </w:r>
      <w:r w:rsidRPr="00A02A04">
        <w:rPr>
          <w:rFonts w:ascii="Book Antiqua" w:hAnsi="Book Antiqua" w:cs="宋体"/>
          <w:b/>
          <w:bCs/>
          <w:color w:val="000000"/>
          <w:sz w:val="24"/>
          <w:szCs w:val="24"/>
        </w:rPr>
        <w:t>118</w:t>
      </w:r>
      <w:r w:rsidRPr="00A02A04">
        <w:rPr>
          <w:rFonts w:ascii="Book Antiqua" w:hAnsi="Book Antiqua" w:cs="宋体"/>
          <w:color w:val="000000"/>
          <w:sz w:val="24"/>
          <w:szCs w:val="24"/>
        </w:rPr>
        <w:t>: 5293-5301 [PMID: 22517493 DOI: 10.1002/cncr.27543]</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19 </w:t>
      </w:r>
      <w:r w:rsidRPr="00A02A04">
        <w:rPr>
          <w:rFonts w:ascii="Book Antiqua" w:hAnsi="Book Antiqua" w:cs="宋体"/>
          <w:b/>
          <w:bCs/>
          <w:color w:val="000000"/>
          <w:sz w:val="24"/>
          <w:szCs w:val="24"/>
        </w:rPr>
        <w:t>Pinter M</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Sieghart</w:t>
      </w:r>
      <w:proofErr w:type="spellEnd"/>
      <w:r w:rsidRPr="00A02A04">
        <w:rPr>
          <w:rFonts w:ascii="Book Antiqua" w:hAnsi="Book Antiqua" w:cs="宋体"/>
          <w:color w:val="000000"/>
          <w:sz w:val="24"/>
          <w:szCs w:val="24"/>
        </w:rPr>
        <w:t xml:space="preserve"> W, </w:t>
      </w:r>
      <w:proofErr w:type="spellStart"/>
      <w:r w:rsidRPr="00A02A04">
        <w:rPr>
          <w:rFonts w:ascii="Book Antiqua" w:hAnsi="Book Antiqua" w:cs="宋体"/>
          <w:color w:val="000000"/>
          <w:sz w:val="24"/>
          <w:szCs w:val="24"/>
        </w:rPr>
        <w:t>Graziadei</w:t>
      </w:r>
      <w:proofErr w:type="spellEnd"/>
      <w:r w:rsidRPr="00A02A04">
        <w:rPr>
          <w:rFonts w:ascii="Book Antiqua" w:hAnsi="Book Antiqua" w:cs="宋体"/>
          <w:color w:val="000000"/>
          <w:sz w:val="24"/>
          <w:szCs w:val="24"/>
        </w:rPr>
        <w:t xml:space="preserve"> I, Vogel W, </w:t>
      </w:r>
      <w:proofErr w:type="spellStart"/>
      <w:r w:rsidRPr="00A02A04">
        <w:rPr>
          <w:rFonts w:ascii="Book Antiqua" w:hAnsi="Book Antiqua" w:cs="宋体"/>
          <w:color w:val="000000"/>
          <w:sz w:val="24"/>
          <w:szCs w:val="24"/>
        </w:rPr>
        <w:t>Maieron</w:t>
      </w:r>
      <w:proofErr w:type="spellEnd"/>
      <w:r w:rsidRPr="00A02A04">
        <w:rPr>
          <w:rFonts w:ascii="Book Antiqua" w:hAnsi="Book Antiqua" w:cs="宋体"/>
          <w:color w:val="000000"/>
          <w:sz w:val="24"/>
          <w:szCs w:val="24"/>
        </w:rPr>
        <w:t xml:space="preserve"> A, </w:t>
      </w:r>
      <w:proofErr w:type="spellStart"/>
      <w:r w:rsidRPr="00A02A04">
        <w:rPr>
          <w:rFonts w:ascii="Book Antiqua" w:hAnsi="Book Antiqua" w:cs="宋体"/>
          <w:color w:val="000000"/>
          <w:sz w:val="24"/>
          <w:szCs w:val="24"/>
        </w:rPr>
        <w:t>Königsberg</w:t>
      </w:r>
      <w:proofErr w:type="spellEnd"/>
      <w:r w:rsidRPr="00A02A04">
        <w:rPr>
          <w:rFonts w:ascii="Book Antiqua" w:hAnsi="Book Antiqua" w:cs="宋体"/>
          <w:color w:val="000000"/>
          <w:sz w:val="24"/>
          <w:szCs w:val="24"/>
        </w:rPr>
        <w:t xml:space="preserve"> R, </w:t>
      </w:r>
      <w:proofErr w:type="spellStart"/>
      <w:r w:rsidRPr="00A02A04">
        <w:rPr>
          <w:rFonts w:ascii="Book Antiqua" w:hAnsi="Book Antiqua" w:cs="宋体"/>
          <w:color w:val="000000"/>
          <w:sz w:val="24"/>
          <w:szCs w:val="24"/>
        </w:rPr>
        <w:t>Weissmann</w:t>
      </w:r>
      <w:proofErr w:type="spellEnd"/>
      <w:r w:rsidRPr="00A02A04">
        <w:rPr>
          <w:rFonts w:ascii="Book Antiqua" w:hAnsi="Book Antiqua" w:cs="宋体"/>
          <w:color w:val="000000"/>
          <w:sz w:val="24"/>
          <w:szCs w:val="24"/>
        </w:rPr>
        <w:t xml:space="preserve"> A, </w:t>
      </w:r>
      <w:proofErr w:type="spellStart"/>
      <w:r w:rsidRPr="00A02A04">
        <w:rPr>
          <w:rFonts w:ascii="Book Antiqua" w:hAnsi="Book Antiqua" w:cs="宋体"/>
          <w:color w:val="000000"/>
          <w:sz w:val="24"/>
          <w:szCs w:val="24"/>
        </w:rPr>
        <w:t>Kornek</w:t>
      </w:r>
      <w:proofErr w:type="spellEnd"/>
      <w:r w:rsidRPr="00A02A04">
        <w:rPr>
          <w:rFonts w:ascii="Book Antiqua" w:hAnsi="Book Antiqua" w:cs="宋体"/>
          <w:color w:val="000000"/>
          <w:sz w:val="24"/>
          <w:szCs w:val="24"/>
        </w:rPr>
        <w:t xml:space="preserve"> G, Plank C, Peck-</w:t>
      </w:r>
      <w:proofErr w:type="spellStart"/>
      <w:r w:rsidRPr="00A02A04">
        <w:rPr>
          <w:rFonts w:ascii="Book Antiqua" w:hAnsi="Book Antiqua" w:cs="宋体"/>
          <w:color w:val="000000"/>
          <w:sz w:val="24"/>
          <w:szCs w:val="24"/>
        </w:rPr>
        <w:t>Radosavljevic</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xml:space="preserve"> in </w:t>
      </w:r>
      <w:proofErr w:type="spellStart"/>
      <w:r w:rsidRPr="00A02A04">
        <w:rPr>
          <w:rFonts w:ascii="Book Antiqua" w:hAnsi="Book Antiqua" w:cs="宋体"/>
          <w:color w:val="000000"/>
          <w:sz w:val="24"/>
          <w:szCs w:val="24"/>
        </w:rPr>
        <w:t>unresectable</w:t>
      </w:r>
      <w:proofErr w:type="spellEnd"/>
      <w:r w:rsidRPr="00A02A04">
        <w:rPr>
          <w:rFonts w:ascii="Book Antiqua" w:hAnsi="Book Antiqua" w:cs="宋体"/>
          <w:color w:val="000000"/>
          <w:sz w:val="24"/>
          <w:szCs w:val="24"/>
        </w:rPr>
        <w:t xml:space="preserve"> hepatocellular carcinoma from mild to advanced stage liver cirrhosis. </w:t>
      </w:r>
      <w:r w:rsidRPr="00A02A04">
        <w:rPr>
          <w:rFonts w:ascii="Book Antiqua" w:hAnsi="Book Antiqua" w:cs="宋体"/>
          <w:i/>
          <w:iCs/>
          <w:color w:val="000000"/>
          <w:sz w:val="24"/>
          <w:szCs w:val="24"/>
        </w:rPr>
        <w:t>Oncologist</w:t>
      </w:r>
      <w:r w:rsidRPr="00A02A04">
        <w:rPr>
          <w:rFonts w:ascii="Book Antiqua" w:hAnsi="Book Antiqua" w:cs="宋体"/>
          <w:color w:val="000000"/>
          <w:sz w:val="24"/>
          <w:szCs w:val="24"/>
        </w:rPr>
        <w:t> 2009; </w:t>
      </w:r>
      <w:r w:rsidRPr="00A02A04">
        <w:rPr>
          <w:rFonts w:ascii="Book Antiqua" w:hAnsi="Book Antiqua" w:cs="宋体"/>
          <w:b/>
          <w:bCs/>
          <w:color w:val="000000"/>
          <w:sz w:val="24"/>
          <w:szCs w:val="24"/>
        </w:rPr>
        <w:t>14</w:t>
      </w:r>
      <w:r w:rsidRPr="00A02A04">
        <w:rPr>
          <w:rFonts w:ascii="Book Antiqua" w:hAnsi="Book Antiqua" w:cs="宋体"/>
          <w:color w:val="000000"/>
          <w:sz w:val="24"/>
          <w:szCs w:val="24"/>
        </w:rPr>
        <w:t>: 70-76 [PMID: 19144684 DOI: 10.1634/theoncologist.2008-0191]</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20 </w:t>
      </w:r>
      <w:r w:rsidRPr="00A02A04">
        <w:rPr>
          <w:rFonts w:ascii="Book Antiqua" w:hAnsi="Book Antiqua" w:cs="宋体"/>
          <w:b/>
          <w:bCs/>
          <w:color w:val="000000"/>
          <w:sz w:val="24"/>
          <w:szCs w:val="24"/>
        </w:rPr>
        <w:t>Kim JE</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Ryoo</w:t>
      </w:r>
      <w:proofErr w:type="spellEnd"/>
      <w:r w:rsidRPr="00A02A04">
        <w:rPr>
          <w:rFonts w:ascii="Book Antiqua" w:hAnsi="Book Antiqua" w:cs="宋体"/>
          <w:color w:val="000000"/>
          <w:sz w:val="24"/>
          <w:szCs w:val="24"/>
        </w:rPr>
        <w:t xml:space="preserve"> BY, </w:t>
      </w:r>
      <w:proofErr w:type="spellStart"/>
      <w:r w:rsidRPr="00A02A04">
        <w:rPr>
          <w:rFonts w:ascii="Book Antiqua" w:hAnsi="Book Antiqua" w:cs="宋体"/>
          <w:color w:val="000000"/>
          <w:sz w:val="24"/>
          <w:szCs w:val="24"/>
        </w:rPr>
        <w:t>Ryu</w:t>
      </w:r>
      <w:proofErr w:type="spellEnd"/>
      <w:r w:rsidRPr="00A02A04">
        <w:rPr>
          <w:rFonts w:ascii="Book Antiqua" w:hAnsi="Book Antiqua" w:cs="宋体"/>
          <w:color w:val="000000"/>
          <w:sz w:val="24"/>
          <w:szCs w:val="24"/>
        </w:rPr>
        <w:t xml:space="preserve"> MH, Chang HM, </w:t>
      </w:r>
      <w:proofErr w:type="spellStart"/>
      <w:r w:rsidRPr="00A02A04">
        <w:rPr>
          <w:rFonts w:ascii="Book Antiqua" w:hAnsi="Book Antiqua" w:cs="宋体"/>
          <w:color w:val="000000"/>
          <w:sz w:val="24"/>
          <w:szCs w:val="24"/>
        </w:rPr>
        <w:t>Suh</w:t>
      </w:r>
      <w:proofErr w:type="spellEnd"/>
      <w:r w:rsidRPr="00A02A04">
        <w:rPr>
          <w:rFonts w:ascii="Book Antiqua" w:hAnsi="Book Antiqua" w:cs="宋体"/>
          <w:color w:val="000000"/>
          <w:sz w:val="24"/>
          <w:szCs w:val="24"/>
        </w:rPr>
        <w:t xml:space="preserve"> DJ, Lee HC, Lim YS, Kim KM, Kang YK.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xml:space="preserve"> for hepatocellular carcinoma according to Child-Pugh class of liver function. </w:t>
      </w:r>
      <w:r w:rsidRPr="00A02A04">
        <w:rPr>
          <w:rFonts w:ascii="Book Antiqua" w:hAnsi="Book Antiqua" w:cs="宋体"/>
          <w:i/>
          <w:iCs/>
          <w:color w:val="000000"/>
          <w:sz w:val="24"/>
          <w:szCs w:val="24"/>
        </w:rPr>
        <w:t xml:space="preserve">Cancer </w:t>
      </w:r>
      <w:proofErr w:type="spellStart"/>
      <w:r w:rsidRPr="00A02A04">
        <w:rPr>
          <w:rFonts w:ascii="Book Antiqua" w:hAnsi="Book Antiqua" w:cs="宋体"/>
          <w:i/>
          <w:iCs/>
          <w:color w:val="000000"/>
          <w:sz w:val="24"/>
          <w:szCs w:val="24"/>
        </w:rPr>
        <w:t>Chemother</w:t>
      </w:r>
      <w:proofErr w:type="spellEnd"/>
      <w:r w:rsidRPr="00A02A04">
        <w:rPr>
          <w:rFonts w:ascii="Book Antiqua" w:hAnsi="Book Antiqua" w:cs="宋体"/>
          <w:i/>
          <w:iCs/>
          <w:color w:val="000000"/>
          <w:sz w:val="24"/>
          <w:szCs w:val="24"/>
        </w:rPr>
        <w:t xml:space="preserve"> </w:t>
      </w:r>
      <w:proofErr w:type="spellStart"/>
      <w:r w:rsidRPr="00A02A04">
        <w:rPr>
          <w:rFonts w:ascii="Book Antiqua" w:hAnsi="Book Antiqua" w:cs="宋体"/>
          <w:i/>
          <w:iCs/>
          <w:color w:val="000000"/>
          <w:sz w:val="24"/>
          <w:szCs w:val="24"/>
        </w:rPr>
        <w:t>Pharmacol</w:t>
      </w:r>
      <w:proofErr w:type="spellEnd"/>
      <w:r w:rsidRPr="00A02A04">
        <w:rPr>
          <w:rFonts w:ascii="Book Antiqua" w:hAnsi="Book Antiqua" w:cs="宋体"/>
          <w:color w:val="000000"/>
          <w:sz w:val="24"/>
          <w:szCs w:val="24"/>
        </w:rPr>
        <w:t> 2011; </w:t>
      </w:r>
      <w:r w:rsidRPr="00A02A04">
        <w:rPr>
          <w:rFonts w:ascii="Book Antiqua" w:hAnsi="Book Antiqua" w:cs="宋体"/>
          <w:b/>
          <w:bCs/>
          <w:color w:val="000000"/>
          <w:sz w:val="24"/>
          <w:szCs w:val="24"/>
        </w:rPr>
        <w:t>68</w:t>
      </w:r>
      <w:r w:rsidRPr="00A02A04">
        <w:rPr>
          <w:rFonts w:ascii="Book Antiqua" w:hAnsi="Book Antiqua" w:cs="宋体"/>
          <w:color w:val="000000"/>
          <w:sz w:val="24"/>
          <w:szCs w:val="24"/>
        </w:rPr>
        <w:t>: 1285-1290 [PMID: 21445543 DOI: 10.1007/s00280-011-1616-x]</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21 </w:t>
      </w:r>
      <w:r w:rsidRPr="00A02A04">
        <w:rPr>
          <w:rFonts w:ascii="Book Antiqua" w:hAnsi="Book Antiqua" w:cs="宋体"/>
          <w:b/>
          <w:bCs/>
          <w:color w:val="000000"/>
          <w:sz w:val="24"/>
          <w:szCs w:val="24"/>
        </w:rPr>
        <w:t>Wong H</w:t>
      </w:r>
      <w:r w:rsidRPr="00A02A04">
        <w:rPr>
          <w:rFonts w:ascii="Book Antiqua" w:hAnsi="Book Antiqua" w:cs="宋体"/>
          <w:color w:val="000000"/>
          <w:sz w:val="24"/>
          <w:szCs w:val="24"/>
        </w:rPr>
        <w:t xml:space="preserve">, Tang YF, Yao TJ, Chiu J, Leung R, Chan P, Cheung TT, Chan AC, Pang RW, Poon R, Fan ST, </w:t>
      </w:r>
      <w:proofErr w:type="spellStart"/>
      <w:r w:rsidRPr="00A02A04">
        <w:rPr>
          <w:rFonts w:ascii="Book Antiqua" w:hAnsi="Book Antiqua" w:cs="宋体"/>
          <w:color w:val="000000"/>
          <w:sz w:val="24"/>
          <w:szCs w:val="24"/>
        </w:rPr>
        <w:t>Yau</w:t>
      </w:r>
      <w:proofErr w:type="spellEnd"/>
      <w:r w:rsidRPr="00A02A04">
        <w:rPr>
          <w:rFonts w:ascii="Book Antiqua" w:hAnsi="Book Antiqua" w:cs="宋体"/>
          <w:color w:val="000000"/>
          <w:sz w:val="24"/>
          <w:szCs w:val="24"/>
        </w:rPr>
        <w:t xml:space="preserve"> T. The outcomes and safety of single-agent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xml:space="preserve"> in the treatment of elderly patients with advanced hepatocellular carcinoma (HCC). </w:t>
      </w:r>
      <w:r w:rsidRPr="00A02A04">
        <w:rPr>
          <w:rFonts w:ascii="Book Antiqua" w:hAnsi="Book Antiqua" w:cs="宋体"/>
          <w:i/>
          <w:iCs/>
          <w:color w:val="000000"/>
          <w:sz w:val="24"/>
          <w:szCs w:val="24"/>
        </w:rPr>
        <w:t>Oncologist</w:t>
      </w:r>
      <w:r w:rsidRPr="00A02A04">
        <w:rPr>
          <w:rFonts w:ascii="Book Antiqua" w:hAnsi="Book Antiqua" w:cs="宋体"/>
          <w:color w:val="000000"/>
          <w:sz w:val="24"/>
          <w:szCs w:val="24"/>
        </w:rPr>
        <w:t> 2011; </w:t>
      </w:r>
      <w:r w:rsidRPr="00A02A04">
        <w:rPr>
          <w:rFonts w:ascii="Book Antiqua" w:hAnsi="Book Antiqua" w:cs="宋体"/>
          <w:b/>
          <w:bCs/>
          <w:color w:val="000000"/>
          <w:sz w:val="24"/>
          <w:szCs w:val="24"/>
        </w:rPr>
        <w:t>16</w:t>
      </w:r>
      <w:r w:rsidRPr="00A02A04">
        <w:rPr>
          <w:rFonts w:ascii="Book Antiqua" w:hAnsi="Book Antiqua" w:cs="宋体"/>
          <w:color w:val="000000"/>
          <w:sz w:val="24"/>
          <w:szCs w:val="24"/>
        </w:rPr>
        <w:t>: 1721-1728 [PMID: 22135121 DOI: 10.1634/theoncologist.2011-0192]</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22 </w:t>
      </w:r>
      <w:proofErr w:type="spellStart"/>
      <w:r w:rsidRPr="00A02A04">
        <w:rPr>
          <w:rFonts w:ascii="Book Antiqua" w:hAnsi="Book Antiqua" w:cs="宋体"/>
          <w:b/>
          <w:bCs/>
          <w:color w:val="000000"/>
          <w:sz w:val="24"/>
          <w:szCs w:val="24"/>
        </w:rPr>
        <w:t>Santi</w:t>
      </w:r>
      <w:proofErr w:type="spellEnd"/>
      <w:r w:rsidRPr="00A02A04">
        <w:rPr>
          <w:rFonts w:ascii="Book Antiqua" w:hAnsi="Book Antiqua" w:cs="宋体"/>
          <w:b/>
          <w:bCs/>
          <w:color w:val="000000"/>
          <w:sz w:val="24"/>
          <w:szCs w:val="24"/>
        </w:rPr>
        <w:t xml:space="preserve"> V</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Buccione</w:t>
      </w:r>
      <w:proofErr w:type="spellEnd"/>
      <w:r w:rsidRPr="00A02A04">
        <w:rPr>
          <w:rFonts w:ascii="Book Antiqua" w:hAnsi="Book Antiqua" w:cs="宋体"/>
          <w:color w:val="000000"/>
          <w:sz w:val="24"/>
          <w:szCs w:val="24"/>
        </w:rPr>
        <w:t xml:space="preserve"> D, Di </w:t>
      </w:r>
      <w:proofErr w:type="spellStart"/>
      <w:r w:rsidRPr="00A02A04">
        <w:rPr>
          <w:rFonts w:ascii="Book Antiqua" w:hAnsi="Book Antiqua" w:cs="宋体"/>
          <w:color w:val="000000"/>
          <w:sz w:val="24"/>
          <w:szCs w:val="24"/>
        </w:rPr>
        <w:t>Micoli</w:t>
      </w:r>
      <w:proofErr w:type="spellEnd"/>
      <w:r w:rsidRPr="00A02A04">
        <w:rPr>
          <w:rFonts w:ascii="Book Antiqua" w:hAnsi="Book Antiqua" w:cs="宋体"/>
          <w:color w:val="000000"/>
          <w:sz w:val="24"/>
          <w:szCs w:val="24"/>
        </w:rPr>
        <w:t xml:space="preserve"> A, </w:t>
      </w:r>
      <w:proofErr w:type="spellStart"/>
      <w:r w:rsidRPr="00A02A04">
        <w:rPr>
          <w:rFonts w:ascii="Book Antiqua" w:hAnsi="Book Antiqua" w:cs="宋体"/>
          <w:color w:val="000000"/>
          <w:sz w:val="24"/>
          <w:szCs w:val="24"/>
        </w:rPr>
        <w:t>Fatti</w:t>
      </w:r>
      <w:proofErr w:type="spellEnd"/>
      <w:r w:rsidRPr="00A02A04">
        <w:rPr>
          <w:rFonts w:ascii="Book Antiqua" w:hAnsi="Book Antiqua" w:cs="宋体"/>
          <w:color w:val="000000"/>
          <w:sz w:val="24"/>
          <w:szCs w:val="24"/>
        </w:rPr>
        <w:t xml:space="preserve"> G, </w:t>
      </w:r>
      <w:proofErr w:type="spellStart"/>
      <w:r w:rsidRPr="00A02A04">
        <w:rPr>
          <w:rFonts w:ascii="Book Antiqua" w:hAnsi="Book Antiqua" w:cs="宋体"/>
          <w:color w:val="000000"/>
          <w:sz w:val="24"/>
          <w:szCs w:val="24"/>
        </w:rPr>
        <w:t>Frigerio</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Farinati</w:t>
      </w:r>
      <w:proofErr w:type="spellEnd"/>
      <w:r w:rsidRPr="00A02A04">
        <w:rPr>
          <w:rFonts w:ascii="Book Antiqua" w:hAnsi="Book Antiqua" w:cs="宋体"/>
          <w:color w:val="000000"/>
          <w:sz w:val="24"/>
          <w:szCs w:val="24"/>
        </w:rPr>
        <w:t xml:space="preserve"> F, Del </w:t>
      </w:r>
      <w:proofErr w:type="spellStart"/>
      <w:r w:rsidRPr="00A02A04">
        <w:rPr>
          <w:rFonts w:ascii="Book Antiqua" w:hAnsi="Book Antiqua" w:cs="宋体"/>
          <w:color w:val="000000"/>
          <w:sz w:val="24"/>
          <w:szCs w:val="24"/>
        </w:rPr>
        <w:t>Poggio</w:t>
      </w:r>
      <w:proofErr w:type="spellEnd"/>
      <w:r w:rsidRPr="00A02A04">
        <w:rPr>
          <w:rFonts w:ascii="Book Antiqua" w:hAnsi="Book Antiqua" w:cs="宋体"/>
          <w:color w:val="000000"/>
          <w:sz w:val="24"/>
          <w:szCs w:val="24"/>
        </w:rPr>
        <w:t xml:space="preserve"> P, </w:t>
      </w:r>
      <w:proofErr w:type="spellStart"/>
      <w:r w:rsidRPr="00A02A04">
        <w:rPr>
          <w:rFonts w:ascii="Book Antiqua" w:hAnsi="Book Antiqua" w:cs="宋体"/>
          <w:color w:val="000000"/>
          <w:sz w:val="24"/>
          <w:szCs w:val="24"/>
        </w:rPr>
        <w:t>Rapaccini</w:t>
      </w:r>
      <w:proofErr w:type="spellEnd"/>
      <w:r w:rsidRPr="00A02A04">
        <w:rPr>
          <w:rFonts w:ascii="Book Antiqua" w:hAnsi="Book Antiqua" w:cs="宋体"/>
          <w:color w:val="000000"/>
          <w:sz w:val="24"/>
          <w:szCs w:val="24"/>
        </w:rPr>
        <w:t xml:space="preserve"> G, Di </w:t>
      </w:r>
      <w:proofErr w:type="spellStart"/>
      <w:r w:rsidRPr="00A02A04">
        <w:rPr>
          <w:rFonts w:ascii="Book Antiqua" w:hAnsi="Book Antiqua" w:cs="宋体"/>
          <w:color w:val="000000"/>
          <w:sz w:val="24"/>
          <w:szCs w:val="24"/>
        </w:rPr>
        <w:t>Nolfo</w:t>
      </w:r>
      <w:proofErr w:type="spellEnd"/>
      <w:r w:rsidRPr="00A02A04">
        <w:rPr>
          <w:rFonts w:ascii="Book Antiqua" w:hAnsi="Book Antiqua" w:cs="宋体"/>
          <w:color w:val="000000"/>
          <w:sz w:val="24"/>
          <w:szCs w:val="24"/>
        </w:rPr>
        <w:t xml:space="preserve"> MA, </w:t>
      </w:r>
      <w:proofErr w:type="spellStart"/>
      <w:r w:rsidRPr="00A02A04">
        <w:rPr>
          <w:rFonts w:ascii="Book Antiqua" w:hAnsi="Book Antiqua" w:cs="宋体"/>
          <w:color w:val="000000"/>
          <w:sz w:val="24"/>
          <w:szCs w:val="24"/>
        </w:rPr>
        <w:t>Benvegnù</w:t>
      </w:r>
      <w:proofErr w:type="spellEnd"/>
      <w:r w:rsidRPr="00A02A04">
        <w:rPr>
          <w:rFonts w:ascii="Book Antiqua" w:hAnsi="Book Antiqua" w:cs="宋体"/>
          <w:color w:val="000000"/>
          <w:sz w:val="24"/>
          <w:szCs w:val="24"/>
        </w:rPr>
        <w:t xml:space="preserve"> L, </w:t>
      </w:r>
      <w:proofErr w:type="spellStart"/>
      <w:r w:rsidRPr="00A02A04">
        <w:rPr>
          <w:rFonts w:ascii="Book Antiqua" w:hAnsi="Book Antiqua" w:cs="宋体"/>
          <w:color w:val="000000"/>
          <w:sz w:val="24"/>
          <w:szCs w:val="24"/>
        </w:rPr>
        <w:t>Zoli</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Borzio</w:t>
      </w:r>
      <w:proofErr w:type="spellEnd"/>
      <w:r w:rsidRPr="00A02A04">
        <w:rPr>
          <w:rFonts w:ascii="Book Antiqua" w:hAnsi="Book Antiqua" w:cs="宋体"/>
          <w:color w:val="000000"/>
          <w:sz w:val="24"/>
          <w:szCs w:val="24"/>
        </w:rPr>
        <w:t xml:space="preserve"> F, </w:t>
      </w:r>
      <w:proofErr w:type="spellStart"/>
      <w:r w:rsidRPr="00A02A04">
        <w:rPr>
          <w:rFonts w:ascii="Book Antiqua" w:hAnsi="Book Antiqua" w:cs="宋体"/>
          <w:color w:val="000000"/>
          <w:sz w:val="24"/>
          <w:szCs w:val="24"/>
        </w:rPr>
        <w:t>Giannini</w:t>
      </w:r>
      <w:proofErr w:type="spellEnd"/>
      <w:r w:rsidRPr="00A02A04">
        <w:rPr>
          <w:rFonts w:ascii="Book Antiqua" w:hAnsi="Book Antiqua" w:cs="宋体"/>
          <w:color w:val="000000"/>
          <w:sz w:val="24"/>
          <w:szCs w:val="24"/>
        </w:rPr>
        <w:t xml:space="preserve"> EG, </w:t>
      </w:r>
      <w:proofErr w:type="spellStart"/>
      <w:r w:rsidRPr="00A02A04">
        <w:rPr>
          <w:rFonts w:ascii="Book Antiqua" w:hAnsi="Book Antiqua" w:cs="宋体"/>
          <w:color w:val="000000"/>
          <w:sz w:val="24"/>
          <w:szCs w:val="24"/>
        </w:rPr>
        <w:t>Caturelli</w:t>
      </w:r>
      <w:proofErr w:type="spellEnd"/>
      <w:r w:rsidRPr="00A02A04">
        <w:rPr>
          <w:rFonts w:ascii="Book Antiqua" w:hAnsi="Book Antiqua" w:cs="宋体"/>
          <w:color w:val="000000"/>
          <w:sz w:val="24"/>
          <w:szCs w:val="24"/>
        </w:rPr>
        <w:t xml:space="preserve"> E, </w:t>
      </w:r>
      <w:proofErr w:type="spellStart"/>
      <w:r w:rsidRPr="00A02A04">
        <w:rPr>
          <w:rFonts w:ascii="Book Antiqua" w:hAnsi="Book Antiqua" w:cs="宋体"/>
          <w:color w:val="000000"/>
          <w:sz w:val="24"/>
          <w:szCs w:val="24"/>
        </w:rPr>
        <w:t>Chiaramonte</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Bernardi</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Trevisani</w:t>
      </w:r>
      <w:proofErr w:type="spellEnd"/>
      <w:r w:rsidRPr="00A02A04">
        <w:rPr>
          <w:rFonts w:ascii="Book Antiqua" w:hAnsi="Book Antiqua" w:cs="宋体"/>
          <w:color w:val="000000"/>
          <w:sz w:val="24"/>
          <w:szCs w:val="24"/>
        </w:rPr>
        <w:t xml:space="preserve"> F. The changing scenario of hepatocellular carcinoma over the last two decades in Italy. </w:t>
      </w:r>
      <w:r w:rsidRPr="00A02A04">
        <w:rPr>
          <w:rFonts w:ascii="Book Antiqua" w:hAnsi="Book Antiqua" w:cs="宋体"/>
          <w:i/>
          <w:iCs/>
          <w:color w:val="000000"/>
          <w:sz w:val="24"/>
          <w:szCs w:val="24"/>
        </w:rPr>
        <w:t xml:space="preserve">J </w:t>
      </w:r>
      <w:proofErr w:type="spellStart"/>
      <w:r w:rsidRPr="00A02A04">
        <w:rPr>
          <w:rFonts w:ascii="Book Antiqua" w:hAnsi="Book Antiqua" w:cs="宋体"/>
          <w:i/>
          <w:iCs/>
          <w:color w:val="000000"/>
          <w:sz w:val="24"/>
          <w:szCs w:val="24"/>
        </w:rPr>
        <w:t>Hepatol</w:t>
      </w:r>
      <w:proofErr w:type="spellEnd"/>
      <w:r w:rsidRPr="00A02A04">
        <w:rPr>
          <w:rFonts w:ascii="Book Antiqua" w:hAnsi="Book Antiqua" w:cs="宋体"/>
          <w:color w:val="000000"/>
          <w:sz w:val="24"/>
          <w:szCs w:val="24"/>
        </w:rPr>
        <w:t> 2012; </w:t>
      </w:r>
      <w:r w:rsidRPr="00A02A04">
        <w:rPr>
          <w:rFonts w:ascii="Book Antiqua" w:hAnsi="Book Antiqua" w:cs="宋体"/>
          <w:b/>
          <w:bCs/>
          <w:color w:val="000000"/>
          <w:sz w:val="24"/>
          <w:szCs w:val="24"/>
        </w:rPr>
        <w:t>56</w:t>
      </w:r>
      <w:r w:rsidRPr="00A02A04">
        <w:rPr>
          <w:rFonts w:ascii="Book Antiqua" w:hAnsi="Book Antiqua" w:cs="宋体"/>
          <w:color w:val="000000"/>
          <w:sz w:val="24"/>
          <w:szCs w:val="24"/>
        </w:rPr>
        <w:t>: 397-405 [PMID: 21756850 DOI: 10.1016/j.jhep.2011.05.026]</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23 </w:t>
      </w:r>
      <w:proofErr w:type="spellStart"/>
      <w:r w:rsidRPr="00A02A04">
        <w:rPr>
          <w:rFonts w:ascii="Book Antiqua" w:hAnsi="Book Antiqua" w:cs="宋体"/>
          <w:b/>
          <w:bCs/>
          <w:color w:val="000000"/>
          <w:sz w:val="24"/>
          <w:szCs w:val="24"/>
        </w:rPr>
        <w:t>Bruix</w:t>
      </w:r>
      <w:proofErr w:type="spellEnd"/>
      <w:r w:rsidRPr="00A02A04">
        <w:rPr>
          <w:rFonts w:ascii="Book Antiqua" w:hAnsi="Book Antiqua" w:cs="宋体"/>
          <w:b/>
          <w:bCs/>
          <w:color w:val="000000"/>
          <w:sz w:val="24"/>
          <w:szCs w:val="24"/>
        </w:rPr>
        <w:t xml:space="preserve"> J</w:t>
      </w:r>
      <w:r w:rsidRPr="00A02A04">
        <w:rPr>
          <w:rFonts w:ascii="Book Antiqua" w:hAnsi="Book Antiqua" w:cs="宋体"/>
          <w:color w:val="000000"/>
          <w:sz w:val="24"/>
          <w:szCs w:val="24"/>
        </w:rPr>
        <w:t xml:space="preserve">, Raoul JL, Sherman M, </w:t>
      </w:r>
      <w:proofErr w:type="spellStart"/>
      <w:r w:rsidRPr="00A02A04">
        <w:rPr>
          <w:rFonts w:ascii="Book Antiqua" w:hAnsi="Book Antiqua" w:cs="宋体"/>
          <w:color w:val="000000"/>
          <w:sz w:val="24"/>
          <w:szCs w:val="24"/>
        </w:rPr>
        <w:t>Mazzaferro</w:t>
      </w:r>
      <w:proofErr w:type="spellEnd"/>
      <w:r w:rsidRPr="00A02A04">
        <w:rPr>
          <w:rFonts w:ascii="Book Antiqua" w:hAnsi="Book Antiqua" w:cs="宋体"/>
          <w:color w:val="000000"/>
          <w:sz w:val="24"/>
          <w:szCs w:val="24"/>
        </w:rPr>
        <w:t xml:space="preserve"> V, </w:t>
      </w:r>
      <w:proofErr w:type="spellStart"/>
      <w:r w:rsidRPr="00A02A04">
        <w:rPr>
          <w:rFonts w:ascii="Book Antiqua" w:hAnsi="Book Antiqua" w:cs="宋体"/>
          <w:color w:val="000000"/>
          <w:sz w:val="24"/>
          <w:szCs w:val="24"/>
        </w:rPr>
        <w:t>Bolondi</w:t>
      </w:r>
      <w:proofErr w:type="spellEnd"/>
      <w:r w:rsidRPr="00A02A04">
        <w:rPr>
          <w:rFonts w:ascii="Book Antiqua" w:hAnsi="Book Antiqua" w:cs="宋体"/>
          <w:color w:val="000000"/>
          <w:sz w:val="24"/>
          <w:szCs w:val="24"/>
        </w:rPr>
        <w:t xml:space="preserve"> L, </w:t>
      </w:r>
      <w:proofErr w:type="spellStart"/>
      <w:r w:rsidRPr="00A02A04">
        <w:rPr>
          <w:rFonts w:ascii="Book Antiqua" w:hAnsi="Book Antiqua" w:cs="宋体"/>
          <w:color w:val="000000"/>
          <w:sz w:val="24"/>
          <w:szCs w:val="24"/>
        </w:rPr>
        <w:t>Craxi</w:t>
      </w:r>
      <w:proofErr w:type="spellEnd"/>
      <w:r w:rsidRPr="00A02A04">
        <w:rPr>
          <w:rFonts w:ascii="Book Antiqua" w:hAnsi="Book Antiqua" w:cs="宋体"/>
          <w:color w:val="000000"/>
          <w:sz w:val="24"/>
          <w:szCs w:val="24"/>
        </w:rPr>
        <w:t xml:space="preserve"> A, Galle PR, Santoro A, </w:t>
      </w:r>
      <w:proofErr w:type="spellStart"/>
      <w:r w:rsidRPr="00A02A04">
        <w:rPr>
          <w:rFonts w:ascii="Book Antiqua" w:hAnsi="Book Antiqua" w:cs="宋体"/>
          <w:color w:val="000000"/>
          <w:sz w:val="24"/>
          <w:szCs w:val="24"/>
        </w:rPr>
        <w:t>Beaugrand</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Sangiovanni</w:t>
      </w:r>
      <w:proofErr w:type="spellEnd"/>
      <w:r w:rsidRPr="00A02A04">
        <w:rPr>
          <w:rFonts w:ascii="Book Antiqua" w:hAnsi="Book Antiqua" w:cs="宋体"/>
          <w:color w:val="000000"/>
          <w:sz w:val="24"/>
          <w:szCs w:val="24"/>
        </w:rPr>
        <w:t xml:space="preserve"> A, </w:t>
      </w:r>
      <w:proofErr w:type="spellStart"/>
      <w:r w:rsidRPr="00A02A04">
        <w:rPr>
          <w:rFonts w:ascii="Book Antiqua" w:hAnsi="Book Antiqua" w:cs="宋体"/>
          <w:color w:val="000000"/>
          <w:sz w:val="24"/>
          <w:szCs w:val="24"/>
        </w:rPr>
        <w:t>Porta</w:t>
      </w:r>
      <w:proofErr w:type="spellEnd"/>
      <w:r w:rsidRPr="00A02A04">
        <w:rPr>
          <w:rFonts w:ascii="Book Antiqua" w:hAnsi="Book Antiqua" w:cs="宋体"/>
          <w:color w:val="000000"/>
          <w:sz w:val="24"/>
          <w:szCs w:val="24"/>
        </w:rPr>
        <w:t xml:space="preserve"> C, </w:t>
      </w:r>
      <w:proofErr w:type="spellStart"/>
      <w:r w:rsidRPr="00A02A04">
        <w:rPr>
          <w:rFonts w:ascii="Book Antiqua" w:hAnsi="Book Antiqua" w:cs="宋体"/>
          <w:color w:val="000000"/>
          <w:sz w:val="24"/>
          <w:szCs w:val="24"/>
        </w:rPr>
        <w:t>Gerken</w:t>
      </w:r>
      <w:proofErr w:type="spellEnd"/>
      <w:r w:rsidRPr="00A02A04">
        <w:rPr>
          <w:rFonts w:ascii="Book Antiqua" w:hAnsi="Book Antiqua" w:cs="宋体"/>
          <w:color w:val="000000"/>
          <w:sz w:val="24"/>
          <w:szCs w:val="24"/>
        </w:rPr>
        <w:t xml:space="preserve"> G, Marrero JA, </w:t>
      </w:r>
      <w:proofErr w:type="spellStart"/>
      <w:r w:rsidRPr="00A02A04">
        <w:rPr>
          <w:rFonts w:ascii="Book Antiqua" w:hAnsi="Book Antiqua" w:cs="宋体"/>
          <w:color w:val="000000"/>
          <w:sz w:val="24"/>
          <w:szCs w:val="24"/>
        </w:rPr>
        <w:t>Nadel</w:t>
      </w:r>
      <w:proofErr w:type="spellEnd"/>
      <w:r w:rsidRPr="00A02A04">
        <w:rPr>
          <w:rFonts w:ascii="Book Antiqua" w:hAnsi="Book Antiqua" w:cs="宋体"/>
          <w:color w:val="000000"/>
          <w:sz w:val="24"/>
          <w:szCs w:val="24"/>
        </w:rPr>
        <w:t xml:space="preserve"> A, Shan M, </w:t>
      </w:r>
      <w:proofErr w:type="spellStart"/>
      <w:r w:rsidRPr="00A02A04">
        <w:rPr>
          <w:rFonts w:ascii="Book Antiqua" w:hAnsi="Book Antiqua" w:cs="宋体"/>
          <w:color w:val="000000"/>
          <w:sz w:val="24"/>
          <w:szCs w:val="24"/>
        </w:rPr>
        <w:t>Moscovici</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Voliotis</w:t>
      </w:r>
      <w:proofErr w:type="spellEnd"/>
      <w:r w:rsidRPr="00A02A04">
        <w:rPr>
          <w:rFonts w:ascii="Book Antiqua" w:hAnsi="Book Antiqua" w:cs="宋体"/>
          <w:color w:val="000000"/>
          <w:sz w:val="24"/>
          <w:szCs w:val="24"/>
        </w:rPr>
        <w:t xml:space="preserve"> D, </w:t>
      </w:r>
      <w:proofErr w:type="spellStart"/>
      <w:r w:rsidRPr="00A02A04">
        <w:rPr>
          <w:rFonts w:ascii="Book Antiqua" w:hAnsi="Book Antiqua" w:cs="宋体"/>
          <w:color w:val="000000"/>
          <w:sz w:val="24"/>
          <w:szCs w:val="24"/>
        </w:rPr>
        <w:t>Llovet</w:t>
      </w:r>
      <w:proofErr w:type="spellEnd"/>
      <w:r w:rsidRPr="00A02A04">
        <w:rPr>
          <w:rFonts w:ascii="Book Antiqua" w:hAnsi="Book Antiqua" w:cs="宋体"/>
          <w:color w:val="000000"/>
          <w:sz w:val="24"/>
          <w:szCs w:val="24"/>
        </w:rPr>
        <w:t xml:space="preserve"> JM. Efficacy and safety of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xml:space="preserve"> in patients with advanced hepatocellular carcinoma: </w:t>
      </w:r>
      <w:proofErr w:type="spellStart"/>
      <w:r w:rsidRPr="00A02A04">
        <w:rPr>
          <w:rFonts w:ascii="Book Antiqua" w:hAnsi="Book Antiqua" w:cs="宋体"/>
          <w:color w:val="000000"/>
          <w:sz w:val="24"/>
          <w:szCs w:val="24"/>
        </w:rPr>
        <w:t>subanalyses</w:t>
      </w:r>
      <w:proofErr w:type="spellEnd"/>
      <w:r w:rsidRPr="00A02A04">
        <w:rPr>
          <w:rFonts w:ascii="Book Antiqua" w:hAnsi="Book Antiqua" w:cs="宋体"/>
          <w:color w:val="000000"/>
          <w:sz w:val="24"/>
          <w:szCs w:val="24"/>
        </w:rPr>
        <w:t xml:space="preserve"> of a phase III trial. </w:t>
      </w:r>
      <w:r w:rsidRPr="00A02A04">
        <w:rPr>
          <w:rFonts w:ascii="Book Antiqua" w:hAnsi="Book Antiqua" w:cs="宋体"/>
          <w:i/>
          <w:iCs/>
          <w:color w:val="000000"/>
          <w:sz w:val="24"/>
          <w:szCs w:val="24"/>
        </w:rPr>
        <w:t xml:space="preserve">J </w:t>
      </w:r>
      <w:proofErr w:type="spellStart"/>
      <w:r w:rsidRPr="00A02A04">
        <w:rPr>
          <w:rFonts w:ascii="Book Antiqua" w:hAnsi="Book Antiqua" w:cs="宋体"/>
          <w:i/>
          <w:iCs/>
          <w:color w:val="000000"/>
          <w:sz w:val="24"/>
          <w:szCs w:val="24"/>
        </w:rPr>
        <w:t>Hepatol</w:t>
      </w:r>
      <w:proofErr w:type="spellEnd"/>
      <w:r w:rsidRPr="00A02A04">
        <w:rPr>
          <w:rFonts w:ascii="Book Antiqua" w:hAnsi="Book Antiqua" w:cs="宋体"/>
          <w:color w:val="000000"/>
          <w:sz w:val="24"/>
          <w:szCs w:val="24"/>
        </w:rPr>
        <w:t> 2012; </w:t>
      </w:r>
      <w:r w:rsidRPr="00A02A04">
        <w:rPr>
          <w:rFonts w:ascii="Book Antiqua" w:hAnsi="Book Antiqua" w:cs="宋体"/>
          <w:b/>
          <w:bCs/>
          <w:color w:val="000000"/>
          <w:sz w:val="24"/>
          <w:szCs w:val="24"/>
        </w:rPr>
        <w:t>57</w:t>
      </w:r>
      <w:r w:rsidRPr="00A02A04">
        <w:rPr>
          <w:rFonts w:ascii="Book Antiqua" w:hAnsi="Book Antiqua" w:cs="宋体"/>
          <w:color w:val="000000"/>
          <w:sz w:val="24"/>
          <w:szCs w:val="24"/>
        </w:rPr>
        <w:t>: 821-829 [PMID: 22727733 DOI: 10.1016/j.jhep.2012.06.014]</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lastRenderedPageBreak/>
        <w:t>24 </w:t>
      </w:r>
      <w:proofErr w:type="spellStart"/>
      <w:r w:rsidRPr="00A02A04">
        <w:rPr>
          <w:rFonts w:ascii="Book Antiqua" w:hAnsi="Book Antiqua" w:cs="宋体"/>
          <w:b/>
          <w:bCs/>
          <w:color w:val="000000"/>
          <w:sz w:val="24"/>
          <w:szCs w:val="24"/>
        </w:rPr>
        <w:t>Vrancken</w:t>
      </w:r>
      <w:proofErr w:type="spellEnd"/>
      <w:r w:rsidRPr="00A02A04">
        <w:rPr>
          <w:rFonts w:ascii="Book Antiqua" w:hAnsi="Book Antiqua" w:cs="宋体"/>
          <w:b/>
          <w:bCs/>
          <w:color w:val="000000"/>
          <w:sz w:val="24"/>
          <w:szCs w:val="24"/>
        </w:rPr>
        <w:t xml:space="preserve"> K</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Paeshuyse</w:t>
      </w:r>
      <w:proofErr w:type="spellEnd"/>
      <w:r w:rsidRPr="00A02A04">
        <w:rPr>
          <w:rFonts w:ascii="Book Antiqua" w:hAnsi="Book Antiqua" w:cs="宋体"/>
          <w:color w:val="000000"/>
          <w:sz w:val="24"/>
          <w:szCs w:val="24"/>
        </w:rPr>
        <w:t xml:space="preserve"> J, </w:t>
      </w:r>
      <w:proofErr w:type="spellStart"/>
      <w:r w:rsidRPr="00A02A04">
        <w:rPr>
          <w:rFonts w:ascii="Book Antiqua" w:hAnsi="Book Antiqua" w:cs="宋体"/>
          <w:color w:val="000000"/>
          <w:sz w:val="24"/>
          <w:szCs w:val="24"/>
        </w:rPr>
        <w:t>Liekens</w:t>
      </w:r>
      <w:proofErr w:type="spellEnd"/>
      <w:r w:rsidRPr="00A02A04">
        <w:rPr>
          <w:rFonts w:ascii="Book Antiqua" w:hAnsi="Book Antiqua" w:cs="宋体"/>
          <w:color w:val="000000"/>
          <w:sz w:val="24"/>
          <w:szCs w:val="24"/>
        </w:rPr>
        <w:t xml:space="preserve"> S. </w:t>
      </w:r>
      <w:proofErr w:type="spellStart"/>
      <w:r w:rsidRPr="00A02A04">
        <w:rPr>
          <w:rFonts w:ascii="Book Antiqua" w:hAnsi="Book Antiqua" w:cs="宋体"/>
          <w:color w:val="000000"/>
          <w:sz w:val="24"/>
          <w:szCs w:val="24"/>
        </w:rPr>
        <w:t>Angiogenic</w:t>
      </w:r>
      <w:proofErr w:type="spellEnd"/>
      <w:r w:rsidRPr="00A02A04">
        <w:rPr>
          <w:rFonts w:ascii="Book Antiqua" w:hAnsi="Book Antiqua" w:cs="宋体"/>
          <w:color w:val="000000"/>
          <w:sz w:val="24"/>
          <w:szCs w:val="24"/>
        </w:rPr>
        <w:t xml:space="preserve"> activity of hepatitis B and C viruses. </w:t>
      </w:r>
      <w:proofErr w:type="spellStart"/>
      <w:r w:rsidRPr="00A02A04">
        <w:rPr>
          <w:rFonts w:ascii="Book Antiqua" w:hAnsi="Book Antiqua" w:cs="宋体"/>
          <w:i/>
          <w:iCs/>
          <w:color w:val="000000"/>
          <w:sz w:val="24"/>
          <w:szCs w:val="24"/>
        </w:rPr>
        <w:t>Antivir</w:t>
      </w:r>
      <w:proofErr w:type="spellEnd"/>
      <w:r w:rsidRPr="00A02A04">
        <w:rPr>
          <w:rFonts w:ascii="Book Antiqua" w:hAnsi="Book Antiqua" w:cs="宋体"/>
          <w:i/>
          <w:iCs/>
          <w:color w:val="000000"/>
          <w:sz w:val="24"/>
          <w:szCs w:val="24"/>
        </w:rPr>
        <w:t xml:space="preserve"> </w:t>
      </w:r>
      <w:proofErr w:type="spellStart"/>
      <w:r w:rsidRPr="00A02A04">
        <w:rPr>
          <w:rFonts w:ascii="Book Antiqua" w:hAnsi="Book Antiqua" w:cs="宋体"/>
          <w:i/>
          <w:iCs/>
          <w:color w:val="000000"/>
          <w:sz w:val="24"/>
          <w:szCs w:val="24"/>
        </w:rPr>
        <w:t>Chem</w:t>
      </w:r>
      <w:proofErr w:type="spellEnd"/>
      <w:r w:rsidRPr="00A02A04">
        <w:rPr>
          <w:rFonts w:ascii="Book Antiqua" w:hAnsi="Book Antiqua" w:cs="宋体"/>
          <w:i/>
          <w:iCs/>
          <w:color w:val="000000"/>
          <w:sz w:val="24"/>
          <w:szCs w:val="24"/>
        </w:rPr>
        <w:t xml:space="preserve"> </w:t>
      </w:r>
      <w:proofErr w:type="spellStart"/>
      <w:r w:rsidRPr="00A02A04">
        <w:rPr>
          <w:rFonts w:ascii="Book Antiqua" w:hAnsi="Book Antiqua" w:cs="宋体"/>
          <w:i/>
          <w:iCs/>
          <w:color w:val="000000"/>
          <w:sz w:val="24"/>
          <w:szCs w:val="24"/>
        </w:rPr>
        <w:t>Chemother</w:t>
      </w:r>
      <w:proofErr w:type="spellEnd"/>
      <w:r w:rsidRPr="00A02A04">
        <w:rPr>
          <w:rFonts w:ascii="Book Antiqua" w:hAnsi="Book Antiqua" w:cs="宋体"/>
          <w:color w:val="000000"/>
          <w:sz w:val="24"/>
          <w:szCs w:val="24"/>
        </w:rPr>
        <w:t> 2012; </w:t>
      </w:r>
      <w:r w:rsidRPr="00A02A04">
        <w:rPr>
          <w:rFonts w:ascii="Book Antiqua" w:hAnsi="Book Antiqua" w:cs="宋体"/>
          <w:b/>
          <w:bCs/>
          <w:color w:val="000000"/>
          <w:sz w:val="24"/>
          <w:szCs w:val="24"/>
        </w:rPr>
        <w:t>22</w:t>
      </w:r>
      <w:r w:rsidRPr="00A02A04">
        <w:rPr>
          <w:rFonts w:ascii="Book Antiqua" w:hAnsi="Book Antiqua" w:cs="宋体"/>
          <w:color w:val="000000"/>
          <w:sz w:val="24"/>
          <w:szCs w:val="24"/>
        </w:rPr>
        <w:t>: 159-170 [PMID: 22182803 DOI: 10.3851/IMP1987]</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25 </w:t>
      </w:r>
      <w:r w:rsidRPr="00A02A04">
        <w:rPr>
          <w:rFonts w:ascii="Book Antiqua" w:hAnsi="Book Antiqua" w:cs="宋体"/>
          <w:b/>
          <w:bCs/>
          <w:color w:val="000000"/>
          <w:sz w:val="24"/>
          <w:szCs w:val="24"/>
        </w:rPr>
        <w:t>Chen J</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Siddiqui</w:t>
      </w:r>
      <w:proofErr w:type="spellEnd"/>
      <w:r w:rsidRPr="00A02A04">
        <w:rPr>
          <w:rFonts w:ascii="Book Antiqua" w:hAnsi="Book Antiqua" w:cs="宋体"/>
          <w:color w:val="000000"/>
          <w:sz w:val="24"/>
          <w:szCs w:val="24"/>
        </w:rPr>
        <w:t xml:space="preserve"> A. Hepatitis B virus X protein stimulates the mitochondrial translocation of Raf-1 via oxidative stress. </w:t>
      </w:r>
      <w:r w:rsidRPr="00A02A04">
        <w:rPr>
          <w:rFonts w:ascii="Book Antiqua" w:hAnsi="Book Antiqua" w:cs="宋体"/>
          <w:i/>
          <w:iCs/>
          <w:color w:val="000000"/>
          <w:sz w:val="24"/>
          <w:szCs w:val="24"/>
        </w:rPr>
        <w:t xml:space="preserve">J </w:t>
      </w:r>
      <w:proofErr w:type="spellStart"/>
      <w:r w:rsidRPr="00A02A04">
        <w:rPr>
          <w:rFonts w:ascii="Book Antiqua" w:hAnsi="Book Antiqua" w:cs="宋体"/>
          <w:i/>
          <w:iCs/>
          <w:color w:val="000000"/>
          <w:sz w:val="24"/>
          <w:szCs w:val="24"/>
        </w:rPr>
        <w:t>Virol</w:t>
      </w:r>
      <w:proofErr w:type="spellEnd"/>
      <w:r w:rsidRPr="00A02A04">
        <w:rPr>
          <w:rFonts w:ascii="Book Antiqua" w:hAnsi="Book Antiqua" w:cs="宋体"/>
          <w:color w:val="000000"/>
          <w:sz w:val="24"/>
          <w:szCs w:val="24"/>
        </w:rPr>
        <w:t> 2007; </w:t>
      </w:r>
      <w:r w:rsidRPr="00A02A04">
        <w:rPr>
          <w:rFonts w:ascii="Book Antiqua" w:hAnsi="Book Antiqua" w:cs="宋体"/>
          <w:b/>
          <w:bCs/>
          <w:color w:val="000000"/>
          <w:sz w:val="24"/>
          <w:szCs w:val="24"/>
        </w:rPr>
        <w:t>81</w:t>
      </w:r>
      <w:r w:rsidRPr="00A02A04">
        <w:rPr>
          <w:rFonts w:ascii="Book Antiqua" w:hAnsi="Book Antiqua" w:cs="宋体"/>
          <w:color w:val="000000"/>
          <w:sz w:val="24"/>
          <w:szCs w:val="24"/>
        </w:rPr>
        <w:t>: 6757-6760 [PMID: 17428866 DOI: 10.1128/JVI.00172-07]</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26 </w:t>
      </w:r>
      <w:proofErr w:type="spellStart"/>
      <w:r w:rsidRPr="00A02A04">
        <w:rPr>
          <w:rFonts w:ascii="Book Antiqua" w:hAnsi="Book Antiqua" w:cs="宋体"/>
          <w:b/>
          <w:bCs/>
          <w:color w:val="000000"/>
          <w:sz w:val="24"/>
          <w:szCs w:val="24"/>
        </w:rPr>
        <w:t>Giambartolomei</w:t>
      </w:r>
      <w:proofErr w:type="spellEnd"/>
      <w:r w:rsidRPr="00A02A04">
        <w:rPr>
          <w:rFonts w:ascii="Book Antiqua" w:hAnsi="Book Antiqua" w:cs="宋体"/>
          <w:b/>
          <w:bCs/>
          <w:color w:val="000000"/>
          <w:sz w:val="24"/>
          <w:szCs w:val="24"/>
        </w:rPr>
        <w:t xml:space="preserve"> S</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Covone</w:t>
      </w:r>
      <w:proofErr w:type="spellEnd"/>
      <w:r w:rsidRPr="00A02A04">
        <w:rPr>
          <w:rFonts w:ascii="Book Antiqua" w:hAnsi="Book Antiqua" w:cs="宋体"/>
          <w:color w:val="000000"/>
          <w:sz w:val="24"/>
          <w:szCs w:val="24"/>
        </w:rPr>
        <w:t xml:space="preserve"> F, </w:t>
      </w:r>
      <w:proofErr w:type="spellStart"/>
      <w:r w:rsidRPr="00A02A04">
        <w:rPr>
          <w:rFonts w:ascii="Book Antiqua" w:hAnsi="Book Antiqua" w:cs="宋体"/>
          <w:color w:val="000000"/>
          <w:sz w:val="24"/>
          <w:szCs w:val="24"/>
        </w:rPr>
        <w:t>Levrero</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Balsano</w:t>
      </w:r>
      <w:proofErr w:type="spellEnd"/>
      <w:r w:rsidRPr="00A02A04">
        <w:rPr>
          <w:rFonts w:ascii="Book Antiqua" w:hAnsi="Book Antiqua" w:cs="宋体"/>
          <w:color w:val="000000"/>
          <w:sz w:val="24"/>
          <w:szCs w:val="24"/>
        </w:rPr>
        <w:t xml:space="preserve"> C. Sustained activation of the </w:t>
      </w:r>
      <w:proofErr w:type="spellStart"/>
      <w:r w:rsidRPr="00A02A04">
        <w:rPr>
          <w:rFonts w:ascii="Book Antiqua" w:hAnsi="Book Antiqua" w:cs="宋体"/>
          <w:color w:val="000000"/>
          <w:sz w:val="24"/>
          <w:szCs w:val="24"/>
        </w:rPr>
        <w:t>Raf</w:t>
      </w:r>
      <w:proofErr w:type="spellEnd"/>
      <w:r w:rsidRPr="00A02A04">
        <w:rPr>
          <w:rFonts w:ascii="Book Antiqua" w:hAnsi="Book Antiqua" w:cs="宋体"/>
          <w:color w:val="000000"/>
          <w:sz w:val="24"/>
          <w:szCs w:val="24"/>
        </w:rPr>
        <w:t>/MEK/</w:t>
      </w:r>
      <w:proofErr w:type="spellStart"/>
      <w:r w:rsidRPr="00A02A04">
        <w:rPr>
          <w:rFonts w:ascii="Book Antiqua" w:hAnsi="Book Antiqua" w:cs="宋体"/>
          <w:color w:val="000000"/>
          <w:sz w:val="24"/>
          <w:szCs w:val="24"/>
        </w:rPr>
        <w:t>Erk</w:t>
      </w:r>
      <w:proofErr w:type="spellEnd"/>
      <w:r w:rsidRPr="00A02A04">
        <w:rPr>
          <w:rFonts w:ascii="Book Antiqua" w:hAnsi="Book Antiqua" w:cs="宋体"/>
          <w:color w:val="000000"/>
          <w:sz w:val="24"/>
          <w:szCs w:val="24"/>
        </w:rPr>
        <w:t xml:space="preserve"> pathway in response to EGF in stable cell lines expressing the Hepatitis C Virus (HCV) core protein. </w:t>
      </w:r>
      <w:r w:rsidRPr="00A02A04">
        <w:rPr>
          <w:rFonts w:ascii="Book Antiqua" w:hAnsi="Book Antiqua" w:cs="宋体"/>
          <w:i/>
          <w:iCs/>
          <w:color w:val="000000"/>
          <w:sz w:val="24"/>
          <w:szCs w:val="24"/>
        </w:rPr>
        <w:t>Oncogene</w:t>
      </w:r>
      <w:r w:rsidRPr="00A02A04">
        <w:rPr>
          <w:rFonts w:ascii="Book Antiqua" w:hAnsi="Book Antiqua" w:cs="宋体"/>
          <w:color w:val="000000"/>
          <w:sz w:val="24"/>
          <w:szCs w:val="24"/>
        </w:rPr>
        <w:t> 2001; </w:t>
      </w:r>
      <w:r w:rsidRPr="00A02A04">
        <w:rPr>
          <w:rFonts w:ascii="Book Antiqua" w:hAnsi="Book Antiqua" w:cs="宋体"/>
          <w:b/>
          <w:bCs/>
          <w:color w:val="000000"/>
          <w:sz w:val="24"/>
          <w:szCs w:val="24"/>
        </w:rPr>
        <w:t>20</w:t>
      </w:r>
      <w:r w:rsidRPr="00A02A04">
        <w:rPr>
          <w:rFonts w:ascii="Book Antiqua" w:hAnsi="Book Antiqua" w:cs="宋体"/>
          <w:color w:val="000000"/>
          <w:sz w:val="24"/>
          <w:szCs w:val="24"/>
        </w:rPr>
        <w:t>: 2606-2610 [PMID: 11420671 DOI: 10.1038/sj.onc.1204372]</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27 </w:t>
      </w:r>
      <w:r w:rsidRPr="00A02A04">
        <w:rPr>
          <w:rFonts w:ascii="Book Antiqua" w:hAnsi="Book Antiqua" w:cs="宋体"/>
          <w:b/>
          <w:bCs/>
          <w:color w:val="000000"/>
          <w:sz w:val="24"/>
          <w:szCs w:val="24"/>
        </w:rPr>
        <w:t>Aoki H</w:t>
      </w:r>
      <w:r w:rsidRPr="00A02A04">
        <w:rPr>
          <w:rFonts w:ascii="Book Antiqua" w:hAnsi="Book Antiqua" w:cs="宋体"/>
          <w:color w:val="000000"/>
          <w:sz w:val="24"/>
          <w:szCs w:val="24"/>
        </w:rPr>
        <w:t>, Hayashi J, Moriyama M, Arakawa Y, Hino O. Hepatitis C virus core protein interacts with 14-3-3 protein and activates the kinase Raf-1. </w:t>
      </w:r>
      <w:r w:rsidRPr="00A02A04">
        <w:rPr>
          <w:rFonts w:ascii="Book Antiqua" w:hAnsi="Book Antiqua" w:cs="宋体"/>
          <w:i/>
          <w:iCs/>
          <w:color w:val="000000"/>
          <w:sz w:val="24"/>
          <w:szCs w:val="24"/>
        </w:rPr>
        <w:t xml:space="preserve">J </w:t>
      </w:r>
      <w:proofErr w:type="spellStart"/>
      <w:r w:rsidRPr="00A02A04">
        <w:rPr>
          <w:rFonts w:ascii="Book Antiqua" w:hAnsi="Book Antiqua" w:cs="宋体"/>
          <w:i/>
          <w:iCs/>
          <w:color w:val="000000"/>
          <w:sz w:val="24"/>
          <w:szCs w:val="24"/>
        </w:rPr>
        <w:t>Virol</w:t>
      </w:r>
      <w:proofErr w:type="spellEnd"/>
      <w:r w:rsidRPr="00A02A04">
        <w:rPr>
          <w:rFonts w:ascii="Book Antiqua" w:hAnsi="Book Antiqua" w:cs="宋体"/>
          <w:color w:val="000000"/>
          <w:sz w:val="24"/>
          <w:szCs w:val="24"/>
        </w:rPr>
        <w:t> 2000; </w:t>
      </w:r>
      <w:r w:rsidRPr="00A02A04">
        <w:rPr>
          <w:rFonts w:ascii="Book Antiqua" w:hAnsi="Book Antiqua" w:cs="宋体"/>
          <w:b/>
          <w:bCs/>
          <w:color w:val="000000"/>
          <w:sz w:val="24"/>
          <w:szCs w:val="24"/>
        </w:rPr>
        <w:t>74</w:t>
      </w:r>
      <w:r w:rsidRPr="00A02A04">
        <w:rPr>
          <w:rFonts w:ascii="Book Antiqua" w:hAnsi="Book Antiqua" w:cs="宋体"/>
          <w:color w:val="000000"/>
          <w:sz w:val="24"/>
          <w:szCs w:val="24"/>
        </w:rPr>
        <w:t>: 1736-1741 [PMID: 10644344]</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28 </w:t>
      </w:r>
      <w:proofErr w:type="spellStart"/>
      <w:r w:rsidRPr="00A02A04">
        <w:rPr>
          <w:rFonts w:ascii="Book Antiqua" w:hAnsi="Book Antiqua" w:cs="宋体"/>
          <w:b/>
          <w:bCs/>
          <w:color w:val="000000"/>
          <w:sz w:val="24"/>
          <w:szCs w:val="24"/>
        </w:rPr>
        <w:t>Wörns</w:t>
      </w:r>
      <w:proofErr w:type="spellEnd"/>
      <w:r w:rsidRPr="00A02A04">
        <w:rPr>
          <w:rFonts w:ascii="Book Antiqua" w:hAnsi="Book Antiqua" w:cs="宋体"/>
          <w:b/>
          <w:bCs/>
          <w:color w:val="000000"/>
          <w:sz w:val="24"/>
          <w:szCs w:val="24"/>
        </w:rPr>
        <w:t xml:space="preserve"> MA</w:t>
      </w:r>
      <w:r w:rsidRPr="00A02A04">
        <w:rPr>
          <w:rFonts w:ascii="Book Antiqua" w:hAnsi="Book Antiqua" w:cs="宋体"/>
          <w:color w:val="000000"/>
          <w:sz w:val="24"/>
          <w:szCs w:val="24"/>
        </w:rPr>
        <w:t xml:space="preserve">, Koch S, </w:t>
      </w:r>
      <w:proofErr w:type="spellStart"/>
      <w:r w:rsidRPr="00A02A04">
        <w:rPr>
          <w:rFonts w:ascii="Book Antiqua" w:hAnsi="Book Antiqua" w:cs="宋体"/>
          <w:color w:val="000000"/>
          <w:sz w:val="24"/>
          <w:szCs w:val="24"/>
        </w:rPr>
        <w:t>Niederle</w:t>
      </w:r>
      <w:proofErr w:type="spellEnd"/>
      <w:r w:rsidRPr="00A02A04">
        <w:rPr>
          <w:rFonts w:ascii="Book Antiqua" w:hAnsi="Book Antiqua" w:cs="宋体"/>
          <w:color w:val="000000"/>
          <w:sz w:val="24"/>
          <w:szCs w:val="24"/>
        </w:rPr>
        <w:t xml:space="preserve"> IM, Marquardt JU, Nguyen-Tat M, </w:t>
      </w:r>
      <w:proofErr w:type="spellStart"/>
      <w:r w:rsidRPr="00A02A04">
        <w:rPr>
          <w:rFonts w:ascii="Book Antiqua" w:hAnsi="Book Antiqua" w:cs="宋体"/>
          <w:color w:val="000000"/>
          <w:sz w:val="24"/>
          <w:szCs w:val="24"/>
        </w:rPr>
        <w:t>Gamstätter</w:t>
      </w:r>
      <w:proofErr w:type="spellEnd"/>
      <w:r w:rsidRPr="00A02A04">
        <w:rPr>
          <w:rFonts w:ascii="Book Antiqua" w:hAnsi="Book Antiqua" w:cs="宋体"/>
          <w:color w:val="000000"/>
          <w:sz w:val="24"/>
          <w:szCs w:val="24"/>
        </w:rPr>
        <w:t xml:space="preserve"> T, </w:t>
      </w:r>
      <w:proofErr w:type="spellStart"/>
      <w:r w:rsidRPr="00A02A04">
        <w:rPr>
          <w:rFonts w:ascii="Book Antiqua" w:hAnsi="Book Antiqua" w:cs="宋体"/>
          <w:color w:val="000000"/>
          <w:sz w:val="24"/>
          <w:szCs w:val="24"/>
        </w:rPr>
        <w:t>Schuchmann</w:t>
      </w:r>
      <w:proofErr w:type="spellEnd"/>
      <w:r w:rsidRPr="00A02A04">
        <w:rPr>
          <w:rFonts w:ascii="Book Antiqua" w:hAnsi="Book Antiqua" w:cs="宋体"/>
          <w:color w:val="000000"/>
          <w:sz w:val="24"/>
          <w:szCs w:val="24"/>
        </w:rPr>
        <w:t xml:space="preserve"> M, Schulze-</w:t>
      </w:r>
      <w:proofErr w:type="spellStart"/>
      <w:r w:rsidRPr="00A02A04">
        <w:rPr>
          <w:rFonts w:ascii="Book Antiqua" w:hAnsi="Book Antiqua" w:cs="宋体"/>
          <w:color w:val="000000"/>
          <w:sz w:val="24"/>
          <w:szCs w:val="24"/>
        </w:rPr>
        <w:t>Bergkamen</w:t>
      </w:r>
      <w:proofErr w:type="spellEnd"/>
      <w:r w:rsidRPr="00A02A04">
        <w:rPr>
          <w:rFonts w:ascii="Book Antiqua" w:hAnsi="Book Antiqua" w:cs="宋体"/>
          <w:color w:val="000000"/>
          <w:sz w:val="24"/>
          <w:szCs w:val="24"/>
        </w:rPr>
        <w:t xml:space="preserve"> H, Galle PR, </w:t>
      </w:r>
      <w:proofErr w:type="spellStart"/>
      <w:r w:rsidRPr="00A02A04">
        <w:rPr>
          <w:rFonts w:ascii="Book Antiqua" w:hAnsi="Book Antiqua" w:cs="宋体"/>
          <w:color w:val="000000"/>
          <w:sz w:val="24"/>
          <w:szCs w:val="24"/>
        </w:rPr>
        <w:t>Weinmann</w:t>
      </w:r>
      <w:proofErr w:type="spellEnd"/>
      <w:r w:rsidRPr="00A02A04">
        <w:rPr>
          <w:rFonts w:ascii="Book Antiqua" w:hAnsi="Book Antiqua" w:cs="宋体"/>
          <w:color w:val="000000"/>
          <w:sz w:val="24"/>
          <w:szCs w:val="24"/>
        </w:rPr>
        <w:t xml:space="preserve"> A. The impact of patient and tumour baseline characteristics on the overall survival of patients with advanced hepatocellular carcinoma treated with </w:t>
      </w:r>
      <w:proofErr w:type="spellStart"/>
      <w:r w:rsidRPr="00A02A04">
        <w:rPr>
          <w:rFonts w:ascii="Book Antiqua" w:hAnsi="Book Antiqua" w:cs="宋体"/>
          <w:color w:val="000000"/>
          <w:sz w:val="24"/>
          <w:szCs w:val="24"/>
        </w:rPr>
        <w:t>sorafenib</w:t>
      </w:r>
      <w:proofErr w:type="spellEnd"/>
      <w:r w:rsidRPr="00A02A04">
        <w:rPr>
          <w:rFonts w:ascii="Book Antiqua" w:hAnsi="Book Antiqua" w:cs="宋体"/>
          <w:color w:val="000000"/>
          <w:sz w:val="24"/>
          <w:szCs w:val="24"/>
        </w:rPr>
        <w:t>. </w:t>
      </w:r>
      <w:r w:rsidRPr="00A02A04">
        <w:rPr>
          <w:rFonts w:ascii="Book Antiqua" w:hAnsi="Book Antiqua" w:cs="宋体"/>
          <w:i/>
          <w:iCs/>
          <w:color w:val="000000"/>
          <w:sz w:val="24"/>
          <w:szCs w:val="24"/>
        </w:rPr>
        <w:t>Dig Liver Dis</w:t>
      </w:r>
      <w:r w:rsidRPr="00A02A04">
        <w:rPr>
          <w:rFonts w:ascii="Book Antiqua" w:hAnsi="Book Antiqua" w:cs="宋体"/>
          <w:color w:val="000000"/>
          <w:sz w:val="24"/>
          <w:szCs w:val="24"/>
        </w:rPr>
        <w:t> 2013; </w:t>
      </w:r>
      <w:r w:rsidRPr="00A02A04">
        <w:rPr>
          <w:rFonts w:ascii="Book Antiqua" w:hAnsi="Book Antiqua" w:cs="宋体"/>
          <w:b/>
          <w:bCs/>
          <w:color w:val="000000"/>
          <w:sz w:val="24"/>
          <w:szCs w:val="24"/>
        </w:rPr>
        <w:t>45</w:t>
      </w:r>
      <w:r w:rsidRPr="00A02A04">
        <w:rPr>
          <w:rFonts w:ascii="Book Antiqua" w:hAnsi="Book Antiqua" w:cs="宋体"/>
          <w:color w:val="000000"/>
          <w:sz w:val="24"/>
          <w:szCs w:val="24"/>
        </w:rPr>
        <w:t>: 408-413 [PMID: 23182599 DOI: 10.1016/j.dld.2012.10.010]</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29 </w:t>
      </w:r>
      <w:proofErr w:type="spellStart"/>
      <w:r w:rsidRPr="00A02A04">
        <w:rPr>
          <w:rFonts w:ascii="Book Antiqua" w:hAnsi="Book Antiqua" w:cs="宋体"/>
          <w:b/>
          <w:bCs/>
          <w:color w:val="000000"/>
          <w:sz w:val="24"/>
          <w:szCs w:val="24"/>
        </w:rPr>
        <w:t>Marchesini</w:t>
      </w:r>
      <w:proofErr w:type="spellEnd"/>
      <w:r w:rsidRPr="00A02A04">
        <w:rPr>
          <w:rFonts w:ascii="Book Antiqua" w:hAnsi="Book Antiqua" w:cs="宋体"/>
          <w:b/>
          <w:bCs/>
          <w:color w:val="000000"/>
          <w:sz w:val="24"/>
          <w:szCs w:val="24"/>
        </w:rPr>
        <w:t xml:space="preserve"> G</w:t>
      </w:r>
      <w:r w:rsidRPr="00A02A04">
        <w:rPr>
          <w:rFonts w:ascii="Book Antiqua" w:hAnsi="Book Antiqua" w:cs="宋体"/>
          <w:color w:val="000000"/>
          <w:sz w:val="24"/>
          <w:szCs w:val="24"/>
        </w:rPr>
        <w:t xml:space="preserve">, Bianchi G, </w:t>
      </w:r>
      <w:proofErr w:type="spellStart"/>
      <w:r w:rsidRPr="00A02A04">
        <w:rPr>
          <w:rFonts w:ascii="Book Antiqua" w:hAnsi="Book Antiqua" w:cs="宋体"/>
          <w:color w:val="000000"/>
          <w:sz w:val="24"/>
          <w:szCs w:val="24"/>
        </w:rPr>
        <w:t>Amodio</w:t>
      </w:r>
      <w:proofErr w:type="spellEnd"/>
      <w:r w:rsidRPr="00A02A04">
        <w:rPr>
          <w:rFonts w:ascii="Book Antiqua" w:hAnsi="Book Antiqua" w:cs="宋体"/>
          <w:color w:val="000000"/>
          <w:sz w:val="24"/>
          <w:szCs w:val="24"/>
        </w:rPr>
        <w:t xml:space="preserve"> P, Salerno F, </w:t>
      </w:r>
      <w:proofErr w:type="spellStart"/>
      <w:r w:rsidRPr="00A02A04">
        <w:rPr>
          <w:rFonts w:ascii="Book Antiqua" w:hAnsi="Book Antiqua" w:cs="宋体"/>
          <w:color w:val="000000"/>
          <w:sz w:val="24"/>
          <w:szCs w:val="24"/>
        </w:rPr>
        <w:t>Merli</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Panella</w:t>
      </w:r>
      <w:proofErr w:type="spellEnd"/>
      <w:r w:rsidRPr="00A02A04">
        <w:rPr>
          <w:rFonts w:ascii="Book Antiqua" w:hAnsi="Book Antiqua" w:cs="宋体"/>
          <w:color w:val="000000"/>
          <w:sz w:val="24"/>
          <w:szCs w:val="24"/>
        </w:rPr>
        <w:t xml:space="preserve"> C, </w:t>
      </w:r>
      <w:proofErr w:type="spellStart"/>
      <w:r w:rsidRPr="00A02A04">
        <w:rPr>
          <w:rFonts w:ascii="Book Antiqua" w:hAnsi="Book Antiqua" w:cs="宋体"/>
          <w:color w:val="000000"/>
          <w:sz w:val="24"/>
          <w:szCs w:val="24"/>
        </w:rPr>
        <w:t>Loguercio</w:t>
      </w:r>
      <w:proofErr w:type="spellEnd"/>
      <w:r w:rsidRPr="00A02A04">
        <w:rPr>
          <w:rFonts w:ascii="Book Antiqua" w:hAnsi="Book Antiqua" w:cs="宋体"/>
          <w:color w:val="000000"/>
          <w:sz w:val="24"/>
          <w:szCs w:val="24"/>
        </w:rPr>
        <w:t xml:space="preserve"> C, </w:t>
      </w:r>
      <w:proofErr w:type="spellStart"/>
      <w:r w:rsidRPr="00A02A04">
        <w:rPr>
          <w:rFonts w:ascii="Book Antiqua" w:hAnsi="Book Antiqua" w:cs="宋体"/>
          <w:color w:val="000000"/>
          <w:sz w:val="24"/>
          <w:szCs w:val="24"/>
        </w:rPr>
        <w:t>Apolone</w:t>
      </w:r>
      <w:proofErr w:type="spellEnd"/>
      <w:r w:rsidRPr="00A02A04">
        <w:rPr>
          <w:rFonts w:ascii="Book Antiqua" w:hAnsi="Book Antiqua" w:cs="宋体"/>
          <w:color w:val="000000"/>
          <w:sz w:val="24"/>
          <w:szCs w:val="24"/>
        </w:rPr>
        <w:t xml:space="preserve"> G, </w:t>
      </w:r>
      <w:proofErr w:type="spellStart"/>
      <w:r w:rsidRPr="00A02A04">
        <w:rPr>
          <w:rFonts w:ascii="Book Antiqua" w:hAnsi="Book Antiqua" w:cs="宋体"/>
          <w:color w:val="000000"/>
          <w:sz w:val="24"/>
          <w:szCs w:val="24"/>
        </w:rPr>
        <w:t>Niero</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Abbiati</w:t>
      </w:r>
      <w:proofErr w:type="spellEnd"/>
      <w:r w:rsidRPr="00A02A04">
        <w:rPr>
          <w:rFonts w:ascii="Book Antiqua" w:hAnsi="Book Antiqua" w:cs="宋体"/>
          <w:color w:val="000000"/>
          <w:sz w:val="24"/>
          <w:szCs w:val="24"/>
        </w:rPr>
        <w:t xml:space="preserve"> R. Factors associated with poor health-related quality of life of patients with cirrhosis. </w:t>
      </w:r>
      <w:r w:rsidRPr="00A02A04">
        <w:rPr>
          <w:rFonts w:ascii="Book Antiqua" w:hAnsi="Book Antiqua" w:cs="宋体"/>
          <w:i/>
          <w:iCs/>
          <w:color w:val="000000"/>
          <w:sz w:val="24"/>
          <w:szCs w:val="24"/>
        </w:rPr>
        <w:t>Gastroenterology</w:t>
      </w:r>
      <w:r w:rsidRPr="00A02A04">
        <w:rPr>
          <w:rFonts w:ascii="Book Antiqua" w:hAnsi="Book Antiqua" w:cs="宋体"/>
          <w:color w:val="000000"/>
          <w:sz w:val="24"/>
          <w:szCs w:val="24"/>
        </w:rPr>
        <w:t> 2001; </w:t>
      </w:r>
      <w:r w:rsidRPr="00A02A04">
        <w:rPr>
          <w:rFonts w:ascii="Book Antiqua" w:hAnsi="Book Antiqua" w:cs="宋体"/>
          <w:b/>
          <w:bCs/>
          <w:color w:val="000000"/>
          <w:sz w:val="24"/>
          <w:szCs w:val="24"/>
        </w:rPr>
        <w:t>120</w:t>
      </w:r>
      <w:r w:rsidRPr="00A02A04">
        <w:rPr>
          <w:rFonts w:ascii="Book Antiqua" w:hAnsi="Book Antiqua" w:cs="宋体"/>
          <w:color w:val="000000"/>
          <w:sz w:val="24"/>
          <w:szCs w:val="24"/>
        </w:rPr>
        <w:t>: 170-178 [PMID: 11208726]</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30 </w:t>
      </w:r>
      <w:proofErr w:type="spellStart"/>
      <w:r w:rsidRPr="00A02A04">
        <w:rPr>
          <w:rFonts w:ascii="Book Antiqua" w:hAnsi="Book Antiqua" w:cs="宋体"/>
          <w:b/>
          <w:bCs/>
          <w:color w:val="000000"/>
          <w:sz w:val="24"/>
          <w:szCs w:val="24"/>
        </w:rPr>
        <w:t>Hoshida</w:t>
      </w:r>
      <w:proofErr w:type="spellEnd"/>
      <w:r w:rsidRPr="00A02A04">
        <w:rPr>
          <w:rFonts w:ascii="Book Antiqua" w:hAnsi="Book Antiqua" w:cs="宋体"/>
          <w:b/>
          <w:bCs/>
          <w:color w:val="000000"/>
          <w:sz w:val="24"/>
          <w:szCs w:val="24"/>
        </w:rPr>
        <w:t xml:space="preserve"> Y</w:t>
      </w:r>
      <w:r w:rsidRPr="00A02A04">
        <w:rPr>
          <w:rFonts w:ascii="Book Antiqua" w:hAnsi="Book Antiqua" w:cs="宋体"/>
          <w:color w:val="000000"/>
          <w:sz w:val="24"/>
          <w:szCs w:val="24"/>
        </w:rPr>
        <w:t xml:space="preserve">, </w:t>
      </w:r>
      <w:proofErr w:type="spellStart"/>
      <w:r w:rsidRPr="00A02A04">
        <w:rPr>
          <w:rFonts w:ascii="Book Antiqua" w:hAnsi="Book Antiqua" w:cs="宋体"/>
          <w:color w:val="000000"/>
          <w:sz w:val="24"/>
          <w:szCs w:val="24"/>
        </w:rPr>
        <w:t>Nijman</w:t>
      </w:r>
      <w:proofErr w:type="spellEnd"/>
      <w:r w:rsidRPr="00A02A04">
        <w:rPr>
          <w:rFonts w:ascii="Book Antiqua" w:hAnsi="Book Antiqua" w:cs="宋体"/>
          <w:color w:val="000000"/>
          <w:sz w:val="24"/>
          <w:szCs w:val="24"/>
        </w:rPr>
        <w:t xml:space="preserve"> SM, Kobayashi M, Chan JA, Brunet JP, Chiang DY, Villanueva A, Newell P, Ikeda K, Hashimoto M, Watanabe G, Gabriel S, Friedman SL, </w:t>
      </w:r>
      <w:proofErr w:type="spellStart"/>
      <w:r w:rsidRPr="00A02A04">
        <w:rPr>
          <w:rFonts w:ascii="Book Antiqua" w:hAnsi="Book Antiqua" w:cs="宋体"/>
          <w:color w:val="000000"/>
          <w:sz w:val="24"/>
          <w:szCs w:val="24"/>
        </w:rPr>
        <w:t>Kumada</w:t>
      </w:r>
      <w:proofErr w:type="spellEnd"/>
      <w:r w:rsidRPr="00A02A04">
        <w:rPr>
          <w:rFonts w:ascii="Book Antiqua" w:hAnsi="Book Antiqua" w:cs="宋体"/>
          <w:color w:val="000000"/>
          <w:sz w:val="24"/>
          <w:szCs w:val="24"/>
        </w:rPr>
        <w:t xml:space="preserve"> H, </w:t>
      </w:r>
      <w:proofErr w:type="spellStart"/>
      <w:r w:rsidRPr="00A02A04">
        <w:rPr>
          <w:rFonts w:ascii="Book Antiqua" w:hAnsi="Book Antiqua" w:cs="宋体"/>
          <w:color w:val="000000"/>
          <w:sz w:val="24"/>
          <w:szCs w:val="24"/>
        </w:rPr>
        <w:t>Llovet</w:t>
      </w:r>
      <w:proofErr w:type="spellEnd"/>
      <w:r w:rsidRPr="00A02A04">
        <w:rPr>
          <w:rFonts w:ascii="Book Antiqua" w:hAnsi="Book Antiqua" w:cs="宋体"/>
          <w:color w:val="000000"/>
          <w:sz w:val="24"/>
          <w:szCs w:val="24"/>
        </w:rPr>
        <w:t xml:space="preserve"> JM, </w:t>
      </w:r>
      <w:proofErr w:type="spellStart"/>
      <w:r w:rsidRPr="00A02A04">
        <w:rPr>
          <w:rFonts w:ascii="Book Antiqua" w:hAnsi="Book Antiqua" w:cs="宋体"/>
          <w:color w:val="000000"/>
          <w:sz w:val="24"/>
          <w:szCs w:val="24"/>
        </w:rPr>
        <w:t>Golub</w:t>
      </w:r>
      <w:proofErr w:type="spellEnd"/>
      <w:r w:rsidRPr="00A02A04">
        <w:rPr>
          <w:rFonts w:ascii="Book Antiqua" w:hAnsi="Book Antiqua" w:cs="宋体"/>
          <w:color w:val="000000"/>
          <w:sz w:val="24"/>
          <w:szCs w:val="24"/>
        </w:rPr>
        <w:t xml:space="preserve"> TR. Integrative </w:t>
      </w:r>
      <w:proofErr w:type="spellStart"/>
      <w:r w:rsidRPr="00A02A04">
        <w:rPr>
          <w:rFonts w:ascii="Book Antiqua" w:hAnsi="Book Antiqua" w:cs="宋体"/>
          <w:color w:val="000000"/>
          <w:sz w:val="24"/>
          <w:szCs w:val="24"/>
        </w:rPr>
        <w:t>transcriptome</w:t>
      </w:r>
      <w:proofErr w:type="spellEnd"/>
      <w:r w:rsidRPr="00A02A04">
        <w:rPr>
          <w:rFonts w:ascii="Book Antiqua" w:hAnsi="Book Antiqua" w:cs="宋体"/>
          <w:color w:val="000000"/>
          <w:sz w:val="24"/>
          <w:szCs w:val="24"/>
        </w:rPr>
        <w:t xml:space="preserve"> analysis reveals common molecular subclasses of human hepatocellular carcinoma. </w:t>
      </w:r>
      <w:r w:rsidRPr="00A02A04">
        <w:rPr>
          <w:rFonts w:ascii="Book Antiqua" w:hAnsi="Book Antiqua" w:cs="宋体"/>
          <w:i/>
          <w:iCs/>
          <w:color w:val="000000"/>
          <w:sz w:val="24"/>
          <w:szCs w:val="24"/>
        </w:rPr>
        <w:t>Cancer Res</w:t>
      </w:r>
      <w:r w:rsidRPr="00A02A04">
        <w:rPr>
          <w:rFonts w:ascii="Book Antiqua" w:hAnsi="Book Antiqua" w:cs="宋体"/>
          <w:color w:val="000000"/>
          <w:sz w:val="24"/>
          <w:szCs w:val="24"/>
        </w:rPr>
        <w:t> 2009; </w:t>
      </w:r>
      <w:r w:rsidRPr="00A02A04">
        <w:rPr>
          <w:rFonts w:ascii="Book Antiqua" w:hAnsi="Book Antiqua" w:cs="宋体"/>
          <w:b/>
          <w:bCs/>
          <w:color w:val="000000"/>
          <w:sz w:val="24"/>
          <w:szCs w:val="24"/>
        </w:rPr>
        <w:t>69</w:t>
      </w:r>
      <w:r w:rsidRPr="00A02A04">
        <w:rPr>
          <w:rFonts w:ascii="Book Antiqua" w:hAnsi="Book Antiqua" w:cs="宋体"/>
          <w:color w:val="000000"/>
          <w:sz w:val="24"/>
          <w:szCs w:val="24"/>
        </w:rPr>
        <w:t>: 7385-7392 [PMID: 19723656 DOI: 10.1158/0008-5472.CAN-09-1089]</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31 </w:t>
      </w:r>
      <w:proofErr w:type="spellStart"/>
      <w:r w:rsidRPr="00A02A04">
        <w:rPr>
          <w:rFonts w:ascii="Book Antiqua" w:hAnsi="Book Antiqua" w:cs="宋体"/>
          <w:b/>
          <w:bCs/>
          <w:color w:val="000000"/>
          <w:sz w:val="24"/>
          <w:szCs w:val="24"/>
        </w:rPr>
        <w:t>Llovet</w:t>
      </w:r>
      <w:proofErr w:type="spellEnd"/>
      <w:r w:rsidRPr="00A02A04">
        <w:rPr>
          <w:rFonts w:ascii="Book Antiqua" w:hAnsi="Book Antiqua" w:cs="宋体"/>
          <w:b/>
          <w:bCs/>
          <w:color w:val="000000"/>
          <w:sz w:val="24"/>
          <w:szCs w:val="24"/>
        </w:rPr>
        <w:t xml:space="preserve"> JM</w:t>
      </w:r>
      <w:r w:rsidRPr="00A02A04">
        <w:rPr>
          <w:rFonts w:ascii="Book Antiqua" w:hAnsi="Book Antiqua" w:cs="宋体"/>
          <w:color w:val="000000"/>
          <w:sz w:val="24"/>
          <w:szCs w:val="24"/>
        </w:rPr>
        <w:t xml:space="preserve">, Peña CE, </w:t>
      </w:r>
      <w:proofErr w:type="spellStart"/>
      <w:r w:rsidRPr="00A02A04">
        <w:rPr>
          <w:rFonts w:ascii="Book Antiqua" w:hAnsi="Book Antiqua" w:cs="宋体"/>
          <w:color w:val="000000"/>
          <w:sz w:val="24"/>
          <w:szCs w:val="24"/>
        </w:rPr>
        <w:t>Lathia</w:t>
      </w:r>
      <w:proofErr w:type="spellEnd"/>
      <w:r w:rsidRPr="00A02A04">
        <w:rPr>
          <w:rFonts w:ascii="Book Antiqua" w:hAnsi="Book Antiqua" w:cs="宋体"/>
          <w:color w:val="000000"/>
          <w:sz w:val="24"/>
          <w:szCs w:val="24"/>
        </w:rPr>
        <w:t xml:space="preserve"> CD, Shan M, </w:t>
      </w:r>
      <w:proofErr w:type="spellStart"/>
      <w:r w:rsidRPr="00A02A04">
        <w:rPr>
          <w:rFonts w:ascii="Book Antiqua" w:hAnsi="Book Antiqua" w:cs="宋体"/>
          <w:color w:val="000000"/>
          <w:sz w:val="24"/>
          <w:szCs w:val="24"/>
        </w:rPr>
        <w:t>Meinhardt</w:t>
      </w:r>
      <w:proofErr w:type="spellEnd"/>
      <w:r w:rsidRPr="00A02A04">
        <w:rPr>
          <w:rFonts w:ascii="Book Antiqua" w:hAnsi="Book Antiqua" w:cs="宋体"/>
          <w:color w:val="000000"/>
          <w:sz w:val="24"/>
          <w:szCs w:val="24"/>
        </w:rPr>
        <w:t xml:space="preserve"> G, </w:t>
      </w:r>
      <w:proofErr w:type="spellStart"/>
      <w:r w:rsidRPr="00A02A04">
        <w:rPr>
          <w:rFonts w:ascii="Book Antiqua" w:hAnsi="Book Antiqua" w:cs="宋体"/>
          <w:color w:val="000000"/>
          <w:sz w:val="24"/>
          <w:szCs w:val="24"/>
        </w:rPr>
        <w:t>Bruix</w:t>
      </w:r>
      <w:proofErr w:type="spellEnd"/>
      <w:r w:rsidRPr="00A02A04">
        <w:rPr>
          <w:rFonts w:ascii="Book Antiqua" w:hAnsi="Book Antiqua" w:cs="宋体"/>
          <w:color w:val="000000"/>
          <w:sz w:val="24"/>
          <w:szCs w:val="24"/>
        </w:rPr>
        <w:t xml:space="preserve"> J. Plasma biomarkers as predictors of outcome in patients with advanced hepatocellular carcinoma. </w:t>
      </w:r>
      <w:proofErr w:type="spellStart"/>
      <w:r w:rsidRPr="00A02A04">
        <w:rPr>
          <w:rFonts w:ascii="Book Antiqua" w:hAnsi="Book Antiqua" w:cs="宋体"/>
          <w:i/>
          <w:iCs/>
          <w:color w:val="000000"/>
          <w:sz w:val="24"/>
          <w:szCs w:val="24"/>
        </w:rPr>
        <w:t>Clin</w:t>
      </w:r>
      <w:proofErr w:type="spellEnd"/>
      <w:r w:rsidRPr="00A02A04">
        <w:rPr>
          <w:rFonts w:ascii="Book Antiqua" w:hAnsi="Book Antiqua" w:cs="宋体"/>
          <w:i/>
          <w:iCs/>
          <w:color w:val="000000"/>
          <w:sz w:val="24"/>
          <w:szCs w:val="24"/>
        </w:rPr>
        <w:t xml:space="preserve"> Cancer Res</w:t>
      </w:r>
      <w:r w:rsidRPr="00A02A04">
        <w:rPr>
          <w:rFonts w:ascii="Book Antiqua" w:hAnsi="Book Antiqua" w:cs="宋体"/>
          <w:color w:val="000000"/>
          <w:sz w:val="24"/>
          <w:szCs w:val="24"/>
        </w:rPr>
        <w:t> 2012; </w:t>
      </w:r>
      <w:r w:rsidRPr="00A02A04">
        <w:rPr>
          <w:rFonts w:ascii="Book Antiqua" w:hAnsi="Book Antiqua" w:cs="宋体"/>
          <w:b/>
          <w:bCs/>
          <w:color w:val="000000"/>
          <w:sz w:val="24"/>
          <w:szCs w:val="24"/>
        </w:rPr>
        <w:t>18</w:t>
      </w:r>
      <w:r w:rsidRPr="00A02A04">
        <w:rPr>
          <w:rFonts w:ascii="Book Antiqua" w:hAnsi="Book Antiqua" w:cs="宋体"/>
          <w:color w:val="000000"/>
          <w:sz w:val="24"/>
          <w:szCs w:val="24"/>
        </w:rPr>
        <w:t>: 2290-2300 [PMID: 22374331 DOI: 10.1158/1078-0432.CCR-11-2175]</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32 </w:t>
      </w:r>
      <w:r w:rsidRPr="00A02A04">
        <w:rPr>
          <w:rFonts w:ascii="Book Antiqua" w:hAnsi="Book Antiqua" w:cs="宋体"/>
          <w:b/>
          <w:bCs/>
          <w:color w:val="000000"/>
          <w:sz w:val="24"/>
          <w:szCs w:val="24"/>
        </w:rPr>
        <w:t>Zhao WC</w:t>
      </w:r>
      <w:r w:rsidRPr="00A02A04">
        <w:rPr>
          <w:rFonts w:ascii="Book Antiqua" w:hAnsi="Book Antiqua" w:cs="宋体"/>
          <w:color w:val="000000"/>
          <w:sz w:val="24"/>
          <w:szCs w:val="24"/>
        </w:rPr>
        <w:t xml:space="preserve">, Zhang HB, Yang N, Fu Y, </w:t>
      </w:r>
      <w:proofErr w:type="spellStart"/>
      <w:r w:rsidRPr="00A02A04">
        <w:rPr>
          <w:rFonts w:ascii="Book Antiqua" w:hAnsi="Book Antiqua" w:cs="宋体"/>
          <w:color w:val="000000"/>
          <w:sz w:val="24"/>
          <w:szCs w:val="24"/>
        </w:rPr>
        <w:t>Qian</w:t>
      </w:r>
      <w:proofErr w:type="spellEnd"/>
      <w:r w:rsidRPr="00A02A04">
        <w:rPr>
          <w:rFonts w:ascii="Book Antiqua" w:hAnsi="Book Antiqua" w:cs="宋体"/>
          <w:color w:val="000000"/>
          <w:sz w:val="24"/>
          <w:szCs w:val="24"/>
        </w:rPr>
        <w:t xml:space="preserve"> W, Chen BD, Fan LF, Yang GS. Preoperative predictors of short-term survival after </w:t>
      </w:r>
      <w:proofErr w:type="spellStart"/>
      <w:r w:rsidRPr="00A02A04">
        <w:rPr>
          <w:rFonts w:ascii="Book Antiqua" w:hAnsi="Book Antiqua" w:cs="宋体"/>
          <w:color w:val="000000"/>
          <w:sz w:val="24"/>
          <w:szCs w:val="24"/>
        </w:rPr>
        <w:t>hepatectomy</w:t>
      </w:r>
      <w:proofErr w:type="spellEnd"/>
      <w:r w:rsidRPr="00A02A04">
        <w:rPr>
          <w:rFonts w:ascii="Book Antiqua" w:hAnsi="Book Antiqua" w:cs="宋体"/>
          <w:color w:val="000000"/>
          <w:sz w:val="24"/>
          <w:szCs w:val="24"/>
        </w:rPr>
        <w:t xml:space="preserve"> for </w:t>
      </w:r>
      <w:proofErr w:type="spellStart"/>
      <w:r w:rsidRPr="00A02A04">
        <w:rPr>
          <w:rFonts w:ascii="Book Antiqua" w:hAnsi="Book Antiqua" w:cs="宋体"/>
          <w:color w:val="000000"/>
          <w:sz w:val="24"/>
          <w:szCs w:val="24"/>
        </w:rPr>
        <w:t>multinodular</w:t>
      </w:r>
      <w:proofErr w:type="spellEnd"/>
      <w:r w:rsidRPr="00A02A04">
        <w:rPr>
          <w:rFonts w:ascii="Book Antiqua" w:hAnsi="Book Antiqua" w:cs="宋体"/>
          <w:color w:val="000000"/>
          <w:sz w:val="24"/>
          <w:szCs w:val="24"/>
        </w:rPr>
        <w:t xml:space="preserve"> hepatocellular </w:t>
      </w:r>
      <w:r w:rsidRPr="00A02A04">
        <w:rPr>
          <w:rFonts w:ascii="Book Antiqua" w:hAnsi="Book Antiqua" w:cs="宋体"/>
          <w:color w:val="000000"/>
          <w:sz w:val="24"/>
          <w:szCs w:val="24"/>
        </w:rPr>
        <w:lastRenderedPageBreak/>
        <w:t>carcinoma. </w:t>
      </w:r>
      <w:r w:rsidRPr="00A02A04">
        <w:rPr>
          <w:rFonts w:ascii="Book Antiqua" w:hAnsi="Book Antiqua" w:cs="宋体"/>
          <w:i/>
          <w:iCs/>
          <w:color w:val="000000"/>
          <w:sz w:val="24"/>
          <w:szCs w:val="24"/>
        </w:rPr>
        <w:t xml:space="preserve">World J </w:t>
      </w:r>
      <w:proofErr w:type="spellStart"/>
      <w:r w:rsidRPr="00A02A04">
        <w:rPr>
          <w:rFonts w:ascii="Book Antiqua" w:hAnsi="Book Antiqua" w:cs="宋体"/>
          <w:i/>
          <w:iCs/>
          <w:color w:val="000000"/>
          <w:sz w:val="24"/>
          <w:szCs w:val="24"/>
        </w:rPr>
        <w:t>Gastroenterol</w:t>
      </w:r>
      <w:proofErr w:type="spellEnd"/>
      <w:r w:rsidRPr="00A02A04">
        <w:rPr>
          <w:rFonts w:ascii="Book Antiqua" w:hAnsi="Book Antiqua" w:cs="宋体"/>
          <w:color w:val="000000"/>
          <w:sz w:val="24"/>
          <w:szCs w:val="24"/>
        </w:rPr>
        <w:t> 2012; </w:t>
      </w:r>
      <w:r w:rsidRPr="00A02A04">
        <w:rPr>
          <w:rFonts w:ascii="Book Antiqua" w:hAnsi="Book Antiqua" w:cs="宋体"/>
          <w:b/>
          <w:bCs/>
          <w:color w:val="000000"/>
          <w:sz w:val="24"/>
          <w:szCs w:val="24"/>
        </w:rPr>
        <w:t>18</w:t>
      </w:r>
      <w:r w:rsidRPr="00A02A04">
        <w:rPr>
          <w:rFonts w:ascii="Book Antiqua" w:hAnsi="Book Antiqua" w:cs="宋体"/>
          <w:color w:val="000000"/>
          <w:sz w:val="24"/>
          <w:szCs w:val="24"/>
        </w:rPr>
        <w:t>: 3272-3281 [PMID: 22783052 DOI: 10.3748/wjg.v18.i25.3272]</w:t>
      </w:r>
    </w:p>
    <w:p w:rsidR="003C29A3" w:rsidRPr="00A02A04" w:rsidRDefault="003C29A3" w:rsidP="00AA60B1">
      <w:pPr>
        <w:spacing w:line="360" w:lineRule="auto"/>
        <w:jc w:val="both"/>
        <w:rPr>
          <w:rFonts w:ascii="Book Antiqua" w:hAnsi="Book Antiqua" w:cs="宋体"/>
          <w:color w:val="000000"/>
          <w:sz w:val="24"/>
          <w:szCs w:val="24"/>
        </w:rPr>
      </w:pPr>
      <w:r w:rsidRPr="00A02A04">
        <w:rPr>
          <w:rFonts w:ascii="Book Antiqua" w:hAnsi="Book Antiqua" w:cs="宋体"/>
          <w:color w:val="000000"/>
          <w:sz w:val="24"/>
          <w:szCs w:val="24"/>
        </w:rPr>
        <w:t>33 </w:t>
      </w:r>
      <w:r w:rsidRPr="00A02A04">
        <w:rPr>
          <w:rFonts w:ascii="Book Antiqua" w:hAnsi="Book Antiqua" w:cs="宋体"/>
          <w:b/>
          <w:bCs/>
          <w:color w:val="000000"/>
          <w:sz w:val="24"/>
          <w:szCs w:val="24"/>
        </w:rPr>
        <w:t xml:space="preserve">op den </w:t>
      </w:r>
      <w:proofErr w:type="spellStart"/>
      <w:r w:rsidRPr="00A02A04">
        <w:rPr>
          <w:rFonts w:ascii="Book Antiqua" w:hAnsi="Book Antiqua" w:cs="宋体"/>
          <w:b/>
          <w:bCs/>
          <w:color w:val="000000"/>
          <w:sz w:val="24"/>
          <w:szCs w:val="24"/>
        </w:rPr>
        <w:t>Winkel</w:t>
      </w:r>
      <w:proofErr w:type="spellEnd"/>
      <w:r w:rsidRPr="00A02A04">
        <w:rPr>
          <w:rFonts w:ascii="Book Antiqua" w:hAnsi="Book Antiqua" w:cs="宋体"/>
          <w:b/>
          <w:bCs/>
          <w:color w:val="000000"/>
          <w:sz w:val="24"/>
          <w:szCs w:val="24"/>
        </w:rPr>
        <w:t xml:space="preserve"> M</w:t>
      </w:r>
      <w:r w:rsidRPr="00A02A04">
        <w:rPr>
          <w:rFonts w:ascii="Book Antiqua" w:hAnsi="Book Antiqua" w:cs="宋体"/>
          <w:color w:val="000000"/>
          <w:sz w:val="24"/>
          <w:szCs w:val="24"/>
        </w:rPr>
        <w:t xml:space="preserve">, Nagel D, </w:t>
      </w:r>
      <w:proofErr w:type="spellStart"/>
      <w:r w:rsidRPr="00A02A04">
        <w:rPr>
          <w:rFonts w:ascii="Book Antiqua" w:hAnsi="Book Antiqua" w:cs="宋体"/>
          <w:color w:val="000000"/>
          <w:sz w:val="24"/>
          <w:szCs w:val="24"/>
        </w:rPr>
        <w:t>Sappl</w:t>
      </w:r>
      <w:proofErr w:type="spellEnd"/>
      <w:r w:rsidRPr="00A02A04">
        <w:rPr>
          <w:rFonts w:ascii="Book Antiqua" w:hAnsi="Book Antiqua" w:cs="宋体"/>
          <w:color w:val="000000"/>
          <w:sz w:val="24"/>
          <w:szCs w:val="24"/>
        </w:rPr>
        <w:t xml:space="preserve"> J, op den </w:t>
      </w:r>
      <w:proofErr w:type="spellStart"/>
      <w:r w:rsidRPr="00A02A04">
        <w:rPr>
          <w:rFonts w:ascii="Book Antiqua" w:hAnsi="Book Antiqua" w:cs="宋体"/>
          <w:color w:val="000000"/>
          <w:sz w:val="24"/>
          <w:szCs w:val="24"/>
        </w:rPr>
        <w:t>Winkel</w:t>
      </w:r>
      <w:proofErr w:type="spellEnd"/>
      <w:r w:rsidRPr="00A02A04">
        <w:rPr>
          <w:rFonts w:ascii="Book Antiqua" w:hAnsi="Book Antiqua" w:cs="宋体"/>
          <w:color w:val="000000"/>
          <w:sz w:val="24"/>
          <w:szCs w:val="24"/>
        </w:rPr>
        <w:t xml:space="preserve"> P, </w:t>
      </w:r>
      <w:proofErr w:type="spellStart"/>
      <w:r w:rsidRPr="00A02A04">
        <w:rPr>
          <w:rFonts w:ascii="Book Antiqua" w:hAnsi="Book Antiqua" w:cs="宋体"/>
          <w:color w:val="000000"/>
          <w:sz w:val="24"/>
          <w:szCs w:val="24"/>
        </w:rPr>
        <w:t>Lamerz</w:t>
      </w:r>
      <w:proofErr w:type="spellEnd"/>
      <w:r w:rsidRPr="00A02A04">
        <w:rPr>
          <w:rFonts w:ascii="Book Antiqua" w:hAnsi="Book Antiqua" w:cs="宋体"/>
          <w:color w:val="000000"/>
          <w:sz w:val="24"/>
          <w:szCs w:val="24"/>
        </w:rPr>
        <w:t xml:space="preserve"> R, </w:t>
      </w:r>
      <w:proofErr w:type="spellStart"/>
      <w:r w:rsidRPr="00A02A04">
        <w:rPr>
          <w:rFonts w:ascii="Book Antiqua" w:hAnsi="Book Antiqua" w:cs="宋体"/>
          <w:color w:val="000000"/>
          <w:sz w:val="24"/>
          <w:szCs w:val="24"/>
        </w:rPr>
        <w:t>Zech</w:t>
      </w:r>
      <w:proofErr w:type="spellEnd"/>
      <w:r w:rsidRPr="00A02A04">
        <w:rPr>
          <w:rFonts w:ascii="Book Antiqua" w:hAnsi="Book Antiqua" w:cs="宋体"/>
          <w:color w:val="000000"/>
          <w:sz w:val="24"/>
          <w:szCs w:val="24"/>
        </w:rPr>
        <w:t xml:space="preserve"> CJ, Straub G, Nickel T, </w:t>
      </w:r>
      <w:proofErr w:type="spellStart"/>
      <w:r w:rsidRPr="00A02A04">
        <w:rPr>
          <w:rFonts w:ascii="Book Antiqua" w:hAnsi="Book Antiqua" w:cs="宋体"/>
          <w:color w:val="000000"/>
          <w:sz w:val="24"/>
          <w:szCs w:val="24"/>
        </w:rPr>
        <w:t>Rentsch</w:t>
      </w:r>
      <w:proofErr w:type="spellEnd"/>
      <w:r w:rsidRPr="00A02A04">
        <w:rPr>
          <w:rFonts w:ascii="Book Antiqua" w:hAnsi="Book Antiqua" w:cs="宋体"/>
          <w:color w:val="000000"/>
          <w:sz w:val="24"/>
          <w:szCs w:val="24"/>
        </w:rPr>
        <w:t xml:space="preserve"> M, </w:t>
      </w:r>
      <w:proofErr w:type="spellStart"/>
      <w:r w:rsidRPr="00A02A04">
        <w:rPr>
          <w:rFonts w:ascii="Book Antiqua" w:hAnsi="Book Antiqua" w:cs="宋体"/>
          <w:color w:val="000000"/>
          <w:sz w:val="24"/>
          <w:szCs w:val="24"/>
        </w:rPr>
        <w:t>Stieber</w:t>
      </w:r>
      <w:proofErr w:type="spellEnd"/>
      <w:r w:rsidRPr="00A02A04">
        <w:rPr>
          <w:rFonts w:ascii="Book Antiqua" w:hAnsi="Book Antiqua" w:cs="宋体"/>
          <w:color w:val="000000"/>
          <w:sz w:val="24"/>
          <w:szCs w:val="24"/>
        </w:rPr>
        <w:t xml:space="preserve"> P, </w:t>
      </w:r>
      <w:proofErr w:type="spellStart"/>
      <w:r w:rsidRPr="00A02A04">
        <w:rPr>
          <w:rFonts w:ascii="Book Antiqua" w:hAnsi="Book Antiqua" w:cs="宋体"/>
          <w:color w:val="000000"/>
          <w:sz w:val="24"/>
          <w:szCs w:val="24"/>
        </w:rPr>
        <w:t>Göke</w:t>
      </w:r>
      <w:proofErr w:type="spellEnd"/>
      <w:r w:rsidRPr="00A02A04">
        <w:rPr>
          <w:rFonts w:ascii="Book Antiqua" w:hAnsi="Book Antiqua" w:cs="宋体"/>
          <w:color w:val="000000"/>
          <w:sz w:val="24"/>
          <w:szCs w:val="24"/>
        </w:rPr>
        <w:t xml:space="preserve"> B, </w:t>
      </w:r>
      <w:proofErr w:type="spellStart"/>
      <w:r w:rsidRPr="00A02A04">
        <w:rPr>
          <w:rFonts w:ascii="Book Antiqua" w:hAnsi="Book Antiqua" w:cs="宋体"/>
          <w:color w:val="000000"/>
          <w:sz w:val="24"/>
          <w:szCs w:val="24"/>
        </w:rPr>
        <w:t>Kolligs</w:t>
      </w:r>
      <w:proofErr w:type="spellEnd"/>
      <w:r w:rsidRPr="00A02A04">
        <w:rPr>
          <w:rFonts w:ascii="Book Antiqua" w:hAnsi="Book Antiqua" w:cs="宋体"/>
          <w:color w:val="000000"/>
          <w:sz w:val="24"/>
          <w:szCs w:val="24"/>
        </w:rPr>
        <w:t xml:space="preserve"> FT. Prognosis of patients with hepatocellular carcinoma. Validation and ranking of established staging-systems in a large western HCC-cohort. </w:t>
      </w:r>
      <w:proofErr w:type="spellStart"/>
      <w:r w:rsidRPr="00A02A04">
        <w:rPr>
          <w:rFonts w:ascii="Book Antiqua" w:hAnsi="Book Antiqua" w:cs="宋体"/>
          <w:i/>
          <w:iCs/>
          <w:color w:val="000000"/>
          <w:sz w:val="24"/>
          <w:szCs w:val="24"/>
        </w:rPr>
        <w:t>PLoS</w:t>
      </w:r>
      <w:proofErr w:type="spellEnd"/>
      <w:r w:rsidRPr="00A02A04">
        <w:rPr>
          <w:rFonts w:ascii="Book Antiqua" w:hAnsi="Book Antiqua" w:cs="宋体"/>
          <w:i/>
          <w:iCs/>
          <w:color w:val="000000"/>
          <w:sz w:val="24"/>
          <w:szCs w:val="24"/>
        </w:rPr>
        <w:t xml:space="preserve"> One</w:t>
      </w:r>
      <w:r w:rsidRPr="00A02A04">
        <w:rPr>
          <w:rFonts w:ascii="Book Antiqua" w:hAnsi="Book Antiqua" w:cs="宋体"/>
          <w:color w:val="000000"/>
          <w:sz w:val="24"/>
          <w:szCs w:val="24"/>
        </w:rPr>
        <w:t> 2012; </w:t>
      </w:r>
      <w:r w:rsidRPr="00A02A04">
        <w:rPr>
          <w:rFonts w:ascii="Book Antiqua" w:hAnsi="Book Antiqua" w:cs="宋体"/>
          <w:b/>
          <w:bCs/>
          <w:color w:val="000000"/>
          <w:sz w:val="24"/>
          <w:szCs w:val="24"/>
        </w:rPr>
        <w:t>7</w:t>
      </w:r>
      <w:r w:rsidRPr="00A02A04">
        <w:rPr>
          <w:rFonts w:ascii="Book Antiqua" w:hAnsi="Book Antiqua" w:cs="宋体"/>
          <w:color w:val="000000"/>
          <w:sz w:val="24"/>
          <w:szCs w:val="24"/>
        </w:rPr>
        <w:t>: e45066 [PMID: 23071507 DOI: 10.1371/journal.pone.0045066]</w:t>
      </w:r>
    </w:p>
    <w:p w:rsidR="003C29A3" w:rsidRPr="00A02A04" w:rsidRDefault="003C29A3" w:rsidP="00AA60B1">
      <w:pPr>
        <w:spacing w:line="360" w:lineRule="auto"/>
        <w:jc w:val="both"/>
        <w:rPr>
          <w:rFonts w:ascii="Book Antiqua" w:eastAsia="Times New Roman" w:hAnsi="Book Antiqua"/>
          <w:color w:val="000000"/>
        </w:rPr>
      </w:pPr>
    </w:p>
    <w:p w:rsidR="003C29A3" w:rsidRPr="00A02A04" w:rsidRDefault="003C29A3" w:rsidP="00AA60B1">
      <w:pPr>
        <w:spacing w:line="360" w:lineRule="auto"/>
        <w:rPr>
          <w:rFonts w:ascii="Book Antiqua" w:eastAsia="Times New Roman" w:hAnsi="Book Antiqua"/>
          <w:b/>
          <w:bCs/>
          <w:color w:val="000000"/>
          <w:sz w:val="24"/>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r w:rsidRPr="00A02A04">
        <w:rPr>
          <w:rStyle w:val="ad"/>
          <w:rFonts w:ascii="Book Antiqua" w:eastAsia="Times New Roman" w:hAnsi="Book Antiqua"/>
          <w:bCs/>
          <w:noProof/>
          <w:color w:val="000000"/>
          <w:sz w:val="24"/>
          <w:szCs w:val="24"/>
        </w:rPr>
        <w:t>P-Reviewer</w:t>
      </w:r>
      <w:bookmarkEnd w:id="22"/>
      <w:bookmarkEnd w:id="23"/>
      <w:r w:rsidRPr="00A02A04">
        <w:rPr>
          <w:rFonts w:ascii="Book Antiqua" w:eastAsia="Times New Roman" w:hAnsi="Book Antiqua"/>
          <w:b/>
          <w:bCs/>
          <w:color w:val="000000"/>
          <w:sz w:val="24"/>
        </w:rPr>
        <w:t xml:space="preserve"> </w:t>
      </w:r>
      <w:proofErr w:type="spellStart"/>
      <w:r w:rsidRPr="00A02A04">
        <w:rPr>
          <w:rFonts w:ascii="Book Antiqua" w:eastAsia="Times New Roman" w:hAnsi="Book Antiqua"/>
          <w:bCs/>
          <w:color w:val="000000"/>
          <w:sz w:val="24"/>
        </w:rPr>
        <w:t>Tashiro</w:t>
      </w:r>
      <w:proofErr w:type="spellEnd"/>
      <w:r w:rsidRPr="00A02A04">
        <w:rPr>
          <w:rFonts w:ascii="Book Antiqua" w:eastAsia="Times New Roman" w:hAnsi="Book Antiqua"/>
          <w:bCs/>
          <w:color w:val="000000"/>
          <w:sz w:val="24"/>
        </w:rPr>
        <w:t xml:space="preserve"> H </w:t>
      </w:r>
      <w:r w:rsidRPr="00A02A04">
        <w:rPr>
          <w:rFonts w:ascii="Book Antiqua" w:eastAsia="Times New Roman" w:hAnsi="Book Antiqua"/>
          <w:b/>
          <w:bCs/>
          <w:color w:val="000000"/>
          <w:sz w:val="24"/>
        </w:rPr>
        <w:t xml:space="preserve">       S-Editor </w:t>
      </w:r>
      <w:r w:rsidRPr="00A02A04">
        <w:rPr>
          <w:rFonts w:ascii="Book Antiqua" w:eastAsia="Times New Roman" w:hAnsi="Book Antiqua"/>
          <w:bCs/>
          <w:color w:val="000000"/>
          <w:sz w:val="24"/>
        </w:rPr>
        <w:t xml:space="preserve">Wen LL  </w:t>
      </w:r>
      <w:r w:rsidRPr="00A02A04">
        <w:rPr>
          <w:rFonts w:ascii="Book Antiqua" w:eastAsia="Times New Roman" w:hAnsi="Book Antiqua"/>
          <w:b/>
          <w:bCs/>
          <w:color w:val="000000"/>
          <w:sz w:val="24"/>
        </w:rPr>
        <w:t xml:space="preserve">         </w:t>
      </w:r>
      <w:r w:rsidRPr="00A02A04">
        <w:rPr>
          <w:rFonts w:ascii="Book Antiqua" w:eastAsia="Times New Roman" w:hAnsi="Book Antiqua"/>
          <w:color w:val="000000"/>
          <w:sz w:val="24"/>
        </w:rPr>
        <w:t xml:space="preserve">  </w:t>
      </w:r>
      <w:r w:rsidRPr="00A02A04">
        <w:rPr>
          <w:rFonts w:ascii="Book Antiqua" w:eastAsia="Times New Roman" w:hAnsi="Book Antiqua"/>
          <w:b/>
          <w:bCs/>
          <w:color w:val="000000"/>
          <w:sz w:val="24"/>
        </w:rPr>
        <w:t xml:space="preserve">L-Editor                </w:t>
      </w:r>
      <w:r w:rsidRPr="00A02A04">
        <w:rPr>
          <w:rFonts w:ascii="Book Antiqua" w:eastAsia="Times New Roman" w:hAnsi="Book Antiqua"/>
          <w:color w:val="000000"/>
          <w:sz w:val="24"/>
        </w:rPr>
        <w:t xml:space="preserve">  </w:t>
      </w:r>
      <w:r w:rsidRPr="00A02A04">
        <w:rPr>
          <w:rFonts w:ascii="Book Antiqua" w:eastAsia="Times New Roman" w:hAnsi="Book Antiqua"/>
          <w:b/>
          <w:bCs/>
          <w:color w:val="000000"/>
          <w:sz w:val="24"/>
        </w:rPr>
        <w:t>E-Editor</w:t>
      </w:r>
    </w:p>
    <w:bookmarkEnd w:id="24"/>
    <w:bookmarkEnd w:id="25"/>
    <w:bookmarkEnd w:id="26"/>
    <w:bookmarkEnd w:id="27"/>
    <w:bookmarkEnd w:id="28"/>
    <w:bookmarkEnd w:id="29"/>
    <w:bookmarkEnd w:id="30"/>
    <w:p w:rsidR="003C29A3" w:rsidRPr="00A02A04" w:rsidRDefault="003C29A3" w:rsidP="009E446B">
      <w:pPr>
        <w:spacing w:after="0" w:line="360" w:lineRule="auto"/>
        <w:jc w:val="both"/>
        <w:rPr>
          <w:rFonts w:ascii="Book Antiqua" w:eastAsia="Times New Roman" w:hAnsi="Book Antiqua"/>
          <w:b/>
          <w:color w:val="000000"/>
          <w:sz w:val="24"/>
          <w:szCs w:val="24"/>
          <w:lang w:val="en-US"/>
        </w:rPr>
      </w:pPr>
      <w:r w:rsidRPr="00A02A04">
        <w:rPr>
          <w:rFonts w:ascii="Book Antiqua" w:eastAsia="Times New Roman" w:hAnsi="Book Antiqua"/>
          <w:b/>
          <w:color w:val="000000"/>
          <w:sz w:val="24"/>
          <w:szCs w:val="24"/>
          <w:lang w:val="en-US"/>
        </w:rPr>
        <w:br w:type="page"/>
      </w:r>
    </w:p>
    <w:p w:rsidR="003C29A3" w:rsidRPr="00A02A04" w:rsidRDefault="003C29A3" w:rsidP="009E446B">
      <w:pPr>
        <w:spacing w:after="0" w:line="360" w:lineRule="auto"/>
        <w:jc w:val="both"/>
        <w:rPr>
          <w:rFonts w:ascii="Book Antiqua" w:eastAsia="Times New Roman" w:hAnsi="Book Antiqua"/>
          <w:color w:val="000000"/>
          <w:sz w:val="24"/>
          <w:szCs w:val="24"/>
          <w:u w:val="single"/>
          <w:lang w:val="en-US"/>
        </w:rPr>
      </w:pPr>
      <w:r w:rsidRPr="00A02A04">
        <w:rPr>
          <w:rFonts w:ascii="Book Antiqua" w:eastAsia="Times New Roman" w:hAnsi="Book Antiqua"/>
          <w:b/>
          <w:color w:val="000000"/>
          <w:sz w:val="24"/>
          <w:szCs w:val="24"/>
          <w:lang w:val="en-US"/>
        </w:rPr>
        <w:t>Figure 1 Kaplan-Meier survival curves of patients enrolled in this study.</w:t>
      </w:r>
      <w:r w:rsidRPr="00A02A04">
        <w:rPr>
          <w:rFonts w:ascii="Book Antiqua" w:eastAsia="Times New Roman" w:hAnsi="Book Antiqua"/>
          <w:color w:val="000000"/>
          <w:sz w:val="24"/>
          <w:szCs w:val="24"/>
          <w:lang w:val="en-US"/>
        </w:rPr>
        <w:t xml:space="preserve"> Forty-four patients with hepatocellular carcinoma and established cirrhosis were enrolled and treated with </w:t>
      </w:r>
      <w:proofErr w:type="spellStart"/>
      <w:r w:rsidRPr="00A02A04">
        <w:rPr>
          <w:rFonts w:ascii="Book Antiqua" w:eastAsia="Times New Roman" w:hAnsi="Book Antiqua"/>
          <w:color w:val="000000"/>
          <w:sz w:val="24"/>
          <w:szCs w:val="24"/>
          <w:lang w:val="en-US"/>
        </w:rPr>
        <w:t>sorafenib</w:t>
      </w:r>
      <w:proofErr w:type="spellEnd"/>
      <w:r w:rsidRPr="00A02A04">
        <w:rPr>
          <w:rFonts w:ascii="Book Antiqua" w:eastAsia="Times New Roman" w:hAnsi="Book Antiqua"/>
          <w:color w:val="000000"/>
          <w:sz w:val="24"/>
          <w:szCs w:val="24"/>
          <w:lang w:val="en-US"/>
        </w:rPr>
        <w:t>. A</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 Overall survival</w:t>
      </w:r>
      <w:r w:rsidRPr="00A02A04">
        <w:rPr>
          <w:rFonts w:ascii="Book Antiqua" w:hAnsi="Book Antiqua"/>
          <w:color w:val="000000"/>
          <w:sz w:val="24"/>
          <w:szCs w:val="24"/>
          <w:lang w:val="en-US" w:eastAsia="zh-CN"/>
        </w:rPr>
        <w:t xml:space="preserve">; </w:t>
      </w:r>
      <w:r w:rsidRPr="00A02A04">
        <w:rPr>
          <w:rFonts w:ascii="Book Antiqua" w:eastAsia="Times New Roman" w:hAnsi="Book Antiqua"/>
          <w:color w:val="000000"/>
          <w:sz w:val="24"/>
          <w:szCs w:val="24"/>
          <w:lang w:val="en-US"/>
        </w:rPr>
        <w:t>B</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 Survival of patients stratified according to their baseline alpha-fetoprotein (AFP) levels (</w:t>
      </w:r>
      <w:r w:rsidRPr="00A02A04">
        <w:rPr>
          <w:rFonts w:ascii="Book Antiqua" w:eastAsia="Times New Roman" w:hAnsi="Book Antiqua"/>
          <w:i/>
          <w:color w:val="000000"/>
          <w:sz w:val="24"/>
          <w:szCs w:val="24"/>
          <w:lang w:val="en-US"/>
        </w:rPr>
        <w:t xml:space="preserve">P = </w:t>
      </w:r>
      <w:r w:rsidRPr="00A02A04">
        <w:rPr>
          <w:rFonts w:ascii="Book Antiqua" w:eastAsia="Times New Roman" w:hAnsi="Book Antiqua"/>
          <w:color w:val="000000"/>
          <w:sz w:val="24"/>
          <w:szCs w:val="24"/>
          <w:lang w:val="en-US"/>
        </w:rPr>
        <w:t>0.021)</w:t>
      </w:r>
      <w:r w:rsidRPr="00A02A04">
        <w:rPr>
          <w:rFonts w:ascii="Book Antiqua" w:hAnsi="Book Antiqua"/>
          <w:color w:val="000000"/>
          <w:sz w:val="24"/>
          <w:szCs w:val="24"/>
          <w:lang w:val="en-US" w:eastAsia="zh-CN"/>
        </w:rPr>
        <w:t xml:space="preserve">; </w:t>
      </w:r>
      <w:r w:rsidRPr="00A02A04">
        <w:rPr>
          <w:rFonts w:ascii="Book Antiqua" w:eastAsia="Times New Roman" w:hAnsi="Book Antiqua"/>
          <w:color w:val="000000"/>
          <w:sz w:val="24"/>
          <w:szCs w:val="24"/>
          <w:lang w:val="en-US"/>
        </w:rPr>
        <w:t>C</w:t>
      </w:r>
      <w:r w:rsidRPr="00A02A04">
        <w:rPr>
          <w:rFonts w:ascii="Book Antiqua" w:hAnsi="Book Antiqua"/>
          <w:color w:val="000000"/>
          <w:sz w:val="24"/>
          <w:szCs w:val="24"/>
          <w:lang w:val="en-US" w:eastAsia="zh-CN"/>
        </w:rPr>
        <w:t>:</w:t>
      </w:r>
      <w:r w:rsidRPr="00A02A04">
        <w:rPr>
          <w:rFonts w:ascii="Book Antiqua" w:eastAsia="Times New Roman" w:hAnsi="Book Antiqua"/>
          <w:color w:val="000000"/>
          <w:sz w:val="24"/>
          <w:szCs w:val="24"/>
          <w:lang w:val="en-US"/>
        </w:rPr>
        <w:t xml:space="preserve"> Survival of patients stratified according to their baseline alkaline phosphatase (ALP) levels (</w:t>
      </w:r>
      <w:r w:rsidRPr="00A02A04">
        <w:rPr>
          <w:rFonts w:ascii="Book Antiqua" w:eastAsia="Times New Roman" w:hAnsi="Book Antiqua"/>
          <w:i/>
          <w:color w:val="000000"/>
          <w:sz w:val="24"/>
          <w:szCs w:val="24"/>
          <w:lang w:val="en-US"/>
        </w:rPr>
        <w:t xml:space="preserve">P = </w:t>
      </w:r>
      <w:r w:rsidRPr="00A02A04">
        <w:rPr>
          <w:rFonts w:ascii="Book Antiqua" w:eastAsia="Times New Roman" w:hAnsi="Book Antiqua"/>
          <w:color w:val="000000"/>
          <w:sz w:val="24"/>
          <w:szCs w:val="24"/>
          <w:lang w:val="en-US"/>
        </w:rPr>
        <w:t>0.017).</w:t>
      </w:r>
    </w:p>
    <w:p w:rsidR="003C29A3" w:rsidRPr="00A02A04" w:rsidRDefault="003C29A3" w:rsidP="009E446B">
      <w:pPr>
        <w:spacing w:after="0" w:line="360" w:lineRule="auto"/>
        <w:jc w:val="both"/>
        <w:rPr>
          <w:rFonts w:ascii="Book Antiqua" w:eastAsia="Times New Roman" w:hAnsi="Book Antiqua"/>
          <w:color w:val="000000"/>
          <w:sz w:val="24"/>
          <w:szCs w:val="24"/>
        </w:rPr>
      </w:pPr>
      <w:r w:rsidRPr="00A02A04">
        <w:rPr>
          <w:rFonts w:ascii="Book Antiqua" w:eastAsia="Times New Roman" w:hAnsi="Book Antiqua"/>
          <w:color w:val="000000"/>
          <w:sz w:val="24"/>
          <w:szCs w:val="24"/>
        </w:rPr>
        <w:br w:type="page"/>
      </w:r>
    </w:p>
    <w:p w:rsidR="003C29A3" w:rsidRPr="00A02A04" w:rsidRDefault="003C29A3" w:rsidP="009E446B">
      <w:pPr>
        <w:spacing w:after="0" w:line="360" w:lineRule="auto"/>
        <w:jc w:val="both"/>
        <w:rPr>
          <w:rFonts w:ascii="Book Antiqua" w:hAnsi="Book Antiqua"/>
          <w:b/>
          <w:color w:val="000000"/>
          <w:sz w:val="24"/>
          <w:szCs w:val="24"/>
          <w:lang w:val="en-US" w:eastAsia="zh-CN"/>
        </w:rPr>
      </w:pPr>
      <w:r w:rsidRPr="00A02A04">
        <w:rPr>
          <w:rFonts w:ascii="Book Antiqua" w:eastAsia="Times New Roman" w:hAnsi="Book Antiqua"/>
          <w:b/>
          <w:color w:val="000000"/>
          <w:sz w:val="24"/>
          <w:szCs w:val="24"/>
          <w:lang w:val="en-US"/>
        </w:rPr>
        <w:t xml:space="preserve">Table 1 Clinical characteristics of the patients with cirrhosis and hepatocellular carcinoma enrolled in the study </w:t>
      </w:r>
      <w:r w:rsidRPr="00A02A04">
        <w:rPr>
          <w:rFonts w:ascii="Book Antiqua" w:hAnsi="Book Antiqua"/>
          <w:b/>
          <w:i/>
          <w:color w:val="000000"/>
          <w:sz w:val="24"/>
          <w:szCs w:val="24"/>
          <w:lang w:val="en-US" w:eastAsia="zh-CN"/>
        </w:rPr>
        <w:t xml:space="preserve">n </w:t>
      </w:r>
      <w:r w:rsidRPr="00A02A04">
        <w:rPr>
          <w:rFonts w:ascii="Book Antiqua" w:eastAsia="Times New Roman" w:hAnsi="Book Antiqua"/>
          <w:b/>
          <w:color w:val="000000"/>
          <w:sz w:val="24"/>
          <w:szCs w:val="24"/>
        </w:rPr>
        <w:t>(%)</w:t>
      </w:r>
    </w:p>
    <w:tbl>
      <w:tblPr>
        <w:tblW w:w="4365" w:type="pct"/>
        <w:tblBorders>
          <w:top w:val="single" w:sz="4" w:space="0" w:color="auto"/>
          <w:bottom w:val="single" w:sz="4" w:space="0" w:color="auto"/>
        </w:tblBorders>
        <w:tblLook w:val="00A0" w:firstRow="1" w:lastRow="0" w:firstColumn="1" w:lastColumn="0" w:noHBand="0" w:noVBand="0"/>
      </w:tblPr>
      <w:tblGrid>
        <w:gridCol w:w="4986"/>
        <w:gridCol w:w="3617"/>
      </w:tblGrid>
      <w:tr w:rsidR="003C29A3" w:rsidRPr="00A02A04" w:rsidTr="005B2D98">
        <w:trPr>
          <w:trHeight w:val="237"/>
        </w:trPr>
        <w:tc>
          <w:tcPr>
            <w:tcW w:w="2898" w:type="pct"/>
            <w:tcBorders>
              <w:top w:val="single" w:sz="4" w:space="0" w:color="auto"/>
              <w:bottom w:val="single" w:sz="4" w:space="0" w:color="auto"/>
            </w:tcBorders>
          </w:tcPr>
          <w:p w:rsidR="003C29A3" w:rsidRPr="00A02A04" w:rsidRDefault="003C29A3" w:rsidP="005B2D98">
            <w:pPr>
              <w:spacing w:after="0" w:line="360" w:lineRule="auto"/>
              <w:jc w:val="both"/>
              <w:rPr>
                <w:rFonts w:ascii="Book Antiqua" w:hAnsi="Book Antiqua"/>
                <w:b/>
                <w:color w:val="000000"/>
                <w:sz w:val="24"/>
                <w:szCs w:val="24"/>
              </w:rPr>
            </w:pPr>
            <w:r w:rsidRPr="005016A2">
              <w:rPr>
                <w:rFonts w:ascii="Book Antiqua" w:hAnsi="Book Antiqua"/>
                <w:b/>
                <w:color w:val="000000"/>
                <w:sz w:val="24"/>
                <w:szCs w:val="24"/>
              </w:rPr>
              <w:t>Characteristics</w:t>
            </w:r>
            <w:r w:rsidRPr="00A02A04">
              <w:rPr>
                <w:rFonts w:ascii="Book Antiqua" w:hAnsi="Book Antiqua"/>
                <w:b/>
                <w:color w:val="000000"/>
                <w:sz w:val="24"/>
                <w:szCs w:val="24"/>
              </w:rPr>
              <w:t xml:space="preserve"> </w:t>
            </w:r>
          </w:p>
        </w:tc>
        <w:tc>
          <w:tcPr>
            <w:tcW w:w="2102" w:type="pct"/>
            <w:tcBorders>
              <w:top w:val="single" w:sz="4" w:space="0" w:color="auto"/>
              <w:bottom w:val="single" w:sz="4" w:space="0" w:color="auto"/>
            </w:tcBorders>
          </w:tcPr>
          <w:p w:rsidR="003C29A3" w:rsidRPr="00A02A04" w:rsidRDefault="003C29A3" w:rsidP="005B2D98">
            <w:pPr>
              <w:spacing w:after="0" w:line="360" w:lineRule="auto"/>
              <w:jc w:val="both"/>
              <w:rPr>
                <w:rFonts w:ascii="Book Antiqua" w:hAnsi="Book Antiqua"/>
                <w:b/>
                <w:color w:val="000000"/>
                <w:sz w:val="24"/>
                <w:szCs w:val="24"/>
              </w:rPr>
            </w:pPr>
            <w:r w:rsidRPr="005016A2">
              <w:rPr>
                <w:rFonts w:ascii="Book Antiqua" w:hAnsi="Book Antiqua"/>
                <w:b/>
                <w:i/>
                <w:color w:val="000000"/>
                <w:sz w:val="24"/>
                <w:szCs w:val="24"/>
                <w:lang w:eastAsia="zh-CN"/>
              </w:rPr>
              <w:t>n</w:t>
            </w:r>
            <w:r>
              <w:rPr>
                <w:rFonts w:ascii="Book Antiqua" w:hAnsi="Book Antiqua"/>
                <w:b/>
                <w:color w:val="000000"/>
                <w:sz w:val="24"/>
                <w:szCs w:val="24"/>
                <w:lang w:eastAsia="zh-CN"/>
              </w:rPr>
              <w:t xml:space="preserve"> = </w:t>
            </w:r>
            <w:r w:rsidRPr="00A02A04">
              <w:rPr>
                <w:rFonts w:ascii="Book Antiqua" w:hAnsi="Book Antiqua"/>
                <w:b/>
                <w:color w:val="000000"/>
                <w:sz w:val="24"/>
                <w:szCs w:val="24"/>
              </w:rPr>
              <w:t>44</w:t>
            </w:r>
          </w:p>
        </w:tc>
      </w:tr>
      <w:tr w:rsidR="003C29A3" w:rsidRPr="00A02A04" w:rsidTr="005B2D98">
        <w:trPr>
          <w:trHeight w:val="237"/>
        </w:trPr>
        <w:tc>
          <w:tcPr>
            <w:tcW w:w="2898" w:type="pct"/>
            <w:tcBorders>
              <w:top w:val="single" w:sz="4" w:space="0" w:color="auto"/>
            </w:tcBorders>
          </w:tcPr>
          <w:p w:rsidR="003C29A3" w:rsidRPr="00A02A04" w:rsidRDefault="003C29A3" w:rsidP="005B2D98">
            <w:pPr>
              <w:spacing w:after="0" w:line="360" w:lineRule="auto"/>
              <w:jc w:val="both"/>
              <w:rPr>
                <w:rFonts w:ascii="Book Antiqua" w:hAnsi="Book Antiqua"/>
                <w:b/>
                <w:color w:val="000000"/>
                <w:sz w:val="24"/>
                <w:szCs w:val="24"/>
                <w:lang w:eastAsia="zh-CN"/>
              </w:rPr>
            </w:pPr>
            <w:r w:rsidRPr="00A02A04">
              <w:rPr>
                <w:rFonts w:ascii="Book Antiqua" w:hAnsi="Book Antiqua"/>
                <w:b/>
                <w:color w:val="000000"/>
                <w:sz w:val="24"/>
                <w:szCs w:val="24"/>
              </w:rPr>
              <w:t>Age</w:t>
            </w:r>
            <w:r w:rsidRPr="00A02A04">
              <w:rPr>
                <w:rFonts w:ascii="Book Antiqua" w:hAnsi="Book Antiqua"/>
                <w:b/>
                <w:color w:val="000000"/>
                <w:sz w:val="24"/>
                <w:szCs w:val="24"/>
                <w:lang w:eastAsia="zh-CN"/>
              </w:rPr>
              <w:t xml:space="preserve"> (</w:t>
            </w:r>
            <w:proofErr w:type="spellStart"/>
            <w:r w:rsidRPr="00A02A04">
              <w:rPr>
                <w:rFonts w:ascii="Book Antiqua" w:hAnsi="Book Antiqua"/>
                <w:b/>
                <w:color w:val="000000"/>
                <w:sz w:val="24"/>
                <w:szCs w:val="24"/>
                <w:lang w:eastAsia="zh-CN"/>
              </w:rPr>
              <w:t>yr</w:t>
            </w:r>
            <w:proofErr w:type="spellEnd"/>
            <w:r w:rsidRPr="00A02A04">
              <w:rPr>
                <w:rFonts w:ascii="Book Antiqua" w:hAnsi="Book Antiqua"/>
                <w:b/>
                <w:color w:val="000000"/>
                <w:sz w:val="24"/>
                <w:szCs w:val="24"/>
                <w:lang w:eastAsia="zh-CN"/>
              </w:rPr>
              <w:t>)</w:t>
            </w:r>
          </w:p>
        </w:tc>
        <w:tc>
          <w:tcPr>
            <w:tcW w:w="2102" w:type="pct"/>
            <w:tcBorders>
              <w:top w:val="single" w:sz="4" w:space="0" w:color="auto"/>
            </w:tcBorders>
          </w:tcPr>
          <w:p w:rsidR="003C29A3" w:rsidRPr="00A02A04" w:rsidRDefault="003C29A3" w:rsidP="005B2D98">
            <w:pPr>
              <w:spacing w:after="0" w:line="360" w:lineRule="auto"/>
              <w:jc w:val="both"/>
              <w:rPr>
                <w:rFonts w:ascii="Book Antiqua" w:hAnsi="Book Antiqua"/>
                <w:color w:val="000000"/>
                <w:sz w:val="24"/>
                <w:szCs w:val="24"/>
              </w:rPr>
            </w:pP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mean (SD)</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67.7 (10.1)</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median (min-max)</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70 (44-83)</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 xml:space="preserve">Males </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38 (86.4)</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 xml:space="preserve">Recruiting unit </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w:t>
            </w:r>
            <w:proofErr w:type="spellStart"/>
            <w:r w:rsidRPr="00A02A04">
              <w:rPr>
                <w:rFonts w:ascii="Book Antiqua" w:hAnsi="Book Antiqua"/>
                <w:color w:val="000000"/>
                <w:sz w:val="24"/>
                <w:szCs w:val="24"/>
              </w:rPr>
              <w:t>Hepatology</w:t>
            </w:r>
            <w:proofErr w:type="spellEnd"/>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29 (65.9)</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Medical Oncology</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15 (34.1)</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b/>
                <w:color w:val="000000"/>
                <w:sz w:val="24"/>
                <w:szCs w:val="24"/>
              </w:rPr>
            </w:pPr>
            <w:proofErr w:type="spellStart"/>
            <w:r w:rsidRPr="00A02A04">
              <w:rPr>
                <w:rFonts w:ascii="Book Antiqua" w:hAnsi="Book Antiqua"/>
                <w:b/>
                <w:color w:val="000000"/>
                <w:sz w:val="24"/>
                <w:szCs w:val="24"/>
              </w:rPr>
              <w:t>Etiology</w:t>
            </w:r>
            <w:proofErr w:type="spellEnd"/>
            <w:r w:rsidRPr="00A02A04">
              <w:rPr>
                <w:rFonts w:ascii="Book Antiqua" w:hAnsi="Book Antiqua"/>
                <w:b/>
                <w:color w:val="000000"/>
                <w:sz w:val="24"/>
                <w:szCs w:val="24"/>
              </w:rPr>
              <w:t xml:space="preserve"> of cirrhosis</w:t>
            </w:r>
          </w:p>
        </w:tc>
        <w:tc>
          <w:tcPr>
            <w:tcW w:w="2102" w:type="pct"/>
          </w:tcPr>
          <w:p w:rsidR="003C29A3" w:rsidRPr="00A02A04" w:rsidRDefault="003C29A3" w:rsidP="005B2D98">
            <w:pPr>
              <w:spacing w:after="0" w:line="360" w:lineRule="auto"/>
              <w:jc w:val="both"/>
              <w:rPr>
                <w:rFonts w:ascii="Book Antiqua" w:hAnsi="Book Antiqua"/>
                <w:color w:val="000000"/>
                <w:sz w:val="24"/>
                <w:szCs w:val="24"/>
                <w:lang w:val="en-US"/>
              </w:rPr>
            </w:pP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HCV</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19 (43.2)</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HBV</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9 (20.5)</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Alcohol</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7 (15.9)</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Multifactorial </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4 (9.1)</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Cryptogenic</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4 (9.1)</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Primary biliary cirrhosis</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 (2.3)</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 xml:space="preserve">ECOG performance status </w:t>
            </w:r>
          </w:p>
        </w:tc>
        <w:tc>
          <w:tcPr>
            <w:tcW w:w="2102" w:type="pct"/>
          </w:tcPr>
          <w:p w:rsidR="003C29A3" w:rsidRPr="00A02A04" w:rsidRDefault="003C29A3" w:rsidP="005B2D98">
            <w:pPr>
              <w:spacing w:after="0" w:line="360" w:lineRule="auto"/>
              <w:jc w:val="both"/>
              <w:rPr>
                <w:rFonts w:ascii="Book Antiqua" w:hAnsi="Book Antiqua"/>
                <w:color w:val="000000"/>
                <w:sz w:val="24"/>
                <w:szCs w:val="24"/>
                <w:lang w:val="en-US"/>
              </w:rPr>
            </w:pP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0</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24 (54.5)</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1</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18 (40.9)</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2</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2 (4.5)</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 xml:space="preserve">BCLC </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B</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15 (34.1)</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C</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29 (65.9)</w:t>
            </w:r>
          </w:p>
        </w:tc>
      </w:tr>
      <w:tr w:rsidR="003C29A3" w:rsidRPr="00A02A04" w:rsidTr="005B2D98">
        <w:trPr>
          <w:trHeight w:val="238"/>
        </w:trPr>
        <w:tc>
          <w:tcPr>
            <w:tcW w:w="2898" w:type="pct"/>
          </w:tcPr>
          <w:p w:rsidR="003C29A3" w:rsidRPr="00A02A04" w:rsidRDefault="003C29A3" w:rsidP="005B2D98">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rPr>
              <w:t xml:space="preserve">Child-Pugh class </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A</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29 (65.9)</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B</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15 (34.1)</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b/>
                <w:color w:val="000000"/>
                <w:sz w:val="24"/>
                <w:szCs w:val="24"/>
              </w:rPr>
            </w:pPr>
            <w:proofErr w:type="spellStart"/>
            <w:r w:rsidRPr="00A02A04">
              <w:rPr>
                <w:rFonts w:ascii="Book Antiqua" w:hAnsi="Book Antiqua"/>
                <w:b/>
                <w:color w:val="000000"/>
                <w:sz w:val="24"/>
                <w:szCs w:val="24"/>
              </w:rPr>
              <w:t>Extrahepatic</w:t>
            </w:r>
            <w:proofErr w:type="spellEnd"/>
            <w:r w:rsidRPr="00A02A04">
              <w:rPr>
                <w:rFonts w:ascii="Book Antiqua" w:hAnsi="Book Antiqua"/>
                <w:b/>
                <w:color w:val="000000"/>
                <w:sz w:val="24"/>
                <w:szCs w:val="24"/>
              </w:rPr>
              <w:t xml:space="preserve"> spread</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9 (20.5)</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Portal vein thrombosis</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8 (18.2)</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b/>
                <w:color w:val="000000"/>
                <w:sz w:val="24"/>
                <w:szCs w:val="24"/>
              </w:rPr>
            </w:pPr>
            <w:proofErr w:type="spellStart"/>
            <w:r w:rsidRPr="00A02A04">
              <w:rPr>
                <w:rFonts w:ascii="Book Antiqua" w:hAnsi="Book Antiqua"/>
                <w:b/>
                <w:color w:val="000000"/>
                <w:sz w:val="24"/>
                <w:szCs w:val="24"/>
              </w:rPr>
              <w:t>Varices</w:t>
            </w:r>
            <w:proofErr w:type="spellEnd"/>
            <w:r w:rsidRPr="00A02A04">
              <w:rPr>
                <w:rFonts w:ascii="Book Antiqua" w:hAnsi="Book Antiqua"/>
                <w:b/>
                <w:color w:val="000000"/>
                <w:sz w:val="24"/>
                <w:szCs w:val="24"/>
              </w:rPr>
              <w:t xml:space="preserve"> </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15 (34.1)</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lastRenderedPageBreak/>
              <w:t xml:space="preserve">Macroscopic category </w:t>
            </w:r>
          </w:p>
        </w:tc>
        <w:tc>
          <w:tcPr>
            <w:tcW w:w="2102" w:type="pct"/>
          </w:tcPr>
          <w:p w:rsidR="003C29A3" w:rsidRPr="00A02A04" w:rsidRDefault="003C29A3" w:rsidP="005B2D98">
            <w:pPr>
              <w:spacing w:after="0" w:line="360" w:lineRule="auto"/>
              <w:jc w:val="both"/>
              <w:rPr>
                <w:rFonts w:ascii="Book Antiqua" w:hAnsi="Book Antiqua"/>
                <w:color w:val="000000"/>
                <w:sz w:val="24"/>
                <w:szCs w:val="24"/>
                <w:lang w:val="en-US"/>
              </w:rPr>
            </w:pP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proofErr w:type="spellStart"/>
            <w:r w:rsidRPr="00A02A04">
              <w:rPr>
                <w:rFonts w:ascii="Book Antiqua" w:hAnsi="Book Antiqua"/>
                <w:color w:val="000000"/>
                <w:sz w:val="24"/>
                <w:szCs w:val="24"/>
              </w:rPr>
              <w:t>Extrahepatic</w:t>
            </w:r>
            <w:proofErr w:type="spellEnd"/>
            <w:r w:rsidRPr="00A02A04">
              <w:rPr>
                <w:rFonts w:ascii="Book Antiqua" w:hAnsi="Book Antiqua"/>
                <w:color w:val="000000"/>
                <w:sz w:val="24"/>
                <w:szCs w:val="24"/>
              </w:rPr>
              <w:t xml:space="preserve"> only</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 (2.3)</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proofErr w:type="spellStart"/>
            <w:r w:rsidRPr="00A02A04">
              <w:rPr>
                <w:rFonts w:ascii="Book Antiqua" w:hAnsi="Book Antiqua"/>
                <w:color w:val="000000"/>
                <w:sz w:val="24"/>
                <w:szCs w:val="24"/>
              </w:rPr>
              <w:t>Uninodular</w:t>
            </w:r>
            <w:proofErr w:type="spellEnd"/>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3 (6.8)</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≤3 nodules</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34 (77.3)</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&gt;3 nodules</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6 (13.6)</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b/>
                <w:color w:val="000000"/>
                <w:sz w:val="24"/>
                <w:szCs w:val="24"/>
                <w:lang w:eastAsia="zh-CN"/>
              </w:rPr>
            </w:pPr>
            <w:r w:rsidRPr="00A02A04">
              <w:rPr>
                <w:rFonts w:ascii="Book Antiqua" w:hAnsi="Book Antiqua"/>
                <w:b/>
                <w:color w:val="000000"/>
                <w:sz w:val="24"/>
                <w:szCs w:val="24"/>
              </w:rPr>
              <w:t>Previous therapies</w:t>
            </w:r>
          </w:p>
        </w:tc>
        <w:tc>
          <w:tcPr>
            <w:tcW w:w="2102" w:type="pct"/>
          </w:tcPr>
          <w:p w:rsidR="003C29A3" w:rsidRPr="00A02A04" w:rsidRDefault="003C29A3" w:rsidP="005B2D98">
            <w:pPr>
              <w:spacing w:after="0" w:line="360" w:lineRule="auto"/>
              <w:jc w:val="both"/>
              <w:rPr>
                <w:rFonts w:ascii="Book Antiqua" w:hAnsi="Book Antiqua"/>
                <w:color w:val="000000"/>
                <w:sz w:val="24"/>
                <w:szCs w:val="24"/>
                <w:lang w:val="en-US"/>
              </w:rPr>
            </w:pP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lang w:eastAsia="zh-CN"/>
              </w:rPr>
            </w:pPr>
            <w:r w:rsidRPr="00A02A04">
              <w:rPr>
                <w:rFonts w:ascii="Book Antiqua" w:hAnsi="Book Antiqua"/>
                <w:color w:val="000000"/>
                <w:sz w:val="24"/>
                <w:szCs w:val="24"/>
              </w:rPr>
              <w:t xml:space="preserve">   TACE</w:t>
            </w:r>
            <w:r w:rsidRPr="00A02A04">
              <w:rPr>
                <w:rFonts w:ascii="Book Antiqua" w:hAnsi="Book Antiqua"/>
                <w:color w:val="000000"/>
                <w:sz w:val="24"/>
                <w:szCs w:val="24"/>
                <w:vertAlign w:val="superscript"/>
                <w:lang w:eastAsia="zh-CN"/>
              </w:rPr>
              <w:t>1</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20 (45.5)</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w:t>
            </w:r>
            <w:proofErr w:type="spellStart"/>
            <w:r w:rsidRPr="00A02A04">
              <w:rPr>
                <w:rFonts w:ascii="Book Antiqua" w:hAnsi="Book Antiqua"/>
                <w:color w:val="000000"/>
                <w:sz w:val="24"/>
                <w:szCs w:val="24"/>
              </w:rPr>
              <w:t>Locoregional</w:t>
            </w:r>
            <w:proofErr w:type="spellEnd"/>
            <w:r w:rsidRPr="00A02A04">
              <w:rPr>
                <w:rFonts w:ascii="Book Antiqua" w:hAnsi="Book Antiqua"/>
                <w:color w:val="000000"/>
                <w:sz w:val="24"/>
                <w:szCs w:val="24"/>
              </w:rPr>
              <w:t xml:space="preserve"> ablation</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3 (6.8)</w:t>
            </w:r>
          </w:p>
        </w:tc>
      </w:tr>
      <w:tr w:rsidR="003C29A3" w:rsidRPr="00A02A04" w:rsidTr="005B2D98">
        <w:trPr>
          <w:trHeight w:val="237"/>
        </w:trPr>
        <w:tc>
          <w:tcPr>
            <w:tcW w:w="2898"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Surgical resection</w:t>
            </w:r>
          </w:p>
        </w:tc>
        <w:tc>
          <w:tcPr>
            <w:tcW w:w="2102" w:type="pct"/>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2 (4.5)</w:t>
            </w:r>
          </w:p>
        </w:tc>
      </w:tr>
      <w:tr w:rsidR="003C29A3" w:rsidRPr="00A02A04" w:rsidTr="005B2D98">
        <w:trPr>
          <w:trHeight w:val="237"/>
        </w:trPr>
        <w:tc>
          <w:tcPr>
            <w:tcW w:w="2898" w:type="pct"/>
            <w:tcBorders>
              <w:bottom w:val="single" w:sz="4" w:space="0" w:color="auto"/>
            </w:tcBorders>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None</w:t>
            </w:r>
          </w:p>
        </w:tc>
        <w:tc>
          <w:tcPr>
            <w:tcW w:w="2102" w:type="pct"/>
            <w:tcBorders>
              <w:bottom w:val="single" w:sz="4" w:space="0" w:color="auto"/>
            </w:tcBorders>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19 (43.2)</w:t>
            </w:r>
          </w:p>
        </w:tc>
      </w:tr>
    </w:tbl>
    <w:p w:rsidR="003C29A3" w:rsidRPr="00A02A04" w:rsidRDefault="003C29A3" w:rsidP="009E446B">
      <w:pPr>
        <w:spacing w:after="0" w:line="360" w:lineRule="auto"/>
        <w:jc w:val="both"/>
        <w:rPr>
          <w:rFonts w:ascii="Book Antiqua" w:hAnsi="Book Antiqua"/>
          <w:color w:val="000000"/>
          <w:sz w:val="24"/>
          <w:szCs w:val="24"/>
          <w:vertAlign w:val="superscript"/>
        </w:rPr>
      </w:pPr>
    </w:p>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hAnsi="Book Antiqua"/>
          <w:color w:val="000000"/>
          <w:sz w:val="24"/>
          <w:szCs w:val="24"/>
          <w:vertAlign w:val="superscript"/>
          <w:lang w:eastAsia="zh-CN"/>
        </w:rPr>
        <w:t>1</w:t>
      </w:r>
      <w:r w:rsidRPr="00A02A04">
        <w:rPr>
          <w:rFonts w:ascii="Book Antiqua" w:hAnsi="Book Antiqua"/>
          <w:color w:val="000000"/>
          <w:sz w:val="24"/>
          <w:szCs w:val="24"/>
        </w:rPr>
        <w:t xml:space="preserve">Includes 7 patients in whom trans arterial </w:t>
      </w:r>
      <w:proofErr w:type="spellStart"/>
      <w:r w:rsidRPr="00A02A04">
        <w:rPr>
          <w:rFonts w:ascii="Book Antiqua" w:hAnsi="Book Antiqua"/>
          <w:color w:val="000000"/>
          <w:sz w:val="24"/>
          <w:szCs w:val="24"/>
        </w:rPr>
        <w:t>chemio</w:t>
      </w:r>
      <w:proofErr w:type="spellEnd"/>
      <w:r w:rsidRPr="00A02A04">
        <w:rPr>
          <w:rFonts w:ascii="Book Antiqua" w:hAnsi="Book Antiqua"/>
          <w:color w:val="000000"/>
          <w:sz w:val="24"/>
          <w:szCs w:val="24"/>
        </w:rPr>
        <w:t xml:space="preserve">-embolization (TACE) was performed in combination with other treatment modalities, and 2 patients treated with </w:t>
      </w:r>
      <w:r w:rsidRPr="00A02A04">
        <w:rPr>
          <w:rFonts w:ascii="Book Antiqua" w:hAnsi="Book Antiqua"/>
          <w:color w:val="000000"/>
          <w:sz w:val="24"/>
          <w:szCs w:val="24"/>
          <w:vertAlign w:val="superscript"/>
        </w:rPr>
        <w:t>90</w:t>
      </w:r>
      <w:r w:rsidRPr="00A02A04">
        <w:rPr>
          <w:rFonts w:ascii="Book Antiqua" w:hAnsi="Book Antiqua"/>
          <w:color w:val="000000"/>
          <w:sz w:val="24"/>
          <w:szCs w:val="24"/>
        </w:rPr>
        <w:t>Y radio-embolization. HCV</w:t>
      </w:r>
      <w:r w:rsidRPr="00A02A04">
        <w:rPr>
          <w:rFonts w:ascii="Book Antiqua" w:hAnsi="Book Antiqua"/>
          <w:color w:val="000000"/>
          <w:sz w:val="24"/>
          <w:szCs w:val="24"/>
          <w:lang w:eastAsia="zh-CN"/>
        </w:rPr>
        <w:t xml:space="preserve">: Hepatitis C virus; HBV: Hepatitis B virus; </w:t>
      </w:r>
      <w:r w:rsidRPr="00A02A04">
        <w:rPr>
          <w:rFonts w:ascii="Book Antiqua" w:eastAsia="AdvAGaramond-R" w:hAnsi="Book Antiqua"/>
          <w:color w:val="000000"/>
          <w:sz w:val="24"/>
          <w:szCs w:val="24"/>
          <w:lang w:val="en-US"/>
        </w:rPr>
        <w:t>ECOG</w:t>
      </w:r>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Eastern Cooperative Oncology Group</w:t>
      </w:r>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BCLC</w:t>
      </w:r>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Barcelona clinic liver cancer</w:t>
      </w:r>
      <w:r w:rsidRPr="00A02A04">
        <w:rPr>
          <w:rFonts w:ascii="Book Antiqua" w:hAnsi="Book Antiqua"/>
          <w:color w:val="000000"/>
          <w:sz w:val="24"/>
          <w:szCs w:val="24"/>
          <w:lang w:val="en-US" w:eastAsia="zh-CN"/>
        </w:rPr>
        <w:t>.</w:t>
      </w:r>
    </w:p>
    <w:p w:rsidR="003C29A3" w:rsidRPr="00A02A04" w:rsidRDefault="003C29A3" w:rsidP="009E446B">
      <w:pPr>
        <w:spacing w:after="0" w:line="360" w:lineRule="auto"/>
        <w:jc w:val="both"/>
        <w:rPr>
          <w:rFonts w:ascii="Book Antiqua" w:hAnsi="Book Antiqua"/>
          <w:color w:val="000000"/>
          <w:sz w:val="24"/>
          <w:szCs w:val="24"/>
          <w:lang w:val="en-US"/>
        </w:rPr>
      </w:pPr>
    </w:p>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br w:type="page"/>
      </w:r>
    </w:p>
    <w:p w:rsidR="003C29A3" w:rsidRPr="00A02A04" w:rsidRDefault="003C29A3" w:rsidP="009E446B">
      <w:pPr>
        <w:jc w:val="both"/>
        <w:rPr>
          <w:color w:val="000000"/>
        </w:rPr>
      </w:pPr>
      <w:r w:rsidRPr="00A02A04">
        <w:rPr>
          <w:rFonts w:ascii="Book Antiqua" w:hAnsi="Book Antiqua"/>
          <w:b/>
          <w:color w:val="000000"/>
          <w:sz w:val="24"/>
          <w:szCs w:val="24"/>
          <w:lang w:val="en-US"/>
        </w:rPr>
        <w:t xml:space="preserve">Table 2 Incidence of adverse events in 44 patients with cirrhosis and hepatocellular carcinoma undergoing treatment with </w:t>
      </w:r>
      <w:proofErr w:type="spellStart"/>
      <w:r w:rsidRPr="00A02A04">
        <w:rPr>
          <w:rFonts w:ascii="Book Antiqua" w:hAnsi="Book Antiqua"/>
          <w:b/>
          <w:color w:val="000000"/>
          <w:sz w:val="24"/>
          <w:szCs w:val="24"/>
          <w:lang w:val="en-US"/>
        </w:rPr>
        <w:t>sorafenib</w:t>
      </w:r>
      <w:proofErr w:type="spellEnd"/>
      <w:r w:rsidRPr="00A02A04">
        <w:rPr>
          <w:rFonts w:ascii="Book Antiqua" w:hAnsi="Book Antiqua"/>
          <w:b/>
          <w:color w:val="000000"/>
          <w:sz w:val="24"/>
          <w:szCs w:val="24"/>
          <w:lang w:val="en-US"/>
        </w:rPr>
        <w:t xml:space="preserve"> </w:t>
      </w:r>
      <w:r w:rsidRPr="00A02A04">
        <w:rPr>
          <w:rFonts w:ascii="Book Antiqua" w:hAnsi="Book Antiqua"/>
          <w:b/>
          <w:i/>
          <w:color w:val="000000"/>
          <w:sz w:val="24"/>
          <w:szCs w:val="24"/>
          <w:lang w:val="en-US" w:eastAsia="zh-CN"/>
        </w:rPr>
        <w:t>n</w:t>
      </w:r>
      <w:r>
        <w:rPr>
          <w:rFonts w:ascii="Book Antiqua" w:hAnsi="Book Antiqua"/>
          <w:b/>
          <w:i/>
          <w:color w:val="000000"/>
          <w:sz w:val="24"/>
          <w:szCs w:val="24"/>
          <w:lang w:val="en-US" w:eastAsia="zh-CN"/>
        </w:rPr>
        <w:t xml:space="preserve"> </w:t>
      </w:r>
      <w:r w:rsidRPr="00A02A04">
        <w:rPr>
          <w:rFonts w:ascii="Book Antiqua" w:hAnsi="Book Antiqua"/>
          <w:b/>
          <w:color w:val="000000"/>
          <w:sz w:val="24"/>
          <w:szCs w:val="24"/>
        </w:rPr>
        <w:t>(%)</w:t>
      </w:r>
    </w:p>
    <w:tbl>
      <w:tblPr>
        <w:tblW w:w="2291" w:type="pct"/>
        <w:tblBorders>
          <w:top w:val="single" w:sz="4" w:space="0" w:color="auto"/>
          <w:bottom w:val="single" w:sz="4" w:space="0" w:color="auto"/>
        </w:tblBorders>
        <w:tblLook w:val="00A0" w:firstRow="1" w:lastRow="0" w:firstColumn="1" w:lastColumn="0" w:noHBand="0" w:noVBand="0"/>
      </w:tblPr>
      <w:tblGrid>
        <w:gridCol w:w="2937"/>
        <w:gridCol w:w="1578"/>
      </w:tblGrid>
      <w:tr w:rsidR="003C29A3" w:rsidRPr="00A02A04" w:rsidTr="005B2D98">
        <w:trPr>
          <w:trHeight w:hRule="exact" w:val="301"/>
        </w:trPr>
        <w:tc>
          <w:tcPr>
            <w:tcW w:w="3252" w:type="pct"/>
            <w:tcBorders>
              <w:top w:val="single" w:sz="4" w:space="0" w:color="auto"/>
              <w:bottom w:val="single" w:sz="4" w:space="0" w:color="auto"/>
            </w:tcBorders>
            <w:noWrap/>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Adverse events</w:t>
            </w:r>
          </w:p>
        </w:tc>
        <w:tc>
          <w:tcPr>
            <w:tcW w:w="1748" w:type="pct"/>
            <w:tcBorders>
              <w:top w:val="single" w:sz="4" w:space="0" w:color="auto"/>
              <w:bottom w:val="single" w:sz="4" w:space="0" w:color="auto"/>
            </w:tcBorders>
            <w:noWrap/>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Statistics</w:t>
            </w:r>
          </w:p>
        </w:tc>
      </w:tr>
      <w:tr w:rsidR="003C29A3" w:rsidRPr="00A02A04" w:rsidTr="005B2D98">
        <w:trPr>
          <w:trHeight w:hRule="exact" w:val="301"/>
        </w:trPr>
        <w:tc>
          <w:tcPr>
            <w:tcW w:w="3252" w:type="pct"/>
            <w:tcBorders>
              <w:top w:val="single" w:sz="4" w:space="0" w:color="auto"/>
            </w:tcBorders>
            <w:noWrap/>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 xml:space="preserve">Fatigue </w:t>
            </w:r>
          </w:p>
        </w:tc>
        <w:tc>
          <w:tcPr>
            <w:tcW w:w="1748" w:type="pct"/>
            <w:tcBorders>
              <w:top w:val="single" w:sz="4" w:space="0" w:color="auto"/>
            </w:tcBorders>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29 (65.9)</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1</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11 (25)</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2</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11 (25)</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3</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7 (15.9)</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 xml:space="preserve">Bleeding </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7 (15.9)</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1</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3 (6.8)</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2</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 (2.3)</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3</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3 (6.8)</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Hand-foot syndrome</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14 (31.8)</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1</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7 (15.9)</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2</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7 (15.9)</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3</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0 (0)</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b/>
                <w:color w:val="000000"/>
                <w:sz w:val="24"/>
                <w:szCs w:val="24"/>
              </w:rPr>
            </w:pPr>
            <w:proofErr w:type="spellStart"/>
            <w:r w:rsidRPr="00A02A04">
              <w:rPr>
                <w:rFonts w:ascii="Book Antiqua" w:hAnsi="Book Antiqua"/>
                <w:b/>
                <w:color w:val="000000"/>
                <w:sz w:val="24"/>
                <w:szCs w:val="24"/>
              </w:rPr>
              <w:t>Diarrhea</w:t>
            </w:r>
            <w:proofErr w:type="spellEnd"/>
            <w:r w:rsidRPr="00A02A04">
              <w:rPr>
                <w:rFonts w:ascii="Book Antiqua" w:hAnsi="Book Antiqua"/>
                <w:b/>
                <w:color w:val="000000"/>
                <w:sz w:val="24"/>
                <w:szCs w:val="24"/>
              </w:rPr>
              <w:t xml:space="preserve"> </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15 (34.1)</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1</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6 (13.6)</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2</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8 (18.2)</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 xml:space="preserve">   Grade 3</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1 (2.3)</w:t>
            </w:r>
          </w:p>
        </w:tc>
      </w:tr>
      <w:tr w:rsidR="003C29A3" w:rsidRPr="00A02A04" w:rsidTr="005B2D98">
        <w:trPr>
          <w:trHeight w:hRule="exact" w:val="301"/>
        </w:trPr>
        <w:tc>
          <w:tcPr>
            <w:tcW w:w="3252" w:type="pct"/>
            <w:noWrap/>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Hepatic grade 3</w:t>
            </w:r>
            <w:r w:rsidRPr="00A02A04">
              <w:rPr>
                <w:rFonts w:ascii="Book Antiqua" w:hAnsi="Book Antiqua"/>
                <w:b/>
                <w:color w:val="000000"/>
                <w:sz w:val="24"/>
                <w:szCs w:val="24"/>
                <w:vertAlign w:val="superscript"/>
                <w:lang w:eastAsia="zh-CN"/>
              </w:rPr>
              <w:t>1</w:t>
            </w:r>
            <w:r w:rsidRPr="00A02A04">
              <w:rPr>
                <w:rFonts w:ascii="Book Antiqua" w:hAnsi="Book Antiqua"/>
                <w:b/>
                <w:color w:val="000000"/>
                <w:sz w:val="24"/>
                <w:szCs w:val="24"/>
              </w:rPr>
              <w:t xml:space="preserve">AEs </w:t>
            </w:r>
          </w:p>
        </w:tc>
        <w:tc>
          <w:tcPr>
            <w:tcW w:w="1748" w:type="pct"/>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8 (18.2)</w:t>
            </w:r>
          </w:p>
        </w:tc>
      </w:tr>
      <w:tr w:rsidR="003C29A3" w:rsidRPr="00A02A04" w:rsidTr="005B2D98">
        <w:trPr>
          <w:trHeight w:hRule="exact" w:val="301"/>
        </w:trPr>
        <w:tc>
          <w:tcPr>
            <w:tcW w:w="3252" w:type="pct"/>
            <w:tcBorders>
              <w:bottom w:val="single" w:sz="4" w:space="0" w:color="auto"/>
            </w:tcBorders>
            <w:noWrap/>
          </w:tcPr>
          <w:p w:rsidR="003C29A3" w:rsidRPr="00A02A04" w:rsidRDefault="003C29A3" w:rsidP="005B2D98">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Other AEs</w:t>
            </w:r>
            <w:r w:rsidRPr="00A02A04">
              <w:rPr>
                <w:rFonts w:ascii="Book Antiqua" w:hAnsi="Book Antiqua"/>
                <w:b/>
                <w:color w:val="000000"/>
                <w:sz w:val="24"/>
                <w:szCs w:val="24"/>
                <w:vertAlign w:val="superscript"/>
                <w:lang w:eastAsia="zh-CN"/>
              </w:rPr>
              <w:t>2</w:t>
            </w:r>
          </w:p>
        </w:tc>
        <w:tc>
          <w:tcPr>
            <w:tcW w:w="1748" w:type="pct"/>
            <w:tcBorders>
              <w:bottom w:val="single" w:sz="4" w:space="0" w:color="auto"/>
            </w:tcBorders>
            <w:noWrap/>
          </w:tcPr>
          <w:p w:rsidR="003C29A3" w:rsidRPr="00A02A04" w:rsidRDefault="003C29A3" w:rsidP="005B2D98">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t>20 (45.5)</w:t>
            </w:r>
          </w:p>
        </w:tc>
      </w:tr>
    </w:tbl>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hAnsi="Book Antiqua"/>
          <w:color w:val="000000"/>
          <w:sz w:val="24"/>
          <w:szCs w:val="24"/>
          <w:lang w:val="en-US"/>
        </w:rPr>
        <w:t>All grades were evaluated according to Common Terminology Criteria for Adverse Event version 3.0.</w:t>
      </w:r>
      <w:r w:rsidRPr="00A02A04">
        <w:rPr>
          <w:rFonts w:ascii="Book Antiqua" w:hAnsi="Book Antiqua"/>
          <w:color w:val="000000"/>
          <w:sz w:val="24"/>
          <w:szCs w:val="24"/>
          <w:vertAlign w:val="superscript"/>
          <w:lang w:val="en-US" w:eastAsia="zh-CN"/>
        </w:rPr>
        <w:t>1</w:t>
      </w:r>
      <w:r w:rsidRPr="00A02A04">
        <w:rPr>
          <w:rFonts w:ascii="Book Antiqua" w:hAnsi="Book Antiqua"/>
          <w:color w:val="000000"/>
          <w:sz w:val="24"/>
          <w:szCs w:val="24"/>
          <w:lang w:val="en-US"/>
        </w:rPr>
        <w:t xml:space="preserve">An increase in </w:t>
      </w:r>
      <w:proofErr w:type="spellStart"/>
      <w:r w:rsidRPr="00A02A04">
        <w:rPr>
          <w:rFonts w:ascii="Book Antiqua" w:hAnsi="Book Antiqua"/>
          <w:color w:val="000000"/>
          <w:sz w:val="24"/>
          <w:szCs w:val="24"/>
          <w:lang w:val="en-US"/>
        </w:rPr>
        <w:t>aminotranspherase</w:t>
      </w:r>
      <w:proofErr w:type="spellEnd"/>
      <w:r w:rsidRPr="00A02A04">
        <w:rPr>
          <w:rFonts w:ascii="Book Antiqua" w:hAnsi="Book Antiqua"/>
          <w:color w:val="000000"/>
          <w:sz w:val="24"/>
          <w:szCs w:val="24"/>
          <w:lang w:val="en-US"/>
        </w:rPr>
        <w:t xml:space="preserve"> and bilirubin after starting </w:t>
      </w:r>
      <w:proofErr w:type="spellStart"/>
      <w:r w:rsidRPr="00A02A04">
        <w:rPr>
          <w:rFonts w:ascii="Book Antiqua" w:hAnsi="Book Antiqua"/>
          <w:color w:val="000000"/>
          <w:sz w:val="24"/>
          <w:szCs w:val="24"/>
          <w:lang w:val="en-US"/>
        </w:rPr>
        <w:t>sorafenib</w:t>
      </w:r>
      <w:proofErr w:type="spellEnd"/>
      <w:r w:rsidRPr="00A02A04">
        <w:rPr>
          <w:rFonts w:ascii="Book Antiqua" w:hAnsi="Book Antiqua"/>
          <w:color w:val="000000"/>
          <w:sz w:val="24"/>
          <w:szCs w:val="24"/>
          <w:lang w:val="en-US"/>
        </w:rPr>
        <w:t xml:space="preserve"> was observed in all patients</w:t>
      </w:r>
      <w:r w:rsidRPr="00A02A04">
        <w:rPr>
          <w:rFonts w:ascii="Book Antiqua" w:hAnsi="Book Antiqua"/>
          <w:color w:val="000000"/>
          <w:sz w:val="24"/>
          <w:szCs w:val="24"/>
          <w:lang w:val="en-US" w:eastAsia="zh-CN"/>
        </w:rPr>
        <w:t xml:space="preserve">; </w:t>
      </w:r>
      <w:r w:rsidRPr="00A02A04">
        <w:rPr>
          <w:rFonts w:ascii="Book Antiqua" w:hAnsi="Book Antiqua"/>
          <w:color w:val="000000"/>
          <w:sz w:val="24"/>
          <w:szCs w:val="24"/>
          <w:vertAlign w:val="superscript"/>
          <w:lang w:val="en-US" w:eastAsia="zh-CN"/>
        </w:rPr>
        <w:t>2</w:t>
      </w:r>
      <w:r w:rsidRPr="00A02A04">
        <w:rPr>
          <w:rFonts w:ascii="Book Antiqua" w:hAnsi="Book Antiqua"/>
          <w:color w:val="000000"/>
          <w:sz w:val="24"/>
          <w:szCs w:val="24"/>
          <w:lang w:val="en-US"/>
        </w:rPr>
        <w:t xml:space="preserve">Including rash, hypertension, alopecia, diabetes, </w:t>
      </w:r>
      <w:proofErr w:type="spellStart"/>
      <w:r w:rsidRPr="00A02A04">
        <w:rPr>
          <w:rFonts w:ascii="Book Antiqua" w:hAnsi="Book Antiqua"/>
          <w:color w:val="000000"/>
          <w:sz w:val="24"/>
          <w:szCs w:val="24"/>
          <w:lang w:val="en-US"/>
        </w:rPr>
        <w:t>mucositis</w:t>
      </w:r>
      <w:proofErr w:type="spellEnd"/>
      <w:r w:rsidRPr="00A02A04">
        <w:rPr>
          <w:rFonts w:ascii="Book Antiqua" w:hAnsi="Book Antiqua"/>
          <w:color w:val="000000"/>
          <w:sz w:val="24"/>
          <w:szCs w:val="24"/>
          <w:lang w:val="en-US"/>
        </w:rPr>
        <w:t xml:space="preserve">, abdominal pain, voice changes. </w:t>
      </w:r>
      <w:r w:rsidRPr="00A02A04">
        <w:rPr>
          <w:rFonts w:ascii="Book Antiqua" w:eastAsia="AdvAGaramond-R" w:hAnsi="Book Antiqua"/>
          <w:color w:val="000000"/>
          <w:sz w:val="24"/>
          <w:szCs w:val="24"/>
          <w:lang w:val="en-US"/>
        </w:rPr>
        <w:t>AEs</w:t>
      </w:r>
      <w:r w:rsidRPr="00A02A04">
        <w:rPr>
          <w:rFonts w:ascii="Book Antiqua" w:hAnsi="Book Antiqua"/>
          <w:color w:val="000000"/>
          <w:sz w:val="24"/>
          <w:szCs w:val="24"/>
          <w:lang w:val="en-US" w:eastAsia="zh-CN"/>
        </w:rPr>
        <w:t>:</w:t>
      </w:r>
      <w:bookmarkStart w:id="31" w:name="OLE_LINK143"/>
      <w:bookmarkStart w:id="32" w:name="OLE_LINK146"/>
      <w:r w:rsidRPr="00A02A04">
        <w:rPr>
          <w:rFonts w:ascii="Book Antiqua" w:hAnsi="Book Antiqua"/>
          <w:color w:val="000000"/>
          <w:sz w:val="24"/>
          <w:szCs w:val="24"/>
          <w:lang w:val="en-US" w:eastAsia="zh-CN"/>
        </w:rPr>
        <w:t xml:space="preserve"> </w:t>
      </w:r>
      <w:r w:rsidRPr="00A02A04">
        <w:rPr>
          <w:rFonts w:ascii="Book Antiqua" w:eastAsia="AdvAGaramond-R" w:hAnsi="Book Antiqua"/>
          <w:color w:val="000000"/>
          <w:sz w:val="24"/>
          <w:szCs w:val="24"/>
          <w:lang w:val="en-US"/>
        </w:rPr>
        <w:t>Adverse events</w:t>
      </w:r>
      <w:bookmarkEnd w:id="31"/>
      <w:bookmarkEnd w:id="32"/>
      <w:r w:rsidRPr="00A02A04">
        <w:rPr>
          <w:rFonts w:ascii="Book Antiqua" w:hAnsi="Book Antiqua"/>
          <w:color w:val="000000"/>
          <w:sz w:val="24"/>
          <w:szCs w:val="24"/>
          <w:lang w:val="en-US" w:eastAsia="zh-CN"/>
        </w:rPr>
        <w:t>.</w:t>
      </w:r>
    </w:p>
    <w:p w:rsidR="003C29A3" w:rsidRPr="00A02A04" w:rsidRDefault="003C29A3" w:rsidP="009E446B">
      <w:pPr>
        <w:spacing w:after="0" w:line="360" w:lineRule="auto"/>
        <w:jc w:val="both"/>
        <w:rPr>
          <w:rFonts w:ascii="Book Antiqua" w:hAnsi="Book Antiqua"/>
          <w:color w:val="000000"/>
          <w:sz w:val="24"/>
          <w:szCs w:val="24"/>
          <w:lang w:val="en-US"/>
        </w:rPr>
      </w:pPr>
    </w:p>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br w:type="page"/>
      </w:r>
    </w:p>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rPr>
        <w:t xml:space="preserve">Table 3 </w:t>
      </w:r>
      <w:r w:rsidRPr="00A02A04">
        <w:rPr>
          <w:rFonts w:ascii="Book Antiqua" w:hAnsi="Book Antiqua"/>
          <w:b/>
          <w:color w:val="000000"/>
          <w:sz w:val="24"/>
          <w:szCs w:val="24"/>
          <w:lang w:val="en-US"/>
        </w:rPr>
        <w:t xml:space="preserve">Changes in laboratory parameters at the beginning and the end of </w:t>
      </w:r>
      <w:proofErr w:type="spellStart"/>
      <w:r w:rsidRPr="00A02A04">
        <w:rPr>
          <w:rFonts w:ascii="Book Antiqua" w:hAnsi="Book Antiqua"/>
          <w:b/>
          <w:color w:val="000000"/>
          <w:sz w:val="24"/>
          <w:szCs w:val="24"/>
          <w:lang w:val="en-US"/>
        </w:rPr>
        <w:t>sorafenib</w:t>
      </w:r>
      <w:proofErr w:type="spellEnd"/>
      <w:r w:rsidRPr="00A02A04">
        <w:rPr>
          <w:rFonts w:ascii="Book Antiqua" w:hAnsi="Book Antiqua"/>
          <w:b/>
          <w:color w:val="000000"/>
          <w:sz w:val="24"/>
          <w:szCs w:val="24"/>
          <w:lang w:val="en-US"/>
        </w:rPr>
        <w:t xml:space="preserve"> treatment according to the reason of treatment interruption</w:t>
      </w:r>
    </w:p>
    <w:tbl>
      <w:tblPr>
        <w:tblW w:w="5000" w:type="pct"/>
        <w:tblBorders>
          <w:top w:val="double" w:sz="4" w:space="0" w:color="auto"/>
          <w:bottom w:val="double" w:sz="4" w:space="0" w:color="auto"/>
        </w:tblBorders>
        <w:tblLook w:val="00A0" w:firstRow="1" w:lastRow="0" w:firstColumn="1" w:lastColumn="0" w:noHBand="0" w:noVBand="0"/>
      </w:tblPr>
      <w:tblGrid>
        <w:gridCol w:w="1285"/>
        <w:gridCol w:w="1096"/>
        <w:gridCol w:w="901"/>
        <w:gridCol w:w="1078"/>
        <w:gridCol w:w="812"/>
        <w:gridCol w:w="812"/>
        <w:gridCol w:w="1504"/>
        <w:gridCol w:w="709"/>
        <w:gridCol w:w="709"/>
        <w:gridCol w:w="948"/>
      </w:tblGrid>
      <w:tr w:rsidR="003C29A3" w:rsidRPr="00A02A04">
        <w:trPr>
          <w:trHeight w:val="420"/>
        </w:trPr>
        <w:tc>
          <w:tcPr>
            <w:tcW w:w="652" w:type="pct"/>
            <w:tcBorders>
              <w:top w:val="double" w:sz="4" w:space="0" w:color="auto"/>
              <w:bottom w:val="single" w:sz="4" w:space="0" w:color="auto"/>
              <w:right w:val="nil"/>
            </w:tcBorders>
            <w:vAlign w:val="center"/>
          </w:tcPr>
          <w:p w:rsidR="003C29A3" w:rsidRPr="00A02A04" w:rsidRDefault="003C29A3" w:rsidP="009E446B">
            <w:pPr>
              <w:spacing w:after="0" w:line="360" w:lineRule="auto"/>
              <w:jc w:val="both"/>
              <w:rPr>
                <w:rFonts w:ascii="Book Antiqua" w:hAnsi="Book Antiqua"/>
                <w:b/>
                <w:color w:val="000000"/>
                <w:sz w:val="20"/>
                <w:szCs w:val="20"/>
                <w:lang w:val="en-US"/>
              </w:rPr>
            </w:pPr>
          </w:p>
        </w:tc>
        <w:tc>
          <w:tcPr>
            <w:tcW w:w="556" w:type="pct"/>
            <w:tcBorders>
              <w:top w:val="double" w:sz="4" w:space="0" w:color="auto"/>
              <w:left w:val="nil"/>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lang w:val="en-US"/>
              </w:rPr>
            </w:pPr>
          </w:p>
        </w:tc>
        <w:tc>
          <w:tcPr>
            <w:tcW w:w="457" w:type="pct"/>
            <w:tcBorders>
              <w:top w:val="doub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lang w:val="en-US"/>
              </w:rPr>
            </w:pPr>
          </w:p>
        </w:tc>
        <w:tc>
          <w:tcPr>
            <w:tcW w:w="547" w:type="pct"/>
            <w:tcBorders>
              <w:top w:val="doub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r w:rsidRPr="00A02A04">
              <w:rPr>
                <w:rFonts w:ascii="Book Antiqua" w:hAnsi="Book Antiqua"/>
                <w:b/>
                <w:color w:val="000000"/>
                <w:sz w:val="20"/>
                <w:szCs w:val="20"/>
              </w:rPr>
              <w:t>Bilirubin (mg/</w:t>
            </w:r>
            <w:proofErr w:type="spellStart"/>
            <w:r w:rsidRPr="00A02A04">
              <w:rPr>
                <w:rFonts w:ascii="Book Antiqua" w:hAnsi="Book Antiqua"/>
                <w:b/>
                <w:color w:val="000000"/>
                <w:sz w:val="20"/>
                <w:szCs w:val="20"/>
              </w:rPr>
              <w:t>dL</w:t>
            </w:r>
            <w:proofErr w:type="spellEnd"/>
            <w:r w:rsidRPr="00A02A04">
              <w:rPr>
                <w:rFonts w:ascii="Book Antiqua" w:hAnsi="Book Antiqua"/>
                <w:b/>
                <w:color w:val="000000"/>
                <w:sz w:val="20"/>
                <w:szCs w:val="20"/>
              </w:rPr>
              <w:t>)</w:t>
            </w:r>
          </w:p>
        </w:tc>
        <w:tc>
          <w:tcPr>
            <w:tcW w:w="412" w:type="pct"/>
            <w:tcBorders>
              <w:top w:val="doub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proofErr w:type="spellStart"/>
            <w:r w:rsidRPr="00A02A04">
              <w:rPr>
                <w:rFonts w:ascii="Book Antiqua" w:hAnsi="Book Antiqua"/>
                <w:b/>
                <w:color w:val="000000"/>
                <w:sz w:val="20"/>
                <w:szCs w:val="20"/>
              </w:rPr>
              <w:t>gGT</w:t>
            </w:r>
            <w:proofErr w:type="spellEnd"/>
            <w:r w:rsidRPr="00A02A04">
              <w:rPr>
                <w:rFonts w:ascii="Book Antiqua" w:hAnsi="Book Antiqua"/>
                <w:b/>
                <w:color w:val="000000"/>
                <w:sz w:val="20"/>
                <w:szCs w:val="20"/>
              </w:rPr>
              <w:t xml:space="preserve"> (U/L)</w:t>
            </w:r>
          </w:p>
        </w:tc>
        <w:tc>
          <w:tcPr>
            <w:tcW w:w="412" w:type="pct"/>
            <w:tcBorders>
              <w:top w:val="doub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r w:rsidRPr="00A02A04">
              <w:rPr>
                <w:rFonts w:ascii="Book Antiqua" w:hAnsi="Book Antiqua"/>
                <w:b/>
                <w:color w:val="000000"/>
                <w:sz w:val="20"/>
                <w:szCs w:val="20"/>
              </w:rPr>
              <w:t>ALP (U/L)</w:t>
            </w:r>
          </w:p>
        </w:tc>
        <w:tc>
          <w:tcPr>
            <w:tcW w:w="763" w:type="pct"/>
            <w:tcBorders>
              <w:top w:val="doub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r w:rsidRPr="00A02A04">
              <w:rPr>
                <w:rFonts w:ascii="Book Antiqua" w:hAnsi="Book Antiqua"/>
                <w:b/>
                <w:color w:val="000000"/>
                <w:sz w:val="20"/>
                <w:szCs w:val="20"/>
              </w:rPr>
              <w:t>Platelets/mm</w:t>
            </w:r>
            <w:r w:rsidRPr="00A02A04">
              <w:rPr>
                <w:rFonts w:ascii="Book Antiqua" w:hAnsi="Book Antiqua"/>
                <w:b/>
                <w:color w:val="000000"/>
                <w:sz w:val="20"/>
                <w:szCs w:val="20"/>
                <w:vertAlign w:val="superscript"/>
              </w:rPr>
              <w:t>3</w:t>
            </w:r>
          </w:p>
        </w:tc>
        <w:tc>
          <w:tcPr>
            <w:tcW w:w="360" w:type="pct"/>
            <w:tcBorders>
              <w:top w:val="doub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r w:rsidRPr="00A02A04">
              <w:rPr>
                <w:rFonts w:ascii="Book Antiqua" w:hAnsi="Book Antiqua"/>
                <w:b/>
                <w:color w:val="000000"/>
                <w:sz w:val="20"/>
                <w:szCs w:val="20"/>
              </w:rPr>
              <w:t>INR</w:t>
            </w:r>
          </w:p>
        </w:tc>
        <w:tc>
          <w:tcPr>
            <w:tcW w:w="360" w:type="pct"/>
            <w:tcBorders>
              <w:top w:val="doub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r w:rsidRPr="00A02A04">
              <w:rPr>
                <w:rFonts w:ascii="Book Antiqua" w:hAnsi="Book Antiqua"/>
                <w:b/>
                <w:color w:val="000000"/>
                <w:sz w:val="20"/>
                <w:szCs w:val="20"/>
              </w:rPr>
              <w:t>AST (U/L)</w:t>
            </w:r>
          </w:p>
        </w:tc>
        <w:tc>
          <w:tcPr>
            <w:tcW w:w="481" w:type="pct"/>
            <w:tcBorders>
              <w:top w:val="doub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r w:rsidRPr="00A02A04">
              <w:rPr>
                <w:rFonts w:ascii="Book Antiqua" w:hAnsi="Book Antiqua"/>
                <w:b/>
                <w:color w:val="000000"/>
                <w:sz w:val="20"/>
                <w:szCs w:val="20"/>
              </w:rPr>
              <w:t>AFP (</w:t>
            </w:r>
            <w:proofErr w:type="spellStart"/>
            <w:r w:rsidRPr="00A02A04">
              <w:rPr>
                <w:rFonts w:ascii="Book Antiqua" w:hAnsi="Book Antiqua"/>
                <w:b/>
                <w:color w:val="000000"/>
                <w:sz w:val="20"/>
                <w:szCs w:val="20"/>
              </w:rPr>
              <w:t>ng</w:t>
            </w:r>
            <w:proofErr w:type="spellEnd"/>
            <w:r w:rsidRPr="00A02A04">
              <w:rPr>
                <w:rFonts w:ascii="Book Antiqua" w:hAnsi="Book Antiqua"/>
                <w:b/>
                <w:color w:val="000000"/>
                <w:sz w:val="20"/>
                <w:szCs w:val="20"/>
              </w:rPr>
              <w:t>/mL)</w:t>
            </w:r>
          </w:p>
        </w:tc>
      </w:tr>
      <w:tr w:rsidR="003C29A3" w:rsidRPr="00A02A04">
        <w:trPr>
          <w:trHeight w:val="216"/>
        </w:trPr>
        <w:tc>
          <w:tcPr>
            <w:tcW w:w="652" w:type="pct"/>
            <w:vMerge w:val="restart"/>
            <w:tcBorders>
              <w:top w:val="single" w:sz="4" w:space="0" w:color="auto"/>
              <w:right w:val="single" w:sz="4" w:space="0" w:color="auto"/>
            </w:tcBorders>
            <w:vAlign w:val="center"/>
          </w:tcPr>
          <w:p w:rsidR="003C29A3" w:rsidRPr="00A02A04" w:rsidRDefault="003C29A3" w:rsidP="008455EC">
            <w:pPr>
              <w:spacing w:after="0" w:line="360" w:lineRule="auto"/>
              <w:jc w:val="both"/>
              <w:rPr>
                <w:rFonts w:ascii="Book Antiqua" w:hAnsi="Book Antiqua"/>
                <w:color w:val="000000"/>
                <w:sz w:val="20"/>
                <w:szCs w:val="20"/>
              </w:rPr>
            </w:pPr>
            <w:r w:rsidRPr="00A02A04">
              <w:rPr>
                <w:rFonts w:ascii="Book Antiqua" w:hAnsi="Book Antiqua"/>
                <w:color w:val="000000"/>
                <w:sz w:val="20"/>
                <w:szCs w:val="20"/>
                <w:lang w:val="en-US"/>
              </w:rPr>
              <w:t>Patients with treatment suspension due to progressive disease (</w:t>
            </w:r>
            <w:r w:rsidRPr="00A02A04">
              <w:rPr>
                <w:rFonts w:ascii="Book Antiqua" w:hAnsi="Book Antiqua"/>
                <w:i/>
                <w:color w:val="000000"/>
                <w:sz w:val="20"/>
                <w:szCs w:val="20"/>
                <w:lang w:val="en-US"/>
              </w:rPr>
              <w:t>n</w:t>
            </w:r>
            <w:r w:rsidRPr="00A02A04">
              <w:rPr>
                <w:rFonts w:ascii="Book Antiqua" w:hAnsi="Book Antiqua"/>
                <w:color w:val="000000"/>
                <w:sz w:val="20"/>
                <w:szCs w:val="20"/>
                <w:lang w:val="en-US"/>
              </w:rPr>
              <w:t xml:space="preserve">=25; median treatment duration 19 </w:t>
            </w:r>
            <w:proofErr w:type="spellStart"/>
            <w:r w:rsidRPr="00A02A04">
              <w:rPr>
                <w:rFonts w:ascii="Book Antiqua" w:hAnsi="Book Antiqua"/>
                <w:color w:val="000000"/>
                <w:sz w:val="20"/>
                <w:szCs w:val="20"/>
                <w:lang w:val="en-US"/>
              </w:rPr>
              <w:t>wk</w:t>
            </w:r>
            <w:proofErr w:type="spellEnd"/>
            <w:r w:rsidRPr="00A02A04">
              <w:rPr>
                <w:rFonts w:ascii="Book Antiqua" w:hAnsi="Book Antiqua"/>
                <w:color w:val="000000"/>
                <w:sz w:val="20"/>
                <w:szCs w:val="20"/>
                <w:lang w:val="en-US"/>
              </w:rPr>
              <w:t>)</w:t>
            </w:r>
          </w:p>
        </w:tc>
        <w:tc>
          <w:tcPr>
            <w:tcW w:w="556" w:type="pct"/>
            <w:vMerge w:val="restart"/>
            <w:tcBorders>
              <w:top w:val="single" w:sz="4" w:space="0" w:color="auto"/>
              <w:left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r w:rsidRPr="00A02A04">
              <w:rPr>
                <w:rFonts w:ascii="Book Antiqua" w:hAnsi="Book Antiqua"/>
                <w:color w:val="000000"/>
                <w:sz w:val="20"/>
                <w:szCs w:val="20"/>
              </w:rPr>
              <w:t>Baseline</w:t>
            </w:r>
          </w:p>
        </w:tc>
        <w:tc>
          <w:tcPr>
            <w:tcW w:w="457"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mean (SD)</w:t>
            </w:r>
          </w:p>
        </w:tc>
        <w:tc>
          <w:tcPr>
            <w:tcW w:w="547"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1.3 (0.8)</w:t>
            </w:r>
          </w:p>
        </w:tc>
        <w:tc>
          <w:tcPr>
            <w:tcW w:w="412"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192.5 (187.5)</w:t>
            </w:r>
          </w:p>
        </w:tc>
        <w:tc>
          <w:tcPr>
            <w:tcW w:w="412"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173.8 (92.5)</w:t>
            </w:r>
          </w:p>
        </w:tc>
        <w:tc>
          <w:tcPr>
            <w:tcW w:w="763"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143160 (83075.6)</w:t>
            </w:r>
          </w:p>
        </w:tc>
        <w:tc>
          <w:tcPr>
            <w:tcW w:w="360"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1.18 (0.25)</w:t>
            </w:r>
          </w:p>
        </w:tc>
        <w:tc>
          <w:tcPr>
            <w:tcW w:w="360"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66.5 (35.7)</w:t>
            </w:r>
          </w:p>
        </w:tc>
        <w:tc>
          <w:tcPr>
            <w:tcW w:w="481"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3668.6 (8533.3)</w:t>
            </w:r>
          </w:p>
        </w:tc>
      </w:tr>
      <w:tr w:rsidR="003C29A3" w:rsidRPr="00A02A04">
        <w:trPr>
          <w:trHeight w:val="203"/>
        </w:trPr>
        <w:tc>
          <w:tcPr>
            <w:tcW w:w="652" w:type="pct"/>
            <w:vMerge/>
            <w:tcBorders>
              <w:right w:val="single" w:sz="4" w:space="0" w:color="auto"/>
            </w:tcBorders>
          </w:tcPr>
          <w:p w:rsidR="003C29A3" w:rsidRPr="00A02A04" w:rsidRDefault="003C29A3" w:rsidP="009E446B">
            <w:pPr>
              <w:spacing w:after="0" w:line="360" w:lineRule="auto"/>
              <w:jc w:val="both"/>
              <w:rPr>
                <w:rFonts w:ascii="Book Antiqua" w:hAnsi="Book Antiqua"/>
                <w:color w:val="000000"/>
                <w:sz w:val="20"/>
                <w:szCs w:val="20"/>
                <w:lang w:val="en-US"/>
              </w:rPr>
            </w:pPr>
          </w:p>
        </w:tc>
        <w:tc>
          <w:tcPr>
            <w:tcW w:w="556" w:type="pct"/>
            <w:vMerge/>
            <w:tcBorders>
              <w:left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p>
        </w:tc>
        <w:tc>
          <w:tcPr>
            <w:tcW w:w="457"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med (min-max)</w:t>
            </w:r>
          </w:p>
        </w:tc>
        <w:tc>
          <w:tcPr>
            <w:tcW w:w="547"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1.2 (0.2-3.5)</w:t>
            </w:r>
          </w:p>
        </w:tc>
        <w:tc>
          <w:tcPr>
            <w:tcW w:w="412"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114 (41-648)</w:t>
            </w:r>
          </w:p>
        </w:tc>
        <w:tc>
          <w:tcPr>
            <w:tcW w:w="412"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142 (64-436)</w:t>
            </w:r>
          </w:p>
        </w:tc>
        <w:tc>
          <w:tcPr>
            <w:tcW w:w="763"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125000 (50000-337000)</w:t>
            </w:r>
          </w:p>
        </w:tc>
        <w:tc>
          <w:tcPr>
            <w:tcW w:w="360"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1.10 (0.9-2.2)</w:t>
            </w:r>
          </w:p>
        </w:tc>
        <w:tc>
          <w:tcPr>
            <w:tcW w:w="360"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66 (3.6-191)</w:t>
            </w:r>
          </w:p>
        </w:tc>
        <w:tc>
          <w:tcPr>
            <w:tcW w:w="481"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18.8 (2.7-28136)</w:t>
            </w:r>
          </w:p>
        </w:tc>
      </w:tr>
      <w:tr w:rsidR="003C29A3" w:rsidRPr="00A02A04">
        <w:trPr>
          <w:trHeight w:val="216"/>
        </w:trPr>
        <w:tc>
          <w:tcPr>
            <w:tcW w:w="652" w:type="pct"/>
            <w:vMerge/>
            <w:tcBorders>
              <w:right w:val="single" w:sz="4" w:space="0" w:color="auto"/>
            </w:tcBorders>
          </w:tcPr>
          <w:p w:rsidR="003C29A3" w:rsidRPr="00A02A04" w:rsidRDefault="003C29A3" w:rsidP="009E446B">
            <w:pPr>
              <w:spacing w:after="0" w:line="360" w:lineRule="auto"/>
              <w:jc w:val="both"/>
              <w:rPr>
                <w:rFonts w:ascii="Book Antiqua" w:hAnsi="Book Antiqua"/>
                <w:color w:val="000000"/>
                <w:sz w:val="20"/>
                <w:szCs w:val="20"/>
              </w:rPr>
            </w:pPr>
          </w:p>
        </w:tc>
        <w:tc>
          <w:tcPr>
            <w:tcW w:w="556" w:type="pct"/>
            <w:vMerge w:val="restart"/>
            <w:tcBorders>
              <w:left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r w:rsidRPr="00A02A04">
              <w:rPr>
                <w:rFonts w:ascii="Book Antiqua" w:hAnsi="Book Antiqua"/>
                <w:color w:val="000000"/>
                <w:sz w:val="20"/>
                <w:szCs w:val="20"/>
              </w:rPr>
              <w:t>End of treatment</w:t>
            </w:r>
          </w:p>
        </w:tc>
        <w:tc>
          <w:tcPr>
            <w:tcW w:w="457" w:type="pct"/>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mean (SD)</w:t>
            </w:r>
          </w:p>
        </w:tc>
        <w:tc>
          <w:tcPr>
            <w:tcW w:w="547" w:type="pct"/>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2.3 (1.7)</w:t>
            </w:r>
          </w:p>
        </w:tc>
        <w:tc>
          <w:tcPr>
            <w:tcW w:w="412" w:type="pct"/>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256.4 (276.8)</w:t>
            </w:r>
          </w:p>
        </w:tc>
        <w:tc>
          <w:tcPr>
            <w:tcW w:w="412" w:type="pct"/>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225.4 (196.3)</w:t>
            </w:r>
          </w:p>
        </w:tc>
        <w:tc>
          <w:tcPr>
            <w:tcW w:w="763" w:type="pct"/>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151360 (93196.4)</w:t>
            </w:r>
          </w:p>
        </w:tc>
        <w:tc>
          <w:tcPr>
            <w:tcW w:w="360" w:type="pct"/>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1.17 (0.26)</w:t>
            </w:r>
          </w:p>
        </w:tc>
        <w:tc>
          <w:tcPr>
            <w:tcW w:w="360" w:type="pct"/>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106.4 (97.8)</w:t>
            </w:r>
          </w:p>
        </w:tc>
        <w:tc>
          <w:tcPr>
            <w:tcW w:w="481" w:type="pct"/>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11060.4 (21903)</w:t>
            </w:r>
          </w:p>
        </w:tc>
      </w:tr>
      <w:tr w:rsidR="003C29A3" w:rsidRPr="00A02A04">
        <w:trPr>
          <w:trHeight w:val="203"/>
        </w:trPr>
        <w:tc>
          <w:tcPr>
            <w:tcW w:w="652" w:type="pct"/>
            <w:vMerge/>
            <w:tcBorders>
              <w:right w:val="single" w:sz="4" w:space="0" w:color="auto"/>
            </w:tcBorders>
          </w:tcPr>
          <w:p w:rsidR="003C29A3" w:rsidRPr="00A02A04" w:rsidRDefault="003C29A3" w:rsidP="009E446B">
            <w:pPr>
              <w:spacing w:after="0" w:line="360" w:lineRule="auto"/>
              <w:jc w:val="both"/>
              <w:rPr>
                <w:rFonts w:ascii="Book Antiqua" w:hAnsi="Book Antiqua"/>
                <w:color w:val="000000"/>
                <w:sz w:val="20"/>
                <w:szCs w:val="20"/>
                <w:lang w:val="en-US"/>
              </w:rPr>
            </w:pPr>
          </w:p>
        </w:tc>
        <w:tc>
          <w:tcPr>
            <w:tcW w:w="556" w:type="pct"/>
            <w:vMerge/>
            <w:tcBorders>
              <w:left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p>
        </w:tc>
        <w:tc>
          <w:tcPr>
            <w:tcW w:w="457"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median (min-max)</w:t>
            </w:r>
          </w:p>
        </w:tc>
        <w:tc>
          <w:tcPr>
            <w:tcW w:w="547"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1.6 (0.3-6.4)</w:t>
            </w:r>
          </w:p>
        </w:tc>
        <w:tc>
          <w:tcPr>
            <w:tcW w:w="412"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165 (20-1249)</w:t>
            </w:r>
          </w:p>
        </w:tc>
        <w:tc>
          <w:tcPr>
            <w:tcW w:w="412"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182 (75-1048)</w:t>
            </w:r>
          </w:p>
        </w:tc>
        <w:tc>
          <w:tcPr>
            <w:tcW w:w="763"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114000 (42000-426000)</w:t>
            </w:r>
          </w:p>
        </w:tc>
        <w:tc>
          <w:tcPr>
            <w:tcW w:w="360"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1.1 (0.9-2.2)</w:t>
            </w:r>
          </w:p>
        </w:tc>
        <w:tc>
          <w:tcPr>
            <w:tcW w:w="360"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71 (2-472)</w:t>
            </w:r>
          </w:p>
        </w:tc>
        <w:tc>
          <w:tcPr>
            <w:tcW w:w="481"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83.4 (3-73434.5)</w:t>
            </w:r>
          </w:p>
        </w:tc>
      </w:tr>
      <w:tr w:rsidR="003C29A3" w:rsidRPr="00A02A04">
        <w:trPr>
          <w:trHeight w:val="420"/>
        </w:trPr>
        <w:tc>
          <w:tcPr>
            <w:tcW w:w="652" w:type="pct"/>
            <w:vMerge/>
            <w:tcBorders>
              <w:bottom w:val="single" w:sz="4" w:space="0" w:color="auto"/>
              <w:right w:val="single" w:sz="4" w:space="0" w:color="auto"/>
            </w:tcBorders>
          </w:tcPr>
          <w:p w:rsidR="003C29A3" w:rsidRPr="00A02A04" w:rsidRDefault="003C29A3" w:rsidP="009E446B">
            <w:pPr>
              <w:spacing w:after="0" w:line="360" w:lineRule="auto"/>
              <w:jc w:val="both"/>
              <w:rPr>
                <w:rFonts w:ascii="Book Antiqua" w:hAnsi="Book Antiqua"/>
                <w:color w:val="000000"/>
                <w:sz w:val="20"/>
                <w:szCs w:val="20"/>
                <w:lang w:val="en-US"/>
              </w:rPr>
            </w:pPr>
          </w:p>
        </w:tc>
        <w:tc>
          <w:tcPr>
            <w:tcW w:w="556" w:type="pct"/>
            <w:tcBorders>
              <w:top w:val="single" w:sz="4" w:space="0" w:color="auto"/>
              <w:left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r w:rsidRPr="00A02A04">
              <w:rPr>
                <w:rFonts w:ascii="Book Antiqua" w:hAnsi="Book Antiqua"/>
                <w:color w:val="000000"/>
                <w:sz w:val="20"/>
                <w:szCs w:val="20"/>
                <w:lang w:val="en-US"/>
              </w:rPr>
              <w:t>Mann-Whitney test</w:t>
            </w:r>
          </w:p>
        </w:tc>
        <w:tc>
          <w:tcPr>
            <w:tcW w:w="457" w:type="pct"/>
            <w:tcBorders>
              <w:top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r w:rsidRPr="00A02A04">
              <w:rPr>
                <w:rFonts w:ascii="Book Antiqua" w:hAnsi="Book Antiqua"/>
                <w:i/>
                <w:color w:val="000000"/>
                <w:sz w:val="20"/>
                <w:szCs w:val="20"/>
                <w:lang w:val="en-US"/>
              </w:rPr>
              <w:t>P</w:t>
            </w:r>
            <w:r w:rsidRPr="00A02A04">
              <w:rPr>
                <w:rFonts w:ascii="Book Antiqua" w:hAnsi="Book Antiqua"/>
                <w:color w:val="000000"/>
                <w:sz w:val="20"/>
                <w:szCs w:val="20"/>
                <w:lang w:val="en-US"/>
              </w:rPr>
              <w:t xml:space="preserve"> value</w:t>
            </w:r>
          </w:p>
        </w:tc>
        <w:tc>
          <w:tcPr>
            <w:tcW w:w="547" w:type="pct"/>
            <w:tcBorders>
              <w:top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r w:rsidRPr="00A02A04">
              <w:rPr>
                <w:rFonts w:ascii="Book Antiqua" w:hAnsi="Book Antiqua"/>
                <w:b/>
                <w:color w:val="000000"/>
                <w:sz w:val="20"/>
                <w:szCs w:val="20"/>
              </w:rPr>
              <w:t>0.003</w:t>
            </w:r>
          </w:p>
        </w:tc>
        <w:tc>
          <w:tcPr>
            <w:tcW w:w="412" w:type="pct"/>
            <w:tcBorders>
              <w:top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r w:rsidRPr="00A02A04">
              <w:rPr>
                <w:rFonts w:ascii="Book Antiqua" w:hAnsi="Book Antiqua"/>
                <w:b/>
                <w:color w:val="000000"/>
                <w:sz w:val="20"/>
                <w:szCs w:val="20"/>
              </w:rPr>
              <w:t>0.008</w:t>
            </w:r>
          </w:p>
        </w:tc>
        <w:tc>
          <w:tcPr>
            <w:tcW w:w="412" w:type="pct"/>
            <w:tcBorders>
              <w:top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0.163</w:t>
            </w:r>
          </w:p>
        </w:tc>
        <w:tc>
          <w:tcPr>
            <w:tcW w:w="763" w:type="pct"/>
            <w:tcBorders>
              <w:top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0.391</w:t>
            </w:r>
          </w:p>
        </w:tc>
        <w:tc>
          <w:tcPr>
            <w:tcW w:w="360" w:type="pct"/>
            <w:tcBorders>
              <w:top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0.724</w:t>
            </w:r>
          </w:p>
        </w:tc>
        <w:tc>
          <w:tcPr>
            <w:tcW w:w="360" w:type="pct"/>
            <w:tcBorders>
              <w:top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r w:rsidRPr="00A02A04">
              <w:rPr>
                <w:rFonts w:ascii="Book Antiqua" w:hAnsi="Book Antiqua"/>
                <w:b/>
                <w:color w:val="000000"/>
                <w:sz w:val="20"/>
                <w:szCs w:val="20"/>
              </w:rPr>
              <w:t>0.012</w:t>
            </w:r>
          </w:p>
        </w:tc>
        <w:tc>
          <w:tcPr>
            <w:tcW w:w="481" w:type="pct"/>
            <w:tcBorders>
              <w:top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r w:rsidRPr="00A02A04">
              <w:rPr>
                <w:rFonts w:ascii="Book Antiqua" w:hAnsi="Book Antiqua"/>
                <w:b/>
                <w:color w:val="000000"/>
                <w:sz w:val="20"/>
                <w:szCs w:val="20"/>
              </w:rPr>
              <w:t>0.013</w:t>
            </w:r>
          </w:p>
        </w:tc>
      </w:tr>
      <w:tr w:rsidR="003C29A3" w:rsidRPr="00A02A04">
        <w:trPr>
          <w:trHeight w:val="420"/>
        </w:trPr>
        <w:tc>
          <w:tcPr>
            <w:tcW w:w="652" w:type="pct"/>
            <w:vMerge w:val="restart"/>
            <w:tcBorders>
              <w:top w:val="single" w:sz="4" w:space="0" w:color="auto"/>
              <w:right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r w:rsidRPr="00A02A04">
              <w:rPr>
                <w:rFonts w:ascii="Book Antiqua" w:hAnsi="Book Antiqua"/>
                <w:color w:val="000000"/>
                <w:sz w:val="20"/>
                <w:szCs w:val="20"/>
                <w:lang w:val="en-US"/>
              </w:rPr>
              <w:t>Patients with treatment suspension due to AEs (</w:t>
            </w:r>
            <w:r w:rsidRPr="00A02A04">
              <w:rPr>
                <w:rFonts w:ascii="Book Antiqua" w:hAnsi="Book Antiqua"/>
                <w:i/>
                <w:color w:val="000000"/>
                <w:sz w:val="20"/>
                <w:szCs w:val="20"/>
                <w:lang w:val="en-US"/>
              </w:rPr>
              <w:t>n</w:t>
            </w:r>
            <w:r w:rsidRPr="00A02A04">
              <w:rPr>
                <w:rFonts w:ascii="Book Antiqua" w:hAnsi="Book Antiqua"/>
                <w:color w:val="000000"/>
                <w:sz w:val="20"/>
                <w:szCs w:val="20"/>
                <w:lang w:val="en-US"/>
              </w:rPr>
              <w:t>=19; median treatment duration</w:t>
            </w:r>
            <w:r w:rsidRPr="00A02A04">
              <w:rPr>
                <w:rFonts w:ascii="Book Antiqua" w:hAnsi="Book Antiqua"/>
                <w:color w:val="000000"/>
                <w:sz w:val="20"/>
                <w:szCs w:val="20"/>
                <w:lang w:val="en-US" w:eastAsia="zh-CN"/>
              </w:rPr>
              <w:t xml:space="preserve"> </w:t>
            </w:r>
            <w:r w:rsidRPr="00A02A04">
              <w:rPr>
                <w:rFonts w:ascii="Book Antiqua" w:hAnsi="Book Antiqua"/>
                <w:color w:val="000000"/>
                <w:sz w:val="20"/>
                <w:szCs w:val="20"/>
                <w:lang w:val="en-US"/>
              </w:rPr>
              <w:t xml:space="preserve">5 </w:t>
            </w:r>
            <w:proofErr w:type="spellStart"/>
            <w:r w:rsidRPr="00A02A04">
              <w:rPr>
                <w:rFonts w:ascii="Book Antiqua" w:hAnsi="Book Antiqua"/>
                <w:color w:val="000000"/>
                <w:sz w:val="20"/>
                <w:szCs w:val="20"/>
                <w:lang w:val="en-US"/>
              </w:rPr>
              <w:t>wk</w:t>
            </w:r>
            <w:proofErr w:type="spellEnd"/>
            <w:r w:rsidRPr="00A02A04">
              <w:rPr>
                <w:rFonts w:ascii="Book Antiqua" w:hAnsi="Book Antiqua"/>
                <w:color w:val="000000"/>
                <w:sz w:val="20"/>
                <w:szCs w:val="20"/>
                <w:lang w:val="en-US"/>
              </w:rPr>
              <w:t>)</w:t>
            </w:r>
          </w:p>
        </w:tc>
        <w:tc>
          <w:tcPr>
            <w:tcW w:w="556" w:type="pct"/>
            <w:vMerge w:val="restart"/>
            <w:tcBorders>
              <w:top w:val="single" w:sz="4" w:space="0" w:color="auto"/>
              <w:left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r w:rsidRPr="00A02A04">
              <w:rPr>
                <w:rFonts w:ascii="Book Antiqua" w:hAnsi="Book Antiqua"/>
                <w:color w:val="000000"/>
                <w:sz w:val="20"/>
                <w:szCs w:val="20"/>
              </w:rPr>
              <w:t>Baseline</w:t>
            </w:r>
          </w:p>
        </w:tc>
        <w:tc>
          <w:tcPr>
            <w:tcW w:w="457"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mean (SD)</w:t>
            </w:r>
          </w:p>
        </w:tc>
        <w:tc>
          <w:tcPr>
            <w:tcW w:w="547"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1.6 (0.7)</w:t>
            </w:r>
          </w:p>
        </w:tc>
        <w:tc>
          <w:tcPr>
            <w:tcW w:w="412"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144.4 (107.4)</w:t>
            </w:r>
          </w:p>
        </w:tc>
        <w:tc>
          <w:tcPr>
            <w:tcW w:w="412"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170 (83)</w:t>
            </w:r>
          </w:p>
        </w:tc>
        <w:tc>
          <w:tcPr>
            <w:tcW w:w="763"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122125 (67280.4)</w:t>
            </w:r>
          </w:p>
        </w:tc>
        <w:tc>
          <w:tcPr>
            <w:tcW w:w="360"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1.14 (0.92)</w:t>
            </w:r>
          </w:p>
        </w:tc>
        <w:tc>
          <w:tcPr>
            <w:tcW w:w="360"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76.0 (38.6)</w:t>
            </w:r>
          </w:p>
        </w:tc>
        <w:tc>
          <w:tcPr>
            <w:tcW w:w="481"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1739.0 (2841.1)</w:t>
            </w:r>
          </w:p>
        </w:tc>
      </w:tr>
      <w:tr w:rsidR="003C29A3" w:rsidRPr="00A02A04">
        <w:trPr>
          <w:trHeight w:val="420"/>
        </w:trPr>
        <w:tc>
          <w:tcPr>
            <w:tcW w:w="652" w:type="pct"/>
            <w:vMerge/>
            <w:tcBorders>
              <w:right w:val="single" w:sz="4" w:space="0" w:color="auto"/>
            </w:tcBorders>
          </w:tcPr>
          <w:p w:rsidR="003C29A3" w:rsidRPr="00A02A04" w:rsidRDefault="003C29A3" w:rsidP="009E446B">
            <w:pPr>
              <w:spacing w:after="0" w:line="360" w:lineRule="auto"/>
              <w:jc w:val="both"/>
              <w:rPr>
                <w:rFonts w:ascii="Book Antiqua" w:hAnsi="Book Antiqua"/>
                <w:color w:val="000000"/>
                <w:sz w:val="20"/>
                <w:szCs w:val="20"/>
                <w:lang w:val="en-US"/>
              </w:rPr>
            </w:pPr>
          </w:p>
        </w:tc>
        <w:tc>
          <w:tcPr>
            <w:tcW w:w="556" w:type="pct"/>
            <w:vMerge/>
            <w:tcBorders>
              <w:left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p>
        </w:tc>
        <w:tc>
          <w:tcPr>
            <w:tcW w:w="457"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med (min-max)</w:t>
            </w:r>
          </w:p>
        </w:tc>
        <w:tc>
          <w:tcPr>
            <w:tcW w:w="547"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1.4 (0.6-3.1)</w:t>
            </w:r>
          </w:p>
        </w:tc>
        <w:tc>
          <w:tcPr>
            <w:tcW w:w="412"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123 (40-416)</w:t>
            </w:r>
          </w:p>
        </w:tc>
        <w:tc>
          <w:tcPr>
            <w:tcW w:w="412"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159.5 (65-345)</w:t>
            </w:r>
          </w:p>
        </w:tc>
        <w:tc>
          <w:tcPr>
            <w:tcW w:w="763"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102000 (35000-254000)</w:t>
            </w:r>
          </w:p>
        </w:tc>
        <w:tc>
          <w:tcPr>
            <w:tcW w:w="360"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1.1 (1.0-1.3)</w:t>
            </w:r>
          </w:p>
        </w:tc>
        <w:tc>
          <w:tcPr>
            <w:tcW w:w="360"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66.5 (27-188)</w:t>
            </w:r>
          </w:p>
        </w:tc>
        <w:tc>
          <w:tcPr>
            <w:tcW w:w="481"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70.6 (1.6-6836.9)</w:t>
            </w:r>
          </w:p>
        </w:tc>
      </w:tr>
      <w:tr w:rsidR="003C29A3" w:rsidRPr="00A02A04">
        <w:trPr>
          <w:trHeight w:val="420"/>
        </w:trPr>
        <w:tc>
          <w:tcPr>
            <w:tcW w:w="652" w:type="pct"/>
            <w:vMerge/>
            <w:tcBorders>
              <w:right w:val="single" w:sz="4" w:space="0" w:color="auto"/>
            </w:tcBorders>
          </w:tcPr>
          <w:p w:rsidR="003C29A3" w:rsidRPr="00A02A04" w:rsidRDefault="003C29A3" w:rsidP="009E446B">
            <w:pPr>
              <w:spacing w:after="0" w:line="360" w:lineRule="auto"/>
              <w:jc w:val="both"/>
              <w:rPr>
                <w:rFonts w:ascii="Book Antiqua" w:hAnsi="Book Antiqua"/>
                <w:color w:val="000000"/>
                <w:sz w:val="20"/>
                <w:szCs w:val="20"/>
                <w:lang w:val="en-US"/>
              </w:rPr>
            </w:pPr>
          </w:p>
        </w:tc>
        <w:tc>
          <w:tcPr>
            <w:tcW w:w="556" w:type="pct"/>
            <w:vMerge w:val="restart"/>
            <w:tcBorders>
              <w:top w:val="single" w:sz="4" w:space="0" w:color="auto"/>
              <w:left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r w:rsidRPr="00A02A04">
              <w:rPr>
                <w:rFonts w:ascii="Book Antiqua" w:hAnsi="Book Antiqua"/>
                <w:color w:val="000000"/>
                <w:sz w:val="20"/>
                <w:szCs w:val="20"/>
              </w:rPr>
              <w:t>End of treatment</w:t>
            </w:r>
          </w:p>
        </w:tc>
        <w:tc>
          <w:tcPr>
            <w:tcW w:w="457"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mean (SD)</w:t>
            </w:r>
          </w:p>
        </w:tc>
        <w:tc>
          <w:tcPr>
            <w:tcW w:w="547"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2.9 (2.8)</w:t>
            </w:r>
          </w:p>
        </w:tc>
        <w:tc>
          <w:tcPr>
            <w:tcW w:w="412"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168.3 (147.1)</w:t>
            </w:r>
          </w:p>
        </w:tc>
        <w:tc>
          <w:tcPr>
            <w:tcW w:w="412"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218.8 (142.8)</w:t>
            </w:r>
          </w:p>
        </w:tc>
        <w:tc>
          <w:tcPr>
            <w:tcW w:w="763"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135500 (75371.1)</w:t>
            </w:r>
          </w:p>
        </w:tc>
        <w:tc>
          <w:tcPr>
            <w:tcW w:w="360"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1.14 (0.17)</w:t>
            </w:r>
          </w:p>
        </w:tc>
        <w:tc>
          <w:tcPr>
            <w:tcW w:w="360"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91.1 (41.5)</w:t>
            </w:r>
          </w:p>
        </w:tc>
        <w:tc>
          <w:tcPr>
            <w:tcW w:w="481"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2204.4 (4406.1)</w:t>
            </w:r>
          </w:p>
        </w:tc>
      </w:tr>
      <w:tr w:rsidR="003C29A3" w:rsidRPr="00A02A04">
        <w:trPr>
          <w:trHeight w:val="420"/>
        </w:trPr>
        <w:tc>
          <w:tcPr>
            <w:tcW w:w="652" w:type="pct"/>
            <w:vMerge/>
            <w:tcBorders>
              <w:right w:val="single" w:sz="4" w:space="0" w:color="auto"/>
            </w:tcBorders>
          </w:tcPr>
          <w:p w:rsidR="003C29A3" w:rsidRPr="00A02A04" w:rsidRDefault="003C29A3" w:rsidP="009E446B">
            <w:pPr>
              <w:spacing w:after="0" w:line="360" w:lineRule="auto"/>
              <w:jc w:val="both"/>
              <w:rPr>
                <w:rFonts w:ascii="Book Antiqua" w:hAnsi="Book Antiqua"/>
                <w:color w:val="000000"/>
                <w:sz w:val="20"/>
                <w:szCs w:val="20"/>
                <w:lang w:val="en-US"/>
              </w:rPr>
            </w:pPr>
          </w:p>
        </w:tc>
        <w:tc>
          <w:tcPr>
            <w:tcW w:w="556" w:type="pct"/>
            <w:vMerge/>
            <w:tcBorders>
              <w:left w:val="single" w:sz="4" w:space="0" w:color="auto"/>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p>
        </w:tc>
        <w:tc>
          <w:tcPr>
            <w:tcW w:w="457"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median (min-max)</w:t>
            </w:r>
          </w:p>
        </w:tc>
        <w:tc>
          <w:tcPr>
            <w:tcW w:w="547"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2.3 (0.7-12.2)</w:t>
            </w:r>
          </w:p>
        </w:tc>
        <w:tc>
          <w:tcPr>
            <w:tcW w:w="412"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121.5 (40-525)</w:t>
            </w:r>
          </w:p>
        </w:tc>
        <w:tc>
          <w:tcPr>
            <w:tcW w:w="412"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183 (75-515)</w:t>
            </w:r>
          </w:p>
        </w:tc>
        <w:tc>
          <w:tcPr>
            <w:tcW w:w="763"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123000 (37000-277000)</w:t>
            </w:r>
          </w:p>
        </w:tc>
        <w:tc>
          <w:tcPr>
            <w:tcW w:w="360"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1.05 (1.0-1.4)</w:t>
            </w:r>
          </w:p>
        </w:tc>
        <w:tc>
          <w:tcPr>
            <w:tcW w:w="360"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83.5 (27-153)</w:t>
            </w:r>
          </w:p>
        </w:tc>
        <w:tc>
          <w:tcPr>
            <w:tcW w:w="481"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124.1 (2.1-14000)</w:t>
            </w:r>
          </w:p>
        </w:tc>
      </w:tr>
      <w:tr w:rsidR="003C29A3" w:rsidRPr="00A02A04">
        <w:trPr>
          <w:trHeight w:val="420"/>
        </w:trPr>
        <w:tc>
          <w:tcPr>
            <w:tcW w:w="652" w:type="pct"/>
            <w:vMerge/>
            <w:tcBorders>
              <w:bottom w:val="double" w:sz="4" w:space="0" w:color="auto"/>
              <w:right w:val="single" w:sz="4" w:space="0" w:color="auto"/>
            </w:tcBorders>
          </w:tcPr>
          <w:p w:rsidR="003C29A3" w:rsidRPr="00A02A04" w:rsidRDefault="003C29A3" w:rsidP="009E446B">
            <w:pPr>
              <w:spacing w:after="0" w:line="360" w:lineRule="auto"/>
              <w:jc w:val="both"/>
              <w:rPr>
                <w:rFonts w:ascii="Book Antiqua" w:hAnsi="Book Antiqua"/>
                <w:color w:val="000000"/>
                <w:sz w:val="20"/>
                <w:szCs w:val="20"/>
                <w:lang w:val="en-US"/>
              </w:rPr>
            </w:pPr>
          </w:p>
        </w:tc>
        <w:tc>
          <w:tcPr>
            <w:tcW w:w="556" w:type="pct"/>
            <w:tcBorders>
              <w:top w:val="single" w:sz="4" w:space="0" w:color="auto"/>
              <w:left w:val="single" w:sz="4" w:space="0" w:color="auto"/>
              <w:bottom w:val="doub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r w:rsidRPr="00A02A04">
              <w:rPr>
                <w:rFonts w:ascii="Book Antiqua" w:hAnsi="Book Antiqua"/>
                <w:color w:val="000000"/>
                <w:sz w:val="20"/>
                <w:szCs w:val="20"/>
                <w:lang w:val="en-US"/>
              </w:rPr>
              <w:t>Mann-Whitney test</w:t>
            </w:r>
          </w:p>
        </w:tc>
        <w:tc>
          <w:tcPr>
            <w:tcW w:w="457" w:type="pct"/>
            <w:tcBorders>
              <w:top w:val="single" w:sz="4" w:space="0" w:color="auto"/>
              <w:bottom w:val="doub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lang w:val="en-US"/>
              </w:rPr>
            </w:pPr>
            <w:r w:rsidRPr="00A02A04">
              <w:rPr>
                <w:rFonts w:ascii="Book Antiqua" w:hAnsi="Book Antiqua"/>
                <w:color w:val="000000"/>
                <w:sz w:val="20"/>
                <w:szCs w:val="20"/>
                <w:lang w:val="en-US"/>
              </w:rPr>
              <w:t>p value</w:t>
            </w:r>
          </w:p>
        </w:tc>
        <w:tc>
          <w:tcPr>
            <w:tcW w:w="547" w:type="pct"/>
            <w:tcBorders>
              <w:top w:val="single" w:sz="4" w:space="0" w:color="auto"/>
              <w:bottom w:val="double" w:sz="4" w:space="0" w:color="auto"/>
            </w:tcBorders>
            <w:vAlign w:val="center"/>
          </w:tcPr>
          <w:p w:rsidR="003C29A3" w:rsidRPr="00A02A04" w:rsidRDefault="003C29A3" w:rsidP="009E446B">
            <w:pPr>
              <w:spacing w:after="0" w:line="360" w:lineRule="auto"/>
              <w:jc w:val="both"/>
              <w:rPr>
                <w:rFonts w:ascii="Book Antiqua" w:hAnsi="Book Antiqua"/>
                <w:b/>
                <w:color w:val="000000"/>
                <w:sz w:val="20"/>
                <w:szCs w:val="20"/>
              </w:rPr>
            </w:pPr>
            <w:r w:rsidRPr="00A02A04">
              <w:rPr>
                <w:rFonts w:ascii="Book Antiqua" w:hAnsi="Book Antiqua"/>
                <w:b/>
                <w:color w:val="000000"/>
                <w:sz w:val="20"/>
                <w:szCs w:val="20"/>
              </w:rPr>
              <w:t>0.029</w:t>
            </w:r>
          </w:p>
        </w:tc>
        <w:tc>
          <w:tcPr>
            <w:tcW w:w="412" w:type="pct"/>
            <w:tcBorders>
              <w:top w:val="single" w:sz="4" w:space="0" w:color="auto"/>
              <w:bottom w:val="doub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0.441</w:t>
            </w:r>
          </w:p>
        </w:tc>
        <w:tc>
          <w:tcPr>
            <w:tcW w:w="412" w:type="pct"/>
            <w:tcBorders>
              <w:top w:val="single" w:sz="4" w:space="0" w:color="auto"/>
              <w:bottom w:val="doub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0.051</w:t>
            </w:r>
          </w:p>
        </w:tc>
        <w:tc>
          <w:tcPr>
            <w:tcW w:w="763" w:type="pct"/>
            <w:tcBorders>
              <w:top w:val="single" w:sz="4" w:space="0" w:color="auto"/>
              <w:bottom w:val="doub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0.147</w:t>
            </w:r>
          </w:p>
        </w:tc>
        <w:tc>
          <w:tcPr>
            <w:tcW w:w="360" w:type="pct"/>
            <w:tcBorders>
              <w:top w:val="single" w:sz="4" w:space="0" w:color="auto"/>
              <w:bottom w:val="doub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0.891</w:t>
            </w:r>
          </w:p>
        </w:tc>
        <w:tc>
          <w:tcPr>
            <w:tcW w:w="360" w:type="pct"/>
            <w:tcBorders>
              <w:top w:val="single" w:sz="4" w:space="0" w:color="auto"/>
              <w:bottom w:val="doub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0.125</w:t>
            </w:r>
          </w:p>
        </w:tc>
        <w:tc>
          <w:tcPr>
            <w:tcW w:w="481" w:type="pct"/>
            <w:tcBorders>
              <w:top w:val="single" w:sz="4" w:space="0" w:color="auto"/>
              <w:bottom w:val="double" w:sz="4" w:space="0" w:color="auto"/>
            </w:tcBorders>
            <w:vAlign w:val="center"/>
          </w:tcPr>
          <w:p w:rsidR="003C29A3" w:rsidRPr="00A02A04" w:rsidRDefault="003C29A3" w:rsidP="009E446B">
            <w:pPr>
              <w:spacing w:after="0" w:line="360" w:lineRule="auto"/>
              <w:jc w:val="both"/>
              <w:rPr>
                <w:rFonts w:ascii="Book Antiqua" w:hAnsi="Book Antiqua"/>
                <w:color w:val="000000"/>
                <w:sz w:val="20"/>
                <w:szCs w:val="20"/>
              </w:rPr>
            </w:pPr>
            <w:r w:rsidRPr="00A02A04">
              <w:rPr>
                <w:rFonts w:ascii="Book Antiqua" w:hAnsi="Book Antiqua"/>
                <w:color w:val="000000"/>
                <w:sz w:val="20"/>
                <w:szCs w:val="20"/>
              </w:rPr>
              <w:t>0.333</w:t>
            </w:r>
          </w:p>
        </w:tc>
      </w:tr>
    </w:tbl>
    <w:p w:rsidR="003C29A3" w:rsidRPr="00A02A04" w:rsidRDefault="003C29A3" w:rsidP="009E446B">
      <w:pPr>
        <w:spacing w:after="0" w:line="360" w:lineRule="auto"/>
        <w:jc w:val="both"/>
        <w:rPr>
          <w:rFonts w:ascii="Book Antiqua" w:hAnsi="Book Antiqua"/>
          <w:color w:val="000000"/>
          <w:sz w:val="24"/>
          <w:szCs w:val="24"/>
          <w:vertAlign w:val="superscript"/>
          <w:lang w:val="en-US"/>
        </w:rPr>
      </w:pPr>
    </w:p>
    <w:p w:rsidR="003C29A3" w:rsidRPr="00A02A04" w:rsidRDefault="003C29A3" w:rsidP="009E446B">
      <w:pPr>
        <w:spacing w:after="0" w:line="360" w:lineRule="auto"/>
        <w:jc w:val="both"/>
        <w:rPr>
          <w:rFonts w:ascii="Book Antiqua" w:hAnsi="Book Antiqua"/>
          <w:color w:val="000000"/>
          <w:sz w:val="24"/>
          <w:szCs w:val="24"/>
          <w:lang w:val="en-US"/>
        </w:rPr>
      </w:pPr>
      <w:proofErr w:type="spellStart"/>
      <w:r w:rsidRPr="00A02A04">
        <w:rPr>
          <w:rFonts w:ascii="Book Antiqua" w:hAnsi="Book Antiqua"/>
          <w:color w:val="000000"/>
          <w:sz w:val="24"/>
          <w:szCs w:val="24"/>
          <w:lang w:val="en-US"/>
        </w:rPr>
        <w:t>gGT</w:t>
      </w:r>
      <w:proofErr w:type="spellEnd"/>
      <w:r w:rsidRPr="00A02A04">
        <w:rPr>
          <w:rFonts w:ascii="Book Antiqua" w:hAnsi="Book Antiqua"/>
          <w:color w:val="000000"/>
          <w:sz w:val="24"/>
          <w:szCs w:val="24"/>
          <w:lang w:val="en-US" w:eastAsia="zh-CN"/>
        </w:rPr>
        <w:t xml:space="preserve">: </w:t>
      </w:r>
      <w:r w:rsidRPr="00A02A04">
        <w:rPr>
          <w:rFonts w:ascii="Book Antiqua" w:hAnsi="Book Antiqua"/>
          <w:color w:val="000000"/>
          <w:sz w:val="24"/>
          <w:szCs w:val="24"/>
          <w:lang w:val="en-US"/>
        </w:rPr>
        <w:t>Gamma-</w:t>
      </w:r>
      <w:proofErr w:type="spellStart"/>
      <w:r w:rsidRPr="00A02A04">
        <w:rPr>
          <w:rFonts w:ascii="Book Antiqua" w:hAnsi="Book Antiqua"/>
          <w:color w:val="000000"/>
          <w:sz w:val="24"/>
          <w:szCs w:val="24"/>
          <w:lang w:val="en-US"/>
        </w:rPr>
        <w:t>glutamyltranspeptidase</w:t>
      </w:r>
      <w:proofErr w:type="spellEnd"/>
      <w:r w:rsidRPr="00A02A04">
        <w:rPr>
          <w:rFonts w:ascii="Book Antiqua" w:hAnsi="Book Antiqua"/>
          <w:color w:val="000000"/>
          <w:sz w:val="24"/>
          <w:szCs w:val="24"/>
          <w:lang w:val="en-US"/>
        </w:rPr>
        <w:t>; ALP</w:t>
      </w:r>
      <w:r w:rsidRPr="00A02A04">
        <w:rPr>
          <w:rFonts w:ascii="Book Antiqua" w:hAnsi="Book Antiqua"/>
          <w:color w:val="000000"/>
          <w:sz w:val="24"/>
          <w:szCs w:val="24"/>
          <w:lang w:val="en-US" w:eastAsia="zh-CN"/>
        </w:rPr>
        <w:t>:</w:t>
      </w:r>
      <w:r w:rsidRPr="00A02A04">
        <w:rPr>
          <w:rFonts w:ascii="Book Antiqua" w:hAnsi="Book Antiqua"/>
          <w:i/>
          <w:color w:val="000000"/>
          <w:sz w:val="24"/>
          <w:szCs w:val="24"/>
          <w:lang w:val="en-US"/>
        </w:rPr>
        <w:t xml:space="preserve"> </w:t>
      </w:r>
      <w:r w:rsidRPr="00A02A04">
        <w:rPr>
          <w:rFonts w:ascii="Book Antiqua" w:hAnsi="Book Antiqua"/>
          <w:color w:val="000000"/>
          <w:sz w:val="24"/>
          <w:szCs w:val="24"/>
          <w:lang w:val="en-US"/>
        </w:rPr>
        <w:t>Alkaline phosphatase; AST</w:t>
      </w:r>
      <w:r w:rsidRPr="00A02A04">
        <w:rPr>
          <w:rFonts w:ascii="Book Antiqua" w:hAnsi="Book Antiqua"/>
          <w:color w:val="000000"/>
          <w:sz w:val="24"/>
          <w:szCs w:val="24"/>
          <w:lang w:val="en-US" w:eastAsia="zh-CN"/>
        </w:rPr>
        <w:t xml:space="preserve">: </w:t>
      </w:r>
      <w:r w:rsidRPr="00A02A04">
        <w:rPr>
          <w:rFonts w:ascii="Book Antiqua" w:hAnsi="Book Antiqua"/>
          <w:color w:val="000000"/>
          <w:sz w:val="24"/>
          <w:szCs w:val="24"/>
          <w:lang w:val="en-US"/>
        </w:rPr>
        <w:t>Aspartate transaminase; AFP</w:t>
      </w:r>
      <w:r w:rsidRPr="00A02A04">
        <w:rPr>
          <w:rFonts w:ascii="Book Antiqua" w:hAnsi="Book Antiqua"/>
          <w:i/>
          <w:color w:val="000000"/>
          <w:sz w:val="24"/>
          <w:szCs w:val="24"/>
          <w:lang w:val="en-US" w:eastAsia="zh-CN"/>
        </w:rPr>
        <w:t>:</w:t>
      </w:r>
      <w:r w:rsidRPr="00A02A04">
        <w:rPr>
          <w:rFonts w:ascii="Book Antiqua" w:hAnsi="Book Antiqua"/>
          <w:i/>
          <w:color w:val="000000"/>
          <w:sz w:val="24"/>
          <w:szCs w:val="24"/>
          <w:lang w:val="en-US"/>
        </w:rPr>
        <w:t xml:space="preserve"> </w:t>
      </w:r>
      <w:r w:rsidRPr="00A02A04">
        <w:rPr>
          <w:rFonts w:ascii="Book Antiqua" w:hAnsi="Book Antiqua"/>
          <w:color w:val="000000"/>
          <w:sz w:val="24"/>
          <w:szCs w:val="24"/>
          <w:lang w:val="en-US"/>
        </w:rPr>
        <w:t>Alpha-fetoprotein.</w:t>
      </w:r>
    </w:p>
    <w:p w:rsidR="003C29A3" w:rsidRPr="00A02A04" w:rsidRDefault="003C29A3" w:rsidP="009E446B">
      <w:pPr>
        <w:spacing w:after="0" w:line="360" w:lineRule="auto"/>
        <w:jc w:val="both"/>
        <w:rPr>
          <w:rFonts w:ascii="Book Antiqua" w:hAnsi="Book Antiqua"/>
          <w:b/>
          <w:color w:val="000000"/>
          <w:sz w:val="24"/>
          <w:szCs w:val="24"/>
          <w:lang w:val="en-US"/>
        </w:rPr>
      </w:pPr>
    </w:p>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br w:type="page"/>
      </w:r>
    </w:p>
    <w:p w:rsidR="003C29A3" w:rsidRPr="00A02A04" w:rsidRDefault="003C29A3" w:rsidP="009E446B">
      <w:pPr>
        <w:spacing w:after="0" w:line="360" w:lineRule="auto"/>
        <w:jc w:val="both"/>
        <w:rPr>
          <w:rFonts w:ascii="Book Antiqua" w:hAnsi="Book Antiqua"/>
          <w:b/>
          <w:color w:val="000000"/>
          <w:sz w:val="24"/>
          <w:szCs w:val="24"/>
        </w:rPr>
      </w:pPr>
      <w:r w:rsidRPr="00A02A04">
        <w:rPr>
          <w:rFonts w:ascii="Book Antiqua" w:hAnsi="Book Antiqua"/>
          <w:b/>
          <w:color w:val="000000"/>
          <w:sz w:val="24"/>
          <w:szCs w:val="24"/>
        </w:rPr>
        <w:t xml:space="preserve">Table 4 </w:t>
      </w:r>
      <w:proofErr w:type="spellStart"/>
      <w:r w:rsidRPr="00A02A04">
        <w:rPr>
          <w:rFonts w:ascii="Book Antiqua" w:hAnsi="Book Antiqua"/>
          <w:b/>
          <w:color w:val="000000"/>
          <w:sz w:val="24"/>
          <w:szCs w:val="24"/>
        </w:rPr>
        <w:t>Univariate</w:t>
      </w:r>
      <w:proofErr w:type="spellEnd"/>
      <w:r w:rsidRPr="00A02A04">
        <w:rPr>
          <w:rFonts w:ascii="Book Antiqua" w:hAnsi="Book Antiqua"/>
          <w:b/>
          <w:color w:val="000000"/>
          <w:sz w:val="24"/>
          <w:szCs w:val="24"/>
        </w:rPr>
        <w:t xml:space="preserve"> and multivariate analysis of the factors associated with a 16-week </w:t>
      </w:r>
      <w:r w:rsidRPr="00A02A04">
        <w:rPr>
          <w:rFonts w:ascii="Book Antiqua" w:hAnsi="Book Antiqua"/>
          <w:b/>
          <w:color w:val="000000"/>
          <w:sz w:val="24"/>
          <w:szCs w:val="24"/>
          <w:lang w:eastAsia="zh-CN"/>
        </w:rPr>
        <w:t>“</w:t>
      </w:r>
      <w:r w:rsidRPr="00A02A04">
        <w:rPr>
          <w:rFonts w:ascii="Book Antiqua" w:hAnsi="Book Antiqua"/>
          <w:b/>
          <w:color w:val="000000"/>
          <w:sz w:val="24"/>
          <w:szCs w:val="24"/>
        </w:rPr>
        <w:t>clinical benefit</w:t>
      </w:r>
      <w:r w:rsidRPr="00A02A04">
        <w:rPr>
          <w:rFonts w:ascii="Book Antiqua" w:hAnsi="Book Antiqua"/>
          <w:b/>
          <w:color w:val="000000"/>
          <w:sz w:val="24"/>
          <w:szCs w:val="24"/>
          <w:lang w:eastAsia="zh-CN"/>
        </w:rPr>
        <w:t>”</w:t>
      </w:r>
      <w:r w:rsidRPr="00A02A04">
        <w:rPr>
          <w:rFonts w:ascii="Book Antiqua" w:hAnsi="Book Antiqua"/>
          <w:b/>
          <w:color w:val="000000"/>
          <w:sz w:val="24"/>
          <w:szCs w:val="24"/>
        </w:rPr>
        <w:t xml:space="preserve"> as defined by the presence of partial response or stable disease at imaging, according to </w:t>
      </w:r>
      <w:proofErr w:type="spellStart"/>
      <w:r w:rsidRPr="00A02A04">
        <w:rPr>
          <w:rFonts w:ascii="Book Antiqua" w:hAnsi="Book Antiqua"/>
          <w:b/>
          <w:color w:val="000000"/>
          <w:sz w:val="24"/>
          <w:szCs w:val="24"/>
        </w:rPr>
        <w:t>mRECIST</w:t>
      </w:r>
      <w:proofErr w:type="spellEnd"/>
      <w:r w:rsidRPr="00A02A04">
        <w:rPr>
          <w:rFonts w:ascii="Book Antiqua" w:hAnsi="Book Antiqua"/>
          <w:b/>
          <w:color w:val="000000"/>
          <w:sz w:val="24"/>
          <w:szCs w:val="24"/>
        </w:rPr>
        <w:t xml:space="preserve"> criteria </w:t>
      </w:r>
    </w:p>
    <w:p w:rsidR="003C29A3" w:rsidRPr="00A02A04" w:rsidRDefault="003C29A3" w:rsidP="009E446B">
      <w:pPr>
        <w:spacing w:after="0" w:line="360" w:lineRule="auto"/>
        <w:jc w:val="both"/>
        <w:rPr>
          <w:rFonts w:ascii="Book Antiqua" w:hAnsi="Book Antiqua"/>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2491"/>
        <w:gridCol w:w="1382"/>
        <w:gridCol w:w="2377"/>
        <w:gridCol w:w="1496"/>
      </w:tblGrid>
      <w:tr w:rsidR="003C29A3" w:rsidRPr="00A02A04">
        <w:tc>
          <w:tcPr>
            <w:tcW w:w="1070" w:type="pct"/>
            <w:tcBorders>
              <w:top w:val="double" w:sz="4" w:space="0" w:color="auto"/>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Variable</w:t>
            </w:r>
          </w:p>
        </w:tc>
        <w:tc>
          <w:tcPr>
            <w:tcW w:w="1965" w:type="pct"/>
            <w:gridSpan w:val="2"/>
            <w:tcBorders>
              <w:top w:val="double" w:sz="4" w:space="0" w:color="auto"/>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proofErr w:type="spellStart"/>
            <w:r w:rsidRPr="00A02A04">
              <w:rPr>
                <w:rFonts w:ascii="Book Antiqua" w:hAnsi="Book Antiqua"/>
                <w:b/>
                <w:color w:val="000000"/>
                <w:sz w:val="24"/>
                <w:szCs w:val="24"/>
                <w:lang w:val="en-US"/>
              </w:rPr>
              <w:t>Univariate</w:t>
            </w:r>
            <w:proofErr w:type="spellEnd"/>
            <w:r w:rsidRPr="00A02A04">
              <w:rPr>
                <w:rFonts w:ascii="Book Antiqua" w:hAnsi="Book Antiqua"/>
                <w:b/>
                <w:color w:val="000000"/>
                <w:sz w:val="24"/>
                <w:szCs w:val="24"/>
                <w:lang w:val="en-US"/>
              </w:rPr>
              <w:t xml:space="preserve"> analysis</w:t>
            </w:r>
          </w:p>
        </w:tc>
        <w:tc>
          <w:tcPr>
            <w:tcW w:w="1965" w:type="pct"/>
            <w:gridSpan w:val="2"/>
            <w:tcBorders>
              <w:top w:val="double" w:sz="4" w:space="0" w:color="auto"/>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Multivariate analysis</w:t>
            </w:r>
          </w:p>
        </w:tc>
      </w:tr>
      <w:tr w:rsidR="003C29A3" w:rsidRPr="00A02A04">
        <w:tc>
          <w:tcPr>
            <w:tcW w:w="1070"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64" w:type="pct"/>
            <w:tcBorders>
              <w:top w:val="nil"/>
              <w:left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OR (95% CI)</w:t>
            </w:r>
          </w:p>
        </w:tc>
        <w:tc>
          <w:tcPr>
            <w:tcW w:w="701" w:type="pct"/>
            <w:tcBorders>
              <w:top w:val="nil"/>
              <w:left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i/>
                <w:color w:val="000000"/>
                <w:sz w:val="24"/>
                <w:szCs w:val="24"/>
                <w:lang w:val="en-US"/>
              </w:rPr>
              <w:t>P</w:t>
            </w:r>
            <w:r w:rsidRPr="00A02A04">
              <w:rPr>
                <w:rFonts w:ascii="Book Antiqua" w:hAnsi="Book Antiqua"/>
                <w:b/>
                <w:color w:val="000000"/>
                <w:sz w:val="24"/>
                <w:szCs w:val="24"/>
                <w:lang w:val="en-US"/>
              </w:rPr>
              <w:t>-value</w:t>
            </w:r>
          </w:p>
        </w:tc>
        <w:tc>
          <w:tcPr>
            <w:tcW w:w="1206" w:type="pct"/>
            <w:tcBorders>
              <w:top w:val="nil"/>
              <w:left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OR (95% CI)</w:t>
            </w:r>
          </w:p>
        </w:tc>
        <w:tc>
          <w:tcPr>
            <w:tcW w:w="759" w:type="pct"/>
            <w:tcBorders>
              <w:top w:val="nil"/>
              <w:left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i/>
                <w:color w:val="000000"/>
                <w:sz w:val="24"/>
                <w:szCs w:val="24"/>
                <w:lang w:val="en-US"/>
              </w:rPr>
              <w:t>P</w:t>
            </w:r>
            <w:r w:rsidRPr="00A02A04">
              <w:rPr>
                <w:rFonts w:ascii="Book Antiqua" w:hAnsi="Book Antiqua"/>
                <w:b/>
                <w:color w:val="000000"/>
                <w:sz w:val="24"/>
                <w:szCs w:val="24"/>
                <w:lang w:val="en-US"/>
              </w:rPr>
              <w:t>-value</w:t>
            </w:r>
          </w:p>
        </w:tc>
      </w:tr>
      <w:tr w:rsidR="003C29A3" w:rsidRPr="00A02A04">
        <w:tc>
          <w:tcPr>
            <w:tcW w:w="1070"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ECOG</w:t>
            </w:r>
          </w:p>
        </w:tc>
        <w:tc>
          <w:tcPr>
            <w:tcW w:w="1264"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01"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59"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070"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0</w:t>
            </w:r>
          </w:p>
        </w:tc>
        <w:tc>
          <w:tcPr>
            <w:tcW w:w="1264"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701"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0.013</w:t>
            </w:r>
          </w:p>
        </w:tc>
        <w:tc>
          <w:tcPr>
            <w:tcW w:w="1206" w:type="pct"/>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vertAlign w:val="superscript"/>
                <w:lang w:val="en-US" w:eastAsia="zh-CN"/>
              </w:rPr>
            </w:pPr>
            <w:r w:rsidRPr="00A02A04">
              <w:rPr>
                <w:rFonts w:ascii="Book Antiqua" w:hAnsi="Book Antiqua"/>
                <w:color w:val="000000"/>
                <w:sz w:val="24"/>
                <w:szCs w:val="24"/>
                <w:vertAlign w:val="superscript"/>
                <w:lang w:val="en-US" w:eastAsia="zh-CN"/>
              </w:rPr>
              <w:t>2</w:t>
            </w:r>
          </w:p>
        </w:tc>
        <w:tc>
          <w:tcPr>
            <w:tcW w:w="759" w:type="pct"/>
            <w:tcBorders>
              <w:top w:val="nil"/>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eastAsia="zh-CN"/>
              </w:rPr>
            </w:pPr>
            <w:r w:rsidRPr="00A02A04">
              <w:rPr>
                <w:rFonts w:ascii="Book Antiqua" w:hAnsi="Book Antiqua"/>
                <w:color w:val="000000"/>
                <w:sz w:val="24"/>
                <w:szCs w:val="24"/>
                <w:vertAlign w:val="superscript"/>
                <w:lang w:val="en-US" w:eastAsia="zh-CN"/>
              </w:rPr>
              <w:t>2</w:t>
            </w:r>
          </w:p>
        </w:tc>
      </w:tr>
      <w:tr w:rsidR="003C29A3" w:rsidRPr="00A02A04">
        <w:tc>
          <w:tcPr>
            <w:tcW w:w="1070"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1-2</w:t>
            </w:r>
          </w:p>
        </w:tc>
        <w:tc>
          <w:tcPr>
            <w:tcW w:w="1264"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0.18 (0.05-0.70)</w:t>
            </w:r>
          </w:p>
        </w:tc>
        <w:tc>
          <w:tcPr>
            <w:tcW w:w="701"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59"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070"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Cirrhosis etiology</w:t>
            </w:r>
          </w:p>
        </w:tc>
        <w:tc>
          <w:tcPr>
            <w:tcW w:w="1264"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01"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59"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070"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Non-viral</w:t>
            </w:r>
          </w:p>
        </w:tc>
        <w:tc>
          <w:tcPr>
            <w:tcW w:w="1264"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701"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0.040</w:t>
            </w:r>
          </w:p>
        </w:tc>
        <w:tc>
          <w:tcPr>
            <w:tcW w:w="1206" w:type="pct"/>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759" w:type="pct"/>
            <w:tcBorders>
              <w:top w:val="nil"/>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0.043</w:t>
            </w:r>
          </w:p>
        </w:tc>
      </w:tr>
      <w:tr w:rsidR="003C29A3" w:rsidRPr="00A02A04">
        <w:tc>
          <w:tcPr>
            <w:tcW w:w="1070" w:type="pct"/>
            <w:tcBorders>
              <w:top w:val="nil"/>
              <w:left w:val="nil"/>
              <w:right w:val="nil"/>
            </w:tcBorders>
            <w:vAlign w:val="center"/>
          </w:tcPr>
          <w:p w:rsidR="003C29A3" w:rsidRPr="00A02A04" w:rsidRDefault="003C29A3" w:rsidP="006B721A">
            <w:pPr>
              <w:spacing w:after="0" w:line="360" w:lineRule="auto"/>
              <w:jc w:val="both"/>
              <w:rPr>
                <w:rFonts w:ascii="Book Antiqua" w:hAnsi="Book Antiqua"/>
                <w:color w:val="000000"/>
                <w:sz w:val="24"/>
                <w:szCs w:val="24"/>
                <w:lang w:val="en-US" w:eastAsia="zh-CN"/>
              </w:rPr>
            </w:pPr>
            <w:r w:rsidRPr="00A02A04">
              <w:rPr>
                <w:rFonts w:ascii="Book Antiqua" w:hAnsi="Book Antiqua"/>
                <w:color w:val="000000"/>
                <w:sz w:val="24"/>
                <w:szCs w:val="24"/>
                <w:lang w:val="en-US"/>
              </w:rPr>
              <w:t xml:space="preserve">   HCV or HBV</w:t>
            </w:r>
            <w:r w:rsidRPr="00A02A04">
              <w:rPr>
                <w:rFonts w:ascii="Book Antiqua" w:hAnsi="Book Antiqua"/>
                <w:color w:val="000000"/>
                <w:sz w:val="24"/>
                <w:szCs w:val="24"/>
                <w:vertAlign w:val="superscript"/>
                <w:lang w:val="en-US" w:eastAsia="zh-CN"/>
              </w:rPr>
              <w:t>1</w:t>
            </w:r>
          </w:p>
        </w:tc>
        <w:tc>
          <w:tcPr>
            <w:tcW w:w="1264"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0.23 (0.06-0.94)</w:t>
            </w:r>
          </w:p>
        </w:tc>
        <w:tc>
          <w:tcPr>
            <w:tcW w:w="701"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0.21 (0.05-0.95)</w:t>
            </w:r>
          </w:p>
        </w:tc>
        <w:tc>
          <w:tcPr>
            <w:tcW w:w="759"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070"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HCV infection</w:t>
            </w:r>
          </w:p>
        </w:tc>
        <w:tc>
          <w:tcPr>
            <w:tcW w:w="1264"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01"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59"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070"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Absent</w:t>
            </w:r>
          </w:p>
        </w:tc>
        <w:tc>
          <w:tcPr>
            <w:tcW w:w="1264"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701"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0.032</w:t>
            </w:r>
          </w:p>
        </w:tc>
        <w:tc>
          <w:tcPr>
            <w:tcW w:w="1206" w:type="pct"/>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hAnsi="Book Antiqua"/>
                <w:color w:val="000000"/>
                <w:sz w:val="24"/>
                <w:szCs w:val="24"/>
                <w:vertAlign w:val="superscript"/>
                <w:lang w:val="en-US" w:eastAsia="zh-CN"/>
              </w:rPr>
              <w:t>2</w:t>
            </w:r>
          </w:p>
        </w:tc>
        <w:tc>
          <w:tcPr>
            <w:tcW w:w="759" w:type="pct"/>
            <w:tcBorders>
              <w:top w:val="nil"/>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eastAsia="zh-CN"/>
              </w:rPr>
            </w:pPr>
            <w:r w:rsidRPr="00A02A04">
              <w:rPr>
                <w:rFonts w:ascii="Book Antiqua" w:hAnsi="Book Antiqua"/>
                <w:color w:val="000000"/>
                <w:sz w:val="24"/>
                <w:szCs w:val="24"/>
                <w:vertAlign w:val="superscript"/>
                <w:lang w:val="en-US" w:eastAsia="zh-CN"/>
              </w:rPr>
              <w:t>2</w:t>
            </w:r>
          </w:p>
        </w:tc>
      </w:tr>
      <w:tr w:rsidR="003C29A3" w:rsidRPr="00A02A04">
        <w:tc>
          <w:tcPr>
            <w:tcW w:w="1070"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Present</w:t>
            </w:r>
          </w:p>
        </w:tc>
        <w:tc>
          <w:tcPr>
            <w:tcW w:w="1264"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0.24 (0.07-0.88)</w:t>
            </w:r>
          </w:p>
        </w:tc>
        <w:tc>
          <w:tcPr>
            <w:tcW w:w="701"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59"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070"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BCLC class</w:t>
            </w:r>
          </w:p>
        </w:tc>
        <w:tc>
          <w:tcPr>
            <w:tcW w:w="1264"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01"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59"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070"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B</w:t>
            </w:r>
          </w:p>
        </w:tc>
        <w:tc>
          <w:tcPr>
            <w:tcW w:w="1264"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701"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0.003</w:t>
            </w:r>
          </w:p>
        </w:tc>
        <w:tc>
          <w:tcPr>
            <w:tcW w:w="1206" w:type="pct"/>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759" w:type="pct"/>
            <w:tcBorders>
              <w:top w:val="nil"/>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0.004</w:t>
            </w:r>
          </w:p>
        </w:tc>
      </w:tr>
      <w:tr w:rsidR="003C29A3" w:rsidRPr="00A02A04">
        <w:tc>
          <w:tcPr>
            <w:tcW w:w="1070"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C</w:t>
            </w:r>
          </w:p>
        </w:tc>
        <w:tc>
          <w:tcPr>
            <w:tcW w:w="1264"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0.12 (0.03-0.48)</w:t>
            </w:r>
          </w:p>
        </w:tc>
        <w:tc>
          <w:tcPr>
            <w:tcW w:w="701"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0.10 (0.02-0.49)</w:t>
            </w:r>
          </w:p>
        </w:tc>
        <w:tc>
          <w:tcPr>
            <w:tcW w:w="759"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070"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Previous therapy</w:t>
            </w:r>
          </w:p>
        </w:tc>
        <w:tc>
          <w:tcPr>
            <w:tcW w:w="1264"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01"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59"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070"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No</w:t>
            </w:r>
          </w:p>
        </w:tc>
        <w:tc>
          <w:tcPr>
            <w:tcW w:w="1264"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701"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0.172</w:t>
            </w:r>
          </w:p>
        </w:tc>
        <w:tc>
          <w:tcPr>
            <w:tcW w:w="1206" w:type="pct"/>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hAnsi="Book Antiqua"/>
                <w:color w:val="000000"/>
                <w:sz w:val="24"/>
                <w:szCs w:val="24"/>
                <w:vertAlign w:val="superscript"/>
                <w:lang w:val="en-US" w:eastAsia="zh-CN"/>
              </w:rPr>
              <w:t>2</w:t>
            </w:r>
          </w:p>
        </w:tc>
        <w:tc>
          <w:tcPr>
            <w:tcW w:w="759" w:type="pct"/>
            <w:tcBorders>
              <w:top w:val="nil"/>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eastAsia="zh-CN"/>
              </w:rPr>
            </w:pPr>
            <w:r w:rsidRPr="00A02A04">
              <w:rPr>
                <w:rFonts w:ascii="Book Antiqua" w:hAnsi="Book Antiqua"/>
                <w:color w:val="000000"/>
                <w:sz w:val="24"/>
                <w:szCs w:val="24"/>
                <w:vertAlign w:val="superscript"/>
                <w:lang w:val="en-US" w:eastAsia="zh-CN"/>
              </w:rPr>
              <w:t>2</w:t>
            </w:r>
          </w:p>
        </w:tc>
      </w:tr>
      <w:tr w:rsidR="003C29A3" w:rsidRPr="00A02A04">
        <w:tc>
          <w:tcPr>
            <w:tcW w:w="1070"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Yes</w:t>
            </w:r>
          </w:p>
        </w:tc>
        <w:tc>
          <w:tcPr>
            <w:tcW w:w="1264"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0.42 (0.12-1.45)</w:t>
            </w:r>
          </w:p>
        </w:tc>
        <w:tc>
          <w:tcPr>
            <w:tcW w:w="701"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59"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070"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AFP (</w:t>
            </w:r>
            <w:proofErr w:type="spellStart"/>
            <w:r w:rsidRPr="00A02A04">
              <w:rPr>
                <w:rFonts w:ascii="Book Antiqua" w:hAnsi="Book Antiqua"/>
                <w:b/>
                <w:color w:val="000000"/>
                <w:sz w:val="24"/>
                <w:szCs w:val="24"/>
                <w:lang w:val="en-US"/>
              </w:rPr>
              <w:t>ng</w:t>
            </w:r>
            <w:proofErr w:type="spellEnd"/>
            <w:r w:rsidRPr="00A02A04">
              <w:rPr>
                <w:rFonts w:ascii="Book Antiqua" w:hAnsi="Book Antiqua"/>
                <w:b/>
                <w:color w:val="000000"/>
                <w:sz w:val="24"/>
                <w:szCs w:val="24"/>
                <w:lang w:val="en-US"/>
              </w:rPr>
              <w:t>/mL)</w:t>
            </w:r>
          </w:p>
        </w:tc>
        <w:tc>
          <w:tcPr>
            <w:tcW w:w="1264"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01"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59"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070"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 400</w:t>
            </w:r>
          </w:p>
        </w:tc>
        <w:tc>
          <w:tcPr>
            <w:tcW w:w="1264"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701"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0.069</w:t>
            </w:r>
          </w:p>
        </w:tc>
        <w:tc>
          <w:tcPr>
            <w:tcW w:w="1206" w:type="pct"/>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hAnsi="Book Antiqua"/>
                <w:color w:val="000000"/>
                <w:sz w:val="24"/>
                <w:szCs w:val="24"/>
                <w:vertAlign w:val="superscript"/>
                <w:lang w:val="en-US" w:eastAsia="zh-CN"/>
              </w:rPr>
              <w:t>2</w:t>
            </w:r>
          </w:p>
        </w:tc>
        <w:tc>
          <w:tcPr>
            <w:tcW w:w="759" w:type="pct"/>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hAnsi="Book Antiqua"/>
                <w:color w:val="000000"/>
                <w:sz w:val="24"/>
                <w:szCs w:val="24"/>
                <w:vertAlign w:val="superscript"/>
                <w:lang w:val="en-US" w:eastAsia="zh-CN"/>
              </w:rPr>
              <w:t>2</w:t>
            </w:r>
          </w:p>
        </w:tc>
      </w:tr>
      <w:tr w:rsidR="003C29A3" w:rsidRPr="00A02A04">
        <w:tc>
          <w:tcPr>
            <w:tcW w:w="1070" w:type="pct"/>
            <w:tcBorders>
              <w:top w:val="nil"/>
              <w:left w:val="nil"/>
              <w:bottom w:val="double" w:sz="4" w:space="0" w:color="auto"/>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&gt; 400</w:t>
            </w:r>
          </w:p>
        </w:tc>
        <w:tc>
          <w:tcPr>
            <w:tcW w:w="1264" w:type="pct"/>
            <w:tcBorders>
              <w:top w:val="nil"/>
              <w:left w:val="nil"/>
              <w:bottom w:val="double" w:sz="4" w:space="0" w:color="auto"/>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0.28 (0.07-1.10)</w:t>
            </w:r>
          </w:p>
        </w:tc>
        <w:tc>
          <w:tcPr>
            <w:tcW w:w="701" w:type="pct"/>
            <w:tcBorders>
              <w:top w:val="nil"/>
              <w:left w:val="nil"/>
              <w:bottom w:val="double" w:sz="4" w:space="0" w:color="auto"/>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06" w:type="pct"/>
            <w:tcBorders>
              <w:top w:val="nil"/>
              <w:left w:val="nil"/>
              <w:bottom w:val="double" w:sz="4" w:space="0" w:color="auto"/>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759" w:type="pct"/>
            <w:tcBorders>
              <w:top w:val="nil"/>
              <w:left w:val="nil"/>
              <w:bottom w:val="double" w:sz="4" w:space="0" w:color="auto"/>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bl>
    <w:p w:rsidR="003C29A3" w:rsidRPr="00A02A04" w:rsidRDefault="003C29A3" w:rsidP="009E446B">
      <w:pPr>
        <w:spacing w:after="0" w:line="360" w:lineRule="auto"/>
        <w:jc w:val="both"/>
        <w:rPr>
          <w:rFonts w:ascii="Book Antiqua" w:hAnsi="Book Antiqua"/>
          <w:color w:val="000000"/>
          <w:sz w:val="24"/>
          <w:szCs w:val="24"/>
          <w:vertAlign w:val="superscript"/>
          <w:lang w:val="en-US"/>
        </w:rPr>
      </w:pPr>
    </w:p>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hAnsi="Book Antiqua"/>
          <w:color w:val="000000"/>
          <w:sz w:val="24"/>
          <w:szCs w:val="24"/>
          <w:lang w:val="en-US"/>
        </w:rPr>
        <w:t>AFP</w:t>
      </w:r>
      <w:r w:rsidRPr="00A02A04">
        <w:rPr>
          <w:rFonts w:ascii="Book Antiqua" w:hAnsi="Book Antiqua"/>
          <w:color w:val="000000"/>
          <w:sz w:val="24"/>
          <w:szCs w:val="24"/>
          <w:lang w:val="en-US" w:eastAsia="zh-CN"/>
        </w:rPr>
        <w:t>:</w:t>
      </w:r>
      <w:r w:rsidRPr="00A02A04">
        <w:rPr>
          <w:rFonts w:ascii="Book Antiqua" w:hAnsi="Book Antiqua"/>
          <w:i/>
          <w:color w:val="000000"/>
          <w:sz w:val="24"/>
          <w:szCs w:val="24"/>
          <w:lang w:val="en-US" w:eastAsia="zh-CN"/>
        </w:rPr>
        <w:t xml:space="preserve"> </w:t>
      </w:r>
      <w:r w:rsidRPr="00A02A04">
        <w:rPr>
          <w:rFonts w:ascii="Book Antiqua" w:hAnsi="Book Antiqua"/>
          <w:color w:val="000000"/>
          <w:sz w:val="24"/>
          <w:szCs w:val="24"/>
          <w:lang w:val="en-US"/>
        </w:rPr>
        <w:t>Alpha-fetoprotein</w:t>
      </w:r>
      <w:r w:rsidRPr="00A02A04">
        <w:rPr>
          <w:rFonts w:ascii="Book Antiqua" w:hAnsi="Book Antiqua"/>
          <w:color w:val="000000"/>
          <w:sz w:val="24"/>
          <w:szCs w:val="24"/>
          <w:lang w:val="en-US" w:eastAsia="zh-CN"/>
        </w:rPr>
        <w:t xml:space="preserve">; </w:t>
      </w:r>
      <w:r w:rsidRPr="00A02A04">
        <w:rPr>
          <w:rFonts w:ascii="Book Antiqua" w:hAnsi="Book Antiqua"/>
          <w:color w:val="000000"/>
          <w:sz w:val="24"/>
          <w:szCs w:val="24"/>
        </w:rPr>
        <w:t>HCV</w:t>
      </w:r>
      <w:r w:rsidRPr="00A02A04">
        <w:rPr>
          <w:rFonts w:ascii="Book Antiqua" w:hAnsi="Book Antiqua"/>
          <w:color w:val="000000"/>
          <w:sz w:val="24"/>
          <w:szCs w:val="24"/>
          <w:lang w:eastAsia="zh-CN"/>
        </w:rPr>
        <w:t>:</w:t>
      </w:r>
      <w:r w:rsidRPr="00A02A04">
        <w:rPr>
          <w:rFonts w:ascii="Book Antiqua" w:hAnsi="Book Antiqua"/>
          <w:color w:val="000000"/>
          <w:sz w:val="24"/>
          <w:szCs w:val="24"/>
        </w:rPr>
        <w:t xml:space="preserve"> Hepatitis C virus</w:t>
      </w:r>
      <w:r w:rsidRPr="00A02A04">
        <w:rPr>
          <w:rFonts w:ascii="Book Antiqua" w:hAnsi="Book Antiqua"/>
          <w:color w:val="000000"/>
          <w:sz w:val="24"/>
          <w:szCs w:val="24"/>
          <w:lang w:eastAsia="zh-CN"/>
        </w:rPr>
        <w:t xml:space="preserve">; </w:t>
      </w:r>
      <w:r w:rsidRPr="00A02A04">
        <w:rPr>
          <w:rFonts w:ascii="Book Antiqua" w:hAnsi="Book Antiqua"/>
          <w:color w:val="000000"/>
          <w:sz w:val="24"/>
          <w:szCs w:val="24"/>
        </w:rPr>
        <w:t>H</w:t>
      </w:r>
      <w:r w:rsidRPr="00A02A04">
        <w:rPr>
          <w:rFonts w:ascii="Book Antiqua" w:hAnsi="Book Antiqua"/>
          <w:color w:val="000000"/>
          <w:sz w:val="24"/>
          <w:szCs w:val="24"/>
          <w:lang w:eastAsia="zh-CN"/>
        </w:rPr>
        <w:t>B</w:t>
      </w:r>
      <w:r w:rsidRPr="00A02A04">
        <w:rPr>
          <w:rFonts w:ascii="Book Antiqua" w:hAnsi="Book Antiqua"/>
          <w:color w:val="000000"/>
          <w:sz w:val="24"/>
          <w:szCs w:val="24"/>
        </w:rPr>
        <w:t>V</w:t>
      </w:r>
      <w:r w:rsidRPr="00A02A04">
        <w:rPr>
          <w:rFonts w:ascii="Book Antiqua" w:hAnsi="Book Antiqua"/>
          <w:color w:val="000000"/>
          <w:sz w:val="24"/>
          <w:szCs w:val="24"/>
          <w:lang w:eastAsia="zh-CN"/>
        </w:rPr>
        <w:t xml:space="preserve">: </w:t>
      </w:r>
      <w:r w:rsidRPr="00A02A04">
        <w:rPr>
          <w:rFonts w:ascii="Book Antiqua" w:hAnsi="Book Antiqua"/>
          <w:color w:val="000000"/>
          <w:sz w:val="24"/>
          <w:szCs w:val="24"/>
        </w:rPr>
        <w:t xml:space="preserve">Hepatitis </w:t>
      </w:r>
      <w:r w:rsidRPr="00A02A04">
        <w:rPr>
          <w:rFonts w:ascii="Book Antiqua" w:hAnsi="Book Antiqua"/>
          <w:color w:val="000000"/>
          <w:sz w:val="24"/>
          <w:szCs w:val="24"/>
          <w:lang w:eastAsia="zh-CN"/>
        </w:rPr>
        <w:t>B</w:t>
      </w:r>
      <w:r w:rsidRPr="00A02A04">
        <w:rPr>
          <w:rFonts w:ascii="Book Antiqua" w:hAnsi="Book Antiqua"/>
          <w:color w:val="000000"/>
          <w:sz w:val="24"/>
          <w:szCs w:val="24"/>
        </w:rPr>
        <w:t xml:space="preserve"> virus</w:t>
      </w:r>
      <w:r w:rsidRPr="00A02A04">
        <w:rPr>
          <w:rFonts w:ascii="Book Antiqua" w:hAnsi="Book Antiqua"/>
          <w:color w:val="000000"/>
          <w:sz w:val="24"/>
          <w:szCs w:val="24"/>
          <w:lang w:eastAsia="zh-CN"/>
        </w:rPr>
        <w:t xml:space="preserve">. </w:t>
      </w:r>
      <w:r w:rsidRPr="00A02A04">
        <w:rPr>
          <w:rFonts w:ascii="Book Antiqua" w:hAnsi="Book Antiqua"/>
          <w:color w:val="000000"/>
          <w:sz w:val="24"/>
          <w:szCs w:val="24"/>
          <w:vertAlign w:val="superscript"/>
          <w:lang w:val="en-US" w:eastAsia="zh-CN"/>
        </w:rPr>
        <w:t>1</w:t>
      </w:r>
      <w:r w:rsidRPr="00A02A04">
        <w:rPr>
          <w:rFonts w:ascii="Book Antiqua" w:hAnsi="Book Antiqua"/>
          <w:color w:val="000000"/>
          <w:sz w:val="24"/>
          <w:szCs w:val="24"/>
          <w:lang w:val="en-US"/>
        </w:rPr>
        <w:t>Including patients with other concurrent etiologies</w:t>
      </w:r>
      <w:r w:rsidRPr="00A02A04">
        <w:rPr>
          <w:rFonts w:ascii="Book Antiqua" w:hAnsi="Book Antiqua"/>
          <w:color w:val="000000"/>
          <w:sz w:val="24"/>
          <w:szCs w:val="24"/>
          <w:lang w:val="en-US" w:eastAsia="zh-CN"/>
        </w:rPr>
        <w:t xml:space="preserve">; </w:t>
      </w:r>
      <w:r w:rsidRPr="00A02A04">
        <w:rPr>
          <w:rFonts w:ascii="Book Antiqua" w:hAnsi="Book Antiqua"/>
          <w:color w:val="000000"/>
          <w:sz w:val="24"/>
          <w:szCs w:val="24"/>
          <w:vertAlign w:val="superscript"/>
          <w:lang w:val="en-US" w:eastAsia="zh-CN"/>
        </w:rPr>
        <w:t>2</w:t>
      </w:r>
      <w:r w:rsidRPr="00A02A04">
        <w:rPr>
          <w:rFonts w:ascii="Book Antiqua" w:hAnsi="Book Antiqua"/>
          <w:color w:val="000000"/>
          <w:sz w:val="24"/>
          <w:szCs w:val="24"/>
          <w:lang w:val="en-US"/>
        </w:rPr>
        <w:t>Removed during the stepwise variable selection, not included in the final multivariate model</w:t>
      </w:r>
      <w:r w:rsidRPr="00A02A04">
        <w:rPr>
          <w:rFonts w:ascii="Book Antiqua" w:hAnsi="Book Antiqua"/>
          <w:color w:val="000000"/>
          <w:sz w:val="24"/>
          <w:szCs w:val="24"/>
          <w:lang w:val="en-US" w:eastAsia="zh-CN"/>
        </w:rPr>
        <w:t>.</w:t>
      </w:r>
    </w:p>
    <w:p w:rsidR="003C29A3" w:rsidRPr="00A02A04" w:rsidRDefault="003C29A3" w:rsidP="009E446B">
      <w:pPr>
        <w:spacing w:after="0" w:line="360" w:lineRule="auto"/>
        <w:jc w:val="both"/>
        <w:rPr>
          <w:rFonts w:ascii="Book Antiqua" w:hAnsi="Book Antiqua"/>
          <w:color w:val="000000"/>
          <w:sz w:val="24"/>
          <w:szCs w:val="24"/>
        </w:rPr>
      </w:pPr>
      <w:r w:rsidRPr="00A02A04">
        <w:rPr>
          <w:rFonts w:ascii="Book Antiqua" w:hAnsi="Book Antiqua"/>
          <w:color w:val="000000"/>
          <w:sz w:val="24"/>
          <w:szCs w:val="24"/>
        </w:rPr>
        <w:br w:type="page"/>
      </w:r>
    </w:p>
    <w:p w:rsidR="003C29A3" w:rsidRPr="00A02A04" w:rsidRDefault="003C29A3" w:rsidP="009E446B">
      <w:pPr>
        <w:spacing w:after="0" w:line="360" w:lineRule="auto"/>
        <w:jc w:val="both"/>
        <w:rPr>
          <w:rFonts w:ascii="Book Antiqua" w:hAnsi="Book Antiqua"/>
          <w:b/>
          <w:color w:val="000000"/>
          <w:sz w:val="24"/>
          <w:szCs w:val="24"/>
          <w:lang w:eastAsia="zh-CN"/>
        </w:rPr>
      </w:pPr>
      <w:r w:rsidRPr="00A02A04">
        <w:rPr>
          <w:rFonts w:ascii="Book Antiqua" w:hAnsi="Book Antiqua"/>
          <w:b/>
          <w:color w:val="000000"/>
          <w:sz w:val="24"/>
          <w:szCs w:val="24"/>
        </w:rPr>
        <w:t xml:space="preserve">Table 5 </w:t>
      </w:r>
      <w:proofErr w:type="spellStart"/>
      <w:r w:rsidRPr="00A02A04">
        <w:rPr>
          <w:rFonts w:ascii="Book Antiqua" w:hAnsi="Book Antiqua"/>
          <w:b/>
          <w:color w:val="000000"/>
          <w:sz w:val="24"/>
          <w:szCs w:val="24"/>
        </w:rPr>
        <w:t>Univariate</w:t>
      </w:r>
      <w:proofErr w:type="spellEnd"/>
      <w:r w:rsidRPr="00A02A04">
        <w:rPr>
          <w:rFonts w:ascii="Book Antiqua" w:hAnsi="Book Antiqua"/>
          <w:b/>
          <w:color w:val="000000"/>
          <w:sz w:val="24"/>
          <w:szCs w:val="24"/>
        </w:rPr>
        <w:t xml:space="preserve"> analysis of factors associated with overall survival in 44 patients with hepatocellular carcinoma and cirrhosis treated with </w:t>
      </w:r>
      <w:proofErr w:type="spellStart"/>
      <w:r w:rsidRPr="00A02A04">
        <w:rPr>
          <w:rFonts w:ascii="Book Antiqua" w:hAnsi="Book Antiqua"/>
          <w:b/>
          <w:color w:val="000000"/>
          <w:sz w:val="24"/>
          <w:szCs w:val="24"/>
        </w:rPr>
        <w:t>sorafenib</w:t>
      </w:r>
      <w:proofErr w:type="spellEnd"/>
    </w:p>
    <w:p w:rsidR="003C29A3" w:rsidRPr="00A02A04" w:rsidRDefault="003C29A3" w:rsidP="009E446B">
      <w:pPr>
        <w:spacing w:after="0" w:line="360" w:lineRule="auto"/>
        <w:jc w:val="both"/>
        <w:rPr>
          <w:rFonts w:ascii="Book Antiqua" w:hAnsi="Book Antiqua"/>
          <w:b/>
          <w:color w:val="000000"/>
          <w:sz w:val="24"/>
          <w:szCs w:val="24"/>
        </w:rPr>
      </w:pPr>
    </w:p>
    <w:tbl>
      <w:tblPr>
        <w:tblW w:w="5000" w:type="pct"/>
        <w:tblBorders>
          <w:top w:val="single" w:sz="4" w:space="0" w:color="auto"/>
          <w:bottom w:val="single" w:sz="4" w:space="0" w:color="auto"/>
        </w:tblBorders>
        <w:tblLook w:val="00A0" w:firstRow="1" w:lastRow="0" w:firstColumn="1" w:lastColumn="0" w:noHBand="0" w:noVBand="0"/>
      </w:tblPr>
      <w:tblGrid>
        <w:gridCol w:w="2463"/>
        <w:gridCol w:w="2463"/>
        <w:gridCol w:w="2464"/>
        <w:gridCol w:w="2464"/>
      </w:tblGrid>
      <w:tr w:rsidR="003C29A3" w:rsidRPr="00A02A04" w:rsidTr="00EF1890">
        <w:tc>
          <w:tcPr>
            <w:tcW w:w="1250"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p>
        </w:tc>
        <w:tc>
          <w:tcPr>
            <w:tcW w:w="1250" w:type="pct"/>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p>
        </w:tc>
        <w:tc>
          <w:tcPr>
            <w:tcW w:w="2501" w:type="pct"/>
            <w:gridSpan w:val="2"/>
            <w:tcBorders>
              <w:top w:val="single" w:sz="4" w:space="0" w:color="auto"/>
              <w:bottom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Overall survival</w:t>
            </w:r>
          </w:p>
        </w:tc>
      </w:tr>
      <w:tr w:rsidR="003C29A3" w:rsidRPr="00A02A04" w:rsidTr="00EF1890">
        <w:tc>
          <w:tcPr>
            <w:tcW w:w="1250"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Variable</w:t>
            </w:r>
          </w:p>
        </w:tc>
        <w:tc>
          <w:tcPr>
            <w:tcW w:w="1250"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b/>
                <w:i/>
                <w:color w:val="000000"/>
                <w:sz w:val="24"/>
                <w:szCs w:val="24"/>
                <w:lang w:val="en-US"/>
              </w:rPr>
            </w:pPr>
            <w:r w:rsidRPr="00A02A04">
              <w:rPr>
                <w:rFonts w:ascii="Book Antiqua" w:hAnsi="Book Antiqua"/>
                <w:b/>
                <w:i/>
                <w:color w:val="000000"/>
                <w:sz w:val="24"/>
                <w:szCs w:val="24"/>
                <w:lang w:val="en-US"/>
              </w:rPr>
              <w:t>n</w:t>
            </w:r>
          </w:p>
        </w:tc>
        <w:tc>
          <w:tcPr>
            <w:tcW w:w="1250"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HR (95% CI)</w:t>
            </w:r>
          </w:p>
        </w:tc>
        <w:tc>
          <w:tcPr>
            <w:tcW w:w="1250" w:type="pct"/>
            <w:tcBorders>
              <w:top w:val="nil"/>
              <w:bottom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i/>
                <w:color w:val="000000"/>
                <w:sz w:val="24"/>
                <w:szCs w:val="24"/>
                <w:lang w:val="en-US"/>
              </w:rPr>
              <w:t>P</w:t>
            </w:r>
            <w:r w:rsidRPr="00A02A04">
              <w:rPr>
                <w:rFonts w:ascii="Book Antiqua" w:hAnsi="Book Antiqua"/>
                <w:b/>
                <w:color w:val="000000"/>
                <w:sz w:val="24"/>
                <w:szCs w:val="24"/>
                <w:lang w:val="en-US"/>
              </w:rPr>
              <w:t xml:space="preserve"> value</w:t>
            </w:r>
          </w:p>
        </w:tc>
      </w:tr>
      <w:tr w:rsidR="003C29A3" w:rsidRPr="00A02A04" w:rsidTr="00EF1890">
        <w:tc>
          <w:tcPr>
            <w:tcW w:w="1250" w:type="pct"/>
            <w:tcBorders>
              <w:top w:val="single" w:sz="4" w:space="0" w:color="auto"/>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Gender</w:t>
            </w:r>
          </w:p>
        </w:tc>
        <w:tc>
          <w:tcPr>
            <w:tcW w:w="1250" w:type="pct"/>
            <w:tcBorders>
              <w:top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tcBorders>
              <w:top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tcBorders>
              <w:top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Male</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38</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0.437</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Female</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6</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1.52(0.53-4.38)</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ECOG</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24</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0.049</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1-2</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2.01(1.01-4.05)</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Age</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hAnsi="Book Antiqua"/>
                <w:color w:val="000000"/>
                <w:sz w:val="24"/>
                <w:szCs w:val="24"/>
                <w:lang w:val="en-US"/>
              </w:rPr>
              <w:t xml:space="preserve">&lt;70 </w:t>
            </w:r>
            <w:proofErr w:type="spellStart"/>
            <w:r w:rsidRPr="00A02A04">
              <w:rPr>
                <w:rFonts w:ascii="Book Antiqua" w:hAnsi="Book Antiqua"/>
                <w:color w:val="000000"/>
                <w:sz w:val="24"/>
                <w:szCs w:val="24"/>
                <w:lang w:val="en-US"/>
              </w:rPr>
              <w:t>y</w:t>
            </w:r>
            <w:r w:rsidRPr="00A02A04">
              <w:rPr>
                <w:rFonts w:ascii="Book Antiqua" w:hAnsi="Book Antiqua"/>
                <w:color w:val="000000"/>
                <w:sz w:val="24"/>
                <w:szCs w:val="24"/>
                <w:lang w:val="en-US" w:eastAsia="zh-CN"/>
              </w:rPr>
              <w:t>r</w:t>
            </w:r>
            <w:proofErr w:type="spellEnd"/>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22</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0.297</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eastAsia="zh-CN"/>
              </w:rPr>
            </w:pPr>
            <w:r w:rsidRPr="00A02A04">
              <w:rPr>
                <w:rFonts w:ascii="Book Antiqua" w:hAnsi="Book Antiqua"/>
                <w:color w:val="000000"/>
                <w:sz w:val="24"/>
                <w:szCs w:val="24"/>
                <w:lang w:val="en-US"/>
              </w:rPr>
              <w:t xml:space="preserve">   ≥70 </w:t>
            </w:r>
            <w:proofErr w:type="spellStart"/>
            <w:r w:rsidRPr="00A02A04">
              <w:rPr>
                <w:rFonts w:ascii="Book Antiqua" w:hAnsi="Book Antiqua"/>
                <w:color w:val="000000"/>
                <w:sz w:val="24"/>
                <w:szCs w:val="24"/>
                <w:lang w:val="en-US"/>
              </w:rPr>
              <w:t>y</w:t>
            </w:r>
            <w:r w:rsidRPr="00A02A04">
              <w:rPr>
                <w:rFonts w:ascii="Book Antiqua" w:hAnsi="Book Antiqua"/>
                <w:color w:val="000000"/>
                <w:sz w:val="24"/>
                <w:szCs w:val="24"/>
                <w:lang w:val="en-US" w:eastAsia="zh-CN"/>
              </w:rPr>
              <w:t>r</w:t>
            </w:r>
            <w:proofErr w:type="spellEnd"/>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22</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1.43 (0.73-2.78)</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Cirrhosis etiology</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Non-viral</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12</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0.832</w:t>
            </w:r>
          </w:p>
        </w:tc>
      </w:tr>
      <w:tr w:rsidR="003C29A3" w:rsidRPr="00A02A04" w:rsidTr="00EF1890">
        <w:tc>
          <w:tcPr>
            <w:tcW w:w="1250" w:type="pct"/>
            <w:vAlign w:val="center"/>
          </w:tcPr>
          <w:p w:rsidR="003C29A3" w:rsidRPr="00A02A04" w:rsidRDefault="003C29A3" w:rsidP="00EF1890">
            <w:pPr>
              <w:spacing w:after="0" w:line="360" w:lineRule="auto"/>
              <w:jc w:val="both"/>
              <w:rPr>
                <w:rFonts w:ascii="Book Antiqua" w:hAnsi="Book Antiqua"/>
                <w:color w:val="000000"/>
                <w:sz w:val="24"/>
                <w:szCs w:val="24"/>
                <w:lang w:val="en-US" w:eastAsia="zh-CN"/>
              </w:rPr>
            </w:pPr>
            <w:r w:rsidRPr="00A02A04">
              <w:rPr>
                <w:rFonts w:ascii="Book Antiqua" w:hAnsi="Book Antiqua"/>
                <w:color w:val="000000"/>
                <w:sz w:val="24"/>
                <w:szCs w:val="24"/>
                <w:lang w:val="en-US"/>
              </w:rPr>
              <w:t xml:space="preserve">   HCV or HBV</w:t>
            </w:r>
            <w:r w:rsidRPr="00A02A04">
              <w:rPr>
                <w:rFonts w:ascii="Book Antiqua" w:hAnsi="Book Antiqua"/>
                <w:color w:val="000000"/>
                <w:sz w:val="24"/>
                <w:szCs w:val="24"/>
                <w:vertAlign w:val="superscript"/>
                <w:lang w:val="en-US" w:eastAsia="zh-CN"/>
              </w:rPr>
              <w:t>1</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32</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1.09 (0.51-2.34)</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proofErr w:type="spellStart"/>
            <w:r w:rsidRPr="00A02A04">
              <w:rPr>
                <w:rFonts w:ascii="Book Antiqua" w:hAnsi="Book Antiqua"/>
                <w:b/>
                <w:color w:val="000000"/>
                <w:sz w:val="24"/>
                <w:szCs w:val="24"/>
                <w:lang w:val="en-US"/>
              </w:rPr>
              <w:t>Extrahepatic</w:t>
            </w:r>
            <w:proofErr w:type="spellEnd"/>
            <w:r w:rsidRPr="00A02A04">
              <w:rPr>
                <w:rFonts w:ascii="Book Antiqua" w:hAnsi="Book Antiqua"/>
                <w:b/>
                <w:color w:val="000000"/>
                <w:sz w:val="24"/>
                <w:szCs w:val="24"/>
                <w:lang w:val="en-US"/>
              </w:rPr>
              <w:t xml:space="preserve"> spread</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Absent</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35</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0.049</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Present</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9</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2.26 (1.01-5.10)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Portal thrombosis</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Absent</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36</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0.043</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Present</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8</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2.52 (1.03-6.16)</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HBV infection</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Absent</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32</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0.279</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Present</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12</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0.64 (0.29-1.43)</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HCV infection</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Absent</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23</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0.423</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Present</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21</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1.32 (0.67-2.57)</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 xml:space="preserve">Esophageal </w:t>
            </w:r>
            <w:proofErr w:type="spellStart"/>
            <w:r w:rsidRPr="00A02A04">
              <w:rPr>
                <w:rFonts w:ascii="Book Antiqua" w:hAnsi="Book Antiqua"/>
                <w:b/>
                <w:color w:val="000000"/>
                <w:sz w:val="24"/>
                <w:szCs w:val="24"/>
                <w:lang w:val="en-US"/>
              </w:rPr>
              <w:t>varices</w:t>
            </w:r>
            <w:proofErr w:type="spellEnd"/>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Absent</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28</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0.883</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lastRenderedPageBreak/>
              <w:t xml:space="preserve">   Present</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16</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1.06 (0.52-2.14)</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Child Pugh score</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A</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29</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0.085</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B</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15</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1.98 (0.91-4.29)</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BCLC class</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B</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15</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0.007</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C</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29</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2.89 (1.34-6.25)</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Previous therapy</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No</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19</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0.526</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Yes</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25</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1.25 (0.63-2.49)</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Bilirubin (mg/</w:t>
            </w:r>
            <w:proofErr w:type="spellStart"/>
            <w:r w:rsidRPr="00A02A04">
              <w:rPr>
                <w:rFonts w:ascii="Book Antiqua" w:hAnsi="Book Antiqua"/>
                <w:b/>
                <w:color w:val="000000"/>
                <w:sz w:val="24"/>
                <w:szCs w:val="24"/>
                <w:lang w:val="en-US"/>
              </w:rPr>
              <w:t>dL</w:t>
            </w:r>
            <w:proofErr w:type="spellEnd"/>
            <w:r w:rsidRPr="00A02A04">
              <w:rPr>
                <w:rFonts w:ascii="Book Antiqua" w:hAnsi="Book Antiqua"/>
                <w:b/>
                <w:color w:val="000000"/>
                <w:sz w:val="24"/>
                <w:szCs w:val="24"/>
                <w:lang w:val="en-US"/>
              </w:rPr>
              <w:t>)</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≤1.5</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27</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0.124</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&gt;1.5</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17</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1.76 (0.86-3.60)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proofErr w:type="spellStart"/>
            <w:r w:rsidRPr="00A02A04">
              <w:rPr>
                <w:rFonts w:ascii="Book Antiqua" w:hAnsi="Book Antiqua"/>
                <w:b/>
                <w:color w:val="000000"/>
                <w:sz w:val="24"/>
                <w:szCs w:val="24"/>
                <w:lang w:val="en-US"/>
              </w:rPr>
              <w:t>gGT</w:t>
            </w:r>
            <w:proofErr w:type="spellEnd"/>
            <w:r w:rsidRPr="00A02A04">
              <w:rPr>
                <w:rFonts w:ascii="Book Antiqua" w:hAnsi="Book Antiqua"/>
                <w:b/>
                <w:color w:val="000000"/>
                <w:sz w:val="24"/>
                <w:szCs w:val="24"/>
                <w:lang w:val="en-US"/>
              </w:rPr>
              <w:t xml:space="preserve"> (U/L)</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≤48</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5</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0.483</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&gt;48</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39</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1.54 (0.46-5.14)</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it-IT"/>
              </w:rPr>
            </w:pPr>
            <w:r w:rsidRPr="00A02A04">
              <w:rPr>
                <w:rFonts w:ascii="Book Antiqua" w:hAnsi="Book Antiqua"/>
                <w:b/>
                <w:color w:val="000000"/>
                <w:sz w:val="24"/>
                <w:szCs w:val="24"/>
                <w:lang w:val="it-IT"/>
              </w:rPr>
              <w:t>ALP (U/L)</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it-IT"/>
              </w:rPr>
            </w:pPr>
            <w:r w:rsidRPr="00A02A04">
              <w:rPr>
                <w:rFonts w:ascii="Book Antiqua" w:hAnsi="Book Antiqua"/>
                <w:color w:val="000000"/>
                <w:sz w:val="24"/>
                <w:szCs w:val="24"/>
                <w:lang w:val="it-IT"/>
              </w:rPr>
              <w:t xml:space="preserve">   ≤120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13</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0.013</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it-IT"/>
              </w:rPr>
            </w:pPr>
            <w:r w:rsidRPr="00A02A04">
              <w:rPr>
                <w:rFonts w:ascii="Book Antiqua" w:hAnsi="Book Antiqua"/>
                <w:color w:val="000000"/>
                <w:sz w:val="24"/>
                <w:szCs w:val="24"/>
                <w:lang w:val="it-IT"/>
              </w:rPr>
              <w:t>&gt;120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31</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3.20 (1.28-7.98)</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it-IT"/>
              </w:rPr>
            </w:pPr>
            <w:r w:rsidRPr="00A02A04">
              <w:rPr>
                <w:rFonts w:ascii="Book Antiqua" w:hAnsi="Book Antiqua"/>
                <w:b/>
                <w:color w:val="000000"/>
                <w:sz w:val="24"/>
                <w:szCs w:val="24"/>
                <w:lang w:val="it-IT"/>
              </w:rPr>
              <w:t>Platelets/mm</w:t>
            </w:r>
            <w:r w:rsidRPr="00A02A04">
              <w:rPr>
                <w:rFonts w:ascii="Book Antiqua" w:hAnsi="Book Antiqua"/>
                <w:b/>
                <w:color w:val="000000"/>
                <w:sz w:val="24"/>
                <w:szCs w:val="24"/>
                <w:vertAlign w:val="superscript"/>
                <w:lang w:val="it-IT"/>
              </w:rPr>
              <w:t>3</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it-IT"/>
              </w:rPr>
            </w:pPr>
            <w:r w:rsidRPr="00A02A04">
              <w:rPr>
                <w:rFonts w:ascii="Book Antiqua" w:hAnsi="Book Antiqua"/>
                <w:color w:val="000000"/>
                <w:sz w:val="24"/>
                <w:szCs w:val="24"/>
                <w:lang w:val="it-IT"/>
              </w:rPr>
              <w:t xml:space="preserve">   ≤150000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28</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0.317</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&gt;150000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16</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0.69 (0.33-1.43)</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AST (U/L)</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≤40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9</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0.388</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&gt;40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35</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1.52 (0.59-3.94)</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AFP (</w:t>
            </w:r>
            <w:proofErr w:type="spellStart"/>
            <w:r w:rsidRPr="00A02A04">
              <w:rPr>
                <w:rFonts w:ascii="Book Antiqua" w:hAnsi="Book Antiqua"/>
                <w:b/>
                <w:color w:val="000000"/>
                <w:sz w:val="24"/>
                <w:szCs w:val="24"/>
                <w:lang w:val="en-US"/>
              </w:rPr>
              <w:t>ng</w:t>
            </w:r>
            <w:proofErr w:type="spellEnd"/>
            <w:r w:rsidRPr="00A02A04">
              <w:rPr>
                <w:rFonts w:ascii="Book Antiqua" w:hAnsi="Book Antiqua"/>
                <w:b/>
                <w:color w:val="000000"/>
                <w:sz w:val="24"/>
                <w:szCs w:val="24"/>
                <w:lang w:val="en-US"/>
              </w:rPr>
              <w:t>/mL)</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≤40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22</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0.016</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&gt;40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22</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2.38 (1.18-4.80)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AFP (</w:t>
            </w:r>
            <w:proofErr w:type="spellStart"/>
            <w:r w:rsidRPr="00A02A04">
              <w:rPr>
                <w:rFonts w:ascii="Book Antiqua" w:hAnsi="Book Antiqua"/>
                <w:b/>
                <w:color w:val="000000"/>
                <w:sz w:val="24"/>
                <w:szCs w:val="24"/>
                <w:lang w:val="en-US"/>
              </w:rPr>
              <w:t>ng</w:t>
            </w:r>
            <w:proofErr w:type="spellEnd"/>
            <w:r w:rsidRPr="00A02A04">
              <w:rPr>
                <w:rFonts w:ascii="Book Antiqua" w:hAnsi="Book Antiqua"/>
                <w:b/>
                <w:color w:val="000000"/>
                <w:sz w:val="24"/>
                <w:szCs w:val="24"/>
                <w:lang w:val="en-US"/>
              </w:rPr>
              <w:t>/mL)</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≤400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27</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0.017</w:t>
            </w: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&gt;400</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17</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2.38 (1.17-4.86)</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lastRenderedPageBreak/>
              <w:t>Interruption due to disease progression</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rsidTr="00EF1890">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No</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19</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0.238</w:t>
            </w:r>
          </w:p>
        </w:tc>
      </w:tr>
      <w:tr w:rsidR="003C29A3" w:rsidRPr="00A02A04" w:rsidTr="00EF1890">
        <w:tc>
          <w:tcPr>
            <w:tcW w:w="1250"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Yes</w:t>
            </w:r>
          </w:p>
        </w:tc>
        <w:tc>
          <w:tcPr>
            <w:tcW w:w="1250"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25</w:t>
            </w:r>
          </w:p>
        </w:tc>
        <w:tc>
          <w:tcPr>
            <w:tcW w:w="1250"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0.67 (0.34 - 1.31)</w:t>
            </w:r>
          </w:p>
        </w:tc>
        <w:tc>
          <w:tcPr>
            <w:tcW w:w="1250" w:type="pct"/>
            <w:tcBorders>
              <w:bottom w:val="single" w:sz="4" w:space="0" w:color="auto"/>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p>
        </w:tc>
      </w:tr>
    </w:tbl>
    <w:p w:rsidR="003C29A3" w:rsidRPr="00A02A04" w:rsidRDefault="003C29A3" w:rsidP="009E446B">
      <w:pPr>
        <w:spacing w:after="0" w:line="360" w:lineRule="auto"/>
        <w:jc w:val="both"/>
        <w:rPr>
          <w:rFonts w:ascii="Book Antiqua" w:hAnsi="Book Antiqua"/>
          <w:color w:val="000000"/>
          <w:sz w:val="24"/>
          <w:szCs w:val="24"/>
          <w:vertAlign w:val="superscript"/>
          <w:lang w:val="en-US"/>
        </w:rPr>
      </w:pPr>
    </w:p>
    <w:p w:rsidR="003C29A3" w:rsidRPr="00A02A04" w:rsidRDefault="003C29A3" w:rsidP="005A5B99">
      <w:pPr>
        <w:spacing w:line="360" w:lineRule="auto"/>
        <w:rPr>
          <w:rFonts w:ascii="Book Antiqua" w:hAnsi="Book Antiqua"/>
          <w:color w:val="000000"/>
          <w:sz w:val="24"/>
          <w:szCs w:val="24"/>
          <w:lang w:eastAsia="zh-CN"/>
        </w:rPr>
      </w:pPr>
      <w:r w:rsidRPr="00A02A04">
        <w:rPr>
          <w:rFonts w:ascii="Book Antiqua" w:hAnsi="Book Antiqua"/>
          <w:color w:val="000000"/>
          <w:sz w:val="24"/>
          <w:szCs w:val="24"/>
          <w:vertAlign w:val="superscript"/>
          <w:lang w:val="en-US" w:eastAsia="zh-CN"/>
        </w:rPr>
        <w:t>1</w:t>
      </w:r>
      <w:r w:rsidRPr="00A02A04">
        <w:rPr>
          <w:rFonts w:ascii="Book Antiqua" w:hAnsi="Book Antiqua"/>
          <w:color w:val="000000"/>
          <w:sz w:val="24"/>
          <w:szCs w:val="24"/>
          <w:lang w:val="en-US"/>
        </w:rPr>
        <w:t>Including patients with other concurrent etiologies.</w:t>
      </w:r>
      <w:r w:rsidRPr="00A02A04">
        <w:rPr>
          <w:rFonts w:ascii="Book Antiqua" w:hAnsi="Book Antiqua"/>
          <w:color w:val="000000"/>
          <w:sz w:val="24"/>
          <w:szCs w:val="24"/>
          <w:lang w:val="en-US" w:eastAsia="zh-CN"/>
        </w:rPr>
        <w:t xml:space="preserve"> </w:t>
      </w:r>
      <w:proofErr w:type="spellStart"/>
      <w:r w:rsidRPr="00A02A04">
        <w:rPr>
          <w:rFonts w:ascii="Book Antiqua" w:hAnsi="Book Antiqua"/>
          <w:color w:val="000000"/>
          <w:sz w:val="24"/>
          <w:szCs w:val="24"/>
          <w:lang w:val="en-US"/>
        </w:rPr>
        <w:t>gGT</w:t>
      </w:r>
      <w:proofErr w:type="spellEnd"/>
      <w:r w:rsidRPr="00A02A04">
        <w:rPr>
          <w:rFonts w:ascii="Book Antiqua" w:hAnsi="Book Antiqua"/>
          <w:color w:val="000000"/>
          <w:sz w:val="24"/>
          <w:szCs w:val="24"/>
          <w:lang w:val="en-US" w:eastAsia="zh-CN"/>
        </w:rPr>
        <w:t xml:space="preserve">: </w:t>
      </w:r>
      <w:r w:rsidRPr="00A02A04">
        <w:rPr>
          <w:rFonts w:ascii="Book Antiqua" w:hAnsi="Book Antiqua"/>
          <w:color w:val="000000"/>
          <w:sz w:val="24"/>
          <w:szCs w:val="24"/>
          <w:lang w:val="en-US"/>
        </w:rPr>
        <w:t>Gamma-</w:t>
      </w:r>
      <w:proofErr w:type="spellStart"/>
      <w:r w:rsidRPr="00A02A04">
        <w:rPr>
          <w:rFonts w:ascii="Book Antiqua" w:hAnsi="Book Antiqua"/>
          <w:color w:val="000000"/>
          <w:sz w:val="24"/>
          <w:szCs w:val="24"/>
          <w:lang w:val="en-US"/>
        </w:rPr>
        <w:t>glutamyltranspeptidase</w:t>
      </w:r>
      <w:proofErr w:type="spellEnd"/>
      <w:r w:rsidRPr="00A02A04">
        <w:rPr>
          <w:rFonts w:ascii="Book Antiqua" w:hAnsi="Book Antiqua"/>
          <w:color w:val="000000"/>
          <w:sz w:val="24"/>
          <w:szCs w:val="24"/>
          <w:lang w:val="en-US"/>
        </w:rPr>
        <w:t>; ALP</w:t>
      </w:r>
      <w:r w:rsidRPr="00A02A04">
        <w:rPr>
          <w:rFonts w:ascii="Book Antiqua" w:hAnsi="Book Antiqua"/>
          <w:color w:val="000000"/>
          <w:sz w:val="24"/>
          <w:szCs w:val="24"/>
          <w:lang w:val="en-US" w:eastAsia="zh-CN"/>
        </w:rPr>
        <w:t>:</w:t>
      </w:r>
      <w:r w:rsidRPr="00A02A04">
        <w:rPr>
          <w:rFonts w:ascii="Book Antiqua" w:hAnsi="Book Antiqua"/>
          <w:color w:val="000000"/>
          <w:sz w:val="24"/>
          <w:szCs w:val="24"/>
          <w:lang w:val="en-US"/>
        </w:rPr>
        <w:t xml:space="preserve"> Alkaline phosphatase; AST</w:t>
      </w:r>
      <w:r w:rsidRPr="00A02A04">
        <w:rPr>
          <w:rFonts w:ascii="Book Antiqua" w:hAnsi="Book Antiqua"/>
          <w:color w:val="000000"/>
          <w:sz w:val="24"/>
          <w:szCs w:val="24"/>
          <w:lang w:val="en-US" w:eastAsia="zh-CN"/>
        </w:rPr>
        <w:t xml:space="preserve">: </w:t>
      </w:r>
      <w:r w:rsidRPr="00A02A04">
        <w:rPr>
          <w:rFonts w:ascii="Book Antiqua" w:hAnsi="Book Antiqua"/>
          <w:color w:val="000000"/>
          <w:sz w:val="24"/>
          <w:szCs w:val="24"/>
          <w:lang w:val="en-US"/>
        </w:rPr>
        <w:t>Aspartate transaminase; AFP</w:t>
      </w:r>
      <w:r w:rsidRPr="00A02A04">
        <w:rPr>
          <w:rFonts w:ascii="Book Antiqua" w:hAnsi="Book Antiqua"/>
          <w:color w:val="000000"/>
          <w:sz w:val="24"/>
          <w:szCs w:val="24"/>
          <w:lang w:val="en-US" w:eastAsia="zh-CN"/>
        </w:rPr>
        <w:t>:</w:t>
      </w:r>
      <w:r w:rsidRPr="00A02A04">
        <w:rPr>
          <w:rFonts w:ascii="Book Antiqua" w:hAnsi="Book Antiqua"/>
          <w:color w:val="000000"/>
          <w:sz w:val="24"/>
          <w:szCs w:val="24"/>
          <w:lang w:val="en-US"/>
        </w:rPr>
        <w:t xml:space="preserve"> Alpha-fetoprotein</w:t>
      </w:r>
      <w:r w:rsidRPr="00A02A04">
        <w:rPr>
          <w:rFonts w:ascii="Book Antiqua" w:hAnsi="Book Antiqua"/>
          <w:color w:val="000000"/>
          <w:sz w:val="24"/>
          <w:szCs w:val="24"/>
          <w:lang w:val="en-US" w:eastAsia="zh-CN"/>
        </w:rPr>
        <w:t xml:space="preserve">; </w:t>
      </w:r>
      <w:r w:rsidRPr="00A02A04">
        <w:rPr>
          <w:rFonts w:ascii="Book Antiqua" w:hAnsi="Book Antiqua"/>
          <w:color w:val="000000"/>
          <w:sz w:val="24"/>
          <w:szCs w:val="24"/>
        </w:rPr>
        <w:t>HCV</w:t>
      </w:r>
      <w:r w:rsidRPr="00A02A04">
        <w:rPr>
          <w:rFonts w:ascii="Book Antiqua" w:hAnsi="Book Antiqua"/>
          <w:color w:val="000000"/>
          <w:sz w:val="24"/>
          <w:szCs w:val="24"/>
          <w:lang w:eastAsia="zh-CN"/>
        </w:rPr>
        <w:t>:</w:t>
      </w:r>
      <w:r w:rsidRPr="00A02A04">
        <w:rPr>
          <w:rFonts w:ascii="Book Antiqua" w:hAnsi="Book Antiqua"/>
          <w:color w:val="000000"/>
          <w:sz w:val="24"/>
          <w:szCs w:val="24"/>
        </w:rPr>
        <w:t xml:space="preserve"> Hepatitis C virus</w:t>
      </w:r>
      <w:r w:rsidRPr="00A02A04">
        <w:rPr>
          <w:rFonts w:ascii="Book Antiqua" w:hAnsi="Book Antiqua"/>
          <w:color w:val="000000"/>
          <w:sz w:val="24"/>
          <w:szCs w:val="24"/>
          <w:lang w:eastAsia="zh-CN"/>
        </w:rPr>
        <w:t xml:space="preserve">; </w:t>
      </w:r>
      <w:r w:rsidRPr="00A02A04">
        <w:rPr>
          <w:rFonts w:ascii="Book Antiqua" w:hAnsi="Book Antiqua"/>
          <w:color w:val="000000"/>
          <w:sz w:val="24"/>
          <w:szCs w:val="24"/>
        </w:rPr>
        <w:t>H</w:t>
      </w:r>
      <w:r w:rsidRPr="00A02A04">
        <w:rPr>
          <w:rFonts w:ascii="Book Antiqua" w:hAnsi="Book Antiqua"/>
          <w:color w:val="000000"/>
          <w:sz w:val="24"/>
          <w:szCs w:val="24"/>
          <w:lang w:eastAsia="zh-CN"/>
        </w:rPr>
        <w:t>B</w:t>
      </w:r>
      <w:r w:rsidRPr="00A02A04">
        <w:rPr>
          <w:rFonts w:ascii="Book Antiqua" w:hAnsi="Book Antiqua"/>
          <w:color w:val="000000"/>
          <w:sz w:val="24"/>
          <w:szCs w:val="24"/>
        </w:rPr>
        <w:t>V</w:t>
      </w:r>
      <w:r w:rsidRPr="00A02A04">
        <w:rPr>
          <w:rFonts w:ascii="Book Antiqua" w:hAnsi="Book Antiqua"/>
          <w:color w:val="000000"/>
          <w:sz w:val="24"/>
          <w:szCs w:val="24"/>
          <w:lang w:eastAsia="zh-CN"/>
        </w:rPr>
        <w:t xml:space="preserve">: </w:t>
      </w:r>
      <w:r w:rsidRPr="00A02A04">
        <w:rPr>
          <w:rFonts w:ascii="Book Antiqua" w:hAnsi="Book Antiqua"/>
          <w:color w:val="000000"/>
          <w:sz w:val="24"/>
          <w:szCs w:val="24"/>
        </w:rPr>
        <w:t xml:space="preserve">Hepatitis </w:t>
      </w:r>
      <w:r w:rsidRPr="00A02A04">
        <w:rPr>
          <w:rFonts w:ascii="Book Antiqua" w:hAnsi="Book Antiqua"/>
          <w:color w:val="000000"/>
          <w:sz w:val="24"/>
          <w:szCs w:val="24"/>
          <w:lang w:eastAsia="zh-CN"/>
        </w:rPr>
        <w:t>B</w:t>
      </w:r>
      <w:r w:rsidRPr="00A02A04">
        <w:rPr>
          <w:rFonts w:ascii="Book Antiqua" w:hAnsi="Book Antiqua"/>
          <w:color w:val="000000"/>
          <w:sz w:val="24"/>
          <w:szCs w:val="24"/>
        </w:rPr>
        <w:t xml:space="preserve"> virus</w:t>
      </w:r>
      <w:r w:rsidRPr="00A02A04">
        <w:rPr>
          <w:rFonts w:ascii="Book Antiqua" w:hAnsi="Book Antiqua"/>
          <w:color w:val="000000"/>
          <w:sz w:val="24"/>
          <w:szCs w:val="24"/>
          <w:lang w:eastAsia="zh-CN"/>
        </w:rPr>
        <w:t>.</w:t>
      </w:r>
    </w:p>
    <w:p w:rsidR="003C29A3" w:rsidRPr="00A02A04" w:rsidRDefault="003C29A3" w:rsidP="009E446B">
      <w:pPr>
        <w:spacing w:after="0" w:line="360" w:lineRule="auto"/>
        <w:jc w:val="both"/>
        <w:rPr>
          <w:rFonts w:ascii="Book Antiqua" w:hAnsi="Book Antiqua"/>
          <w:color w:val="000000"/>
          <w:sz w:val="24"/>
          <w:szCs w:val="24"/>
          <w:lang w:eastAsia="zh-CN"/>
        </w:rPr>
      </w:pPr>
    </w:p>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br w:type="page"/>
      </w:r>
    </w:p>
    <w:p w:rsidR="003C29A3" w:rsidRPr="00A02A04" w:rsidRDefault="003C29A3" w:rsidP="009E446B">
      <w:pPr>
        <w:spacing w:after="0" w:line="360" w:lineRule="auto"/>
        <w:jc w:val="both"/>
        <w:rPr>
          <w:rFonts w:ascii="Book Antiqua" w:hAnsi="Book Antiqua"/>
          <w:b/>
          <w:color w:val="000000"/>
          <w:sz w:val="24"/>
          <w:szCs w:val="24"/>
          <w:lang w:eastAsia="zh-CN"/>
        </w:rPr>
      </w:pPr>
      <w:r w:rsidRPr="00A02A04">
        <w:rPr>
          <w:rFonts w:ascii="Book Antiqua" w:hAnsi="Book Antiqua"/>
          <w:b/>
          <w:color w:val="000000"/>
          <w:sz w:val="24"/>
          <w:szCs w:val="24"/>
        </w:rPr>
        <w:t xml:space="preserve">Table 6 Multivariate analysis of overall survival in 44 patients with hepatocellular carcinoma and cirrhosis treated with </w:t>
      </w:r>
      <w:proofErr w:type="spellStart"/>
      <w:r w:rsidRPr="00A02A04">
        <w:rPr>
          <w:rFonts w:ascii="Book Antiqua" w:hAnsi="Book Antiqua"/>
          <w:b/>
          <w:color w:val="000000"/>
          <w:sz w:val="24"/>
          <w:szCs w:val="24"/>
        </w:rPr>
        <w:t>sorafenib</w:t>
      </w:r>
      <w:proofErr w:type="spellEnd"/>
    </w:p>
    <w:p w:rsidR="003C29A3" w:rsidRPr="00A02A04" w:rsidRDefault="003C29A3" w:rsidP="009E446B">
      <w:pPr>
        <w:spacing w:after="0" w:line="360" w:lineRule="auto"/>
        <w:jc w:val="both"/>
        <w:rPr>
          <w:rFonts w:ascii="Book Antiqua" w:hAnsi="Book Antiqua"/>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1230"/>
        <w:gridCol w:w="1234"/>
        <w:gridCol w:w="1230"/>
        <w:gridCol w:w="1234"/>
        <w:gridCol w:w="2462"/>
      </w:tblGrid>
      <w:tr w:rsidR="003C29A3" w:rsidRPr="00A02A04">
        <w:tc>
          <w:tcPr>
            <w:tcW w:w="1874" w:type="pct"/>
            <w:gridSpan w:val="2"/>
            <w:tcBorders>
              <w:top w:val="double" w:sz="4" w:space="0" w:color="auto"/>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Variable</w:t>
            </w:r>
          </w:p>
        </w:tc>
        <w:tc>
          <w:tcPr>
            <w:tcW w:w="1250" w:type="pct"/>
            <w:gridSpan w:val="2"/>
            <w:tcBorders>
              <w:top w:val="double" w:sz="4" w:space="0" w:color="auto"/>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p>
        </w:tc>
        <w:tc>
          <w:tcPr>
            <w:tcW w:w="1875" w:type="pct"/>
            <w:gridSpan w:val="2"/>
            <w:tcBorders>
              <w:top w:val="double" w:sz="4" w:space="0" w:color="auto"/>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 xml:space="preserve"> Overall survival </w:t>
            </w:r>
          </w:p>
        </w:tc>
      </w:tr>
      <w:tr w:rsidR="003C29A3" w:rsidRPr="00A02A04">
        <w:tc>
          <w:tcPr>
            <w:tcW w:w="1250"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gridSpan w:val="2"/>
            <w:tcBorders>
              <w:top w:val="nil"/>
              <w:left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HR (95% CI)</w:t>
            </w:r>
          </w:p>
        </w:tc>
        <w:tc>
          <w:tcPr>
            <w:tcW w:w="1250" w:type="pct"/>
            <w:gridSpan w:val="2"/>
            <w:tcBorders>
              <w:top w:val="nil"/>
              <w:left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Median OS</w:t>
            </w:r>
            <w:r w:rsidRPr="00A02A04">
              <w:rPr>
                <w:rFonts w:ascii="Book Antiqua" w:hAnsi="Book Antiqua"/>
                <w:b/>
                <w:color w:val="000000"/>
                <w:sz w:val="24"/>
                <w:szCs w:val="24"/>
                <w:lang w:val="en-US" w:eastAsia="zh-CN"/>
              </w:rPr>
              <w:t xml:space="preserve"> </w:t>
            </w:r>
            <w:r w:rsidRPr="00A02A04">
              <w:rPr>
                <w:rFonts w:ascii="Book Antiqua" w:hAnsi="Book Antiqua"/>
                <w:b/>
                <w:color w:val="000000"/>
                <w:sz w:val="24"/>
                <w:szCs w:val="24"/>
                <w:lang w:val="en-US"/>
              </w:rPr>
              <w:t>in weeks (range)</w:t>
            </w:r>
          </w:p>
        </w:tc>
        <w:tc>
          <w:tcPr>
            <w:tcW w:w="1249" w:type="pct"/>
            <w:tcBorders>
              <w:top w:val="nil"/>
              <w:left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p-value</w:t>
            </w:r>
          </w:p>
        </w:tc>
      </w:tr>
      <w:tr w:rsidR="003C29A3" w:rsidRPr="00A02A04">
        <w:tc>
          <w:tcPr>
            <w:tcW w:w="1250" w:type="pct"/>
            <w:tcBorders>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ECOG</w:t>
            </w:r>
          </w:p>
        </w:tc>
        <w:tc>
          <w:tcPr>
            <w:tcW w:w="1250" w:type="pct"/>
            <w:gridSpan w:val="2"/>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gridSpan w:val="2"/>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49"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250" w:type="pct"/>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0</w:t>
            </w:r>
          </w:p>
        </w:tc>
        <w:tc>
          <w:tcPr>
            <w:tcW w:w="1250" w:type="pct"/>
            <w:gridSpan w:val="2"/>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gridSpan w:val="2"/>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50.2 (9.3-153.1)</w:t>
            </w:r>
          </w:p>
        </w:tc>
        <w:tc>
          <w:tcPr>
            <w:tcW w:w="1249" w:type="pct"/>
            <w:tcBorders>
              <w:top w:val="nil"/>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0.031</w:t>
            </w:r>
          </w:p>
        </w:tc>
      </w:tr>
      <w:tr w:rsidR="003C29A3" w:rsidRPr="00A02A04">
        <w:tc>
          <w:tcPr>
            <w:tcW w:w="1250"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1-2</w:t>
            </w:r>
          </w:p>
        </w:tc>
        <w:tc>
          <w:tcPr>
            <w:tcW w:w="1250" w:type="pct"/>
            <w:gridSpan w:val="2"/>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2.36 (1.08-5.16)</w:t>
            </w:r>
          </w:p>
        </w:tc>
        <w:tc>
          <w:tcPr>
            <w:tcW w:w="1250" w:type="pct"/>
            <w:gridSpan w:val="2"/>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29.0 (2.9-92.6)</w:t>
            </w:r>
          </w:p>
        </w:tc>
        <w:tc>
          <w:tcPr>
            <w:tcW w:w="1249"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250" w:type="pct"/>
            <w:tcBorders>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proofErr w:type="spellStart"/>
            <w:r w:rsidRPr="00A02A04">
              <w:rPr>
                <w:rFonts w:ascii="Book Antiqua" w:hAnsi="Book Antiqua"/>
                <w:b/>
                <w:color w:val="000000"/>
                <w:sz w:val="24"/>
                <w:szCs w:val="24"/>
                <w:lang w:val="en-US"/>
              </w:rPr>
              <w:t>Extrahepatic</w:t>
            </w:r>
            <w:proofErr w:type="spellEnd"/>
            <w:r w:rsidRPr="00A02A04">
              <w:rPr>
                <w:rFonts w:ascii="Book Antiqua" w:hAnsi="Book Antiqua"/>
                <w:b/>
                <w:color w:val="000000"/>
                <w:sz w:val="24"/>
                <w:szCs w:val="24"/>
                <w:lang w:val="en-US"/>
              </w:rPr>
              <w:t xml:space="preserve"> spread</w:t>
            </w:r>
          </w:p>
        </w:tc>
        <w:tc>
          <w:tcPr>
            <w:tcW w:w="1250" w:type="pct"/>
            <w:gridSpan w:val="2"/>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gridSpan w:val="2"/>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49"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250" w:type="pct"/>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Absent</w:t>
            </w:r>
          </w:p>
        </w:tc>
        <w:tc>
          <w:tcPr>
            <w:tcW w:w="1250" w:type="pct"/>
            <w:gridSpan w:val="2"/>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gridSpan w:val="2"/>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45.9 (8.1-153.1)</w:t>
            </w:r>
          </w:p>
        </w:tc>
        <w:tc>
          <w:tcPr>
            <w:tcW w:w="1249" w:type="pct"/>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0.059</w:t>
            </w:r>
          </w:p>
        </w:tc>
      </w:tr>
      <w:tr w:rsidR="003C29A3" w:rsidRPr="00A02A04">
        <w:tc>
          <w:tcPr>
            <w:tcW w:w="1250"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Present</w:t>
            </w:r>
          </w:p>
        </w:tc>
        <w:tc>
          <w:tcPr>
            <w:tcW w:w="1250" w:type="pct"/>
            <w:gridSpan w:val="2"/>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2.41 (0.97-6.01)</w:t>
            </w:r>
          </w:p>
        </w:tc>
        <w:tc>
          <w:tcPr>
            <w:tcW w:w="1250" w:type="pct"/>
            <w:gridSpan w:val="2"/>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19.1 (2.9-83)</w:t>
            </w:r>
          </w:p>
        </w:tc>
        <w:tc>
          <w:tcPr>
            <w:tcW w:w="1249"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250" w:type="pct"/>
            <w:tcBorders>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Portal thrombosis</w:t>
            </w:r>
          </w:p>
        </w:tc>
        <w:tc>
          <w:tcPr>
            <w:tcW w:w="1250" w:type="pct"/>
            <w:gridSpan w:val="2"/>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gridSpan w:val="2"/>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49"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250" w:type="pct"/>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Absent</w:t>
            </w:r>
          </w:p>
        </w:tc>
        <w:tc>
          <w:tcPr>
            <w:tcW w:w="1250" w:type="pct"/>
            <w:gridSpan w:val="2"/>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gridSpan w:val="2"/>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45.8 (2.9-153.1)</w:t>
            </w:r>
          </w:p>
        </w:tc>
        <w:tc>
          <w:tcPr>
            <w:tcW w:w="1249" w:type="pct"/>
            <w:tcBorders>
              <w:top w:val="nil"/>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0.015</w:t>
            </w:r>
          </w:p>
        </w:tc>
      </w:tr>
      <w:tr w:rsidR="003C29A3" w:rsidRPr="00A02A04">
        <w:tc>
          <w:tcPr>
            <w:tcW w:w="1250"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Present</w:t>
            </w:r>
          </w:p>
        </w:tc>
        <w:tc>
          <w:tcPr>
            <w:tcW w:w="1250" w:type="pct"/>
            <w:gridSpan w:val="2"/>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3.33 (1.27-8.72)</w:t>
            </w:r>
          </w:p>
        </w:tc>
        <w:tc>
          <w:tcPr>
            <w:tcW w:w="1250" w:type="pct"/>
            <w:gridSpan w:val="2"/>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29.9 (8.1-50)</w:t>
            </w:r>
          </w:p>
        </w:tc>
        <w:tc>
          <w:tcPr>
            <w:tcW w:w="1249"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250" w:type="pct"/>
            <w:tcBorders>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ALP (U/l)</w:t>
            </w:r>
          </w:p>
        </w:tc>
        <w:tc>
          <w:tcPr>
            <w:tcW w:w="1250" w:type="pct"/>
            <w:gridSpan w:val="2"/>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gridSpan w:val="2"/>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49"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250"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≤120</w:t>
            </w:r>
          </w:p>
        </w:tc>
        <w:tc>
          <w:tcPr>
            <w:tcW w:w="1250" w:type="pct"/>
            <w:gridSpan w:val="2"/>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gridSpan w:val="2"/>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45.9 (16.6-153.1)</w:t>
            </w:r>
          </w:p>
        </w:tc>
        <w:tc>
          <w:tcPr>
            <w:tcW w:w="1249" w:type="pct"/>
            <w:tcBorders>
              <w:top w:val="nil"/>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0.017</w:t>
            </w:r>
          </w:p>
        </w:tc>
      </w:tr>
      <w:tr w:rsidR="003C29A3" w:rsidRPr="00A02A04">
        <w:tc>
          <w:tcPr>
            <w:tcW w:w="1250" w:type="pct"/>
            <w:tcBorders>
              <w:top w:val="nil"/>
              <w:left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&gt;120</w:t>
            </w:r>
          </w:p>
        </w:tc>
        <w:tc>
          <w:tcPr>
            <w:tcW w:w="1250" w:type="pct"/>
            <w:gridSpan w:val="2"/>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3.13 (1.23-8.00)</w:t>
            </w:r>
          </w:p>
        </w:tc>
        <w:tc>
          <w:tcPr>
            <w:tcW w:w="1250" w:type="pct"/>
            <w:gridSpan w:val="2"/>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33.2 (2.9-115.4)</w:t>
            </w:r>
          </w:p>
        </w:tc>
        <w:tc>
          <w:tcPr>
            <w:tcW w:w="1249" w:type="pct"/>
            <w:tcBorders>
              <w:top w:val="nil"/>
              <w:left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250" w:type="pct"/>
            <w:tcBorders>
              <w:left w:val="nil"/>
              <w:bottom w:val="nil"/>
              <w:right w:val="nil"/>
            </w:tcBorders>
            <w:vAlign w:val="center"/>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AFP (</w:t>
            </w:r>
            <w:proofErr w:type="spellStart"/>
            <w:r w:rsidRPr="00A02A04">
              <w:rPr>
                <w:rFonts w:ascii="Book Antiqua" w:hAnsi="Book Antiqua"/>
                <w:b/>
                <w:color w:val="000000"/>
                <w:sz w:val="24"/>
                <w:szCs w:val="24"/>
                <w:lang w:val="en-US"/>
              </w:rPr>
              <w:t>ng</w:t>
            </w:r>
            <w:proofErr w:type="spellEnd"/>
            <w:r w:rsidRPr="00A02A04">
              <w:rPr>
                <w:rFonts w:ascii="Book Antiqua" w:hAnsi="Book Antiqua"/>
                <w:b/>
                <w:color w:val="000000"/>
                <w:sz w:val="24"/>
                <w:szCs w:val="24"/>
                <w:lang w:val="en-US"/>
              </w:rPr>
              <w:t>/ml)</w:t>
            </w:r>
          </w:p>
        </w:tc>
        <w:tc>
          <w:tcPr>
            <w:tcW w:w="1250" w:type="pct"/>
            <w:gridSpan w:val="2"/>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50" w:type="pct"/>
            <w:gridSpan w:val="2"/>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c>
          <w:tcPr>
            <w:tcW w:w="1249" w:type="pct"/>
            <w:tcBorders>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r w:rsidR="003C29A3" w:rsidRPr="00A02A04">
        <w:tc>
          <w:tcPr>
            <w:tcW w:w="1250" w:type="pct"/>
            <w:tcBorders>
              <w:top w:val="nil"/>
              <w:left w:val="nil"/>
              <w:bottom w:val="nil"/>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 xml:space="preserve">   ≤40</w:t>
            </w:r>
          </w:p>
        </w:tc>
        <w:tc>
          <w:tcPr>
            <w:tcW w:w="1250" w:type="pct"/>
            <w:gridSpan w:val="2"/>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1 (ref.)</w:t>
            </w:r>
          </w:p>
        </w:tc>
        <w:tc>
          <w:tcPr>
            <w:tcW w:w="1250" w:type="pct"/>
            <w:gridSpan w:val="2"/>
            <w:tcBorders>
              <w:top w:val="nil"/>
              <w:left w:val="nil"/>
              <w:bottom w:val="nil"/>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52.5 (10.7-153.1)</w:t>
            </w:r>
          </w:p>
        </w:tc>
        <w:tc>
          <w:tcPr>
            <w:tcW w:w="1249" w:type="pct"/>
            <w:tcBorders>
              <w:top w:val="nil"/>
              <w:left w:val="nil"/>
              <w:bottom w:val="nil"/>
              <w:right w:val="nil"/>
            </w:tcBorders>
          </w:tcPr>
          <w:p w:rsidR="003C29A3" w:rsidRPr="00A02A04" w:rsidRDefault="003C29A3" w:rsidP="009E446B">
            <w:pPr>
              <w:spacing w:after="0" w:line="360" w:lineRule="auto"/>
              <w:jc w:val="both"/>
              <w:rPr>
                <w:rFonts w:ascii="Book Antiqua" w:hAnsi="Book Antiqua"/>
                <w:b/>
                <w:color w:val="000000"/>
                <w:sz w:val="24"/>
                <w:szCs w:val="24"/>
                <w:lang w:val="en-US"/>
              </w:rPr>
            </w:pPr>
            <w:r w:rsidRPr="00A02A04">
              <w:rPr>
                <w:rFonts w:ascii="Book Antiqua" w:hAnsi="Book Antiqua"/>
                <w:b/>
                <w:color w:val="000000"/>
                <w:sz w:val="24"/>
                <w:szCs w:val="24"/>
                <w:lang w:val="en-US"/>
              </w:rPr>
              <w:t>0.021</w:t>
            </w:r>
          </w:p>
        </w:tc>
      </w:tr>
      <w:tr w:rsidR="003C29A3" w:rsidRPr="00A02A04">
        <w:tc>
          <w:tcPr>
            <w:tcW w:w="1250" w:type="pct"/>
            <w:tcBorders>
              <w:top w:val="nil"/>
              <w:left w:val="nil"/>
              <w:bottom w:val="double" w:sz="4" w:space="0" w:color="auto"/>
              <w:right w:val="nil"/>
            </w:tcBorders>
            <w:vAlign w:val="center"/>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&gt;40</w:t>
            </w:r>
          </w:p>
        </w:tc>
        <w:tc>
          <w:tcPr>
            <w:tcW w:w="1250" w:type="pct"/>
            <w:gridSpan w:val="2"/>
            <w:tcBorders>
              <w:top w:val="nil"/>
              <w:left w:val="nil"/>
              <w:bottom w:val="double" w:sz="4" w:space="0" w:color="auto"/>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2.33 (1.13-4.78)</w:t>
            </w:r>
          </w:p>
        </w:tc>
        <w:tc>
          <w:tcPr>
            <w:tcW w:w="1250" w:type="pct"/>
            <w:gridSpan w:val="2"/>
            <w:tcBorders>
              <w:top w:val="nil"/>
              <w:left w:val="nil"/>
              <w:bottom w:val="double" w:sz="4" w:space="0" w:color="auto"/>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31.0 (2.9-87.4)</w:t>
            </w:r>
          </w:p>
        </w:tc>
        <w:tc>
          <w:tcPr>
            <w:tcW w:w="1249" w:type="pct"/>
            <w:tcBorders>
              <w:top w:val="nil"/>
              <w:left w:val="nil"/>
              <w:bottom w:val="double" w:sz="4" w:space="0" w:color="auto"/>
              <w:right w:val="nil"/>
            </w:tcBorders>
          </w:tcPr>
          <w:p w:rsidR="003C29A3" w:rsidRPr="00A02A04" w:rsidRDefault="003C29A3" w:rsidP="009E446B">
            <w:pPr>
              <w:spacing w:after="0" w:line="360" w:lineRule="auto"/>
              <w:jc w:val="both"/>
              <w:rPr>
                <w:rFonts w:ascii="Book Antiqua" w:hAnsi="Book Antiqua"/>
                <w:color w:val="000000"/>
                <w:sz w:val="24"/>
                <w:szCs w:val="24"/>
                <w:lang w:val="en-US"/>
              </w:rPr>
            </w:pPr>
          </w:p>
        </w:tc>
      </w:tr>
    </w:tbl>
    <w:p w:rsidR="003C29A3" w:rsidRPr="00A02A04" w:rsidRDefault="003C29A3" w:rsidP="009E446B">
      <w:pPr>
        <w:spacing w:after="0" w:line="360" w:lineRule="auto"/>
        <w:jc w:val="both"/>
        <w:rPr>
          <w:rFonts w:ascii="Book Antiqua" w:hAnsi="Book Antiqua"/>
          <w:color w:val="000000"/>
          <w:sz w:val="24"/>
          <w:szCs w:val="24"/>
          <w:lang w:val="en-US"/>
        </w:rPr>
      </w:pPr>
    </w:p>
    <w:p w:rsidR="003C29A3" w:rsidRPr="00A02A04" w:rsidRDefault="003C29A3" w:rsidP="009E446B">
      <w:pPr>
        <w:spacing w:after="0" w:line="360" w:lineRule="auto"/>
        <w:jc w:val="both"/>
        <w:rPr>
          <w:rFonts w:ascii="Book Antiqua" w:hAnsi="Book Antiqua"/>
          <w:color w:val="000000"/>
          <w:sz w:val="24"/>
          <w:szCs w:val="24"/>
          <w:lang w:val="en-US"/>
        </w:rPr>
      </w:pPr>
      <w:r w:rsidRPr="00A02A04">
        <w:rPr>
          <w:rFonts w:ascii="Book Antiqua" w:hAnsi="Book Antiqua"/>
          <w:color w:val="000000"/>
          <w:sz w:val="24"/>
          <w:szCs w:val="24"/>
          <w:lang w:val="en-US"/>
        </w:rPr>
        <w:t>OS</w:t>
      </w:r>
      <w:r w:rsidRPr="00A02A04">
        <w:rPr>
          <w:rFonts w:ascii="Book Antiqua" w:hAnsi="Book Antiqua"/>
          <w:color w:val="000000"/>
          <w:sz w:val="24"/>
          <w:szCs w:val="24"/>
          <w:lang w:val="en-US" w:eastAsia="zh-CN"/>
        </w:rPr>
        <w:t>:</w:t>
      </w:r>
      <w:r w:rsidRPr="00A02A04">
        <w:rPr>
          <w:rFonts w:ascii="Book Antiqua" w:hAnsi="Book Antiqua"/>
          <w:color w:val="000000"/>
          <w:sz w:val="24"/>
          <w:szCs w:val="24"/>
          <w:lang w:val="en-US"/>
        </w:rPr>
        <w:t xml:space="preserve"> Overall survival; ALP</w:t>
      </w:r>
      <w:r w:rsidRPr="00A02A04">
        <w:rPr>
          <w:rFonts w:ascii="Book Antiqua" w:hAnsi="Book Antiqua"/>
          <w:color w:val="000000"/>
          <w:sz w:val="24"/>
          <w:szCs w:val="24"/>
          <w:lang w:val="en-US" w:eastAsia="zh-CN"/>
        </w:rPr>
        <w:t xml:space="preserve">: </w:t>
      </w:r>
      <w:r w:rsidRPr="00A02A04">
        <w:rPr>
          <w:rFonts w:ascii="Book Antiqua" w:hAnsi="Book Antiqua"/>
          <w:color w:val="000000"/>
          <w:sz w:val="24"/>
          <w:szCs w:val="24"/>
          <w:lang w:val="en-US"/>
        </w:rPr>
        <w:t>Alkaline phosphatase; AFP</w:t>
      </w:r>
      <w:r w:rsidRPr="00A02A04">
        <w:rPr>
          <w:rFonts w:ascii="Book Antiqua" w:hAnsi="Book Antiqua"/>
          <w:color w:val="000000"/>
          <w:sz w:val="24"/>
          <w:szCs w:val="24"/>
          <w:lang w:val="en-US" w:eastAsia="zh-CN"/>
        </w:rPr>
        <w:t>:</w:t>
      </w:r>
      <w:r w:rsidRPr="00A02A04">
        <w:rPr>
          <w:rFonts w:ascii="Book Antiqua" w:hAnsi="Book Antiqua"/>
          <w:color w:val="000000"/>
          <w:sz w:val="24"/>
          <w:szCs w:val="24"/>
          <w:lang w:val="en-US"/>
        </w:rPr>
        <w:t xml:space="preserve"> Alpha-fetoprotein.</w:t>
      </w:r>
    </w:p>
    <w:p w:rsidR="003C29A3" w:rsidRPr="00A02A04" w:rsidRDefault="003C29A3" w:rsidP="009E446B">
      <w:pPr>
        <w:spacing w:after="0" w:line="360" w:lineRule="auto"/>
        <w:jc w:val="both"/>
        <w:rPr>
          <w:rFonts w:ascii="Book Antiqua" w:hAnsi="Book Antiqua"/>
          <w:color w:val="000000"/>
          <w:sz w:val="24"/>
          <w:szCs w:val="24"/>
          <w:lang w:val="en-US"/>
        </w:rPr>
      </w:pPr>
    </w:p>
    <w:p w:rsidR="003C29A3" w:rsidRPr="00A02A04" w:rsidRDefault="003C29A3" w:rsidP="009E446B">
      <w:pPr>
        <w:spacing w:after="0" w:line="360" w:lineRule="auto"/>
        <w:jc w:val="both"/>
        <w:rPr>
          <w:rFonts w:ascii="Book Antiqua" w:hAnsi="Book Antiqua"/>
          <w:color w:val="000000"/>
          <w:sz w:val="24"/>
          <w:szCs w:val="24"/>
          <w:lang w:val="en-US"/>
        </w:rPr>
      </w:pPr>
    </w:p>
    <w:sectPr w:rsidR="003C29A3" w:rsidRPr="00A02A04" w:rsidSect="0093643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0E" w:rsidRDefault="0022100E" w:rsidP="00C35D4F">
      <w:pPr>
        <w:spacing w:after="0" w:line="240" w:lineRule="auto"/>
      </w:pPr>
      <w:r>
        <w:separator/>
      </w:r>
    </w:p>
  </w:endnote>
  <w:endnote w:type="continuationSeparator" w:id="0">
    <w:p w:rsidR="0022100E" w:rsidRDefault="0022100E" w:rsidP="00C3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dvAGaramond-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ymbolPS">
    <w:altName w:val="Symbol"/>
    <w:panose1 w:val="00000000000000000000"/>
    <w:charset w:val="02"/>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0E" w:rsidRDefault="0022100E" w:rsidP="00C35D4F">
      <w:pPr>
        <w:spacing w:after="0" w:line="240" w:lineRule="auto"/>
      </w:pPr>
      <w:r>
        <w:separator/>
      </w:r>
    </w:p>
  </w:footnote>
  <w:footnote w:type="continuationSeparator" w:id="0">
    <w:p w:rsidR="0022100E" w:rsidRDefault="0022100E" w:rsidP="00C35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A3" w:rsidRPr="004204CB" w:rsidRDefault="003C29A3" w:rsidP="00936437">
    <w:pPr>
      <w:pStyle w:val="a7"/>
      <w:jc w:val="right"/>
      <w:rPr>
        <w:rFonts w:ascii="Cambria" w:hAnsi="Cambria"/>
        <w:sz w:val="20"/>
        <w:szCs w:val="20"/>
        <w:lang w:val="it-IT"/>
      </w:rPr>
    </w:pPr>
    <w:r w:rsidRPr="004204CB">
      <w:rPr>
        <w:rFonts w:ascii="Cambria" w:hAnsi="Cambria"/>
        <w:sz w:val="20"/>
        <w:szCs w:val="20"/>
        <w:lang w:val="it-IT"/>
      </w:rPr>
      <w:t xml:space="preserve">Inghilesi et al., </w:t>
    </w:r>
    <w:r w:rsidR="0022100E">
      <w:fldChar w:fldCharType="begin"/>
    </w:r>
    <w:r w:rsidR="0022100E">
      <w:instrText>PAGE   \* MERGEFORMAT</w:instrText>
    </w:r>
    <w:r w:rsidR="0022100E">
      <w:fldChar w:fldCharType="separate"/>
    </w:r>
    <w:r w:rsidR="00F03B90" w:rsidRPr="00F03B90">
      <w:rPr>
        <w:rFonts w:ascii="Cambria" w:hAnsi="Cambria"/>
        <w:noProof/>
        <w:sz w:val="20"/>
        <w:szCs w:val="20"/>
        <w:lang w:val="it-IT"/>
      </w:rPr>
      <w:t>29</w:t>
    </w:r>
    <w:r w:rsidR="0022100E">
      <w:rPr>
        <w:rFonts w:ascii="Cambria" w:hAnsi="Cambria"/>
        <w:noProof/>
        <w:sz w:val="20"/>
        <w:szCs w:val="20"/>
        <w:lang w:val="it-I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971"/>
    <w:multiLevelType w:val="hybridMultilevel"/>
    <w:tmpl w:val="5BD80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7B6B00"/>
    <w:multiLevelType w:val="hybridMultilevel"/>
    <w:tmpl w:val="70B09582"/>
    <w:lvl w:ilvl="0" w:tplc="04100001">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hint="default"/>
      </w:rPr>
    </w:lvl>
    <w:lvl w:ilvl="8" w:tplc="04100005" w:tentative="1">
      <w:start w:val="1"/>
      <w:numFmt w:val="bullet"/>
      <w:lvlText w:val=""/>
      <w:lvlJc w:val="left"/>
      <w:pPr>
        <w:ind w:left="718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CC3A6A"/>
    <w:rsid w:val="00075BAE"/>
    <w:rsid w:val="00080458"/>
    <w:rsid w:val="00085102"/>
    <w:rsid w:val="000A5547"/>
    <w:rsid w:val="000B6283"/>
    <w:rsid w:val="000C1A76"/>
    <w:rsid w:val="000D7CAC"/>
    <w:rsid w:val="001069DF"/>
    <w:rsid w:val="00106FF2"/>
    <w:rsid w:val="0012550E"/>
    <w:rsid w:val="00134BA5"/>
    <w:rsid w:val="00137A2C"/>
    <w:rsid w:val="00137FAF"/>
    <w:rsid w:val="00141815"/>
    <w:rsid w:val="00154FD5"/>
    <w:rsid w:val="0016403E"/>
    <w:rsid w:val="00172977"/>
    <w:rsid w:val="00183844"/>
    <w:rsid w:val="001B4528"/>
    <w:rsid w:val="001C407D"/>
    <w:rsid w:val="001D2B31"/>
    <w:rsid w:val="001D4994"/>
    <w:rsid w:val="0022100E"/>
    <w:rsid w:val="00221809"/>
    <w:rsid w:val="00244BFD"/>
    <w:rsid w:val="00246539"/>
    <w:rsid w:val="00277152"/>
    <w:rsid w:val="00277253"/>
    <w:rsid w:val="00290E9C"/>
    <w:rsid w:val="00293401"/>
    <w:rsid w:val="002A1C70"/>
    <w:rsid w:val="002B669A"/>
    <w:rsid w:val="002C517D"/>
    <w:rsid w:val="002C7884"/>
    <w:rsid w:val="002D43E2"/>
    <w:rsid w:val="00302095"/>
    <w:rsid w:val="003073FF"/>
    <w:rsid w:val="003161ED"/>
    <w:rsid w:val="00320450"/>
    <w:rsid w:val="00330FDF"/>
    <w:rsid w:val="00333E7F"/>
    <w:rsid w:val="00352DEF"/>
    <w:rsid w:val="00396530"/>
    <w:rsid w:val="003A1760"/>
    <w:rsid w:val="003A5B07"/>
    <w:rsid w:val="003C29A3"/>
    <w:rsid w:val="003C325B"/>
    <w:rsid w:val="003D08AC"/>
    <w:rsid w:val="003D1FC8"/>
    <w:rsid w:val="003E0878"/>
    <w:rsid w:val="003E270F"/>
    <w:rsid w:val="003F09B6"/>
    <w:rsid w:val="004001EB"/>
    <w:rsid w:val="00402E0F"/>
    <w:rsid w:val="00412837"/>
    <w:rsid w:val="00413657"/>
    <w:rsid w:val="004204CB"/>
    <w:rsid w:val="00421E83"/>
    <w:rsid w:val="0042316A"/>
    <w:rsid w:val="004243F4"/>
    <w:rsid w:val="00431885"/>
    <w:rsid w:val="00437C13"/>
    <w:rsid w:val="00444E10"/>
    <w:rsid w:val="00454082"/>
    <w:rsid w:val="00466751"/>
    <w:rsid w:val="00472761"/>
    <w:rsid w:val="00477B26"/>
    <w:rsid w:val="00493071"/>
    <w:rsid w:val="004977AE"/>
    <w:rsid w:val="004A0711"/>
    <w:rsid w:val="004A5859"/>
    <w:rsid w:val="004D1BFD"/>
    <w:rsid w:val="004E3EF9"/>
    <w:rsid w:val="004E56EA"/>
    <w:rsid w:val="005016A2"/>
    <w:rsid w:val="005334C0"/>
    <w:rsid w:val="00544C3B"/>
    <w:rsid w:val="0055156C"/>
    <w:rsid w:val="00553123"/>
    <w:rsid w:val="005608D3"/>
    <w:rsid w:val="0057582A"/>
    <w:rsid w:val="005915C1"/>
    <w:rsid w:val="005A5B99"/>
    <w:rsid w:val="005B2D98"/>
    <w:rsid w:val="005D1452"/>
    <w:rsid w:val="006124FC"/>
    <w:rsid w:val="00612ADE"/>
    <w:rsid w:val="00622FD2"/>
    <w:rsid w:val="00624FF1"/>
    <w:rsid w:val="00672CE6"/>
    <w:rsid w:val="00674C3F"/>
    <w:rsid w:val="006951FA"/>
    <w:rsid w:val="006953BA"/>
    <w:rsid w:val="006A5385"/>
    <w:rsid w:val="006B721A"/>
    <w:rsid w:val="006D7F97"/>
    <w:rsid w:val="006E2667"/>
    <w:rsid w:val="006E5346"/>
    <w:rsid w:val="0070714D"/>
    <w:rsid w:val="0073614C"/>
    <w:rsid w:val="0075515A"/>
    <w:rsid w:val="0076088D"/>
    <w:rsid w:val="0078160A"/>
    <w:rsid w:val="007B649C"/>
    <w:rsid w:val="007C42CC"/>
    <w:rsid w:val="007D601C"/>
    <w:rsid w:val="007F3E0D"/>
    <w:rsid w:val="008156E9"/>
    <w:rsid w:val="00815C76"/>
    <w:rsid w:val="00816A1F"/>
    <w:rsid w:val="00821BDD"/>
    <w:rsid w:val="00824AEE"/>
    <w:rsid w:val="0082679C"/>
    <w:rsid w:val="008455EC"/>
    <w:rsid w:val="00854FA8"/>
    <w:rsid w:val="00864F99"/>
    <w:rsid w:val="0086712E"/>
    <w:rsid w:val="008B110D"/>
    <w:rsid w:val="008C6B76"/>
    <w:rsid w:val="008C6DD6"/>
    <w:rsid w:val="008D2EEC"/>
    <w:rsid w:val="008D5ED0"/>
    <w:rsid w:val="008F7F6B"/>
    <w:rsid w:val="00914476"/>
    <w:rsid w:val="00917F91"/>
    <w:rsid w:val="00922BBD"/>
    <w:rsid w:val="00936437"/>
    <w:rsid w:val="0095132A"/>
    <w:rsid w:val="00962AE7"/>
    <w:rsid w:val="00972CD5"/>
    <w:rsid w:val="00987E67"/>
    <w:rsid w:val="00996707"/>
    <w:rsid w:val="009D6CAA"/>
    <w:rsid w:val="009D769F"/>
    <w:rsid w:val="009E446B"/>
    <w:rsid w:val="00A02A04"/>
    <w:rsid w:val="00A20436"/>
    <w:rsid w:val="00A454AC"/>
    <w:rsid w:val="00A45F12"/>
    <w:rsid w:val="00A55334"/>
    <w:rsid w:val="00A747AA"/>
    <w:rsid w:val="00A91CCD"/>
    <w:rsid w:val="00A96C7B"/>
    <w:rsid w:val="00A977DE"/>
    <w:rsid w:val="00AA60B1"/>
    <w:rsid w:val="00AA783A"/>
    <w:rsid w:val="00AD43BA"/>
    <w:rsid w:val="00AD6374"/>
    <w:rsid w:val="00B05FCF"/>
    <w:rsid w:val="00B07FDD"/>
    <w:rsid w:val="00B26E74"/>
    <w:rsid w:val="00B321C6"/>
    <w:rsid w:val="00B34330"/>
    <w:rsid w:val="00B4500B"/>
    <w:rsid w:val="00B6183A"/>
    <w:rsid w:val="00B743C3"/>
    <w:rsid w:val="00B92A79"/>
    <w:rsid w:val="00B942FB"/>
    <w:rsid w:val="00BB6F53"/>
    <w:rsid w:val="00BE3B9D"/>
    <w:rsid w:val="00C031A0"/>
    <w:rsid w:val="00C11035"/>
    <w:rsid w:val="00C35D4F"/>
    <w:rsid w:val="00C60AA5"/>
    <w:rsid w:val="00C6207F"/>
    <w:rsid w:val="00C65FA3"/>
    <w:rsid w:val="00C7371A"/>
    <w:rsid w:val="00C777C1"/>
    <w:rsid w:val="00C81953"/>
    <w:rsid w:val="00CC3A6A"/>
    <w:rsid w:val="00CC563B"/>
    <w:rsid w:val="00CD56F6"/>
    <w:rsid w:val="00CE4867"/>
    <w:rsid w:val="00CE78B7"/>
    <w:rsid w:val="00CF7E7B"/>
    <w:rsid w:val="00D0442B"/>
    <w:rsid w:val="00D059BC"/>
    <w:rsid w:val="00D2115A"/>
    <w:rsid w:val="00D23A5A"/>
    <w:rsid w:val="00D54264"/>
    <w:rsid w:val="00D56D05"/>
    <w:rsid w:val="00D60681"/>
    <w:rsid w:val="00D721F7"/>
    <w:rsid w:val="00D74299"/>
    <w:rsid w:val="00D9569E"/>
    <w:rsid w:val="00DB1CFD"/>
    <w:rsid w:val="00DB6D98"/>
    <w:rsid w:val="00DD32FB"/>
    <w:rsid w:val="00DE2BDD"/>
    <w:rsid w:val="00DF4235"/>
    <w:rsid w:val="00E01B34"/>
    <w:rsid w:val="00E065D6"/>
    <w:rsid w:val="00E155B8"/>
    <w:rsid w:val="00E21D11"/>
    <w:rsid w:val="00E334B0"/>
    <w:rsid w:val="00E427B0"/>
    <w:rsid w:val="00E53C71"/>
    <w:rsid w:val="00E81164"/>
    <w:rsid w:val="00E868BB"/>
    <w:rsid w:val="00E96672"/>
    <w:rsid w:val="00EC22AF"/>
    <w:rsid w:val="00ED126D"/>
    <w:rsid w:val="00EF1890"/>
    <w:rsid w:val="00F03B90"/>
    <w:rsid w:val="00F11F02"/>
    <w:rsid w:val="00F122D1"/>
    <w:rsid w:val="00F13A8E"/>
    <w:rsid w:val="00F222C0"/>
    <w:rsid w:val="00F32D2A"/>
    <w:rsid w:val="00F36783"/>
    <w:rsid w:val="00F41BB5"/>
    <w:rsid w:val="00F62437"/>
    <w:rsid w:val="00F76C44"/>
    <w:rsid w:val="00F821B6"/>
    <w:rsid w:val="00F97F41"/>
    <w:rsid w:val="00FA4655"/>
    <w:rsid w:val="00FB14D6"/>
    <w:rsid w:val="00FB33BF"/>
    <w:rsid w:val="00FB6B8B"/>
    <w:rsid w:val="00FC4BD9"/>
    <w:rsid w:val="00FD3243"/>
    <w:rsid w:val="00FD3D5B"/>
    <w:rsid w:val="00FE2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6A"/>
    <w:pPr>
      <w:spacing w:after="12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3A6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C3A6A"/>
    <w:pPr>
      <w:ind w:left="720"/>
      <w:contextualSpacing/>
    </w:pPr>
  </w:style>
  <w:style w:type="paragraph" w:styleId="a5">
    <w:name w:val="Balloon Text"/>
    <w:basedOn w:val="a"/>
    <w:link w:val="Char"/>
    <w:uiPriority w:val="99"/>
    <w:semiHidden/>
    <w:rsid w:val="00CC3A6A"/>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CC3A6A"/>
    <w:rPr>
      <w:rFonts w:ascii="Tahoma" w:eastAsia="Times New Roman" w:hAnsi="Tahoma" w:cs="Tahoma"/>
      <w:sz w:val="16"/>
      <w:szCs w:val="16"/>
      <w:lang w:val="en-GB"/>
    </w:rPr>
  </w:style>
  <w:style w:type="character" w:styleId="a6">
    <w:name w:val="Hyperlink"/>
    <w:basedOn w:val="a0"/>
    <w:uiPriority w:val="99"/>
    <w:rsid w:val="00CC3A6A"/>
    <w:rPr>
      <w:rFonts w:cs="Times New Roman"/>
      <w:color w:val="0000FF"/>
      <w:u w:val="single"/>
    </w:rPr>
  </w:style>
  <w:style w:type="paragraph" w:styleId="a7">
    <w:name w:val="header"/>
    <w:basedOn w:val="a"/>
    <w:link w:val="Char0"/>
    <w:uiPriority w:val="99"/>
    <w:rsid w:val="00CC3A6A"/>
    <w:pPr>
      <w:tabs>
        <w:tab w:val="center" w:pos="4819"/>
        <w:tab w:val="right" w:pos="9638"/>
      </w:tabs>
      <w:spacing w:after="0" w:line="240" w:lineRule="auto"/>
    </w:pPr>
  </w:style>
  <w:style w:type="character" w:customStyle="1" w:styleId="Char0">
    <w:name w:val="页眉 Char"/>
    <w:basedOn w:val="a0"/>
    <w:link w:val="a7"/>
    <w:uiPriority w:val="99"/>
    <w:locked/>
    <w:rsid w:val="00CC3A6A"/>
    <w:rPr>
      <w:rFonts w:ascii="Calibri" w:eastAsia="Times New Roman" w:hAnsi="Calibri" w:cs="Times New Roman"/>
      <w:lang w:val="en-GB"/>
    </w:rPr>
  </w:style>
  <w:style w:type="paragraph" w:styleId="a8">
    <w:name w:val="footer"/>
    <w:basedOn w:val="a"/>
    <w:link w:val="Char1"/>
    <w:uiPriority w:val="99"/>
    <w:rsid w:val="00CC3A6A"/>
    <w:pPr>
      <w:tabs>
        <w:tab w:val="center" w:pos="4819"/>
        <w:tab w:val="right" w:pos="9638"/>
      </w:tabs>
      <w:spacing w:after="0" w:line="240" w:lineRule="auto"/>
    </w:pPr>
  </w:style>
  <w:style w:type="character" w:customStyle="1" w:styleId="Char1">
    <w:name w:val="页脚 Char"/>
    <w:basedOn w:val="a0"/>
    <w:link w:val="a8"/>
    <w:uiPriority w:val="99"/>
    <w:locked/>
    <w:rsid w:val="00CC3A6A"/>
    <w:rPr>
      <w:rFonts w:ascii="Calibri" w:eastAsia="Times New Roman" w:hAnsi="Calibri" w:cs="Times New Roman"/>
      <w:lang w:val="en-GB"/>
    </w:rPr>
  </w:style>
  <w:style w:type="character" w:styleId="a9">
    <w:name w:val="FollowedHyperlink"/>
    <w:basedOn w:val="a0"/>
    <w:uiPriority w:val="99"/>
    <w:rsid w:val="00CC3A6A"/>
    <w:rPr>
      <w:rFonts w:cs="Times New Roman"/>
      <w:color w:val="800080"/>
      <w:u w:val="single"/>
    </w:rPr>
  </w:style>
  <w:style w:type="character" w:styleId="aa">
    <w:name w:val="annotation reference"/>
    <w:basedOn w:val="a0"/>
    <w:uiPriority w:val="99"/>
    <w:rsid w:val="0070714D"/>
    <w:rPr>
      <w:rFonts w:cs="Times New Roman"/>
      <w:sz w:val="21"/>
      <w:szCs w:val="21"/>
    </w:rPr>
  </w:style>
  <w:style w:type="paragraph" w:styleId="ab">
    <w:name w:val="annotation text"/>
    <w:basedOn w:val="a"/>
    <w:link w:val="Char2"/>
    <w:uiPriority w:val="99"/>
    <w:rsid w:val="0070714D"/>
  </w:style>
  <w:style w:type="character" w:customStyle="1" w:styleId="Char2">
    <w:name w:val="批注文字 Char"/>
    <w:basedOn w:val="a0"/>
    <w:link w:val="ab"/>
    <w:uiPriority w:val="99"/>
    <w:locked/>
    <w:rsid w:val="0070714D"/>
    <w:rPr>
      <w:rFonts w:ascii="Calibri" w:eastAsia="Times New Roman" w:hAnsi="Calibri" w:cs="Times New Roman"/>
      <w:lang w:val="en-GB"/>
    </w:rPr>
  </w:style>
  <w:style w:type="paragraph" w:styleId="ac">
    <w:name w:val="annotation subject"/>
    <w:basedOn w:val="ab"/>
    <w:next w:val="ab"/>
    <w:link w:val="Char3"/>
    <w:uiPriority w:val="99"/>
    <w:semiHidden/>
    <w:rsid w:val="0070714D"/>
    <w:rPr>
      <w:b/>
      <w:bCs/>
    </w:rPr>
  </w:style>
  <w:style w:type="character" w:customStyle="1" w:styleId="Char3">
    <w:name w:val="批注主题 Char"/>
    <w:basedOn w:val="Char2"/>
    <w:link w:val="ac"/>
    <w:uiPriority w:val="99"/>
    <w:semiHidden/>
    <w:locked/>
    <w:rsid w:val="0070714D"/>
    <w:rPr>
      <w:rFonts w:ascii="Calibri" w:eastAsia="Times New Roman" w:hAnsi="Calibri" w:cs="Times New Roman"/>
      <w:b/>
      <w:bCs/>
      <w:lang w:val="en-GB"/>
    </w:rPr>
  </w:style>
  <w:style w:type="character" w:styleId="ad">
    <w:name w:val="Strong"/>
    <w:basedOn w:val="a0"/>
    <w:uiPriority w:val="99"/>
    <w:qFormat/>
    <w:rsid w:val="00AA60B1"/>
    <w:rPr>
      <w:rFonts w:cs="Times New Roman"/>
      <w:b/>
    </w:rPr>
  </w:style>
  <w:style w:type="character" w:customStyle="1" w:styleId="apple-converted-space">
    <w:name w:val="apple-converted-space"/>
    <w:basedOn w:val="a0"/>
    <w:uiPriority w:val="99"/>
    <w:rsid w:val="00AA60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6A"/>
    <w:pPr>
      <w:spacing w:after="12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3A6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C3A6A"/>
    <w:pPr>
      <w:ind w:left="720"/>
      <w:contextualSpacing/>
    </w:pPr>
  </w:style>
  <w:style w:type="paragraph" w:styleId="a5">
    <w:name w:val="Balloon Text"/>
    <w:basedOn w:val="a"/>
    <w:link w:val="Char"/>
    <w:uiPriority w:val="99"/>
    <w:semiHidden/>
    <w:rsid w:val="00CC3A6A"/>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CC3A6A"/>
    <w:rPr>
      <w:rFonts w:ascii="Tahoma" w:eastAsia="Times New Roman" w:hAnsi="Tahoma" w:cs="Tahoma"/>
      <w:sz w:val="16"/>
      <w:szCs w:val="16"/>
      <w:lang w:val="en-GB"/>
    </w:rPr>
  </w:style>
  <w:style w:type="character" w:styleId="a6">
    <w:name w:val="Hyperlink"/>
    <w:basedOn w:val="a0"/>
    <w:uiPriority w:val="99"/>
    <w:rsid w:val="00CC3A6A"/>
    <w:rPr>
      <w:rFonts w:cs="Times New Roman"/>
      <w:color w:val="0000FF"/>
      <w:u w:val="single"/>
    </w:rPr>
  </w:style>
  <w:style w:type="paragraph" w:styleId="a7">
    <w:name w:val="header"/>
    <w:basedOn w:val="a"/>
    <w:link w:val="Char0"/>
    <w:uiPriority w:val="99"/>
    <w:rsid w:val="00CC3A6A"/>
    <w:pPr>
      <w:tabs>
        <w:tab w:val="center" w:pos="4819"/>
        <w:tab w:val="right" w:pos="9638"/>
      </w:tabs>
      <w:spacing w:after="0" w:line="240" w:lineRule="auto"/>
    </w:pPr>
  </w:style>
  <w:style w:type="character" w:customStyle="1" w:styleId="Char0">
    <w:name w:val="页眉 Char"/>
    <w:basedOn w:val="a0"/>
    <w:link w:val="a7"/>
    <w:uiPriority w:val="99"/>
    <w:locked/>
    <w:rsid w:val="00CC3A6A"/>
    <w:rPr>
      <w:rFonts w:ascii="Calibri" w:eastAsia="Times New Roman" w:hAnsi="Calibri" w:cs="Times New Roman"/>
      <w:lang w:val="en-GB"/>
    </w:rPr>
  </w:style>
  <w:style w:type="paragraph" w:styleId="a8">
    <w:name w:val="footer"/>
    <w:basedOn w:val="a"/>
    <w:link w:val="Char1"/>
    <w:uiPriority w:val="99"/>
    <w:rsid w:val="00CC3A6A"/>
    <w:pPr>
      <w:tabs>
        <w:tab w:val="center" w:pos="4819"/>
        <w:tab w:val="right" w:pos="9638"/>
      </w:tabs>
      <w:spacing w:after="0" w:line="240" w:lineRule="auto"/>
    </w:pPr>
  </w:style>
  <w:style w:type="character" w:customStyle="1" w:styleId="Char1">
    <w:name w:val="页脚 Char"/>
    <w:basedOn w:val="a0"/>
    <w:link w:val="a8"/>
    <w:uiPriority w:val="99"/>
    <w:locked/>
    <w:rsid w:val="00CC3A6A"/>
    <w:rPr>
      <w:rFonts w:ascii="Calibri" w:eastAsia="Times New Roman" w:hAnsi="Calibri" w:cs="Times New Roman"/>
      <w:lang w:val="en-GB"/>
    </w:rPr>
  </w:style>
  <w:style w:type="character" w:styleId="a9">
    <w:name w:val="FollowedHyperlink"/>
    <w:basedOn w:val="a0"/>
    <w:uiPriority w:val="99"/>
    <w:rsid w:val="00CC3A6A"/>
    <w:rPr>
      <w:rFonts w:cs="Times New Roman"/>
      <w:color w:val="800080"/>
      <w:u w:val="single"/>
    </w:rPr>
  </w:style>
  <w:style w:type="character" w:styleId="aa">
    <w:name w:val="annotation reference"/>
    <w:basedOn w:val="a0"/>
    <w:uiPriority w:val="99"/>
    <w:rsid w:val="0070714D"/>
    <w:rPr>
      <w:rFonts w:cs="Times New Roman"/>
      <w:sz w:val="21"/>
      <w:szCs w:val="21"/>
    </w:rPr>
  </w:style>
  <w:style w:type="paragraph" w:styleId="ab">
    <w:name w:val="annotation text"/>
    <w:basedOn w:val="a"/>
    <w:link w:val="Char2"/>
    <w:uiPriority w:val="99"/>
    <w:rsid w:val="0070714D"/>
  </w:style>
  <w:style w:type="character" w:customStyle="1" w:styleId="Char2">
    <w:name w:val="批注文字 Char"/>
    <w:basedOn w:val="a0"/>
    <w:link w:val="ab"/>
    <w:uiPriority w:val="99"/>
    <w:locked/>
    <w:rsid w:val="0070714D"/>
    <w:rPr>
      <w:rFonts w:ascii="Calibri" w:eastAsia="Times New Roman" w:hAnsi="Calibri" w:cs="Times New Roman"/>
      <w:lang w:val="en-GB"/>
    </w:rPr>
  </w:style>
  <w:style w:type="paragraph" w:styleId="ac">
    <w:name w:val="annotation subject"/>
    <w:basedOn w:val="ab"/>
    <w:next w:val="ab"/>
    <w:link w:val="Char3"/>
    <w:uiPriority w:val="99"/>
    <w:semiHidden/>
    <w:rsid w:val="0070714D"/>
    <w:rPr>
      <w:b/>
      <w:bCs/>
    </w:rPr>
  </w:style>
  <w:style w:type="character" w:customStyle="1" w:styleId="Char3">
    <w:name w:val="批注主题 Char"/>
    <w:basedOn w:val="Char2"/>
    <w:link w:val="ac"/>
    <w:uiPriority w:val="99"/>
    <w:semiHidden/>
    <w:locked/>
    <w:rsid w:val="0070714D"/>
    <w:rPr>
      <w:rFonts w:ascii="Calibri" w:eastAsia="Times New Roman" w:hAnsi="Calibri" w:cs="Times New Roman"/>
      <w:b/>
      <w:bCs/>
      <w:lang w:val="en-GB"/>
    </w:rPr>
  </w:style>
  <w:style w:type="character" w:styleId="ad">
    <w:name w:val="Strong"/>
    <w:basedOn w:val="a0"/>
    <w:uiPriority w:val="99"/>
    <w:qFormat/>
    <w:rsid w:val="00AA60B1"/>
    <w:rPr>
      <w:rFonts w:cs="Times New Roman"/>
      <w:b/>
    </w:rPr>
  </w:style>
  <w:style w:type="character" w:customStyle="1" w:styleId="apple-converted-space">
    <w:name w:val="apple-converted-space"/>
    <w:basedOn w:val="a0"/>
    <w:uiPriority w:val="99"/>
    <w:rsid w:val="00AA60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6880</Words>
  <Characters>39217</Characters>
  <Application>Microsoft Office Word</Application>
  <DocSecurity>0</DocSecurity>
  <Lines>326</Lines>
  <Paragraphs>92</Paragraphs>
  <ScaleCrop>false</ScaleCrop>
  <Company>Microsoft</Company>
  <LinksUpToDate>false</LinksUpToDate>
  <CharactersWithSpaces>46005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2013-08-27T22:19:00Z</dcterms:created>
  <dcterms:modified xsi:type="dcterms:W3CDTF">2013-08-27T22:19:00Z</dcterms:modified>
</cp:coreProperties>
</file>