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C403F" w14:textId="036A9CAC" w:rsidR="000834DC" w:rsidRPr="00381549" w:rsidRDefault="000834DC" w:rsidP="00C26D7B">
      <w:pPr>
        <w:adjustRightInd w:val="0"/>
        <w:snapToGrid w:val="0"/>
        <w:spacing w:line="360" w:lineRule="auto"/>
        <w:jc w:val="both"/>
        <w:rPr>
          <w:rFonts w:ascii="Book Antiqua" w:eastAsia="Times New Roman" w:hAnsi="Book Antiqua" w:cs="宋体"/>
          <w:b/>
          <w:i/>
          <w:color w:val="000000"/>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r w:rsidRPr="00381549">
        <w:rPr>
          <w:rFonts w:ascii="Book Antiqua" w:eastAsia="Times New Roman" w:hAnsi="Book Antiqua" w:cs="宋体"/>
          <w:b/>
          <w:color w:val="000000"/>
        </w:rPr>
        <w:t xml:space="preserve">Name of Journal: </w:t>
      </w:r>
      <w:r w:rsidRPr="000834DC">
        <w:rPr>
          <w:rFonts w:ascii="Book Antiqua" w:eastAsia="Times New Roman" w:hAnsi="Book Antiqua" w:cs="宋体"/>
          <w:b/>
          <w:i/>
          <w:color w:val="000000"/>
        </w:rPr>
        <w:t>World Journal of Transplantation</w:t>
      </w:r>
    </w:p>
    <w:p w14:paraId="45E96B68" w14:textId="6331F182" w:rsidR="000834DC" w:rsidRPr="00381549" w:rsidRDefault="000834DC" w:rsidP="00C26D7B">
      <w:pPr>
        <w:adjustRightInd w:val="0"/>
        <w:snapToGrid w:val="0"/>
        <w:spacing w:line="360" w:lineRule="auto"/>
        <w:jc w:val="both"/>
        <w:rPr>
          <w:rFonts w:ascii="Book Antiqua" w:hAnsi="Book Antiqua" w:cs="Arial"/>
          <w:color w:val="000000"/>
          <w:lang w:val="en" w:eastAsia="zh-CN"/>
        </w:rPr>
      </w:pPr>
      <w:bookmarkStart w:id="33" w:name="OLE_LINK806"/>
      <w:bookmarkStart w:id="34" w:name="OLE_LINK807"/>
      <w:bookmarkStart w:id="35" w:name="OLE_LINK1218"/>
      <w:bookmarkStart w:id="36" w:name="OLE_LINK1219"/>
      <w:bookmarkStart w:id="37" w:name="OLE_LINK675"/>
      <w:bookmarkStart w:id="38" w:name="OLE_LINK676"/>
      <w:bookmarkStart w:id="39" w:name="OLE_LINK706"/>
      <w:bookmarkEnd w:id="0"/>
      <w:bookmarkEnd w:id="1"/>
      <w:bookmarkEnd w:id="2"/>
      <w:r w:rsidRPr="00381549">
        <w:rPr>
          <w:rFonts w:ascii="Book Antiqua" w:hAnsi="Book Antiqua" w:cs="Arial"/>
          <w:b/>
          <w:color w:val="000000"/>
          <w:lang w:val="en"/>
        </w:rPr>
        <w:t>Manuscript NO:</w:t>
      </w:r>
      <w:bookmarkEnd w:id="33"/>
      <w:bookmarkEnd w:id="34"/>
      <w:r w:rsidRPr="00381549">
        <w:rPr>
          <w:rFonts w:ascii="Book Antiqua" w:hAnsi="Book Antiqua" w:cs="Arial"/>
          <w:b/>
          <w:color w:val="000000"/>
          <w:lang w:val="en"/>
        </w:rPr>
        <w:t xml:space="preserve"> </w:t>
      </w:r>
      <w:bookmarkEnd w:id="35"/>
      <w:bookmarkEnd w:id="36"/>
      <w:r>
        <w:rPr>
          <w:rFonts w:ascii="Book Antiqua" w:hAnsi="Book Antiqua" w:cs="Arial" w:hint="eastAsia"/>
          <w:b/>
          <w:color w:val="000000"/>
          <w:lang w:val="en" w:eastAsia="zh-CN"/>
        </w:rPr>
        <w:t>37800</w:t>
      </w:r>
    </w:p>
    <w:bookmarkEnd w:id="37"/>
    <w:bookmarkEnd w:id="38"/>
    <w:bookmarkEnd w:id="39"/>
    <w:p w14:paraId="396AE49E" w14:textId="34700921" w:rsidR="000834DC" w:rsidRDefault="000834DC" w:rsidP="00C26D7B">
      <w:pPr>
        <w:spacing w:line="360" w:lineRule="auto"/>
        <w:jc w:val="both"/>
        <w:rPr>
          <w:rFonts w:ascii="Book Antiqua" w:hAnsi="Book Antiqua"/>
          <w:b/>
          <w:lang w:eastAsia="zh-CN"/>
        </w:rPr>
      </w:pPr>
      <w:r w:rsidRPr="00381549">
        <w:rPr>
          <w:rFonts w:ascii="Book Antiqua" w:hAnsi="Book Antiqua"/>
          <w:b/>
        </w:rPr>
        <w:t>Manuscript Type</w:t>
      </w:r>
      <w:r w:rsidRPr="00381549">
        <w:rPr>
          <w:rFonts w:ascii="Book Antiqua" w:hAnsi="Book Antiqua" w:hint="eastAsia"/>
          <w:b/>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834DC">
        <w:rPr>
          <w:rFonts w:ascii="Book Antiqua" w:hAnsi="Book Antiqua"/>
          <w:b/>
        </w:rPr>
        <w:t xml:space="preserve">Systematic </w:t>
      </w:r>
      <w:r w:rsidRPr="008B4CDF">
        <w:rPr>
          <w:rFonts w:ascii="Book Antiqua" w:hAnsi="Book Antiqua"/>
          <w:b/>
        </w:rPr>
        <w:t>Review</w:t>
      </w:r>
      <w:r w:rsidR="00EF6503">
        <w:rPr>
          <w:rFonts w:ascii="Book Antiqua" w:hAnsi="Book Antiqua" w:hint="eastAsia"/>
          <w:b/>
          <w:lang w:eastAsia="zh-CN"/>
        </w:rPr>
        <w:t>s</w:t>
      </w:r>
    </w:p>
    <w:p w14:paraId="269A344D" w14:textId="77777777" w:rsidR="000834DC" w:rsidRDefault="000834DC" w:rsidP="00C26D7B">
      <w:pPr>
        <w:spacing w:line="360" w:lineRule="auto"/>
        <w:jc w:val="both"/>
        <w:rPr>
          <w:rFonts w:ascii="Book Antiqua" w:hAnsi="Book Antiqua"/>
          <w:b/>
          <w:lang w:eastAsia="zh-CN"/>
        </w:rPr>
      </w:pPr>
    </w:p>
    <w:p w14:paraId="0A322EE0" w14:textId="54D14C7A" w:rsidR="00436E95" w:rsidRPr="008A2C60" w:rsidRDefault="00750DAB" w:rsidP="00C26D7B">
      <w:pPr>
        <w:spacing w:line="360" w:lineRule="auto"/>
        <w:jc w:val="both"/>
        <w:rPr>
          <w:rFonts w:ascii="Book Antiqua" w:hAnsi="Book Antiqua"/>
          <w:b/>
        </w:rPr>
      </w:pPr>
      <w:r w:rsidRPr="008A2C60">
        <w:rPr>
          <w:rFonts w:ascii="Book Antiqua" w:hAnsi="Book Antiqua"/>
          <w:b/>
        </w:rPr>
        <w:t xml:space="preserve">Perioperative </w:t>
      </w:r>
      <w:r w:rsidR="008A2C60" w:rsidRPr="008A2C60">
        <w:rPr>
          <w:rFonts w:ascii="Book Antiqua" w:hAnsi="Book Antiqua"/>
          <w:b/>
        </w:rPr>
        <w:t>glucose management and outcomes in liver transplant re</w:t>
      </w:r>
      <w:r w:rsidR="00CC66FF" w:rsidRPr="008A2C60">
        <w:rPr>
          <w:rFonts w:ascii="Book Antiqua" w:hAnsi="Book Antiqua"/>
          <w:b/>
        </w:rPr>
        <w:t xml:space="preserve">cipients: A </w:t>
      </w:r>
      <w:r w:rsidR="008A2C60" w:rsidRPr="008A2C60">
        <w:rPr>
          <w:rFonts w:ascii="Book Antiqua" w:hAnsi="Book Antiqua"/>
          <w:b/>
        </w:rPr>
        <w:t>qualitative systematic review</w:t>
      </w:r>
    </w:p>
    <w:p w14:paraId="423CEF89" w14:textId="58E7B67D" w:rsidR="00876896" w:rsidRPr="008A2C60" w:rsidRDefault="00876896" w:rsidP="00C26D7B">
      <w:pPr>
        <w:spacing w:line="360" w:lineRule="auto"/>
        <w:jc w:val="both"/>
        <w:rPr>
          <w:rFonts w:ascii="Book Antiqua" w:hAnsi="Book Antiqua"/>
          <w:b/>
        </w:rPr>
      </w:pPr>
    </w:p>
    <w:p w14:paraId="4C50CFDF" w14:textId="2B180F2C" w:rsidR="0048073C" w:rsidRPr="008A2C60" w:rsidRDefault="000834DC" w:rsidP="00C26D7B">
      <w:pPr>
        <w:spacing w:line="360" w:lineRule="auto"/>
        <w:jc w:val="both"/>
        <w:rPr>
          <w:rFonts w:ascii="Book Antiqua" w:hAnsi="Book Antiqua"/>
          <w:b/>
          <w:lang w:eastAsia="zh-CN"/>
        </w:rPr>
      </w:pPr>
      <w:proofErr w:type="spellStart"/>
      <w:r w:rsidRPr="008A2C60">
        <w:rPr>
          <w:rFonts w:ascii="Book Antiqua" w:eastAsia="Times New Roman" w:hAnsi="Book Antiqua" w:cs="Times New Roman"/>
          <w:color w:val="000000"/>
        </w:rPr>
        <w:t>Paka</w:t>
      </w:r>
      <w:proofErr w:type="spellEnd"/>
      <w:r w:rsidRPr="008A2C60">
        <w:rPr>
          <w:rFonts w:ascii="Book Antiqua" w:hAnsi="Book Antiqua"/>
        </w:rPr>
        <w:t xml:space="preserve"> </w:t>
      </w:r>
      <w:r>
        <w:rPr>
          <w:rFonts w:ascii="Book Antiqua" w:hAnsi="Book Antiqua" w:hint="eastAsia"/>
          <w:lang w:eastAsia="zh-CN"/>
        </w:rPr>
        <w:t xml:space="preserve">P </w:t>
      </w:r>
      <w:r w:rsidR="00EE3848" w:rsidRPr="00EE3848">
        <w:rPr>
          <w:rFonts w:ascii="Book Antiqua" w:hAnsi="Book Antiqua" w:hint="eastAsia"/>
          <w:i/>
          <w:lang w:eastAsia="zh-CN"/>
        </w:rPr>
        <w:t>et al</w:t>
      </w:r>
      <w:r>
        <w:rPr>
          <w:rFonts w:ascii="Book Antiqua" w:hAnsi="Book Antiqua" w:hint="eastAsia"/>
          <w:lang w:eastAsia="zh-CN"/>
        </w:rPr>
        <w:t xml:space="preserve">. </w:t>
      </w:r>
      <w:r w:rsidR="0048073C" w:rsidRPr="008A2C60">
        <w:rPr>
          <w:rFonts w:ascii="Book Antiqua" w:hAnsi="Book Antiqua"/>
        </w:rPr>
        <w:t>Perioperative</w:t>
      </w:r>
      <w:r w:rsidR="008A2C60" w:rsidRPr="008A2C60">
        <w:rPr>
          <w:rFonts w:ascii="Book Antiqua" w:hAnsi="Book Antiqua"/>
        </w:rPr>
        <w:t xml:space="preserve"> glucose management in liver transplant</w:t>
      </w:r>
    </w:p>
    <w:p w14:paraId="36BE4265" w14:textId="77777777" w:rsidR="00E27AEA" w:rsidRPr="008A2C60" w:rsidRDefault="00E27AEA" w:rsidP="00C26D7B">
      <w:pPr>
        <w:autoSpaceDE w:val="0"/>
        <w:autoSpaceDN w:val="0"/>
        <w:adjustRightInd w:val="0"/>
        <w:spacing w:line="360" w:lineRule="auto"/>
        <w:contextualSpacing/>
        <w:jc w:val="both"/>
        <w:rPr>
          <w:rFonts w:ascii="Book Antiqua" w:eastAsia="Times New Roman" w:hAnsi="Book Antiqua"/>
          <w:color w:val="000000"/>
        </w:rPr>
      </w:pPr>
    </w:p>
    <w:p w14:paraId="517F5454" w14:textId="77777777" w:rsidR="000834DC" w:rsidRPr="000834DC" w:rsidRDefault="00351792" w:rsidP="00C26D7B">
      <w:pPr>
        <w:autoSpaceDE w:val="0"/>
        <w:autoSpaceDN w:val="0"/>
        <w:adjustRightInd w:val="0"/>
        <w:spacing w:line="360" w:lineRule="auto"/>
        <w:contextualSpacing/>
        <w:jc w:val="both"/>
        <w:rPr>
          <w:rFonts w:ascii="Book Antiqua" w:hAnsi="Book Antiqua" w:cs="Times New Roman"/>
          <w:b/>
          <w:color w:val="000000"/>
          <w:lang w:eastAsia="zh-CN"/>
        </w:rPr>
      </w:pPr>
      <w:bookmarkStart w:id="40" w:name="OLE_LINK1537"/>
      <w:bookmarkStart w:id="41" w:name="OLE_LINK1538"/>
      <w:proofErr w:type="spellStart"/>
      <w:r w:rsidRPr="00CE3AFE">
        <w:rPr>
          <w:rFonts w:ascii="Book Antiqua" w:eastAsia="Times New Roman" w:hAnsi="Book Antiqua" w:cs="Times New Roman"/>
          <w:b/>
          <w:color w:val="000000"/>
        </w:rPr>
        <w:t>Prani</w:t>
      </w:r>
      <w:proofErr w:type="spellEnd"/>
      <w:r w:rsidRPr="00CE3AFE">
        <w:rPr>
          <w:rFonts w:ascii="Book Antiqua" w:eastAsia="Times New Roman" w:hAnsi="Book Antiqua" w:cs="Times New Roman"/>
          <w:b/>
          <w:color w:val="000000"/>
        </w:rPr>
        <w:t xml:space="preserve"> </w:t>
      </w:r>
      <w:proofErr w:type="spellStart"/>
      <w:r w:rsidRPr="00CE3AFE">
        <w:rPr>
          <w:rFonts w:ascii="Book Antiqua" w:eastAsia="Times New Roman" w:hAnsi="Book Antiqua" w:cs="Times New Roman"/>
          <w:b/>
          <w:color w:val="000000"/>
        </w:rPr>
        <w:t>Paka</w:t>
      </w:r>
      <w:proofErr w:type="spellEnd"/>
      <w:r w:rsidR="004B0819" w:rsidRPr="00CE3AFE">
        <w:rPr>
          <w:rFonts w:ascii="Book Antiqua" w:eastAsia="Times New Roman" w:hAnsi="Book Antiqua" w:cs="Times New Roman"/>
          <w:b/>
          <w:color w:val="000000"/>
        </w:rPr>
        <w:t xml:space="preserve">, </w:t>
      </w:r>
      <w:r w:rsidR="00E27AEA" w:rsidRPr="00CE3AFE">
        <w:rPr>
          <w:rFonts w:ascii="Book Antiqua" w:eastAsia="Times New Roman" w:hAnsi="Book Antiqua" w:cs="Times New Roman"/>
          <w:b/>
          <w:color w:val="000000"/>
        </w:rPr>
        <w:t xml:space="preserve">Sarah </w:t>
      </w:r>
      <w:r w:rsidR="00B56862" w:rsidRPr="00CE3AFE">
        <w:rPr>
          <w:rFonts w:ascii="Book Antiqua" w:eastAsia="Times New Roman" w:hAnsi="Book Antiqua" w:cs="Times New Roman"/>
          <w:b/>
          <w:color w:val="000000"/>
        </w:rPr>
        <w:t>R</w:t>
      </w:r>
      <w:r w:rsidR="000834DC" w:rsidRPr="00CE3AFE">
        <w:rPr>
          <w:rFonts w:ascii="Book Antiqua" w:hAnsi="Book Antiqua" w:cs="Times New Roman" w:hint="eastAsia"/>
          <w:b/>
          <w:color w:val="000000"/>
          <w:lang w:eastAsia="zh-CN"/>
        </w:rPr>
        <w:t xml:space="preserve"> </w:t>
      </w:r>
      <w:proofErr w:type="spellStart"/>
      <w:r w:rsidR="00E27AEA" w:rsidRPr="00CE3AFE">
        <w:rPr>
          <w:rFonts w:ascii="Book Antiqua" w:eastAsia="Times New Roman" w:hAnsi="Book Antiqua" w:cs="Times New Roman"/>
          <w:b/>
          <w:color w:val="000000"/>
        </w:rPr>
        <w:t>Lieber</w:t>
      </w:r>
      <w:proofErr w:type="spellEnd"/>
      <w:r w:rsidR="00E27AEA" w:rsidRPr="00CE3AFE">
        <w:rPr>
          <w:rFonts w:ascii="Book Antiqua" w:eastAsia="Times New Roman" w:hAnsi="Book Antiqua" w:cs="Times New Roman"/>
          <w:b/>
          <w:color w:val="000000"/>
        </w:rPr>
        <w:t xml:space="preserve">, Ruth-Ann Lee, </w:t>
      </w:r>
      <w:r w:rsidR="003A3C3A" w:rsidRPr="00CE3AFE">
        <w:rPr>
          <w:rFonts w:ascii="Book Antiqua" w:eastAsia="Times New Roman" w:hAnsi="Book Antiqua" w:cs="Times New Roman"/>
          <w:b/>
          <w:color w:val="000000"/>
        </w:rPr>
        <w:t>Chirag</w:t>
      </w:r>
      <w:r w:rsidR="00F37966" w:rsidRPr="00CE3AFE">
        <w:rPr>
          <w:rFonts w:ascii="Book Antiqua" w:eastAsia="Times New Roman" w:hAnsi="Book Antiqua" w:cs="Times New Roman"/>
          <w:b/>
          <w:color w:val="000000"/>
        </w:rPr>
        <w:t xml:space="preserve"> S</w:t>
      </w:r>
      <w:r w:rsidR="000834DC" w:rsidRPr="00CE3AFE">
        <w:rPr>
          <w:rFonts w:ascii="Book Antiqua" w:hAnsi="Book Antiqua" w:cs="Times New Roman" w:hint="eastAsia"/>
          <w:b/>
          <w:color w:val="000000"/>
          <w:lang w:eastAsia="zh-CN"/>
        </w:rPr>
        <w:t xml:space="preserve"> </w:t>
      </w:r>
      <w:r w:rsidR="003A3C3A" w:rsidRPr="00CE3AFE">
        <w:rPr>
          <w:rFonts w:ascii="Book Antiqua" w:eastAsia="Times New Roman" w:hAnsi="Book Antiqua" w:cs="Times New Roman"/>
          <w:b/>
          <w:color w:val="000000"/>
        </w:rPr>
        <w:t xml:space="preserve">Desai, Robert </w:t>
      </w:r>
      <w:r w:rsidR="000834DC" w:rsidRPr="00CE3AFE">
        <w:rPr>
          <w:rFonts w:ascii="Book Antiqua" w:hAnsi="Book Antiqua" w:cs="Times New Roman" w:hint="eastAsia"/>
          <w:b/>
          <w:color w:val="000000"/>
          <w:lang w:eastAsia="zh-CN"/>
        </w:rPr>
        <w:t xml:space="preserve">E </w:t>
      </w:r>
      <w:r w:rsidR="000834DC" w:rsidRPr="00CE3AFE">
        <w:rPr>
          <w:rFonts w:ascii="Book Antiqua" w:eastAsia="Times New Roman" w:hAnsi="Book Antiqua" w:cs="Times New Roman"/>
          <w:b/>
          <w:color w:val="000000"/>
        </w:rPr>
        <w:t>Dupuis,</w:t>
      </w:r>
      <w:r w:rsidR="00E27AEA" w:rsidRPr="00CE3AFE">
        <w:rPr>
          <w:rFonts w:ascii="Book Antiqua" w:eastAsia="Times New Roman" w:hAnsi="Book Antiqua" w:cs="Times New Roman"/>
          <w:b/>
          <w:color w:val="000000"/>
        </w:rPr>
        <w:t xml:space="preserve"> </w:t>
      </w:r>
      <w:bookmarkStart w:id="42" w:name="OLE_LINK1534"/>
      <w:bookmarkStart w:id="43" w:name="OLE_LINK1535"/>
      <w:bookmarkStart w:id="44" w:name="OLE_LINK1536"/>
      <w:r w:rsidR="000834DC" w:rsidRPr="00CE3AFE">
        <w:rPr>
          <w:rFonts w:ascii="Book Antiqua" w:eastAsia="Times New Roman" w:hAnsi="Book Antiqua" w:cs="Times New Roman"/>
          <w:b/>
          <w:color w:val="000000"/>
        </w:rPr>
        <w:t xml:space="preserve">Alfred Sidney </w:t>
      </w:r>
      <w:proofErr w:type="spellStart"/>
      <w:r w:rsidR="000834DC" w:rsidRPr="00CE3AFE">
        <w:rPr>
          <w:rFonts w:ascii="Book Antiqua" w:eastAsia="Times New Roman" w:hAnsi="Book Antiqua" w:cs="Times New Roman"/>
          <w:b/>
          <w:color w:val="000000"/>
        </w:rPr>
        <w:t>Barritt</w:t>
      </w:r>
      <w:bookmarkEnd w:id="40"/>
      <w:bookmarkEnd w:id="41"/>
      <w:proofErr w:type="spellEnd"/>
    </w:p>
    <w:bookmarkEnd w:id="42"/>
    <w:bookmarkEnd w:id="43"/>
    <w:bookmarkEnd w:id="44"/>
    <w:p w14:paraId="3C7CBB41" w14:textId="77777777" w:rsidR="000834DC" w:rsidRDefault="000834DC" w:rsidP="00C26D7B">
      <w:pPr>
        <w:autoSpaceDE w:val="0"/>
        <w:autoSpaceDN w:val="0"/>
        <w:adjustRightInd w:val="0"/>
        <w:spacing w:line="360" w:lineRule="auto"/>
        <w:contextualSpacing/>
        <w:jc w:val="both"/>
        <w:rPr>
          <w:rFonts w:ascii="Book Antiqua" w:hAnsi="Book Antiqua" w:cs="Times New Roman"/>
          <w:color w:val="000000"/>
          <w:lang w:eastAsia="zh-CN"/>
        </w:rPr>
      </w:pPr>
    </w:p>
    <w:p w14:paraId="4D03233D" w14:textId="47236C76" w:rsidR="00941E81" w:rsidRPr="008A2C60" w:rsidRDefault="0019091D" w:rsidP="00C26D7B">
      <w:pPr>
        <w:autoSpaceDE w:val="0"/>
        <w:autoSpaceDN w:val="0"/>
        <w:adjustRightInd w:val="0"/>
        <w:spacing w:line="360" w:lineRule="auto"/>
        <w:contextualSpacing/>
        <w:jc w:val="both"/>
        <w:rPr>
          <w:rFonts w:ascii="Book Antiqua" w:hAnsi="Book Antiqua" w:cs="Times New Roman"/>
          <w:lang w:eastAsia="zh-CN"/>
        </w:rPr>
      </w:pPr>
      <w:proofErr w:type="spellStart"/>
      <w:r w:rsidRPr="003329C2">
        <w:rPr>
          <w:rFonts w:ascii="Book Antiqua" w:hAnsi="Book Antiqua" w:cs="Times New Roman"/>
          <w:b/>
        </w:rPr>
        <w:t>Prani</w:t>
      </w:r>
      <w:proofErr w:type="spellEnd"/>
      <w:r w:rsidRPr="003329C2">
        <w:rPr>
          <w:rFonts w:ascii="Book Antiqua" w:hAnsi="Book Antiqua" w:cs="Times New Roman"/>
          <w:b/>
        </w:rPr>
        <w:t xml:space="preserve"> </w:t>
      </w:r>
      <w:proofErr w:type="spellStart"/>
      <w:r w:rsidRPr="003329C2">
        <w:rPr>
          <w:rFonts w:ascii="Book Antiqua" w:hAnsi="Book Antiqua" w:cs="Times New Roman"/>
          <w:b/>
        </w:rPr>
        <w:t>Paka</w:t>
      </w:r>
      <w:proofErr w:type="spellEnd"/>
      <w:r w:rsidRPr="003329C2">
        <w:rPr>
          <w:rFonts w:ascii="Book Antiqua" w:hAnsi="Book Antiqua" w:cs="Times New Roman"/>
          <w:b/>
        </w:rPr>
        <w:t xml:space="preserve">, Robert </w:t>
      </w:r>
      <w:r w:rsidR="003329C2" w:rsidRPr="003329C2">
        <w:rPr>
          <w:rFonts w:ascii="Book Antiqua" w:hAnsi="Book Antiqua" w:cs="Times New Roman" w:hint="eastAsia"/>
          <w:b/>
          <w:lang w:eastAsia="zh-CN"/>
        </w:rPr>
        <w:t xml:space="preserve">E </w:t>
      </w:r>
      <w:r w:rsidRPr="003329C2">
        <w:rPr>
          <w:rFonts w:ascii="Book Antiqua" w:hAnsi="Book Antiqua" w:cs="Times New Roman"/>
          <w:b/>
        </w:rPr>
        <w:t>Dupuis,</w:t>
      </w:r>
      <w:r w:rsidRPr="008A2C60">
        <w:rPr>
          <w:rFonts w:ascii="Book Antiqua" w:hAnsi="Book Antiqua" w:cs="Times New Roman"/>
        </w:rPr>
        <w:t xml:space="preserve"> </w:t>
      </w:r>
      <w:r w:rsidR="00056B85" w:rsidRPr="008A2C60">
        <w:rPr>
          <w:rFonts w:ascii="Book Antiqua" w:hAnsi="Book Antiqua"/>
        </w:rPr>
        <w:t xml:space="preserve">Division of Pharmacotherapy and Experimental Therapeutics, UNC </w:t>
      </w:r>
      <w:proofErr w:type="spellStart"/>
      <w:r w:rsidR="00056B85" w:rsidRPr="008A2C60">
        <w:rPr>
          <w:rFonts w:ascii="Book Antiqua" w:hAnsi="Book Antiqua"/>
        </w:rPr>
        <w:t>Eshelman</w:t>
      </w:r>
      <w:proofErr w:type="spellEnd"/>
      <w:r w:rsidR="00056B85" w:rsidRPr="008A2C60">
        <w:rPr>
          <w:rFonts w:ascii="Book Antiqua" w:hAnsi="Book Antiqua"/>
        </w:rPr>
        <w:t xml:space="preserve"> School of Pharmacy, </w:t>
      </w:r>
      <w:r w:rsidRPr="008A2C60">
        <w:rPr>
          <w:rFonts w:ascii="Book Antiqua" w:hAnsi="Book Antiqua"/>
        </w:rPr>
        <w:t xml:space="preserve">University of North Carolina, </w:t>
      </w:r>
      <w:r w:rsidR="00056B85" w:rsidRPr="008A2C60">
        <w:rPr>
          <w:rFonts w:ascii="Book Antiqua" w:hAnsi="Book Antiqua" w:cs="Times New Roman"/>
        </w:rPr>
        <w:t>Chapel Hill, N</w:t>
      </w:r>
      <w:r w:rsidR="003329C2">
        <w:rPr>
          <w:rFonts w:ascii="Book Antiqua" w:hAnsi="Book Antiqua" w:cs="Times New Roman" w:hint="eastAsia"/>
          <w:lang w:eastAsia="zh-CN"/>
        </w:rPr>
        <w:t>C</w:t>
      </w:r>
      <w:r w:rsidR="00595DB5" w:rsidRPr="008A2C60">
        <w:rPr>
          <w:rFonts w:ascii="Book Antiqua" w:hAnsi="Book Antiqua" w:cs="Times New Roman"/>
        </w:rPr>
        <w:t xml:space="preserve"> 27599</w:t>
      </w:r>
      <w:r w:rsidR="00CF3AD5" w:rsidRPr="008A2C60">
        <w:rPr>
          <w:rFonts w:ascii="Book Antiqua" w:hAnsi="Book Antiqua" w:cs="Times New Roman"/>
        </w:rPr>
        <w:t>, U</w:t>
      </w:r>
      <w:r w:rsidR="00595DB5" w:rsidRPr="008A2C60">
        <w:rPr>
          <w:rFonts w:ascii="Book Antiqua" w:hAnsi="Book Antiqua" w:cs="Times New Roman"/>
        </w:rPr>
        <w:t>nited States</w:t>
      </w:r>
    </w:p>
    <w:p w14:paraId="0C6BC7F6" w14:textId="77777777" w:rsidR="00E27AEA" w:rsidRPr="008A2C60" w:rsidRDefault="00E27AEA" w:rsidP="00C26D7B">
      <w:pPr>
        <w:autoSpaceDE w:val="0"/>
        <w:autoSpaceDN w:val="0"/>
        <w:adjustRightInd w:val="0"/>
        <w:spacing w:line="360" w:lineRule="auto"/>
        <w:contextualSpacing/>
        <w:jc w:val="both"/>
        <w:rPr>
          <w:rFonts w:ascii="Book Antiqua" w:hAnsi="Book Antiqua" w:cs="Times New Roman"/>
        </w:rPr>
      </w:pPr>
    </w:p>
    <w:p w14:paraId="1DE2D1F4" w14:textId="153D36F5" w:rsidR="00941E81" w:rsidRPr="003329C2" w:rsidRDefault="0019091D" w:rsidP="00C26D7B">
      <w:pPr>
        <w:autoSpaceDE w:val="0"/>
        <w:autoSpaceDN w:val="0"/>
        <w:adjustRightInd w:val="0"/>
        <w:spacing w:line="360" w:lineRule="auto"/>
        <w:contextualSpacing/>
        <w:jc w:val="both"/>
        <w:rPr>
          <w:rFonts w:ascii="Book Antiqua" w:hAnsi="Book Antiqua" w:cs="Times New Roman"/>
          <w:b/>
          <w:color w:val="000000"/>
          <w:lang w:eastAsia="zh-CN"/>
        </w:rPr>
      </w:pPr>
      <w:r w:rsidRPr="003329C2">
        <w:rPr>
          <w:rFonts w:ascii="Book Antiqua" w:hAnsi="Book Antiqua" w:cs="Times New Roman"/>
          <w:b/>
        </w:rPr>
        <w:t>Sarah R</w:t>
      </w:r>
      <w:r w:rsidR="003329C2" w:rsidRPr="003329C2">
        <w:rPr>
          <w:rFonts w:ascii="Book Antiqua" w:hAnsi="Book Antiqua" w:cs="Times New Roman" w:hint="eastAsia"/>
          <w:b/>
          <w:lang w:eastAsia="zh-CN"/>
        </w:rPr>
        <w:t xml:space="preserve"> </w:t>
      </w:r>
      <w:proofErr w:type="spellStart"/>
      <w:r w:rsidRPr="003329C2">
        <w:rPr>
          <w:rFonts w:ascii="Book Antiqua" w:hAnsi="Book Antiqua" w:cs="Times New Roman"/>
          <w:b/>
        </w:rPr>
        <w:t>Lieber</w:t>
      </w:r>
      <w:proofErr w:type="spellEnd"/>
      <w:r w:rsidRPr="003329C2">
        <w:rPr>
          <w:rFonts w:ascii="Book Antiqua" w:hAnsi="Book Antiqua" w:cs="Times New Roman"/>
          <w:b/>
        </w:rPr>
        <w:t xml:space="preserve">, </w:t>
      </w:r>
      <w:r w:rsidR="003329C2" w:rsidRPr="003329C2">
        <w:rPr>
          <w:rFonts w:ascii="Book Antiqua" w:eastAsia="Times New Roman" w:hAnsi="Book Antiqua" w:cs="Times New Roman"/>
          <w:b/>
          <w:color w:val="000000"/>
        </w:rPr>
        <w:t xml:space="preserve">Alfred Sidney </w:t>
      </w:r>
      <w:proofErr w:type="spellStart"/>
      <w:r w:rsidR="003329C2" w:rsidRPr="003329C2">
        <w:rPr>
          <w:rFonts w:ascii="Book Antiqua" w:eastAsia="Times New Roman" w:hAnsi="Book Antiqua" w:cs="Times New Roman"/>
          <w:b/>
          <w:color w:val="000000"/>
        </w:rPr>
        <w:t>Barritt</w:t>
      </w:r>
      <w:proofErr w:type="spellEnd"/>
      <w:r w:rsidR="003329C2" w:rsidRPr="003329C2">
        <w:rPr>
          <w:rFonts w:ascii="Book Antiqua" w:hAnsi="Book Antiqua" w:cs="Times New Roman" w:hint="eastAsia"/>
          <w:b/>
          <w:color w:val="000000"/>
          <w:lang w:eastAsia="zh-CN"/>
        </w:rPr>
        <w:t xml:space="preserve">, </w:t>
      </w:r>
      <w:bookmarkStart w:id="45" w:name="OLE_LINK1553"/>
      <w:bookmarkStart w:id="46" w:name="OLE_LINK1554"/>
      <w:bookmarkStart w:id="47" w:name="OLE_LINK1555"/>
      <w:r w:rsidR="00056B85" w:rsidRPr="008A2C60">
        <w:rPr>
          <w:rFonts w:ascii="Book Antiqua" w:hAnsi="Book Antiqua" w:cs="Times New Roman"/>
        </w:rPr>
        <w:t xml:space="preserve">Division of Gastroenterology and Hepatology, Department of Medicine, University of North Carolina, </w:t>
      </w:r>
      <w:bookmarkEnd w:id="45"/>
      <w:bookmarkEnd w:id="46"/>
      <w:bookmarkEnd w:id="47"/>
      <w:r w:rsidR="00056B85" w:rsidRPr="008A2C60">
        <w:rPr>
          <w:rFonts w:ascii="Book Antiqua" w:hAnsi="Book Antiqua" w:cs="Times New Roman"/>
        </w:rPr>
        <w:t>Chapel Hill, N</w:t>
      </w:r>
      <w:r w:rsidR="003329C2">
        <w:rPr>
          <w:rFonts w:ascii="Book Antiqua" w:hAnsi="Book Antiqua" w:cs="Times New Roman" w:hint="eastAsia"/>
          <w:lang w:eastAsia="zh-CN"/>
        </w:rPr>
        <w:t>C</w:t>
      </w:r>
      <w:r w:rsidR="00595DB5" w:rsidRPr="008A2C60">
        <w:rPr>
          <w:rFonts w:ascii="Book Antiqua" w:hAnsi="Book Antiqua" w:cs="Times New Roman"/>
        </w:rPr>
        <w:t xml:space="preserve"> 27599</w:t>
      </w:r>
      <w:r w:rsidR="00CF3AD5" w:rsidRPr="008A2C60">
        <w:rPr>
          <w:rFonts w:ascii="Book Antiqua" w:hAnsi="Book Antiqua" w:cs="Times New Roman"/>
        </w:rPr>
        <w:t>, U</w:t>
      </w:r>
      <w:r w:rsidR="00595DB5" w:rsidRPr="008A2C60">
        <w:rPr>
          <w:rFonts w:ascii="Book Antiqua" w:hAnsi="Book Antiqua" w:cs="Times New Roman"/>
        </w:rPr>
        <w:t>nited States</w:t>
      </w:r>
      <w:r w:rsidR="00056B85" w:rsidRPr="008A2C60">
        <w:rPr>
          <w:rFonts w:ascii="Book Antiqua" w:hAnsi="Book Antiqua"/>
        </w:rPr>
        <w:t xml:space="preserve"> </w:t>
      </w:r>
    </w:p>
    <w:p w14:paraId="219D5037" w14:textId="77777777" w:rsidR="00E27AEA" w:rsidRPr="008A2C60" w:rsidRDefault="00E27AEA" w:rsidP="00C26D7B">
      <w:pPr>
        <w:spacing w:line="360" w:lineRule="auto"/>
        <w:contextualSpacing/>
        <w:jc w:val="both"/>
        <w:rPr>
          <w:rFonts w:ascii="Book Antiqua" w:hAnsi="Book Antiqua"/>
        </w:rPr>
      </w:pPr>
    </w:p>
    <w:p w14:paraId="2B1B07E7" w14:textId="3EF240EC" w:rsidR="00CC66FF" w:rsidRDefault="00C05C70" w:rsidP="00C26D7B">
      <w:pPr>
        <w:spacing w:line="360" w:lineRule="auto"/>
        <w:contextualSpacing/>
        <w:jc w:val="both"/>
        <w:rPr>
          <w:rFonts w:ascii="Book Antiqua" w:hAnsi="Book Antiqua" w:cs="Times New Roman"/>
          <w:lang w:eastAsia="zh-CN"/>
        </w:rPr>
      </w:pPr>
      <w:r w:rsidRPr="003329C2">
        <w:rPr>
          <w:rFonts w:ascii="Book Antiqua" w:hAnsi="Book Antiqua" w:cs="Times New Roman"/>
          <w:b/>
          <w:bCs/>
        </w:rPr>
        <w:t>Ruth-Ann Lee, Chirag S</w:t>
      </w:r>
      <w:r w:rsidR="003329C2" w:rsidRPr="003329C2">
        <w:rPr>
          <w:rFonts w:ascii="Book Antiqua" w:hAnsi="Book Antiqua" w:cs="Times New Roman" w:hint="eastAsia"/>
          <w:b/>
          <w:bCs/>
          <w:lang w:eastAsia="zh-CN"/>
        </w:rPr>
        <w:t xml:space="preserve"> </w:t>
      </w:r>
      <w:r w:rsidRPr="003329C2">
        <w:rPr>
          <w:rFonts w:ascii="Book Antiqua" w:hAnsi="Book Antiqua" w:cs="Times New Roman"/>
          <w:b/>
          <w:bCs/>
        </w:rPr>
        <w:t xml:space="preserve">Desai, </w:t>
      </w:r>
      <w:r w:rsidR="00E27AEA" w:rsidRPr="008A2C60">
        <w:rPr>
          <w:rFonts w:ascii="Book Antiqua" w:hAnsi="Book Antiqua" w:cs="Times New Roman"/>
        </w:rPr>
        <w:t>Division of Abdominal Transplant, Department of Surgery, University of North Carolina School of Medicine, Chapel Hill, NC</w:t>
      </w:r>
      <w:r w:rsidR="00595DB5" w:rsidRPr="008A2C60">
        <w:rPr>
          <w:rFonts w:ascii="Book Antiqua" w:hAnsi="Book Antiqua" w:cs="Times New Roman"/>
        </w:rPr>
        <w:t xml:space="preserve"> 27599</w:t>
      </w:r>
      <w:r w:rsidR="00CF3AD5" w:rsidRPr="008A2C60">
        <w:rPr>
          <w:rFonts w:ascii="Book Antiqua" w:hAnsi="Book Antiqua" w:cs="Times New Roman"/>
        </w:rPr>
        <w:t>, U</w:t>
      </w:r>
      <w:r w:rsidR="00595DB5" w:rsidRPr="008A2C60">
        <w:rPr>
          <w:rFonts w:ascii="Book Antiqua" w:hAnsi="Book Antiqua" w:cs="Times New Roman"/>
        </w:rPr>
        <w:t>nited States</w:t>
      </w:r>
    </w:p>
    <w:p w14:paraId="688A57EE" w14:textId="77777777" w:rsidR="00933664" w:rsidRDefault="00933664" w:rsidP="00C26D7B">
      <w:pPr>
        <w:spacing w:line="360" w:lineRule="auto"/>
        <w:contextualSpacing/>
        <w:jc w:val="both"/>
        <w:rPr>
          <w:rFonts w:ascii="Book Antiqua" w:hAnsi="Book Antiqua" w:cs="Times New Roman"/>
          <w:lang w:eastAsia="zh-CN"/>
        </w:rPr>
      </w:pPr>
    </w:p>
    <w:p w14:paraId="1E5C2200" w14:textId="1B85A87C" w:rsidR="00933664" w:rsidRPr="00933664" w:rsidRDefault="00933664" w:rsidP="00C26D7B">
      <w:pPr>
        <w:spacing w:line="360" w:lineRule="auto"/>
        <w:contextualSpacing/>
        <w:jc w:val="both"/>
        <w:rPr>
          <w:rFonts w:ascii="Book Antiqua" w:hAnsi="Book Antiqua"/>
          <w:lang w:eastAsia="zh-CN"/>
        </w:rPr>
      </w:pPr>
      <w:r w:rsidRPr="00933664">
        <w:rPr>
          <w:rFonts w:ascii="Book Antiqua" w:hAnsi="Book Antiqua" w:cstheme="majorHAnsi"/>
          <w:b/>
        </w:rPr>
        <w:t>ORCID number:</w:t>
      </w:r>
      <w:r w:rsidRPr="00933664">
        <w:rPr>
          <w:rFonts w:ascii="Book Antiqua" w:hAnsi="Book Antiqua" w:cstheme="majorHAnsi"/>
          <w:lang w:eastAsia="zh-CN"/>
        </w:rPr>
        <w:t xml:space="preserve"> </w:t>
      </w:r>
      <w:proofErr w:type="spellStart"/>
      <w:r w:rsidRPr="00933664">
        <w:rPr>
          <w:rFonts w:ascii="Book Antiqua" w:hAnsi="Book Antiqua" w:cstheme="majorHAnsi"/>
        </w:rPr>
        <w:t>Prani</w:t>
      </w:r>
      <w:proofErr w:type="spellEnd"/>
      <w:r w:rsidRPr="00933664">
        <w:rPr>
          <w:rFonts w:ascii="Book Antiqua" w:hAnsi="Book Antiqua" w:cstheme="majorHAnsi"/>
        </w:rPr>
        <w:t xml:space="preserve"> </w:t>
      </w:r>
      <w:proofErr w:type="spellStart"/>
      <w:r w:rsidRPr="00933664">
        <w:rPr>
          <w:rFonts w:ascii="Book Antiqua" w:hAnsi="Book Antiqua" w:cstheme="majorHAnsi"/>
        </w:rPr>
        <w:t>Paka</w:t>
      </w:r>
      <w:proofErr w:type="spellEnd"/>
      <w:r w:rsidRPr="00933664">
        <w:rPr>
          <w:rFonts w:ascii="Book Antiqua" w:hAnsi="Book Antiqua" w:cstheme="majorHAnsi"/>
        </w:rPr>
        <w:t xml:space="preserve"> (0000-0002-4638-8202); Sarah R </w:t>
      </w:r>
      <w:proofErr w:type="spellStart"/>
      <w:r w:rsidRPr="00933664">
        <w:rPr>
          <w:rFonts w:ascii="Book Antiqua" w:hAnsi="Book Antiqua" w:cstheme="majorHAnsi"/>
        </w:rPr>
        <w:t>Lieber</w:t>
      </w:r>
      <w:proofErr w:type="spellEnd"/>
      <w:r w:rsidRPr="00933664">
        <w:rPr>
          <w:rFonts w:ascii="Book Antiqua" w:hAnsi="Book Antiqua" w:cstheme="majorHAnsi"/>
        </w:rPr>
        <w:t xml:space="preserve"> (</w:t>
      </w:r>
      <w:hyperlink r:id="rId9" w:history="1">
        <w:r w:rsidRPr="00933664">
          <w:rPr>
            <w:rStyle w:val="Hyperlink"/>
            <w:rFonts w:ascii="Book Antiqua" w:hAnsi="Book Antiqua" w:cstheme="majorHAnsi"/>
            <w:color w:val="auto"/>
            <w:u w:val="none"/>
          </w:rPr>
          <w:t>0000-0001-8304-4479</w:t>
        </w:r>
      </w:hyperlink>
      <w:r w:rsidRPr="00933664">
        <w:rPr>
          <w:rFonts w:ascii="Book Antiqua" w:hAnsi="Book Antiqua" w:cstheme="majorHAnsi"/>
        </w:rPr>
        <w:t xml:space="preserve">); Ruth-Ann Lee </w:t>
      </w:r>
      <w:r w:rsidRPr="00933664">
        <w:rPr>
          <w:rFonts w:ascii="Book Antiqua" w:hAnsi="Book Antiqua" w:cstheme="majorHAnsi"/>
          <w:shd w:val="clear" w:color="auto" w:fill="FFFFFF"/>
        </w:rPr>
        <w:t>0000-0002-6498-2037</w:t>
      </w:r>
      <w:r w:rsidRPr="00933664">
        <w:rPr>
          <w:rFonts w:ascii="Book Antiqua" w:hAnsi="Book Antiqua" w:cstheme="majorHAnsi"/>
        </w:rPr>
        <w:t xml:space="preserve">); Chirag S Desai (0000-0002-3784-0973); Robert </w:t>
      </w:r>
      <w:r w:rsidRPr="00933664">
        <w:rPr>
          <w:rFonts w:ascii="Book Antiqua" w:hAnsi="Book Antiqua" w:cstheme="majorHAnsi"/>
          <w:lang w:eastAsia="zh-CN"/>
        </w:rPr>
        <w:t xml:space="preserve">E </w:t>
      </w:r>
      <w:r w:rsidRPr="00933664">
        <w:rPr>
          <w:rFonts w:ascii="Book Antiqua" w:hAnsi="Book Antiqua" w:cstheme="majorHAnsi"/>
        </w:rPr>
        <w:t xml:space="preserve">Dupuis (0000-001-8349-4138); </w:t>
      </w:r>
      <w:r w:rsidRPr="00933664">
        <w:rPr>
          <w:rFonts w:ascii="Book Antiqua" w:eastAsia="Times New Roman" w:hAnsi="Book Antiqua" w:cs="Times New Roman"/>
        </w:rPr>
        <w:t xml:space="preserve">Alfred Sidney </w:t>
      </w:r>
      <w:proofErr w:type="spellStart"/>
      <w:r w:rsidRPr="00933664">
        <w:rPr>
          <w:rFonts w:ascii="Book Antiqua" w:eastAsia="Times New Roman" w:hAnsi="Book Antiqua" w:cs="Times New Roman"/>
        </w:rPr>
        <w:t>Barritt</w:t>
      </w:r>
      <w:proofErr w:type="spellEnd"/>
      <w:r w:rsidRPr="00933664">
        <w:rPr>
          <w:rFonts w:ascii="Book Antiqua" w:hAnsi="Book Antiqua" w:cstheme="majorHAnsi"/>
        </w:rPr>
        <w:t xml:space="preserve"> (</w:t>
      </w:r>
      <w:hyperlink r:id="rId10" w:history="1">
        <w:r w:rsidRPr="00933664">
          <w:rPr>
            <w:rStyle w:val="Hyperlink"/>
            <w:rFonts w:ascii="Book Antiqua" w:hAnsi="Book Antiqua" w:cstheme="majorHAnsi"/>
            <w:color w:val="auto"/>
            <w:u w:val="none"/>
          </w:rPr>
          <w:t>0000-0002-4200-3256</w:t>
        </w:r>
      </w:hyperlink>
      <w:r w:rsidRPr="00933664">
        <w:rPr>
          <w:rFonts w:ascii="Book Antiqua" w:hAnsi="Book Antiqua" w:cstheme="majorHAnsi"/>
        </w:rPr>
        <w:t>)</w:t>
      </w:r>
      <w:r w:rsidRPr="00933664">
        <w:rPr>
          <w:rFonts w:ascii="Book Antiqua" w:hAnsi="Book Antiqua" w:cstheme="majorHAnsi"/>
          <w:lang w:eastAsia="zh-CN"/>
        </w:rPr>
        <w:t>.</w:t>
      </w:r>
    </w:p>
    <w:p w14:paraId="090EA556" w14:textId="10133565" w:rsidR="00E27AEA" w:rsidRPr="008A2C60" w:rsidRDefault="00E27AEA" w:rsidP="00C26D7B">
      <w:pPr>
        <w:spacing w:line="360" w:lineRule="auto"/>
        <w:contextualSpacing/>
        <w:jc w:val="both"/>
        <w:rPr>
          <w:rFonts w:ascii="Book Antiqua" w:hAnsi="Book Antiqua"/>
          <w:b/>
        </w:rPr>
      </w:pPr>
    </w:p>
    <w:p w14:paraId="5F490A0B" w14:textId="2C079C53" w:rsidR="00720E26" w:rsidRDefault="00720E26" w:rsidP="00C26D7B">
      <w:pPr>
        <w:spacing w:line="360" w:lineRule="auto"/>
        <w:contextualSpacing/>
        <w:jc w:val="both"/>
        <w:rPr>
          <w:rFonts w:ascii="Book Antiqua" w:hAnsi="Book Antiqua"/>
          <w:lang w:eastAsia="zh-CN"/>
        </w:rPr>
      </w:pPr>
      <w:r w:rsidRPr="008A2C60">
        <w:rPr>
          <w:rFonts w:ascii="Book Antiqua" w:hAnsi="Book Antiqua"/>
          <w:b/>
        </w:rPr>
        <w:t>Author contributions:</w:t>
      </w:r>
      <w:r w:rsidR="000A07B7" w:rsidRPr="008A2C60">
        <w:rPr>
          <w:rFonts w:ascii="Book Antiqua" w:hAnsi="Book Antiqua"/>
          <w:b/>
        </w:rPr>
        <w:t xml:space="preserve"> </w:t>
      </w:r>
      <w:proofErr w:type="spellStart"/>
      <w:r w:rsidR="006013A9" w:rsidRPr="008A2C60">
        <w:rPr>
          <w:rFonts w:ascii="Book Antiqua" w:hAnsi="Book Antiqua"/>
        </w:rPr>
        <w:t>Barritt</w:t>
      </w:r>
      <w:proofErr w:type="spellEnd"/>
      <w:r w:rsidR="006013A9" w:rsidRPr="008A2C60">
        <w:rPr>
          <w:rFonts w:ascii="Book Antiqua" w:hAnsi="Book Antiqua"/>
        </w:rPr>
        <w:t xml:space="preserve"> AS contributed to this paper with conception and design of the study</w:t>
      </w:r>
      <w:r w:rsidR="00933664">
        <w:rPr>
          <w:rFonts w:ascii="Book Antiqua" w:hAnsi="Book Antiqua" w:hint="eastAsia"/>
          <w:lang w:eastAsia="zh-CN"/>
        </w:rPr>
        <w:t>;</w:t>
      </w:r>
      <w:r w:rsidR="006013A9" w:rsidRPr="008A2C60">
        <w:rPr>
          <w:rFonts w:ascii="Book Antiqua" w:hAnsi="Book Antiqua"/>
        </w:rPr>
        <w:t xml:space="preserve"> </w:t>
      </w:r>
      <w:proofErr w:type="spellStart"/>
      <w:r w:rsidR="006013A9" w:rsidRPr="008A2C60">
        <w:rPr>
          <w:rFonts w:ascii="Book Antiqua" w:hAnsi="Book Antiqua"/>
        </w:rPr>
        <w:t>Paka</w:t>
      </w:r>
      <w:proofErr w:type="spellEnd"/>
      <w:r w:rsidR="006013A9" w:rsidRPr="008A2C60">
        <w:rPr>
          <w:rFonts w:ascii="Book Antiqua" w:hAnsi="Book Antiqua"/>
        </w:rPr>
        <w:t xml:space="preserve"> P, </w:t>
      </w:r>
      <w:proofErr w:type="spellStart"/>
      <w:r w:rsidR="006013A9" w:rsidRPr="008A2C60">
        <w:rPr>
          <w:rFonts w:ascii="Book Antiqua" w:hAnsi="Book Antiqua"/>
        </w:rPr>
        <w:t>Lieber</w:t>
      </w:r>
      <w:proofErr w:type="spellEnd"/>
      <w:r w:rsidR="006013A9" w:rsidRPr="008A2C60">
        <w:rPr>
          <w:rFonts w:ascii="Book Antiqua" w:hAnsi="Book Antiqua"/>
        </w:rPr>
        <w:t xml:space="preserve"> SR, Lee RA, and </w:t>
      </w:r>
      <w:proofErr w:type="spellStart"/>
      <w:r w:rsidR="006013A9" w:rsidRPr="008A2C60">
        <w:rPr>
          <w:rFonts w:ascii="Book Antiqua" w:hAnsi="Book Antiqua"/>
        </w:rPr>
        <w:t>Barritt</w:t>
      </w:r>
      <w:proofErr w:type="spellEnd"/>
      <w:r w:rsidR="006013A9" w:rsidRPr="008A2C60">
        <w:rPr>
          <w:rFonts w:ascii="Book Antiqua" w:hAnsi="Book Antiqua"/>
        </w:rPr>
        <w:t xml:space="preserve"> AS contributed equally to literature </w:t>
      </w:r>
      <w:r w:rsidR="006013A9" w:rsidRPr="008A2C60">
        <w:rPr>
          <w:rFonts w:ascii="Book Antiqua" w:hAnsi="Book Antiqua"/>
        </w:rPr>
        <w:lastRenderedPageBreak/>
        <w:t>review and analysis</w:t>
      </w:r>
      <w:r w:rsidR="00933664">
        <w:rPr>
          <w:rFonts w:ascii="Book Antiqua" w:hAnsi="Book Antiqua" w:hint="eastAsia"/>
          <w:lang w:eastAsia="zh-CN"/>
        </w:rPr>
        <w:t>;</w:t>
      </w:r>
      <w:r w:rsidR="006013A9" w:rsidRPr="008A2C60">
        <w:rPr>
          <w:rFonts w:ascii="Book Antiqua" w:hAnsi="Book Antiqua"/>
        </w:rPr>
        <w:t xml:space="preserve"> </w:t>
      </w:r>
      <w:proofErr w:type="spellStart"/>
      <w:r w:rsidR="006013A9" w:rsidRPr="008A2C60">
        <w:rPr>
          <w:rFonts w:ascii="Book Antiqua" w:hAnsi="Book Antiqua"/>
        </w:rPr>
        <w:t>Paka</w:t>
      </w:r>
      <w:proofErr w:type="spellEnd"/>
      <w:r w:rsidR="006013A9" w:rsidRPr="008A2C60">
        <w:rPr>
          <w:rFonts w:ascii="Book Antiqua" w:hAnsi="Book Antiqua"/>
        </w:rPr>
        <w:t xml:space="preserve"> P and </w:t>
      </w:r>
      <w:proofErr w:type="spellStart"/>
      <w:r w:rsidR="006013A9" w:rsidRPr="008A2C60">
        <w:rPr>
          <w:rFonts w:ascii="Book Antiqua" w:hAnsi="Book Antiqua"/>
        </w:rPr>
        <w:t>Lieber</w:t>
      </w:r>
      <w:proofErr w:type="spellEnd"/>
      <w:r w:rsidR="006013A9" w:rsidRPr="008A2C60">
        <w:rPr>
          <w:rFonts w:ascii="Book Antiqua" w:hAnsi="Book Antiqua"/>
        </w:rPr>
        <w:t xml:space="preserve"> SR also contributed with drafting </w:t>
      </w:r>
      <w:r w:rsidR="00FD10BF" w:rsidRPr="008A2C60">
        <w:rPr>
          <w:rFonts w:ascii="Book Antiqua" w:hAnsi="Book Antiqua"/>
        </w:rPr>
        <w:t xml:space="preserve">the transcript </w:t>
      </w:r>
      <w:r w:rsidR="006013A9" w:rsidRPr="008A2C60">
        <w:rPr>
          <w:rFonts w:ascii="Book Antiqua" w:hAnsi="Book Antiqua"/>
        </w:rPr>
        <w:t xml:space="preserve">and </w:t>
      </w:r>
      <w:r w:rsidR="00FD10BF" w:rsidRPr="008A2C60">
        <w:rPr>
          <w:rFonts w:ascii="Book Antiqua" w:hAnsi="Book Antiqua"/>
        </w:rPr>
        <w:t xml:space="preserve">with </w:t>
      </w:r>
      <w:r w:rsidR="006013A9" w:rsidRPr="008A2C60">
        <w:rPr>
          <w:rFonts w:ascii="Book Antiqua" w:hAnsi="Book Antiqua"/>
        </w:rPr>
        <w:t>critical revision</w:t>
      </w:r>
      <w:r w:rsidR="00933664">
        <w:rPr>
          <w:rFonts w:ascii="Book Antiqua" w:hAnsi="Book Antiqua" w:hint="eastAsia"/>
          <w:lang w:eastAsia="zh-CN"/>
        </w:rPr>
        <w:t>;</w:t>
      </w:r>
      <w:r w:rsidR="006013A9" w:rsidRPr="008A2C60">
        <w:rPr>
          <w:rFonts w:ascii="Book Antiqua" w:hAnsi="Book Antiqua"/>
        </w:rPr>
        <w:t xml:space="preserve"> </w:t>
      </w:r>
      <w:r w:rsidR="00933664" w:rsidRPr="008A2C60">
        <w:rPr>
          <w:rFonts w:ascii="Book Antiqua" w:hAnsi="Book Antiqua"/>
        </w:rPr>
        <w:t>a</w:t>
      </w:r>
      <w:r w:rsidR="006013A9" w:rsidRPr="008A2C60">
        <w:rPr>
          <w:rFonts w:ascii="Book Antiqua" w:hAnsi="Book Antiqua"/>
        </w:rPr>
        <w:t>ll authors contributed to editing and approving the final draft.</w:t>
      </w:r>
    </w:p>
    <w:p w14:paraId="09475BF0" w14:textId="77777777" w:rsidR="006013A9" w:rsidRPr="008A2C60" w:rsidRDefault="006013A9" w:rsidP="00C26D7B">
      <w:pPr>
        <w:spacing w:line="360" w:lineRule="auto"/>
        <w:contextualSpacing/>
        <w:jc w:val="both"/>
        <w:rPr>
          <w:rFonts w:ascii="Book Antiqua" w:hAnsi="Book Antiqua"/>
          <w:b/>
          <w:lang w:eastAsia="zh-CN"/>
        </w:rPr>
      </w:pPr>
    </w:p>
    <w:p w14:paraId="6247F41C" w14:textId="39624FC1" w:rsidR="00720E26" w:rsidRDefault="008B4CDF" w:rsidP="00C26D7B">
      <w:pPr>
        <w:autoSpaceDE w:val="0"/>
        <w:autoSpaceDN w:val="0"/>
        <w:adjustRightInd w:val="0"/>
        <w:spacing w:line="360" w:lineRule="auto"/>
        <w:contextualSpacing/>
        <w:jc w:val="both"/>
        <w:rPr>
          <w:rFonts w:ascii="Book Antiqua" w:hAnsi="Book Antiqua" w:cs="Times New Roman"/>
          <w:lang w:eastAsia="zh-CN"/>
        </w:rPr>
      </w:pPr>
      <w:r>
        <w:rPr>
          <w:rFonts w:ascii="Book Antiqua" w:hAnsi="Book Antiqua" w:cs="Times New Roman"/>
          <w:b/>
        </w:rPr>
        <w:t>Conflict</w:t>
      </w:r>
      <w:r w:rsidR="00720E26" w:rsidRPr="008A2C60">
        <w:rPr>
          <w:rFonts w:ascii="Book Antiqua" w:hAnsi="Book Antiqua" w:cs="Times New Roman"/>
          <w:b/>
        </w:rPr>
        <w:t xml:space="preserve">-of-interest statement: </w:t>
      </w:r>
      <w:proofErr w:type="spellStart"/>
      <w:r w:rsidR="00720E26" w:rsidRPr="008A2C60">
        <w:rPr>
          <w:rFonts w:ascii="Book Antiqua" w:hAnsi="Book Antiqua" w:cs="Times New Roman"/>
        </w:rPr>
        <w:t>Prani</w:t>
      </w:r>
      <w:proofErr w:type="spellEnd"/>
      <w:r w:rsidR="00720E26" w:rsidRPr="008A2C60">
        <w:rPr>
          <w:rFonts w:ascii="Book Antiqua" w:hAnsi="Book Antiqua" w:cs="Times New Roman"/>
        </w:rPr>
        <w:t xml:space="preserve"> </w:t>
      </w:r>
      <w:proofErr w:type="spellStart"/>
      <w:r w:rsidR="00720E26" w:rsidRPr="008A2C60">
        <w:rPr>
          <w:rFonts w:ascii="Book Antiqua" w:hAnsi="Book Antiqua" w:cs="Times New Roman"/>
        </w:rPr>
        <w:t>Paka</w:t>
      </w:r>
      <w:proofErr w:type="spellEnd"/>
      <w:r w:rsidR="00720E26" w:rsidRPr="008A2C60">
        <w:rPr>
          <w:rFonts w:ascii="Book Antiqua" w:hAnsi="Book Antiqua" w:cs="Times New Roman"/>
        </w:rPr>
        <w:t xml:space="preserve"> was employed by University of North Carolina (UNC)/GlaxoSmithKline (GSK) as a fellow at the time the article was written (GSK markets the drug Rosiglitazone under the brand name Avandia). GSK is not involved in any part of this review.</w:t>
      </w:r>
      <w:r w:rsidR="00CE3AFE">
        <w:rPr>
          <w:rFonts w:ascii="Book Antiqua" w:hAnsi="Book Antiqua" w:cs="Times New Roman"/>
        </w:rPr>
        <w:t xml:space="preserve"> </w:t>
      </w:r>
      <w:r w:rsidR="00720E26" w:rsidRPr="008A2C60">
        <w:rPr>
          <w:rFonts w:ascii="Book Antiqua" w:hAnsi="Book Antiqua" w:cs="Times New Roman"/>
        </w:rPr>
        <w:t>The authors have no other relevant conflicts to disclose.</w:t>
      </w:r>
      <w:r w:rsidR="006F2A7C" w:rsidRPr="008A2C60">
        <w:rPr>
          <w:rFonts w:ascii="Book Antiqua" w:hAnsi="Book Antiqua" w:cs="Times New Roman"/>
        </w:rPr>
        <w:t xml:space="preserve"> </w:t>
      </w:r>
    </w:p>
    <w:p w14:paraId="42C160D6" w14:textId="77777777" w:rsidR="00933664" w:rsidRDefault="00933664" w:rsidP="00C26D7B">
      <w:pPr>
        <w:autoSpaceDE w:val="0"/>
        <w:autoSpaceDN w:val="0"/>
        <w:adjustRightInd w:val="0"/>
        <w:spacing w:line="360" w:lineRule="auto"/>
        <w:contextualSpacing/>
        <w:jc w:val="both"/>
        <w:rPr>
          <w:rFonts w:ascii="Book Antiqua" w:hAnsi="Book Antiqua" w:cs="Times New Roman"/>
          <w:lang w:eastAsia="zh-CN"/>
        </w:rPr>
      </w:pPr>
    </w:p>
    <w:p w14:paraId="0FACBDA6" w14:textId="70F43CDA" w:rsidR="00933664" w:rsidRDefault="00933664" w:rsidP="00C26D7B">
      <w:pPr>
        <w:autoSpaceDE w:val="0"/>
        <w:autoSpaceDN w:val="0"/>
        <w:adjustRightInd w:val="0"/>
        <w:spacing w:line="360" w:lineRule="auto"/>
        <w:contextualSpacing/>
        <w:jc w:val="both"/>
        <w:rPr>
          <w:rFonts w:ascii="Book Antiqua" w:hAnsi="Book Antiqua" w:cs="Times New Roman"/>
          <w:lang w:eastAsia="zh-CN"/>
        </w:rPr>
      </w:pPr>
      <w:bookmarkStart w:id="48" w:name="OLE_LINK964"/>
      <w:bookmarkStart w:id="49" w:name="OLE_LINK965"/>
      <w:bookmarkStart w:id="50" w:name="OLE_LINK966"/>
      <w:bookmarkStart w:id="51" w:name="OLE_LINK978"/>
      <w:bookmarkStart w:id="52" w:name="OLE_LINK1121"/>
      <w:bookmarkStart w:id="53" w:name="OLE_LINK1079"/>
      <w:bookmarkStart w:id="54" w:name="OLE_LINK1119"/>
      <w:bookmarkStart w:id="55" w:name="OLE_LINK1128"/>
      <w:bookmarkStart w:id="56" w:name="OLE_LINK1012"/>
      <w:bookmarkStart w:id="57" w:name="OLE_LINK1248"/>
      <w:bookmarkStart w:id="58" w:name="OLE_LINK1341"/>
      <w:bookmarkStart w:id="59" w:name="OLE_LINK1342"/>
      <w:bookmarkStart w:id="60" w:name="OLE_LINK1372"/>
      <w:bookmarkStart w:id="61" w:name="OLE_LINK1403"/>
      <w:bookmarkStart w:id="62" w:name="OLE_LINK1404"/>
      <w:bookmarkStart w:id="63" w:name="OLE_LINK1496"/>
      <w:bookmarkStart w:id="64" w:name="OLE_LINK1497"/>
      <w:bookmarkStart w:id="65" w:name="OLE_LINK1510"/>
      <w:r>
        <w:rPr>
          <w:rFonts w:ascii="Book Antiqua" w:hAnsi="Book Antiqua"/>
          <w:b/>
          <w:color w:val="000000"/>
        </w:rPr>
        <w:t xml:space="preserve">Data sharing statement: </w:t>
      </w:r>
      <w:r>
        <w:rPr>
          <w:rFonts w:ascii="Book Antiqua" w:hAnsi="Book Antiqua"/>
          <w:color w:val="000000"/>
        </w:rPr>
        <w:t>No additional data are available.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0EBFE5F" w14:textId="77777777" w:rsidR="00933664" w:rsidRDefault="00933664" w:rsidP="00C26D7B">
      <w:pPr>
        <w:spacing w:line="360" w:lineRule="auto"/>
        <w:contextualSpacing/>
        <w:jc w:val="both"/>
        <w:rPr>
          <w:rFonts w:ascii="Book Antiqua" w:hAnsi="Book Antiqua"/>
          <w:b/>
          <w:lang w:eastAsia="zh-CN"/>
        </w:rPr>
      </w:pPr>
    </w:p>
    <w:p w14:paraId="150A50A9" w14:textId="2A0A369E" w:rsidR="00417623" w:rsidRDefault="00933664" w:rsidP="00C26D7B">
      <w:pPr>
        <w:spacing w:line="360" w:lineRule="auto"/>
        <w:contextualSpacing/>
        <w:jc w:val="both"/>
        <w:rPr>
          <w:rFonts w:ascii="Book Antiqua" w:hAnsi="Book Antiqua"/>
          <w:color w:val="000000"/>
          <w:lang w:eastAsia="zh-CN"/>
        </w:rPr>
      </w:pPr>
      <w:bookmarkStart w:id="66" w:name="OLE_LINK907"/>
      <w:bookmarkStart w:id="67" w:name="OLE_LINK760"/>
      <w:bookmarkStart w:id="68" w:name="OLE_LINK650"/>
      <w:bookmarkStart w:id="69" w:name="OLE_LINK649"/>
      <w:bookmarkStart w:id="70" w:name="OLE_LINK1122"/>
      <w:bookmarkStart w:id="71" w:name="OLE_LINK986"/>
      <w:bookmarkStart w:id="72" w:name="OLE_LINK985"/>
      <w:bookmarkStart w:id="73" w:name="OLE_LINK1098"/>
      <w:bookmarkStart w:id="74" w:name="OLE_LINK1097"/>
      <w:bookmarkStart w:id="75" w:name="OLE_LINK1096"/>
      <w:bookmarkStart w:id="76" w:name="OLE_LINK570"/>
      <w:bookmarkStart w:id="77" w:name="OLE_LINK1025"/>
      <w:bookmarkStart w:id="78" w:name="OLE_LINK1024"/>
      <w:r>
        <w:rPr>
          <w:rFonts w:ascii="Book Antiqua" w:hAnsi="Book Antiqua"/>
          <w:b/>
          <w:color w:val="000000"/>
        </w:rPr>
        <w:t xml:space="preserve">Open-Access: </w:t>
      </w:r>
      <w:r>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33664">
        <w:rPr>
          <w:rFonts w:ascii="Book Antiqua" w:hAnsi="Book Antiqua"/>
          <w:color w:val="000000"/>
        </w:rPr>
        <w:t>http://creativecommons.org/licenses/by-nc/4.0/</w:t>
      </w:r>
      <w:bookmarkEnd w:id="66"/>
      <w:bookmarkEnd w:id="67"/>
      <w:bookmarkEnd w:id="68"/>
      <w:bookmarkEnd w:id="69"/>
      <w:bookmarkEnd w:id="70"/>
      <w:bookmarkEnd w:id="71"/>
      <w:bookmarkEnd w:id="72"/>
      <w:bookmarkEnd w:id="73"/>
      <w:bookmarkEnd w:id="74"/>
      <w:bookmarkEnd w:id="75"/>
      <w:bookmarkEnd w:id="76"/>
      <w:bookmarkEnd w:id="77"/>
      <w:bookmarkEnd w:id="78"/>
    </w:p>
    <w:p w14:paraId="26A9D7AF" w14:textId="77777777" w:rsidR="00933664" w:rsidRDefault="00933664" w:rsidP="00C26D7B">
      <w:pPr>
        <w:spacing w:line="360" w:lineRule="auto"/>
        <w:contextualSpacing/>
        <w:jc w:val="both"/>
        <w:rPr>
          <w:rFonts w:ascii="Book Antiqua" w:hAnsi="Book Antiqua"/>
          <w:color w:val="000000"/>
          <w:lang w:eastAsia="zh-CN"/>
        </w:rPr>
      </w:pPr>
    </w:p>
    <w:p w14:paraId="74C2D0F7" w14:textId="32FA87B8" w:rsidR="00933664" w:rsidRPr="008A2C60" w:rsidRDefault="00933664" w:rsidP="00C26D7B">
      <w:pPr>
        <w:spacing w:line="360" w:lineRule="auto"/>
        <w:contextualSpacing/>
        <w:jc w:val="both"/>
        <w:rPr>
          <w:rFonts w:ascii="Book Antiqua" w:hAnsi="Book Antiqua"/>
          <w:lang w:eastAsia="zh-CN"/>
        </w:rPr>
      </w:pPr>
      <w:bookmarkStart w:id="79" w:name="OLE_LINK1099"/>
      <w:bookmarkStart w:id="80" w:name="OLE_LINK1100"/>
      <w:bookmarkStart w:id="81" w:name="OLE_LINK1017"/>
      <w:r w:rsidRPr="00381549">
        <w:rPr>
          <w:rFonts w:ascii="Book Antiqua" w:hAnsi="Book Antiqua" w:cs="Arial Unicode MS"/>
          <w:b/>
          <w:color w:val="000000"/>
        </w:rPr>
        <w:t xml:space="preserve">Manuscript source: </w:t>
      </w:r>
      <w:bookmarkStart w:id="82" w:name="OLE_LINK385"/>
      <w:bookmarkStart w:id="83" w:name="OLE_LINK389"/>
      <w:r w:rsidRPr="00381549">
        <w:rPr>
          <w:rFonts w:ascii="Book Antiqua" w:hAnsi="Book Antiqua" w:cs="Arial Unicode MS"/>
          <w:color w:val="000000"/>
        </w:rPr>
        <w:t xml:space="preserve">Unsolicited </w:t>
      </w:r>
      <w:bookmarkEnd w:id="82"/>
      <w:bookmarkEnd w:id="83"/>
      <w:r w:rsidRPr="00381549">
        <w:rPr>
          <w:rFonts w:ascii="Book Antiqua" w:hAnsi="Book Antiqua" w:cs="Arial Unicode MS"/>
          <w:color w:val="000000"/>
        </w:rPr>
        <w:t>manuscript</w:t>
      </w:r>
      <w:bookmarkEnd w:id="79"/>
      <w:bookmarkEnd w:id="80"/>
      <w:bookmarkEnd w:id="81"/>
    </w:p>
    <w:p w14:paraId="785B4550" w14:textId="77777777" w:rsidR="00FE2E73" w:rsidRPr="008A2C60" w:rsidRDefault="00FE2E73" w:rsidP="00C26D7B">
      <w:pPr>
        <w:spacing w:line="360" w:lineRule="auto"/>
        <w:contextualSpacing/>
        <w:jc w:val="both"/>
        <w:rPr>
          <w:rFonts w:ascii="Book Antiqua" w:hAnsi="Book Antiqua"/>
          <w:b/>
        </w:rPr>
      </w:pPr>
    </w:p>
    <w:p w14:paraId="79A1242C" w14:textId="405B5799" w:rsidR="00461549" w:rsidRPr="00933664" w:rsidRDefault="00E27AEA" w:rsidP="00C26D7B">
      <w:pPr>
        <w:spacing w:line="360" w:lineRule="auto"/>
        <w:contextualSpacing/>
        <w:jc w:val="both"/>
        <w:rPr>
          <w:rFonts w:ascii="Book Antiqua" w:hAnsi="Book Antiqua" w:cs="Times New Roman"/>
        </w:rPr>
      </w:pPr>
      <w:r w:rsidRPr="008A2C60">
        <w:rPr>
          <w:rFonts w:ascii="Book Antiqua" w:hAnsi="Book Antiqua" w:cs="Times New Roman"/>
          <w:b/>
        </w:rPr>
        <w:t>Correspondence</w:t>
      </w:r>
      <w:r w:rsidR="00417623" w:rsidRPr="008A2C60">
        <w:rPr>
          <w:rFonts w:ascii="Book Antiqua" w:hAnsi="Book Antiqua" w:cs="Times New Roman"/>
          <w:b/>
        </w:rPr>
        <w:t xml:space="preserve"> to</w:t>
      </w:r>
      <w:r w:rsidRPr="008A2C60">
        <w:rPr>
          <w:rFonts w:ascii="Book Antiqua" w:hAnsi="Book Antiqua" w:cs="Times New Roman"/>
          <w:b/>
        </w:rPr>
        <w:t>:</w:t>
      </w:r>
      <w:r w:rsidRPr="008A2C60">
        <w:rPr>
          <w:rFonts w:ascii="Book Antiqua" w:hAnsi="Book Antiqua" w:cs="Times New Roman"/>
        </w:rPr>
        <w:t xml:space="preserve"> </w:t>
      </w:r>
      <w:r w:rsidR="00933664" w:rsidRPr="000834DC">
        <w:rPr>
          <w:rFonts w:ascii="Book Antiqua" w:eastAsia="Times New Roman" w:hAnsi="Book Antiqua" w:cs="Times New Roman"/>
          <w:b/>
          <w:color w:val="000000"/>
        </w:rPr>
        <w:t xml:space="preserve">Alfred Sidney </w:t>
      </w:r>
      <w:proofErr w:type="spellStart"/>
      <w:r w:rsidR="00933664" w:rsidRPr="000834DC">
        <w:rPr>
          <w:rFonts w:ascii="Book Antiqua" w:eastAsia="Times New Roman" w:hAnsi="Book Antiqua" w:cs="Times New Roman"/>
          <w:b/>
          <w:color w:val="000000"/>
        </w:rPr>
        <w:t>Barritt</w:t>
      </w:r>
      <w:proofErr w:type="spellEnd"/>
      <w:r w:rsidR="00933664">
        <w:rPr>
          <w:rFonts w:ascii="Book Antiqua" w:hAnsi="Book Antiqua" w:cstheme="majorHAnsi"/>
        </w:rPr>
        <w:t xml:space="preserve">, </w:t>
      </w:r>
      <w:r w:rsidR="00933664" w:rsidRPr="00CE3AFE">
        <w:rPr>
          <w:rFonts w:ascii="Book Antiqua" w:eastAsia="Times New Roman" w:hAnsi="Book Antiqua" w:cs="Times New Roman"/>
          <w:b/>
          <w:color w:val="000000"/>
        </w:rPr>
        <w:t>MD</w:t>
      </w:r>
      <w:r w:rsidR="00F546A1" w:rsidRPr="00CE3AFE">
        <w:rPr>
          <w:rFonts w:ascii="Book Antiqua" w:eastAsia="Times New Roman" w:hAnsi="Book Antiqua" w:cs="Times New Roman"/>
          <w:b/>
          <w:color w:val="000000"/>
        </w:rPr>
        <w:t>,</w:t>
      </w:r>
      <w:r w:rsidR="00CE3AFE">
        <w:rPr>
          <w:rFonts w:ascii="Book Antiqua" w:hAnsi="Book Antiqua" w:cs="Times New Roman" w:hint="eastAsia"/>
          <w:b/>
          <w:color w:val="000000"/>
          <w:lang w:eastAsia="zh-CN"/>
        </w:rPr>
        <w:t xml:space="preserve"> </w:t>
      </w:r>
      <w:r w:rsidR="00CE3AFE" w:rsidRPr="00CE3AFE">
        <w:rPr>
          <w:rFonts w:ascii="Book Antiqua" w:eastAsia="Times New Roman" w:hAnsi="Book Antiqua" w:cs="Times New Roman"/>
          <w:b/>
          <w:color w:val="000000"/>
        </w:rPr>
        <w:t>Associate Professor</w:t>
      </w:r>
      <w:r w:rsidR="00CE3AFE" w:rsidRPr="00CE3AFE">
        <w:rPr>
          <w:rFonts w:ascii="Book Antiqua" w:eastAsia="Times New Roman" w:hAnsi="Book Antiqua" w:cs="Times New Roman" w:hint="eastAsia"/>
          <w:b/>
          <w:color w:val="000000"/>
        </w:rPr>
        <w:t>,</w:t>
      </w:r>
      <w:r w:rsidR="00CE3AFE">
        <w:rPr>
          <w:rFonts w:ascii="Book Antiqua" w:hAnsi="Book Antiqua" w:cstheme="majorHAnsi" w:hint="eastAsia"/>
          <w:lang w:eastAsia="zh-CN"/>
        </w:rPr>
        <w:t xml:space="preserve"> </w:t>
      </w:r>
      <w:r w:rsidR="008422C5" w:rsidRPr="008A2C60">
        <w:rPr>
          <w:rFonts w:ascii="Book Antiqua" w:hAnsi="Book Antiqua" w:cs="Times New Roman"/>
        </w:rPr>
        <w:t xml:space="preserve">Division of Gastroenterology and Hepatology, Department of Medicine, University of North Carolina, </w:t>
      </w:r>
      <w:r w:rsidR="00F546A1" w:rsidRPr="008A2C60">
        <w:rPr>
          <w:rFonts w:ascii="Book Antiqua" w:hAnsi="Book Antiqua" w:cstheme="majorHAnsi"/>
        </w:rPr>
        <w:t>Campus Box 7584, 130 Mason Farm Road, Chapel Hill, NC 27599, United States.</w:t>
      </w:r>
      <w:r w:rsidR="00CE3AFE">
        <w:rPr>
          <w:rFonts w:ascii="Book Antiqua" w:hAnsi="Book Antiqua" w:cstheme="majorHAnsi"/>
        </w:rPr>
        <w:t xml:space="preserve"> </w:t>
      </w:r>
      <w:r w:rsidR="00461549" w:rsidRPr="00933664">
        <w:rPr>
          <w:rFonts w:ascii="Book Antiqua" w:hAnsi="Book Antiqua" w:cstheme="majorHAnsi"/>
        </w:rPr>
        <w:t>barritt@med.unc.edu</w:t>
      </w:r>
    </w:p>
    <w:p w14:paraId="64C99EDD" w14:textId="29559D02" w:rsidR="00F546A1" w:rsidRPr="008A2C60" w:rsidRDefault="00461549" w:rsidP="00C26D7B">
      <w:pPr>
        <w:spacing w:line="360" w:lineRule="auto"/>
        <w:contextualSpacing/>
        <w:jc w:val="both"/>
        <w:rPr>
          <w:rFonts w:ascii="Book Antiqua" w:hAnsi="Book Antiqua" w:cstheme="majorHAnsi"/>
        </w:rPr>
      </w:pPr>
      <w:r w:rsidRPr="00933664">
        <w:rPr>
          <w:rFonts w:ascii="Book Antiqua" w:hAnsi="Book Antiqua" w:cstheme="majorHAnsi"/>
          <w:b/>
        </w:rPr>
        <w:t xml:space="preserve">Telephone: </w:t>
      </w:r>
      <w:r w:rsidR="008422C5">
        <w:rPr>
          <w:rFonts w:ascii="Book Antiqua" w:hAnsi="Book Antiqua" w:cstheme="majorHAnsi"/>
        </w:rPr>
        <w:t>+1-919-966</w:t>
      </w:r>
      <w:r w:rsidRPr="008A2C60">
        <w:rPr>
          <w:rFonts w:ascii="Book Antiqua" w:hAnsi="Book Antiqua" w:cstheme="majorHAnsi"/>
        </w:rPr>
        <w:t>2516</w:t>
      </w:r>
    </w:p>
    <w:p w14:paraId="3DD7C51A" w14:textId="5EFEEBBB" w:rsidR="00461549" w:rsidRDefault="00461549" w:rsidP="00C26D7B">
      <w:pPr>
        <w:spacing w:line="360" w:lineRule="auto"/>
        <w:contextualSpacing/>
        <w:jc w:val="both"/>
        <w:rPr>
          <w:rFonts w:ascii="Book Antiqua" w:hAnsi="Book Antiqua" w:cstheme="majorHAnsi"/>
          <w:lang w:eastAsia="zh-CN"/>
        </w:rPr>
      </w:pPr>
      <w:r w:rsidRPr="00933664">
        <w:rPr>
          <w:rFonts w:ascii="Book Antiqua" w:hAnsi="Book Antiqua" w:cstheme="majorHAnsi"/>
          <w:b/>
        </w:rPr>
        <w:t xml:space="preserve">Fax: </w:t>
      </w:r>
      <w:r w:rsidR="008422C5">
        <w:rPr>
          <w:rFonts w:ascii="Book Antiqua" w:hAnsi="Book Antiqua" w:cstheme="majorHAnsi"/>
        </w:rPr>
        <w:t>+1-919-966</w:t>
      </w:r>
      <w:r w:rsidRPr="008A2C60">
        <w:rPr>
          <w:rFonts w:ascii="Book Antiqua" w:hAnsi="Book Antiqua" w:cstheme="majorHAnsi"/>
        </w:rPr>
        <w:t>1700</w:t>
      </w:r>
    </w:p>
    <w:p w14:paraId="3D8F1BA9" w14:textId="77777777" w:rsidR="008422C5" w:rsidRDefault="008422C5" w:rsidP="00C26D7B">
      <w:pPr>
        <w:spacing w:line="360" w:lineRule="auto"/>
        <w:contextualSpacing/>
        <w:jc w:val="both"/>
        <w:rPr>
          <w:rFonts w:ascii="Book Antiqua" w:hAnsi="Book Antiqua" w:cstheme="majorHAnsi"/>
          <w:lang w:eastAsia="zh-CN"/>
        </w:rPr>
      </w:pPr>
    </w:p>
    <w:p w14:paraId="43D0B3C4" w14:textId="1349535C" w:rsidR="008422C5" w:rsidRPr="00381549" w:rsidRDefault="008422C5" w:rsidP="00C26D7B">
      <w:pPr>
        <w:spacing w:line="360" w:lineRule="auto"/>
        <w:jc w:val="both"/>
        <w:rPr>
          <w:rFonts w:ascii="Book Antiqua" w:hAnsi="Book Antiqua"/>
          <w:b/>
          <w:lang w:eastAsia="zh-CN"/>
        </w:rPr>
      </w:pPr>
      <w:bookmarkStart w:id="84" w:name="OLE_LINK775"/>
      <w:bookmarkStart w:id="85" w:name="OLE_LINK923"/>
      <w:bookmarkStart w:id="86" w:name="OLE_LINK924"/>
      <w:bookmarkStart w:id="87" w:name="OLE_LINK64"/>
      <w:bookmarkStart w:id="88" w:name="OLE_LINK67"/>
      <w:bookmarkStart w:id="89" w:name="OLE_LINK218"/>
      <w:bookmarkStart w:id="90" w:name="OLE_LINK245"/>
      <w:bookmarkStart w:id="91" w:name="OLE_LINK934"/>
      <w:bookmarkStart w:id="92" w:name="OLE_LINK1107"/>
      <w:bookmarkStart w:id="93" w:name="OLE_LINK1108"/>
      <w:bookmarkStart w:id="94" w:name="OLE_LINK1109"/>
      <w:bookmarkStart w:id="95" w:name="OLE_LINK989"/>
      <w:bookmarkStart w:id="96" w:name="OLE_LINK990"/>
      <w:bookmarkStart w:id="97" w:name="OLE_LINK1124"/>
      <w:bookmarkStart w:id="98" w:name="OLE_LINK1213"/>
      <w:bookmarkStart w:id="99" w:name="OLE_LINK971"/>
      <w:bookmarkStart w:id="100" w:name="OLE_LINK1014"/>
      <w:bookmarkStart w:id="101" w:name="OLE_LINK1153"/>
      <w:bookmarkStart w:id="102" w:name="OLE_LINK906"/>
      <w:bookmarkStart w:id="103" w:name="OLE_LINK1542"/>
      <w:bookmarkStart w:id="104" w:name="OLE_LINK909"/>
      <w:bookmarkStart w:id="105" w:name="OLE_LINK1365"/>
      <w:r w:rsidRPr="00381549">
        <w:rPr>
          <w:rFonts w:ascii="Book Antiqua" w:hAnsi="Book Antiqua"/>
          <w:b/>
        </w:rPr>
        <w:t>Received:</w:t>
      </w:r>
      <w:r>
        <w:rPr>
          <w:rFonts w:ascii="Book Antiqua" w:hAnsi="Book Antiqua" w:hint="eastAsia"/>
          <w:b/>
          <w:lang w:eastAsia="zh-CN"/>
        </w:rPr>
        <w:t xml:space="preserve"> </w:t>
      </w:r>
      <w:bookmarkStart w:id="106" w:name="OLE_LINK1557"/>
      <w:bookmarkStart w:id="107" w:name="OLE_LINK1558"/>
      <w:r w:rsidRPr="008422C5">
        <w:rPr>
          <w:rFonts w:ascii="Book Antiqua" w:hAnsi="Book Antiqua" w:hint="eastAsia"/>
          <w:lang w:eastAsia="zh-CN"/>
        </w:rPr>
        <w:t>January 23, 2018</w:t>
      </w:r>
      <w:bookmarkEnd w:id="106"/>
      <w:bookmarkEnd w:id="107"/>
    </w:p>
    <w:p w14:paraId="388D3960" w14:textId="2A760E98" w:rsidR="008422C5" w:rsidRPr="00381549" w:rsidRDefault="008422C5" w:rsidP="00C26D7B">
      <w:pPr>
        <w:spacing w:line="360" w:lineRule="auto"/>
        <w:jc w:val="both"/>
        <w:rPr>
          <w:rFonts w:ascii="Book Antiqua" w:hAnsi="Book Antiqua"/>
          <w:b/>
          <w:lang w:eastAsia="zh-CN"/>
        </w:rPr>
      </w:pPr>
      <w:r w:rsidRPr="00381549">
        <w:rPr>
          <w:rFonts w:ascii="Book Antiqua" w:hAnsi="Book Antiqua" w:hint="eastAsia"/>
          <w:b/>
        </w:rPr>
        <w:lastRenderedPageBreak/>
        <w:t>Peer-review started</w:t>
      </w:r>
      <w:r w:rsidRPr="00381549">
        <w:rPr>
          <w:rFonts w:ascii="Book Antiqua" w:hAnsi="Book Antiqua"/>
          <w:b/>
        </w:rPr>
        <w:t>:</w:t>
      </w:r>
      <w:r w:rsidR="007A3E9A">
        <w:rPr>
          <w:rFonts w:ascii="Book Antiqua" w:hAnsi="Book Antiqua" w:hint="eastAsia"/>
          <w:b/>
          <w:lang w:eastAsia="zh-CN"/>
        </w:rPr>
        <w:t xml:space="preserve"> </w:t>
      </w:r>
      <w:r w:rsidR="007A3E9A" w:rsidRPr="008422C5">
        <w:rPr>
          <w:rFonts w:ascii="Book Antiqua" w:hAnsi="Book Antiqua" w:hint="eastAsia"/>
          <w:lang w:eastAsia="zh-CN"/>
        </w:rPr>
        <w:t>January 23, 2018</w:t>
      </w:r>
    </w:p>
    <w:p w14:paraId="1CDEE32E" w14:textId="0E1AB902" w:rsidR="008422C5" w:rsidRPr="00381549" w:rsidRDefault="008422C5" w:rsidP="00C26D7B">
      <w:pPr>
        <w:spacing w:line="360" w:lineRule="auto"/>
        <w:jc w:val="both"/>
        <w:rPr>
          <w:rFonts w:ascii="Book Antiqua" w:hAnsi="Book Antiqua"/>
          <w:b/>
          <w:lang w:eastAsia="zh-CN"/>
        </w:rPr>
      </w:pPr>
      <w:r w:rsidRPr="00381549">
        <w:rPr>
          <w:rFonts w:ascii="Book Antiqua" w:hAnsi="Book Antiqua"/>
          <w:b/>
        </w:rPr>
        <w:t>First decision:</w:t>
      </w:r>
      <w:r w:rsidR="007A3E9A">
        <w:rPr>
          <w:rFonts w:ascii="Book Antiqua" w:hAnsi="Book Antiqua" w:hint="eastAsia"/>
          <w:b/>
          <w:lang w:eastAsia="zh-CN"/>
        </w:rPr>
        <w:t xml:space="preserve"> </w:t>
      </w:r>
      <w:bookmarkStart w:id="108" w:name="OLE_LINK1559"/>
      <w:bookmarkStart w:id="109" w:name="OLE_LINK1560"/>
      <w:bookmarkStart w:id="110" w:name="OLE_LINK1561"/>
      <w:r w:rsidR="007A3E9A" w:rsidRPr="007A3E9A">
        <w:rPr>
          <w:rFonts w:ascii="Book Antiqua" w:hAnsi="Book Antiqua" w:hint="eastAsia"/>
          <w:lang w:eastAsia="zh-CN"/>
        </w:rPr>
        <w:t>February 9, 2018</w:t>
      </w:r>
      <w:bookmarkEnd w:id="108"/>
      <w:bookmarkEnd w:id="109"/>
      <w:bookmarkEnd w:id="110"/>
    </w:p>
    <w:p w14:paraId="2DBE243E" w14:textId="41CA3311" w:rsidR="008422C5" w:rsidRPr="00381549" w:rsidRDefault="008422C5" w:rsidP="00C26D7B">
      <w:pPr>
        <w:spacing w:line="360" w:lineRule="auto"/>
        <w:jc w:val="both"/>
        <w:rPr>
          <w:rFonts w:ascii="Book Antiqua" w:hAnsi="Book Antiqua"/>
          <w:b/>
          <w:lang w:eastAsia="zh-CN"/>
        </w:rPr>
      </w:pPr>
      <w:r w:rsidRPr="00381549">
        <w:rPr>
          <w:rFonts w:ascii="Book Antiqua" w:hAnsi="Book Antiqua"/>
          <w:b/>
        </w:rPr>
        <w:t>Revised:</w:t>
      </w:r>
      <w:r w:rsidR="007A3E9A">
        <w:rPr>
          <w:rFonts w:ascii="Book Antiqua" w:hAnsi="Book Antiqua" w:hint="eastAsia"/>
          <w:b/>
          <w:lang w:eastAsia="zh-CN"/>
        </w:rPr>
        <w:t xml:space="preserve"> </w:t>
      </w:r>
      <w:r w:rsidR="007A3E9A" w:rsidRPr="007A3E9A">
        <w:rPr>
          <w:rFonts w:ascii="Book Antiqua" w:hAnsi="Book Antiqua" w:hint="eastAsia"/>
          <w:lang w:eastAsia="zh-CN"/>
        </w:rPr>
        <w:t xml:space="preserve">February </w:t>
      </w:r>
      <w:r w:rsidR="007A3E9A">
        <w:rPr>
          <w:rFonts w:ascii="Book Antiqua" w:hAnsi="Book Antiqua" w:hint="eastAsia"/>
          <w:lang w:eastAsia="zh-CN"/>
        </w:rPr>
        <w:t>20</w:t>
      </w:r>
      <w:r w:rsidR="007A3E9A" w:rsidRPr="007A3E9A">
        <w:rPr>
          <w:rFonts w:ascii="Book Antiqua" w:hAnsi="Book Antiqua" w:hint="eastAsia"/>
          <w:lang w:eastAsia="zh-CN"/>
        </w:rPr>
        <w:t>, 2018</w:t>
      </w:r>
    </w:p>
    <w:p w14:paraId="728131C4" w14:textId="719D51B8" w:rsidR="008422C5" w:rsidRPr="00381549" w:rsidRDefault="008422C5" w:rsidP="00C26D7B">
      <w:pPr>
        <w:spacing w:line="360" w:lineRule="auto"/>
        <w:jc w:val="both"/>
        <w:rPr>
          <w:rFonts w:ascii="Book Antiqua" w:hAnsi="Book Antiqua"/>
          <w:b/>
        </w:rPr>
      </w:pPr>
      <w:r w:rsidRPr="00381549">
        <w:rPr>
          <w:rFonts w:ascii="Book Antiqua" w:hAnsi="Book Antiqua"/>
          <w:b/>
        </w:rPr>
        <w:t>Accepted:</w:t>
      </w:r>
      <w:r w:rsidR="00CE3AFE">
        <w:rPr>
          <w:rFonts w:ascii="Book Antiqua" w:hAnsi="Book Antiqua" w:hint="eastAsia"/>
          <w:b/>
        </w:rPr>
        <w:t xml:space="preserve"> </w:t>
      </w:r>
      <w:r w:rsidR="008972E3" w:rsidRPr="008972E3">
        <w:rPr>
          <w:rFonts w:ascii="Book Antiqua" w:hAnsi="Book Antiqua"/>
        </w:rPr>
        <w:t>April 1, 2018</w:t>
      </w:r>
    </w:p>
    <w:p w14:paraId="615F24D6" w14:textId="77777777" w:rsidR="008422C5" w:rsidRPr="00381549" w:rsidRDefault="008422C5" w:rsidP="00C26D7B">
      <w:pPr>
        <w:spacing w:line="360" w:lineRule="auto"/>
        <w:jc w:val="both"/>
        <w:rPr>
          <w:rFonts w:ascii="Book Antiqua" w:hAnsi="Book Antiqua"/>
          <w:b/>
        </w:rPr>
      </w:pPr>
      <w:r w:rsidRPr="00381549">
        <w:rPr>
          <w:rFonts w:ascii="Book Antiqua" w:hAnsi="Book Antiqua"/>
          <w:b/>
        </w:rPr>
        <w:t>Article in press:</w:t>
      </w:r>
    </w:p>
    <w:p w14:paraId="63D28EA7" w14:textId="580EEFE1" w:rsidR="008422C5" w:rsidRPr="008A2C60" w:rsidRDefault="008422C5" w:rsidP="00C26D7B">
      <w:pPr>
        <w:spacing w:line="360" w:lineRule="auto"/>
        <w:contextualSpacing/>
        <w:jc w:val="both"/>
        <w:rPr>
          <w:rFonts w:ascii="Book Antiqua" w:hAnsi="Book Antiqua" w:cstheme="majorHAnsi"/>
          <w:lang w:eastAsia="zh-CN"/>
        </w:rPr>
      </w:pPr>
      <w:r w:rsidRPr="00381549">
        <w:rPr>
          <w:rFonts w:ascii="Book Antiqua" w:hAnsi="Book Antiqua"/>
          <w:b/>
        </w:rPr>
        <w:t>Published online: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B891D10" w14:textId="243CD48D" w:rsidR="00AF788B" w:rsidRPr="008A2C60" w:rsidRDefault="00E27AEA" w:rsidP="00C26D7B">
      <w:pPr>
        <w:spacing w:line="360" w:lineRule="auto"/>
        <w:contextualSpacing/>
        <w:jc w:val="both"/>
        <w:rPr>
          <w:rFonts w:ascii="Book Antiqua" w:hAnsi="Book Antiqua"/>
          <w:b/>
          <w:lang w:eastAsia="zh-CN"/>
        </w:rPr>
      </w:pPr>
      <w:r w:rsidRPr="008A2C60">
        <w:rPr>
          <w:rFonts w:ascii="Book Antiqua" w:hAnsi="Book Antiqua"/>
          <w:b/>
        </w:rPr>
        <w:br w:type="page"/>
      </w:r>
    </w:p>
    <w:p w14:paraId="62342B57" w14:textId="5445A1F7" w:rsidR="00CC66FF" w:rsidRPr="008A2C60" w:rsidRDefault="007A3E9A" w:rsidP="00C26D7B">
      <w:pPr>
        <w:spacing w:line="360" w:lineRule="auto"/>
        <w:contextualSpacing/>
        <w:jc w:val="both"/>
        <w:rPr>
          <w:rFonts w:ascii="Book Antiqua" w:hAnsi="Book Antiqua"/>
          <w:lang w:eastAsia="zh-CN"/>
        </w:rPr>
      </w:pPr>
      <w:r>
        <w:rPr>
          <w:rFonts w:ascii="Book Antiqua" w:hAnsi="Book Antiqua"/>
          <w:b/>
          <w:color w:val="000000"/>
        </w:rPr>
        <w:lastRenderedPageBreak/>
        <w:t>Abstract</w:t>
      </w:r>
    </w:p>
    <w:p w14:paraId="17546E42" w14:textId="77777777" w:rsidR="007A3E9A" w:rsidRDefault="007A3E9A" w:rsidP="00C26D7B">
      <w:pPr>
        <w:spacing w:line="360" w:lineRule="auto"/>
        <w:contextualSpacing/>
        <w:jc w:val="both"/>
        <w:rPr>
          <w:rFonts w:ascii="Book Antiqua" w:hAnsi="Book Antiqua"/>
          <w:b/>
          <w:i/>
          <w:lang w:eastAsia="zh-CN"/>
        </w:rPr>
      </w:pPr>
      <w:bookmarkStart w:id="111" w:name="OLE_LINK993"/>
      <w:bookmarkStart w:id="112" w:name="OLE_LINK992"/>
      <w:r>
        <w:rPr>
          <w:rFonts w:ascii="Book Antiqua" w:hAnsi="Book Antiqua"/>
          <w:b/>
          <w:i/>
        </w:rPr>
        <w:t>AIM</w:t>
      </w:r>
      <w:bookmarkEnd w:id="111"/>
      <w:bookmarkEnd w:id="112"/>
      <w:r>
        <w:rPr>
          <w:rFonts w:ascii="Book Antiqua" w:hAnsi="Book Antiqua"/>
          <w:b/>
          <w:i/>
        </w:rPr>
        <w:t xml:space="preserve"> </w:t>
      </w:r>
    </w:p>
    <w:p w14:paraId="12E4717F" w14:textId="266C9BEF" w:rsidR="00064367" w:rsidRPr="008A2C60" w:rsidRDefault="007A3E9A" w:rsidP="00C26D7B">
      <w:pPr>
        <w:spacing w:line="360" w:lineRule="auto"/>
        <w:contextualSpacing/>
        <w:jc w:val="both"/>
        <w:rPr>
          <w:rFonts w:ascii="Book Antiqua" w:hAnsi="Book Antiqua"/>
        </w:rPr>
      </w:pPr>
      <w:proofErr w:type="gramStart"/>
      <w:r>
        <w:rPr>
          <w:rFonts w:ascii="Book Antiqua" w:hAnsi="Book Antiqua" w:hint="eastAsia"/>
          <w:lang w:eastAsia="zh-CN"/>
        </w:rPr>
        <w:t xml:space="preserve">To </w:t>
      </w:r>
      <w:r>
        <w:rPr>
          <w:rFonts w:ascii="Book Antiqua" w:hAnsi="Book Antiqua"/>
        </w:rPr>
        <w:t>investigate</w:t>
      </w:r>
      <w:r w:rsidR="00064367" w:rsidRPr="008A2C60">
        <w:rPr>
          <w:rFonts w:ascii="Book Antiqua" w:hAnsi="Book Antiqua"/>
        </w:rPr>
        <w:t xml:space="preserve"> </w:t>
      </w:r>
      <w:r>
        <w:rPr>
          <w:rFonts w:ascii="Book Antiqua" w:hAnsi="Book Antiqua"/>
        </w:rPr>
        <w:t>the relationship between post-</w:t>
      </w:r>
      <w:r w:rsidRPr="008A2C60">
        <w:rPr>
          <w:rFonts w:ascii="Book Antiqua" w:hAnsi="Book Antiqua"/>
        </w:rPr>
        <w:t>liver transplantation (LT)</w:t>
      </w:r>
      <w:r w:rsidR="00064367" w:rsidRPr="008A2C60">
        <w:rPr>
          <w:rFonts w:ascii="Book Antiqua" w:hAnsi="Book Antiqua"/>
        </w:rPr>
        <w:t xml:space="preserve"> glycemic control and LT outcomes.</w:t>
      </w:r>
      <w:proofErr w:type="gramEnd"/>
      <w:r w:rsidR="00CE3AFE">
        <w:rPr>
          <w:rFonts w:ascii="Book Antiqua" w:hAnsi="Book Antiqua"/>
        </w:rPr>
        <w:t xml:space="preserve"> </w:t>
      </w:r>
    </w:p>
    <w:p w14:paraId="60E2BF65" w14:textId="77777777" w:rsidR="00064367" w:rsidRPr="008A2C60" w:rsidRDefault="00064367" w:rsidP="00C26D7B">
      <w:pPr>
        <w:spacing w:line="360" w:lineRule="auto"/>
        <w:contextualSpacing/>
        <w:jc w:val="both"/>
        <w:rPr>
          <w:rFonts w:ascii="Book Antiqua" w:hAnsi="Book Antiqua"/>
        </w:rPr>
      </w:pPr>
    </w:p>
    <w:p w14:paraId="31C8E4A0" w14:textId="77777777" w:rsidR="007A3E9A" w:rsidRDefault="007A3E9A" w:rsidP="00C26D7B">
      <w:pPr>
        <w:spacing w:line="360" w:lineRule="auto"/>
        <w:contextualSpacing/>
        <w:jc w:val="both"/>
        <w:rPr>
          <w:rFonts w:ascii="Book Antiqua" w:hAnsi="Book Antiqua"/>
          <w:b/>
          <w:i/>
          <w:lang w:eastAsia="zh-CN"/>
        </w:rPr>
      </w:pPr>
      <w:bookmarkStart w:id="113" w:name="OLE_LINK1280"/>
      <w:bookmarkStart w:id="114" w:name="OLE_LINK1283"/>
      <w:bookmarkStart w:id="115" w:name="OLE_LINK1284"/>
      <w:r w:rsidRPr="002176B2">
        <w:rPr>
          <w:rFonts w:ascii="Book Antiqua" w:hAnsi="Book Antiqua"/>
          <w:b/>
          <w:i/>
        </w:rPr>
        <w:t>METHODS</w:t>
      </w:r>
      <w:bookmarkEnd w:id="113"/>
      <w:bookmarkEnd w:id="114"/>
      <w:bookmarkEnd w:id="115"/>
      <w:r w:rsidRPr="002176B2">
        <w:rPr>
          <w:rFonts w:ascii="Book Antiqua" w:hAnsi="Book Antiqua"/>
          <w:b/>
          <w:i/>
        </w:rPr>
        <w:t xml:space="preserve"> </w:t>
      </w:r>
    </w:p>
    <w:p w14:paraId="75D5709C" w14:textId="02F79FE0" w:rsidR="00064367" w:rsidRPr="008A2C60" w:rsidRDefault="00064367" w:rsidP="00C26D7B">
      <w:pPr>
        <w:spacing w:line="360" w:lineRule="auto"/>
        <w:contextualSpacing/>
        <w:jc w:val="both"/>
        <w:rPr>
          <w:rFonts w:ascii="Book Antiqua" w:hAnsi="Book Antiqua"/>
        </w:rPr>
      </w:pPr>
      <w:r w:rsidRPr="008A2C60">
        <w:rPr>
          <w:rFonts w:ascii="Book Antiqua" w:hAnsi="Book Antiqua"/>
        </w:rPr>
        <w:t xml:space="preserve">A qualitative systematic review on relevant prospective interventions designed to control glucose levels including insulin protocols. </w:t>
      </w:r>
      <w:r w:rsidR="00664483" w:rsidRPr="008A2C60">
        <w:rPr>
          <w:rFonts w:ascii="Book Antiqua" w:hAnsi="Book Antiqua"/>
        </w:rPr>
        <w:t>S</w:t>
      </w:r>
      <w:r w:rsidRPr="008A2C60">
        <w:rPr>
          <w:rFonts w:ascii="Book Antiqua" w:hAnsi="Book Antiqua"/>
        </w:rPr>
        <w:t xml:space="preserve">tudies investigating an association between glycemic control and post-LT outcomes such as mortality, graft rejection, </w:t>
      </w:r>
      <w:r w:rsidR="00664483" w:rsidRPr="008A2C60">
        <w:rPr>
          <w:rFonts w:ascii="Book Antiqua" w:hAnsi="Book Antiqua"/>
        </w:rPr>
        <w:t xml:space="preserve">and </w:t>
      </w:r>
      <w:r w:rsidRPr="008A2C60">
        <w:rPr>
          <w:rFonts w:ascii="Book Antiqua" w:hAnsi="Book Antiqua"/>
        </w:rPr>
        <w:t xml:space="preserve">infection rate were reviewed. PubMed, EMBASE, </w:t>
      </w:r>
      <w:r w:rsidR="00664483" w:rsidRPr="008A2C60">
        <w:rPr>
          <w:rFonts w:ascii="Book Antiqua" w:hAnsi="Book Antiqua"/>
        </w:rPr>
        <w:t>and other databases</w:t>
      </w:r>
      <w:r w:rsidRPr="008A2C60">
        <w:rPr>
          <w:rFonts w:ascii="Book Antiqua" w:hAnsi="Book Antiqua"/>
        </w:rPr>
        <w:t xml:space="preserve"> were searched </w:t>
      </w:r>
      <w:r w:rsidR="00664483" w:rsidRPr="008A2C60">
        <w:rPr>
          <w:rFonts w:ascii="Book Antiqua" w:hAnsi="Book Antiqua"/>
        </w:rPr>
        <w:t>through</w:t>
      </w:r>
      <w:r w:rsidRPr="008A2C60">
        <w:rPr>
          <w:rFonts w:ascii="Book Antiqua" w:hAnsi="Book Antiqua"/>
        </w:rPr>
        <w:t xml:space="preserve"> October 2016. </w:t>
      </w:r>
    </w:p>
    <w:p w14:paraId="184E1898" w14:textId="77777777" w:rsidR="00064367" w:rsidRPr="008A2C60" w:rsidRDefault="00064367" w:rsidP="00C26D7B">
      <w:pPr>
        <w:spacing w:line="360" w:lineRule="auto"/>
        <w:contextualSpacing/>
        <w:jc w:val="both"/>
        <w:rPr>
          <w:rFonts w:ascii="Book Antiqua" w:hAnsi="Book Antiqua"/>
        </w:rPr>
      </w:pPr>
    </w:p>
    <w:p w14:paraId="2CA1674A" w14:textId="77777777" w:rsidR="007A3E9A" w:rsidRDefault="007A3E9A" w:rsidP="00C26D7B">
      <w:pPr>
        <w:spacing w:line="360" w:lineRule="auto"/>
        <w:contextualSpacing/>
        <w:jc w:val="both"/>
        <w:rPr>
          <w:rFonts w:ascii="Book Antiqua" w:hAnsi="Book Antiqua"/>
          <w:lang w:eastAsia="zh-CN"/>
        </w:rPr>
      </w:pPr>
      <w:bookmarkStart w:id="116" w:name="OLE_LINK994"/>
      <w:bookmarkStart w:id="117" w:name="OLE_LINK995"/>
      <w:r w:rsidRPr="002176B2">
        <w:rPr>
          <w:rFonts w:ascii="Book Antiqua" w:hAnsi="Book Antiqua"/>
          <w:b/>
          <w:i/>
        </w:rPr>
        <w:t>RESULTS</w:t>
      </w:r>
      <w:bookmarkEnd w:id="116"/>
      <w:bookmarkEnd w:id="117"/>
      <w:r w:rsidRPr="008A2C60">
        <w:rPr>
          <w:rFonts w:ascii="Book Antiqua" w:hAnsi="Book Antiqua"/>
        </w:rPr>
        <w:t xml:space="preserve"> </w:t>
      </w:r>
    </w:p>
    <w:p w14:paraId="071245E1" w14:textId="375C86BE" w:rsidR="00064367" w:rsidRPr="008A2C60" w:rsidRDefault="00EF6503" w:rsidP="00C26D7B">
      <w:pPr>
        <w:spacing w:line="360" w:lineRule="auto"/>
        <w:contextualSpacing/>
        <w:jc w:val="both"/>
        <w:rPr>
          <w:rFonts w:ascii="Book Antiqua" w:hAnsi="Book Antiqua"/>
        </w:rPr>
      </w:pPr>
      <w:r w:rsidRPr="00EF6503">
        <w:rPr>
          <w:rFonts w:ascii="Book Antiqua" w:hAnsi="Book Antiqua"/>
        </w:rPr>
        <w:t>Three thousand</w:t>
      </w:r>
      <w:r>
        <w:rPr>
          <w:rFonts w:ascii="Book Antiqua" w:hAnsi="Book Antiqua" w:hint="eastAsia"/>
          <w:lang w:eastAsia="zh-CN"/>
        </w:rPr>
        <w:t xml:space="preserve">s, six </w:t>
      </w:r>
      <w:r w:rsidRPr="00EF6503">
        <w:rPr>
          <w:rFonts w:ascii="Book Antiqua" w:hAnsi="Book Antiqua"/>
          <w:lang w:eastAsia="zh-CN"/>
        </w:rPr>
        <w:t>hundred</w:t>
      </w:r>
      <w:r>
        <w:rPr>
          <w:rFonts w:ascii="Book Antiqua" w:hAnsi="Book Antiqua" w:hint="eastAsia"/>
          <w:lang w:eastAsia="zh-CN"/>
        </w:rPr>
        <w:t xml:space="preserve">s and </w:t>
      </w:r>
      <w:r w:rsidRPr="00EF6503">
        <w:rPr>
          <w:rFonts w:ascii="Book Antiqua" w:hAnsi="Book Antiqua"/>
          <w:lang w:eastAsia="zh-CN"/>
        </w:rPr>
        <w:t>ninety</w:t>
      </w:r>
      <w:r>
        <w:rPr>
          <w:rFonts w:ascii="Book Antiqua" w:hAnsi="Book Antiqua" w:hint="eastAsia"/>
          <w:lang w:eastAsia="zh-CN"/>
        </w:rPr>
        <w:t>-two</w:t>
      </w:r>
      <w:r w:rsidR="00064367" w:rsidRPr="008A2C60">
        <w:rPr>
          <w:rFonts w:ascii="Book Antiqua" w:hAnsi="Book Antiqua"/>
        </w:rPr>
        <w:t xml:space="preserve"> patients from 14 studies were included. Higher mortality rate was seen when </w:t>
      </w:r>
      <w:r w:rsidR="00CE3AFE" w:rsidRPr="008A2C60">
        <w:rPr>
          <w:rFonts w:ascii="Book Antiqua" w:hAnsi="Book Antiqua"/>
        </w:rPr>
        <w:t xml:space="preserve">blood glucose </w:t>
      </w:r>
      <w:r w:rsidR="00CE3AFE">
        <w:rPr>
          <w:rFonts w:ascii="Book Antiqua" w:hAnsi="Book Antiqua" w:hint="eastAsia"/>
          <w:lang w:eastAsia="zh-CN"/>
        </w:rPr>
        <w:t>(</w:t>
      </w:r>
      <w:r w:rsidR="00064367" w:rsidRPr="008A2C60">
        <w:rPr>
          <w:rFonts w:ascii="Book Antiqua" w:hAnsi="Book Antiqua"/>
        </w:rPr>
        <w:t>BG</w:t>
      </w:r>
      <w:r w:rsidR="00CE3AFE">
        <w:rPr>
          <w:rFonts w:ascii="Book Antiqua" w:hAnsi="Book Antiqua" w:hint="eastAsia"/>
          <w:lang w:eastAsia="zh-CN"/>
        </w:rPr>
        <w:t>)</w:t>
      </w:r>
      <w:r w:rsidR="00064367" w:rsidRPr="008A2C60">
        <w:rPr>
          <w:rFonts w:ascii="Book Antiqua" w:hAnsi="Book Antiqua"/>
        </w:rPr>
        <w:t xml:space="preserve"> </w:t>
      </w:r>
      <w:bookmarkStart w:id="118" w:name="OLE_LINK1576"/>
      <w:bookmarkStart w:id="119" w:name="OLE_LINK1577"/>
      <w:r w:rsidR="007A3E9A" w:rsidRPr="007A3E9A">
        <w:rPr>
          <w:rFonts w:ascii="Book Antiqua" w:hAnsi="Book Antiqua"/>
        </w:rPr>
        <w:t>≥</w:t>
      </w:r>
      <w:bookmarkEnd w:id="118"/>
      <w:bookmarkEnd w:id="119"/>
      <w:r w:rsidR="00064367" w:rsidRPr="008A2C60">
        <w:rPr>
          <w:rFonts w:ascii="Book Antiqua" w:hAnsi="Book Antiqua"/>
        </w:rPr>
        <w:t xml:space="preserve"> 150 mg/dL (</w:t>
      </w:r>
      <w:bookmarkStart w:id="120" w:name="OLE_LINK1574"/>
      <w:bookmarkStart w:id="121" w:name="OLE_LINK1575"/>
      <w:r w:rsidR="007A3E9A" w:rsidRPr="007A3E9A">
        <w:rPr>
          <w:rFonts w:ascii="Book Antiqua" w:hAnsi="Book Antiqua"/>
          <w:i/>
        </w:rPr>
        <w:t>P</w:t>
      </w:r>
      <w:r w:rsidR="007A3E9A">
        <w:rPr>
          <w:rFonts w:ascii="Book Antiqua" w:hAnsi="Book Antiqua" w:hint="eastAsia"/>
          <w:lang w:eastAsia="zh-CN"/>
        </w:rPr>
        <w:t xml:space="preserve"> </w:t>
      </w:r>
      <w:r w:rsidR="00064367" w:rsidRPr="008A2C60">
        <w:rPr>
          <w:rFonts w:ascii="Book Antiqua" w:hAnsi="Book Antiqua"/>
        </w:rPr>
        <w:t>=</w:t>
      </w:r>
      <w:bookmarkEnd w:id="120"/>
      <w:bookmarkEnd w:id="121"/>
      <w:r w:rsidR="00CE3AFE">
        <w:rPr>
          <w:rFonts w:ascii="Book Antiqua" w:hAnsi="Book Antiqua"/>
        </w:rPr>
        <w:t xml:space="preserve"> 0.05). </w:t>
      </w:r>
      <w:r w:rsidR="00064367" w:rsidRPr="008A2C60">
        <w:rPr>
          <w:rFonts w:ascii="Book Antiqua" w:hAnsi="Book Antiqua"/>
        </w:rPr>
        <w:t xml:space="preserve">BG </w:t>
      </w:r>
      <w:r w:rsidR="007A3E9A" w:rsidRPr="007A3E9A">
        <w:rPr>
          <w:rFonts w:ascii="Book Antiqua" w:hAnsi="Book Antiqua"/>
        </w:rPr>
        <w:t>≥</w:t>
      </w:r>
      <w:r w:rsidR="00064367" w:rsidRPr="008A2C60">
        <w:rPr>
          <w:rFonts w:ascii="Book Antiqua" w:hAnsi="Book Antiqua"/>
        </w:rPr>
        <w:t xml:space="preserve"> 150 mg/dL also led to higher rates of infection</w:t>
      </w:r>
      <w:r w:rsidR="00664483" w:rsidRPr="008A2C60">
        <w:rPr>
          <w:rFonts w:ascii="Book Antiqua" w:hAnsi="Book Antiqua"/>
        </w:rPr>
        <w:t>.</w:t>
      </w:r>
      <w:r w:rsidR="00064367" w:rsidRPr="008A2C60">
        <w:rPr>
          <w:rFonts w:ascii="Book Antiqua" w:hAnsi="Book Antiqua"/>
        </w:rPr>
        <w:t xml:space="preserve"> </w:t>
      </w:r>
      <w:r w:rsidR="00664483" w:rsidRPr="008A2C60">
        <w:rPr>
          <w:rFonts w:ascii="Book Antiqua" w:hAnsi="Book Antiqua"/>
        </w:rPr>
        <w:t>H</w:t>
      </w:r>
      <w:r w:rsidR="00064367" w:rsidRPr="008A2C60">
        <w:rPr>
          <w:rFonts w:ascii="Book Antiqua" w:hAnsi="Book Antiqua"/>
        </w:rPr>
        <w:t>igher rates of graft rejection were seen at BG &gt; 200 mg/dL (</w:t>
      </w:r>
      <w:r w:rsidR="007A3E9A">
        <w:rPr>
          <w:rFonts w:ascii="Book Antiqua" w:hAnsi="Book Antiqua"/>
          <w:i/>
        </w:rPr>
        <w:t>P</w:t>
      </w:r>
      <w:r w:rsidR="00064367" w:rsidRPr="008A2C60">
        <w:rPr>
          <w:rFonts w:ascii="Book Antiqua" w:hAnsi="Book Antiqua"/>
        </w:rPr>
        <w:t xml:space="preserve"> &lt; 0.001).</w:t>
      </w:r>
      <w:r w:rsidR="00CE3AFE">
        <w:rPr>
          <w:rFonts w:ascii="Book Antiqua" w:hAnsi="Book Antiqua"/>
        </w:rPr>
        <w:t xml:space="preserve"> </w:t>
      </w:r>
      <w:r w:rsidR="00064367" w:rsidRPr="008A2C60">
        <w:rPr>
          <w:rFonts w:ascii="Book Antiqua" w:hAnsi="Book Antiqua"/>
        </w:rPr>
        <w:t xml:space="preserve">Mean BG </w:t>
      </w:r>
      <w:r w:rsidR="007A3E9A" w:rsidRPr="007A3E9A">
        <w:rPr>
          <w:rFonts w:ascii="Book Antiqua" w:hAnsi="Book Antiqua"/>
        </w:rPr>
        <w:t>≥</w:t>
      </w:r>
      <w:r w:rsidR="00064367" w:rsidRPr="008A2C60">
        <w:rPr>
          <w:rFonts w:ascii="Book Antiqua" w:hAnsi="Book Antiqua"/>
        </w:rPr>
        <w:t xml:space="preserve"> 200 mg/dL was associated with </w:t>
      </w:r>
      <w:r w:rsidR="00664483" w:rsidRPr="008A2C60">
        <w:rPr>
          <w:rFonts w:ascii="Book Antiqua" w:hAnsi="Book Antiqua"/>
        </w:rPr>
        <w:t>more</w:t>
      </w:r>
      <w:r w:rsidR="00064367" w:rsidRPr="008A2C60">
        <w:rPr>
          <w:rFonts w:ascii="Book Antiqua" w:hAnsi="Book Antiqua"/>
        </w:rPr>
        <w:t xml:space="preserve"> infections (</w:t>
      </w:r>
      <w:r w:rsidR="007A3E9A">
        <w:rPr>
          <w:rFonts w:ascii="Book Antiqua" w:hAnsi="Book Antiqua"/>
          <w:i/>
        </w:rPr>
        <w:t>P</w:t>
      </w:r>
      <w:r w:rsidR="007A3E9A">
        <w:rPr>
          <w:rFonts w:ascii="Book Antiqua" w:hAnsi="Book Antiqua"/>
          <w:lang w:eastAsia="zh-CN"/>
        </w:rPr>
        <w:t xml:space="preserve"> </w:t>
      </w:r>
      <w:r w:rsidR="007A3E9A">
        <w:rPr>
          <w:rFonts w:ascii="Book Antiqua" w:hAnsi="Book Antiqua"/>
        </w:rPr>
        <w:t>=</w:t>
      </w:r>
      <w:r w:rsidR="007A3E9A">
        <w:rPr>
          <w:rFonts w:ascii="Book Antiqua" w:hAnsi="Book Antiqua" w:hint="eastAsia"/>
          <w:lang w:eastAsia="zh-CN"/>
        </w:rPr>
        <w:t xml:space="preserve"> </w:t>
      </w:r>
      <w:r w:rsidR="00CE3AFE">
        <w:rPr>
          <w:rFonts w:ascii="Book Antiqua" w:hAnsi="Book Antiqua"/>
        </w:rPr>
        <w:t>0.002).</w:t>
      </w:r>
      <w:r w:rsidR="00064367" w:rsidRPr="008A2C60">
        <w:rPr>
          <w:rFonts w:ascii="Book Antiqua" w:hAnsi="Book Antiqua"/>
        </w:rPr>
        <w:t xml:space="preserve"> Nurse-initiated protocol</w:t>
      </w:r>
      <w:r w:rsidR="00664483" w:rsidRPr="008A2C60">
        <w:rPr>
          <w:rFonts w:ascii="Book Antiqua" w:hAnsi="Book Antiqua"/>
        </w:rPr>
        <w:t>s</w:t>
      </w:r>
      <w:r w:rsidR="00064367" w:rsidRPr="008A2C60">
        <w:rPr>
          <w:rFonts w:ascii="Book Antiqua" w:hAnsi="Book Antiqua"/>
        </w:rPr>
        <w:t xml:space="preserve"> </w:t>
      </w:r>
      <w:r w:rsidR="00664483" w:rsidRPr="008A2C60">
        <w:rPr>
          <w:rFonts w:ascii="Book Antiqua" w:hAnsi="Book Antiqua"/>
        </w:rPr>
        <w:t>and</w:t>
      </w:r>
      <w:r w:rsidR="00064367" w:rsidRPr="008A2C60">
        <w:rPr>
          <w:rFonts w:ascii="Book Antiqua" w:hAnsi="Book Antiqua"/>
        </w:rPr>
        <w:t xml:space="preserve"> early screening strategies have shown a reduction in negative post-LT outcomes.</w:t>
      </w:r>
    </w:p>
    <w:p w14:paraId="630F873A" w14:textId="77777777" w:rsidR="00064367" w:rsidRPr="008A2C60" w:rsidRDefault="00064367" w:rsidP="00C26D7B">
      <w:pPr>
        <w:spacing w:line="360" w:lineRule="auto"/>
        <w:contextualSpacing/>
        <w:jc w:val="both"/>
        <w:rPr>
          <w:rFonts w:ascii="Book Antiqua" w:hAnsi="Book Antiqua"/>
        </w:rPr>
      </w:pPr>
    </w:p>
    <w:p w14:paraId="65990B2B" w14:textId="77777777" w:rsidR="007A3E9A" w:rsidRDefault="007A3E9A" w:rsidP="00C26D7B">
      <w:pPr>
        <w:spacing w:line="360" w:lineRule="auto"/>
        <w:contextualSpacing/>
        <w:jc w:val="both"/>
        <w:rPr>
          <w:rFonts w:ascii="Book Antiqua" w:hAnsi="Book Antiqua"/>
          <w:b/>
          <w:i/>
          <w:lang w:eastAsia="zh-CN"/>
        </w:rPr>
      </w:pPr>
      <w:r>
        <w:rPr>
          <w:rFonts w:ascii="Book Antiqua" w:hAnsi="Book Antiqua"/>
          <w:b/>
          <w:i/>
        </w:rPr>
        <w:t>CONCLUSION</w:t>
      </w:r>
    </w:p>
    <w:p w14:paraId="65C3A8A4" w14:textId="2C047CD8" w:rsidR="00064367" w:rsidRDefault="00064367" w:rsidP="00C26D7B">
      <w:pPr>
        <w:spacing w:line="360" w:lineRule="auto"/>
        <w:contextualSpacing/>
        <w:jc w:val="both"/>
        <w:rPr>
          <w:rFonts w:ascii="Book Antiqua" w:hAnsi="Book Antiqua"/>
          <w:lang w:eastAsia="zh-CN"/>
        </w:rPr>
      </w:pPr>
      <w:r w:rsidRPr="008A2C60">
        <w:rPr>
          <w:rFonts w:ascii="Book Antiqua" w:hAnsi="Book Antiqua"/>
        </w:rPr>
        <w:t xml:space="preserve">Hyperglycemia in the perioperative period is associated with poor post-LT outcomes. </w:t>
      </w:r>
      <w:r w:rsidR="00664483" w:rsidRPr="008A2C60">
        <w:rPr>
          <w:rFonts w:ascii="Book Antiqua" w:hAnsi="Book Antiqua"/>
        </w:rPr>
        <w:t>Only</w:t>
      </w:r>
      <w:r w:rsidRPr="008A2C60">
        <w:rPr>
          <w:rFonts w:ascii="Book Antiqua" w:hAnsi="Book Antiqua"/>
        </w:rPr>
        <w:t xml:space="preserve"> a few prospective studies have designed interventions aimed at managing post-LT hyperglycemia, </w:t>
      </w:r>
      <w:r w:rsidR="00C718F5" w:rsidRPr="008A2C60">
        <w:rPr>
          <w:rFonts w:ascii="Book Antiqua" w:hAnsi="Book Antiqua"/>
        </w:rPr>
        <w:t xml:space="preserve">post-transplant diabetes mellitus </w:t>
      </w:r>
      <w:r w:rsidR="00C718F5">
        <w:rPr>
          <w:rFonts w:ascii="Book Antiqua" w:hAnsi="Book Antiqua" w:hint="eastAsia"/>
          <w:lang w:eastAsia="zh-CN"/>
        </w:rPr>
        <w:t>(</w:t>
      </w:r>
      <w:r w:rsidRPr="008A2C60">
        <w:rPr>
          <w:rFonts w:ascii="Book Antiqua" w:hAnsi="Book Antiqua"/>
        </w:rPr>
        <w:t>PTDM</w:t>
      </w:r>
      <w:r w:rsidR="00C718F5">
        <w:rPr>
          <w:rFonts w:ascii="Book Antiqua" w:hAnsi="Book Antiqua" w:hint="eastAsia"/>
          <w:lang w:eastAsia="zh-CN"/>
        </w:rPr>
        <w:t>)</w:t>
      </w:r>
      <w:r w:rsidRPr="008A2C60">
        <w:rPr>
          <w:rFonts w:ascii="Book Antiqua" w:hAnsi="Book Antiqua"/>
        </w:rPr>
        <w:t xml:space="preserve"> and their impact on post-LT outcomes.</w:t>
      </w:r>
    </w:p>
    <w:p w14:paraId="7BAB7E3C" w14:textId="77777777" w:rsidR="007A3E9A" w:rsidRDefault="007A3E9A" w:rsidP="00C26D7B">
      <w:pPr>
        <w:spacing w:line="360" w:lineRule="auto"/>
        <w:contextualSpacing/>
        <w:jc w:val="both"/>
        <w:rPr>
          <w:rFonts w:ascii="Book Antiqua" w:hAnsi="Book Antiqua"/>
          <w:lang w:eastAsia="zh-CN"/>
        </w:rPr>
      </w:pPr>
    </w:p>
    <w:p w14:paraId="7D16AF3E" w14:textId="148E76EE" w:rsidR="007A3E9A" w:rsidRDefault="007A3E9A" w:rsidP="00C26D7B">
      <w:pPr>
        <w:spacing w:line="360" w:lineRule="auto"/>
        <w:contextualSpacing/>
        <w:jc w:val="both"/>
        <w:rPr>
          <w:rFonts w:ascii="Book Antiqua" w:hAnsi="Book Antiqua"/>
          <w:lang w:eastAsia="zh-CN"/>
        </w:rPr>
      </w:pPr>
      <w:r w:rsidRPr="008A2C60">
        <w:rPr>
          <w:rFonts w:ascii="Book Antiqua" w:hAnsi="Book Antiqua" w:cs="Times New Roman"/>
          <w:b/>
        </w:rPr>
        <w:t>Key words</w:t>
      </w:r>
      <w:r w:rsidRPr="008A2C60">
        <w:rPr>
          <w:rFonts w:ascii="Book Antiqua" w:hAnsi="Book Antiqua"/>
          <w:b/>
        </w:rPr>
        <w:t xml:space="preserve">: </w:t>
      </w:r>
      <w:r w:rsidRPr="008A2C60">
        <w:rPr>
          <w:rFonts w:ascii="Book Antiqua" w:hAnsi="Book Antiqua"/>
        </w:rPr>
        <w:t>Non</w:t>
      </w:r>
      <w:r w:rsidR="00CE3AFE">
        <w:rPr>
          <w:rFonts w:ascii="Book Antiqua" w:hAnsi="Book Antiqua" w:hint="eastAsia"/>
          <w:lang w:eastAsia="zh-CN"/>
        </w:rPr>
        <w:t>-</w:t>
      </w:r>
      <w:r w:rsidRPr="008A2C60">
        <w:rPr>
          <w:rFonts w:ascii="Book Antiqua" w:hAnsi="Book Antiqua"/>
        </w:rPr>
        <w:t>alcoholic fatty liver disease</w:t>
      </w:r>
      <w:r>
        <w:rPr>
          <w:rFonts w:ascii="Book Antiqua" w:hAnsi="Book Antiqua" w:hint="eastAsia"/>
          <w:lang w:eastAsia="zh-CN"/>
        </w:rPr>
        <w:t>;</w:t>
      </w:r>
      <w:r w:rsidRPr="008A2C60">
        <w:rPr>
          <w:rFonts w:ascii="Book Antiqua" w:hAnsi="Book Antiqua"/>
        </w:rPr>
        <w:t xml:space="preserve"> Non</w:t>
      </w:r>
      <w:r w:rsidR="00CE3AFE">
        <w:rPr>
          <w:rFonts w:ascii="Book Antiqua" w:hAnsi="Book Antiqua" w:hint="eastAsia"/>
          <w:lang w:eastAsia="zh-CN"/>
        </w:rPr>
        <w:t>-</w:t>
      </w:r>
      <w:r w:rsidRPr="008A2C60">
        <w:rPr>
          <w:rFonts w:ascii="Book Antiqua" w:hAnsi="Book Antiqua"/>
        </w:rPr>
        <w:t>alcoholic steatohepatitis</w:t>
      </w:r>
      <w:r>
        <w:rPr>
          <w:rFonts w:ascii="Book Antiqua" w:hAnsi="Book Antiqua" w:hint="eastAsia"/>
          <w:lang w:eastAsia="zh-CN"/>
        </w:rPr>
        <w:t>;</w:t>
      </w:r>
      <w:r w:rsidRPr="008A2C60">
        <w:rPr>
          <w:rFonts w:ascii="Book Antiqua" w:hAnsi="Book Antiqua"/>
        </w:rPr>
        <w:t xml:space="preserve"> Liver transplant</w:t>
      </w:r>
      <w:r>
        <w:rPr>
          <w:rFonts w:ascii="Book Antiqua" w:hAnsi="Book Antiqua" w:hint="eastAsia"/>
          <w:lang w:eastAsia="zh-CN"/>
        </w:rPr>
        <w:t>;</w:t>
      </w:r>
      <w:r w:rsidRPr="008A2C60">
        <w:rPr>
          <w:rFonts w:ascii="Book Antiqua" w:hAnsi="Book Antiqua"/>
        </w:rPr>
        <w:t xml:space="preserve"> Outcomes</w:t>
      </w:r>
      <w:r>
        <w:rPr>
          <w:rFonts w:ascii="Book Antiqua" w:hAnsi="Book Antiqua" w:hint="eastAsia"/>
          <w:lang w:eastAsia="zh-CN"/>
        </w:rPr>
        <w:t xml:space="preserve">; </w:t>
      </w:r>
      <w:r w:rsidRPr="008A2C60">
        <w:rPr>
          <w:rFonts w:ascii="Book Antiqua" w:hAnsi="Book Antiqua"/>
        </w:rPr>
        <w:t>Diabetes</w:t>
      </w:r>
    </w:p>
    <w:p w14:paraId="51C6FD5C" w14:textId="77777777" w:rsidR="007A3E9A" w:rsidRPr="008A2C60" w:rsidRDefault="007A3E9A" w:rsidP="00C26D7B">
      <w:pPr>
        <w:spacing w:line="360" w:lineRule="auto"/>
        <w:contextualSpacing/>
        <w:jc w:val="both"/>
        <w:rPr>
          <w:rFonts w:ascii="Book Antiqua" w:hAnsi="Book Antiqua"/>
          <w:lang w:eastAsia="zh-CN"/>
        </w:rPr>
      </w:pPr>
    </w:p>
    <w:p w14:paraId="62D531DA" w14:textId="637BA3E1" w:rsidR="00665FEE" w:rsidRDefault="007A3E9A" w:rsidP="00C26D7B">
      <w:pPr>
        <w:spacing w:line="360" w:lineRule="auto"/>
        <w:contextualSpacing/>
        <w:jc w:val="both"/>
        <w:rPr>
          <w:rFonts w:ascii="Book Antiqua" w:hAnsi="Book Antiqua" w:cs="Arial"/>
          <w:lang w:eastAsia="zh-CN"/>
        </w:rPr>
      </w:pPr>
      <w:bookmarkStart w:id="122" w:name="OLE_LINK55"/>
      <w:bookmarkStart w:id="123" w:name="OLE_LINK56"/>
      <w:bookmarkStart w:id="124" w:name="OLE_LINK779"/>
      <w:bookmarkStart w:id="125" w:name="OLE_LINK780"/>
      <w:bookmarkStart w:id="126" w:name="OLE_LINK935"/>
      <w:bookmarkStart w:id="127" w:name="OLE_LINK936"/>
      <w:bookmarkStart w:id="128" w:name="OLE_LINK255"/>
      <w:bookmarkStart w:id="129" w:name="OLE_LINK940"/>
      <w:bookmarkStart w:id="130" w:name="OLE_LINK941"/>
      <w:bookmarkStart w:id="131" w:name="OLE_LINK942"/>
      <w:bookmarkStart w:id="132" w:name="OLE_LINK1112"/>
      <w:bookmarkStart w:id="133" w:name="OLE_LINK1113"/>
      <w:bookmarkStart w:id="134" w:name="OLE_LINK1114"/>
      <w:bookmarkStart w:id="135" w:name="OLE_LINK1115"/>
      <w:bookmarkStart w:id="136" w:name="OLE_LINK929"/>
      <w:bookmarkStart w:id="137" w:name="OLE_LINK930"/>
      <w:bookmarkStart w:id="138" w:name="OLE_LINK931"/>
      <w:bookmarkStart w:id="139" w:name="OLE_LINK932"/>
      <w:bookmarkStart w:id="140" w:name="OLE_LINK1125"/>
      <w:bookmarkStart w:id="141" w:name="OLE_LINK1150"/>
      <w:bookmarkStart w:id="142" w:name="OLE_LINK1151"/>
      <w:bookmarkStart w:id="143" w:name="OLE_LINK1164"/>
      <w:bookmarkStart w:id="144" w:name="OLE_LINK1166"/>
      <w:bookmarkStart w:id="145" w:name="OLE_LINK1167"/>
      <w:bookmarkStart w:id="146" w:name="OLE_LINK1226"/>
      <w:bookmarkStart w:id="147" w:name="OLE_LINK1227"/>
      <w:bookmarkStart w:id="148" w:name="OLE_LINK1228"/>
      <w:bookmarkStart w:id="149" w:name="OLE_LINK1229"/>
      <w:bookmarkStart w:id="150" w:name="OLE_LINK1230"/>
      <w:bookmarkStart w:id="151" w:name="OLE_LINK1231"/>
      <w:bookmarkStart w:id="152" w:name="OLE_LINK1364"/>
      <w:bookmarkStart w:id="153" w:name="OLE_LINK1374"/>
      <w:proofErr w:type="gramStart"/>
      <w:r w:rsidRPr="00381549">
        <w:rPr>
          <w:rFonts w:ascii="Book Antiqua" w:hAnsi="Book Antiqua"/>
          <w:b/>
        </w:rPr>
        <w:lastRenderedPageBreak/>
        <w:t>©</w:t>
      </w:r>
      <w:bookmarkEnd w:id="122"/>
      <w:bookmarkEnd w:id="123"/>
      <w:r w:rsidRPr="00381549">
        <w:rPr>
          <w:rFonts w:ascii="Book Antiqua" w:hAnsi="Book Antiqua" w:hint="eastAsia"/>
          <w:b/>
        </w:rPr>
        <w:t xml:space="preserve"> </w:t>
      </w:r>
      <w:r w:rsidRPr="00381549">
        <w:rPr>
          <w:rFonts w:ascii="Book Antiqua" w:hAnsi="Book Antiqua" w:cs="Arial"/>
          <w:b/>
        </w:rPr>
        <w:t>The Author(s) 201</w:t>
      </w:r>
      <w:r>
        <w:rPr>
          <w:rFonts w:ascii="Book Antiqua" w:hAnsi="Book Antiqua" w:cs="Arial" w:hint="eastAsia"/>
          <w:b/>
        </w:rPr>
        <w:t>8</w:t>
      </w:r>
      <w:r w:rsidRPr="00381549">
        <w:rPr>
          <w:rFonts w:ascii="Book Antiqua" w:hAnsi="Book Antiqua" w:cs="Arial"/>
          <w:b/>
        </w:rPr>
        <w:t>.</w:t>
      </w:r>
      <w:proofErr w:type="gramEnd"/>
      <w:r w:rsidRPr="00381549">
        <w:rPr>
          <w:rFonts w:ascii="Book Antiqua" w:hAnsi="Book Antiqua" w:cs="Arial"/>
          <w:b/>
        </w:rPr>
        <w:t xml:space="preserve"> </w:t>
      </w:r>
      <w:r w:rsidRPr="00381549">
        <w:rPr>
          <w:rFonts w:ascii="Book Antiqua" w:hAnsi="Book Antiqua" w:cs="Arial"/>
        </w:rPr>
        <w:t xml:space="preserve">Published by </w:t>
      </w:r>
      <w:proofErr w:type="spellStart"/>
      <w:r w:rsidRPr="00381549">
        <w:rPr>
          <w:rFonts w:ascii="Book Antiqua" w:hAnsi="Book Antiqua" w:cs="Arial"/>
        </w:rPr>
        <w:t>Baishideng</w:t>
      </w:r>
      <w:proofErr w:type="spellEnd"/>
      <w:r w:rsidRPr="00381549">
        <w:rPr>
          <w:rFonts w:ascii="Book Antiqua" w:hAnsi="Book Antiqua" w:cs="Arial"/>
        </w:rPr>
        <w:t xml:space="preserve"> Publishing Group Inc. All rights reserved</w:t>
      </w:r>
      <w:bookmarkStart w:id="154" w:name="OLE_LINK969"/>
      <w:bookmarkStart w:id="155" w:name="OLE_LINK970"/>
      <w:bookmarkStart w:id="156" w:name="OLE_LINK972"/>
      <w:bookmarkStart w:id="157" w:name="OLE_LINK973"/>
      <w:bookmarkStart w:id="158" w:name="OLE_LINK974"/>
      <w:bookmarkStart w:id="159" w:name="OLE_LINK975"/>
      <w:bookmarkStart w:id="160" w:name="OLE_LINK976"/>
      <w:r w:rsidRPr="00381549">
        <w:rPr>
          <w:rFonts w:ascii="Book Antiqua" w:hAnsi="Book Antiqua" w:cs="Arial"/>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208CD14" w14:textId="77777777" w:rsidR="007A3E9A" w:rsidRDefault="007A3E9A" w:rsidP="00C26D7B">
      <w:pPr>
        <w:spacing w:line="360" w:lineRule="auto"/>
        <w:contextualSpacing/>
        <w:jc w:val="both"/>
        <w:rPr>
          <w:rFonts w:ascii="Book Antiqua" w:hAnsi="Book Antiqua" w:cs="Arial"/>
          <w:lang w:eastAsia="zh-CN"/>
        </w:rPr>
      </w:pPr>
    </w:p>
    <w:p w14:paraId="06B05927" w14:textId="319165D9" w:rsidR="007A3E9A" w:rsidRPr="008A2C60" w:rsidRDefault="007A3E9A" w:rsidP="00C26D7B">
      <w:pPr>
        <w:spacing w:line="360" w:lineRule="auto"/>
        <w:contextualSpacing/>
        <w:jc w:val="both"/>
        <w:rPr>
          <w:rFonts w:ascii="Book Antiqua" w:hAnsi="Book Antiqua"/>
          <w:lang w:eastAsia="zh-CN"/>
        </w:rPr>
      </w:pPr>
      <w:r w:rsidRPr="008A2C60">
        <w:rPr>
          <w:rFonts w:ascii="Book Antiqua" w:hAnsi="Book Antiqua"/>
          <w:b/>
        </w:rPr>
        <w:t xml:space="preserve">Core tip: </w:t>
      </w:r>
      <w:r w:rsidRPr="008A2C60">
        <w:rPr>
          <w:rFonts w:ascii="Book Antiqua" w:hAnsi="Book Antiqua"/>
        </w:rPr>
        <w:t>Despite the importance of post-liver transplantation (LT) glycemic control, there are no evidence-based guidelines on how to manage hyperglycemia in the post-LT period.</w:t>
      </w:r>
      <w:r w:rsidR="00CE3AFE">
        <w:rPr>
          <w:rFonts w:ascii="Book Antiqua" w:hAnsi="Book Antiqua"/>
        </w:rPr>
        <w:t xml:space="preserve"> </w:t>
      </w:r>
      <w:r w:rsidRPr="008A2C60">
        <w:rPr>
          <w:rFonts w:ascii="Book Antiqua" w:hAnsi="Book Antiqua"/>
        </w:rPr>
        <w:t>The aim of this qualitative systematic review is to determine potential associations between glucose levels post-LT and outcomes such as mortality, graft rejection, infection rate, and other related post-LT outcomes. In addition, we analyzed methods for targeting glycemic control including specific therapeutic regimens or insulin protocols utilized in LT recipients.</w:t>
      </w:r>
    </w:p>
    <w:p w14:paraId="3B3F45A2" w14:textId="77777777" w:rsidR="00620D56" w:rsidRPr="008A2C60" w:rsidRDefault="00620D56" w:rsidP="00C26D7B">
      <w:pPr>
        <w:spacing w:line="360" w:lineRule="auto"/>
        <w:contextualSpacing/>
        <w:jc w:val="both"/>
        <w:rPr>
          <w:rFonts w:ascii="Book Antiqua" w:hAnsi="Book Antiqua"/>
        </w:rPr>
      </w:pPr>
    </w:p>
    <w:p w14:paraId="26D9AADE" w14:textId="38753F9C" w:rsidR="007A3E9A" w:rsidRDefault="007A3E9A" w:rsidP="00C26D7B">
      <w:pPr>
        <w:spacing w:line="360" w:lineRule="auto"/>
        <w:jc w:val="both"/>
        <w:rPr>
          <w:lang w:eastAsia="zh-CN"/>
        </w:rPr>
      </w:pPr>
      <w:proofErr w:type="spellStart"/>
      <w:proofErr w:type="gramStart"/>
      <w:r w:rsidRPr="007A3E9A">
        <w:rPr>
          <w:rFonts w:ascii="Book Antiqua" w:hAnsi="Book Antiqua"/>
        </w:rPr>
        <w:t>Paka</w:t>
      </w:r>
      <w:proofErr w:type="spellEnd"/>
      <w:r w:rsidRPr="007A3E9A">
        <w:rPr>
          <w:rFonts w:ascii="Book Antiqua" w:hAnsi="Book Antiqua"/>
        </w:rPr>
        <w:t xml:space="preserve"> P, </w:t>
      </w:r>
      <w:proofErr w:type="spellStart"/>
      <w:r w:rsidRPr="007A3E9A">
        <w:rPr>
          <w:rFonts w:ascii="Book Antiqua" w:hAnsi="Book Antiqua"/>
        </w:rPr>
        <w:t>Lieber</w:t>
      </w:r>
      <w:proofErr w:type="spellEnd"/>
      <w:r w:rsidRPr="007A3E9A">
        <w:rPr>
          <w:rFonts w:ascii="Book Antiqua" w:hAnsi="Book Antiqua"/>
        </w:rPr>
        <w:t xml:space="preserve"> SR, Lee RA, Desai CS, Dupuis R</w:t>
      </w:r>
      <w:r w:rsidR="00CE3AFE">
        <w:rPr>
          <w:rFonts w:ascii="Book Antiqua" w:hAnsi="Book Antiqua" w:hint="eastAsia"/>
          <w:lang w:eastAsia="zh-CN"/>
        </w:rPr>
        <w:t>E</w:t>
      </w:r>
      <w:r w:rsidRPr="007A3E9A">
        <w:rPr>
          <w:rFonts w:ascii="Book Antiqua" w:hAnsi="Book Antiqua"/>
        </w:rPr>
        <w:t xml:space="preserve">, </w:t>
      </w:r>
      <w:proofErr w:type="spellStart"/>
      <w:r w:rsidRPr="007A3E9A">
        <w:rPr>
          <w:rFonts w:ascii="Book Antiqua" w:hAnsi="Book Antiqua"/>
        </w:rPr>
        <w:t>Barritt</w:t>
      </w:r>
      <w:proofErr w:type="spellEnd"/>
      <w:r w:rsidRPr="007A3E9A">
        <w:rPr>
          <w:rFonts w:ascii="Book Antiqua" w:hAnsi="Book Antiqua"/>
        </w:rPr>
        <w:t xml:space="preserve"> AS.</w:t>
      </w:r>
      <w:proofErr w:type="gramEnd"/>
      <w:r w:rsidR="00CE3AFE">
        <w:rPr>
          <w:rFonts w:ascii="Book Antiqua" w:hAnsi="Book Antiqua"/>
        </w:rPr>
        <w:t xml:space="preserve"> </w:t>
      </w:r>
      <w:r w:rsidRPr="007A3E9A">
        <w:rPr>
          <w:rFonts w:ascii="Book Antiqua" w:hAnsi="Book Antiqua"/>
        </w:rPr>
        <w:t>Perioperative glucose management and outcomes in liver transplant recipients: A qualitative systematic review</w:t>
      </w:r>
      <w:r w:rsidRPr="007A3E9A">
        <w:rPr>
          <w:rFonts w:ascii="Book Antiqua" w:hAnsi="Book Antiqua" w:hint="eastAsia"/>
          <w:lang w:eastAsia="zh-CN"/>
        </w:rPr>
        <w:t xml:space="preserve">. </w:t>
      </w:r>
      <w:bookmarkStart w:id="161" w:name="OLE_LINK1033"/>
      <w:bookmarkStart w:id="162" w:name="OLE_LINK1034"/>
      <w:bookmarkStart w:id="163" w:name="OLE_LINK781"/>
      <w:bookmarkStart w:id="164" w:name="OLE_LINK782"/>
      <w:bookmarkStart w:id="165" w:name="OLE_LINK937"/>
      <w:bookmarkStart w:id="166" w:name="OLE_LINK256"/>
      <w:bookmarkStart w:id="167" w:name="OLE_LINK360"/>
      <w:bookmarkStart w:id="168" w:name="OLE_LINK437"/>
      <w:bookmarkStart w:id="169" w:name="OLE_LINK943"/>
      <w:bookmarkStart w:id="170" w:name="OLE_LINK944"/>
      <w:bookmarkStart w:id="171" w:name="OLE_LINK967"/>
      <w:bookmarkStart w:id="172" w:name="OLE_LINK1116"/>
      <w:bookmarkStart w:id="173" w:name="OLE_LINK1126"/>
      <w:bookmarkStart w:id="174" w:name="OLE_LINK1030"/>
      <w:bookmarkStart w:id="175" w:name="OLE_LINK1173"/>
      <w:bookmarkStart w:id="176" w:name="OLE_LINK1273"/>
      <w:bookmarkStart w:id="177" w:name="OLE_LINK1220"/>
      <w:bookmarkStart w:id="178" w:name="OLE_LINK1221"/>
      <w:bookmarkStart w:id="179" w:name="OLE_LINK1224"/>
      <w:r w:rsidRPr="007A3E9A">
        <w:rPr>
          <w:rFonts w:ascii="Book Antiqua" w:hAnsi="Book Antiqua"/>
          <w:i/>
        </w:rPr>
        <w:t xml:space="preserve">World J </w:t>
      </w:r>
      <w:bookmarkEnd w:id="161"/>
      <w:bookmarkEnd w:id="162"/>
      <w:r w:rsidRPr="007A3E9A">
        <w:rPr>
          <w:rFonts w:ascii="Book Antiqua" w:eastAsia="Times New Roman" w:hAnsi="Book Antiqua" w:cs="宋体"/>
          <w:i/>
          <w:color w:val="000000"/>
        </w:rPr>
        <w:t>Transplant</w:t>
      </w:r>
      <w:r w:rsidRPr="007A3E9A">
        <w:rPr>
          <w:rFonts w:ascii="Book Antiqua" w:hAnsi="Book Antiqua" w:cs="宋体" w:hint="eastAsia"/>
          <w:i/>
          <w:color w:val="000000"/>
          <w:lang w:eastAsia="zh-CN"/>
        </w:rPr>
        <w:t xml:space="preserve"> </w:t>
      </w:r>
      <w:r w:rsidRPr="007A3E9A">
        <w:rPr>
          <w:rFonts w:ascii="Book Antiqua" w:hAnsi="Book Antiqua"/>
        </w:rPr>
        <w:t>201</w:t>
      </w:r>
      <w:r w:rsidRPr="007A3E9A">
        <w:rPr>
          <w:rFonts w:ascii="Book Antiqua" w:hAnsi="Book Antiqua" w:hint="eastAsia"/>
        </w:rPr>
        <w:t>8</w:t>
      </w:r>
      <w:bookmarkStart w:id="180" w:name="OLE_LINK1186"/>
      <w:bookmarkStart w:id="181" w:name="OLE_LINK1187"/>
      <w:bookmarkStart w:id="182" w:name="OLE_LINK1188"/>
      <w:r w:rsidRPr="007A3E9A">
        <w:rPr>
          <w:rFonts w:ascii="Book Antiqua" w:hAnsi="Book Antiqua"/>
        </w:rPr>
        <w:t xml:space="preserve">; </w:t>
      </w:r>
      <w:bookmarkStart w:id="183" w:name="OLE_LINK1689"/>
      <w:bookmarkStart w:id="184" w:name="OLE_LINK1298"/>
      <w:bookmarkStart w:id="185" w:name="OLE_LINK1297"/>
      <w:proofErr w:type="gramStart"/>
      <w:r w:rsidRPr="007A3E9A">
        <w:rPr>
          <w:rFonts w:ascii="Book Antiqua" w:hAnsi="Book Antiqua"/>
        </w:rPr>
        <w:t>In</w:t>
      </w:r>
      <w:proofErr w:type="gramEnd"/>
      <w:r w:rsidRPr="007A3E9A">
        <w:rPr>
          <w:rFonts w:ascii="Book Antiqua" w:hAnsi="Book Antiqua"/>
        </w:rPr>
        <w:t xml:space="preserve"> press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7E04514" w14:textId="77777777" w:rsidR="007A3E9A" w:rsidRDefault="007A3E9A" w:rsidP="00C26D7B">
      <w:pPr>
        <w:jc w:val="both"/>
        <w:rPr>
          <w:lang w:eastAsia="zh-CN"/>
        </w:rPr>
      </w:pPr>
      <w:r>
        <w:rPr>
          <w:lang w:eastAsia="zh-CN"/>
        </w:rPr>
        <w:br w:type="page"/>
      </w:r>
    </w:p>
    <w:p w14:paraId="2F0AF019" w14:textId="40258D24" w:rsidR="00620D56" w:rsidRPr="008A2C60" w:rsidRDefault="007A3E9A" w:rsidP="00C26D7B">
      <w:pPr>
        <w:spacing w:line="360" w:lineRule="auto"/>
        <w:jc w:val="both"/>
        <w:rPr>
          <w:rFonts w:ascii="Book Antiqua" w:hAnsi="Book Antiqua"/>
          <w:b/>
        </w:rPr>
      </w:pPr>
      <w:r w:rsidRPr="008A2C60">
        <w:rPr>
          <w:rFonts w:ascii="Book Antiqua" w:hAnsi="Book Antiqua"/>
          <w:b/>
        </w:rPr>
        <w:lastRenderedPageBreak/>
        <w:t>INTRODUCTION</w:t>
      </w:r>
      <w:r w:rsidRPr="008A2C60">
        <w:rPr>
          <w:rFonts w:ascii="Book Antiqua" w:hAnsi="Book Antiqua"/>
          <w:b/>
        </w:rPr>
        <w:tab/>
      </w:r>
    </w:p>
    <w:p w14:paraId="51A9AB40" w14:textId="62596391" w:rsidR="00793F69" w:rsidRPr="008A2C60" w:rsidRDefault="00056B85" w:rsidP="00C26D7B">
      <w:pPr>
        <w:spacing w:line="360" w:lineRule="auto"/>
        <w:contextualSpacing/>
        <w:jc w:val="both"/>
        <w:rPr>
          <w:rFonts w:ascii="Book Antiqua" w:hAnsi="Book Antiqua"/>
        </w:rPr>
      </w:pPr>
      <w:r w:rsidRPr="008A2C60">
        <w:rPr>
          <w:rFonts w:ascii="Book Antiqua" w:hAnsi="Book Antiqua"/>
        </w:rPr>
        <w:t>Hyperglycemia after liver transplantation (LT) is a common phenomenon associated with increased risk of allograft rejection</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"PMID" : "20098286", "abstract" : "BACKGROUND Intensive glycemic control has been shown to positively impact outcomes in an intensive care setting. Whether this practice is beneficial after liver transplantation (LT) is not known. METHODS A retrospective review of patients undergoing LT from February 2002 to July 2007 was conducted to analyze the association between perioperative hyperglycemia and outcomes after LT. Covariates included preexisting diabetes, mean glucose 3 months pre-LT, need for insulin drip post-LT, mean total glucose during the post-LT hospitalization, age, sex, type of transplant, and model for end-stage liver disease score. Outcomes within 1 year of LT included rejection, infection, rehospitalization, prolonged ventilation, and patient/graft survival. RESULTS One hundred thirteen LT and 31 liver-kidney recipients were included. By multivariate logistic regression adjusting for covariates, the rejection rate was significantly lower for patients with postoperative glucose levels less than 200 mg/dL (n=114) vs. more than 200 mg/dL (n=30) (odds ratio: 0.055; 95% confidence interval: 0.0154-0.200; P&lt;0.001). The need for prolonged ventilation was more common in patients with glucose less than 200 vs. more than 200 mg/dL (odds ratio: 4.30; 95% confidence interval: 1.284-14.388; P=0.018). Although other outcomes, infection, rehospitalization, patient/graft survival, were not different among the glucose control groups, rejection was associated with increased rehospitalizations and infections. CONCLUSION Our data demonstrate an association between the immediate posttransplant glycemic control and the development of subsequent rejection. Prospective trials investigating the effects of perioperative glycemic control on outcomes and morbidity after LT are warranted.", "author" : [ { "dropping-particle" : "", "family" : "Wallia", "given" : "Amisha", "non-dropping-particle" : "", "parse-names" : false, "suffix" : "" }, { "dropping-particle" : "", "family" : "Parikh", "given" : "Neehar D", "non-dropping-particle" : "", "parse-names" : false, "suffix" : "" }, { "dropping-particle" : "", "family" : "Molitch", "given" : "Mark E", "non-dropping-particle" : "", "parse-names" : false, "suffix" : "" }, { "dropping-particle" : "", "family" : "Mahler", "given" : "Eileen", "non-dropping-particle" : "", "parse-names" : false, "suffix" : "" }, { "dropping-particle" : "", "family" : "Tian", "given" : "Lu", "non-dropping-particle" : "", "parse-names" : false, "suffix" : "" }, { "dropping-particle" : "", "family" : "Huang", "given" : "Jie Jenny", "non-dropping-particle" : "", "parse-names" : false, "suffix" : "" }, { "dropping-particle" : "", "family" : "Levitsky", "given" : "Josh", "non-dropping-particle" : "", "parse-names" : false, "suffix" : "" } ], "container-title" : "Transplantation", "id" : "ITEM-1", "issue" : "2", "issued" : { "date-parts" : [ [ "2010", "1" ] ] }, "page" : "222-6", "title" : "Posttransplant hyperglycemia is associated with increased risk of liver allograft rejection.", "type" : "article-journal", "volume" : "89" }, "uris" : [ "http://www.mendeley.com/documents/?uuid=8fdf0a70-4655-4bf9-97f1-ca55e6f463bb" ] }, { "id" : "ITEM-2", "itemData" : { "PMID" : "20144390", "abstract" : "A discussion of hyperglycemia during organ transplantation is a broad topic that includes patients with a known history of diabetes pretransplant, those at risk for post-transplant diabetes, those with stress-induced hyperglycemia, those with hyperglycemia related to immunosuppressive therapy, and hyperglycemia in the deceased organ donor. In contrast to the plethora of articles and studies describing perioperative and critical care management of hyperglycemia in cardiac, trauma, and medical/surgical intensive care unit patients, relatively few published articles in the field of organ transplantation can be found. This article consists of a review of available literature in the form of publications and abstracts, and a preliminary report of the authors' work with liver transplantation and deceased organ donors.", "author" : [ { "dropping-particle" : "", "family" : "Marvin", "given" : "Michael R", "non-dropping-particle" : "", "parse-names" : false, "suffix" : "" }, { "dropping-particle" : "", "family" : "Morton", "given" : "Vicki", "non-dropping-particle" : "", "parse-names" : false, "suffix" : "" } ], "container-title" : "Journal of diabetes science and technology", "id" : "ITEM-2", "issue" : "6", "issued" : { "date-parts" : [ [ "2009", "11" ] ] }, "page" : "1365-72", "publisher" : "Diabetes Technology Society", "title" : "Glycemic control and organ transplantation.", "type" : "article-journal", "volume" : "3" }, "uris" : [ "http://www.mendeley.com/documents/?uuid=3c0c57e5-99cd-442c-936a-030d1177f60e" ] } ], "mendeley" : { "formattedCitation" : "&lt;sup&gt;[1,2]&lt;/sup&gt;", "plainTextFormattedCitation" : "[1,2]", "previouslyFormattedCitation" : "&lt;sup&gt;[1,2]&lt;/sup&gt;"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[1,2]</w:t>
      </w:r>
      <w:r w:rsidR="003F54F3" w:rsidRPr="008A2C60">
        <w:rPr>
          <w:rFonts w:ascii="Book Antiqua" w:hAnsi="Book Antiqua"/>
        </w:rPr>
        <w:fldChar w:fldCharType="end"/>
      </w:r>
      <w:r w:rsidR="0029474B" w:rsidRPr="008A2C60">
        <w:rPr>
          <w:rFonts w:ascii="Book Antiqua" w:hAnsi="Book Antiqua"/>
        </w:rPr>
        <w:t>.</w:t>
      </w:r>
      <w:r w:rsidRPr="008A2C60">
        <w:rPr>
          <w:rFonts w:ascii="Book Antiqua" w:hAnsi="Book Antiqua"/>
        </w:rPr>
        <w:t xml:space="preserve"> </w:t>
      </w:r>
      <w:r w:rsidR="00793F69" w:rsidRPr="008A2C60">
        <w:rPr>
          <w:rFonts w:ascii="Book Antiqua" w:hAnsi="Book Antiqua"/>
        </w:rPr>
        <w:t>P</w:t>
      </w:r>
      <w:r w:rsidRPr="008A2C60">
        <w:rPr>
          <w:rFonts w:ascii="Book Antiqua" w:hAnsi="Book Antiqua"/>
        </w:rPr>
        <w:t xml:space="preserve">oor glycemic control is </w:t>
      </w:r>
      <w:r w:rsidR="00793F69" w:rsidRPr="008A2C60">
        <w:rPr>
          <w:rFonts w:ascii="Book Antiqua" w:hAnsi="Book Antiqua"/>
        </w:rPr>
        <w:t xml:space="preserve">also </w:t>
      </w:r>
      <w:r w:rsidRPr="008A2C60">
        <w:rPr>
          <w:rFonts w:ascii="Book Antiqua" w:hAnsi="Book Antiqua"/>
        </w:rPr>
        <w:t>implicated in other post-LT complications including infection</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"PMID" : "8554421", "abstract" : "OBJECTIVE The authors' objective was to identify factors associated with candidemia and candidemia-related death among adult liver transplant recipients. SUMMARY BACKGROUND DATA Invasive candidiasis is the most common severe fungal infection occurring after liver transplantation and is associated with high morbidity and mortality rates. Although candidemia is not always found during invasive candidiasis, it has been considered as an indicator of invasive candidiasis in immunocompromised patients. METHODS A time-matched case-control study of 26 patients with candidemia, which was defined as the isolation of Candida from at least one blood culture, and 52 control patients without candidemia was reported. Two control patients were matched with each case patient regarding time of transplantation and duration of follow-up. RESULTS Between December 1985 and December 1992, candidemia developed in 1.4% of adult liver transplant recipients a median of 25 days after transplantation (range, 2-1690 days). The overall mortality rate among patients with candidemia was 81%, and 71% of these deaths were related to candidemia. Conditional logistic regression analysis was used to identify factors associated with candidemia, which were 1) hyperglycemia treated with insulin up to 2 weeks before candidemia (odds ratio [OR], 16.15; p = 0.002), and 2) exposure to more than three different intravenous antibiotics before development of candidemia (OR, 11.15; p = 0.005). The variables predictive of death related to candidemia were abdominal surgery performed up to 1 week before candidemia (relative risk [RR], 7.25; p = 0.02), high white blood cell count (RR, 1.10; p = 0.01), lower platelet count (RR, 0.99; p = 0.02), and elevated AST with candidemia (RR, 1.001; p = 0.01). CONCLUSIONS Hyperglycemia that requires insulin and exposure to more than three antibiotics are the factors associated with the development of candidemia in liver transplant recipients. When candidemia develops shortly after abdominal surgery and in patients with elevated AST, high white blood cell count, or low platelet count, it is associated with a high mortality rate.", "author" : [ { "dropping-particle" : "", "family" : "Nieto-Rodriguez", "given" : "J A", "non-dropping-particle" : "", "parse-names" : false, "suffix" : "" }, { "dropping-particle" : "", "family" : "Kusne", "given" : "S", "non-dropping-particle" : "", "parse-names" : false, "suffix" : "" }, { "dropping-particle" : "", "family" : "Ma\u00f1ez", "given" : "R", "non-dropping-particle" : "", "parse-names" : false, "suffix" : "" }, { "dropping-particle" : "", "family" : "Irish", "given" : "W", "non-dropping-particle" : "", "parse-names" : false, "suffix" : "" }, { "dropping-particle" : "", "family" : "Linden", "given" : "P", "non-dropping-particle" : "", "parse-names" : false, "suffix" : "" }, { "dropping-particle" : "", "family" : "Magnone", "given" : "M", "non-dropping-particle" : "", "parse-names" : false, "suffix" : "" }, { "dropping-particle" : "", "family" : "Wing", "given" : "E J", "non-dropping-particle" : "", "parse-names" : false, "suffix" : "" }, { "dropping-particle" : "", "family" : "Fung", "given" : "J J", "non-dropping-particle" : "", "parse-names" : false, "suffix" : "" }, { "dropping-particle" : "", "family" : "Starzl", "given" : "T E", "non-dropping-particle" : "", "parse-names" : false, "suffix" : "" } ], "container-title" : "Annals of surgery", "id" : "ITEM-1", "issue" : "1", "issued" : { "date-parts" : [ [ "1996", "1" ] ] }, "page" : "70-6", "title" : "Factors associated with the development of candidemia and candidemia-related death among liver transplant recipients.", "type" : "article-journal", "volume" : "223" }, "uris" : [ "http://www.mendeley.com/documents/?uuid=f65fcc4d-22f9-44be-9705-5b50873f30dd" ] }, { "id" : "ITEM-2", "itemData" : { "DOI" : "10.1097/TP.0b013e31819cc3e6", "ISBN" : "1534-6080", "ISSN" : "1534-6080", "PMID" : "19352123", "abstract" : "BACKGROUND: Surgical site infection (SSI) is a common postoperative complication associated with increased morbidity and mortality in patients undergoing liver transplantation (LT). Although intraoperative hyperglycemia has been shown to be associated with adverse postoperative outcomes including overall infection rate in LT patients, a relationship between intraoperative hyperglycemia and SSI in LT has not been established. We sought to determine if intraoperative hyperglycemia was associated with SSI after LT.\\n\\nMETHODS: Patients undergoing LT at our medical center between January 2004 and November 2007 were included in the study. Recipient, donor, and intraoperative variables including a variety of glucose indices were retrospectively analyzed. Independent risk factors of SSI were identified using a multivariate logistic regression model.\\n\\nRESULTS: Of 680 patients, 76 (11.2%) experienced postoperative SSIs. Among all intraoperative glucose indices analyzed, severe hyperglycemia (&gt;or= 200 mg/dL) was independently associated with postoperative SSI (odds ratio [OR] 2.25, 95% confidence interval [CI] 1.26-4.03, P=0.006). Other independent risk factors include repeat surgery (OR 6.58, 95% CI 3.41-12.69, P&lt;0.001), intraoperative administration of vasopressor (OR 3.14, 95% CI 1.65-5.95, P&lt;0.001), preoperative mechanical ventilation (OR 3.01, 95% CI 1.70-5.33, P&lt;0.001), and combined liver and kidney transplantation (OR 2.95, 95% CI 3.41-12.69, P&lt;0.001).\\n\\nCONCLUSIONS: Severe, but not mild or moderate, intraoperative hyperglycemia is independently associated with postoperative SSI and should be avoided during LT surgery.", "author" : [ { "dropping-particle" : "", "family" : "Park", "given" : "Chulsoo", "non-dropping-particle" : "", "parse-names" : false, "suffix" : "" }, { "dropping-particle" : "", "family" : "Hsu", "given" : "Chehao", "non-dropping-particle" : "", "parse-names" : false, "suffix" : "" }, { "dropping-particle" : "", "family" : "Neelakanta", "given" : "Gundappa", "non-dropping-particle" : "", "parse-names" : false, "suffix" : "" }, { "dropping-particle" : "", "family" : "Nourmand", "given" : "Hamid", "non-dropping-particle" : "", "parse-names" : false, "suffix" : "" }, { "dropping-particle" : "", "family" : "Braunfeld", "given" : "Michelle", "non-dropping-particle" : "", "parse-names" : false, "suffix" : "" }, { "dropping-particle" : "", "family" : "Wray", "given" : "Christopher", "non-dropping-particle" : "", "parse-names" : false, "suffix" : "" }, { "dropping-particle" : "", "family" : "Steadman", "given" : "Randolph H", "non-dropping-particle" : "", "parse-names" : false, "suffix" : "" }, { "dropping-particle" : "", "family" : "Hu", "given" : "Ke-Qin", "non-dropping-particle" : "", "parse-names" : false, "suffix" : "" }, { "dropping-particle" : "", "family" : "Cheng", "given" : "Ronald T", "non-dropping-particle" : "", "parse-names" : false, "suffix" : "" }, { "dropping-particle" : "", "family" : "Xia", "given" : "Victor W", "non-dropping-particle" : "", "parse-names" : false, "suffix" : "" } ], "container-title" : "Transplantation", "id" : "ITEM-2", "issue" : "7", "issued" : { "date-parts" : [ [ "2009" ] ] }, "page" : "1031-6", "title" : "Severe intraoperative hyperglycemia is independently associated with surgical site infection after liver transplantation.", "type" : "article-journal", "volume" : "87" }, "uris" : [ "http://www.mendeley.com/documents/?uuid=126dab49-d2fd-43f6-bc13-46460424d959" ] }, { "id" : "ITEM-3", "itemData" : { "DOI" : "10.1016/j.jss.2007.02.019", "ISBN" : "0022-4804; 0022-4804", "ISSN" : "00224804", "PMID" : "17509267", "abstract" : "Background: Intensive blood glucose management has been shown to decrease mortality and infections for intensive care patients. The effect of intraoperative strict glucose control on surgical outcomes, including liver transplantation, has not been well evaluated. Materials and methods: A retrospective review of all adult liver recipients transplanted between January 1, 2004 and July 6, 2006 was performed. Donor and recipient demographics, intraoperative variables, and outcomes were collected. Intraoperative glucose measurements were performed by the anesthesiology team and treated with intravenous insulin bolus or continuous infusion. Patients with strict glycemic control (mean blood glucose &lt;150 mg/dL) were compared with those with poor control (mean blood glucose ???150 mg/dL). Results: During the study period, a total of 184 patients met criteria for analysis. Recipients with strict glycemic control (n = 60) had a mean glucose of 135 mg/dL compared with 184 mg/dL in the poorly controlled group (n = 124). Other than recipient age (strict versus poor control, 47 ?? 2 y versus 53 ?? 1 y; P &lt; 0.01), both groups had similar donor and recipient characteristics. Although the incidence of most postoperative complications were similar, poor glycemic control was associated with a significantly increased infection rate at 30 d posttransplant (48% versus 30%; P = 0.02), and also an increased 1 y mortality (21.9% versus 8.8%; P = 0.05). Conclusions: Intraoperative hyperglycemia during liver transplantation was associated with an increased risk of postoperative infection and mortality. Strict intraoperative glycemic control, possibly using insulin infusions, may improve outcomes following liver transplantation. ?? 2007 Elsevier Inc. All rights reserved.", "author" : [ { "dropping-particle" : "", "family" : "Ammori", "given" : "John B.", "non-dropping-particle" : "", "parse-names" : false, "suffix" : "" }, { "dropping-particle" : "", "family" : "Sigakis", "given" : "Matthew", "non-dropping-particle" : "", "parse-names" : false, "suffix" : "" }, { "dropping-particle" : "", "family" : "Englesbe", "given" : "Michael J.", "non-dropping-particle" : "", "parse-names" : false, "suffix" : "" }, { "dropping-particle" : "", "family" : "O'Reilly", "given" : "Michael", "non-dropping-particle" : "", "parse-names" : false, "suffix" : "" }, { "dropping-particle" : "", "family" : "Pelletier", "given" : "Shawn J.", "non-dropping-particle" : "", "parse-names" : false, "suffix" : "" } ], "container-title" : "Journal of Surgical Research", "id" : "ITEM-3", "issue" : "2", "issued" : { "date-parts" : [ [ "2007" ] ] }, "page" : "227-233", "title" : "Effect of Intraoperative Hyperglycemia During Liver Transplantation", "type" : "article-journal", "volume" : "140" }, "uris" : [ "http://www.mendeley.com/documents/?uuid=d9efaca6-b68b-4a30-8d84-22a917bb52b3" ] } ], "mendeley" : { "formattedCitation" : "&lt;sup&gt;[3\u20135]&lt;/sup&gt;", "plainTextFormattedCitation" : "[3\u20135]", "previouslyFormattedCitation" : "&lt;sup&gt;[3\u20135]&lt;/sup&gt;"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[3</w:t>
      </w:r>
      <w:r w:rsidR="007A3E9A">
        <w:rPr>
          <w:rFonts w:ascii="Book Antiqua" w:hAnsi="Book Antiqua" w:hint="eastAsia"/>
          <w:noProof/>
          <w:vertAlign w:val="superscript"/>
          <w:lang w:eastAsia="zh-CN"/>
        </w:rPr>
        <w:t>-</w:t>
      </w:r>
      <w:r w:rsidR="00131F28" w:rsidRPr="008A2C60">
        <w:rPr>
          <w:rFonts w:ascii="Book Antiqua" w:hAnsi="Book Antiqua"/>
          <w:noProof/>
          <w:vertAlign w:val="superscript"/>
        </w:rPr>
        <w:t>5]</w:t>
      </w:r>
      <w:r w:rsidR="003F54F3" w:rsidRPr="008A2C60">
        <w:rPr>
          <w:rFonts w:ascii="Book Antiqua" w:hAnsi="Book Antiqua"/>
        </w:rPr>
        <w:fldChar w:fldCharType="end"/>
      </w:r>
      <w:r w:rsidR="0029474B" w:rsidRPr="008A2C60">
        <w:rPr>
          <w:rFonts w:ascii="Book Antiqua" w:hAnsi="Book Antiqua"/>
        </w:rPr>
        <w:t>,</w:t>
      </w:r>
      <w:r w:rsidRPr="008A2C60">
        <w:rPr>
          <w:rFonts w:ascii="Book Antiqua" w:hAnsi="Book Antiqua"/>
        </w:rPr>
        <w:t xml:space="preserve"> </w:t>
      </w:r>
      <w:r w:rsidR="00BC1713" w:rsidRPr="008A2C60">
        <w:rPr>
          <w:rFonts w:ascii="Book Antiqua" w:hAnsi="Book Antiqua"/>
        </w:rPr>
        <w:t>acute kidney injury</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"10.1213/ANE.0000000000001632", "ISBN" : "0000000000", "ISSN" : "15267598", "PMID" : "27749341", "abstract" : "BACKGROUND Glucose control can be difficult in the intraoperative and immediate postoperative period of liver transplantation. Hyperglycemia and glucose variability have been associated with acute kidney injury (AKI) in critically ill patients. We performed a retrospective study to test the hypothesis that perioperative glucose levels represented by time-weighted average glucose levels and glucose variability are independently associated with the incidence of postoperative AKI in patients undergoing liver transplantation. METHODS On the basis of blood glucose levels during liver transplantation and the initial 48 hours postoperatively, adult liver transplant recipients were classified into 4 groups according to their time-weighted average glucose: normoglycemia (80-200 mg/dL), mild hyperglycemia (200-250 mg/dL), moderate hyperglycemia (250-300 mg/dL), and severe hyperglycemia (&gt;300 mg/dL) group. Patients were also classified into quartiles depending on their glucose variability, defined as the standard deviation of glucose measurements. The primary outcome was postoperative AKI. RESULTS AKI after liver transplantation was more common in the patients with greater perioperative glucose variability (first versus third quartile; OR, 2.47 [95%CI, 1.22-5.00], P = .012; first versus fourth quartile; OR, 2.16 [95% CI, 1.05-4.42], P = .035). CONCLUSIONS Our study suggests that increased perioperative glucose variability, but not hyperglycemia, is independently associated with increased risk of postoperative AKI in liver transplantation recipients.", "author" : [ { "dropping-particle" : "", "family" : "Yoo", "given" : "Seokha", "non-dropping-particle" : "", "parse-names" : false, "suffix" : "" }, { "dropping-particle" : "", "family" : "Lee", "given" : "Ho-Jin", "non-dropping-particle" : "", "parse-names" : false, "suffix" : "" }, { "dropping-particle" : "", "family" : "Lee", "given" : "Hannah", "non-dropping-particle" : "", "parse-names" : false, "suffix" : "" }, { "dropping-particle" : "", "family" : "Ryu", "given" : "Ho-Geol", "non-dropping-particle" : "", "parse-names" : false, "suffix" : "" } ], "container-title" : "Anesthesia &amp; Analgesia", "id" : "ITEM-1", "issue" : "1", "issued" : { "date-parts" : [ [ "2016" ] ] }, "page" : "1", "title" : "Association Between Perioperative Hyperglycemia or Glucose Variability and Postoperative Acute Kidney Injury After Liver Transplantation", "type" : "article-journal", "volume" : "124" }, "uris" : [ "http://www.mendeley.com/documents/?uuid=a303dfba-19d3-4acc-b2f7-404858403201" ] } ], "mendeley" : { "formattedCitation" : "&lt;sup&gt;[6]&lt;/sup&gt;", "plainTextFormattedCitation" : "[6]", "previouslyFormattedCitation" : "&lt;sup&gt;[6]&lt;/sup&gt;"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[6]</w:t>
      </w:r>
      <w:r w:rsidR="003F54F3" w:rsidRPr="008A2C60">
        <w:rPr>
          <w:rFonts w:ascii="Book Antiqua" w:hAnsi="Book Antiqua"/>
        </w:rPr>
        <w:fldChar w:fldCharType="end"/>
      </w:r>
      <w:r w:rsidR="0029474B" w:rsidRPr="008A2C60">
        <w:rPr>
          <w:rFonts w:ascii="Book Antiqua" w:hAnsi="Book Antiqua"/>
        </w:rPr>
        <w:t>,</w:t>
      </w:r>
      <w:r w:rsidR="00BC1713" w:rsidRPr="008A2C60">
        <w:rPr>
          <w:rFonts w:ascii="Book Antiqua" w:hAnsi="Book Antiqua"/>
        </w:rPr>
        <w:t xml:space="preserve"> </w:t>
      </w:r>
      <w:r w:rsidR="00622CD0" w:rsidRPr="008A2C60">
        <w:rPr>
          <w:rFonts w:ascii="Book Antiqua" w:hAnsi="Book Antiqua"/>
        </w:rPr>
        <w:t>new onset diabetes after transplantation (NODAT)</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"10.1007/s11892-015-0707-1", "PMID" : "26803650", "abstract" : "Hyperglycemia is common following organ transplantation, regardless of the pre-transplant diabetes status. Transient post-transplant hyperglycemia and/or new-onset diabetes after transplantation (NODAT) are common and are associated with increased morbidity and mortality. NODAT and type 2 diabetes share similar characteristics, but the pathophysiology may differ. Immunosuppressive agents and steroids play a key role in the development of NODAT. Glycemic control is challenging in this population due to fluctuating renal/end-organ function, immunosuppressive dosing, nutritional status, and drug-drug interactions. A proactive and multidisciplinary approach is essential, along with flexible protocols to adjust to patient status, type of organ transplanted, and corticosteroid regimens. Insulin is the preferred agent for hospitalized patients and during the early post-transplant period; optimal glycemic control (BG\u2009&lt;\u2009180\u00a0mg/dl with minimal hypoglycemia [&lt;70\u00a0mg/dl]) is desired.", "author" : [ { "dropping-particle" : "", "family" : "Galindo", "given" : "Rodolfo J", "non-dropping-particle" : "", "parse-names" : false, "suffix" : "" }, { "dropping-particle" : "", "family" : "Wallia", "given" : "Amisha", "non-dropping-particle" : "", "parse-names" : false, "suffix" : "" } ], "container-title" : "Current diabetes reports", "id" : "ITEM-1", "issue" : "2", "issued" : { "date-parts" : [ [ "2016", "2" ] ] }, "page" : "14", "title" : "Hyperglycemia and Diabetes Mellitus Following Organ Transplantation.", "type" : "article-journal", "volume" : "16" }, "uris" : [ "http://www.mendeley.com/documents/?uuid=4cb05177-b290-47ae-886e-cf325c19efc1" ] }, { "id" : "ITEM-2", "itemData" : { "PMID" : "27095644", "abstract" : "Patients who undergo solid organ transplantation may have preexisting diabetes mellitus (DM), develop new-onset DM after transplantation (NODAT), or have postoperative hyperglycemia that resolves shortly after surgery. Although insulin is usually used to control hyperglycemia in the hospital, following discharge most of the usual diabetes oral and parenteral medications can be used in treatment. However, when there are comorbidities such as impaired kidney or hepatic function, or heart disease, special precautions may be necessary. In addition, drug-drug interactions, such as drugs interacting with CYP3A4 enzyme pathway, require additional consideration because of possible interaction with immunosuppressive drug metabolism.", "author" : [ { "dropping-particle" : "", "family" : "Wallia", "given" : "Amisha", "non-dropping-particle" : "", "parse-names" : false, "suffix" : "" }, { "dropping-particle" : "", "family" : "Illuri", "given" : "Vidhya", "non-dropping-particle" : "", "parse-names" : false, "suffix" : "" }, { "dropping-particle" : "", "family" : "Molitch", "given" : "Mark E", "non-dropping-particle" : "", "parse-names" : false, "suffix" : "" } ], "container-title" : "The Medical clinics of North America", "id" : "ITEM-2", "issue" : "3", "issued" : { "date-parts" : [ [ "2016", "5" ] ] }, "page" : "535-50", "title" : "Diabetes Care After Transplant: Definitions, Risk Factors, and Clinical Management.", "type" : "article-journal", "volume" : "100" }, "uris" : [ "http://www.mendeley.com/documents/?uuid=843e4aaa-2234-496d-a186-fa4704197331" ] } ], "mendeley" : { "formattedCitation" : "&lt;sup&gt;[7,8]&lt;/sup&gt;", "plainTextFormattedCitation" : "[7,8]", "previouslyFormattedCitation" : "&lt;sup&gt;[7,8]&lt;/sup&gt;"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[7,8]</w:t>
      </w:r>
      <w:r w:rsidR="003F54F3" w:rsidRPr="008A2C60">
        <w:rPr>
          <w:rFonts w:ascii="Book Antiqua" w:hAnsi="Book Antiqua"/>
        </w:rPr>
        <w:fldChar w:fldCharType="end"/>
      </w:r>
      <w:r w:rsidR="0029474B" w:rsidRPr="008A2C60">
        <w:rPr>
          <w:rFonts w:ascii="Book Antiqua" w:hAnsi="Book Antiqua"/>
        </w:rPr>
        <w:t>,</w:t>
      </w:r>
      <w:r w:rsidRPr="008A2C60">
        <w:rPr>
          <w:rFonts w:ascii="Book Antiqua" w:hAnsi="Book Antiqua"/>
        </w:rPr>
        <w:t xml:space="preserve"> and malignancy</w:t>
      </w:r>
      <w:r w:rsidR="00622CD0" w:rsidRPr="008A2C60">
        <w:rPr>
          <w:rFonts w:ascii="Book Antiqua" w:hAnsi="Book Antiqua"/>
        </w:rPr>
        <w:t xml:space="preserve">, </w:t>
      </w:r>
      <w:r w:rsidR="00335B35" w:rsidRPr="008A2C60">
        <w:rPr>
          <w:rFonts w:ascii="Book Antiqua" w:hAnsi="Book Antiqua"/>
        </w:rPr>
        <w:t>in addition to complications related to the</w:t>
      </w:r>
      <w:r w:rsidR="00793F69" w:rsidRPr="008A2C60">
        <w:rPr>
          <w:rFonts w:ascii="Book Antiqua" w:hAnsi="Book Antiqua"/>
        </w:rPr>
        <w:t xml:space="preserve"> metabolic syndrome</w:t>
      </w:r>
      <w:r w:rsidR="00622CD0" w:rsidRPr="008A2C60">
        <w:rPr>
          <w:rFonts w:ascii="Book Antiqua" w:hAnsi="Book Antiqua"/>
        </w:rPr>
        <w:t xml:space="preserve"> </w:t>
      </w:r>
      <w:r w:rsidR="00793F69" w:rsidRPr="008A2C60">
        <w:rPr>
          <w:rFonts w:ascii="Book Antiqua" w:hAnsi="Book Antiqua"/>
        </w:rPr>
        <w:t>including increased cardiovascular risk</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"10.1111/1753-0407.12275", "PMID" : "25676209", "abstract" : "BACKGROUND The aim of the present study was to investigate the incidence and risk factors of new-onset diabetes after transplantation (NODAT) in liver transplant recipients and the influence of NODAT on complications and long-term patient survival. METHODS We examined 438 patients who underwent liver transplantation between April 2001 and December 2008 and were not diabetic before transplantation. RESULTS The mean (\u00b1\u2009SD) follow-up duration was 2.46\u2009\u00b1\u20091.62 years. The incidence of NODAT 3, 6, 9, 12, 36, and 60 months after transplantation was 44.24%, 25.59%, 23.08%, 25.17%, 17.86%, and 18.18%, respectively. Multifactor analysis indicated that preoperative fasting plasma glucose (FPG) levels and donor liver steatosis were independent risk factors for NODAT, whereas administration of an interleukin-2 receptor (IL-2R) antagonist reduced the risk of NODAT. Compared with the no NODAT group (N-NODAT), the NODAT group had a higher rate of sepsis and chronic renal insufficiency. Mean survival was significantly longer in the N-NODAT than NODAT group. Cox regression analysis showed that pre- and/or postoperative FPG levels, tumor recurrence or metastasis, and renal insufficiency after liver transplantation were independent risk factors of mortality. Pulmonary infection or multisystem failure were specific causes of death in the NODAT group, whereas patients in both groups died primarily from tumor relapse or metastasis. CONCLUSIONS Preoperative FPG levels and donor liver steatosis were independent risk factors for NODAT, whereas administration of an IL-2R antagonist reduced the risk of NODAT. Patients with NODAT had reduced survival and an increased incidence of sepsis and chronic renal insufficiency. Significant causes of death in the NODAT group were pulmonary infection and multisystem failure.", "author" : [ { "dropping-particle" : "", "family" : "Lv", "given" : "Chaoyang", "non-dropping-particle" : "", "parse-names" : false, "suffix" : "" }, { "dropping-particle" : "", "family" : "Zhang", "given" : "Yao", "non-dropping-particle" : "", "parse-names" : false, "suffix" : "" }, { "dropping-particle" : "", "family" : "Chen", "given" : "Xianying", "non-dropping-particle" : "", "parse-names" : false, "suffix" : "" }, { "dropping-particle" : "", "family" : "Huang", "given" : "Xiaowu", "non-dropping-particle" : "", "parse-names" : false, "suffix" : "" }, { "dropping-particle" : "", "family" : "Xue", "given" : "Mengjuan", "non-dropping-particle" : "", "parse-names" : false, "suffix" : "" }, { "dropping-particle" : "", "family" : "Sun", "given" : "Qiman", "non-dropping-particle" : "", "parse-names" : false, "suffix" : "" }, { "dropping-particle" : "", "family" : "Wang", "given" : "Ting", "non-dropping-particle" : "", "parse-names" : false, "suffix" : "" }, { "dropping-particle" : "", "family" : "Liang", "given" : "Jing", "non-dropping-particle" : "", "parse-names" : false, "suffix" : "" }, { "dropping-particle" : "", "family" : "He", "given" : "Shunmei", "non-dropping-particle" : "", "parse-names" : false, "suffix" : "" }, { "dropping-particle" : "", "family" : "Gao", "given" : "Jian", "non-dropping-particle" : "", "parse-names" : false, "suffix" : "" }, { "dropping-particle" : "", "family" : "Zhou", "given" : "Jian", "non-dropping-particle" : "", "parse-names" : false, "suffix" : "" }, { "dropping-particle" : "", "family" : "Yu", "given" : "Mingxiang", "non-dropping-particle" : "", "parse-names" : false, "suffix" : "" }, { "dropping-particle" : "", "family" : "Fan", "given" : "Jia", "non-dropping-particle" : "", "parse-names" : false, "suffix" : "" }, { "dropping-particle" : "", "family" : "Gao", "given" : "Xin", "non-dropping-particle" : "", "parse-names" : false, "suffix" : "" } ], "container-title" : "Journal of Diabetes", "id" : "ITEM-1", "issue" : "6", "issued" : { "date-parts" : [ [ "2015", "11" ] ] }, "page" : "881-890", "title" : "New-onset diabetes after liver transplantation and its impact on complications and patient survival", "type" : "article-journal", "volume" : "7" }, "uris" : [ "http://www.mendeley.com/documents/?uuid=a0a076f8-6d4b-4dfe-8532-5df1c2e3608d" ] } ], "mendeley" : { "formattedCitation" : "&lt;sup&gt;[9]&lt;/sup&gt;", "plainTextFormattedCitation" : "[9]", "previouslyFormattedCitation" : "&lt;sup&gt;[9]&lt;/sup&gt;"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[9]</w:t>
      </w:r>
      <w:r w:rsidR="003F54F3" w:rsidRPr="008A2C60">
        <w:rPr>
          <w:rFonts w:ascii="Book Antiqua" w:hAnsi="Book Antiqua"/>
        </w:rPr>
        <w:fldChar w:fldCharType="end"/>
      </w:r>
      <w:r w:rsidR="0029474B" w:rsidRPr="008A2C60">
        <w:rPr>
          <w:rFonts w:ascii="Book Antiqua" w:hAnsi="Book Antiqua"/>
        </w:rPr>
        <w:t>.</w:t>
      </w:r>
      <w:r w:rsidR="00B21233" w:rsidRPr="008A2C60">
        <w:rPr>
          <w:rFonts w:ascii="Book Antiqua" w:hAnsi="Book Antiqua"/>
        </w:rPr>
        <w:t xml:space="preserve"> </w:t>
      </w:r>
      <w:r w:rsidRPr="008A2C60">
        <w:rPr>
          <w:rFonts w:ascii="Book Antiqua" w:hAnsi="Book Antiqua"/>
        </w:rPr>
        <w:t xml:space="preserve">Despite the importance of post-LT glycemic control, there are no evidence-based guidelines on how to manage hyperglycemia in the post-LT period. Moreover, it is unclear what degree of glycemic control is associated with graft </w:t>
      </w:r>
      <w:r w:rsidR="0048071A" w:rsidRPr="008A2C60">
        <w:rPr>
          <w:rFonts w:ascii="Book Antiqua" w:hAnsi="Book Antiqua"/>
        </w:rPr>
        <w:t>failure</w:t>
      </w:r>
      <w:r w:rsidRPr="008A2C60">
        <w:rPr>
          <w:rFonts w:ascii="Book Antiqua" w:hAnsi="Book Antiqua"/>
        </w:rPr>
        <w:t xml:space="preserve"> and </w:t>
      </w:r>
      <w:r w:rsidR="00793F69" w:rsidRPr="008A2C60">
        <w:rPr>
          <w:rFonts w:ascii="Book Antiqua" w:hAnsi="Book Antiqua"/>
        </w:rPr>
        <w:t>complications such as infection</w:t>
      </w:r>
      <w:r w:rsidR="00560444" w:rsidRPr="008A2C60">
        <w:rPr>
          <w:rFonts w:ascii="Book Antiqua" w:hAnsi="Book Antiqua"/>
        </w:rPr>
        <w:t>s</w:t>
      </w:r>
      <w:r w:rsidRPr="008A2C60">
        <w:rPr>
          <w:rFonts w:ascii="Book Antiqua" w:hAnsi="Book Antiqua"/>
        </w:rPr>
        <w:t xml:space="preserve">. </w:t>
      </w:r>
      <w:r w:rsidR="00622CD0" w:rsidRPr="008A2C60">
        <w:rPr>
          <w:rFonts w:ascii="Book Antiqua" w:hAnsi="Book Antiqua"/>
        </w:rPr>
        <w:t xml:space="preserve">Similarly, predictors for poor glycemic control and </w:t>
      </w:r>
      <w:r w:rsidR="0012041F" w:rsidRPr="008A2C60">
        <w:rPr>
          <w:rFonts w:ascii="Book Antiqua" w:hAnsi="Book Antiqua"/>
        </w:rPr>
        <w:t>NODAT in LT recipients</w:t>
      </w:r>
      <w:r w:rsidR="00622CD0" w:rsidRPr="008A2C60">
        <w:rPr>
          <w:rFonts w:ascii="Book Antiqua" w:hAnsi="Book Antiqua"/>
        </w:rPr>
        <w:t xml:space="preserve"> </w:t>
      </w:r>
      <w:r w:rsidR="00973FCF" w:rsidRPr="008A2C60">
        <w:rPr>
          <w:rFonts w:ascii="Book Antiqua" w:hAnsi="Book Antiqua"/>
        </w:rPr>
        <w:t>have not been identified</w:t>
      </w:r>
      <w:r w:rsidR="008E1587" w:rsidRPr="008A2C60">
        <w:rPr>
          <w:rFonts w:ascii="Book Antiqua" w:hAnsi="Book Antiqua"/>
        </w:rPr>
        <w:t>, apart from donor graft</w:t>
      </w:r>
      <w:r w:rsidR="00793F69" w:rsidRPr="008A2C60">
        <w:rPr>
          <w:rFonts w:ascii="Book Antiqua" w:hAnsi="Book Antiqua"/>
        </w:rPr>
        <w:t xml:space="preserve"> steatosis</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"10.1111/1753-0407.12275", "PMID" : "25676209", "abstract" : "BACKGROUND The aim of the present study was to investigate the incidence and risk factors of new-onset diabetes after transplantation (NODAT) in liver transplant recipients and the influence of NODAT on complications and long-term patient survival. METHODS We examined 438 patients who underwent liver transplantation between April 2001 and December 2008 and were not diabetic before transplantation. RESULTS The mean (\u00b1\u2009SD) follow-up duration was 2.46\u2009\u00b1\u20091.62 years. The incidence of NODAT 3, 6, 9, 12, 36, and 60 months after transplantation was 44.24%, 25.59%, 23.08%, 25.17%, 17.86%, and 18.18%, respectively. Multifactor analysis indicated that preoperative fasting plasma glucose (FPG) levels and donor liver steatosis were independent risk factors for NODAT, whereas administration of an interleukin-2 receptor (IL-2R) antagonist reduced the risk of NODAT. Compared with the no NODAT group (N-NODAT), the NODAT group had a higher rate of sepsis and chronic renal insufficiency. Mean survival was significantly longer in the N-NODAT than NODAT group. Cox regression analysis showed that pre- and/or postoperative FPG levels, tumor recurrence or metastasis, and renal insufficiency after liver transplantation were independent risk factors of mortality. Pulmonary infection or multisystem failure were specific causes of death in the NODAT group, whereas patients in both groups died primarily from tumor relapse or metastasis. CONCLUSIONS Preoperative FPG levels and donor liver steatosis were independent risk factors for NODAT, whereas administration of an IL-2R antagonist reduced the risk of NODAT. Patients with NODAT had reduced survival and an increased incidence of sepsis and chronic renal insufficiency. Significant causes of death in the NODAT group were pulmonary infection and multisystem failure.", "author" : [ { "dropping-particle" : "", "family" : "Lv", "given" : "Chaoyang", "non-dropping-particle" : "", "parse-names" : false, "suffix" : "" }, { "dropping-particle" : "", "family" : "Zhang", "given" : "Yao", "non-dropping-particle" : "", "parse-names" : false, "suffix" : "" }, { "dropping-particle" : "", "family" : "Chen", "given" : "Xianying", "non-dropping-particle" : "", "parse-names" : false, "suffix" : "" }, { "dropping-particle" : "", "family" : "Huang", "given" : "Xiaowu", "non-dropping-particle" : "", "parse-names" : false, "suffix" : "" }, { "dropping-particle" : "", "family" : "Xue", "given" : "Mengjuan", "non-dropping-particle" : "", "parse-names" : false, "suffix" : "" }, { "dropping-particle" : "", "family" : "Sun", "given" : "Qiman", "non-dropping-particle" : "", "parse-names" : false, "suffix" : "" }, { "dropping-particle" : "", "family" : "Wang", "given" : "Ting", "non-dropping-particle" : "", "parse-names" : false, "suffix" : "" }, { "dropping-particle" : "", "family" : "Liang", "given" : "Jing", "non-dropping-particle" : "", "parse-names" : false, "suffix" : "" }, { "dropping-particle" : "", "family" : "He", "given" : "Shunmei", "non-dropping-particle" : "", "parse-names" : false, "suffix" : "" }, { "dropping-particle" : "", "family" : "Gao", "given" : "Jian", "non-dropping-particle" : "", "parse-names" : false, "suffix" : "" }, { "dropping-particle" : "", "family" : "Zhou", "given" : "Jian", "non-dropping-particle" : "", "parse-names" : false, "suffix" : "" }, { "dropping-particle" : "", "family" : "Yu", "given" : "Mingxiang", "non-dropping-particle" : "", "parse-names" : false, "suffix" : "" }, { "dropping-particle" : "", "family" : "Fan", "given" : "Jia", "non-dropping-particle" : "", "parse-names" : false, "suffix" : "" }, { "dropping-particle" : "", "family" : "Gao", "given" : "Xin", "non-dropping-particle" : "", "parse-names" : false, "suffix" : "" } ], "container-title" : "Journal of Diabetes", "id" : "ITEM-1", "issue" : "6", "issued" : { "date-parts" : [ [ "2015", "11" ] ] }, "page" : "881-890", "title" : "New-onset diabetes after liver transplantation and its impact on complications and patient survival", "type" : "article-journal", "volume" : "7" }, "uris" : [ "http://www.mendeley.com/documents/?uuid=a0a076f8-6d4b-4dfe-8532-5df1c2e3608d" ] } ], "mendeley" : { "formattedCitation" : "&lt;sup&gt;[9]&lt;/sup&gt;", "plainTextFormattedCitation" : "[9]", "previouslyFormattedCitation" : "&lt;sup&gt;[9]&lt;/sup&gt;"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[9]</w:t>
      </w:r>
      <w:r w:rsidR="003F54F3" w:rsidRPr="008A2C60">
        <w:rPr>
          <w:rFonts w:ascii="Book Antiqua" w:hAnsi="Book Antiqua"/>
        </w:rPr>
        <w:fldChar w:fldCharType="end"/>
      </w:r>
      <w:r w:rsidR="0029474B" w:rsidRPr="008A2C60">
        <w:rPr>
          <w:rFonts w:ascii="Book Antiqua" w:hAnsi="Book Antiqua"/>
        </w:rPr>
        <w:t>,</w:t>
      </w:r>
      <w:r w:rsidR="003028BE" w:rsidRPr="008A2C60">
        <w:rPr>
          <w:rFonts w:ascii="Book Antiqua" w:hAnsi="Book Antiqua"/>
        </w:rPr>
        <w:t xml:space="preserve"> </w:t>
      </w:r>
      <w:r w:rsidR="00793F69" w:rsidRPr="008A2C60">
        <w:rPr>
          <w:rFonts w:ascii="Book Antiqua" w:hAnsi="Book Antiqua"/>
        </w:rPr>
        <w:t xml:space="preserve">post-LT </w:t>
      </w:r>
      <w:r w:rsidR="003028BE" w:rsidRPr="008A2C60">
        <w:rPr>
          <w:rFonts w:ascii="Book Antiqua" w:hAnsi="Book Antiqua"/>
        </w:rPr>
        <w:t>immunosuppression</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"10.1210/jc.2011-0657", "PMID" : "22058376", "abstract" : "New-onset diabetes after transplantation (NODAT) refers to the occurrence of diabetes in previously nondiabetic persons after organ transplantation. The incidence rates of NODAT vary by organ transplanted and posttransplant interval. The estimated rates at 12 months posttransplant are 20-50% for kidney transplants, 9-21% for liver transplants, and approximately 20% for lung transplants. NODAT is associated with increased risks of graft rejection, infection, cardiovascular disease, and death. Besides the traditional risk factors for type 2 diabetes (age, family history, obesity, and ethnicity), exposure to immunosuppressive agents often precedes the occurrence of NODAT. Identification of risk factors through pretransplant screening is desirable, as is prompt diagnosis and appropriate treatment. NODAT is consistent with type 2 diabetes and responds to the usual antidiabetes agents. However, severe hyperglycemia during the early posttransplant period may necessitate the use of iv insulin infusion. Also, high-dose glucocorticoid therapy for induction of immunosuppression (or treatment of acute rejection) may require the use of insulin therapy for glycemic control. After hospital discharge, close monitoring of blood glucose during the first month and every 3 months for the first year is recommended. Consideration should be given to drug toxicities or interactions when prescribing antidiabetes agents in the posttransplant patient. In addition to hyperglycemia, the control of comorbidities such as dyslipidemia and hypertension needs to be optimized. Future areas of investigation include the development of immunosuppressive regimens with minimal diabetogenic effects, determination of the role of glycemic control on graft survival, and interventions for primary prevention of NODAT.", "author" : [ { "dropping-particle" : "", "family" : "Lane", "given" : "James T", "non-dropping-particle" : "", "parse-names" : false, "suffix" : "" }, { "dropping-particle" : "", "family" : "Dagogo-Jack", "given" : "Samuel", "non-dropping-particle" : "", "parse-names" : false, "suffix" : "" } ], "container-title" : "The Journal of clinical endocrinology and metabolism", "id" : "ITEM-1", "issue" : "11", "issued" : { "date-parts" : [ [ "2011", "11" ] ] }, "page" : "3289-97", "title" : "Approach to the patient with new-onset diabetes after transplant (NODAT).", "type" : "article-journal", "volume" : "96" }, "uris" : [ "http://www.mendeley.com/documents/?uuid=ed14cab1-6b32-4811-9be1-9b184ce7414e" ] }, { "id" : "ITEM-2", "itemData" : { "PMID" : "22766890", "abstract" : "New-onset diabetes after transplantation (NODAT) or posttransplant diabetes mellitus is a frequent metabolic complication of organ transplantation. Diabetes incidence rates among transplant recipients are higher than in the general population. The estimated rates are 9-18% after kidney, 20-33% after liver, 26-40% after lung, and 29% after heart transplants, respectively. In retrospective studies, NODAT was associated with higher costs of posttransplant care and increased risks of graft failure, infection, cardiovascular disease, and death. The incidence of NODAT is influenced by both traditional risk factors for type 2 diabetes (age, family history, obesity, hepatitis C infection, and ethnicity) and transplant-specific risk factors. Managing NODAT is challenging because posttransplant care is complex and characterized by multiple variables including immunosuppressive regimens, choice of antidiabetes agents, and optimal use of insulin therapy. Therefore, predicting and preventing NODAT would be a compelling objective for improving care of posttransplant patients. During the pretransplant period, lifestyle modifications in patients at risk for NODAT should be considered, recognizing that no randomized controlled trials exist to inform specific modalities or cost-effectiveness of such an approach. After hospital discharge, close monitoring of blood glucose during the first month, and every 3 months thereafter for the first year, is recommended for those without prior history of diabetes mellitus. Future areas of investigation include clinical validation of NODAT risk score engines, validation of interventions for primary prevention of NODAT, the development of immunosuppressive regimens with minimal diabetogenic effects, and prospective determination of the role of glycemic control on graft survival and cardiovascular outcomes.", "author" : [ { "dropping-particle" : "", "family" : "Gosmanov", "given" : "A R", "non-dropping-particle" : "", "parse-names" : false, "suffix" : "" }, { "dropping-particle" : "", "family" : "Dagogo-Jack", "given" : "S", "non-dropping-particle" : "", "parse-names" : false, "suffix" : "" } ], "container-title" : "Minerva endocrinologica", "id" : "ITEM-2", "issue" : "3", "issued" : { "date-parts" : [ [ "2012", "9" ] ] }, "page" : "233-46", "title" : "Predicting, managing and preventing new-onset diabetes after transplantation.", "type" : "article-journal", "volume" : "37" }, "uris" : [ "http://www.mendeley.com/documents/?uuid=f82c69b0-2172-4f98-b3c3-ded5830dda85" ] }, { "id" : "ITEM-3", "itemData" : { "PMID" : "18240695", "abstract" : "The development of diabetes after solid organ transplantation is a known complication, and many published studies have examined prevalence rates and risk factors for specific categories of transplant recipients. However, fewer articles have compared rates of posttransplant diabetes and risk factors among different types of transplant recipients. This article provides an overview of the literature on this subject and compares similarities and differences related to posttransplant diabetes for different categories of organ transplant recipients. Awareness of the various risk factors for different organ transplant recipients will enhance transplant clinicians' knowledge related to this complication so that appropriate monitoring can be started.", "author" : [ { "dropping-particle" : "", "family" : "Driscoll", "given" : "Carolyn J", "non-dropping-particle" : "", "parse-names" : false, "suffix" : "" } ], "container-title" : "Progress in transplantation (Aliso Viejo, Calif.)", "id" : "ITEM-3", "issue" : "4", "issued" : { "date-parts" : [ [ "2007", "12" ] ] }, "page" : "295-300; quiz 301", "title" : "Risk factors for posttransplant diabetes mellitus: a review of the literature.", "type" : "article-journal", "volume" : "17" }, "uris" : [ "http://www.mendeley.com/documents/?uuid=541c52dd-be4b-4a20-a7a6-187614c744e7" ] } ], "mendeley" : { "formattedCitation" : "&lt;sup&gt;[10\u201312]&lt;/sup&gt;", "plainTextFormattedCitation" : "[10\u201312]", "previouslyFormattedCitation" : "&lt;sup&gt;[10\u201312]&lt;/sup&gt;"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[10</w:t>
      </w:r>
      <w:r w:rsidR="007A3E9A">
        <w:rPr>
          <w:rFonts w:ascii="Book Antiqua" w:hAnsi="Book Antiqua" w:hint="eastAsia"/>
          <w:noProof/>
          <w:vertAlign w:val="superscript"/>
          <w:lang w:eastAsia="zh-CN"/>
        </w:rPr>
        <w:t>-</w:t>
      </w:r>
      <w:r w:rsidR="00131F28" w:rsidRPr="008A2C60">
        <w:rPr>
          <w:rFonts w:ascii="Book Antiqua" w:hAnsi="Book Antiqua"/>
          <w:noProof/>
          <w:vertAlign w:val="superscript"/>
        </w:rPr>
        <w:t>12]</w:t>
      </w:r>
      <w:r w:rsidR="003F54F3" w:rsidRPr="008A2C60">
        <w:rPr>
          <w:rFonts w:ascii="Book Antiqua" w:hAnsi="Book Antiqua"/>
        </w:rPr>
        <w:fldChar w:fldCharType="end"/>
      </w:r>
      <w:r w:rsidR="0029474B" w:rsidRPr="008A2C60">
        <w:rPr>
          <w:rFonts w:ascii="Book Antiqua" w:hAnsi="Book Antiqua"/>
        </w:rPr>
        <w:t>,</w:t>
      </w:r>
      <w:r w:rsidR="009A77DD" w:rsidRPr="008A2C60">
        <w:rPr>
          <w:rFonts w:ascii="Book Antiqua" w:hAnsi="Book Antiqua"/>
        </w:rPr>
        <w:t xml:space="preserve"> steroid use, and</w:t>
      </w:r>
      <w:r w:rsidR="001C584F" w:rsidRPr="008A2C60">
        <w:rPr>
          <w:rFonts w:ascii="Book Antiqua" w:hAnsi="Book Antiqua"/>
        </w:rPr>
        <w:t xml:space="preserve"> hepatitis C virus (HCV)</w:t>
      </w:r>
      <w:r w:rsidR="00E822FE" w:rsidRPr="008A2C60">
        <w:rPr>
          <w:rFonts w:ascii="Book Antiqua" w:hAnsi="Book Antiqua"/>
        </w:rPr>
        <w:t xml:space="preserve"> infection</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"10.1016/j.diabet.2010.09.003", "PMID" : "21295510", "abstract" : "With improvements in patient and graft survival, increasing attention has been placed on complications that contribute to long-term patient morbidity and mortality. New-onset diabetes after transplantation (NODAT) is a common complication of solid-organ transplantation, and is a strong predictor of graft failure and cardiovascular mortality in the transplant population. Risk factors for NODAT in transplant recipients are similar to those in non-transplant patients, but transplant-specific risk factors such as hepatitis C (HCV) infection, corticosteroids and calcineurin inhibitors play a dominant role in NODAT pathogenesis. Management of NODAT is similar to type 2 diabetes management in the general population. However, adjusting the immunosuppressant regimen to improve glucose tolerance must be weighed against the risk of allograft rejection. Lifestyle modification is currently the strategy with the least risk and the most benefit.", "author" : [ { "dropping-particle" : "", "family" : "R\u00e4kel", "given" : "A.", "non-dropping-particle" : "", "parse-names" : false, "suffix" : "" }, { "dropping-particle" : "", "family" : "Karelis", "given" : "A.D.", "non-dropping-particle" : "", "parse-names" : false, "suffix" : "" } ], "container-title" : "Diabetes &amp; Metabolism", "id" : "ITEM-1", "issue" : "1", "issued" : { "date-parts" : [ [ "2011", "2" ] ] }, "page" : "1-14", "title" : "New-onset diabetes after transplantation: Risk factors and clinical impact", "type" : "article-journal", "volume" : "37" }, "uris" : [ "http://www.mendeley.com/documents/?uuid=c0dc3ebd-07bb-4fce-8db0-d3f74a44d029" ] } ], "mendeley" : { "formattedCitation" : "&lt;sup&gt;[13]&lt;/sup&gt;", "plainTextFormattedCitation" : "[13]", "previouslyFormattedCitation" : "&lt;sup&gt;[13]&lt;/sup&gt;"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[13]</w:t>
      </w:r>
      <w:r w:rsidR="003F54F3" w:rsidRPr="008A2C60">
        <w:rPr>
          <w:rFonts w:ascii="Book Antiqua" w:hAnsi="Book Antiqua"/>
        </w:rPr>
        <w:fldChar w:fldCharType="end"/>
      </w:r>
      <w:r w:rsidR="0029474B" w:rsidRPr="008A2C60">
        <w:rPr>
          <w:rFonts w:ascii="Book Antiqua" w:hAnsi="Book Antiqua"/>
        </w:rPr>
        <w:t>.</w:t>
      </w:r>
      <w:r w:rsidRPr="008A2C60">
        <w:rPr>
          <w:rFonts w:ascii="Book Antiqua" w:hAnsi="Book Antiqua"/>
        </w:rPr>
        <w:t xml:space="preserve"> </w:t>
      </w:r>
      <w:r w:rsidR="00C10D4A" w:rsidRPr="008A2C60">
        <w:rPr>
          <w:rFonts w:ascii="Book Antiqua" w:hAnsi="Book Antiqua"/>
        </w:rPr>
        <w:t xml:space="preserve">These gaps </w:t>
      </w:r>
      <w:r w:rsidR="00620D56" w:rsidRPr="008A2C60">
        <w:rPr>
          <w:rFonts w:ascii="Book Antiqua" w:hAnsi="Book Antiqua"/>
        </w:rPr>
        <w:t xml:space="preserve">in </w:t>
      </w:r>
      <w:r w:rsidR="00C10D4A" w:rsidRPr="008A2C60">
        <w:rPr>
          <w:rFonts w:ascii="Book Antiqua" w:hAnsi="Book Antiqua"/>
        </w:rPr>
        <w:t xml:space="preserve">our </w:t>
      </w:r>
      <w:r w:rsidR="00620D56" w:rsidRPr="008A2C60">
        <w:rPr>
          <w:rFonts w:ascii="Book Antiqua" w:hAnsi="Book Antiqua"/>
        </w:rPr>
        <w:t xml:space="preserve">existing knowledge </w:t>
      </w:r>
      <w:r w:rsidR="00C10D4A" w:rsidRPr="008A2C60">
        <w:rPr>
          <w:rFonts w:ascii="Book Antiqua" w:hAnsi="Book Antiqua"/>
        </w:rPr>
        <w:t>necessitate</w:t>
      </w:r>
      <w:r w:rsidR="00620D56" w:rsidRPr="008A2C60">
        <w:rPr>
          <w:rFonts w:ascii="Book Antiqua" w:hAnsi="Book Antiqua"/>
        </w:rPr>
        <w:t xml:space="preserve"> a review of the literature</w:t>
      </w:r>
      <w:r w:rsidR="00C10D4A" w:rsidRPr="008A2C60">
        <w:rPr>
          <w:rFonts w:ascii="Book Antiqua" w:hAnsi="Book Antiqua"/>
        </w:rPr>
        <w:t xml:space="preserve"> on glycemic control and perioperative outcomes in LT recipients</w:t>
      </w:r>
      <w:r w:rsidR="00622CD0" w:rsidRPr="008A2C60">
        <w:rPr>
          <w:rFonts w:ascii="Book Antiqua" w:hAnsi="Book Antiqua"/>
        </w:rPr>
        <w:t xml:space="preserve">. </w:t>
      </w:r>
    </w:p>
    <w:p w14:paraId="3CA1BD78" w14:textId="5B1E6B56" w:rsidR="00620D56" w:rsidRPr="008A2C60" w:rsidRDefault="00811508" w:rsidP="00C26D7B">
      <w:pPr>
        <w:spacing w:line="360" w:lineRule="auto"/>
        <w:ind w:firstLineChars="100" w:firstLine="240"/>
        <w:contextualSpacing/>
        <w:jc w:val="both"/>
        <w:rPr>
          <w:rFonts w:ascii="Book Antiqua" w:hAnsi="Book Antiqua"/>
        </w:rPr>
      </w:pPr>
      <w:r w:rsidRPr="008A2C60">
        <w:rPr>
          <w:rFonts w:ascii="Book Antiqua" w:hAnsi="Book Antiqua"/>
        </w:rPr>
        <w:t>Given the increasing prevalence of non-alcoholic fatty liver disease (NAFLD) and metabolic syndrome,</w:t>
      </w:r>
      <w:r w:rsidR="002273BA" w:rsidRPr="008A2C60">
        <w:rPr>
          <w:rFonts w:ascii="Book Antiqua" w:hAnsi="Book Antiqua"/>
        </w:rPr>
        <w:t xml:space="preserve"> many patients will arrive at transplant with some degree of insulin resistance.</w:t>
      </w:r>
      <w:r w:rsidRPr="008A2C60">
        <w:rPr>
          <w:rFonts w:ascii="Book Antiqua" w:hAnsi="Book Antiqua"/>
        </w:rPr>
        <w:t xml:space="preserve"> </w:t>
      </w:r>
      <w:r w:rsidR="002273BA" w:rsidRPr="008A2C60">
        <w:rPr>
          <w:rFonts w:ascii="Book Antiqua" w:hAnsi="Book Antiqua"/>
        </w:rPr>
        <w:t>P</w:t>
      </w:r>
      <w:r w:rsidRPr="008A2C60">
        <w:rPr>
          <w:rFonts w:ascii="Book Antiqua" w:hAnsi="Book Antiqua"/>
        </w:rPr>
        <w:t xml:space="preserve">ost-LT hyperglycemic management </w:t>
      </w:r>
      <w:r w:rsidR="002273BA" w:rsidRPr="008A2C60">
        <w:rPr>
          <w:rFonts w:ascii="Book Antiqua" w:hAnsi="Book Antiqua"/>
        </w:rPr>
        <w:t>will be</w:t>
      </w:r>
      <w:r w:rsidRPr="008A2C60">
        <w:rPr>
          <w:rFonts w:ascii="Book Antiqua" w:hAnsi="Book Antiqua"/>
        </w:rPr>
        <w:t xml:space="preserve"> essential to improving patient care and outcomes.</w:t>
      </w:r>
      <w:r w:rsidR="00CE3AFE">
        <w:rPr>
          <w:rFonts w:ascii="Book Antiqua" w:hAnsi="Book Antiqua"/>
        </w:rPr>
        <w:t xml:space="preserve"> </w:t>
      </w:r>
      <w:r w:rsidR="00503992" w:rsidRPr="008A2C60">
        <w:rPr>
          <w:rFonts w:ascii="Book Antiqua" w:hAnsi="Book Antiqua"/>
        </w:rPr>
        <w:t>The inciden</w:t>
      </w:r>
      <w:r w:rsidR="00E01E2F" w:rsidRPr="008A2C60">
        <w:rPr>
          <w:rFonts w:ascii="Book Antiqua" w:hAnsi="Book Antiqua"/>
        </w:rPr>
        <w:t>ce of NODAT ranges from 20</w:t>
      </w:r>
      <w:r w:rsidR="00B40242">
        <w:rPr>
          <w:rFonts w:ascii="Book Antiqua" w:hAnsi="Book Antiqua" w:hint="eastAsia"/>
          <w:lang w:eastAsia="zh-CN"/>
        </w:rPr>
        <w:t>%</w:t>
      </w:r>
      <w:r w:rsidR="00E01E2F" w:rsidRPr="008A2C60">
        <w:rPr>
          <w:rFonts w:ascii="Book Antiqua" w:hAnsi="Book Antiqua"/>
        </w:rPr>
        <w:t xml:space="preserve"> to 44</w:t>
      </w:r>
      <w:r w:rsidR="00503992" w:rsidRPr="008A2C60">
        <w:rPr>
          <w:rFonts w:ascii="Book Antiqua" w:hAnsi="Book Antiqua"/>
        </w:rPr>
        <w:t>% among LT recipients</w:t>
      </w:r>
      <w:r w:rsidR="00793F69" w:rsidRPr="008A2C60">
        <w:rPr>
          <w:rFonts w:ascii="Book Antiqua" w:hAnsi="Book Antiqua"/>
        </w:rPr>
        <w:t>, with rates varying depending on methodology used</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"10.1097/TP.0b013e318293fcf8", "PMID" : "23619735", "abstract" : "BACKGROUND New-onset diabetes after transplantation (NODAT) occurs commonly. Prior NODAT definitions have been inconsistent. Based on the American Diabetic Association criteria, we propose a new approach to defining NODAT. METHODS Analysis of 1416 at-risk transplant recipients was performed. Data from three de novo Astellas registration transplant studies (two kidney and one liver) evaluated NODAT in 634 at-risk patients receiving tacrolimus, 630 at-risk patients receiving tacrolimus extended release, and 152 at-risk patients receiving cyclosporine. NODAT was defined as a composite endpoint consisting of first occurrence of one of four parameters: (i) two fasting plasma glucose levels \u2265 126 mg/dL (\u2265 7.0 mmol/L) \u2265 30 days apart, (ii) oral hypoglycemic agent use for \u2265 30 consecutive days, (iii) insulin therapy for \u2265 30 consecutive days, and (iv) hemoglobin A1c \u2265 6.5%. We evaluated each of the above parameters, as well as the composite endpoint, in an attempt to establish an appropriate clinical approach to the diagnosis of NODAT. RESULTS The composite definition results in a 1-year NODAT incidence of 30% to 37% in kidney and 44% to 45% in liver transplant recipients treated with tacrolimus. NODAT incidence was significantly higher with tacrolimus than cyclosporine; there was no difference between the two tacrolimus formulations. CONCLUSIONS Based on these analyses, the proposed composite definition for NODAT, incorporating broader criteria, is recommended for clinical trials. Appropriate definitions of NODAT allow for a better understanding of the incidence of this complication and may result in earlier initiation of therapy with improved long-term outcomes.", "author" : [ { "dropping-particle" : "", "family" : "First", "given" : "M. Roy", "non-dropping-particle" : "", "parse-names" : false, "suffix" : "" }, { "dropping-particle" : "", "family" : "Dhadda", "given" : "Shobha", "non-dropping-particle" : "", "parse-names" : false, "suffix" : "" }, { "dropping-particle" : "", "family" : "Croy", "given" : "Richard", "non-dropping-particle" : "", "parse-names" : false, "suffix" : "" }, { "dropping-particle" : "", "family" : "Holman", "given" : "John", "non-dropping-particle" : "", "parse-names" : false, "suffix" : "" }, { "dropping-particle" : "", "family" : "Fitzsimmons", "given" : "William E.", "non-dropping-particle" : "", "parse-names" : false, "suffix" : "" } ], "container-title" : "Transplantation Journal", "id" : "ITEM-1", "issue" : "1", "issued" : { "date-parts" : [ [ "2013", "7" ] ] }, "page" : "58-64", "title" : "New-Onset Diabetes After Transplantation (NODAT)", "type" : "article-journal", "volume" : "96" }, "uris" : [ "http://www.mendeley.com/documents/?uuid=4d8bf5b4-c56e-48af-9a51-cd8c827d208d" ] }, { "id" : "ITEM-2", "itemData" : { "DOI" : "10.1111/1753-0407.12275", "PMID" : "25676209", "abstract" : "BACKGROUND The aim of the present study was to investigate the incidence and risk factors of new-onset diabetes after transplantation (NODAT) in liver transplant recipients and the influence of NODAT on complications and long-term patient survival. METHODS We examined 438 patients who underwent liver transplantation between April 2001 and December 2008 and were not diabetic before transplantation. RESULTS The mean (\u00b1\u2009SD) follow-up duration was 2.46\u2009\u00b1\u20091.62 years. The incidence of NODAT 3, 6, 9, 12, 36, and 60 months after transplantation was 44.24%, 25.59%, 23.08%, 25.17%, 17.86%, and 18.18%, respectively. Multifactor analysis indicated that preoperative fasting plasma glucose (FPG) levels and donor liver steatosis were independent risk factors for NODAT, whereas administration of an interleukin-2 receptor (IL-2R) antagonist reduced the risk of NODAT. Compared with the no NODAT group (N-NODAT), the NODAT group had a higher rate of sepsis and chronic renal insufficiency. Mean survival was significantly longer in the N-NODAT than NODAT group. Cox regression analysis showed that pre- and/or postoperative FPG levels, tumor recurrence or metastasis, and renal insufficiency after liver transplantation were independent risk factors of mortality. Pulmonary infection or multisystem failure were specific causes of death in the NODAT group, whereas patients in both groups died primarily from tumor relapse or metastasis. CONCLUSIONS Preoperative FPG levels and donor liver steatosis were independent risk factors for NODAT, whereas administration of an IL-2R antagonist reduced the risk of NODAT. Patients with NODAT had reduced survival and an increased incidence of sepsis and chronic renal insufficiency. Significant causes of death in the NODAT group were pulmonary infection and multisystem failure.", "author" : [ { "dropping-particle" : "", "family" : "Lv", "given" : "Chaoyang", "non-dropping-particle" : "", "parse-names" : false, "suffix" : "" }, { "dropping-particle" : "", "family" : "Zhang", "given" : "Yao", "non-dropping-particle" : "", "parse-names" : false, "suffix" : "" }, { "dropping-particle" : "", "family" : "Chen", "given" : "Xianying", "non-dropping-particle" : "", "parse-names" : false, "suffix" : "" }, { "dropping-particle" : "", "family" : "Huang", "given" : "Xiaowu", "non-dropping-particle" : "", "parse-names" : false, "suffix" : "" }, { "dropping-particle" : "", "family" : "Xue", "given" : "Mengjuan", "non-dropping-particle" : "", "parse-names" : false, "suffix" : "" }, { "dropping-particle" : "", "family" : "Sun", "given" : "Qiman", "non-dropping-particle" : "", "parse-names" : false, "suffix" : "" }, { "dropping-particle" : "", "family" : "Wang", "given" : "Ting", "non-dropping-particle" : "", "parse-names" : false, "suffix" : "" }, { "dropping-particle" : "", "family" : "Liang", "given" : "Jing", "non-dropping-particle" : "", "parse-names" : false, "suffix" : "" }, { "dropping-particle" : "", "family" : "He", "given" : "Shunmei", "non-dropping-particle" : "", "parse-names" : false, "suffix" : "" }, { "dropping-particle" : "", "family" : "Gao", "given" : "Jian", "non-dropping-particle" : "", "parse-names" : false, "suffix" : "" }, { "dropping-particle" : "", "family" : "Zhou", "given" : "Jian", "non-dropping-particle" : "", "parse-names" : false, "suffix" : "" }, { "dropping-particle" : "", "family" : "Yu", "given" : "Mingxiang", "non-dropping-particle" : "", "parse-names" : false, "suffix" : "" }, { "dropping-particle" : "", "family" : "Fan", "given" : "Jia", "non-dropping-particle" : "", "parse-names" : false, "suffix" : "" }, { "dropping-particle" : "", "family" : "Gao", "given" : "Xin", "non-dropping-particle" : "", "parse-names" : false, "suffix" : "" } ], "container-title" : "Journal of Diabetes", "id" : "ITEM-2", "issue" : "6", "issued" : { "date-parts" : [ [ "2015", "11" ] ] }, "page" : "881-890", "title" : "New-onset diabetes after liver transplantation and its impact on complications and patient survival", "type" : "article-journal", "volume" : "7" }, "uris" : [ "http://www.mendeley.com/documents/?uuid=a0a076f8-6d4b-4dfe-8532-5df1c2e3608d" ] }, { "id" : "ITEM-3", "itemData" : { "PMID" : "27095644", "abstract" : "Patients who undergo solid organ transplantation may have preexisting diabetes mellitus (DM), develop new-onset DM after transplantation (NODAT), or have postoperative hyperglycemia that resolves shortly after surgery. Although insulin is usually used to control hyperglycemia in the hospital, following discharge most of the usual diabetes oral and parenteral medications can be used in treatment. However, when there are comorbidities such as impaired kidney or hepatic function, or heart disease, special precautions may be necessary. In addition, drug-drug interactions, such as drugs interacting with CYP3A4 enzyme pathway, require additional consideration because of possible interaction with immunosuppressive drug metabolism.", "author" : [ { "dropping-particle" : "", "family" : "Wallia", "given" : "Amisha", "non-dropping-particle" : "", "parse-names" : false, "suffix" : "" }, { "dropping-particle" : "", "family" : "Illuri", "given" : "Vidhya", "non-dropping-particle" : "", "parse-names" : false, "suffix" : "" }, { "dropping-particle" : "", "family" : "Molitch", "given" : "Mark E", "non-dropping-particle" : "", "parse-names" : false, "suffix" : "" } ], "container-title" : "The Medical clinics of North America", "id" : "ITEM-3", "issue" : "3", "issued" : { "date-parts" : [ [ "2016", "5" ] ] }, "page" : "535-50", "title" : "Diabetes Care After Transplant: Definitions, Risk Factors, and Clinical Management.", "type" : "article-journal", "volume" : "100" }, "uris" : [ "http://www.mendeley.com/documents/?uuid=843e4aaa-2234-496d-a186-fa4704197331" ] }, { "id" : "ITEM-4", "itemData" : { "PMID" : "22766890", "abstract" : "New-onset diabetes after transplantation (NODAT) or posttransplant diabetes mellitus is a frequent metabolic complication of organ transplantation. Diabetes incidence rates among transplant recipients are higher than in the general population. The estimated rates are 9-18% after kidney, 20-33% after liver, 26-40% after lung, and 29% after heart transplants, respectively. In retrospective studies, NODAT was associated with higher costs of posttransplant care and increased risks of graft failure, infection, cardiovascular disease, and death. The incidence of NODAT is influenced by both traditional risk factors for type 2 diabetes (age, family history, obesity, hepatitis C infection, and ethnicity) and transplant-specific risk factors. Managing NODAT is challenging because posttransplant care is complex and characterized by multiple variables including immunosuppressive regimens, choice of antidiabetes agents, and optimal use of insulin therapy. Therefore, predicting and preventing NODAT would be a compelling objective for improving care of posttransplant patients. During the pretransplant period, lifestyle modifications in patients at risk for NODAT should be considered, recognizing that no randomized controlled trials exist to inform specific modalities or cost-effectiveness of such an approach. After hospital discharge, close monitoring of blood glucose during the first month, and every 3 months thereafter for the first year, is recommended for those without prior history of diabetes mellitus. Future areas of investigation include clinical validation of NODAT risk score engines, validation of interventions for primary prevention of NODAT, the development of immunosuppressive regimens with minimal diabetogenic effects, and prospective determination of the role of glycemic control on graft survival and cardiovascular outcomes.", "author" : [ { "dropping-particle" : "", "family" : "Gosmanov", "given" : "A R", "non-dropping-particle" : "", "parse-names" : false, "suffix" : "" }, { "dropping-particle" : "", "family" : "Dagogo-Jack", "given" : "S", "non-dropping-particle" : "", "parse-names" : false, "suffix" : "" } ], "container-title" : "Minerva endocrinologica", "id" : "ITEM-4", "issue" : "3", "issued" : { "date-parts" : [ [ "2012", "9" ] ] }, "page" : "233-46", "title" : "Predicting, managing and preventing new-onset diabetes after transplantation.", "type" : "article-journal", "volume" : "37" }, "uris" : [ "http://www.mendeley.com/documents/?uuid=f82c69b0-2172-4f98-b3c3-ded5830dda85" ] } ], "mendeley" : { "formattedCitation" : "&lt;sup&gt;[8,9,11,14]&lt;/sup&gt;", "plainTextFormattedCitation" : "[8,9,11,14]", "previouslyFormattedCitation" : "&lt;sup&gt;[8,9,11,14]&lt;/sup&gt;"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[8,9,11,14]</w:t>
      </w:r>
      <w:r w:rsidR="003F54F3" w:rsidRPr="008A2C60">
        <w:rPr>
          <w:rFonts w:ascii="Book Antiqua" w:hAnsi="Book Antiqua"/>
        </w:rPr>
        <w:fldChar w:fldCharType="end"/>
      </w:r>
      <w:r w:rsidR="00D9403D" w:rsidRPr="008A2C60">
        <w:rPr>
          <w:rFonts w:ascii="Book Antiqua" w:hAnsi="Book Antiqua"/>
        </w:rPr>
        <w:t>.</w:t>
      </w:r>
      <w:r w:rsidR="00503992" w:rsidRPr="008A2C60">
        <w:rPr>
          <w:rFonts w:ascii="Book Antiqua" w:hAnsi="Book Antiqua"/>
        </w:rPr>
        <w:t xml:space="preserve"> </w:t>
      </w:r>
      <w:r w:rsidR="003C3980" w:rsidRPr="008A2C60">
        <w:rPr>
          <w:rFonts w:ascii="Book Antiqua" w:hAnsi="Book Antiqua"/>
        </w:rPr>
        <w:t xml:space="preserve">The aim of this qualitative systematic review is </w:t>
      </w:r>
      <w:r w:rsidR="00C10D4A" w:rsidRPr="008A2C60">
        <w:rPr>
          <w:rFonts w:ascii="Book Antiqua" w:hAnsi="Book Antiqua"/>
        </w:rPr>
        <w:t xml:space="preserve">to analyze </w:t>
      </w:r>
      <w:r w:rsidR="000F63CB" w:rsidRPr="008A2C60">
        <w:rPr>
          <w:rFonts w:ascii="Book Antiqua" w:hAnsi="Book Antiqua"/>
        </w:rPr>
        <w:t xml:space="preserve">methods </w:t>
      </w:r>
      <w:r w:rsidR="00C10D4A" w:rsidRPr="008A2C60">
        <w:rPr>
          <w:rFonts w:ascii="Book Antiqua" w:hAnsi="Book Antiqua"/>
        </w:rPr>
        <w:t xml:space="preserve">for </w:t>
      </w:r>
      <w:r w:rsidR="00E822FE" w:rsidRPr="008A2C60">
        <w:rPr>
          <w:rFonts w:ascii="Book Antiqua" w:hAnsi="Book Antiqua"/>
        </w:rPr>
        <w:t xml:space="preserve">targeting </w:t>
      </w:r>
      <w:r w:rsidR="00C10D4A" w:rsidRPr="008A2C60">
        <w:rPr>
          <w:rFonts w:ascii="Book Antiqua" w:hAnsi="Book Antiqua"/>
        </w:rPr>
        <w:t xml:space="preserve">glycemic control including specific therapeutic regimens or insulin protocols </w:t>
      </w:r>
      <w:r w:rsidR="0012041F" w:rsidRPr="008A2C60">
        <w:rPr>
          <w:rFonts w:ascii="Book Antiqua" w:hAnsi="Book Antiqua"/>
        </w:rPr>
        <w:t xml:space="preserve">utilized </w:t>
      </w:r>
      <w:r w:rsidR="00C10D4A" w:rsidRPr="008A2C60">
        <w:rPr>
          <w:rFonts w:ascii="Book Antiqua" w:hAnsi="Book Antiqua"/>
        </w:rPr>
        <w:t>in LT recipients</w:t>
      </w:r>
      <w:r w:rsidR="000F63CB" w:rsidRPr="008A2C60">
        <w:rPr>
          <w:rFonts w:ascii="Book Antiqua" w:hAnsi="Book Antiqua"/>
        </w:rPr>
        <w:t>, and to determine associations between glycemic control and post-LT outcomes such as mortality, graft rejection, or infection</w:t>
      </w:r>
      <w:r w:rsidR="00CE5845" w:rsidRPr="008A2C60">
        <w:rPr>
          <w:rFonts w:ascii="Book Antiqua" w:hAnsi="Book Antiqua"/>
        </w:rPr>
        <w:t xml:space="preserve"> </w:t>
      </w:r>
      <w:r w:rsidR="000F63CB" w:rsidRPr="008A2C60">
        <w:rPr>
          <w:rFonts w:ascii="Book Antiqua" w:hAnsi="Book Antiqua"/>
        </w:rPr>
        <w:t>rate</w:t>
      </w:r>
      <w:r w:rsidR="00C10D4A" w:rsidRPr="008A2C60">
        <w:rPr>
          <w:rFonts w:ascii="Book Antiqua" w:hAnsi="Book Antiqua"/>
        </w:rPr>
        <w:t xml:space="preserve">. </w:t>
      </w:r>
      <w:r w:rsidR="008223FF" w:rsidRPr="008A2C60">
        <w:rPr>
          <w:rFonts w:ascii="Book Antiqua" w:hAnsi="Book Antiqua"/>
        </w:rPr>
        <w:t xml:space="preserve">To achieve this goal, we reviewed </w:t>
      </w:r>
      <w:r w:rsidR="00E822FE" w:rsidRPr="008A2C60">
        <w:rPr>
          <w:rFonts w:ascii="Book Antiqua" w:hAnsi="Book Antiqua"/>
        </w:rPr>
        <w:t xml:space="preserve">prospective interventions targeting glucose control, as well as </w:t>
      </w:r>
      <w:r w:rsidR="008223FF" w:rsidRPr="008A2C60">
        <w:rPr>
          <w:rFonts w:ascii="Book Antiqua" w:hAnsi="Book Antiqua"/>
        </w:rPr>
        <w:t>retrospective studies that examined the association between glucose control and relevant perioperative transplant outcomes</w:t>
      </w:r>
      <w:r w:rsidR="00B158F9" w:rsidRPr="008A2C60">
        <w:rPr>
          <w:rFonts w:ascii="Book Antiqua" w:hAnsi="Book Antiqua"/>
        </w:rPr>
        <w:t>.</w:t>
      </w:r>
      <w:r w:rsidR="008223FF" w:rsidRPr="008A2C60">
        <w:rPr>
          <w:rFonts w:ascii="Book Antiqua" w:hAnsi="Book Antiqua"/>
        </w:rPr>
        <w:t xml:space="preserve"> </w:t>
      </w:r>
    </w:p>
    <w:p w14:paraId="23EE77FE" w14:textId="77777777" w:rsidR="00AE13FF" w:rsidRPr="008A2C60" w:rsidRDefault="00AE13FF" w:rsidP="00C26D7B">
      <w:pPr>
        <w:spacing w:line="360" w:lineRule="auto"/>
        <w:contextualSpacing/>
        <w:jc w:val="both"/>
        <w:rPr>
          <w:rFonts w:ascii="Book Antiqua" w:hAnsi="Book Antiqua"/>
          <w:b/>
        </w:rPr>
      </w:pPr>
    </w:p>
    <w:p w14:paraId="434752AD" w14:textId="77777777" w:rsidR="00B40242" w:rsidRDefault="00B40242" w:rsidP="00C26D7B">
      <w:pPr>
        <w:spacing w:line="360" w:lineRule="auto"/>
        <w:contextualSpacing/>
        <w:jc w:val="both"/>
        <w:rPr>
          <w:rFonts w:ascii="Book Antiqua" w:hAnsi="Book Antiqua"/>
          <w:b/>
          <w:lang w:eastAsia="zh-CN"/>
        </w:rPr>
      </w:pPr>
      <w:r w:rsidRPr="00B40242">
        <w:rPr>
          <w:rFonts w:ascii="Book Antiqua" w:hAnsi="Book Antiqua"/>
          <w:b/>
        </w:rPr>
        <w:t>MATERIALS AND METHODS</w:t>
      </w:r>
    </w:p>
    <w:p w14:paraId="1397326F" w14:textId="223B8FDD" w:rsidR="00994A11" w:rsidRPr="007A3E9A" w:rsidRDefault="00994A11" w:rsidP="00C26D7B">
      <w:pPr>
        <w:spacing w:line="360" w:lineRule="auto"/>
        <w:contextualSpacing/>
        <w:jc w:val="both"/>
        <w:rPr>
          <w:rFonts w:ascii="Book Antiqua" w:hAnsi="Book Antiqua"/>
          <w:b/>
          <w:i/>
        </w:rPr>
      </w:pPr>
      <w:r w:rsidRPr="007A3E9A">
        <w:rPr>
          <w:rFonts w:ascii="Book Antiqua" w:hAnsi="Book Antiqua"/>
          <w:b/>
          <w:i/>
        </w:rPr>
        <w:t>Overview</w:t>
      </w:r>
    </w:p>
    <w:p w14:paraId="2A767A55" w14:textId="037C4686" w:rsidR="00620D56" w:rsidRPr="008A2C60" w:rsidRDefault="00216A37" w:rsidP="00C26D7B">
      <w:pPr>
        <w:spacing w:line="360" w:lineRule="auto"/>
        <w:contextualSpacing/>
        <w:jc w:val="both"/>
        <w:rPr>
          <w:rFonts w:ascii="Book Antiqua" w:hAnsi="Book Antiqua"/>
        </w:rPr>
      </w:pPr>
      <w:r w:rsidRPr="008A2C60">
        <w:rPr>
          <w:rFonts w:ascii="Book Antiqua" w:hAnsi="Book Antiqua"/>
        </w:rPr>
        <w:lastRenderedPageBreak/>
        <w:t>O</w:t>
      </w:r>
      <w:r w:rsidR="00B158F9" w:rsidRPr="008A2C60">
        <w:rPr>
          <w:rFonts w:ascii="Book Antiqua" w:hAnsi="Book Antiqua"/>
        </w:rPr>
        <w:t>ur qualitative systematic review</w:t>
      </w:r>
      <w:r w:rsidRPr="008A2C60">
        <w:rPr>
          <w:rFonts w:ascii="Book Antiqua" w:hAnsi="Book Antiqua"/>
        </w:rPr>
        <w:t xml:space="preserve"> included</w:t>
      </w:r>
      <w:r w:rsidR="00B158F9" w:rsidRPr="008A2C60">
        <w:rPr>
          <w:rFonts w:ascii="Book Antiqua" w:hAnsi="Book Antiqua"/>
        </w:rPr>
        <w:t xml:space="preserve"> </w:t>
      </w:r>
      <w:r w:rsidR="00B158F9" w:rsidRPr="008A2C60">
        <w:rPr>
          <w:rFonts w:ascii="Book Antiqua" w:hAnsi="Book Antiqua"/>
          <w:i/>
        </w:rPr>
        <w:t xml:space="preserve">a priori </w:t>
      </w:r>
      <w:r w:rsidR="00B158F9" w:rsidRPr="008A2C60">
        <w:rPr>
          <w:rFonts w:ascii="Book Antiqua" w:hAnsi="Book Antiqua"/>
        </w:rPr>
        <w:t xml:space="preserve">search criteria </w:t>
      </w:r>
      <w:r w:rsidRPr="008A2C60">
        <w:rPr>
          <w:rFonts w:ascii="Book Antiqua" w:hAnsi="Book Antiqua"/>
        </w:rPr>
        <w:t>of</w:t>
      </w:r>
      <w:r w:rsidR="00B158F9" w:rsidRPr="008A2C60">
        <w:rPr>
          <w:rFonts w:ascii="Book Antiqua" w:hAnsi="Book Antiqua"/>
        </w:rPr>
        <w:t xml:space="preserve"> journal articles and </w:t>
      </w:r>
      <w:r w:rsidRPr="008A2C60">
        <w:rPr>
          <w:rFonts w:ascii="Book Antiqua" w:hAnsi="Book Antiqua"/>
        </w:rPr>
        <w:t xml:space="preserve">conference </w:t>
      </w:r>
      <w:r w:rsidR="00B158F9" w:rsidRPr="008A2C60">
        <w:rPr>
          <w:rFonts w:ascii="Book Antiqua" w:hAnsi="Book Antiqua"/>
        </w:rPr>
        <w:t xml:space="preserve">abstracts </w:t>
      </w:r>
      <w:r w:rsidR="005314A4" w:rsidRPr="008A2C60">
        <w:rPr>
          <w:rFonts w:ascii="Book Antiqua" w:hAnsi="Book Antiqua"/>
        </w:rPr>
        <w:t>among</w:t>
      </w:r>
      <w:r w:rsidR="000A7DF6" w:rsidRPr="008A2C60">
        <w:rPr>
          <w:rFonts w:ascii="Book Antiqua" w:hAnsi="Book Antiqua"/>
        </w:rPr>
        <w:t xml:space="preserve"> </w:t>
      </w:r>
      <w:r w:rsidR="00B158F9" w:rsidRPr="008A2C60">
        <w:rPr>
          <w:rFonts w:ascii="Book Antiqua" w:hAnsi="Book Antiqua"/>
        </w:rPr>
        <w:t xml:space="preserve">adult (age </w:t>
      </w:r>
      <w:r w:rsidR="007A3E9A">
        <w:rPr>
          <w:rFonts w:ascii="Book Antiqua" w:hAnsi="Book Antiqua"/>
        </w:rPr>
        <w:t>≥</w:t>
      </w:r>
      <w:r w:rsidR="007A3E9A">
        <w:rPr>
          <w:rFonts w:ascii="Book Antiqua" w:hAnsi="Book Antiqua" w:hint="eastAsia"/>
          <w:lang w:eastAsia="zh-CN"/>
        </w:rPr>
        <w:t xml:space="preserve"> </w:t>
      </w:r>
      <w:r w:rsidR="00B158F9" w:rsidRPr="008A2C60">
        <w:rPr>
          <w:rFonts w:ascii="Book Antiqua" w:hAnsi="Book Antiqua"/>
        </w:rPr>
        <w:t>18</w:t>
      </w:r>
      <w:r w:rsidR="000A7DF6" w:rsidRPr="008A2C60">
        <w:rPr>
          <w:rFonts w:ascii="Book Antiqua" w:hAnsi="Book Antiqua"/>
        </w:rPr>
        <w:t xml:space="preserve"> years</w:t>
      </w:r>
      <w:r w:rsidR="00B158F9" w:rsidRPr="008A2C60">
        <w:rPr>
          <w:rFonts w:ascii="Book Antiqua" w:hAnsi="Book Antiqua"/>
        </w:rPr>
        <w:t xml:space="preserve">) human orthotopic or living donor </w:t>
      </w:r>
      <w:r w:rsidRPr="008A2C60">
        <w:rPr>
          <w:rFonts w:ascii="Book Antiqua" w:hAnsi="Book Antiqua"/>
        </w:rPr>
        <w:t xml:space="preserve">LT recipients. </w:t>
      </w:r>
      <w:r w:rsidR="005314A4" w:rsidRPr="008A2C60">
        <w:rPr>
          <w:rFonts w:ascii="Book Antiqua" w:hAnsi="Book Antiqua"/>
        </w:rPr>
        <w:t>S</w:t>
      </w:r>
      <w:r w:rsidRPr="008A2C60">
        <w:rPr>
          <w:rFonts w:ascii="Book Antiqua" w:hAnsi="Book Antiqua"/>
        </w:rPr>
        <w:t>tudies were limited to the English language</w:t>
      </w:r>
      <w:r w:rsidR="000F63CB" w:rsidRPr="008A2C60">
        <w:rPr>
          <w:rFonts w:ascii="Book Antiqua" w:hAnsi="Book Antiqua"/>
        </w:rPr>
        <w:t xml:space="preserve"> and</w:t>
      </w:r>
      <w:r w:rsidR="00B158F9" w:rsidRPr="008A2C60">
        <w:rPr>
          <w:rFonts w:ascii="Book Antiqua" w:hAnsi="Book Antiqua"/>
        </w:rPr>
        <w:t xml:space="preserve"> </w:t>
      </w:r>
      <w:r w:rsidRPr="008A2C60">
        <w:rPr>
          <w:rFonts w:ascii="Book Antiqua" w:hAnsi="Book Antiqua"/>
        </w:rPr>
        <w:t>had to include</w:t>
      </w:r>
      <w:r w:rsidR="00B158F9" w:rsidRPr="008A2C60">
        <w:rPr>
          <w:rFonts w:ascii="Book Antiqua" w:hAnsi="Book Antiqua"/>
        </w:rPr>
        <w:t xml:space="preserve"> at least one relevant outcome of interest </w:t>
      </w:r>
      <w:r w:rsidRPr="008A2C60">
        <w:rPr>
          <w:rFonts w:ascii="Book Antiqua" w:hAnsi="Book Antiqua"/>
        </w:rPr>
        <w:t xml:space="preserve">such as </w:t>
      </w:r>
      <w:r w:rsidR="00B158F9" w:rsidRPr="008A2C60">
        <w:rPr>
          <w:rFonts w:ascii="Book Antiqua" w:hAnsi="Book Antiqua"/>
        </w:rPr>
        <w:t>patient survival, graft</w:t>
      </w:r>
      <w:r w:rsidRPr="008A2C60">
        <w:rPr>
          <w:rFonts w:ascii="Book Antiqua" w:hAnsi="Book Antiqua"/>
        </w:rPr>
        <w:t xml:space="preserve"> </w:t>
      </w:r>
      <w:r w:rsidR="00B158F9" w:rsidRPr="008A2C60">
        <w:rPr>
          <w:rFonts w:ascii="Book Antiqua" w:hAnsi="Book Antiqua"/>
        </w:rPr>
        <w:t>rejection, infection</w:t>
      </w:r>
      <w:r w:rsidR="00665FEE" w:rsidRPr="008A2C60">
        <w:rPr>
          <w:rFonts w:ascii="Book Antiqua" w:hAnsi="Book Antiqua"/>
        </w:rPr>
        <w:t xml:space="preserve"> rate</w:t>
      </w:r>
      <w:r w:rsidRPr="008A2C60">
        <w:rPr>
          <w:rFonts w:ascii="Book Antiqua" w:hAnsi="Book Antiqua"/>
        </w:rPr>
        <w:t>,</w:t>
      </w:r>
      <w:r w:rsidR="00994A11" w:rsidRPr="008A2C60">
        <w:rPr>
          <w:rFonts w:ascii="Book Antiqua" w:hAnsi="Book Antiqua"/>
        </w:rPr>
        <w:t xml:space="preserve"> </w:t>
      </w:r>
      <w:r w:rsidR="00AE7534" w:rsidRPr="008A2C60">
        <w:rPr>
          <w:rFonts w:ascii="Book Antiqua" w:hAnsi="Book Antiqua"/>
        </w:rPr>
        <w:t>acute kidney injury</w:t>
      </w:r>
      <w:r w:rsidR="00A76905" w:rsidRPr="008A2C60">
        <w:rPr>
          <w:rFonts w:ascii="Book Antiqua" w:hAnsi="Book Antiqua"/>
        </w:rPr>
        <w:t xml:space="preserve">, and graft survival. </w:t>
      </w:r>
      <w:r w:rsidRPr="008A2C60">
        <w:rPr>
          <w:rFonts w:ascii="Book Antiqua" w:hAnsi="Book Antiqua"/>
        </w:rPr>
        <w:t xml:space="preserve">Given </w:t>
      </w:r>
      <w:r w:rsidR="00994A11" w:rsidRPr="008A2C60">
        <w:rPr>
          <w:rFonts w:ascii="Book Antiqua" w:hAnsi="Book Antiqua"/>
        </w:rPr>
        <w:t xml:space="preserve">the focus on perioperative glucose control, </w:t>
      </w:r>
      <w:r w:rsidR="00E822FE" w:rsidRPr="008A2C60">
        <w:rPr>
          <w:rFonts w:ascii="Book Antiqua" w:hAnsi="Book Antiqua"/>
        </w:rPr>
        <w:t xml:space="preserve">study </w:t>
      </w:r>
      <w:r w:rsidRPr="008A2C60">
        <w:rPr>
          <w:rFonts w:ascii="Book Antiqua" w:hAnsi="Book Antiqua"/>
        </w:rPr>
        <w:t xml:space="preserve">outcomes were limited to </w:t>
      </w:r>
      <w:r w:rsidR="000F63CB" w:rsidRPr="008A2C60">
        <w:rPr>
          <w:rFonts w:ascii="Book Antiqua" w:hAnsi="Book Antiqua"/>
        </w:rPr>
        <w:t xml:space="preserve">glucose control during </w:t>
      </w:r>
      <w:r w:rsidRPr="008A2C60">
        <w:rPr>
          <w:rFonts w:ascii="Book Antiqua" w:hAnsi="Book Antiqua"/>
        </w:rPr>
        <w:t>the first year post-LT</w:t>
      </w:r>
      <w:r w:rsidR="00994A11" w:rsidRPr="008A2C60">
        <w:rPr>
          <w:rFonts w:ascii="Book Antiqua" w:hAnsi="Book Antiqua"/>
        </w:rPr>
        <w:t>.</w:t>
      </w:r>
    </w:p>
    <w:p w14:paraId="1E3FD696" w14:textId="77777777" w:rsidR="003A058E" w:rsidRPr="008A2C60" w:rsidRDefault="003A058E" w:rsidP="00C26D7B">
      <w:pPr>
        <w:spacing w:line="360" w:lineRule="auto"/>
        <w:contextualSpacing/>
        <w:jc w:val="both"/>
        <w:rPr>
          <w:rFonts w:ascii="Book Antiqua" w:hAnsi="Book Antiqua"/>
          <w:i/>
        </w:rPr>
      </w:pPr>
    </w:p>
    <w:p w14:paraId="12180BD1" w14:textId="43AE115B" w:rsidR="00994A11" w:rsidRPr="007A3E9A" w:rsidRDefault="00994A11" w:rsidP="00C26D7B">
      <w:pPr>
        <w:spacing w:line="360" w:lineRule="auto"/>
        <w:contextualSpacing/>
        <w:jc w:val="both"/>
        <w:rPr>
          <w:rFonts w:ascii="Book Antiqua" w:hAnsi="Book Antiqua"/>
          <w:b/>
          <w:i/>
        </w:rPr>
      </w:pPr>
      <w:r w:rsidRPr="007A3E9A">
        <w:rPr>
          <w:rFonts w:ascii="Book Antiqua" w:hAnsi="Book Antiqua"/>
          <w:b/>
          <w:i/>
        </w:rPr>
        <w:t>Databases an</w:t>
      </w:r>
      <w:r w:rsidR="00ED3100" w:rsidRPr="007A3E9A">
        <w:rPr>
          <w:rFonts w:ascii="Book Antiqua" w:hAnsi="Book Antiqua"/>
          <w:b/>
          <w:i/>
        </w:rPr>
        <w:t>d se</w:t>
      </w:r>
      <w:r w:rsidRPr="007A3E9A">
        <w:rPr>
          <w:rFonts w:ascii="Book Antiqua" w:hAnsi="Book Antiqua"/>
          <w:b/>
          <w:i/>
        </w:rPr>
        <w:t>arch terms</w:t>
      </w:r>
    </w:p>
    <w:p w14:paraId="3F8A03CD" w14:textId="4A71DA56" w:rsidR="00994A11" w:rsidRPr="008A2C60" w:rsidRDefault="00432173" w:rsidP="00C26D7B">
      <w:pPr>
        <w:spacing w:line="360" w:lineRule="auto"/>
        <w:contextualSpacing/>
        <w:jc w:val="both"/>
        <w:rPr>
          <w:rFonts w:ascii="Book Antiqua" w:hAnsi="Book Antiqua"/>
        </w:rPr>
      </w:pPr>
      <w:r w:rsidRPr="008A2C60">
        <w:rPr>
          <w:rFonts w:ascii="Book Antiqua" w:hAnsi="Book Antiqua"/>
        </w:rPr>
        <w:t xml:space="preserve">A health sciences librarian with clinical input from our study team designed the </w:t>
      </w:r>
      <w:r w:rsidRPr="008A2C60">
        <w:rPr>
          <w:rFonts w:ascii="Book Antiqua" w:hAnsi="Book Antiqua"/>
          <w:i/>
        </w:rPr>
        <w:t xml:space="preserve">apriori </w:t>
      </w:r>
      <w:r w:rsidRPr="008A2C60">
        <w:rPr>
          <w:rFonts w:ascii="Book Antiqua" w:hAnsi="Book Antiqua"/>
        </w:rPr>
        <w:t>search strategy</w:t>
      </w:r>
      <w:r w:rsidR="00710AA4" w:rsidRPr="008A2C60">
        <w:rPr>
          <w:rFonts w:ascii="Book Antiqua" w:hAnsi="Book Antiqua"/>
        </w:rPr>
        <w:t xml:space="preserve">. </w:t>
      </w:r>
      <w:proofErr w:type="gramStart"/>
      <w:r w:rsidR="00994A11" w:rsidRPr="008A2C60">
        <w:rPr>
          <w:rFonts w:ascii="Book Antiqua" w:hAnsi="Book Antiqua"/>
        </w:rPr>
        <w:t xml:space="preserve">PubMed </w:t>
      </w:r>
      <w:r w:rsidR="00994A11" w:rsidRPr="007A3E9A">
        <w:rPr>
          <w:rFonts w:ascii="Book Antiqua" w:hAnsi="Book Antiqua"/>
        </w:rPr>
        <w:t>(</w:t>
      </w:r>
      <w:hyperlink r:id="rId11" w:history="1">
        <w:r w:rsidR="00994A11" w:rsidRPr="007A3E9A">
          <w:rPr>
            <w:rStyle w:val="Hyperlink"/>
            <w:rFonts w:ascii="Book Antiqua" w:hAnsi="Book Antiqua"/>
            <w:color w:val="auto"/>
            <w:u w:val="none"/>
          </w:rPr>
          <w:t>https://www.ncbi.nlm.nih.gov/pubmed</w:t>
        </w:r>
      </w:hyperlink>
      <w:r w:rsidR="00994A11" w:rsidRPr="007A3E9A">
        <w:rPr>
          <w:rFonts w:ascii="Book Antiqua" w:hAnsi="Book Antiqua"/>
        </w:rPr>
        <w:t>), E</w:t>
      </w:r>
      <w:r w:rsidR="00240029" w:rsidRPr="007A3E9A">
        <w:rPr>
          <w:rFonts w:ascii="Book Antiqua" w:hAnsi="Book Antiqua"/>
        </w:rPr>
        <w:t>MBASE</w:t>
      </w:r>
      <w:r w:rsidR="00994A11" w:rsidRPr="007A3E9A">
        <w:rPr>
          <w:rFonts w:ascii="Book Antiqua" w:hAnsi="Book Antiqua"/>
        </w:rPr>
        <w:t xml:space="preserve"> (</w:t>
      </w:r>
      <w:hyperlink r:id="rId12" w:history="1">
        <w:r w:rsidR="007A3E9A" w:rsidRPr="007A3E9A">
          <w:rPr>
            <w:rStyle w:val="Hyperlink"/>
            <w:rFonts w:ascii="Book Antiqua" w:hAnsi="Book Antiqua"/>
            <w:color w:val="auto"/>
            <w:u w:val="none"/>
          </w:rPr>
          <w:t>https://www.elsevier.com/solutions/embase-biomedical-research</w:t>
        </w:r>
      </w:hyperlink>
      <w:r w:rsidR="007A3E9A" w:rsidRPr="007A3E9A">
        <w:rPr>
          <w:rFonts w:ascii="Book Antiqua" w:hAnsi="Book Antiqua"/>
        </w:rPr>
        <w:t>),</w:t>
      </w:r>
      <w:r w:rsidR="007A3E9A" w:rsidRPr="007A3E9A">
        <w:rPr>
          <w:rFonts w:ascii="Book Antiqua" w:hAnsi="Book Antiqua" w:hint="eastAsia"/>
          <w:lang w:eastAsia="zh-CN"/>
        </w:rPr>
        <w:t xml:space="preserve"> </w:t>
      </w:r>
      <w:r w:rsidR="00994A11" w:rsidRPr="007A3E9A">
        <w:rPr>
          <w:rFonts w:ascii="Book Antiqua" w:hAnsi="Book Antiqua"/>
        </w:rPr>
        <w:t>S</w:t>
      </w:r>
      <w:r w:rsidR="00240029" w:rsidRPr="007A3E9A">
        <w:rPr>
          <w:rFonts w:ascii="Book Antiqua" w:hAnsi="Book Antiqua"/>
        </w:rPr>
        <w:t>COPUS</w:t>
      </w:r>
      <w:r w:rsidR="00994A11" w:rsidRPr="007A3E9A">
        <w:rPr>
          <w:rFonts w:ascii="Book Antiqua" w:hAnsi="Book Antiqua"/>
        </w:rPr>
        <w:t xml:space="preserve"> (https://www.scopus.com), Clinical trials.gov (https://clinicaltrials.gov), and WHO ICTRP (</w:t>
      </w:r>
      <w:hyperlink r:id="rId13" w:history="1">
        <w:r w:rsidR="00994A11" w:rsidRPr="007A3E9A">
          <w:rPr>
            <w:rStyle w:val="Hyperlink"/>
            <w:rFonts w:ascii="Book Antiqua" w:hAnsi="Book Antiqua"/>
            <w:color w:val="auto"/>
            <w:u w:val="none"/>
          </w:rPr>
          <w:t>http://www.who.int/ictrp/en</w:t>
        </w:r>
      </w:hyperlink>
      <w:r w:rsidR="00994A11" w:rsidRPr="007A3E9A">
        <w:rPr>
          <w:rFonts w:ascii="Book Antiqua" w:hAnsi="Book Antiqua"/>
        </w:rPr>
        <w:t xml:space="preserve">) </w:t>
      </w:r>
      <w:r w:rsidR="00994A11" w:rsidRPr="008A2C60">
        <w:rPr>
          <w:rFonts w:ascii="Book Antiqua" w:hAnsi="Book Antiqua"/>
        </w:rPr>
        <w:t>using the search terms outline</w:t>
      </w:r>
      <w:r w:rsidR="005314A4" w:rsidRPr="008A2C60">
        <w:rPr>
          <w:rFonts w:ascii="Book Antiqua" w:hAnsi="Book Antiqua"/>
        </w:rPr>
        <w:t>d</w:t>
      </w:r>
      <w:r w:rsidR="00994A11" w:rsidRPr="008A2C60">
        <w:rPr>
          <w:rFonts w:ascii="Book Antiqua" w:hAnsi="Book Antiqua"/>
        </w:rPr>
        <w:t xml:space="preserve"> in </w:t>
      </w:r>
      <w:r w:rsidR="007C0B5E" w:rsidRPr="007C0B5E">
        <w:rPr>
          <w:rFonts w:ascii="Book Antiqua" w:hAnsi="Book Antiqua"/>
        </w:rPr>
        <w:t>Supplementary Table 1</w:t>
      </w:r>
      <w:r w:rsidR="00994A11" w:rsidRPr="008A2C60">
        <w:rPr>
          <w:rFonts w:ascii="Book Antiqua" w:hAnsi="Book Antiqua"/>
        </w:rPr>
        <w:t>.</w:t>
      </w:r>
      <w:proofErr w:type="gramEnd"/>
      <w:r w:rsidR="00CE3AFE">
        <w:rPr>
          <w:rFonts w:ascii="Book Antiqua" w:hAnsi="Book Antiqua"/>
        </w:rPr>
        <w:t xml:space="preserve"> </w:t>
      </w:r>
      <w:r w:rsidR="00AE13FF" w:rsidRPr="008A2C60">
        <w:rPr>
          <w:rFonts w:ascii="Book Antiqua" w:hAnsi="Book Antiqua"/>
        </w:rPr>
        <w:t xml:space="preserve">Searches were performed on October </w:t>
      </w:r>
      <w:r w:rsidR="00405B76" w:rsidRPr="008A2C60">
        <w:rPr>
          <w:rFonts w:ascii="Book Antiqua" w:hAnsi="Book Antiqua"/>
        </w:rPr>
        <w:t>18</w:t>
      </w:r>
      <w:r w:rsidR="00AE13FF" w:rsidRPr="008A2C60">
        <w:rPr>
          <w:rFonts w:ascii="Book Antiqua" w:hAnsi="Book Antiqua"/>
        </w:rPr>
        <w:t>, 2016</w:t>
      </w:r>
      <w:r w:rsidR="00C53F0A" w:rsidRPr="008A2C60">
        <w:rPr>
          <w:rFonts w:ascii="Book Antiqua" w:hAnsi="Book Antiqua"/>
        </w:rPr>
        <w:t xml:space="preserve"> and</w:t>
      </w:r>
      <w:r w:rsidR="00907776" w:rsidRPr="008A2C60">
        <w:rPr>
          <w:rFonts w:ascii="Book Antiqua" w:hAnsi="Book Antiqua"/>
        </w:rPr>
        <w:t xml:space="preserve"> updated in December 2017.</w:t>
      </w:r>
      <w:r w:rsidR="00CE3AFE">
        <w:rPr>
          <w:rFonts w:ascii="Book Antiqua" w:hAnsi="Book Antiqua"/>
        </w:rPr>
        <w:t xml:space="preserve"> </w:t>
      </w:r>
      <w:r w:rsidR="00907776" w:rsidRPr="008A2C60">
        <w:rPr>
          <w:rFonts w:ascii="Book Antiqua" w:hAnsi="Book Antiqua"/>
        </w:rPr>
        <w:t>A</w:t>
      </w:r>
      <w:r w:rsidR="00C53F0A" w:rsidRPr="008A2C60">
        <w:rPr>
          <w:rFonts w:ascii="Book Antiqua" w:hAnsi="Book Antiqua"/>
        </w:rPr>
        <w:t>ll studies prior to this date were included</w:t>
      </w:r>
      <w:r w:rsidR="00AE13FF" w:rsidRPr="008A2C60">
        <w:rPr>
          <w:rFonts w:ascii="Book Antiqua" w:hAnsi="Book Antiqua"/>
        </w:rPr>
        <w:t>.</w:t>
      </w:r>
    </w:p>
    <w:p w14:paraId="2CC0B620" w14:textId="77777777" w:rsidR="00CC7699" w:rsidRPr="008A2C60" w:rsidRDefault="00CC7699" w:rsidP="00C26D7B">
      <w:pPr>
        <w:spacing w:line="360" w:lineRule="auto"/>
        <w:contextualSpacing/>
        <w:jc w:val="both"/>
        <w:rPr>
          <w:rFonts w:ascii="Book Antiqua" w:hAnsi="Book Antiqua"/>
          <w:i/>
        </w:rPr>
      </w:pPr>
    </w:p>
    <w:p w14:paraId="7817BD9E" w14:textId="2D4D32EE" w:rsidR="003D0BCF" w:rsidRPr="007A3E9A" w:rsidRDefault="003D0BCF" w:rsidP="00C26D7B">
      <w:pPr>
        <w:spacing w:line="360" w:lineRule="auto"/>
        <w:contextualSpacing/>
        <w:jc w:val="both"/>
        <w:rPr>
          <w:rFonts w:ascii="Book Antiqua" w:hAnsi="Book Antiqua"/>
          <w:b/>
          <w:i/>
        </w:rPr>
      </w:pPr>
      <w:r w:rsidRPr="007A3E9A">
        <w:rPr>
          <w:rFonts w:ascii="Book Antiqua" w:hAnsi="Book Antiqua"/>
          <w:b/>
          <w:i/>
        </w:rPr>
        <w:t xml:space="preserve">Study </w:t>
      </w:r>
      <w:r w:rsidR="007A3E9A" w:rsidRPr="007A3E9A">
        <w:rPr>
          <w:rFonts w:ascii="Book Antiqua" w:hAnsi="Book Antiqua"/>
          <w:b/>
          <w:i/>
        </w:rPr>
        <w:t>se</w:t>
      </w:r>
      <w:r w:rsidR="00CC7699" w:rsidRPr="007A3E9A">
        <w:rPr>
          <w:rFonts w:ascii="Book Antiqua" w:hAnsi="Book Antiqua"/>
          <w:b/>
          <w:i/>
        </w:rPr>
        <w:t>lection</w:t>
      </w:r>
    </w:p>
    <w:p w14:paraId="3B209CD6" w14:textId="003B9936" w:rsidR="005D714E" w:rsidRPr="008A2C60" w:rsidRDefault="00CC7699" w:rsidP="00C26D7B">
      <w:pPr>
        <w:spacing w:line="360" w:lineRule="auto"/>
        <w:contextualSpacing/>
        <w:jc w:val="both"/>
        <w:rPr>
          <w:rFonts w:ascii="Book Antiqua" w:hAnsi="Book Antiqua"/>
        </w:rPr>
      </w:pPr>
      <w:r w:rsidRPr="008A2C60">
        <w:rPr>
          <w:rFonts w:ascii="Book Antiqua" w:hAnsi="Book Antiqua"/>
        </w:rPr>
        <w:t>U</w:t>
      </w:r>
      <w:r w:rsidR="004B11F4" w:rsidRPr="008A2C60">
        <w:rPr>
          <w:rFonts w:ascii="Book Antiqua" w:hAnsi="Book Antiqua"/>
        </w:rPr>
        <w:t xml:space="preserve">sing </w:t>
      </w:r>
      <w:r w:rsidRPr="008A2C60">
        <w:rPr>
          <w:rFonts w:ascii="Book Antiqua" w:hAnsi="Book Antiqua"/>
        </w:rPr>
        <w:t xml:space="preserve">the </w:t>
      </w:r>
      <w:r w:rsidR="004B11F4" w:rsidRPr="008A2C60">
        <w:rPr>
          <w:rFonts w:ascii="Book Antiqua" w:hAnsi="Book Antiqua"/>
        </w:rPr>
        <w:t>various databases</w:t>
      </w:r>
      <w:r w:rsidRPr="008A2C60">
        <w:rPr>
          <w:rFonts w:ascii="Book Antiqua" w:hAnsi="Book Antiqua"/>
        </w:rPr>
        <w:t xml:space="preserve"> outlined above, our search</w:t>
      </w:r>
      <w:r w:rsidR="004B11F4" w:rsidRPr="008A2C60">
        <w:rPr>
          <w:rFonts w:ascii="Book Antiqua" w:hAnsi="Book Antiqua"/>
        </w:rPr>
        <w:t xml:space="preserve"> yielded a total of 1624 results after removing duplicate results.</w:t>
      </w:r>
      <w:r w:rsidR="00CE3AFE">
        <w:rPr>
          <w:rFonts w:ascii="Book Antiqua" w:hAnsi="Book Antiqua"/>
        </w:rPr>
        <w:t xml:space="preserve"> </w:t>
      </w:r>
      <w:r w:rsidR="00D22847" w:rsidRPr="008A2C60">
        <w:rPr>
          <w:rFonts w:ascii="Book Antiqua" w:hAnsi="Book Antiqua"/>
        </w:rPr>
        <w:t>F</w:t>
      </w:r>
      <w:r w:rsidR="004B11F4" w:rsidRPr="008A2C60">
        <w:rPr>
          <w:rFonts w:ascii="Book Antiqua" w:hAnsi="Book Antiqua"/>
        </w:rPr>
        <w:t xml:space="preserve">our reviewers </w:t>
      </w:r>
      <w:r w:rsidR="003A070C" w:rsidRPr="008A2C60">
        <w:rPr>
          <w:rFonts w:ascii="Book Antiqua" w:hAnsi="Book Antiqua"/>
        </w:rPr>
        <w:t>(PP, S</w:t>
      </w:r>
      <w:r w:rsidR="005D20F7" w:rsidRPr="008A2C60">
        <w:rPr>
          <w:rFonts w:ascii="Book Antiqua" w:hAnsi="Book Antiqua"/>
        </w:rPr>
        <w:t>R</w:t>
      </w:r>
      <w:r w:rsidR="003A070C" w:rsidRPr="008A2C60">
        <w:rPr>
          <w:rFonts w:ascii="Book Antiqua" w:hAnsi="Book Antiqua"/>
        </w:rPr>
        <w:t xml:space="preserve">L, RAL, </w:t>
      </w:r>
      <w:r w:rsidR="00F43F89" w:rsidRPr="008A2C60">
        <w:rPr>
          <w:rFonts w:ascii="Book Antiqua" w:hAnsi="Book Antiqua"/>
        </w:rPr>
        <w:t>and ASB</w:t>
      </w:r>
      <w:r w:rsidR="003A070C" w:rsidRPr="008A2C60">
        <w:rPr>
          <w:rFonts w:ascii="Book Antiqua" w:hAnsi="Book Antiqua"/>
        </w:rPr>
        <w:t>)</w:t>
      </w:r>
      <w:r w:rsidR="00F43F89" w:rsidRPr="008A2C60">
        <w:rPr>
          <w:rFonts w:ascii="Book Antiqua" w:hAnsi="Book Antiqua"/>
        </w:rPr>
        <w:t xml:space="preserve"> </w:t>
      </w:r>
      <w:r w:rsidR="00D22847" w:rsidRPr="008A2C60">
        <w:rPr>
          <w:rFonts w:ascii="Book Antiqua" w:hAnsi="Book Antiqua"/>
        </w:rPr>
        <w:t xml:space="preserve">independently </w:t>
      </w:r>
      <w:r w:rsidR="003D0BCF" w:rsidRPr="008A2C60">
        <w:rPr>
          <w:rFonts w:ascii="Book Antiqua" w:hAnsi="Book Antiqua"/>
        </w:rPr>
        <w:t xml:space="preserve">screened </w:t>
      </w:r>
      <w:r w:rsidR="004B11F4" w:rsidRPr="008A2C60">
        <w:rPr>
          <w:rFonts w:ascii="Book Antiqua" w:hAnsi="Book Antiqua"/>
        </w:rPr>
        <w:t>the titles and abstracts</w:t>
      </w:r>
      <w:r w:rsidR="00972C9C" w:rsidRPr="008A2C60">
        <w:rPr>
          <w:rFonts w:ascii="Book Antiqua" w:hAnsi="Book Antiqua"/>
        </w:rPr>
        <w:t xml:space="preserve"> </w:t>
      </w:r>
      <w:r w:rsidR="004B11F4" w:rsidRPr="008A2C60">
        <w:rPr>
          <w:rFonts w:ascii="Book Antiqua" w:hAnsi="Book Antiqua"/>
        </w:rPr>
        <w:t xml:space="preserve">of 406 search results </w:t>
      </w:r>
      <w:r w:rsidR="00D37CC4" w:rsidRPr="008A2C60">
        <w:rPr>
          <w:rFonts w:ascii="Book Antiqua" w:hAnsi="Book Antiqua"/>
        </w:rPr>
        <w:t xml:space="preserve">each </w:t>
      </w:r>
      <w:r w:rsidR="003D0BCF" w:rsidRPr="008A2C60">
        <w:rPr>
          <w:rFonts w:ascii="Book Antiqua" w:hAnsi="Book Antiqua"/>
        </w:rPr>
        <w:t>for potential eligibility</w:t>
      </w:r>
      <w:r w:rsidR="00AD4530" w:rsidRPr="008A2C60">
        <w:rPr>
          <w:rFonts w:ascii="Book Antiqua" w:hAnsi="Book Antiqua"/>
        </w:rPr>
        <w:t xml:space="preserve"> and a</w:t>
      </w:r>
      <w:r w:rsidR="00DE706C" w:rsidRPr="008A2C60">
        <w:rPr>
          <w:rFonts w:ascii="Book Antiqua" w:hAnsi="Book Antiqua"/>
        </w:rPr>
        <w:t xml:space="preserve"> </w:t>
      </w:r>
      <w:r w:rsidR="00D22847" w:rsidRPr="008A2C60">
        <w:rPr>
          <w:rFonts w:ascii="Book Antiqua" w:hAnsi="Book Antiqua"/>
        </w:rPr>
        <w:t xml:space="preserve">consensus was reached to include a total of </w:t>
      </w:r>
      <w:r w:rsidR="004915B3" w:rsidRPr="008A2C60">
        <w:rPr>
          <w:rFonts w:ascii="Book Antiqua" w:hAnsi="Book Antiqua"/>
        </w:rPr>
        <w:t>1</w:t>
      </w:r>
      <w:r w:rsidR="004D69EE" w:rsidRPr="008A2C60">
        <w:rPr>
          <w:rFonts w:ascii="Book Antiqua" w:hAnsi="Book Antiqua"/>
        </w:rPr>
        <w:t>4</w:t>
      </w:r>
      <w:r w:rsidR="004915B3" w:rsidRPr="008A2C60">
        <w:rPr>
          <w:rFonts w:ascii="Book Antiqua" w:hAnsi="Book Antiqua"/>
        </w:rPr>
        <w:t xml:space="preserve"> </w:t>
      </w:r>
      <w:r w:rsidR="00D22847" w:rsidRPr="008A2C60">
        <w:rPr>
          <w:rFonts w:ascii="Book Antiqua" w:hAnsi="Book Antiqua"/>
        </w:rPr>
        <w:t xml:space="preserve">studies </w:t>
      </w:r>
      <w:r w:rsidR="00DE706C" w:rsidRPr="008A2C60">
        <w:rPr>
          <w:rFonts w:ascii="Book Antiqua" w:hAnsi="Book Antiqua"/>
        </w:rPr>
        <w:t>in the final analysis</w:t>
      </w:r>
      <w:r w:rsidR="00417A34" w:rsidRPr="008A2C60">
        <w:rPr>
          <w:rFonts w:ascii="Book Antiqua" w:hAnsi="Book Antiqua"/>
        </w:rPr>
        <w:t xml:space="preserve"> (Figure 1)</w:t>
      </w:r>
      <w:r w:rsidR="00DE706C" w:rsidRPr="008A2C60">
        <w:rPr>
          <w:rFonts w:ascii="Book Antiqua" w:hAnsi="Book Antiqua"/>
        </w:rPr>
        <w:t>.</w:t>
      </w:r>
      <w:r w:rsidR="00CE3AFE">
        <w:rPr>
          <w:rFonts w:ascii="Book Antiqua" w:hAnsi="Book Antiqua"/>
        </w:rPr>
        <w:t xml:space="preserve"> </w:t>
      </w:r>
      <w:r w:rsidR="00212E21" w:rsidRPr="008A2C60">
        <w:rPr>
          <w:rFonts w:ascii="Book Antiqua" w:hAnsi="Book Antiqua"/>
        </w:rPr>
        <w:t>Although t</w:t>
      </w:r>
      <w:r w:rsidR="005D714E" w:rsidRPr="008A2C60">
        <w:rPr>
          <w:rFonts w:ascii="Book Antiqua" w:hAnsi="Book Antiqua"/>
        </w:rPr>
        <w:t>he search strategy was designed to exclude patients receiving other transplants from this review, some of these studies included patients that received combined liver-kidney transplantation.</w:t>
      </w:r>
      <w:r w:rsidR="00CE3AFE">
        <w:rPr>
          <w:rFonts w:ascii="Book Antiqua" w:hAnsi="Book Antiqua"/>
        </w:rPr>
        <w:t xml:space="preserve"> </w:t>
      </w:r>
      <w:r w:rsidR="005D714E" w:rsidRPr="008A2C60">
        <w:rPr>
          <w:rFonts w:ascii="Book Antiqua" w:hAnsi="Book Antiqua"/>
        </w:rPr>
        <w:t>These patients were included since the results were reported in a composite manner (</w:t>
      </w:r>
      <w:r w:rsidR="005D714E" w:rsidRPr="007A3E9A">
        <w:rPr>
          <w:rFonts w:ascii="Book Antiqua" w:hAnsi="Book Antiqua"/>
          <w:i/>
        </w:rPr>
        <w:t>i.e.</w:t>
      </w:r>
      <w:r w:rsidR="007A3E9A">
        <w:rPr>
          <w:rFonts w:ascii="Book Antiqua" w:hAnsi="Book Antiqua" w:hint="eastAsia"/>
          <w:lang w:eastAsia="zh-CN"/>
        </w:rPr>
        <w:t>,</w:t>
      </w:r>
      <w:r w:rsidR="005D714E" w:rsidRPr="008A2C60">
        <w:rPr>
          <w:rFonts w:ascii="Book Antiqua" w:hAnsi="Book Antiqua"/>
        </w:rPr>
        <w:t xml:space="preserve"> data for liver transplantation alone patients </w:t>
      </w:r>
      <w:r w:rsidR="00944790" w:rsidRPr="00944790">
        <w:rPr>
          <w:rFonts w:ascii="Book Antiqua" w:hAnsi="Book Antiqua"/>
          <w:i/>
        </w:rPr>
        <w:t>vs</w:t>
      </w:r>
      <w:r w:rsidR="005D714E" w:rsidRPr="008A2C60">
        <w:rPr>
          <w:rFonts w:ascii="Book Antiqua" w:hAnsi="Book Antiqua"/>
        </w:rPr>
        <w:t xml:space="preserve"> combined liver-kidney transplantation patients were not reported separately).</w:t>
      </w:r>
      <w:r w:rsidR="00CE3AFE">
        <w:rPr>
          <w:rFonts w:ascii="Book Antiqua" w:hAnsi="Book Antiqua"/>
        </w:rPr>
        <w:t xml:space="preserve"> </w:t>
      </w:r>
      <w:r w:rsidR="00212E21" w:rsidRPr="008A2C60">
        <w:rPr>
          <w:rFonts w:ascii="Book Antiqua" w:hAnsi="Book Antiqua"/>
        </w:rPr>
        <w:t xml:space="preserve">Overall, the number of liver-kidney transplantation patients was relatively small, and the results were predominantly driven by </w:t>
      </w:r>
      <w:r w:rsidR="0012041F" w:rsidRPr="008A2C60">
        <w:rPr>
          <w:rFonts w:ascii="Book Antiqua" w:hAnsi="Book Antiqua"/>
        </w:rPr>
        <w:t xml:space="preserve">LT </w:t>
      </w:r>
      <w:r w:rsidR="00212E21" w:rsidRPr="008A2C60">
        <w:rPr>
          <w:rFonts w:ascii="Book Antiqua" w:hAnsi="Book Antiqua"/>
        </w:rPr>
        <w:t>recipients</w:t>
      </w:r>
      <w:r w:rsidR="0012041F" w:rsidRPr="008A2C60">
        <w:rPr>
          <w:rFonts w:ascii="Book Antiqua" w:hAnsi="Book Antiqua"/>
        </w:rPr>
        <w:t xml:space="preserve"> alone</w:t>
      </w:r>
      <w:r w:rsidR="00212E21" w:rsidRPr="008A2C60">
        <w:rPr>
          <w:rFonts w:ascii="Book Antiqua" w:hAnsi="Book Antiqua"/>
        </w:rPr>
        <w:t>.</w:t>
      </w:r>
    </w:p>
    <w:p w14:paraId="6D2D951B" w14:textId="77777777" w:rsidR="00D22847" w:rsidRPr="008A2C60" w:rsidRDefault="00D22847" w:rsidP="00C26D7B">
      <w:pPr>
        <w:spacing w:line="360" w:lineRule="auto"/>
        <w:contextualSpacing/>
        <w:jc w:val="both"/>
        <w:rPr>
          <w:rFonts w:ascii="Book Antiqua" w:hAnsi="Book Antiqua"/>
        </w:rPr>
      </w:pPr>
    </w:p>
    <w:p w14:paraId="08BE2512" w14:textId="251172EE" w:rsidR="00620D56" w:rsidRPr="007A3E9A" w:rsidRDefault="00620D56" w:rsidP="00C26D7B">
      <w:pPr>
        <w:spacing w:line="360" w:lineRule="auto"/>
        <w:contextualSpacing/>
        <w:jc w:val="both"/>
        <w:rPr>
          <w:rFonts w:ascii="Book Antiqua" w:hAnsi="Book Antiqua"/>
          <w:b/>
          <w:i/>
        </w:rPr>
      </w:pPr>
      <w:r w:rsidRPr="007A3E9A">
        <w:rPr>
          <w:rFonts w:ascii="Book Antiqua" w:hAnsi="Book Antiqua"/>
          <w:b/>
          <w:i/>
        </w:rPr>
        <w:t xml:space="preserve">Quality </w:t>
      </w:r>
      <w:r w:rsidR="007A3E9A" w:rsidRPr="007A3E9A">
        <w:rPr>
          <w:rFonts w:ascii="Book Antiqua" w:hAnsi="Book Antiqua"/>
          <w:b/>
          <w:i/>
        </w:rPr>
        <w:t>a</w:t>
      </w:r>
      <w:r w:rsidR="00941E81" w:rsidRPr="007A3E9A">
        <w:rPr>
          <w:rFonts w:ascii="Book Antiqua" w:hAnsi="Book Antiqua"/>
          <w:b/>
          <w:i/>
        </w:rPr>
        <w:t>ssessment</w:t>
      </w:r>
    </w:p>
    <w:p w14:paraId="01A0EB8D" w14:textId="60616301" w:rsidR="00121E63" w:rsidRPr="008A2C60" w:rsidRDefault="00471ADB" w:rsidP="00C26D7B">
      <w:pPr>
        <w:spacing w:line="360" w:lineRule="auto"/>
        <w:contextualSpacing/>
        <w:jc w:val="both"/>
        <w:rPr>
          <w:rFonts w:ascii="Book Antiqua" w:hAnsi="Book Antiqua"/>
        </w:rPr>
      </w:pPr>
      <w:r w:rsidRPr="008A2C60">
        <w:rPr>
          <w:rFonts w:ascii="Book Antiqua" w:hAnsi="Book Antiqua"/>
        </w:rPr>
        <w:lastRenderedPageBreak/>
        <w:t>Four</w:t>
      </w:r>
      <w:r w:rsidR="00121E63" w:rsidRPr="008A2C60">
        <w:rPr>
          <w:rFonts w:ascii="Book Antiqua" w:hAnsi="Book Antiqua"/>
        </w:rPr>
        <w:t xml:space="preserve"> reviewers independently assessed the risk of bias in each study. Selected </w:t>
      </w:r>
      <w:r w:rsidR="00BA330C" w:rsidRPr="008A2C60">
        <w:rPr>
          <w:rFonts w:ascii="Book Antiqua" w:hAnsi="Book Antiqua"/>
        </w:rPr>
        <w:t>studies</w:t>
      </w:r>
      <w:r w:rsidR="00121E63" w:rsidRPr="008A2C60">
        <w:rPr>
          <w:rFonts w:ascii="Book Antiqua" w:hAnsi="Book Antiqua"/>
        </w:rPr>
        <w:t xml:space="preserve"> </w:t>
      </w:r>
      <w:r w:rsidR="00EA6DD4" w:rsidRPr="008A2C60">
        <w:rPr>
          <w:rFonts w:ascii="Book Antiqua" w:hAnsi="Book Antiqua"/>
        </w:rPr>
        <w:t>were reviewed based</w:t>
      </w:r>
      <w:r w:rsidR="00121E63" w:rsidRPr="008A2C60">
        <w:rPr>
          <w:rFonts w:ascii="Book Antiqua" w:hAnsi="Book Antiqua"/>
        </w:rPr>
        <w:t xml:space="preserve"> on representativeness of study population, comparability of cohorts, adequate assessment of outcome</w:t>
      </w:r>
      <w:r w:rsidR="005E1B01" w:rsidRPr="008A2C60">
        <w:rPr>
          <w:rFonts w:ascii="Book Antiqua" w:hAnsi="Book Antiqua"/>
        </w:rPr>
        <w:t>s</w:t>
      </w:r>
      <w:r w:rsidR="00121E63" w:rsidRPr="008A2C60">
        <w:rPr>
          <w:rFonts w:ascii="Book Antiqua" w:hAnsi="Book Antiqua"/>
        </w:rPr>
        <w:t>, sufficient length</w:t>
      </w:r>
      <w:r w:rsidR="009C117D" w:rsidRPr="008A2C60">
        <w:rPr>
          <w:rFonts w:ascii="Book Antiqua" w:hAnsi="Book Antiqua"/>
        </w:rPr>
        <w:t xml:space="preserve"> of follow-up, </w:t>
      </w:r>
      <w:r w:rsidR="00121E63" w:rsidRPr="008A2C60">
        <w:rPr>
          <w:rFonts w:ascii="Book Antiqua" w:hAnsi="Book Antiqua"/>
        </w:rPr>
        <w:t xml:space="preserve">adequacy of follow-up, and source of study funding. </w:t>
      </w:r>
      <w:r w:rsidR="007457B3" w:rsidRPr="008A2C60">
        <w:rPr>
          <w:rFonts w:ascii="Book Antiqua" w:hAnsi="Book Antiqua"/>
        </w:rPr>
        <w:t>T</w:t>
      </w:r>
      <w:r w:rsidR="00F25ADA" w:rsidRPr="008A2C60">
        <w:rPr>
          <w:rFonts w:ascii="Book Antiqua" w:hAnsi="Book Antiqua"/>
        </w:rPr>
        <w:t xml:space="preserve">he prospective </w:t>
      </w:r>
      <w:r w:rsidR="00DF3779" w:rsidRPr="008A2C60">
        <w:rPr>
          <w:rFonts w:ascii="Book Antiqua" w:hAnsi="Book Antiqua"/>
        </w:rPr>
        <w:t xml:space="preserve">randomized </w:t>
      </w:r>
      <w:r w:rsidR="007457B3" w:rsidRPr="008A2C60">
        <w:rPr>
          <w:rFonts w:ascii="Book Antiqua" w:hAnsi="Book Antiqua"/>
        </w:rPr>
        <w:t>study</w:t>
      </w:r>
      <w:r w:rsidR="00F25ADA" w:rsidRPr="008A2C60">
        <w:rPr>
          <w:rFonts w:ascii="Book Antiqua" w:hAnsi="Book Antiqua"/>
        </w:rPr>
        <w:t xml:space="preserve"> </w:t>
      </w:r>
      <w:r w:rsidR="00121E63" w:rsidRPr="008A2C60">
        <w:rPr>
          <w:rFonts w:ascii="Book Antiqua" w:hAnsi="Book Antiqua"/>
        </w:rPr>
        <w:t xml:space="preserve">was </w:t>
      </w:r>
      <w:r w:rsidR="007457B3" w:rsidRPr="008A2C60">
        <w:rPr>
          <w:rFonts w:ascii="Book Antiqua" w:hAnsi="Book Antiqua"/>
        </w:rPr>
        <w:t xml:space="preserve">assessed using the Cochrane risk of bias </w:t>
      </w:r>
      <w:r w:rsidR="002859EC" w:rsidRPr="008A2C60">
        <w:rPr>
          <w:rFonts w:ascii="Book Antiqua" w:hAnsi="Book Antiqua"/>
        </w:rPr>
        <w:t>tool</w:t>
      </w:r>
      <w:r w:rsidR="007457B3" w:rsidRPr="008A2C60">
        <w:rPr>
          <w:rFonts w:ascii="Book Antiqua" w:hAnsi="Book Antiqua"/>
        </w:rPr>
        <w:t xml:space="preserve"> and the</w:t>
      </w:r>
      <w:r w:rsidR="00F25ADA" w:rsidRPr="008A2C60">
        <w:rPr>
          <w:rFonts w:ascii="Book Antiqua" w:hAnsi="Book Antiqua"/>
        </w:rPr>
        <w:t xml:space="preserve"> Newcastle-Ottawa Scale</w:t>
      </w:r>
      <w:r w:rsidR="00DF3779" w:rsidRPr="008A2C60">
        <w:rPr>
          <w:rFonts w:ascii="Book Antiqua" w:hAnsi="Book Antiqua"/>
        </w:rPr>
        <w:t xml:space="preserve"> (NOS)</w:t>
      </w:r>
      <w:r w:rsidR="00F25ADA" w:rsidRPr="008A2C60">
        <w:rPr>
          <w:rFonts w:ascii="Book Antiqua" w:hAnsi="Book Antiqua"/>
        </w:rPr>
        <w:t xml:space="preserve"> was used for the </w:t>
      </w:r>
      <w:r w:rsidR="007457B3" w:rsidRPr="008A2C60">
        <w:rPr>
          <w:rFonts w:ascii="Book Antiqua" w:hAnsi="Book Antiqua"/>
        </w:rPr>
        <w:t>cohort/case-control</w:t>
      </w:r>
      <w:r w:rsidR="003C6705" w:rsidRPr="008A2C60">
        <w:rPr>
          <w:rFonts w:ascii="Book Antiqua" w:hAnsi="Book Antiqua"/>
        </w:rPr>
        <w:t xml:space="preserve"> studies</w:t>
      </w:r>
      <w:r w:rsidR="00EC4ABA"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"10.1002/9780470712184.ch5", "ISBN" : "9780470057964", "abstract" : "Higgins JPT, Green S (editors). Cochrane Handbook for Systematic Reviews of Interventions Version 5.1.0 updated March 2011. The Cochrane Collaboration, 2011. Available from www.cochrane-handbook.org.", "author" : [ { "dropping-particle" : "", "family" : "Higgins", "given" : "JPT", "non-dropping-particle" : "", "parse-names" : false, "suffix" : "" } ], "container-title" : "The Cochrane Collaboration", "id" : "ITEM-1", "issue" : "September", "issued" : { "date-parts" : [ [ "2011" ] ] }, "number-of-pages" : "2-3", "title" : "Cochrane Handbook for systematic reviews of interventions version", "type" : "book" }, "uris" : [ "http://www.mendeley.com/documents/?uuid=73b5f10d-ad19-4505-9951-0748a43644e2" ] }, { "id" : "ITEM-2", "itemData" : { "author" : [ { "dropping-particle" : "", "family" : "Wells", "given" : "G", "non-dropping-particle" : "", "parse-names" : false, "suffix" : "" }, { "dropping-particle" : "", "family" : "Shea", "given" : "B", "non-dropping-particle" : "", "parse-names" : false, "suffix" : "" }, { "dropping-particle" : "", "family" : "O\u2019Connell", "given" : "D", "non-dropping-particle" : "", "parse-names" : false, "suffix" : "" }, { "dropping-particle" : "", "family" : "Peterson", "given" : "J", "non-dropping-particle" : "", "parse-names" : false, "suffix" : "" }, { "dropping-particle" : "", "family" : "Welch", "given" : "V", "non-dropping-particle" : "", "parse-names" : false, "suffix" : "" }, { "dropping-particle" : "", "family" : "Losos", "given" : "M", "non-dropping-particle" : "", "parse-names" : false, "suffix" : "" }, { "dropping-particle" : "", "family" : "Tugwell", "given" : "P", "non-dropping-particle" : "", "parse-names" : false, "suffix" : "" } ], "id" : "ITEM-2", "issued" : { "date-parts" : [ [ "0" ] ] }, "title" : "The Newcastle-Ottawa Scale (NOS) for assessing the quality of nonrandomised studies in meta-analyses. 2013. http://www.ohri.ca/programs/clinical_epidemiology/oxford.asp.", "type" : "article-journal" }, "uris" : [ "http://www.mendeley.com/documents/?uuid=d669f779-ca40-40da-933b-4b5db2ada67e" ] } ], "mendeley" : { "formattedCitation" : "&lt;sup&gt;[15,16]&lt;/sup&gt;", "plainTextFormattedCitation" : "[15,16]", "previouslyFormattedCitation" : "&lt;sup&gt;[15,16]&lt;/sup&gt;" }, "properties" : {  }, "schema" : "https://github.com/citation-style-language/schema/raw/master/csl-citation.json" }</w:instrText>
      </w:r>
      <w:r w:rsidR="00EC4ABA" w:rsidRPr="008A2C60">
        <w:rPr>
          <w:rFonts w:ascii="Book Antiqua" w:hAnsi="Book Antiqua"/>
        </w:rPr>
        <w:fldChar w:fldCharType="separate"/>
      </w:r>
      <w:r w:rsidR="00131F28" w:rsidRPr="008A2C60">
        <w:rPr>
          <w:rFonts w:ascii="Book Antiqua" w:hAnsi="Book Antiqua"/>
          <w:noProof/>
          <w:vertAlign w:val="superscript"/>
        </w:rPr>
        <w:t>[15,16]</w:t>
      </w:r>
      <w:r w:rsidR="00EC4ABA" w:rsidRPr="008A2C60">
        <w:rPr>
          <w:rFonts w:ascii="Book Antiqua" w:hAnsi="Book Antiqua"/>
        </w:rPr>
        <w:fldChar w:fldCharType="end"/>
      </w:r>
      <w:r w:rsidR="000B60A5" w:rsidRPr="008A2C60">
        <w:rPr>
          <w:rFonts w:ascii="Book Antiqua" w:hAnsi="Book Antiqua"/>
        </w:rPr>
        <w:t>.</w:t>
      </w:r>
    </w:p>
    <w:p w14:paraId="157922B1" w14:textId="77777777" w:rsidR="00CB68AF" w:rsidRPr="008A2C60" w:rsidRDefault="00CB68AF" w:rsidP="00C26D7B">
      <w:pPr>
        <w:spacing w:line="360" w:lineRule="auto"/>
        <w:contextualSpacing/>
        <w:jc w:val="both"/>
        <w:rPr>
          <w:rFonts w:ascii="Book Antiqua" w:hAnsi="Book Antiqua"/>
        </w:rPr>
      </w:pPr>
    </w:p>
    <w:p w14:paraId="6334A90E" w14:textId="64E33379" w:rsidR="00CB68AF" w:rsidRPr="008A2C60" w:rsidRDefault="007A3E9A" w:rsidP="00C26D7B">
      <w:pPr>
        <w:spacing w:line="360" w:lineRule="auto"/>
        <w:contextualSpacing/>
        <w:jc w:val="both"/>
        <w:rPr>
          <w:rFonts w:ascii="Book Antiqua" w:hAnsi="Book Antiqua"/>
          <w:b/>
        </w:rPr>
      </w:pPr>
      <w:r w:rsidRPr="008A2C60">
        <w:rPr>
          <w:rFonts w:ascii="Book Antiqua" w:hAnsi="Book Antiqua"/>
          <w:b/>
        </w:rPr>
        <w:t>RESULTS</w:t>
      </w:r>
    </w:p>
    <w:p w14:paraId="764671BC" w14:textId="2501EB8A" w:rsidR="00FC52A9" w:rsidRPr="008A2C60" w:rsidRDefault="00DF2C97" w:rsidP="00C26D7B">
      <w:pPr>
        <w:spacing w:line="360" w:lineRule="auto"/>
        <w:contextualSpacing/>
        <w:jc w:val="both"/>
        <w:rPr>
          <w:rFonts w:ascii="Book Antiqua" w:hAnsi="Book Antiqua"/>
        </w:rPr>
      </w:pPr>
      <w:r w:rsidRPr="008A2C60">
        <w:rPr>
          <w:rFonts w:ascii="Book Antiqua" w:hAnsi="Book Antiqua"/>
        </w:rPr>
        <w:t xml:space="preserve">This qualitative systematic review </w:t>
      </w:r>
      <w:r w:rsidR="00C90E12" w:rsidRPr="008A2C60">
        <w:rPr>
          <w:rFonts w:ascii="Book Antiqua" w:hAnsi="Book Antiqua"/>
        </w:rPr>
        <w:t>includes results from</w:t>
      </w:r>
      <w:r w:rsidRPr="008A2C60">
        <w:rPr>
          <w:rFonts w:ascii="Book Antiqua" w:hAnsi="Book Antiqua"/>
        </w:rPr>
        <w:t xml:space="preserve"> </w:t>
      </w:r>
      <w:r w:rsidR="00A025CE" w:rsidRPr="008A2C60">
        <w:rPr>
          <w:rFonts w:ascii="Book Antiqua" w:hAnsi="Book Antiqua"/>
        </w:rPr>
        <w:t>1</w:t>
      </w:r>
      <w:r w:rsidR="004D69EE" w:rsidRPr="008A2C60">
        <w:rPr>
          <w:rFonts w:ascii="Book Antiqua" w:hAnsi="Book Antiqua"/>
        </w:rPr>
        <w:t>4</w:t>
      </w:r>
      <w:r w:rsidRPr="008A2C60">
        <w:rPr>
          <w:rFonts w:ascii="Book Antiqua" w:hAnsi="Book Antiqua"/>
        </w:rPr>
        <w:t xml:space="preserve"> </w:t>
      </w:r>
      <w:r w:rsidR="00A025CE" w:rsidRPr="008A2C60">
        <w:rPr>
          <w:rFonts w:ascii="Book Antiqua" w:hAnsi="Book Antiqua"/>
        </w:rPr>
        <w:t>full text articles</w:t>
      </w:r>
      <w:r w:rsidR="00C90E12" w:rsidRPr="008A2C60">
        <w:rPr>
          <w:rFonts w:ascii="Book Antiqua" w:hAnsi="Book Antiqua"/>
        </w:rPr>
        <w:t>.</w:t>
      </w:r>
      <w:r w:rsidR="00CE3AFE">
        <w:rPr>
          <w:rFonts w:ascii="Book Antiqua" w:hAnsi="Book Antiqua"/>
        </w:rPr>
        <w:t xml:space="preserve"> </w:t>
      </w:r>
      <w:r w:rsidR="00EE6C4C" w:rsidRPr="008A2C60">
        <w:rPr>
          <w:rFonts w:ascii="Book Antiqua" w:hAnsi="Book Antiqua"/>
        </w:rPr>
        <w:t>Of the 1624 records identified electronically, 780 were duplicates and 109 were eligible after abstract re</w:t>
      </w:r>
      <w:r w:rsidR="00BF77A1" w:rsidRPr="008A2C60">
        <w:rPr>
          <w:rFonts w:ascii="Book Antiqua" w:hAnsi="Book Antiqua"/>
        </w:rPr>
        <w:t>view.</w:t>
      </w:r>
      <w:r w:rsidR="00CE3AFE">
        <w:rPr>
          <w:rFonts w:ascii="Book Antiqua" w:hAnsi="Book Antiqua"/>
        </w:rPr>
        <w:t xml:space="preserve"> </w:t>
      </w:r>
      <w:r w:rsidR="00BF77A1" w:rsidRPr="008A2C60">
        <w:rPr>
          <w:rFonts w:ascii="Book Antiqua" w:hAnsi="Book Antiqua"/>
        </w:rPr>
        <w:t>Of the 109, there were 22</w:t>
      </w:r>
      <w:r w:rsidR="00EE6C4C" w:rsidRPr="008A2C60">
        <w:rPr>
          <w:rFonts w:ascii="Book Antiqua" w:hAnsi="Book Antiqua"/>
        </w:rPr>
        <w:t xml:space="preserve"> articles that were reviewed and retrieved in full-text form</w:t>
      </w:r>
      <w:r w:rsidR="00346878" w:rsidRPr="008A2C60">
        <w:rPr>
          <w:rFonts w:ascii="Book Antiqua" w:hAnsi="Book Antiqua"/>
        </w:rPr>
        <w:t>.</w:t>
      </w:r>
      <w:r w:rsidR="00A025CE" w:rsidRPr="008A2C60">
        <w:rPr>
          <w:rFonts w:ascii="Book Antiqua" w:hAnsi="Book Antiqua"/>
        </w:rPr>
        <w:t xml:space="preserve"> Of these, </w:t>
      </w:r>
      <w:r w:rsidR="00FC2D75" w:rsidRPr="008A2C60">
        <w:rPr>
          <w:rFonts w:ascii="Book Antiqua" w:hAnsi="Book Antiqua"/>
        </w:rPr>
        <w:t>8</w:t>
      </w:r>
      <w:r w:rsidR="00A025CE" w:rsidRPr="008A2C60">
        <w:rPr>
          <w:rFonts w:ascii="Book Antiqua" w:hAnsi="Book Antiqua"/>
        </w:rPr>
        <w:t xml:space="preserve"> were excluded and data from 1</w:t>
      </w:r>
      <w:r w:rsidR="004D69EE" w:rsidRPr="008A2C60">
        <w:rPr>
          <w:rFonts w:ascii="Book Antiqua" w:hAnsi="Book Antiqua"/>
        </w:rPr>
        <w:t>4</w:t>
      </w:r>
      <w:r w:rsidR="00A025CE" w:rsidRPr="008A2C60">
        <w:rPr>
          <w:rFonts w:ascii="Book Antiqua" w:hAnsi="Book Antiqua"/>
        </w:rPr>
        <w:t xml:space="preserve"> full text articles </w:t>
      </w:r>
      <w:r w:rsidR="00AD4530" w:rsidRPr="008A2C60">
        <w:rPr>
          <w:rFonts w:ascii="Book Antiqua" w:hAnsi="Book Antiqua"/>
        </w:rPr>
        <w:t>(</w:t>
      </w:r>
      <w:r w:rsidR="004D69EE" w:rsidRPr="008A2C60">
        <w:rPr>
          <w:rFonts w:ascii="Book Antiqua" w:hAnsi="Book Antiqua"/>
        </w:rPr>
        <w:t>11</w:t>
      </w:r>
      <w:r w:rsidR="00AD4530" w:rsidRPr="008A2C60">
        <w:rPr>
          <w:rFonts w:ascii="Book Antiqua" w:hAnsi="Book Antiqua"/>
        </w:rPr>
        <w:t xml:space="preserve"> retrospective studies, 2</w:t>
      </w:r>
      <w:r w:rsidR="00AE1757" w:rsidRPr="008A2C60">
        <w:rPr>
          <w:rFonts w:ascii="Book Antiqua" w:hAnsi="Book Antiqua"/>
        </w:rPr>
        <w:t xml:space="preserve"> prospective studies</w:t>
      </w:r>
      <w:r w:rsidR="00AD4530" w:rsidRPr="008A2C60">
        <w:rPr>
          <w:rFonts w:ascii="Book Antiqua" w:hAnsi="Book Antiqua"/>
        </w:rPr>
        <w:t xml:space="preserve"> and 1 cross-sectional study</w:t>
      </w:r>
      <w:r w:rsidR="00AE1757" w:rsidRPr="008A2C60">
        <w:rPr>
          <w:rFonts w:ascii="Book Antiqua" w:hAnsi="Book Antiqua"/>
        </w:rPr>
        <w:t xml:space="preserve">) </w:t>
      </w:r>
      <w:r w:rsidR="00A025CE" w:rsidRPr="008A2C60">
        <w:rPr>
          <w:rFonts w:ascii="Book Antiqua" w:hAnsi="Book Antiqua"/>
        </w:rPr>
        <w:t xml:space="preserve">were </w:t>
      </w:r>
      <w:r w:rsidR="00FC0DFF" w:rsidRPr="008A2C60">
        <w:rPr>
          <w:rFonts w:ascii="Book Antiqua" w:hAnsi="Book Antiqua"/>
        </w:rPr>
        <w:t>found to be eligible</w:t>
      </w:r>
      <w:r w:rsidR="00A025CE" w:rsidRPr="008A2C60">
        <w:rPr>
          <w:rFonts w:ascii="Book Antiqua" w:hAnsi="Book Antiqua"/>
        </w:rPr>
        <w:t xml:space="preserve"> and included in this </w:t>
      </w:r>
      <w:r w:rsidR="00E33ED3" w:rsidRPr="008A2C60">
        <w:rPr>
          <w:rFonts w:ascii="Book Antiqua" w:hAnsi="Book Antiqua"/>
        </w:rPr>
        <w:t>review</w:t>
      </w:r>
      <w:r w:rsidR="00A7073A" w:rsidRPr="008A2C60">
        <w:rPr>
          <w:rFonts w:ascii="Book Antiqua" w:hAnsi="Book Antiqua"/>
        </w:rPr>
        <w:t xml:space="preserve"> (Figure 1).</w:t>
      </w:r>
    </w:p>
    <w:p w14:paraId="0786342F" w14:textId="77777777" w:rsidR="00EE6C4C" w:rsidRPr="008A2C60" w:rsidRDefault="00EE6C4C" w:rsidP="00C26D7B">
      <w:pPr>
        <w:spacing w:line="360" w:lineRule="auto"/>
        <w:contextualSpacing/>
        <w:jc w:val="both"/>
        <w:rPr>
          <w:rFonts w:ascii="Book Antiqua" w:hAnsi="Book Antiqua"/>
        </w:rPr>
      </w:pPr>
    </w:p>
    <w:p w14:paraId="428C9E5B" w14:textId="13EECACD" w:rsidR="00EE6C4C" w:rsidRPr="007A3E9A" w:rsidRDefault="00EE6C4C" w:rsidP="00C26D7B">
      <w:pPr>
        <w:spacing w:line="360" w:lineRule="auto"/>
        <w:contextualSpacing/>
        <w:jc w:val="both"/>
        <w:rPr>
          <w:rFonts w:ascii="Book Antiqua" w:hAnsi="Book Antiqua"/>
          <w:b/>
          <w:i/>
        </w:rPr>
      </w:pPr>
      <w:r w:rsidRPr="007A3E9A">
        <w:rPr>
          <w:rFonts w:ascii="Book Antiqua" w:hAnsi="Book Antiqua"/>
          <w:b/>
          <w:i/>
        </w:rPr>
        <w:t>Characteristi</w:t>
      </w:r>
      <w:r w:rsidR="007A3E9A" w:rsidRPr="007A3E9A">
        <w:rPr>
          <w:rFonts w:ascii="Book Antiqua" w:hAnsi="Book Antiqua"/>
          <w:b/>
          <w:i/>
        </w:rPr>
        <w:t>cs of included studies</w:t>
      </w:r>
    </w:p>
    <w:p w14:paraId="27A3D423" w14:textId="63EA92C3" w:rsidR="00EE6C4C" w:rsidRPr="008A2C60" w:rsidRDefault="00EE6C4C" w:rsidP="00C26D7B">
      <w:pPr>
        <w:spacing w:line="360" w:lineRule="auto"/>
        <w:contextualSpacing/>
        <w:jc w:val="both"/>
        <w:rPr>
          <w:rFonts w:ascii="Book Antiqua" w:hAnsi="Book Antiqua"/>
        </w:rPr>
      </w:pPr>
      <w:r w:rsidRPr="008A2C60">
        <w:rPr>
          <w:rFonts w:ascii="Book Antiqua" w:hAnsi="Book Antiqua"/>
        </w:rPr>
        <w:t xml:space="preserve">The characteristics of the </w:t>
      </w:r>
      <w:r w:rsidR="00622C9E" w:rsidRPr="008A2C60">
        <w:rPr>
          <w:rFonts w:ascii="Book Antiqua" w:hAnsi="Book Antiqua"/>
        </w:rPr>
        <w:t xml:space="preserve">included </w:t>
      </w:r>
      <w:r w:rsidRPr="008A2C60">
        <w:rPr>
          <w:rFonts w:ascii="Book Antiqua" w:hAnsi="Book Antiqua"/>
        </w:rPr>
        <w:t xml:space="preserve">studies are shown in </w:t>
      </w:r>
      <w:r w:rsidR="00622C9E" w:rsidRPr="008A2C60">
        <w:rPr>
          <w:rFonts w:ascii="Book Antiqua" w:hAnsi="Book Antiqua"/>
        </w:rPr>
        <w:t>Table</w:t>
      </w:r>
      <w:r w:rsidR="006A5E30" w:rsidRPr="008A2C60">
        <w:rPr>
          <w:rFonts w:ascii="Book Antiqua" w:hAnsi="Book Antiqua"/>
        </w:rPr>
        <w:t>s</w:t>
      </w:r>
      <w:r w:rsidR="00622C9E" w:rsidRPr="008A2C60">
        <w:rPr>
          <w:rFonts w:ascii="Book Antiqua" w:hAnsi="Book Antiqua"/>
        </w:rPr>
        <w:t xml:space="preserve"> </w:t>
      </w:r>
      <w:r w:rsidR="006A5E30" w:rsidRPr="008A2C60">
        <w:rPr>
          <w:rFonts w:ascii="Book Antiqua" w:hAnsi="Book Antiqua"/>
        </w:rPr>
        <w:t>2 and 3</w:t>
      </w:r>
      <w:r w:rsidRPr="008A2C60">
        <w:rPr>
          <w:rFonts w:ascii="Book Antiqua" w:hAnsi="Book Antiqua"/>
        </w:rPr>
        <w:t>.</w:t>
      </w:r>
      <w:r w:rsidR="00CE3AFE">
        <w:rPr>
          <w:rFonts w:ascii="Book Antiqua" w:hAnsi="Book Antiqua"/>
        </w:rPr>
        <w:t xml:space="preserve"> </w:t>
      </w:r>
      <w:r w:rsidRPr="008A2C60">
        <w:rPr>
          <w:rFonts w:ascii="Book Antiqua" w:hAnsi="Book Antiqua"/>
        </w:rPr>
        <w:t xml:space="preserve">A total of </w:t>
      </w:r>
      <w:r w:rsidR="007A3E9A">
        <w:rPr>
          <w:rFonts w:ascii="Book Antiqua" w:hAnsi="Book Antiqua"/>
        </w:rPr>
        <w:t>3</w:t>
      </w:r>
      <w:r w:rsidR="00FC2D75" w:rsidRPr="008A2C60">
        <w:rPr>
          <w:rFonts w:ascii="Book Antiqua" w:hAnsi="Book Antiqua"/>
        </w:rPr>
        <w:t>692</w:t>
      </w:r>
      <w:r w:rsidR="007A3E9A">
        <w:rPr>
          <w:rFonts w:ascii="Book Antiqua" w:hAnsi="Book Antiqua"/>
        </w:rPr>
        <w:t xml:space="preserve"> patients (3</w:t>
      </w:r>
      <w:r w:rsidR="00FC2D75" w:rsidRPr="008A2C60">
        <w:rPr>
          <w:rFonts w:ascii="Book Antiqua" w:hAnsi="Book Antiqua"/>
        </w:rPr>
        <w:t>077</w:t>
      </w:r>
      <w:r w:rsidR="00AE1757" w:rsidRPr="008A2C60">
        <w:rPr>
          <w:rFonts w:ascii="Book Antiqua" w:hAnsi="Book Antiqua"/>
        </w:rPr>
        <w:t xml:space="preserve"> patients were retrospectively studied; 615 patients were prospectively studied)</w:t>
      </w:r>
      <w:r w:rsidR="00FC0DFF" w:rsidRPr="008A2C60">
        <w:rPr>
          <w:rFonts w:ascii="Book Antiqua" w:hAnsi="Book Antiqua"/>
        </w:rPr>
        <w:t xml:space="preserve"> from 1</w:t>
      </w:r>
      <w:r w:rsidR="00FC2D75" w:rsidRPr="008A2C60">
        <w:rPr>
          <w:rFonts w:ascii="Book Antiqua" w:hAnsi="Book Antiqua"/>
        </w:rPr>
        <w:t>4</w:t>
      </w:r>
      <w:r w:rsidRPr="008A2C60">
        <w:rPr>
          <w:rFonts w:ascii="Book Antiqua" w:hAnsi="Book Antiqua"/>
        </w:rPr>
        <w:t xml:space="preserve"> studies were included.</w:t>
      </w:r>
      <w:r w:rsidR="00CE3AFE">
        <w:rPr>
          <w:rFonts w:ascii="Book Antiqua" w:hAnsi="Book Antiqua"/>
        </w:rPr>
        <w:t xml:space="preserve"> </w:t>
      </w:r>
      <w:r w:rsidR="00212E21" w:rsidRPr="008A2C60">
        <w:rPr>
          <w:rFonts w:ascii="Book Antiqua" w:hAnsi="Book Antiqua"/>
        </w:rPr>
        <w:t>The studies spanned 20 years from 1996 to 2016 with most occurring in the past decade and included transplants performed in the United States, United Kingdom, Taiwan, Spain, South Korea, and Hungary.</w:t>
      </w:r>
      <w:r w:rsidR="00CE3AFE">
        <w:rPr>
          <w:rFonts w:ascii="Book Antiqua" w:hAnsi="Book Antiqua"/>
        </w:rPr>
        <w:t xml:space="preserve"> </w:t>
      </w:r>
    </w:p>
    <w:p w14:paraId="5CBF5F6E" w14:textId="77777777" w:rsidR="00FC2D75" w:rsidRPr="008A2C60" w:rsidRDefault="00FC2D75" w:rsidP="00C26D7B">
      <w:pPr>
        <w:spacing w:line="360" w:lineRule="auto"/>
        <w:contextualSpacing/>
        <w:jc w:val="both"/>
        <w:rPr>
          <w:rFonts w:ascii="Book Antiqua" w:hAnsi="Book Antiqua"/>
        </w:rPr>
      </w:pPr>
    </w:p>
    <w:p w14:paraId="530E1CB4" w14:textId="32B7DD75" w:rsidR="00EE6C4C" w:rsidRPr="007A3E9A" w:rsidRDefault="00EE6C4C" w:rsidP="00C26D7B">
      <w:pPr>
        <w:spacing w:line="360" w:lineRule="auto"/>
        <w:contextualSpacing/>
        <w:jc w:val="both"/>
        <w:rPr>
          <w:rFonts w:ascii="Book Antiqua" w:hAnsi="Book Antiqua"/>
          <w:b/>
          <w:i/>
        </w:rPr>
      </w:pPr>
      <w:r w:rsidRPr="007A3E9A">
        <w:rPr>
          <w:rFonts w:ascii="Book Antiqua" w:hAnsi="Book Antiqua"/>
          <w:b/>
          <w:i/>
        </w:rPr>
        <w:t>Risk of</w:t>
      </w:r>
      <w:r w:rsidR="007A3E9A" w:rsidRPr="007A3E9A">
        <w:rPr>
          <w:rFonts w:ascii="Book Antiqua" w:hAnsi="Book Antiqua"/>
          <w:b/>
          <w:i/>
        </w:rPr>
        <w:t xml:space="preserve"> bias in included t</w:t>
      </w:r>
      <w:r w:rsidRPr="007A3E9A">
        <w:rPr>
          <w:rFonts w:ascii="Book Antiqua" w:hAnsi="Book Antiqua"/>
          <w:b/>
          <w:i/>
        </w:rPr>
        <w:t>rials</w:t>
      </w:r>
    </w:p>
    <w:p w14:paraId="5F7004FF" w14:textId="615180CB" w:rsidR="00EE6C4C" w:rsidRPr="008A2C60" w:rsidRDefault="00C718F5" w:rsidP="00C26D7B">
      <w:pPr>
        <w:spacing w:line="360" w:lineRule="auto"/>
        <w:contextualSpacing/>
        <w:jc w:val="both"/>
        <w:rPr>
          <w:rFonts w:ascii="Book Antiqua" w:hAnsi="Book Antiqua"/>
        </w:rPr>
      </w:pPr>
      <w:r w:rsidRPr="007C0B5E">
        <w:rPr>
          <w:rFonts w:ascii="Book Antiqua" w:hAnsi="Book Antiqua"/>
        </w:rPr>
        <w:t xml:space="preserve">Supplementary Table </w:t>
      </w:r>
      <w:r>
        <w:rPr>
          <w:rFonts w:ascii="Book Antiqua" w:hAnsi="Book Antiqua" w:hint="eastAsia"/>
          <w:lang w:eastAsia="zh-CN"/>
        </w:rPr>
        <w:t>2</w:t>
      </w:r>
      <w:r w:rsidR="008314D8" w:rsidRPr="008A2C60">
        <w:rPr>
          <w:rFonts w:ascii="Book Antiqua" w:hAnsi="Book Antiqua"/>
        </w:rPr>
        <w:t xml:space="preserve"> shows the risk of bias assessment of all the included trials.</w:t>
      </w:r>
      <w:r w:rsidR="00CE3AFE">
        <w:rPr>
          <w:rFonts w:ascii="Book Antiqua" w:hAnsi="Book Antiqua"/>
        </w:rPr>
        <w:t xml:space="preserve"> </w:t>
      </w:r>
      <w:r w:rsidR="008314D8" w:rsidRPr="008A2C60">
        <w:rPr>
          <w:rFonts w:ascii="Book Antiqua" w:hAnsi="Book Antiqua"/>
        </w:rPr>
        <w:t>Of the 1</w:t>
      </w:r>
      <w:r w:rsidR="00FC2D75" w:rsidRPr="008A2C60">
        <w:rPr>
          <w:rFonts w:ascii="Book Antiqua" w:hAnsi="Book Antiqua"/>
        </w:rPr>
        <w:t>4</w:t>
      </w:r>
      <w:r w:rsidR="008314D8" w:rsidRPr="008A2C60">
        <w:rPr>
          <w:rFonts w:ascii="Book Antiqua" w:hAnsi="Book Antiqua"/>
        </w:rPr>
        <w:t xml:space="preserve"> studies that were included, 1</w:t>
      </w:r>
      <w:r w:rsidR="00FC2D75" w:rsidRPr="008A2C60">
        <w:rPr>
          <w:rFonts w:ascii="Book Antiqua" w:hAnsi="Book Antiqua"/>
        </w:rPr>
        <w:t>1</w:t>
      </w:r>
      <w:r w:rsidR="008314D8" w:rsidRPr="008A2C60">
        <w:rPr>
          <w:rFonts w:ascii="Book Antiqua" w:hAnsi="Book Antiqua"/>
        </w:rPr>
        <w:t xml:space="preserve"> were retrospective in nature and carry a potential to be inherently bias</w:t>
      </w:r>
      <w:r w:rsidR="004E0808" w:rsidRPr="008A2C60">
        <w:rPr>
          <w:rFonts w:ascii="Book Antiqua" w:hAnsi="Book Antiqua"/>
        </w:rPr>
        <w:t>ed</w:t>
      </w:r>
      <w:r w:rsidR="008314D8" w:rsidRPr="008A2C60">
        <w:rPr>
          <w:rFonts w:ascii="Book Antiqua" w:hAnsi="Book Antiqua"/>
        </w:rPr>
        <w:t>.</w:t>
      </w:r>
      <w:r w:rsidR="00CE3AFE">
        <w:rPr>
          <w:rFonts w:ascii="Book Antiqua" w:hAnsi="Book Antiqua"/>
        </w:rPr>
        <w:t xml:space="preserve"> </w:t>
      </w:r>
      <w:proofErr w:type="gramStart"/>
      <w:r w:rsidR="00DF3779" w:rsidRPr="008A2C60">
        <w:rPr>
          <w:rFonts w:ascii="Book Antiqua" w:hAnsi="Book Antiqua"/>
        </w:rPr>
        <w:t>NOS</w:t>
      </w:r>
      <w:r>
        <w:rPr>
          <w:rFonts w:ascii="Book Antiqua" w:hAnsi="Book Antiqua" w:hint="eastAsia"/>
          <w:lang w:eastAsia="zh-CN"/>
        </w:rPr>
        <w:t xml:space="preserve"> </w:t>
      </w:r>
      <w:r w:rsidR="00DF3779" w:rsidRPr="008A2C60">
        <w:rPr>
          <w:rFonts w:ascii="Book Antiqua" w:hAnsi="Book Antiqua"/>
        </w:rPr>
        <w:t>was</w:t>
      </w:r>
      <w:proofErr w:type="gramEnd"/>
      <w:r w:rsidR="00DF3779" w:rsidRPr="008A2C60">
        <w:rPr>
          <w:rFonts w:ascii="Book Antiqua" w:hAnsi="Book Antiqua"/>
        </w:rPr>
        <w:t xml:space="preserve"> used </w:t>
      </w:r>
      <w:r w:rsidR="002859EC" w:rsidRPr="008A2C60">
        <w:rPr>
          <w:rFonts w:ascii="Book Antiqua" w:hAnsi="Book Antiqua"/>
        </w:rPr>
        <w:t>to assess</w:t>
      </w:r>
      <w:r w:rsidR="00DF3779" w:rsidRPr="008A2C60">
        <w:rPr>
          <w:rFonts w:ascii="Book Antiqua" w:hAnsi="Book Antiqua"/>
        </w:rPr>
        <w:t xml:space="preserve"> risk of bias </w:t>
      </w:r>
      <w:r w:rsidR="00965A36" w:rsidRPr="008A2C60">
        <w:rPr>
          <w:rFonts w:ascii="Book Antiqua" w:hAnsi="Book Antiqua"/>
        </w:rPr>
        <w:t xml:space="preserve">for the </w:t>
      </w:r>
      <w:r w:rsidR="007457B3" w:rsidRPr="008A2C60">
        <w:rPr>
          <w:rFonts w:ascii="Book Antiqua" w:hAnsi="Book Antiqua"/>
        </w:rPr>
        <w:t>cohort/case-control</w:t>
      </w:r>
      <w:r w:rsidR="00965A36" w:rsidRPr="008A2C60">
        <w:rPr>
          <w:rFonts w:ascii="Book Antiqua" w:hAnsi="Book Antiqua"/>
        </w:rPr>
        <w:t xml:space="preserve"> studies </w:t>
      </w:r>
      <w:r w:rsidR="00DF3779" w:rsidRPr="008A2C60">
        <w:rPr>
          <w:rFonts w:ascii="Book Antiqua" w:hAnsi="Book Antiqua"/>
        </w:rPr>
        <w:t>and a modified version of the NOS was used for the single cross-sectional study.</w:t>
      </w:r>
      <w:r w:rsidR="00CE3AFE">
        <w:rPr>
          <w:rFonts w:ascii="Book Antiqua" w:hAnsi="Book Antiqua"/>
        </w:rPr>
        <w:t xml:space="preserve"> </w:t>
      </w:r>
      <w:r w:rsidR="002D1E5B" w:rsidRPr="008A2C60">
        <w:rPr>
          <w:rFonts w:ascii="Book Antiqua" w:hAnsi="Book Antiqua"/>
        </w:rPr>
        <w:t xml:space="preserve">The </w:t>
      </w:r>
      <w:r w:rsidR="002859EC" w:rsidRPr="008A2C60">
        <w:rPr>
          <w:rFonts w:ascii="Book Antiqua" w:hAnsi="Book Antiqua"/>
        </w:rPr>
        <w:t xml:space="preserve">single </w:t>
      </w:r>
      <w:r w:rsidR="007457B3" w:rsidRPr="008A2C60">
        <w:rPr>
          <w:rFonts w:ascii="Book Antiqua" w:hAnsi="Book Antiqua"/>
        </w:rPr>
        <w:t>randomized</w:t>
      </w:r>
      <w:r w:rsidR="00AD4530" w:rsidRPr="008A2C60">
        <w:rPr>
          <w:rFonts w:ascii="Book Antiqua" w:hAnsi="Book Antiqua"/>
        </w:rPr>
        <w:t xml:space="preserve"> prospective stud</w:t>
      </w:r>
      <w:r w:rsidR="007457B3" w:rsidRPr="008A2C60">
        <w:rPr>
          <w:rFonts w:ascii="Book Antiqua" w:hAnsi="Book Antiqua"/>
        </w:rPr>
        <w:t>y</w:t>
      </w:r>
      <w:r w:rsidR="002859EC" w:rsidRPr="008A2C60">
        <w:rPr>
          <w:rFonts w:ascii="Book Antiqua" w:hAnsi="Book Antiqua"/>
        </w:rPr>
        <w:t>, for the most part</w:t>
      </w:r>
      <w:r w:rsidR="002D1E5B" w:rsidRPr="008A2C60">
        <w:rPr>
          <w:rFonts w:ascii="Book Antiqua" w:hAnsi="Book Antiqua"/>
        </w:rPr>
        <w:t xml:space="preserve"> w</w:t>
      </w:r>
      <w:r w:rsidR="007457B3" w:rsidRPr="008A2C60">
        <w:rPr>
          <w:rFonts w:ascii="Book Antiqua" w:hAnsi="Book Antiqua"/>
        </w:rPr>
        <w:t>as</w:t>
      </w:r>
      <w:r w:rsidR="002D1E5B" w:rsidRPr="008A2C60">
        <w:rPr>
          <w:rFonts w:ascii="Book Antiqua" w:hAnsi="Book Antiqua"/>
        </w:rPr>
        <w:t xml:space="preserve"> deemed to have</w:t>
      </w:r>
      <w:r w:rsidR="00AD4530" w:rsidRPr="008A2C60">
        <w:rPr>
          <w:rFonts w:ascii="Book Antiqua" w:hAnsi="Book Antiqua"/>
        </w:rPr>
        <w:t xml:space="preserve"> minim</w:t>
      </w:r>
      <w:r w:rsidR="002D1E5B" w:rsidRPr="008A2C60">
        <w:rPr>
          <w:rFonts w:ascii="Book Antiqua" w:hAnsi="Book Antiqua"/>
        </w:rPr>
        <w:t xml:space="preserve">al bias utilizing the </w:t>
      </w:r>
      <w:r w:rsidR="007457B3" w:rsidRPr="008A2C60">
        <w:rPr>
          <w:rFonts w:ascii="Book Antiqua" w:hAnsi="Book Antiqua"/>
        </w:rPr>
        <w:t>Cochrane risk of bias tool</w:t>
      </w:r>
      <w:r w:rsidR="00EC4ABA" w:rsidRPr="008A2C60">
        <w:rPr>
          <w:rFonts w:ascii="Book Antiqua" w:hAnsi="Book Antiqua"/>
        </w:rPr>
        <w:fldChar w:fldCharType="begin" w:fldLock="1"/>
      </w:r>
      <w:r w:rsidR="00EA5B56" w:rsidRPr="008A2C60">
        <w:rPr>
          <w:rFonts w:ascii="Book Antiqua" w:hAnsi="Book Antiqua"/>
        </w:rPr>
        <w:instrText>ADDIN CSL_CITATION { "citationItems" : [ { "id" : "ITEM-1", "itemData" : { "author" : [ { "dropping-particle" : "", "family" : "Wells", "given" : "G", "non-dropping-particle" : "", "parse-names" : false, "suffix" : "" }, { "dropping-particle" : "", "family" : "Shea", "given" : "B", "non-dropping-particle" : "", "parse-names" : false, "suffix" : "" }, { "dropping-particle" : "", "family" : "O\u2019Connell", "given" : "D", "non-dropping-particle" : "", "parse-names" : false, "suffix" : "" }, { "dropping-particle" : "", "family" : "Peterson", "given" : "J", "non-dropping-particle" : "", "parse-names" : false, "suffix" : "" }, { "dropping-particle" : "", "family" : "Welch", "given" : "V", "non-dropping-particle" : "", "parse-names" : false, "suffix" : "" }, { "dropping-particle" : "", "family" : "Losos", "given" : "M", "non-dropping-particle" : "", "parse-names" : false, "suffix" : "" }, { "dropping-particle" : "", "family" : "Tugwell", "given" : "P", "non-dropping-particle" : "", "parse-names" : false, "suffix" : "" } ], "id" : "ITEM-1", "issued" : { "date-parts" : [ [ "0" ] ] }, "title" : "The Newcastle-Ottawa Scale (NOS) for assessing the quality of nonrandomised studies in meta-analyses. 2013. http://www.ohri.ca/programs/clinical_epidemiology/oxford.asp.", "type" : "article-journal" }, "uris" : [ "http://www.mendeley.com/documents/?uuid=d669f779-ca40-40da-933b-4b5db2ada67e" ] }, { "id" : "ITEM-2", "itemData" : { "DOI" : "10.1002/9780470712184.ch5", "ISBN" : "9780470057964", "abstract" : "Higgins JPT, Green S (editors). Cochrane Handbook for Systematic Reviews of Interventions Version 5.1.0 updated March 2011. The Cochrane Collaboration, 2011. Available from www.cochrane-handbook.org.", "author" : [ { "dropping-particle" : "", "family" : "Higgins", "given" : "JPT", "non-dropping-particle" : "", "parse-names" : false, "suffix" : "" } ], "container-title" : "The Cochrane Collaboration", "id" : "ITEM-2", "issue" : "September", "issued" : { "date-parts" : [ [ "2011" ] ] }, "number-of-pages" : "2-3", "title" : "Cochrane Handbook for systematic reviews of interventions version", "type" : "book" }, "uris" : [ "http://www.mendeley.com/documents/?uuid=73b5f10d-ad19-4505-9951-0748a43644e2" ] } ], "mendeley" : { "formattedCitation" : "&lt;sup&gt;[15,16]&lt;/sup&gt;", "plainTextFormattedCitation" : "[15,16]", "previouslyFormattedCitation" : "&lt;sup&gt;[15,16]&lt;/sup&gt;" }, "properties" : {  }, "schema" : "https://github.com/citation-style-language/schema/raw/master/csl-citation.json" }</w:instrText>
      </w:r>
      <w:r w:rsidR="00EC4ABA" w:rsidRPr="008A2C60">
        <w:rPr>
          <w:rFonts w:ascii="Book Antiqua" w:hAnsi="Book Antiqua"/>
        </w:rPr>
        <w:fldChar w:fldCharType="separate"/>
      </w:r>
      <w:r w:rsidR="00131F28" w:rsidRPr="008A2C60">
        <w:rPr>
          <w:rFonts w:ascii="Book Antiqua" w:hAnsi="Book Antiqua"/>
          <w:noProof/>
          <w:vertAlign w:val="superscript"/>
        </w:rPr>
        <w:t>[15,16]</w:t>
      </w:r>
      <w:r w:rsidR="00EC4ABA" w:rsidRPr="008A2C60">
        <w:rPr>
          <w:rFonts w:ascii="Book Antiqua" w:hAnsi="Book Antiqua"/>
        </w:rPr>
        <w:fldChar w:fldCharType="end"/>
      </w:r>
      <w:r w:rsidR="001371C3" w:rsidRPr="008A2C60">
        <w:rPr>
          <w:rFonts w:ascii="Book Antiqua" w:hAnsi="Book Antiqua"/>
        </w:rPr>
        <w:t>.</w:t>
      </w:r>
    </w:p>
    <w:p w14:paraId="677CA225" w14:textId="77777777" w:rsidR="00FC52A9" w:rsidRPr="008A2C60" w:rsidRDefault="00FC52A9" w:rsidP="00C26D7B">
      <w:pPr>
        <w:spacing w:line="360" w:lineRule="auto"/>
        <w:contextualSpacing/>
        <w:jc w:val="both"/>
        <w:rPr>
          <w:rFonts w:ascii="Book Antiqua" w:hAnsi="Book Antiqua"/>
        </w:rPr>
      </w:pPr>
    </w:p>
    <w:p w14:paraId="33655AC8" w14:textId="416D1C72" w:rsidR="00CB68AF" w:rsidRPr="007A3E9A" w:rsidRDefault="00EE6C4C" w:rsidP="00C26D7B">
      <w:pPr>
        <w:spacing w:line="360" w:lineRule="auto"/>
        <w:contextualSpacing/>
        <w:jc w:val="both"/>
        <w:rPr>
          <w:rFonts w:ascii="Book Antiqua" w:hAnsi="Book Antiqua"/>
          <w:b/>
          <w:i/>
        </w:rPr>
      </w:pPr>
      <w:r w:rsidRPr="007A3E9A">
        <w:rPr>
          <w:rFonts w:ascii="Book Antiqua" w:hAnsi="Book Antiqua"/>
          <w:b/>
          <w:i/>
        </w:rPr>
        <w:lastRenderedPageBreak/>
        <w:t xml:space="preserve">Study </w:t>
      </w:r>
      <w:r w:rsidR="007A3E9A" w:rsidRPr="007A3E9A">
        <w:rPr>
          <w:rFonts w:ascii="Book Antiqua" w:hAnsi="Book Antiqua"/>
          <w:b/>
          <w:i/>
        </w:rPr>
        <w:t>o</w:t>
      </w:r>
      <w:r w:rsidRPr="007A3E9A">
        <w:rPr>
          <w:rFonts w:ascii="Book Antiqua" w:hAnsi="Book Antiqua"/>
          <w:b/>
          <w:i/>
        </w:rPr>
        <w:t>utcomes</w:t>
      </w:r>
    </w:p>
    <w:p w14:paraId="25B53248" w14:textId="470919D7" w:rsidR="00DB027C" w:rsidRDefault="00EE6C4C" w:rsidP="00C718F5">
      <w:pPr>
        <w:spacing w:line="360" w:lineRule="auto"/>
        <w:contextualSpacing/>
        <w:jc w:val="both"/>
        <w:rPr>
          <w:rFonts w:ascii="Book Antiqua" w:hAnsi="Book Antiqua"/>
          <w:lang w:eastAsia="zh-CN"/>
        </w:rPr>
      </w:pPr>
      <w:r w:rsidRPr="008A2C60">
        <w:rPr>
          <w:rFonts w:ascii="Book Antiqua" w:hAnsi="Book Antiqua"/>
        </w:rPr>
        <w:t xml:space="preserve">Clinical outcomes </w:t>
      </w:r>
      <w:r w:rsidR="00B70769" w:rsidRPr="008A2C60">
        <w:rPr>
          <w:rFonts w:ascii="Book Antiqua" w:hAnsi="Book Antiqua"/>
        </w:rPr>
        <w:t xml:space="preserve">for each trial </w:t>
      </w:r>
      <w:r w:rsidRPr="008A2C60">
        <w:rPr>
          <w:rFonts w:ascii="Book Antiqua" w:hAnsi="Book Antiqua"/>
        </w:rPr>
        <w:t xml:space="preserve">are summarized in </w:t>
      </w:r>
      <w:r w:rsidR="00DB027C" w:rsidRPr="008A2C60">
        <w:rPr>
          <w:rFonts w:ascii="Book Antiqua" w:hAnsi="Book Antiqua"/>
        </w:rPr>
        <w:t>T</w:t>
      </w:r>
      <w:r w:rsidRPr="008A2C60">
        <w:rPr>
          <w:rFonts w:ascii="Book Antiqua" w:hAnsi="Book Antiqua"/>
        </w:rPr>
        <w:t xml:space="preserve">able </w:t>
      </w:r>
      <w:r w:rsidR="00703540" w:rsidRPr="008A2C60">
        <w:rPr>
          <w:rFonts w:ascii="Book Antiqua" w:hAnsi="Book Antiqua"/>
        </w:rPr>
        <w:t>1</w:t>
      </w:r>
      <w:r w:rsidR="00385E4B" w:rsidRPr="008A2C60">
        <w:rPr>
          <w:rFonts w:ascii="Book Antiqua" w:hAnsi="Book Antiqua"/>
        </w:rPr>
        <w:t>.</w:t>
      </w:r>
      <w:r w:rsidR="00CE3AFE">
        <w:rPr>
          <w:rFonts w:ascii="Book Antiqua" w:hAnsi="Book Antiqua"/>
        </w:rPr>
        <w:t xml:space="preserve"> </w:t>
      </w:r>
      <w:r w:rsidRPr="008A2C60">
        <w:rPr>
          <w:rFonts w:ascii="Book Antiqua" w:hAnsi="Book Antiqua"/>
        </w:rPr>
        <w:t>Major outcomes</w:t>
      </w:r>
      <w:r w:rsidR="00733127" w:rsidRPr="008A2C60">
        <w:rPr>
          <w:rFonts w:ascii="Book Antiqua" w:hAnsi="Book Antiqua"/>
        </w:rPr>
        <w:t xml:space="preserve"> of interest in relation to </w:t>
      </w:r>
      <w:r w:rsidR="00C718F5" w:rsidRPr="008A2C60">
        <w:rPr>
          <w:rFonts w:ascii="Book Antiqua" w:hAnsi="Book Antiqua"/>
        </w:rPr>
        <w:t xml:space="preserve">blood glucose </w:t>
      </w:r>
      <w:r w:rsidR="00C718F5">
        <w:rPr>
          <w:rFonts w:ascii="Book Antiqua" w:hAnsi="Book Antiqua" w:hint="eastAsia"/>
          <w:lang w:eastAsia="zh-CN"/>
        </w:rPr>
        <w:t>(</w:t>
      </w:r>
      <w:r w:rsidR="00C718F5" w:rsidRPr="008A2C60">
        <w:rPr>
          <w:rFonts w:ascii="Book Antiqua" w:hAnsi="Book Antiqua"/>
        </w:rPr>
        <w:t>BG</w:t>
      </w:r>
      <w:r w:rsidR="00C718F5">
        <w:rPr>
          <w:rFonts w:ascii="Book Antiqua" w:hAnsi="Book Antiqua" w:hint="eastAsia"/>
          <w:lang w:eastAsia="zh-CN"/>
        </w:rPr>
        <w:t>)</w:t>
      </w:r>
      <w:r w:rsidR="00733127" w:rsidRPr="008A2C60">
        <w:rPr>
          <w:rFonts w:ascii="Book Antiqua" w:hAnsi="Book Antiqua"/>
        </w:rPr>
        <w:t xml:space="preserve"> level</w:t>
      </w:r>
      <w:r w:rsidRPr="008A2C60">
        <w:rPr>
          <w:rFonts w:ascii="Book Antiqua" w:hAnsi="Book Antiqua"/>
        </w:rPr>
        <w:t xml:space="preserve"> include </w:t>
      </w:r>
      <w:r w:rsidR="008472C0" w:rsidRPr="008A2C60">
        <w:rPr>
          <w:rFonts w:ascii="Book Antiqua" w:hAnsi="Book Antiqua"/>
        </w:rPr>
        <w:t>mortality</w:t>
      </w:r>
      <w:r w:rsidR="00BC448A" w:rsidRPr="008A2C60">
        <w:rPr>
          <w:rFonts w:ascii="Book Antiqua" w:hAnsi="Book Antiqua"/>
        </w:rPr>
        <w:t>, graft rejection, infection</w:t>
      </w:r>
      <w:r w:rsidR="00760153" w:rsidRPr="008A2C60">
        <w:rPr>
          <w:rFonts w:ascii="Book Antiqua" w:hAnsi="Book Antiqua"/>
        </w:rPr>
        <w:t xml:space="preserve"> rate</w:t>
      </w:r>
      <w:r w:rsidR="00BC448A" w:rsidRPr="008A2C60">
        <w:rPr>
          <w:rFonts w:ascii="Book Antiqua" w:hAnsi="Book Antiqua"/>
        </w:rPr>
        <w:t xml:space="preserve">, </w:t>
      </w:r>
      <w:r w:rsidR="00815CD3" w:rsidRPr="008A2C60">
        <w:rPr>
          <w:rFonts w:ascii="Book Antiqua" w:hAnsi="Book Antiqua"/>
        </w:rPr>
        <w:t>acute kidney injury (</w:t>
      </w:r>
      <w:r w:rsidR="00A76905" w:rsidRPr="008A2C60">
        <w:rPr>
          <w:rFonts w:ascii="Book Antiqua" w:hAnsi="Book Antiqua"/>
        </w:rPr>
        <w:t>AKI</w:t>
      </w:r>
      <w:r w:rsidR="00815CD3" w:rsidRPr="008A2C60">
        <w:rPr>
          <w:rFonts w:ascii="Book Antiqua" w:hAnsi="Book Antiqua"/>
        </w:rPr>
        <w:t>)</w:t>
      </w:r>
      <w:r w:rsidR="002F4072" w:rsidRPr="008A2C60">
        <w:rPr>
          <w:rFonts w:ascii="Book Antiqua" w:hAnsi="Book Antiqua"/>
        </w:rPr>
        <w:t xml:space="preserve">, </w:t>
      </w:r>
      <w:r w:rsidR="00A76905" w:rsidRPr="008A2C60">
        <w:rPr>
          <w:rFonts w:ascii="Book Antiqua" w:hAnsi="Book Antiqua"/>
        </w:rPr>
        <w:t>graft survival</w:t>
      </w:r>
      <w:r w:rsidR="00B95D47" w:rsidRPr="008A2C60">
        <w:rPr>
          <w:rFonts w:ascii="Book Antiqua" w:hAnsi="Book Antiqua"/>
        </w:rPr>
        <w:t>,</w:t>
      </w:r>
      <w:r w:rsidR="00A76905" w:rsidRPr="008A2C60">
        <w:rPr>
          <w:rFonts w:ascii="Book Antiqua" w:hAnsi="Book Antiqua"/>
        </w:rPr>
        <w:t xml:space="preserve"> </w:t>
      </w:r>
      <w:r w:rsidR="00C718F5" w:rsidRPr="008A2C60">
        <w:rPr>
          <w:rFonts w:ascii="Book Antiqua" w:hAnsi="Book Antiqua"/>
        </w:rPr>
        <w:t xml:space="preserve">post-transplant diabetes mellitus </w:t>
      </w:r>
      <w:r w:rsidR="00C718F5">
        <w:rPr>
          <w:rFonts w:ascii="Book Antiqua" w:hAnsi="Book Antiqua" w:hint="eastAsia"/>
          <w:lang w:eastAsia="zh-CN"/>
        </w:rPr>
        <w:t>(</w:t>
      </w:r>
      <w:r w:rsidR="002A0AA4" w:rsidRPr="008A2C60">
        <w:rPr>
          <w:rFonts w:ascii="Book Antiqua" w:hAnsi="Book Antiqua"/>
        </w:rPr>
        <w:t>PTDM</w:t>
      </w:r>
      <w:r w:rsidR="00C718F5">
        <w:rPr>
          <w:rFonts w:ascii="Book Antiqua" w:hAnsi="Book Antiqua" w:hint="eastAsia"/>
          <w:lang w:eastAsia="zh-CN"/>
        </w:rPr>
        <w:t>)</w:t>
      </w:r>
      <w:r w:rsidR="0031607B" w:rsidRPr="008A2C60">
        <w:rPr>
          <w:rFonts w:ascii="Book Antiqua" w:hAnsi="Book Antiqua"/>
        </w:rPr>
        <w:t xml:space="preserve">, </w:t>
      </w:r>
      <w:r w:rsidR="00A76905" w:rsidRPr="008A2C60">
        <w:rPr>
          <w:rFonts w:ascii="Book Antiqua" w:hAnsi="Book Antiqua"/>
        </w:rPr>
        <w:t xml:space="preserve">and </w:t>
      </w:r>
      <w:r w:rsidR="00DF7767" w:rsidRPr="008A2C60">
        <w:rPr>
          <w:rFonts w:ascii="Book Antiqua" w:hAnsi="Book Antiqua"/>
        </w:rPr>
        <w:t>NODAT.</w:t>
      </w:r>
    </w:p>
    <w:p w14:paraId="43311F9A" w14:textId="77777777" w:rsidR="00C718F5" w:rsidRPr="00C718F5" w:rsidRDefault="00C718F5" w:rsidP="00C718F5">
      <w:pPr>
        <w:spacing w:line="360" w:lineRule="auto"/>
        <w:contextualSpacing/>
        <w:jc w:val="both"/>
        <w:rPr>
          <w:rFonts w:ascii="Book Antiqua" w:hAnsi="Book Antiqua"/>
          <w:lang w:eastAsia="zh-CN"/>
        </w:rPr>
      </w:pPr>
    </w:p>
    <w:p w14:paraId="3356B26C" w14:textId="77777777" w:rsidR="00BE50C2" w:rsidRPr="007A3E9A" w:rsidRDefault="00BE50C2" w:rsidP="00C26D7B">
      <w:pPr>
        <w:spacing w:line="360" w:lineRule="auto"/>
        <w:contextualSpacing/>
        <w:jc w:val="both"/>
        <w:rPr>
          <w:rFonts w:ascii="Book Antiqua" w:hAnsi="Book Antiqua"/>
          <w:b/>
          <w:i/>
        </w:rPr>
      </w:pPr>
      <w:r w:rsidRPr="007A3E9A">
        <w:rPr>
          <w:rFonts w:ascii="Book Antiqua" w:hAnsi="Book Antiqua"/>
          <w:b/>
          <w:i/>
        </w:rPr>
        <w:t>Mortality</w:t>
      </w:r>
    </w:p>
    <w:p w14:paraId="2007B0E7" w14:textId="115E6157" w:rsidR="00DA0FD7" w:rsidRPr="008A2C60" w:rsidRDefault="006A5E30" w:rsidP="00C26D7B">
      <w:pPr>
        <w:spacing w:line="360" w:lineRule="auto"/>
        <w:contextualSpacing/>
        <w:jc w:val="both"/>
        <w:rPr>
          <w:rFonts w:ascii="Book Antiqua" w:hAnsi="Book Antiqua"/>
        </w:rPr>
      </w:pPr>
      <w:r w:rsidRPr="00C10193">
        <w:rPr>
          <w:rFonts w:ascii="Book Antiqua" w:hAnsi="Book Antiqua"/>
        </w:rPr>
        <w:t>T</w:t>
      </w:r>
      <w:r w:rsidR="00A16CD6" w:rsidRPr="00C10193">
        <w:rPr>
          <w:rFonts w:ascii="Book Antiqua" w:hAnsi="Book Antiqua"/>
        </w:rPr>
        <w:t xml:space="preserve">hree studies </w:t>
      </w:r>
      <w:r w:rsidR="008334D7" w:rsidRPr="00C10193">
        <w:rPr>
          <w:rFonts w:ascii="Book Antiqua" w:hAnsi="Book Antiqua"/>
        </w:rPr>
        <w:t>evaluated the relation between glycemic control and mortality in orthotopic liver transplantation (OLT) patients.</w:t>
      </w:r>
      <w:r w:rsidR="00CE3AFE">
        <w:rPr>
          <w:rFonts w:ascii="Book Antiqua" w:hAnsi="Book Antiqua"/>
        </w:rPr>
        <w:t xml:space="preserve"> </w:t>
      </w:r>
      <w:bookmarkStart w:id="186" w:name="OLE_LINK1590"/>
      <w:bookmarkStart w:id="187" w:name="OLE_LINK1591"/>
      <w:proofErr w:type="spellStart"/>
      <w:r w:rsidRPr="00C10193">
        <w:rPr>
          <w:rFonts w:ascii="Book Antiqua" w:hAnsi="Book Antiqua"/>
        </w:rPr>
        <w:t>Ammori</w:t>
      </w:r>
      <w:bookmarkEnd w:id="186"/>
      <w:bookmarkEnd w:id="187"/>
      <w:proofErr w:type="spellEnd"/>
      <w:r w:rsidRPr="00C10193">
        <w:rPr>
          <w:rFonts w:ascii="Book Antiqua" w:hAnsi="Book Antiqua"/>
        </w:rPr>
        <w:t xml:space="preserve">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"DOI" : "10.1016/j.jss.2007.02.019", "ISBN" : "0022-4804; 0022-4804", "ISSN" : "00224804", "PMID" : "17509267", "abstract" : "Background: Intensive blood glucose management has been shown to decrease mortality and infections for intensive care patients. The effect of intraoperative strict glucose control on surgical outcomes, including liver transplantation, has not been well evaluated. Materials and methods: A retrospective review of all adult liver recipients transplanted between January 1, 2004 and July 6, 2006 was performed. Donor and recipient demographics, intraoperative variables, and outcomes were collected. Intraoperative glucose measurements were performed by the anesthesiology team and treated with intravenous insulin bolus or continuous infusion. Patients with strict glycemic control (mean blood glucose &lt;150 mg/dL) were compared with those with poor control (mean blood glucose ???150 mg/dL). Results: During the study period, a total of 184 patients met criteria for analysis. Recipients with strict glycemic control (n = 60) had a mean glucose of 135 mg/dL compared with 184 mg/dL in the poorly controlled group (n = 124). Other than recipient age (strict versus poor control, 47 ?? 2 y versus 53 ?? 1 y; P &lt; 0.01), both groups had similar donor and recipient characteristics. Although the incidence of most postoperative complications were similar, poor glycemic control was associated with a significantly increased infection rate at 30 d posttransplant (48% versus 30%; P = 0.02), and also an increased 1 y mortality (21.9% versus 8.8%; P = 0.05). Conclusions: Intraoperative hyperglycemia during liver transplantation was associated with an increased risk of postoperative infection and mortality. Strict intraoperative glycemic control, possibly using insulin infusions, may improve outcomes following liver transplantation. ?? 2007 Elsevier Inc. All rights reserved.", "author" : [ { "dropping-particle" : "", "family" : "Ammori", "given" : "John B.", "non-dropping-particle" : "", "parse-names" : false, "suffix" : "" }, { "dropping-particle" : "", "family" : "Sigakis", "given" : "Matthew", "non-dropping-particle" : "", "parse-names" : false, "suffix" : "" }, { "dropping-particle" : "", "family" : "Englesbe", "given" : "Michael J.", "non-dropping-particle" : "", "parse-names" : false, "suffix" : "" }, { "dropping-particle" : "", "family" : "O'Reilly", "given" : "Michael", "non-dropping-particle" : "", "parse-names" : false, "suffix" : "" }, { "dropping-particle" : "", "family" : "Pelletier", "given" : "Shawn J.", "non-dropping-particle" : "", "parse-names" : false, "suffix" : "" } ], "container-title" : "Journal of Surgical Research", "id" : "ITEM-1", "issue" : "2", "issued" : { "date-parts" : [ [ "2007" ] ] }, "page" : "227-233", "title" : "Effect of Intraoperative Hyperglycemia During Liver Transplantation", "type" : "article-journal", "volume" : "140" }, "uris" : [ "http://www.mendeley.com/documents/?uuid=d9efaca6-b68b-4a30-8d84-22a917bb52b3" ] } ], "mendeley" : { "formattedCitation" : "&lt;sup&gt;[5]&lt;/sup&gt;", "plainTextFormattedCitation" : "[5]", "previouslyFormattedCitation" : "&lt;sup&gt;[5]&lt;/sup&gt;"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[5]</w:t>
      </w:r>
      <w:r w:rsidR="00C10193" w:rsidRPr="008A2C60">
        <w:rPr>
          <w:rFonts w:ascii="Book Antiqua" w:hAnsi="Book Antiqua"/>
        </w:rPr>
        <w:fldChar w:fldCharType="end"/>
      </w:r>
      <w:r w:rsidR="007A3E9A" w:rsidRPr="00C10193">
        <w:rPr>
          <w:rFonts w:ascii="Book Antiqua" w:hAnsi="Book Antiqua" w:hint="eastAsia"/>
          <w:lang w:eastAsia="zh-CN"/>
        </w:rPr>
        <w:t xml:space="preserve"> </w:t>
      </w:r>
      <w:r w:rsidRPr="00C10193">
        <w:rPr>
          <w:rFonts w:ascii="Book Antiqua" w:hAnsi="Book Antiqua"/>
        </w:rPr>
        <w:t xml:space="preserve">found a </w:t>
      </w:r>
      <w:r w:rsidR="00DB027C" w:rsidRPr="00C10193">
        <w:rPr>
          <w:rFonts w:ascii="Book Antiqua" w:hAnsi="Book Antiqua"/>
        </w:rPr>
        <w:t>s</w:t>
      </w:r>
      <w:r w:rsidR="004052EC" w:rsidRPr="00C10193">
        <w:rPr>
          <w:rFonts w:ascii="Book Antiqua" w:hAnsi="Book Antiqua"/>
        </w:rPr>
        <w:t>tatistical</w:t>
      </w:r>
      <w:r w:rsidR="00DE02C7" w:rsidRPr="00C10193">
        <w:rPr>
          <w:rFonts w:ascii="Book Antiqua" w:hAnsi="Book Antiqua"/>
        </w:rPr>
        <w:t>ly</w:t>
      </w:r>
      <w:r w:rsidR="004052EC" w:rsidRPr="00C10193">
        <w:rPr>
          <w:rFonts w:ascii="Book Antiqua" w:hAnsi="Book Antiqua"/>
        </w:rPr>
        <w:t xml:space="preserve"> significant </w:t>
      </w:r>
      <w:r w:rsidR="008334D7" w:rsidRPr="00C10193">
        <w:rPr>
          <w:rFonts w:ascii="Book Antiqua" w:hAnsi="Book Antiqua"/>
        </w:rPr>
        <w:t xml:space="preserve">association </w:t>
      </w:r>
      <w:r w:rsidR="0036663B" w:rsidRPr="00C10193">
        <w:rPr>
          <w:rFonts w:ascii="Book Antiqua" w:hAnsi="Book Antiqua"/>
        </w:rPr>
        <w:t>between glycemic control and mortality</w:t>
      </w:r>
      <w:r w:rsidR="00DE02C7" w:rsidRPr="00C10193">
        <w:rPr>
          <w:rFonts w:ascii="Book Antiqua" w:hAnsi="Book Antiqua"/>
        </w:rPr>
        <w:t xml:space="preserve">. </w:t>
      </w:r>
      <w:r w:rsidR="007703D8" w:rsidRPr="00C10193">
        <w:rPr>
          <w:rFonts w:ascii="Book Antiqua" w:hAnsi="Book Antiqua"/>
        </w:rPr>
        <w:t>The retrospective review compared patients with strict glycemic control (mean blood glucose &lt;</w:t>
      </w:r>
      <w:r w:rsidR="007A3E9A" w:rsidRPr="00C10193">
        <w:rPr>
          <w:rFonts w:ascii="Book Antiqua" w:hAnsi="Book Antiqua" w:hint="eastAsia"/>
          <w:lang w:eastAsia="zh-CN"/>
        </w:rPr>
        <w:t xml:space="preserve"> </w:t>
      </w:r>
      <w:r w:rsidR="007703D8" w:rsidRPr="00C10193">
        <w:rPr>
          <w:rFonts w:ascii="Book Antiqua" w:hAnsi="Book Antiqua"/>
        </w:rPr>
        <w:t xml:space="preserve">150 mg/dL) </w:t>
      </w:r>
      <w:r w:rsidR="00944790" w:rsidRPr="00944790">
        <w:rPr>
          <w:rFonts w:ascii="Book Antiqua" w:hAnsi="Book Antiqua"/>
          <w:i/>
        </w:rPr>
        <w:t>vs</w:t>
      </w:r>
      <w:r w:rsidR="007703D8" w:rsidRPr="00C10193">
        <w:rPr>
          <w:rFonts w:ascii="Book Antiqua" w:hAnsi="Book Antiqua"/>
        </w:rPr>
        <w:t xml:space="preserve"> those with poor control (mean blood glucose </w:t>
      </w:r>
      <w:r w:rsidR="00C10193" w:rsidRPr="00C10193">
        <w:rPr>
          <w:rFonts w:ascii="Book Antiqua" w:hAnsi="Book Antiqua"/>
        </w:rPr>
        <w:t>≥</w:t>
      </w:r>
      <w:r w:rsidR="007703D8" w:rsidRPr="00C10193">
        <w:rPr>
          <w:rFonts w:ascii="Book Antiqua" w:hAnsi="Book Antiqua"/>
        </w:rPr>
        <w:t xml:space="preserve"> 150 mg/dL).</w:t>
      </w:r>
      <w:r w:rsidR="00CE3AFE">
        <w:rPr>
          <w:rFonts w:ascii="Book Antiqua" w:hAnsi="Book Antiqua"/>
        </w:rPr>
        <w:t xml:space="preserve"> </w:t>
      </w:r>
      <w:r w:rsidR="007703D8" w:rsidRPr="00C10193">
        <w:rPr>
          <w:rFonts w:ascii="Book Antiqua" w:hAnsi="Book Antiqua"/>
        </w:rPr>
        <w:t>A total of 184 patients were analyzed (</w:t>
      </w:r>
      <w:r w:rsidR="007A3E9A" w:rsidRPr="00C10193">
        <w:rPr>
          <w:rFonts w:ascii="Book Antiqua" w:hAnsi="Book Antiqua"/>
          <w:i/>
        </w:rPr>
        <w:t xml:space="preserve">n = </w:t>
      </w:r>
      <w:r w:rsidR="007703D8" w:rsidRPr="00C10193">
        <w:rPr>
          <w:rFonts w:ascii="Book Antiqua" w:hAnsi="Book Antiqua"/>
        </w:rPr>
        <w:t xml:space="preserve">60 for strict control, </w:t>
      </w:r>
      <w:r w:rsidR="007A3E9A" w:rsidRPr="00C10193">
        <w:rPr>
          <w:rFonts w:ascii="Book Antiqua" w:hAnsi="Book Antiqua"/>
          <w:i/>
        </w:rPr>
        <w:t xml:space="preserve">n = </w:t>
      </w:r>
      <w:r w:rsidR="007703D8" w:rsidRPr="00C10193">
        <w:rPr>
          <w:rFonts w:ascii="Book Antiqua" w:hAnsi="Book Antiqua"/>
        </w:rPr>
        <w:t>124 for poorly controlled)</w:t>
      </w:r>
      <w:r w:rsidR="00A01911" w:rsidRPr="00C10193">
        <w:rPr>
          <w:rFonts w:ascii="Book Antiqua" w:hAnsi="Book Antiqua"/>
        </w:rPr>
        <w:t>. T</w:t>
      </w:r>
      <w:r w:rsidR="007D641B" w:rsidRPr="00C10193">
        <w:rPr>
          <w:rFonts w:ascii="Book Antiqua" w:hAnsi="Book Antiqua"/>
        </w:rPr>
        <w:t>he strict control group had a mean glucose of 135 mg/dL while the poorly controlled group had a mean glucose level of 184 mg/dL.</w:t>
      </w:r>
      <w:r w:rsidR="00CE3AFE">
        <w:rPr>
          <w:rFonts w:ascii="Book Antiqua" w:hAnsi="Book Antiqua"/>
        </w:rPr>
        <w:t xml:space="preserve"> </w:t>
      </w:r>
      <w:r w:rsidR="00DA0FD7" w:rsidRPr="00C10193">
        <w:rPr>
          <w:rFonts w:ascii="Book Antiqua" w:hAnsi="Book Antiqua"/>
        </w:rPr>
        <w:t xml:space="preserve">Baseline donor and recipient characteristics for both groups were similar with the exception of recipient age (47 </w:t>
      </w:r>
      <w:r w:rsidR="00C10193" w:rsidRPr="00C10193">
        <w:rPr>
          <w:rFonts w:ascii="Book Antiqua" w:hAnsi="Book Antiqua"/>
        </w:rPr>
        <w:t>±</w:t>
      </w:r>
      <w:r w:rsidR="00DA0FD7" w:rsidRPr="00C10193">
        <w:rPr>
          <w:rFonts w:ascii="Book Antiqua" w:hAnsi="Book Antiqua"/>
        </w:rPr>
        <w:t xml:space="preserve"> 2 years </w:t>
      </w:r>
      <w:r w:rsidR="00DB027C" w:rsidRPr="00C10193">
        <w:rPr>
          <w:rFonts w:ascii="Book Antiqua" w:hAnsi="Book Antiqua"/>
          <w:i/>
        </w:rPr>
        <w:t>vs</w:t>
      </w:r>
      <w:r w:rsidR="00C10193" w:rsidRPr="00C10193">
        <w:rPr>
          <w:rFonts w:ascii="Book Antiqua" w:hAnsi="Book Antiqua" w:hint="eastAsia"/>
          <w:lang w:eastAsia="zh-CN"/>
        </w:rPr>
        <w:t xml:space="preserve"> </w:t>
      </w:r>
      <w:r w:rsidR="00DA0FD7" w:rsidRPr="00C10193">
        <w:rPr>
          <w:rFonts w:ascii="Book Antiqua" w:hAnsi="Book Antiqua"/>
        </w:rPr>
        <w:t xml:space="preserve">53 </w:t>
      </w:r>
      <w:bookmarkStart w:id="188" w:name="OLE_LINK1588"/>
      <w:bookmarkStart w:id="189" w:name="OLE_LINK1589"/>
      <w:r w:rsidR="00C10193" w:rsidRPr="00C10193">
        <w:rPr>
          <w:rFonts w:ascii="Book Antiqua" w:hAnsi="Book Antiqua"/>
        </w:rPr>
        <w:t>±</w:t>
      </w:r>
      <w:bookmarkEnd w:id="188"/>
      <w:bookmarkEnd w:id="189"/>
      <w:r w:rsidR="00DA0FD7" w:rsidRPr="00C10193">
        <w:rPr>
          <w:rFonts w:ascii="Book Antiqua" w:hAnsi="Book Antiqua"/>
        </w:rPr>
        <w:t xml:space="preserve"> 1 year</w:t>
      </w:r>
      <w:r w:rsidR="00C939DC" w:rsidRPr="00C10193">
        <w:rPr>
          <w:rFonts w:ascii="Book Antiqua" w:hAnsi="Book Antiqua"/>
        </w:rPr>
        <w:t xml:space="preserve">; strict </w:t>
      </w:r>
      <w:r w:rsidR="00C718F5" w:rsidRPr="00C718F5">
        <w:rPr>
          <w:rFonts w:ascii="Book Antiqua" w:hAnsi="Book Antiqua"/>
          <w:i/>
        </w:rPr>
        <w:t>vs</w:t>
      </w:r>
      <w:r w:rsidR="00C939DC" w:rsidRPr="00C10193">
        <w:rPr>
          <w:rFonts w:ascii="Book Antiqua" w:hAnsi="Book Antiqua"/>
        </w:rPr>
        <w:t xml:space="preserve"> poor control</w:t>
      </w:r>
      <w:r w:rsidR="00163B2B" w:rsidRPr="00C10193">
        <w:rPr>
          <w:rFonts w:ascii="Book Antiqua" w:hAnsi="Book Antiqua"/>
        </w:rPr>
        <w:t>,</w:t>
      </w:r>
      <w:r w:rsidR="00C939DC" w:rsidRPr="00C10193">
        <w:rPr>
          <w:rFonts w:ascii="Book Antiqua" w:hAnsi="Book Antiqua"/>
        </w:rPr>
        <w:t xml:space="preserve"> respectively).</w:t>
      </w:r>
      <w:r w:rsidR="00CE3AFE">
        <w:rPr>
          <w:rFonts w:ascii="Book Antiqua" w:hAnsi="Book Antiqua"/>
        </w:rPr>
        <w:t xml:space="preserve"> </w:t>
      </w:r>
      <w:r w:rsidR="00982ADF" w:rsidRPr="00C10193">
        <w:rPr>
          <w:rFonts w:ascii="Book Antiqua" w:hAnsi="Book Antiqua"/>
        </w:rPr>
        <w:t xml:space="preserve">The Kaplan Meier survival analysis showed a significantly improved </w:t>
      </w:r>
      <w:r w:rsidR="00C718F5">
        <w:rPr>
          <w:rFonts w:ascii="Book Antiqua" w:hAnsi="Book Antiqua" w:hint="eastAsia"/>
          <w:lang w:eastAsia="zh-CN"/>
        </w:rPr>
        <w:t>one</w:t>
      </w:r>
      <w:r w:rsidR="00DB027C" w:rsidRPr="00C10193">
        <w:rPr>
          <w:rFonts w:ascii="Book Antiqua" w:hAnsi="Book Antiqua"/>
        </w:rPr>
        <w:t>-year</w:t>
      </w:r>
      <w:r w:rsidR="00982ADF" w:rsidRPr="00C10193">
        <w:rPr>
          <w:rFonts w:ascii="Book Antiqua" w:hAnsi="Book Antiqua"/>
        </w:rPr>
        <w:t xml:space="preserve"> survival rate in </w:t>
      </w:r>
      <w:r w:rsidR="00DB027C" w:rsidRPr="00C10193">
        <w:rPr>
          <w:rFonts w:ascii="Book Antiqua" w:hAnsi="Book Antiqua"/>
        </w:rPr>
        <w:t xml:space="preserve">the </w:t>
      </w:r>
      <w:r w:rsidR="00982ADF" w:rsidRPr="00C10193">
        <w:rPr>
          <w:rFonts w:ascii="Book Antiqua" w:hAnsi="Book Antiqua"/>
        </w:rPr>
        <w:t xml:space="preserve">strict glucose control group (91.2%) </w:t>
      </w:r>
      <w:r w:rsidR="00DB027C" w:rsidRPr="00C10193">
        <w:rPr>
          <w:rFonts w:ascii="Book Antiqua" w:hAnsi="Book Antiqua"/>
        </w:rPr>
        <w:t xml:space="preserve">as compared to that in the </w:t>
      </w:r>
      <w:r w:rsidR="00982ADF" w:rsidRPr="00C10193">
        <w:rPr>
          <w:rFonts w:ascii="Book Antiqua" w:hAnsi="Book Antiqua"/>
        </w:rPr>
        <w:t>poorly controlled group (78.1%).</w:t>
      </w:r>
      <w:r w:rsidR="00CE3AFE">
        <w:rPr>
          <w:rFonts w:ascii="Book Antiqua" w:hAnsi="Book Antiqua"/>
        </w:rPr>
        <w:t xml:space="preserve"> </w:t>
      </w:r>
      <w:r w:rsidR="00DB027C" w:rsidRPr="00C10193">
        <w:rPr>
          <w:rFonts w:ascii="Book Antiqua" w:hAnsi="Book Antiqua"/>
        </w:rPr>
        <w:t>T</w:t>
      </w:r>
      <w:r w:rsidR="00982ADF" w:rsidRPr="00C10193">
        <w:rPr>
          <w:rFonts w:ascii="Book Antiqua" w:hAnsi="Book Antiqua"/>
        </w:rPr>
        <w:t xml:space="preserve">he </w:t>
      </w:r>
      <w:r w:rsidR="00BB2CA9">
        <w:rPr>
          <w:rFonts w:ascii="Book Antiqua" w:hAnsi="Book Antiqua" w:hint="eastAsia"/>
          <w:lang w:eastAsia="zh-CN"/>
        </w:rPr>
        <w:t>one</w:t>
      </w:r>
      <w:r w:rsidR="00DB027C" w:rsidRPr="008A2C60">
        <w:rPr>
          <w:rFonts w:ascii="Book Antiqua" w:hAnsi="Book Antiqua"/>
        </w:rPr>
        <w:t>-</w:t>
      </w:r>
      <w:r w:rsidR="00982ADF" w:rsidRPr="008A2C60">
        <w:rPr>
          <w:rFonts w:ascii="Book Antiqua" w:hAnsi="Book Antiqua"/>
        </w:rPr>
        <w:t xml:space="preserve">year mortality rate was found to be </w:t>
      </w:r>
      <w:r w:rsidR="00C718F5">
        <w:rPr>
          <w:rFonts w:ascii="Book Antiqua" w:hAnsi="Book Antiqua"/>
        </w:rPr>
        <w:t>8.8</w:t>
      </w:r>
      <w:r w:rsidRPr="008A2C60">
        <w:rPr>
          <w:rFonts w:ascii="Book Antiqua" w:hAnsi="Book Antiqua"/>
        </w:rPr>
        <w:t xml:space="preserve">% and </w:t>
      </w:r>
      <w:r w:rsidR="00982ADF" w:rsidRPr="008A2C60">
        <w:rPr>
          <w:rFonts w:ascii="Book Antiqua" w:hAnsi="Book Antiqua"/>
        </w:rPr>
        <w:t>21.9% (</w:t>
      </w:r>
      <w:r w:rsidR="00C10193" w:rsidRPr="00C10193">
        <w:rPr>
          <w:rFonts w:ascii="Book Antiqua" w:hAnsi="Book Antiqua"/>
          <w:i/>
        </w:rPr>
        <w:t>P</w:t>
      </w:r>
      <w:r w:rsidR="00982ADF" w:rsidRPr="008A2C60">
        <w:rPr>
          <w:rFonts w:ascii="Book Antiqua" w:hAnsi="Book Antiqua"/>
        </w:rPr>
        <w:t xml:space="preserve"> = 0.05) for patients in the </w:t>
      </w:r>
      <w:r w:rsidRPr="008A2C60">
        <w:rPr>
          <w:rFonts w:ascii="Book Antiqua" w:hAnsi="Book Antiqua"/>
        </w:rPr>
        <w:t xml:space="preserve">strict </w:t>
      </w:r>
      <w:r w:rsidR="00982ADF" w:rsidRPr="008A2C60">
        <w:rPr>
          <w:rFonts w:ascii="Book Antiqua" w:hAnsi="Book Antiqua"/>
        </w:rPr>
        <w:t xml:space="preserve">controlled group </w:t>
      </w:r>
      <w:r w:rsidR="00DB027C" w:rsidRPr="008A2C60">
        <w:rPr>
          <w:rFonts w:ascii="Book Antiqua" w:hAnsi="Book Antiqua"/>
        </w:rPr>
        <w:t xml:space="preserve">and </w:t>
      </w:r>
      <w:r w:rsidRPr="008A2C60">
        <w:rPr>
          <w:rFonts w:ascii="Book Antiqua" w:hAnsi="Book Antiqua"/>
        </w:rPr>
        <w:t xml:space="preserve">poorly </w:t>
      </w:r>
      <w:r w:rsidR="00982ADF" w:rsidRPr="008A2C60">
        <w:rPr>
          <w:rFonts w:ascii="Book Antiqua" w:hAnsi="Book Antiqua"/>
        </w:rPr>
        <w:t>glucose control group</w:t>
      </w:r>
      <w:r w:rsidR="00DD67B7" w:rsidRPr="008A2C60">
        <w:rPr>
          <w:rFonts w:ascii="Book Antiqua" w:hAnsi="Book Antiqua"/>
        </w:rPr>
        <w:t xml:space="preserve"> </w:t>
      </w:r>
      <w:r w:rsidR="00982ADF" w:rsidRPr="008A2C60">
        <w:rPr>
          <w:rFonts w:ascii="Book Antiqua" w:hAnsi="Book Antiqua"/>
        </w:rPr>
        <w:t>respectively</w:t>
      </w:r>
      <w:r w:rsidR="001371C3" w:rsidRPr="008A2C60">
        <w:rPr>
          <w:rFonts w:ascii="Book Antiqua" w:hAnsi="Book Antiqua"/>
        </w:rPr>
        <w:t>.</w:t>
      </w:r>
      <w:r w:rsidR="00CE3AFE">
        <w:rPr>
          <w:rFonts w:ascii="Book Antiqua" w:hAnsi="Book Antiqua"/>
        </w:rPr>
        <w:t xml:space="preserve"> </w:t>
      </w:r>
    </w:p>
    <w:p w14:paraId="621A5553" w14:textId="20FF7063" w:rsidR="00F54E83" w:rsidRPr="008A2C60" w:rsidRDefault="0059185A" w:rsidP="00C26D7B">
      <w:pPr>
        <w:spacing w:line="360" w:lineRule="auto"/>
        <w:ind w:firstLineChars="100" w:firstLine="240"/>
        <w:contextualSpacing/>
        <w:jc w:val="both"/>
        <w:rPr>
          <w:rFonts w:ascii="Book Antiqua" w:hAnsi="Book Antiqua"/>
        </w:rPr>
      </w:pPr>
      <w:bookmarkStart w:id="190" w:name="OLE_LINK1592"/>
      <w:bookmarkStart w:id="191" w:name="OLE_LINK1593"/>
      <w:r w:rsidRPr="008A2C60">
        <w:rPr>
          <w:rFonts w:ascii="Book Antiqua" w:hAnsi="Book Antiqua"/>
        </w:rPr>
        <w:t>Keega</w:t>
      </w:r>
      <w:r w:rsidR="00C10193">
        <w:rPr>
          <w:rFonts w:ascii="Book Antiqua" w:hAnsi="Book Antiqua"/>
        </w:rPr>
        <w:t>n</w:t>
      </w:r>
      <w:bookmarkEnd w:id="190"/>
      <w:bookmarkEnd w:id="191"/>
      <w:r w:rsidR="00C10193" w:rsidRPr="00C10193">
        <w:rPr>
          <w:rFonts w:ascii="Book Antiqua" w:hAnsi="Book Antiqua"/>
          <w:i/>
        </w:rPr>
        <w:t xml:space="preserve">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"DOI" : "10.1016/j.transproceed.2010.05.156", "ISBN" : "1873-2623 (Electronic)\\r0041-1345 (Linking)", "ISSN" : "00411345", "PMID" : "20832556", "abstract" : "There is a paucity of data regarding the safety and utility of strict glycemic control in patients undergoing orthotopic liver transplantation (OLT). Although control of hyperglycemia may theoretically be beneficial, concerns exist regarding the effect of iatrogenic hypoglycemia on graft function. We performed a retrospective observational study evaluating the impact of the introduction of a nurse-initiated glycemic control protocol on OLT recipients cared for in a single intensive care unit (ICU). The medical records of 84 OLT recipients in 2003 (Preprotocol group) and 77 recipients in 2007 (Protocol group) were reviewed. Data regarding demographics, medical history, physiology, perioperative anesthesia and surgical events, ICU stay, graft function, and mortality were abstracted. Glucose values on admission to ICU, at 2, 6, 12, 18, and 24 hours after surgery, and at 4 am on the morning after OLT were recorded. Patients in the Protocol group achieved better and faster glycemic control. The odds ratio for severe hyperglycemia (glucose &gt;250 mg/dL) in the Protocol group was 0.16 (95% confidence interval, 0.090.28). Hypoglycemia was not observed. The 1-year mortality was 5.3% in the Preprotocol and 6.0% in the Protocol group (P = .86). The rate of graft loss was low, and there was no difference in the incidence of graft failure between the Preprotocol and Protocol groups. We conclude that nurse-initiated and -directed glycemic control protocols can be safely and effectively used in the early period after OLT, though we did not identify a beneficial effect on graft function. ?? 2010 by Elsevier Inc. All rights reserved.", "author" : [ { "dropping-particle" : "", "family" : "Keegan", "given" : "M. T.", "non-dropping-particle" : "", "parse-names" : false, "suffix" : "" }, { "dropping-particle" : "", "family" : "Vrchota", "given" : "J. M.", "non-dropping-particle" : "", "parse-names" : false, "suffix" : "" }, { "dropping-particle" : "", "family" : "Haala", "given" : "P. M.", "non-dropping-particle" : "", "parse-names" : false, "suffix" : "" }, { "dropping-particle" : "V.", "family" : "Timm", "given" : "J.", "non-dropping-particle" : "", "parse-names" : false, "suffix" : "" } ], "container-title" : "Transplantation Proceedings", "id" : "ITEM-1", "issue" : "7", "issued" : { "date-parts" : [ [ "2010" ] ] }, "page" : "2617-2624", "publisher" : "Elsevier Inc.", "title" : "Safety and effectiveness of intensive insulin protocol use in post-operative liver transplant recipients", "type" : "article-journal", "volume" : "42" }, "uris" : [ "http://www.mendeley.com/documents/?uuid=f2050c13-2ec3-4780-995a-6d783e41ef52" ] } ], "mendeley" : { "formattedCitation" : "&lt;sup&gt;[17]&lt;/sup&gt;", "plainTextFormattedCitation" : "[17]", "previouslyFormattedCitation" : "&lt;sup&gt;[17]&lt;/sup&gt;"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[17]</w:t>
      </w:r>
      <w:r w:rsidR="00C10193" w:rsidRPr="008A2C60">
        <w:rPr>
          <w:rFonts w:ascii="Book Antiqua" w:hAnsi="Book Antiqua"/>
        </w:rPr>
        <w:fldChar w:fldCharType="end"/>
      </w:r>
      <w:r w:rsidRPr="008A2C60">
        <w:rPr>
          <w:rFonts w:ascii="Book Antiqua" w:hAnsi="Book Antiqua"/>
        </w:rPr>
        <w:t xml:space="preserve"> </w:t>
      </w:r>
      <w:r w:rsidR="006C31F4" w:rsidRPr="008A2C60">
        <w:rPr>
          <w:rFonts w:ascii="Book Antiqua" w:hAnsi="Book Antiqua"/>
        </w:rPr>
        <w:t xml:space="preserve">also </w:t>
      </w:r>
      <w:r w:rsidRPr="008A2C60">
        <w:rPr>
          <w:rFonts w:ascii="Book Antiqua" w:hAnsi="Book Antiqua"/>
        </w:rPr>
        <w:t>evaluated the impact of perioperative glycemic control in OLT patients.</w:t>
      </w:r>
      <w:r w:rsidR="00CE3AFE">
        <w:rPr>
          <w:rFonts w:ascii="Book Antiqua" w:hAnsi="Book Antiqua"/>
        </w:rPr>
        <w:t xml:space="preserve"> </w:t>
      </w:r>
      <w:r w:rsidR="00C9740F" w:rsidRPr="008A2C60">
        <w:rPr>
          <w:rFonts w:ascii="Book Antiqua" w:hAnsi="Book Antiqua"/>
        </w:rPr>
        <w:t xml:space="preserve">This retrospective analysis </w:t>
      </w:r>
      <w:r w:rsidR="00C94A51" w:rsidRPr="008A2C60">
        <w:rPr>
          <w:rFonts w:ascii="Book Antiqua" w:hAnsi="Book Antiqua"/>
        </w:rPr>
        <w:t>studied the impact of the initiation of a nurse-initiated protocol for glycemic management</w:t>
      </w:r>
      <w:r w:rsidR="003F5D09" w:rsidRPr="008A2C60">
        <w:rPr>
          <w:rFonts w:ascii="Book Antiqua" w:hAnsi="Book Antiqua"/>
        </w:rPr>
        <w:t xml:space="preserve"> (protocol group) </w:t>
      </w:r>
      <w:r w:rsidR="00944790" w:rsidRPr="00944790">
        <w:rPr>
          <w:rFonts w:ascii="Book Antiqua" w:hAnsi="Book Antiqua"/>
          <w:i/>
        </w:rPr>
        <w:t>vs</w:t>
      </w:r>
      <w:r w:rsidR="003F5D09" w:rsidRPr="008A2C60">
        <w:rPr>
          <w:rFonts w:ascii="Book Antiqua" w:hAnsi="Book Antiqua"/>
        </w:rPr>
        <w:t xml:space="preserve"> glycemic management prior to the initiation of the protocol (pre-protocol group)</w:t>
      </w:r>
      <w:r w:rsidR="00C94A51" w:rsidRPr="008A2C60">
        <w:rPr>
          <w:rFonts w:ascii="Book Antiqua" w:hAnsi="Book Antiqua"/>
        </w:rPr>
        <w:t>.</w:t>
      </w:r>
      <w:r w:rsidR="00CE3AFE">
        <w:rPr>
          <w:rFonts w:ascii="Book Antiqua" w:hAnsi="Book Antiqua"/>
        </w:rPr>
        <w:t xml:space="preserve"> </w:t>
      </w:r>
      <w:r w:rsidR="00C014AB" w:rsidRPr="008A2C60">
        <w:rPr>
          <w:rFonts w:ascii="Book Antiqua" w:hAnsi="Book Antiqua"/>
        </w:rPr>
        <w:t xml:space="preserve">Prior to the implementation of the protocol, a variety of insulin infusion </w:t>
      </w:r>
      <w:r w:rsidR="00C6285C" w:rsidRPr="008A2C60">
        <w:rPr>
          <w:rFonts w:ascii="Book Antiqua" w:hAnsi="Book Antiqua"/>
        </w:rPr>
        <w:t xml:space="preserve">protocols and ad hoc sliding scales </w:t>
      </w:r>
      <w:r w:rsidR="00C014AB" w:rsidRPr="008A2C60">
        <w:rPr>
          <w:rFonts w:ascii="Book Antiqua" w:hAnsi="Book Antiqua"/>
        </w:rPr>
        <w:t xml:space="preserve">were used </w:t>
      </w:r>
      <w:r w:rsidR="00417A34" w:rsidRPr="008A2C60">
        <w:rPr>
          <w:rFonts w:ascii="Book Antiqua" w:hAnsi="Book Antiqua"/>
        </w:rPr>
        <w:t xml:space="preserve">at the discretion of the physician </w:t>
      </w:r>
      <w:r w:rsidR="00C014AB" w:rsidRPr="008A2C60">
        <w:rPr>
          <w:rFonts w:ascii="Book Antiqua" w:hAnsi="Book Antiqua"/>
        </w:rPr>
        <w:t>for glycemic control</w:t>
      </w:r>
      <w:r w:rsidR="00417A34" w:rsidRPr="008A2C60">
        <w:rPr>
          <w:rFonts w:ascii="Book Antiqua" w:hAnsi="Book Antiqua"/>
        </w:rPr>
        <w:t>.</w:t>
      </w:r>
      <w:r w:rsidR="00CE3AFE">
        <w:rPr>
          <w:rFonts w:ascii="Book Antiqua" w:hAnsi="Book Antiqua"/>
        </w:rPr>
        <w:t xml:space="preserve"> </w:t>
      </w:r>
      <w:r w:rsidR="00C94A51" w:rsidRPr="008A2C60">
        <w:rPr>
          <w:rFonts w:ascii="Book Antiqua" w:hAnsi="Book Antiqua"/>
        </w:rPr>
        <w:t xml:space="preserve">Under the protocol, a nurse would initiate </w:t>
      </w:r>
      <w:r w:rsidR="004831FB" w:rsidRPr="008A2C60">
        <w:rPr>
          <w:rFonts w:ascii="Book Antiqua" w:hAnsi="Book Antiqua"/>
        </w:rPr>
        <w:t xml:space="preserve">a </w:t>
      </w:r>
      <w:r w:rsidR="00C94A51" w:rsidRPr="008A2C60">
        <w:rPr>
          <w:rFonts w:ascii="Book Antiqua" w:hAnsi="Book Antiqua"/>
        </w:rPr>
        <w:t xml:space="preserve">continuous </w:t>
      </w:r>
      <w:r w:rsidR="004831FB" w:rsidRPr="008A2C60">
        <w:rPr>
          <w:rFonts w:ascii="Book Antiqua" w:hAnsi="Book Antiqua"/>
        </w:rPr>
        <w:t xml:space="preserve">intravenous (IV) </w:t>
      </w:r>
      <w:r w:rsidR="00C94A51" w:rsidRPr="008A2C60">
        <w:rPr>
          <w:rFonts w:ascii="Book Antiqua" w:hAnsi="Book Antiqua"/>
        </w:rPr>
        <w:t>insulin infusion</w:t>
      </w:r>
      <w:r w:rsidR="008D5FAD" w:rsidRPr="008A2C60">
        <w:rPr>
          <w:rFonts w:ascii="Book Antiqua" w:hAnsi="Book Antiqua"/>
        </w:rPr>
        <w:t xml:space="preserve"> </w:t>
      </w:r>
      <w:r w:rsidR="003F5D09" w:rsidRPr="008A2C60">
        <w:rPr>
          <w:rFonts w:ascii="Book Antiqua" w:hAnsi="Book Antiqua"/>
        </w:rPr>
        <w:t xml:space="preserve">within 48 </w:t>
      </w:r>
      <w:r w:rsidR="004831FB" w:rsidRPr="008A2C60">
        <w:rPr>
          <w:rFonts w:ascii="Book Antiqua" w:hAnsi="Book Antiqua"/>
        </w:rPr>
        <w:t xml:space="preserve">h </w:t>
      </w:r>
      <w:r w:rsidR="003F5D09" w:rsidRPr="008A2C60">
        <w:rPr>
          <w:rFonts w:ascii="Book Antiqua" w:hAnsi="Book Antiqua"/>
        </w:rPr>
        <w:t xml:space="preserve">post-OLT </w:t>
      </w:r>
      <w:r w:rsidR="008D5FAD" w:rsidRPr="008A2C60">
        <w:rPr>
          <w:rFonts w:ascii="Book Antiqua" w:hAnsi="Book Antiqua"/>
        </w:rPr>
        <w:t xml:space="preserve">if a patient’s </w:t>
      </w:r>
      <w:r w:rsidR="00C718F5">
        <w:rPr>
          <w:rFonts w:ascii="Book Antiqua" w:hAnsi="Book Antiqua" w:hint="eastAsia"/>
          <w:lang w:eastAsia="zh-CN"/>
        </w:rPr>
        <w:t xml:space="preserve">BG </w:t>
      </w:r>
      <w:r w:rsidR="004831FB" w:rsidRPr="008A2C60">
        <w:rPr>
          <w:rFonts w:ascii="Book Antiqua" w:hAnsi="Book Antiqua"/>
        </w:rPr>
        <w:t xml:space="preserve">was greater than </w:t>
      </w:r>
      <w:r w:rsidR="008D5FAD" w:rsidRPr="008A2C60">
        <w:rPr>
          <w:rFonts w:ascii="Book Antiqua" w:hAnsi="Book Antiqua"/>
        </w:rPr>
        <w:t>130 mg/dL</w:t>
      </w:r>
      <w:r w:rsidR="004831FB" w:rsidRPr="008A2C60">
        <w:rPr>
          <w:rFonts w:ascii="Book Antiqua" w:hAnsi="Book Antiqua"/>
        </w:rPr>
        <w:t>. The insulin infusion would be</w:t>
      </w:r>
      <w:r w:rsidR="00937B00" w:rsidRPr="008A2C60">
        <w:rPr>
          <w:rFonts w:ascii="Book Antiqua" w:hAnsi="Book Antiqua"/>
        </w:rPr>
        <w:t xml:space="preserve"> titrate</w:t>
      </w:r>
      <w:r w:rsidR="004831FB" w:rsidRPr="008A2C60">
        <w:rPr>
          <w:rFonts w:ascii="Book Antiqua" w:hAnsi="Book Antiqua"/>
        </w:rPr>
        <w:t>d</w:t>
      </w:r>
      <w:r w:rsidR="00937B00" w:rsidRPr="008A2C60">
        <w:rPr>
          <w:rFonts w:ascii="Book Antiqua" w:hAnsi="Book Antiqua"/>
        </w:rPr>
        <w:t xml:space="preserve"> as necessary </w:t>
      </w:r>
      <w:r w:rsidR="004B5C21" w:rsidRPr="008A2C60">
        <w:rPr>
          <w:rFonts w:ascii="Book Antiqua" w:hAnsi="Book Antiqua"/>
        </w:rPr>
        <w:t xml:space="preserve">(based on hourly readings) </w:t>
      </w:r>
      <w:r w:rsidR="00937B00" w:rsidRPr="008A2C60">
        <w:rPr>
          <w:rFonts w:ascii="Book Antiqua" w:hAnsi="Book Antiqua"/>
        </w:rPr>
        <w:t>to reach a target BG goal of 80-130 mg/dL</w:t>
      </w:r>
      <w:r w:rsidR="008D5FAD" w:rsidRPr="008A2C60">
        <w:rPr>
          <w:rFonts w:ascii="Book Antiqua" w:hAnsi="Book Antiqua"/>
        </w:rPr>
        <w:t>.</w:t>
      </w:r>
      <w:r w:rsidR="00CE3AFE">
        <w:rPr>
          <w:rFonts w:ascii="Book Antiqua" w:hAnsi="Book Antiqua"/>
        </w:rPr>
        <w:t xml:space="preserve"> </w:t>
      </w:r>
      <w:r w:rsidR="00C9740F" w:rsidRPr="008A2C60">
        <w:rPr>
          <w:rFonts w:ascii="Book Antiqua" w:hAnsi="Book Antiqua"/>
        </w:rPr>
        <w:t xml:space="preserve">The </w:t>
      </w:r>
      <w:r w:rsidR="00C9740F" w:rsidRPr="008A2C60">
        <w:rPr>
          <w:rFonts w:ascii="Book Antiqua" w:hAnsi="Book Antiqua"/>
        </w:rPr>
        <w:lastRenderedPageBreak/>
        <w:t xml:space="preserve">primary </w:t>
      </w:r>
      <w:r w:rsidR="00F054B5" w:rsidRPr="008A2C60">
        <w:rPr>
          <w:rFonts w:ascii="Book Antiqua" w:hAnsi="Book Antiqua"/>
        </w:rPr>
        <w:t>purpose</w:t>
      </w:r>
      <w:r w:rsidR="00C9740F" w:rsidRPr="008A2C60">
        <w:rPr>
          <w:rFonts w:ascii="Book Antiqua" w:hAnsi="Book Antiqua"/>
        </w:rPr>
        <w:t xml:space="preserve"> of </w:t>
      </w:r>
      <w:r w:rsidR="004831FB" w:rsidRPr="008A2C60">
        <w:rPr>
          <w:rFonts w:ascii="Book Antiqua" w:hAnsi="Book Antiqua"/>
        </w:rPr>
        <w:t xml:space="preserve">this </w:t>
      </w:r>
      <w:r w:rsidR="00C9740F" w:rsidRPr="008A2C60">
        <w:rPr>
          <w:rFonts w:ascii="Book Antiqua" w:hAnsi="Book Antiqua"/>
        </w:rPr>
        <w:t xml:space="preserve">quality improvement study </w:t>
      </w:r>
      <w:r w:rsidR="00F054B5" w:rsidRPr="008A2C60">
        <w:rPr>
          <w:rFonts w:ascii="Book Antiqua" w:hAnsi="Book Antiqua"/>
        </w:rPr>
        <w:t>wa</w:t>
      </w:r>
      <w:r w:rsidR="004B5C21" w:rsidRPr="008A2C60">
        <w:rPr>
          <w:rFonts w:ascii="Book Antiqua" w:hAnsi="Book Antiqua"/>
        </w:rPr>
        <w:t>s to identify the percentage of all measurements that were in the hypoglycemic (BG &lt; 60 mg/dL)</w:t>
      </w:r>
      <w:r w:rsidR="003931E6" w:rsidRPr="008A2C60">
        <w:rPr>
          <w:rFonts w:ascii="Book Antiqua" w:hAnsi="Book Antiqua"/>
        </w:rPr>
        <w:t xml:space="preserve"> or severely hyperglycemia</w:t>
      </w:r>
      <w:r w:rsidR="004B5C21" w:rsidRPr="008A2C60">
        <w:rPr>
          <w:rFonts w:ascii="Book Antiqua" w:hAnsi="Book Antiqua"/>
        </w:rPr>
        <w:t xml:space="preserve"> (BG &gt; 250 mg/dL)</w:t>
      </w:r>
      <w:r w:rsidR="003931E6" w:rsidRPr="008A2C60">
        <w:rPr>
          <w:rFonts w:ascii="Book Antiqua" w:hAnsi="Book Antiqua"/>
        </w:rPr>
        <w:t xml:space="preserve"> range</w:t>
      </w:r>
      <w:r w:rsidR="003F5D09" w:rsidRPr="008A2C60">
        <w:rPr>
          <w:rFonts w:ascii="Book Antiqua" w:hAnsi="Book Antiqua"/>
        </w:rPr>
        <w:t>.</w:t>
      </w:r>
      <w:r w:rsidR="00CE3AFE">
        <w:rPr>
          <w:rFonts w:ascii="Book Antiqua" w:hAnsi="Book Antiqua"/>
        </w:rPr>
        <w:t xml:space="preserve"> </w:t>
      </w:r>
      <w:r w:rsidR="003F5D09" w:rsidRPr="008A2C60">
        <w:rPr>
          <w:rFonts w:ascii="Book Antiqua" w:hAnsi="Book Antiqua"/>
        </w:rPr>
        <w:t xml:space="preserve">These measurements were compared between pre-protocol and protocol </w:t>
      </w:r>
      <w:r w:rsidR="008440B2" w:rsidRPr="008A2C60">
        <w:rPr>
          <w:rFonts w:ascii="Book Antiqua" w:hAnsi="Book Antiqua"/>
        </w:rPr>
        <w:t>groups</w:t>
      </w:r>
      <w:r w:rsidR="00D20A9E" w:rsidRPr="008A2C60">
        <w:rPr>
          <w:rFonts w:ascii="Book Antiqua" w:hAnsi="Book Antiqua"/>
        </w:rPr>
        <w:t>.</w:t>
      </w:r>
      <w:r w:rsidR="00CE3AFE">
        <w:rPr>
          <w:rFonts w:ascii="Book Antiqua" w:hAnsi="Book Antiqua"/>
        </w:rPr>
        <w:t xml:space="preserve"> </w:t>
      </w:r>
      <w:r w:rsidR="00D20A9E" w:rsidRPr="008A2C60">
        <w:rPr>
          <w:rFonts w:ascii="Book Antiqua" w:hAnsi="Book Antiqua"/>
        </w:rPr>
        <w:t>A total of 158 patients were available for analysis (</w:t>
      </w:r>
      <w:r w:rsidR="007A3E9A" w:rsidRPr="007A3E9A">
        <w:rPr>
          <w:rFonts w:ascii="Book Antiqua" w:hAnsi="Book Antiqua"/>
          <w:i/>
        </w:rPr>
        <w:t xml:space="preserve">n = </w:t>
      </w:r>
      <w:r w:rsidR="00D20A9E" w:rsidRPr="008A2C60">
        <w:rPr>
          <w:rFonts w:ascii="Book Antiqua" w:hAnsi="Book Antiqua"/>
        </w:rPr>
        <w:t xml:space="preserve">84 in the pre-protocol group; </w:t>
      </w:r>
      <w:r w:rsidR="007A3E9A" w:rsidRPr="007A3E9A">
        <w:rPr>
          <w:rFonts w:ascii="Book Antiqua" w:hAnsi="Book Antiqua"/>
          <w:i/>
        </w:rPr>
        <w:t xml:space="preserve">n = </w:t>
      </w:r>
      <w:r w:rsidR="00D20A9E" w:rsidRPr="008A2C60">
        <w:rPr>
          <w:rFonts w:ascii="Book Antiqua" w:hAnsi="Book Antiqua"/>
        </w:rPr>
        <w:t>77 in protocol group)</w:t>
      </w:r>
      <w:r w:rsidR="00C70CB4" w:rsidRPr="008A2C60">
        <w:rPr>
          <w:rFonts w:ascii="Book Antiqua" w:hAnsi="Book Antiqua"/>
        </w:rPr>
        <w:t>.</w:t>
      </w:r>
      <w:r w:rsidR="00CE3AFE">
        <w:rPr>
          <w:rFonts w:ascii="Book Antiqua" w:hAnsi="Book Antiqua"/>
        </w:rPr>
        <w:t xml:space="preserve"> </w:t>
      </w:r>
      <w:r w:rsidR="00602195" w:rsidRPr="008A2C60">
        <w:rPr>
          <w:rFonts w:ascii="Book Antiqua" w:hAnsi="Book Antiqua"/>
        </w:rPr>
        <w:t>S</w:t>
      </w:r>
      <w:r w:rsidR="00C70CB4" w:rsidRPr="008A2C60">
        <w:rPr>
          <w:rFonts w:ascii="Book Antiqua" w:hAnsi="Book Antiqua"/>
        </w:rPr>
        <w:t xml:space="preserve">evere hyperglycemia was observed in 90 of the 581 measurements (15.5%) </w:t>
      </w:r>
      <w:r w:rsidR="004831FB" w:rsidRPr="008A2C60">
        <w:rPr>
          <w:rFonts w:ascii="Book Antiqua" w:hAnsi="Book Antiqua"/>
        </w:rPr>
        <w:t xml:space="preserve">in the pre-protocol group </w:t>
      </w:r>
      <w:r w:rsidR="00C70CB4" w:rsidRPr="008A2C60">
        <w:rPr>
          <w:rFonts w:ascii="Book Antiqua" w:hAnsi="Book Antiqua"/>
        </w:rPr>
        <w:t xml:space="preserve">and 15 of the 539 (2.8%) </w:t>
      </w:r>
      <w:r w:rsidR="004831FB" w:rsidRPr="008A2C60">
        <w:rPr>
          <w:rFonts w:ascii="Book Antiqua" w:hAnsi="Book Antiqua"/>
        </w:rPr>
        <w:t>in the</w:t>
      </w:r>
      <w:r w:rsidR="00C70CB4" w:rsidRPr="008A2C60">
        <w:rPr>
          <w:rFonts w:ascii="Book Antiqua" w:hAnsi="Book Antiqua"/>
        </w:rPr>
        <w:t xml:space="preserve"> protocol group (OR for protocol group 0.16; CI</w:t>
      </w:r>
      <w:r w:rsidR="00C10193">
        <w:rPr>
          <w:rFonts w:ascii="Book Antiqua" w:hAnsi="Book Antiqua" w:hint="eastAsia"/>
          <w:lang w:eastAsia="zh-CN"/>
        </w:rPr>
        <w:t>:</w:t>
      </w:r>
      <w:r w:rsidR="00602195" w:rsidRPr="008A2C60">
        <w:rPr>
          <w:rFonts w:ascii="Book Antiqua" w:hAnsi="Book Antiqua"/>
        </w:rPr>
        <w:t xml:space="preserve"> 0.09</w:t>
      </w:r>
      <w:r w:rsidR="00C10193">
        <w:rPr>
          <w:rFonts w:ascii="Book Antiqua" w:hAnsi="Book Antiqua" w:hint="eastAsia"/>
          <w:lang w:eastAsia="zh-CN"/>
        </w:rPr>
        <w:t>-</w:t>
      </w:r>
      <w:r w:rsidR="00602195" w:rsidRPr="008A2C60">
        <w:rPr>
          <w:rFonts w:ascii="Book Antiqua" w:hAnsi="Book Antiqua"/>
        </w:rPr>
        <w:t>0.28).</w:t>
      </w:r>
      <w:r w:rsidR="00CE3AFE">
        <w:rPr>
          <w:rFonts w:ascii="Book Antiqua" w:hAnsi="Book Antiqua"/>
        </w:rPr>
        <w:t xml:space="preserve"> </w:t>
      </w:r>
      <w:r w:rsidR="00602195" w:rsidRPr="008A2C60">
        <w:rPr>
          <w:rFonts w:ascii="Book Antiqua" w:hAnsi="Book Antiqua"/>
        </w:rPr>
        <w:t>S</w:t>
      </w:r>
      <w:r w:rsidR="00C43A73" w:rsidRPr="008A2C60">
        <w:rPr>
          <w:rFonts w:ascii="Book Antiqua" w:hAnsi="Book Antiqua"/>
        </w:rPr>
        <w:t>tatistic</w:t>
      </w:r>
      <w:r w:rsidR="00602195" w:rsidRPr="008A2C60">
        <w:rPr>
          <w:rFonts w:ascii="Book Antiqua" w:hAnsi="Book Antiqua"/>
        </w:rPr>
        <w:t xml:space="preserve">al significance, however, </w:t>
      </w:r>
      <w:r w:rsidR="00C43A73" w:rsidRPr="008A2C60">
        <w:rPr>
          <w:rFonts w:ascii="Book Antiqua" w:hAnsi="Book Antiqua"/>
        </w:rPr>
        <w:t>was not seen in</w:t>
      </w:r>
      <w:r w:rsidR="00273C15" w:rsidRPr="008A2C60">
        <w:rPr>
          <w:rFonts w:ascii="Book Antiqua" w:hAnsi="Book Antiqua"/>
        </w:rPr>
        <w:t xml:space="preserve"> </w:t>
      </w:r>
      <w:r w:rsidR="00C718F5">
        <w:rPr>
          <w:rFonts w:ascii="Book Antiqua" w:hAnsi="Book Antiqua" w:hint="eastAsia"/>
          <w:lang w:eastAsia="zh-CN"/>
        </w:rPr>
        <w:t>one</w:t>
      </w:r>
      <w:r w:rsidR="00273C15" w:rsidRPr="008A2C60">
        <w:rPr>
          <w:rFonts w:ascii="Book Antiqua" w:hAnsi="Book Antiqua"/>
        </w:rPr>
        <w:t xml:space="preserve">-year </w:t>
      </w:r>
      <w:r w:rsidR="00C43A73" w:rsidRPr="008A2C60">
        <w:rPr>
          <w:rFonts w:ascii="Book Antiqua" w:hAnsi="Book Antiqua"/>
        </w:rPr>
        <w:t>mortality between the p</w:t>
      </w:r>
      <w:r w:rsidR="00273C15" w:rsidRPr="008A2C60">
        <w:rPr>
          <w:rFonts w:ascii="Book Antiqua" w:hAnsi="Book Antiqua"/>
        </w:rPr>
        <w:t xml:space="preserve">rotocol group </w:t>
      </w:r>
      <w:r w:rsidR="00C43A73" w:rsidRPr="008A2C60">
        <w:rPr>
          <w:rFonts w:ascii="Book Antiqua" w:hAnsi="Book Antiqua"/>
        </w:rPr>
        <w:t xml:space="preserve">and the pre-protocol group. </w:t>
      </w:r>
      <w:r w:rsidR="004831FB" w:rsidRPr="008A2C60">
        <w:rPr>
          <w:rFonts w:ascii="Book Antiqua" w:hAnsi="Book Antiqua"/>
        </w:rPr>
        <w:t xml:space="preserve">Four </w:t>
      </w:r>
      <w:r w:rsidR="00C43A73" w:rsidRPr="008A2C60">
        <w:rPr>
          <w:rFonts w:ascii="Book Antiqua" w:hAnsi="Book Antiqua"/>
        </w:rPr>
        <w:t xml:space="preserve">out of </w:t>
      </w:r>
      <w:r w:rsidR="00273C15" w:rsidRPr="008A2C60">
        <w:rPr>
          <w:rFonts w:ascii="Book Antiqua" w:hAnsi="Book Antiqua"/>
        </w:rPr>
        <w:t>75 patients (5.3%)</w:t>
      </w:r>
      <w:r w:rsidR="00C43A73" w:rsidRPr="008A2C60">
        <w:rPr>
          <w:rFonts w:ascii="Book Antiqua" w:hAnsi="Book Antiqua"/>
        </w:rPr>
        <w:t xml:space="preserve"> </w:t>
      </w:r>
      <w:r w:rsidR="00602195" w:rsidRPr="008A2C60">
        <w:rPr>
          <w:rFonts w:ascii="Book Antiqua" w:hAnsi="Book Antiqua"/>
        </w:rPr>
        <w:t xml:space="preserve">died </w:t>
      </w:r>
      <w:r w:rsidR="00C43A73" w:rsidRPr="008A2C60">
        <w:rPr>
          <w:rFonts w:ascii="Book Antiqua" w:hAnsi="Book Antiqua"/>
        </w:rPr>
        <w:t xml:space="preserve">in </w:t>
      </w:r>
      <w:r w:rsidR="004831FB" w:rsidRPr="008A2C60">
        <w:rPr>
          <w:rFonts w:ascii="Book Antiqua" w:hAnsi="Book Antiqua"/>
        </w:rPr>
        <w:t xml:space="preserve">the </w:t>
      </w:r>
      <w:r w:rsidR="00C43A73" w:rsidRPr="008A2C60">
        <w:rPr>
          <w:rFonts w:ascii="Book Antiqua" w:hAnsi="Book Antiqua"/>
        </w:rPr>
        <w:t>protocol group</w:t>
      </w:r>
      <w:r w:rsidR="00273C15" w:rsidRPr="008A2C60">
        <w:rPr>
          <w:rFonts w:ascii="Book Antiqua" w:hAnsi="Book Antiqua"/>
        </w:rPr>
        <w:t>, compared</w:t>
      </w:r>
      <w:r w:rsidR="00C43A73" w:rsidRPr="008A2C60">
        <w:rPr>
          <w:rFonts w:ascii="Book Antiqua" w:hAnsi="Book Antiqua"/>
        </w:rPr>
        <w:t xml:space="preserve"> </w:t>
      </w:r>
      <w:r w:rsidR="004831FB" w:rsidRPr="008A2C60">
        <w:rPr>
          <w:rFonts w:ascii="Book Antiqua" w:hAnsi="Book Antiqua"/>
        </w:rPr>
        <w:t xml:space="preserve">with </w:t>
      </w:r>
      <w:r w:rsidR="00C43A73" w:rsidRPr="008A2C60">
        <w:rPr>
          <w:rFonts w:ascii="Book Antiqua" w:hAnsi="Book Antiqua"/>
        </w:rPr>
        <w:t xml:space="preserve">5 out of </w:t>
      </w:r>
      <w:r w:rsidR="00273C15" w:rsidRPr="008A2C60">
        <w:rPr>
          <w:rFonts w:ascii="Book Antiqua" w:hAnsi="Book Antiqua"/>
        </w:rPr>
        <w:t xml:space="preserve">83 </w:t>
      </w:r>
      <w:r w:rsidR="00C43A73" w:rsidRPr="008A2C60">
        <w:rPr>
          <w:rFonts w:ascii="Book Antiqua" w:hAnsi="Book Antiqua"/>
        </w:rPr>
        <w:t>patients (6.0%) in</w:t>
      </w:r>
      <w:r w:rsidR="00273C15" w:rsidRPr="008A2C60">
        <w:rPr>
          <w:rFonts w:ascii="Book Antiqua" w:hAnsi="Book Antiqua"/>
        </w:rPr>
        <w:t xml:space="preserve"> the pre-protocol group (OR for death in the </w:t>
      </w:r>
      <w:r w:rsidR="004831FB" w:rsidRPr="008A2C60">
        <w:rPr>
          <w:rFonts w:ascii="Book Antiqua" w:hAnsi="Book Antiqua"/>
        </w:rPr>
        <w:t>p</w:t>
      </w:r>
      <w:r w:rsidR="00C10193">
        <w:rPr>
          <w:rFonts w:ascii="Book Antiqua" w:hAnsi="Book Antiqua"/>
        </w:rPr>
        <w:t>rotocol group, 0.89; 95%</w:t>
      </w:r>
      <w:r w:rsidR="00273C15" w:rsidRPr="008A2C60">
        <w:rPr>
          <w:rFonts w:ascii="Book Antiqua" w:hAnsi="Book Antiqua"/>
        </w:rPr>
        <w:t>CI</w:t>
      </w:r>
      <w:r w:rsidR="00C10193">
        <w:rPr>
          <w:rFonts w:ascii="Book Antiqua" w:hAnsi="Book Antiqua" w:hint="eastAsia"/>
          <w:lang w:eastAsia="zh-CN"/>
        </w:rPr>
        <w:t>:</w:t>
      </w:r>
      <w:r w:rsidR="00273C15" w:rsidRPr="008A2C60">
        <w:rPr>
          <w:rFonts w:ascii="Book Antiqua" w:hAnsi="Book Antiqua"/>
        </w:rPr>
        <w:t xml:space="preserve"> 0.23</w:t>
      </w:r>
      <w:r w:rsidR="00C718F5">
        <w:rPr>
          <w:rFonts w:ascii="Book Antiqua" w:hAnsi="Book Antiqua" w:hint="eastAsia"/>
          <w:lang w:eastAsia="zh-CN"/>
        </w:rPr>
        <w:t>-</w:t>
      </w:r>
      <w:r w:rsidR="00273C15" w:rsidRPr="008A2C60">
        <w:rPr>
          <w:rFonts w:ascii="Book Antiqua" w:hAnsi="Book Antiqua"/>
        </w:rPr>
        <w:t xml:space="preserve">3.42; </w:t>
      </w:r>
      <w:r w:rsidR="00273C15" w:rsidRPr="00C10193">
        <w:rPr>
          <w:rFonts w:ascii="Book Antiqua" w:hAnsi="Book Antiqua"/>
          <w:i/>
        </w:rPr>
        <w:t>P</w:t>
      </w:r>
      <w:r w:rsidR="00273C15" w:rsidRPr="008A2C60">
        <w:rPr>
          <w:rFonts w:ascii="Book Antiqua" w:hAnsi="Book Antiqua"/>
        </w:rPr>
        <w:t xml:space="preserve"> = </w:t>
      </w:r>
      <w:r w:rsidR="00C10193">
        <w:rPr>
          <w:rFonts w:ascii="Book Antiqua" w:hAnsi="Book Antiqua" w:hint="eastAsia"/>
          <w:lang w:eastAsia="zh-CN"/>
        </w:rPr>
        <w:t>0</w:t>
      </w:r>
      <w:r w:rsidR="00273C15" w:rsidRPr="008A2C60">
        <w:rPr>
          <w:rFonts w:ascii="Book Antiqua" w:hAnsi="Book Antiqua"/>
        </w:rPr>
        <w:t>.86)</w:t>
      </w:r>
      <w:r w:rsidR="00AC3882" w:rsidRPr="008A2C60">
        <w:rPr>
          <w:rFonts w:ascii="Book Antiqua" w:hAnsi="Book Antiqua"/>
        </w:rPr>
        <w:t>.</w:t>
      </w:r>
      <w:r w:rsidR="00CE3AFE">
        <w:rPr>
          <w:rFonts w:ascii="Book Antiqua" w:hAnsi="Book Antiqua"/>
        </w:rPr>
        <w:t xml:space="preserve"> </w:t>
      </w:r>
    </w:p>
    <w:p w14:paraId="27482EF7" w14:textId="4D8A5169" w:rsidR="00E626B1" w:rsidRPr="008A2C60" w:rsidRDefault="005E1E59" w:rsidP="00C26D7B">
      <w:pPr>
        <w:spacing w:line="360" w:lineRule="auto"/>
        <w:ind w:firstLineChars="100" w:firstLine="240"/>
        <w:contextualSpacing/>
        <w:jc w:val="both"/>
        <w:rPr>
          <w:rFonts w:ascii="Book Antiqua" w:hAnsi="Book Antiqua"/>
        </w:rPr>
      </w:pPr>
      <w:r w:rsidRPr="008A2C60">
        <w:rPr>
          <w:rFonts w:ascii="Book Antiqua" w:hAnsi="Book Antiqua"/>
        </w:rPr>
        <w:t xml:space="preserve">Linder </w:t>
      </w:r>
      <w:r w:rsidR="00EE3848" w:rsidRPr="00EE3848">
        <w:rPr>
          <w:rFonts w:ascii="Book Antiqua" w:hAnsi="Book Antiqua"/>
          <w:i/>
        </w:rPr>
        <w:t>et al</w:t>
      </w:r>
      <w:r w:rsidR="00C718F5" w:rsidRPr="00C10193">
        <w:rPr>
          <w:rFonts w:ascii="Book Antiqua" w:hAnsi="Book Antiqua"/>
        </w:rPr>
        <w:fldChar w:fldCharType="begin" w:fldLock="1"/>
      </w:r>
      <w:r w:rsidR="00C718F5" w:rsidRPr="00C10193">
        <w:rPr>
          <w:rFonts w:ascii="Book Antiqua" w:hAnsi="Book Antiqua"/>
        </w:rPr>
        <w:instrText>ADDIN CSL_CITATION { "citationItems" : [ { "id" : "ITEM-1", "itemData" : { "DOI" : "10.1177/1060028015627662", "ISSN" : "1060-0280", "author" : [ { "dropping-particle" : "", "family" : "Linder", "given" : "K E", "non-dropping-particle" : "", "parse-names" : false, "suffix" : "" }, { "dropping-particle" : "", "family" : "Baker", "given" : "W L", "non-dropping-particle" : "", "parse-names" : false, "suffix" : "" }, { "dropping-particle" : "", "family" : "Rochon", "given" : "C", "non-dropping-particle" : "", "parse-names" : false, "suffix" : "" }, { "dropping-particle" : "", "family" : "May", "given" : "S T", "non-dropping-particle" : "", "parse-names" : false, "suffix" : "" }, { "dropping-particle" : "", "family" : "Sheiner", "given" : "P A", "non-dropping-particle" : "", "parse-names" : false, "suffix" : "" }, { "dropping-particle" : "", "family" : "Martin", "given" : "S T", "non-dropping-particle" : "", "parse-names" : false, "suffix" : "" } ], "container-title" : "Annals of Pharmacotherapy", "id" : "ITEM-1", "issued" : { "date-parts" : [ [ "2016" ] ] }, "title" : "Evaluation of Posttransplantation Diabetes Mellitus After Liver Transplantation: Assessment of Insulin Administration as a Risk Factor", "type" : "article-journal" }, "uris" : [ "http://www.mendeley.com/documents/?uuid=a904ad99-f4a7-4433-b70a-bd175cdafaf6" ] } ], "mendeley" : { "formattedCitation" : "&lt;sup&gt;[18]&lt;/sup&gt;", "plainTextFormattedCitation" : "[18]", "previouslyFormattedCitation" : "&lt;sup&gt;[18]&lt;/sup&gt;" }, "properties" : {  }, "schema" : "https://github.com/citation-style-language/schema/raw/master/csl-citation.json" }</w:instrText>
      </w:r>
      <w:r w:rsidR="00C718F5" w:rsidRPr="00C10193">
        <w:rPr>
          <w:rFonts w:ascii="Book Antiqua" w:hAnsi="Book Antiqua"/>
        </w:rPr>
        <w:fldChar w:fldCharType="separate"/>
      </w:r>
      <w:r w:rsidR="00C718F5" w:rsidRPr="00C10193">
        <w:rPr>
          <w:rFonts w:ascii="Book Antiqua" w:hAnsi="Book Antiqua"/>
          <w:noProof/>
          <w:vertAlign w:val="superscript"/>
        </w:rPr>
        <w:t>[18]</w:t>
      </w:r>
      <w:r w:rsidR="00C718F5" w:rsidRPr="00C10193">
        <w:rPr>
          <w:rFonts w:ascii="Book Antiqua" w:hAnsi="Book Antiqua"/>
        </w:rPr>
        <w:fldChar w:fldCharType="end"/>
      </w:r>
      <w:r w:rsidR="00C10193">
        <w:rPr>
          <w:rFonts w:ascii="Book Antiqua" w:hAnsi="Book Antiqua" w:hint="eastAsia"/>
          <w:lang w:eastAsia="zh-CN"/>
        </w:rPr>
        <w:t xml:space="preserve"> </w:t>
      </w:r>
      <w:r w:rsidRPr="008A2C60">
        <w:rPr>
          <w:rFonts w:ascii="Book Antiqua" w:hAnsi="Book Antiqua"/>
        </w:rPr>
        <w:t xml:space="preserve">evaluated the insulin burden between liver transplant patients </w:t>
      </w:r>
      <w:r w:rsidR="002B51CC" w:rsidRPr="008A2C60">
        <w:rPr>
          <w:rFonts w:ascii="Book Antiqua" w:hAnsi="Book Antiqua"/>
        </w:rPr>
        <w:t xml:space="preserve">that </w:t>
      </w:r>
      <w:r w:rsidRPr="008A2C60">
        <w:rPr>
          <w:rFonts w:ascii="Book Antiqua" w:hAnsi="Book Antiqua"/>
        </w:rPr>
        <w:t>develop</w:t>
      </w:r>
      <w:r w:rsidR="002B51CC" w:rsidRPr="008A2C60">
        <w:rPr>
          <w:rFonts w:ascii="Book Antiqua" w:hAnsi="Book Antiqua"/>
        </w:rPr>
        <w:t>ed</w:t>
      </w:r>
      <w:r w:rsidRPr="008A2C60">
        <w:rPr>
          <w:rFonts w:ascii="Book Antiqua" w:hAnsi="Book Antiqua"/>
        </w:rPr>
        <w:t xml:space="preserve"> PTDM </w:t>
      </w:r>
      <w:r w:rsidR="00944790" w:rsidRPr="00944790">
        <w:rPr>
          <w:rFonts w:ascii="Book Antiqua" w:hAnsi="Book Antiqua"/>
          <w:i/>
        </w:rPr>
        <w:t>vs</w:t>
      </w:r>
      <w:r w:rsidRPr="008A2C60">
        <w:rPr>
          <w:rFonts w:ascii="Book Antiqua" w:hAnsi="Book Antiqua"/>
        </w:rPr>
        <w:t xml:space="preserve"> patients </w:t>
      </w:r>
      <w:r w:rsidR="002B51CC" w:rsidRPr="008A2C60">
        <w:rPr>
          <w:rFonts w:ascii="Book Antiqua" w:hAnsi="Book Antiqua"/>
        </w:rPr>
        <w:t xml:space="preserve">that </w:t>
      </w:r>
      <w:r w:rsidRPr="008A2C60">
        <w:rPr>
          <w:rFonts w:ascii="Book Antiqua" w:hAnsi="Book Antiqua"/>
        </w:rPr>
        <w:t>d</w:t>
      </w:r>
      <w:r w:rsidR="002B51CC" w:rsidRPr="008A2C60">
        <w:rPr>
          <w:rFonts w:ascii="Book Antiqua" w:hAnsi="Book Antiqua"/>
        </w:rPr>
        <w:t>id</w:t>
      </w:r>
      <w:r w:rsidRPr="008A2C60">
        <w:rPr>
          <w:rFonts w:ascii="Book Antiqua" w:hAnsi="Book Antiqua"/>
        </w:rPr>
        <w:t xml:space="preserve"> not.</w:t>
      </w:r>
      <w:r w:rsidR="00CE3AFE">
        <w:rPr>
          <w:rFonts w:ascii="Book Antiqua" w:hAnsi="Book Antiqua"/>
        </w:rPr>
        <w:t xml:space="preserve"> </w:t>
      </w:r>
      <w:r w:rsidRPr="008A2C60">
        <w:rPr>
          <w:rFonts w:ascii="Book Antiqua" w:hAnsi="Book Antiqua"/>
        </w:rPr>
        <w:t>BG levels between the</w:t>
      </w:r>
      <w:r w:rsidR="00C16CF3" w:rsidRPr="008A2C60">
        <w:rPr>
          <w:rFonts w:ascii="Book Antiqua" w:hAnsi="Book Antiqua"/>
        </w:rPr>
        <w:t xml:space="preserve">se two groups were reported as well as </w:t>
      </w:r>
      <w:r w:rsidR="004831FB" w:rsidRPr="008A2C60">
        <w:rPr>
          <w:rFonts w:ascii="Book Antiqua" w:hAnsi="Book Antiqua"/>
        </w:rPr>
        <w:t xml:space="preserve">mortality </w:t>
      </w:r>
      <w:r w:rsidR="00C16CF3" w:rsidRPr="008A2C60">
        <w:rPr>
          <w:rFonts w:ascii="Book Antiqua" w:hAnsi="Book Antiqua"/>
        </w:rPr>
        <w:t>rates.</w:t>
      </w:r>
      <w:r w:rsidR="00CE3AFE">
        <w:rPr>
          <w:rFonts w:ascii="Book Antiqua" w:hAnsi="Book Antiqua"/>
        </w:rPr>
        <w:t xml:space="preserve"> </w:t>
      </w:r>
      <w:r w:rsidR="008C32BB" w:rsidRPr="008A2C60">
        <w:rPr>
          <w:rFonts w:ascii="Book Antiqua" w:hAnsi="Book Antiqua"/>
        </w:rPr>
        <w:t>A total of 114 patients</w:t>
      </w:r>
      <w:r w:rsidR="003252C2" w:rsidRPr="008A2C60">
        <w:rPr>
          <w:rFonts w:ascii="Book Antiqua" w:hAnsi="Book Antiqua"/>
        </w:rPr>
        <w:t xml:space="preserve"> were retrospectively analyzed and</w:t>
      </w:r>
      <w:r w:rsidR="008C32BB" w:rsidRPr="008A2C60">
        <w:rPr>
          <w:rFonts w:ascii="Book Antiqua" w:hAnsi="Book Antiqua"/>
        </w:rPr>
        <w:t xml:space="preserve"> </w:t>
      </w:r>
      <w:r w:rsidR="002B51CC" w:rsidRPr="008A2C60">
        <w:rPr>
          <w:rFonts w:ascii="Book Antiqua" w:hAnsi="Book Antiqua"/>
        </w:rPr>
        <w:t xml:space="preserve">while postoperative BG levels were similar in the ICU setting between the two groups, </w:t>
      </w:r>
      <w:r w:rsidR="004831FB" w:rsidRPr="008A2C60">
        <w:rPr>
          <w:rFonts w:ascii="Book Antiqua" w:hAnsi="Book Antiqua"/>
        </w:rPr>
        <w:t xml:space="preserve">a </w:t>
      </w:r>
      <w:r w:rsidR="003252C2" w:rsidRPr="008A2C60">
        <w:rPr>
          <w:rFonts w:ascii="Book Antiqua" w:hAnsi="Book Antiqua"/>
        </w:rPr>
        <w:t>s</w:t>
      </w:r>
      <w:r w:rsidR="00C16CF3" w:rsidRPr="008A2C60">
        <w:rPr>
          <w:rFonts w:ascii="Book Antiqua" w:hAnsi="Book Antiqua"/>
        </w:rPr>
        <w:t>tatistical</w:t>
      </w:r>
      <w:r w:rsidR="00301128" w:rsidRPr="008A2C60">
        <w:rPr>
          <w:rFonts w:ascii="Book Antiqua" w:hAnsi="Book Antiqua"/>
        </w:rPr>
        <w:t>ly</w:t>
      </w:r>
      <w:r w:rsidR="00C16CF3" w:rsidRPr="008A2C60">
        <w:rPr>
          <w:rFonts w:ascii="Book Antiqua" w:hAnsi="Book Antiqua"/>
        </w:rPr>
        <w:t xml:space="preserve"> si</w:t>
      </w:r>
      <w:r w:rsidR="00301128" w:rsidRPr="008A2C60">
        <w:rPr>
          <w:rFonts w:ascii="Book Antiqua" w:hAnsi="Book Antiqua"/>
        </w:rPr>
        <w:t>gnificant difference in floor</w:t>
      </w:r>
      <w:r w:rsidR="00CC5D35" w:rsidRPr="008A2C60">
        <w:rPr>
          <w:rFonts w:ascii="Book Antiqua" w:hAnsi="Book Antiqua"/>
        </w:rPr>
        <w:t xml:space="preserve"> (non-ICU)</w:t>
      </w:r>
      <w:r w:rsidR="00301128" w:rsidRPr="008A2C60">
        <w:rPr>
          <w:rFonts w:ascii="Book Antiqua" w:hAnsi="Book Antiqua"/>
        </w:rPr>
        <w:t xml:space="preserve"> average</w:t>
      </w:r>
      <w:r w:rsidR="008102F7" w:rsidRPr="008A2C60">
        <w:rPr>
          <w:rFonts w:ascii="Book Antiqua" w:hAnsi="Book Antiqua"/>
        </w:rPr>
        <w:t xml:space="preserve"> BG levels (mg/dL) was seen between patients that developed PTDM and those that did not (184.7 </w:t>
      </w:r>
      <w:bookmarkStart w:id="192" w:name="OLE_LINK1594"/>
      <w:bookmarkStart w:id="193" w:name="OLE_LINK1595"/>
      <w:r w:rsidR="00C10193" w:rsidRPr="00C10193">
        <w:rPr>
          <w:rFonts w:ascii="Book Antiqua" w:hAnsi="Book Antiqua"/>
        </w:rPr>
        <w:t>±</w:t>
      </w:r>
      <w:bookmarkEnd w:id="192"/>
      <w:bookmarkEnd w:id="193"/>
      <w:r w:rsidR="008102F7" w:rsidRPr="00C10193">
        <w:rPr>
          <w:rFonts w:ascii="Book Antiqua" w:hAnsi="Book Antiqua"/>
        </w:rPr>
        <w:t xml:space="preserve"> 31.5 and 169.3 </w:t>
      </w:r>
      <w:r w:rsidR="00C10193" w:rsidRPr="00C10193">
        <w:rPr>
          <w:rFonts w:ascii="Book Antiqua" w:hAnsi="Book Antiqua"/>
        </w:rPr>
        <w:t>±</w:t>
      </w:r>
      <w:r w:rsidR="008102F7" w:rsidRPr="00C10193">
        <w:rPr>
          <w:rFonts w:ascii="Book Antiqua" w:hAnsi="Book Antiqua"/>
        </w:rPr>
        <w:t xml:space="preserve"> 31.4 respectively, </w:t>
      </w:r>
      <w:r w:rsidR="00C10193" w:rsidRPr="00C10193">
        <w:rPr>
          <w:rFonts w:ascii="Book Antiqua" w:hAnsi="Book Antiqua"/>
          <w:i/>
        </w:rPr>
        <w:t>P</w:t>
      </w:r>
      <w:r w:rsidR="008102F7" w:rsidRPr="00C10193">
        <w:rPr>
          <w:rFonts w:ascii="Book Antiqua" w:hAnsi="Book Antiqua"/>
        </w:rPr>
        <w:t xml:space="preserve"> = 0.013). </w:t>
      </w:r>
      <w:r w:rsidR="004831FB" w:rsidRPr="00C10193">
        <w:rPr>
          <w:rFonts w:ascii="Book Antiqua" w:hAnsi="Book Antiqua"/>
        </w:rPr>
        <w:t>Statistically significant differences in</w:t>
      </w:r>
      <w:r w:rsidR="008102F7" w:rsidRPr="00C10193">
        <w:rPr>
          <w:rFonts w:ascii="Book Antiqua" w:hAnsi="Book Antiqua"/>
        </w:rPr>
        <w:t xml:space="preserve"> </w:t>
      </w:r>
      <w:r w:rsidR="00BB2CA9">
        <w:rPr>
          <w:rFonts w:ascii="Book Antiqua" w:hAnsi="Book Antiqua" w:hint="eastAsia"/>
          <w:lang w:eastAsia="zh-CN"/>
        </w:rPr>
        <w:t>one</w:t>
      </w:r>
      <w:r w:rsidR="008102F7" w:rsidRPr="00C10193">
        <w:rPr>
          <w:rFonts w:ascii="Book Antiqua" w:hAnsi="Book Antiqua"/>
        </w:rPr>
        <w:t>-month average BG levels</w:t>
      </w:r>
      <w:r w:rsidR="004831FB" w:rsidRPr="00C10193">
        <w:rPr>
          <w:rFonts w:ascii="Book Antiqua" w:hAnsi="Book Antiqua"/>
        </w:rPr>
        <w:t xml:space="preserve"> were also seen</w:t>
      </w:r>
      <w:r w:rsidR="00C10193" w:rsidRPr="00C10193">
        <w:rPr>
          <w:rFonts w:ascii="Book Antiqua" w:hAnsi="Book Antiqua" w:hint="eastAsia"/>
          <w:lang w:eastAsia="zh-CN"/>
        </w:rPr>
        <w:t>-</w:t>
      </w:r>
      <w:r w:rsidR="004E0B0D" w:rsidRPr="00C10193">
        <w:rPr>
          <w:rFonts w:ascii="Book Antiqua" w:hAnsi="Book Antiqua"/>
        </w:rPr>
        <w:t xml:space="preserve">176.0 </w:t>
      </w:r>
      <w:r w:rsidR="00C10193" w:rsidRPr="00C10193">
        <w:rPr>
          <w:rFonts w:ascii="Book Antiqua" w:hAnsi="Book Antiqua"/>
        </w:rPr>
        <w:t>±</w:t>
      </w:r>
      <w:r w:rsidR="004E0B0D" w:rsidRPr="00C10193">
        <w:rPr>
          <w:rFonts w:ascii="Book Antiqua" w:hAnsi="Book Antiqua"/>
        </w:rPr>
        <w:t xml:space="preserve"> 31.1 for </w:t>
      </w:r>
      <w:r w:rsidR="004831FB" w:rsidRPr="00C10193">
        <w:rPr>
          <w:rFonts w:ascii="Book Antiqua" w:hAnsi="Book Antiqua"/>
        </w:rPr>
        <w:t xml:space="preserve">the </w:t>
      </w:r>
      <w:r w:rsidR="004E0B0D" w:rsidRPr="00C10193">
        <w:rPr>
          <w:rFonts w:ascii="Book Antiqua" w:hAnsi="Book Antiqua"/>
        </w:rPr>
        <w:t xml:space="preserve">PTDM group </w:t>
      </w:r>
      <w:r w:rsidR="00A7781B" w:rsidRPr="00C10193">
        <w:rPr>
          <w:rFonts w:ascii="Book Antiqua" w:hAnsi="Book Antiqua"/>
        </w:rPr>
        <w:t xml:space="preserve">and 160.6 </w:t>
      </w:r>
      <w:bookmarkStart w:id="194" w:name="OLE_LINK1600"/>
      <w:bookmarkStart w:id="195" w:name="OLE_LINK1601"/>
      <w:r w:rsidR="00C10193" w:rsidRPr="00C10193">
        <w:rPr>
          <w:rFonts w:ascii="Book Antiqua" w:hAnsi="Book Antiqua"/>
        </w:rPr>
        <w:t>±</w:t>
      </w:r>
      <w:bookmarkEnd w:id="194"/>
      <w:bookmarkEnd w:id="195"/>
      <w:r w:rsidR="00A7781B" w:rsidRPr="00C10193">
        <w:rPr>
          <w:rFonts w:ascii="Book Antiqua" w:hAnsi="Book Antiqua"/>
        </w:rPr>
        <w:t xml:space="preserve"> 28.0 for </w:t>
      </w:r>
      <w:r w:rsidR="004831FB" w:rsidRPr="00C10193">
        <w:rPr>
          <w:rFonts w:ascii="Book Antiqua" w:hAnsi="Book Antiqua"/>
        </w:rPr>
        <w:t xml:space="preserve">the </w:t>
      </w:r>
      <w:r w:rsidR="00A7781B" w:rsidRPr="00C10193">
        <w:rPr>
          <w:rFonts w:ascii="Book Antiqua" w:hAnsi="Book Antiqua"/>
        </w:rPr>
        <w:t>non-PTDM group</w:t>
      </w:r>
      <w:r w:rsidR="004831FB" w:rsidRPr="00C10193">
        <w:rPr>
          <w:rFonts w:ascii="Book Antiqua" w:hAnsi="Book Antiqua"/>
        </w:rPr>
        <w:t xml:space="preserve"> (</w:t>
      </w:r>
      <w:r w:rsidR="00C10193" w:rsidRPr="00C10193">
        <w:rPr>
          <w:rFonts w:ascii="Book Antiqua" w:hAnsi="Book Antiqua"/>
          <w:i/>
        </w:rPr>
        <w:t>P</w:t>
      </w:r>
      <w:r w:rsidR="00A7781B" w:rsidRPr="00C10193">
        <w:rPr>
          <w:rFonts w:ascii="Book Antiqua" w:hAnsi="Book Antiqua"/>
        </w:rPr>
        <w:t xml:space="preserve"> = 0.007</w:t>
      </w:r>
      <w:r w:rsidR="004831FB" w:rsidRPr="00C10193">
        <w:rPr>
          <w:rFonts w:ascii="Book Antiqua" w:hAnsi="Book Antiqua"/>
        </w:rPr>
        <w:t>)</w:t>
      </w:r>
      <w:r w:rsidR="00A7781B" w:rsidRPr="00C10193">
        <w:rPr>
          <w:rFonts w:ascii="Book Antiqua" w:hAnsi="Book Antiqua"/>
        </w:rPr>
        <w:t>.</w:t>
      </w:r>
      <w:r w:rsidR="00CE3AFE">
        <w:rPr>
          <w:rFonts w:ascii="Book Antiqua" w:hAnsi="Book Antiqua"/>
        </w:rPr>
        <w:t xml:space="preserve"> </w:t>
      </w:r>
      <w:r w:rsidR="004831FB" w:rsidRPr="00C10193">
        <w:rPr>
          <w:rFonts w:ascii="Book Antiqua" w:hAnsi="Book Antiqua"/>
        </w:rPr>
        <w:t>However, there</w:t>
      </w:r>
      <w:r w:rsidR="00C718F5">
        <w:rPr>
          <w:rFonts w:ascii="Book Antiqua" w:hAnsi="Book Antiqua" w:hint="eastAsia"/>
          <w:lang w:eastAsia="zh-CN"/>
        </w:rPr>
        <w:t xml:space="preserve"> was</w:t>
      </w:r>
      <w:r w:rsidR="004831FB" w:rsidRPr="00C10193">
        <w:rPr>
          <w:rFonts w:ascii="Book Antiqua" w:hAnsi="Book Antiqua"/>
        </w:rPr>
        <w:t xml:space="preserve"> no significant difference in </w:t>
      </w:r>
      <w:r w:rsidR="00C718F5">
        <w:rPr>
          <w:rFonts w:ascii="Book Antiqua" w:hAnsi="Book Antiqua" w:hint="eastAsia"/>
          <w:lang w:eastAsia="zh-CN"/>
        </w:rPr>
        <w:t>one</w:t>
      </w:r>
      <w:r w:rsidR="004831FB" w:rsidRPr="00C10193">
        <w:rPr>
          <w:rFonts w:ascii="Book Antiqua" w:hAnsi="Book Antiqua"/>
        </w:rPr>
        <w:t xml:space="preserve">-year mortality in the PTDM and </w:t>
      </w:r>
      <w:r w:rsidR="003969BA" w:rsidRPr="00C10193">
        <w:rPr>
          <w:rFonts w:ascii="Book Antiqua" w:hAnsi="Book Antiqua"/>
        </w:rPr>
        <w:t>non-</w:t>
      </w:r>
      <w:r w:rsidR="004831FB" w:rsidRPr="00C10193">
        <w:rPr>
          <w:rFonts w:ascii="Book Antiqua" w:hAnsi="Book Antiqua"/>
        </w:rPr>
        <w:t>PTDM groups</w:t>
      </w:r>
      <w:r w:rsidR="00AC3882" w:rsidRPr="00C10193">
        <w:rPr>
          <w:rFonts w:ascii="Book Antiqua" w:hAnsi="Book Antiqua"/>
        </w:rPr>
        <w:t>.</w:t>
      </w:r>
    </w:p>
    <w:p w14:paraId="173E7D18" w14:textId="77777777" w:rsidR="00E368FA" w:rsidRPr="008A2C60" w:rsidRDefault="00E368FA" w:rsidP="00C26D7B">
      <w:pPr>
        <w:spacing w:line="360" w:lineRule="auto"/>
        <w:contextualSpacing/>
        <w:jc w:val="both"/>
        <w:rPr>
          <w:rFonts w:ascii="Book Antiqua" w:hAnsi="Book Antiqua"/>
        </w:rPr>
      </w:pPr>
    </w:p>
    <w:p w14:paraId="5351C082" w14:textId="2524C299" w:rsidR="00C97A06" w:rsidRPr="00C10193" w:rsidRDefault="00533230" w:rsidP="00C26D7B">
      <w:pPr>
        <w:spacing w:line="360" w:lineRule="auto"/>
        <w:contextualSpacing/>
        <w:jc w:val="both"/>
        <w:rPr>
          <w:rFonts w:ascii="Book Antiqua" w:hAnsi="Book Antiqua"/>
          <w:b/>
          <w:i/>
        </w:rPr>
      </w:pPr>
      <w:r w:rsidRPr="00C10193">
        <w:rPr>
          <w:rFonts w:ascii="Book Antiqua" w:hAnsi="Book Antiqua"/>
          <w:b/>
          <w:i/>
        </w:rPr>
        <w:t xml:space="preserve">Graft </w:t>
      </w:r>
      <w:r w:rsidR="00C10193" w:rsidRPr="00C10193">
        <w:rPr>
          <w:rFonts w:ascii="Book Antiqua" w:hAnsi="Book Antiqua"/>
          <w:b/>
          <w:i/>
        </w:rPr>
        <w:t>r</w:t>
      </w:r>
      <w:r w:rsidRPr="00C10193">
        <w:rPr>
          <w:rFonts w:ascii="Book Antiqua" w:hAnsi="Book Antiqua"/>
          <w:b/>
          <w:i/>
        </w:rPr>
        <w:t>ejection</w:t>
      </w:r>
    </w:p>
    <w:p w14:paraId="02531D50" w14:textId="52375606" w:rsidR="00CE638B" w:rsidRPr="008A2C60" w:rsidRDefault="0083162E" w:rsidP="00C26D7B">
      <w:pPr>
        <w:spacing w:line="360" w:lineRule="auto"/>
        <w:contextualSpacing/>
        <w:jc w:val="both"/>
        <w:rPr>
          <w:rFonts w:ascii="Book Antiqua" w:hAnsi="Book Antiqua"/>
        </w:rPr>
      </w:pPr>
      <w:r w:rsidRPr="008A2C60">
        <w:rPr>
          <w:rFonts w:ascii="Book Antiqua" w:hAnsi="Book Antiqua"/>
        </w:rPr>
        <w:t>Four</w:t>
      </w:r>
      <w:r w:rsidR="00D107C3" w:rsidRPr="008A2C60">
        <w:rPr>
          <w:rFonts w:ascii="Book Antiqua" w:hAnsi="Book Antiqua"/>
        </w:rPr>
        <w:t xml:space="preserve"> studies</w:t>
      </w:r>
      <w:r w:rsidR="00E63112" w:rsidRPr="008A2C60">
        <w:rPr>
          <w:rFonts w:ascii="Book Antiqua" w:hAnsi="Book Antiqua"/>
        </w:rPr>
        <w:t xml:space="preserve"> </w:t>
      </w:r>
      <w:r w:rsidR="003A63D7" w:rsidRPr="008A2C60">
        <w:rPr>
          <w:rFonts w:ascii="Book Antiqua" w:hAnsi="Book Antiqua"/>
        </w:rPr>
        <w:t xml:space="preserve">examined </w:t>
      </w:r>
      <w:r w:rsidR="00606468" w:rsidRPr="008A2C60">
        <w:rPr>
          <w:rFonts w:ascii="Book Antiqua" w:hAnsi="Book Antiqua"/>
        </w:rPr>
        <w:t>the</w:t>
      </w:r>
      <w:r w:rsidR="00E63112" w:rsidRPr="008A2C60">
        <w:rPr>
          <w:rFonts w:ascii="Book Antiqua" w:hAnsi="Book Antiqua"/>
        </w:rPr>
        <w:t xml:space="preserve"> association between glycemic levels and graft rejection in liver transplant recipients.</w:t>
      </w:r>
      <w:r w:rsidR="00CE3AFE">
        <w:rPr>
          <w:rFonts w:ascii="Book Antiqua" w:hAnsi="Book Antiqua"/>
        </w:rPr>
        <w:t xml:space="preserve"> </w:t>
      </w:r>
      <w:r w:rsidR="00D107C3" w:rsidRPr="008A2C60">
        <w:rPr>
          <w:rFonts w:ascii="Book Antiqua" w:hAnsi="Book Antiqua"/>
        </w:rPr>
        <w:t xml:space="preserve">In a retrospective analysis conducted by </w:t>
      </w:r>
      <w:bookmarkStart w:id="196" w:name="OLE_LINK1596"/>
      <w:bookmarkStart w:id="197" w:name="OLE_LINK1597"/>
      <w:proofErr w:type="spellStart"/>
      <w:r w:rsidR="00D107C3" w:rsidRPr="008A2C60">
        <w:rPr>
          <w:rFonts w:ascii="Book Antiqua" w:hAnsi="Book Antiqua"/>
        </w:rPr>
        <w:t>Wallia</w:t>
      </w:r>
      <w:bookmarkEnd w:id="196"/>
      <w:bookmarkEnd w:id="197"/>
      <w:proofErr w:type="spellEnd"/>
      <w:r w:rsidR="00D107C3" w:rsidRPr="008A2C60">
        <w:rPr>
          <w:rFonts w:ascii="Book Antiqua" w:hAnsi="Book Antiqua"/>
        </w:rPr>
        <w:t xml:space="preserve">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"PMID" : "20098286", "abstract" : "BACKGROUND Intensive glycemic control has been shown to positively impact outcomes in an intensive care setting. Whether this practice is beneficial after liver transplantation (LT) is not known. METHODS A retrospective review of patients undergoing LT from February 2002 to July 2007 was conducted to analyze the association between perioperative hyperglycemia and outcomes after LT. Covariates included preexisting diabetes, mean glucose 3 months pre-LT, need for insulin drip post-LT, mean total glucose during the post-LT hospitalization, age, sex, type of transplant, and model for end-stage liver disease score. Outcomes within 1 year of LT included rejection, infection, rehospitalization, prolonged ventilation, and patient/graft survival. RESULTS One hundred thirteen LT and 31 liver-kidney recipients were included. By multivariate logistic regression adjusting for covariates, the rejection rate was significantly lower for patients with postoperative glucose levels less than 200 mg/dL (n=114) vs. more than 200 mg/dL (n=30) (odds ratio: 0.055; 95% confidence interval: 0.0154-0.200; P&lt;0.001). The need for prolonged ventilation was more common in patients with glucose less than 200 vs. more than 200 mg/dL (odds ratio: 4.30; 95% confidence interval: 1.284-14.388; P=0.018). Although other outcomes, infection, rehospitalization, patient/graft survival, were not different among the glucose control groups, rejection was associated with increased rehospitalizations and infections. CONCLUSION Our data demonstrate an association between the immediate posttransplant glycemic control and the development of subsequent rejection. Prospective trials investigating the effects of perioperative glycemic control on outcomes and morbidity after LT are warranted.", "author" : [ { "dropping-particle" : "", "family" : "Wallia", "given" : "Amisha", "non-dropping-particle" : "", "parse-names" : false, "suffix" : "" }, { "dropping-particle" : "", "family" : "Parikh", "given" : "Neehar D", "non-dropping-particle" : "", "parse-names" : false, "suffix" : "" }, { "dropping-particle" : "", "family" : "Molitch", "given" : "Mark E", "non-dropping-particle" : "", "parse-names" : false, "suffix" : "" }, { "dropping-particle" : "", "family" : "Mahler", "given" : "Eileen", "non-dropping-particle" : "", "parse-names" : false, "suffix" : "" }, { "dropping-particle" : "", "family" : "Tian", "given" : "Lu", "non-dropping-particle" : "", "parse-names" : false, "suffix" : "" }, { "dropping-particle" : "", "family" : "Huang", "given" : "Jie Jenny", "non-dropping-particle" : "", "parse-names" : false, "suffix" : "" }, { "dropping-particle" : "", "family" : "Levitsky", "given" : "Josh", "non-dropping-particle" : "", "parse-names" : false, "suffix" : "" } ], "container-title" : "Transplantation", "id" : "ITEM-1", "issue" : "2", "issued" : { "date-parts" : [ [ "2010", "1" ] ] }, "page" : "222-6", "title" : "Posttransplant hyperglycemia is associated with increased risk of liver allograft rejection.", "type" : "article-journal", "volume" : "89" }, "uris" : [ "http://www.mendeley.com/documents/?uuid=8fdf0a70-4655-4bf9-97f1-ca55e6f463bb" ] } ], "mendeley" : { "formattedCitation" : "&lt;sup&gt;[1]&lt;/sup&gt;", "plainTextFormattedCitation" : "[1]", "previouslyFormattedCitation" : "&lt;sup&gt;[1]&lt;/sup&gt;"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[1]</w:t>
      </w:r>
      <w:r w:rsidR="00C10193" w:rsidRPr="008A2C60">
        <w:rPr>
          <w:rFonts w:ascii="Book Antiqua" w:hAnsi="Book Antiqua"/>
        </w:rPr>
        <w:fldChar w:fldCharType="end"/>
      </w:r>
      <w:r w:rsidR="00C10193">
        <w:rPr>
          <w:rFonts w:ascii="Book Antiqua" w:hAnsi="Book Antiqua" w:hint="eastAsia"/>
          <w:lang w:eastAsia="zh-CN"/>
        </w:rPr>
        <w:t xml:space="preserve"> </w:t>
      </w:r>
      <w:r w:rsidR="00D107C3" w:rsidRPr="008A2C60">
        <w:rPr>
          <w:rFonts w:ascii="Book Antiqua" w:hAnsi="Book Antiqua"/>
        </w:rPr>
        <w:t>(</w:t>
      </w:r>
      <w:r w:rsidR="007A3E9A" w:rsidRPr="007A3E9A">
        <w:rPr>
          <w:rFonts w:ascii="Book Antiqua" w:hAnsi="Book Antiqua"/>
          <w:i/>
        </w:rPr>
        <w:t xml:space="preserve">n = </w:t>
      </w:r>
      <w:r w:rsidR="00D107C3" w:rsidRPr="008A2C60">
        <w:rPr>
          <w:rFonts w:ascii="Book Antiqua" w:hAnsi="Book Antiqua"/>
        </w:rPr>
        <w:t>1</w:t>
      </w:r>
      <w:r w:rsidR="00C23C7A" w:rsidRPr="008A2C60">
        <w:rPr>
          <w:rFonts w:ascii="Book Antiqua" w:hAnsi="Book Antiqua"/>
        </w:rPr>
        <w:t>44</w:t>
      </w:r>
      <w:r w:rsidR="00D107C3" w:rsidRPr="008A2C60">
        <w:rPr>
          <w:rFonts w:ascii="Book Antiqua" w:hAnsi="Book Antiqua"/>
        </w:rPr>
        <w:t>)</w:t>
      </w:r>
      <w:r w:rsidR="00BC1AFB" w:rsidRPr="008A2C60">
        <w:rPr>
          <w:rFonts w:ascii="Book Antiqua" w:hAnsi="Book Antiqua"/>
        </w:rPr>
        <w:t xml:space="preserve">, there was a statistically significant association between </w:t>
      </w:r>
      <w:r w:rsidR="009C21B9" w:rsidRPr="008A2C60">
        <w:rPr>
          <w:rFonts w:ascii="Book Antiqua" w:hAnsi="Book Antiqua"/>
        </w:rPr>
        <w:t>glucose</w:t>
      </w:r>
      <w:r w:rsidR="00606468" w:rsidRPr="008A2C60">
        <w:rPr>
          <w:rFonts w:ascii="Book Antiqua" w:hAnsi="Book Antiqua"/>
        </w:rPr>
        <w:t xml:space="preserve"> level and graft rejection.</w:t>
      </w:r>
      <w:r w:rsidR="00CE3AFE">
        <w:rPr>
          <w:rFonts w:ascii="Book Antiqua" w:hAnsi="Book Antiqua"/>
        </w:rPr>
        <w:t xml:space="preserve"> </w:t>
      </w:r>
      <w:r w:rsidR="00606468" w:rsidRPr="008A2C60">
        <w:rPr>
          <w:rFonts w:ascii="Book Antiqua" w:hAnsi="Book Antiqua"/>
        </w:rPr>
        <w:t xml:space="preserve">Higher rates of rejection were seen in patients </w:t>
      </w:r>
      <w:r w:rsidR="007571CF" w:rsidRPr="008A2C60">
        <w:rPr>
          <w:rFonts w:ascii="Book Antiqua" w:hAnsi="Book Antiqua"/>
        </w:rPr>
        <w:t>with a</w:t>
      </w:r>
      <w:r w:rsidR="00606468" w:rsidRPr="008A2C60">
        <w:rPr>
          <w:rFonts w:ascii="Book Antiqua" w:hAnsi="Book Antiqua"/>
        </w:rPr>
        <w:t xml:space="preserve"> mean </w:t>
      </w:r>
      <w:r w:rsidR="00E33C6C" w:rsidRPr="008A2C60">
        <w:rPr>
          <w:rFonts w:ascii="Book Antiqua" w:hAnsi="Book Antiqua"/>
        </w:rPr>
        <w:t xml:space="preserve">BG level </w:t>
      </w:r>
      <w:r w:rsidR="0048772C" w:rsidRPr="008A2C60">
        <w:rPr>
          <w:rFonts w:ascii="Book Antiqua" w:hAnsi="Book Antiqua"/>
        </w:rPr>
        <w:t>&gt;</w:t>
      </w:r>
      <w:r w:rsidR="00606468" w:rsidRPr="008A2C60">
        <w:rPr>
          <w:rFonts w:ascii="Book Antiqua" w:hAnsi="Book Antiqua"/>
        </w:rPr>
        <w:t xml:space="preserve"> 200 mg/dL compared to those that had </w:t>
      </w:r>
      <w:r w:rsidR="007571CF" w:rsidRPr="008A2C60">
        <w:rPr>
          <w:rFonts w:ascii="Book Antiqua" w:hAnsi="Book Antiqua"/>
        </w:rPr>
        <w:t xml:space="preserve">a </w:t>
      </w:r>
      <w:r w:rsidR="00606468" w:rsidRPr="008A2C60">
        <w:rPr>
          <w:rFonts w:ascii="Book Antiqua" w:hAnsi="Book Antiqua"/>
        </w:rPr>
        <w:t xml:space="preserve">mean BG </w:t>
      </w:r>
      <w:r w:rsidR="00E33C6C" w:rsidRPr="008A2C60">
        <w:rPr>
          <w:rFonts w:ascii="Book Antiqua" w:hAnsi="Book Antiqua"/>
        </w:rPr>
        <w:t xml:space="preserve">level </w:t>
      </w:r>
      <w:r w:rsidR="0048772C" w:rsidRPr="008A2C60">
        <w:rPr>
          <w:rFonts w:ascii="Book Antiqua" w:hAnsi="Book Antiqua"/>
        </w:rPr>
        <w:t>&lt;</w:t>
      </w:r>
      <w:r w:rsidR="00606468" w:rsidRPr="008A2C60">
        <w:rPr>
          <w:rFonts w:ascii="Book Antiqua" w:hAnsi="Book Antiqua"/>
        </w:rPr>
        <w:t xml:space="preserve"> 200 mg/dL (</w:t>
      </w:r>
      <w:r w:rsidR="00E33C6C" w:rsidRPr="008A2C60">
        <w:rPr>
          <w:rFonts w:ascii="Book Antiqua" w:hAnsi="Book Antiqua"/>
        </w:rPr>
        <w:t xml:space="preserve">76.7% </w:t>
      </w:r>
      <w:r w:rsidR="0048772C" w:rsidRPr="008A2C60">
        <w:rPr>
          <w:rFonts w:ascii="Book Antiqua" w:hAnsi="Book Antiqua"/>
        </w:rPr>
        <w:t xml:space="preserve">and 35.1% </w:t>
      </w:r>
      <w:r w:rsidR="00E33C6C" w:rsidRPr="008A2C60">
        <w:rPr>
          <w:rFonts w:ascii="Book Antiqua" w:hAnsi="Book Antiqua"/>
        </w:rPr>
        <w:t>respectively;</w:t>
      </w:r>
      <w:r w:rsidR="00606468" w:rsidRPr="008A2C60">
        <w:rPr>
          <w:rFonts w:ascii="Book Antiqua" w:hAnsi="Book Antiqua"/>
        </w:rPr>
        <w:t xml:space="preserve"> </w:t>
      </w:r>
      <w:r w:rsidR="00C10193" w:rsidRPr="00C10193">
        <w:rPr>
          <w:rFonts w:ascii="Book Antiqua" w:hAnsi="Book Antiqua"/>
          <w:i/>
        </w:rPr>
        <w:t>P</w:t>
      </w:r>
      <w:r w:rsidR="00606468" w:rsidRPr="008A2C60">
        <w:rPr>
          <w:rFonts w:ascii="Book Antiqua" w:hAnsi="Book Antiqua"/>
        </w:rPr>
        <w:t xml:space="preserve"> &lt; 0.001)</w:t>
      </w:r>
      <w:r w:rsidR="00AC3882" w:rsidRPr="008A2C60">
        <w:rPr>
          <w:rFonts w:ascii="Book Antiqua" w:hAnsi="Book Antiqua"/>
        </w:rPr>
        <w:t>.</w:t>
      </w:r>
      <w:r w:rsidR="00CE3AFE">
        <w:rPr>
          <w:rFonts w:ascii="Book Antiqua" w:hAnsi="Book Antiqua"/>
        </w:rPr>
        <w:t xml:space="preserve"> </w:t>
      </w:r>
      <w:r w:rsidR="00E33C6C" w:rsidRPr="008A2C60">
        <w:rPr>
          <w:rFonts w:ascii="Book Antiqua" w:hAnsi="Book Antiqua"/>
        </w:rPr>
        <w:t>A retrospective su</w:t>
      </w:r>
      <w:r w:rsidR="00C10193">
        <w:rPr>
          <w:rFonts w:ascii="Book Antiqua" w:hAnsi="Book Antiqua"/>
        </w:rPr>
        <w:t xml:space="preserve">bgroup analysis by </w:t>
      </w:r>
      <w:bookmarkStart w:id="198" w:name="OLE_LINK1598"/>
      <w:bookmarkStart w:id="199" w:name="OLE_LINK1599"/>
      <w:proofErr w:type="spellStart"/>
      <w:r w:rsidR="00C10193">
        <w:rPr>
          <w:rFonts w:ascii="Book Antiqua" w:hAnsi="Book Antiqua"/>
        </w:rPr>
        <w:t>Wallia</w:t>
      </w:r>
      <w:bookmarkEnd w:id="198"/>
      <w:bookmarkEnd w:id="199"/>
      <w:proofErr w:type="spellEnd"/>
      <w:r w:rsidR="00C10193">
        <w:rPr>
          <w:rFonts w:ascii="Book Antiqua" w:hAnsi="Book Antiqua"/>
        </w:rPr>
        <w:t xml:space="preserve">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"DOI" : "10.4158/EP10343.OR", "ISSN" : "1530-891X", "PMID" : "21324822", "abstract" : "\\nTo present an analysis of glycemic control before and after introduction of a dedicated glucose management service ({GMS}) and outcomes within 1 year after liver transplantation ({LT}).\\nWe conducted a retrospective review of patients undergoing {LT}, who were treated with insulin infusions after {LT}, before and after introduction of a {GMS}. Outcome measures within 1 year after {LT} included graft rejection, infection, prolonged ventilation (&gt;48 hours on a ventilator), and graft survival. A multiple logistic regression was used to examine the relationship between {GMS} use and outcomes.\\nThis study consisted of 73 (35 {GMS} and 38 {non-GMS}) organ transplant recipients. The mean perioperative blood glucose level in the {GMS} group was lower than in the {non-GMS} group: unadjusted, by 31.1 {mg/dL} (P = .001); adjusted for pre-insulin drip glucose, age, sex, Model for {End-Stage} Liver Disease ({MELD}) score, and type of transplant, by 23.4 {mg/dL} (P = .020). There were 27 rejection episodes, 48 infections, 26 episodes of prolonged ventilation, and 64 patients with graft survival at 1 year. The infection rate was lower in the {GMS} group than in the {non-GMS} group: the unadjusted odds ratio was 0.28 (P = .015); when adjustments were made for pre-insulin drip glucose, pretransplant glucose, age, sex, {MELD} score, type of transplant, and diabetes status before transplantation, the odds ratio was 0.24 (95% confidence interval, 0.06 to 0.97; P = .045). No significant associations were noted between {GMS} group and rejection rates, prolonged ventilation, or graft survival.\\nIn this study of {LT} patients, a {GMS} was associated with improved glycemic control and reduced postoperative infections. Further studies investigating effects of strict glycemic control after {LT} are warranted.\\n", "author" : [ { "dropping-particle" : "", "family" : "Wallia", "given" : "Amisha", "non-dropping-particle" : "", "parse-names" : false, "suffix" : "" }, { "dropping-particle" : "", "family" : "Parikh", "given" : "Neehar D.", "non-dropping-particle" : "", "parse-names" : false, "suffix" : "" }, { "dropping-particle" : "", "family" : "O'Shea-Mahler", "given" : "Eileen", "non-dropping-particle" : "", "parse-names" : false, "suffix" : "" }, { "dropping-particle" : "", "family" : "Schmidt", "given" : "Kathleen", "non-dropping-particle" : "", "parse-names" : false, "suffix" : "" }, { "dropping-particle" : "", "family" : "DeSantis", "given" : "Anthony J.", "non-dropping-particle" : "", "parse-names" : false, "suffix" : "" }, { "dropping-particle" : "", "family" : "Tian", "given" : "Lu", "non-dropping-particle" : "", "parse-names" : false, "suffix" : "" }, { "dropping-particle" : "", "family" : "Levitsky", "given" : "Josh", "non-dropping-particle" : "", "parse-names" : false, "suffix" : "" }, { "dropping-particle" : "", "family" : "Molitch", "given" : "Mark E.", "non-dropping-particle" : "", "parse-names" : false, "suffix" : "" } ], "container-title" : "Endocrine Practice", "id" : "ITEM-1", "issue" : "4", "issued" : { "date-parts" : [ [ "2011" ] ] }, "page" : "546-551", "title" : "Glycemic Control by a Glucose Management Service and Infection Rates After Liver Transplantation", "type" : "article-journal", "volume" : "17" }, "uris" : [ "http://www.mendeley.com/documents/?uuid=bd04ed9e-7bd4-4412-bedd-92111bfaa222" ] } ], "mendeley" : { "formattedCitation" : "&lt;sup&gt;[19]&lt;/sup&gt;", "plainTextFormattedCitation" : "[19]", "previouslyFormattedCitation" : "&lt;sup&gt;[19]&lt;/sup&gt;"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[19]</w:t>
      </w:r>
      <w:r w:rsidR="00C10193" w:rsidRPr="008A2C60">
        <w:rPr>
          <w:rFonts w:ascii="Book Antiqua" w:hAnsi="Book Antiqua"/>
        </w:rPr>
        <w:fldChar w:fldCharType="end"/>
      </w:r>
      <w:r w:rsidR="00E33C6C" w:rsidRPr="008A2C60">
        <w:rPr>
          <w:rFonts w:ascii="Book Antiqua" w:hAnsi="Book Antiqua"/>
        </w:rPr>
        <w:t xml:space="preserve"> (</w:t>
      </w:r>
      <w:r w:rsidR="007A3E9A" w:rsidRPr="007A3E9A">
        <w:rPr>
          <w:rFonts w:ascii="Book Antiqua" w:hAnsi="Book Antiqua"/>
          <w:i/>
        </w:rPr>
        <w:t xml:space="preserve">n = </w:t>
      </w:r>
      <w:r w:rsidR="00E33C6C" w:rsidRPr="008A2C60">
        <w:rPr>
          <w:rFonts w:ascii="Book Antiqua" w:hAnsi="Book Antiqua"/>
        </w:rPr>
        <w:t>73)</w:t>
      </w:r>
      <w:r w:rsidR="009C21B9" w:rsidRPr="008A2C60">
        <w:rPr>
          <w:rFonts w:ascii="Book Antiqua" w:hAnsi="Book Antiqua"/>
        </w:rPr>
        <w:t xml:space="preserve"> studied the effect of a glucose management service (GMS) on blood glucose levels and </w:t>
      </w:r>
      <w:r w:rsidR="009C21B9" w:rsidRPr="008A2C60">
        <w:rPr>
          <w:rFonts w:ascii="Book Antiqua" w:hAnsi="Book Antiqua"/>
        </w:rPr>
        <w:lastRenderedPageBreak/>
        <w:t xml:space="preserve">its impact on clinical outcomes including graft rejection. </w:t>
      </w:r>
      <w:r w:rsidR="00BA29B5" w:rsidRPr="008A2C60">
        <w:rPr>
          <w:rFonts w:ascii="Book Antiqua" w:hAnsi="Book Antiqua"/>
        </w:rPr>
        <w:t xml:space="preserve">The </w:t>
      </w:r>
      <w:r w:rsidR="00A9403D" w:rsidRPr="008A2C60">
        <w:rPr>
          <w:rFonts w:ascii="Book Antiqua" w:hAnsi="Book Antiqua"/>
        </w:rPr>
        <w:t xml:space="preserve">GMS </w:t>
      </w:r>
      <w:r w:rsidR="00BA29B5" w:rsidRPr="008A2C60">
        <w:rPr>
          <w:rFonts w:ascii="Book Antiqua" w:hAnsi="Book Antiqua"/>
        </w:rPr>
        <w:t>consisted of</w:t>
      </w:r>
      <w:r w:rsidR="00A9403D" w:rsidRPr="008A2C60">
        <w:rPr>
          <w:rFonts w:ascii="Book Antiqua" w:hAnsi="Book Antiqua"/>
        </w:rPr>
        <w:t xml:space="preserve"> a group of nurse practitioners supervised by an endocrinologist responsible for managing BG.</w:t>
      </w:r>
      <w:r w:rsidR="00CE3AFE">
        <w:rPr>
          <w:rFonts w:ascii="Book Antiqua" w:hAnsi="Book Antiqua"/>
        </w:rPr>
        <w:t xml:space="preserve"> </w:t>
      </w:r>
      <w:r w:rsidR="00A9403D" w:rsidRPr="008A2C60">
        <w:rPr>
          <w:rFonts w:ascii="Book Antiqua" w:hAnsi="Book Antiqua"/>
        </w:rPr>
        <w:t>The BG levels were managed by the primary transplant team in the non-GMS group.</w:t>
      </w:r>
      <w:r w:rsidR="00CE3AFE">
        <w:rPr>
          <w:rFonts w:ascii="Book Antiqua" w:hAnsi="Book Antiqua"/>
        </w:rPr>
        <w:t xml:space="preserve"> </w:t>
      </w:r>
      <w:r w:rsidR="009C21B9" w:rsidRPr="008A2C60">
        <w:rPr>
          <w:rFonts w:ascii="Book Antiqua" w:hAnsi="Book Antiqua"/>
        </w:rPr>
        <w:t xml:space="preserve">The mean </w:t>
      </w:r>
      <w:r w:rsidR="007571CF" w:rsidRPr="008A2C60">
        <w:rPr>
          <w:rFonts w:ascii="Book Antiqua" w:hAnsi="Book Antiqua"/>
        </w:rPr>
        <w:t>inpatient</w:t>
      </w:r>
      <w:r w:rsidR="007F1A1C">
        <w:rPr>
          <w:rFonts w:ascii="Book Antiqua" w:hAnsi="Book Antiqua"/>
        </w:rPr>
        <w:t xml:space="preserve"> BG level</w:t>
      </w:r>
      <w:r w:rsidR="009C21B9" w:rsidRPr="008A2C60">
        <w:rPr>
          <w:rFonts w:ascii="Book Antiqua" w:hAnsi="Book Antiqua"/>
        </w:rPr>
        <w:t xml:space="preserve"> during the </w:t>
      </w:r>
      <w:proofErr w:type="spellStart"/>
      <w:r w:rsidR="009C21B9" w:rsidRPr="008A2C60">
        <w:rPr>
          <w:rFonts w:ascii="Book Antiqua" w:hAnsi="Book Antiqua"/>
        </w:rPr>
        <w:t>peri</w:t>
      </w:r>
      <w:proofErr w:type="spellEnd"/>
      <w:r w:rsidR="009C21B9" w:rsidRPr="008A2C60">
        <w:rPr>
          <w:rFonts w:ascii="Book Antiqua" w:hAnsi="Book Antiqua"/>
        </w:rPr>
        <w:t>-transplant period</w:t>
      </w:r>
      <w:r w:rsidR="00332E98" w:rsidRPr="008A2C60">
        <w:rPr>
          <w:rFonts w:ascii="Book Antiqua" w:hAnsi="Book Antiqua"/>
        </w:rPr>
        <w:t xml:space="preserve"> was 189.0 </w:t>
      </w:r>
      <w:r w:rsidR="00C10193" w:rsidRPr="00C10193">
        <w:rPr>
          <w:rFonts w:ascii="Book Antiqua" w:hAnsi="Book Antiqua"/>
        </w:rPr>
        <w:t>±</w:t>
      </w:r>
      <w:r w:rsidR="00332E98" w:rsidRPr="008A2C60">
        <w:rPr>
          <w:rFonts w:ascii="Book Antiqua" w:hAnsi="Book Antiqua"/>
        </w:rPr>
        <w:t xml:space="preserve"> 45.0 in the </w:t>
      </w:r>
      <w:r w:rsidR="007571CF" w:rsidRPr="008A2C60">
        <w:rPr>
          <w:rFonts w:ascii="Book Antiqua" w:hAnsi="Book Antiqua"/>
        </w:rPr>
        <w:t>n</w:t>
      </w:r>
      <w:r w:rsidR="00332E98" w:rsidRPr="008A2C60">
        <w:rPr>
          <w:rFonts w:ascii="Book Antiqua" w:hAnsi="Book Antiqua"/>
        </w:rPr>
        <w:t xml:space="preserve">on-GMS group and 157.9 </w:t>
      </w:r>
      <w:r w:rsidR="00C10193" w:rsidRPr="00C10193">
        <w:rPr>
          <w:rFonts w:ascii="Book Antiqua" w:hAnsi="Book Antiqua"/>
        </w:rPr>
        <w:t>±</w:t>
      </w:r>
      <w:r w:rsidR="00332E98" w:rsidRPr="008A2C60">
        <w:rPr>
          <w:rFonts w:ascii="Book Antiqua" w:hAnsi="Book Antiqua"/>
        </w:rPr>
        <w:t xml:space="preserve"> 32.3 in the GMS group (</w:t>
      </w:r>
      <w:r w:rsidR="007571CF" w:rsidRPr="008A2C60">
        <w:rPr>
          <w:rFonts w:ascii="Book Antiqua" w:hAnsi="Book Antiqua"/>
        </w:rPr>
        <w:t>s</w:t>
      </w:r>
      <w:r w:rsidR="00332E98" w:rsidRPr="008A2C60">
        <w:rPr>
          <w:rFonts w:ascii="Book Antiqua" w:hAnsi="Book Antiqua"/>
        </w:rPr>
        <w:t>tatistical significance data not provided).</w:t>
      </w:r>
      <w:r w:rsidR="00CE3AFE">
        <w:rPr>
          <w:rFonts w:ascii="Book Antiqua" w:hAnsi="Book Antiqua"/>
        </w:rPr>
        <w:t xml:space="preserve"> </w:t>
      </w:r>
      <w:r w:rsidR="00332E98" w:rsidRPr="008A2C60">
        <w:rPr>
          <w:rFonts w:ascii="Book Antiqua" w:hAnsi="Book Antiqua"/>
        </w:rPr>
        <w:t xml:space="preserve">Although, patients in the </w:t>
      </w:r>
      <w:r w:rsidR="007571CF" w:rsidRPr="008A2C60">
        <w:rPr>
          <w:rFonts w:ascii="Book Antiqua" w:hAnsi="Book Antiqua"/>
        </w:rPr>
        <w:t>n</w:t>
      </w:r>
      <w:r w:rsidR="00332E98" w:rsidRPr="008A2C60">
        <w:rPr>
          <w:rFonts w:ascii="Book Antiqua" w:hAnsi="Book Antiqua"/>
        </w:rPr>
        <w:t xml:space="preserve">on-GMS group had higher BG levels, </w:t>
      </w:r>
      <w:r w:rsidR="00803F79" w:rsidRPr="008A2C60">
        <w:rPr>
          <w:rFonts w:ascii="Book Antiqua" w:hAnsi="Book Antiqua"/>
        </w:rPr>
        <w:t>hyperglycemia</w:t>
      </w:r>
      <w:r w:rsidR="00332E98" w:rsidRPr="008A2C60">
        <w:rPr>
          <w:rFonts w:ascii="Book Antiqua" w:hAnsi="Book Antiqua"/>
        </w:rPr>
        <w:t xml:space="preserve"> did not lead to higher rates of graft rejection (45% in </w:t>
      </w:r>
      <w:r w:rsidR="007571CF" w:rsidRPr="008A2C60">
        <w:rPr>
          <w:rFonts w:ascii="Book Antiqua" w:hAnsi="Book Antiqua"/>
        </w:rPr>
        <w:t>the n</w:t>
      </w:r>
      <w:r w:rsidR="00332E98" w:rsidRPr="008A2C60">
        <w:rPr>
          <w:rFonts w:ascii="Book Antiqua" w:hAnsi="Book Antiqua"/>
        </w:rPr>
        <w:t xml:space="preserve">on-GMS group </w:t>
      </w:r>
      <w:r w:rsidR="007571CF" w:rsidRPr="00C10193">
        <w:rPr>
          <w:rFonts w:ascii="Book Antiqua" w:hAnsi="Book Antiqua"/>
          <w:i/>
        </w:rPr>
        <w:t>vs</w:t>
      </w:r>
      <w:r w:rsidR="00C10193">
        <w:rPr>
          <w:rFonts w:ascii="Book Antiqua" w:hAnsi="Book Antiqua" w:hint="eastAsia"/>
          <w:lang w:eastAsia="zh-CN"/>
        </w:rPr>
        <w:t xml:space="preserve"> </w:t>
      </w:r>
      <w:r w:rsidR="00332E98" w:rsidRPr="008A2C60">
        <w:rPr>
          <w:rFonts w:ascii="Book Antiqua" w:hAnsi="Book Antiqua"/>
        </w:rPr>
        <w:t xml:space="preserve">29% in the GMS group, </w:t>
      </w:r>
      <w:r w:rsidR="00C10193" w:rsidRPr="00C10193">
        <w:rPr>
          <w:rFonts w:ascii="Book Antiqua" w:hAnsi="Book Antiqua"/>
          <w:i/>
        </w:rPr>
        <w:t>P</w:t>
      </w:r>
      <w:r w:rsidR="00332E98" w:rsidRPr="008A2C60">
        <w:rPr>
          <w:rFonts w:ascii="Book Antiqua" w:hAnsi="Book Antiqua"/>
        </w:rPr>
        <w:t xml:space="preserve"> = 0.156)</w:t>
      </w:r>
      <w:r w:rsidR="001371C3" w:rsidRPr="008A2C60">
        <w:rPr>
          <w:rFonts w:ascii="Book Antiqua" w:hAnsi="Book Antiqua"/>
        </w:rPr>
        <w:t>.</w:t>
      </w:r>
      <w:r w:rsidR="00CE3AFE">
        <w:rPr>
          <w:rFonts w:ascii="Book Antiqua" w:hAnsi="Book Antiqua"/>
        </w:rPr>
        <w:t xml:space="preserve"> </w:t>
      </w:r>
    </w:p>
    <w:p w14:paraId="4998309F" w14:textId="02153A08" w:rsidR="00F2781B" w:rsidRPr="008A2C60" w:rsidRDefault="00BF2686" w:rsidP="00C26D7B">
      <w:pPr>
        <w:spacing w:line="360" w:lineRule="auto"/>
        <w:ind w:firstLineChars="100" w:firstLine="240"/>
        <w:contextualSpacing/>
        <w:jc w:val="both"/>
        <w:rPr>
          <w:rFonts w:ascii="Book Antiqua" w:hAnsi="Book Antiqua"/>
        </w:rPr>
      </w:pPr>
      <w:r w:rsidRPr="008A2C60">
        <w:rPr>
          <w:rFonts w:ascii="Book Antiqua" w:hAnsi="Book Antiqua"/>
        </w:rPr>
        <w:t xml:space="preserve">In the </w:t>
      </w:r>
      <w:r w:rsidR="00C507CE" w:rsidRPr="008A2C60">
        <w:rPr>
          <w:rFonts w:ascii="Book Antiqua" w:hAnsi="Book Antiqua"/>
        </w:rPr>
        <w:t xml:space="preserve">previously described </w:t>
      </w:r>
      <w:r w:rsidR="0049356C" w:rsidRPr="008A2C60">
        <w:rPr>
          <w:rFonts w:ascii="Book Antiqua" w:hAnsi="Book Antiqua"/>
        </w:rPr>
        <w:t>retrospective analysis</w:t>
      </w:r>
      <w:r w:rsidRPr="008A2C60">
        <w:rPr>
          <w:rFonts w:ascii="Book Antiqua" w:hAnsi="Book Antiqua"/>
        </w:rPr>
        <w:t xml:space="preserve"> by Linder </w:t>
      </w:r>
      <w:r w:rsidR="00EE3848" w:rsidRPr="00EE3848">
        <w:rPr>
          <w:rFonts w:ascii="Book Antiqua" w:hAnsi="Book Antiqua"/>
          <w:i/>
        </w:rPr>
        <w:t>et al</w:t>
      </w:r>
      <w:r w:rsidR="007F1A1C" w:rsidRPr="008A2C60">
        <w:rPr>
          <w:rFonts w:ascii="Book Antiqua" w:hAnsi="Book Antiqua"/>
        </w:rPr>
        <w:fldChar w:fldCharType="begin" w:fldLock="1"/>
      </w:r>
      <w:r w:rsidR="007F1A1C" w:rsidRPr="008A2C60">
        <w:rPr>
          <w:rFonts w:ascii="Book Antiqua" w:hAnsi="Book Antiqua"/>
        </w:rPr>
        <w:instrText>ADDIN CSL_CITATION { "citationItems" : [ { "id" : "ITEM-1", "itemData" : { "ISSN" : "1074-3022", "PMID" : "9346661", "abstract" : "It is not well understood whether posttransplant diabetes mellitus (PTDM) following orthotopic liver transplantation (OLTx) alters postoperative morbidity. This study was designed to evaluate this question. All adult patients who received an OLTx between July 1985 and March 1993 (n = 497) were evaluated by retrospective chart review for evidence of PTDM after OLTx. The patients identified with PTDM (n = 26) were case matched with nondiabetic OLTx recipients based on primary liver disease diagnosis, age, gender, date of first OLTx, and survival. Liver synthetic function, number and severity of rejection episodes, graft survival, total number of hospital days within the first year post-OLTx, renal function, and number and type of infection episodes were analyzed to assess differences in morbidity between the PTDM and control patients after OLTx. Of the 497 adult patients who underwent OLTx, 26 (5.2%) were identified as having PTDM within 1 month of discharge. Factors which identified individuals at higher risk for DM after OLTx included higher pre-OLTx fasting blood glucose (P = .04); lower body mass index after OLTx (P = .02); and cyclosporine rather than OKT3 induction (P = .009). Graft survival, synthetic function, and the total number of rejection episodes during the first year were not different between the two groups. The morbidity variables of total number of days in the hospital during the first 12 months, renal function, and type and number of infections were also similar between the two groups. In summary, 5.2% of adult patients developed DM within 1 month of OLTx. Pre-existing insulin resistance, postoperative stress, and immunosuppression medications all likely contribute to the development of overt hyperglycemia after OLTx. Although PTDM can be a consequence of OLTx, it does not have a significant impact on patient outcome in the first year after OLTx.", "author" : [ { "dropping-particle" : "", "family" : "Trail", "given" : "K C", "non-dropping-particle" : "", "parse-names" : false, "suffix" : "" }, { "dropping-particle" : "", "family" : "McCashland", "given" : "T M", "non-dropping-particle" : "", "parse-names" : false, "suffix" : "" }, { "dropping-particle" : "", "family" : "Larsen", "given" : "J L", "non-dropping-particle" : "", "parse-names" : false, "suffix" : "" }, { "dropping-particle" : "", "family" : "Heffron", "given" : "T G", "non-dropping-particle" : "", "parse-names" : false, "suffix" : "" }, { "dropping-particle" : "", "family" : "Stratta", "given" : "R J", "non-dropping-particle" : "", "parse-names" : false, "suffix" : "" }, { "dropping-particle" : "", "family" : "Langnas", "given" : "A N", "non-dropping-particle" : "", "parse-names" : false, "suffix" : "" }, { "dropping-particle" : "", "family" : "Fox", "given" : "I J", "non-dropping-particle" : "", "parse-names" : false, "suffix" : "" }, { "dropping-particle" : "", "family" : "Zetterman", "given" : "R K", "non-dropping-particle" : "", "parse-names" : false, "suffix" : "" }, { "dropping-particle" : "", "family" : "Donovan", "given" : "J P", "non-dropping-particle" : "", "parse-names" : false, "suffix" : "" }, { "dropping-particle" : "", "family" : "Sorrell", "given" : "M F", "non-dropping-particle" : "", "parse-names" : false, "suffix" : "" }, { "dropping-particle" : "", "family" : "Pillen", "given" : "T J", "non-dropping-particle" : "", "parse-names" : false, "suffix" : "" }, { "dropping-particle" : "", "family" : "Ruby", "given" : "E I", "non-dropping-particle" : "", "parse-names" : false, "suffix" : "" }, { "dropping-particle" : "", "family" : "Shaw", "given" : "B W", "non-dropping-particle" : "", "parse-names" : false, "suffix" : "" } ], "container-title" : "Liver transplantation and surgery : official publication of the American Association for the Study of Liver Diseases and the International Liver Transplantation Society", "id" : "ITEM-1", "issue" : "4", "issued" : { "date-parts" : [ [ "1996" ] ] }, "page" : "276-83", "title" : "Morbidity in patients with posttransplant diabetes mellitus following orthotopic liver transplantation.", "type" : "article-journal", "volume" : "2" }, "uris" : [ "http://www.mendeley.com/documents/?uuid=66f357c4-f23e-4cb6-8fd8-4b3844f78e87" ] } ], "mendeley" : { "formattedCitation" : "&lt;sup&gt;[20]&lt;/sup&gt;", "plainTextFormattedCitation" : "[20]", "previouslyFormattedCitation" : "&lt;sup&gt;[20]&lt;/sup&gt;" }, "properties" : {  }, "schema" : "https://github.com/citation-style-language/schema/raw/master/csl-citation.json" }</w:instrText>
      </w:r>
      <w:r w:rsidR="007F1A1C" w:rsidRPr="008A2C60">
        <w:rPr>
          <w:rFonts w:ascii="Book Antiqua" w:hAnsi="Book Antiqua"/>
        </w:rPr>
        <w:fldChar w:fldCharType="separate"/>
      </w:r>
      <w:r w:rsidR="007F1A1C" w:rsidRPr="008A2C60">
        <w:rPr>
          <w:rFonts w:ascii="Book Antiqua" w:hAnsi="Book Antiqua"/>
          <w:noProof/>
          <w:vertAlign w:val="superscript"/>
        </w:rPr>
        <w:t>[20]</w:t>
      </w:r>
      <w:r w:rsidR="007F1A1C" w:rsidRPr="008A2C60">
        <w:rPr>
          <w:rFonts w:ascii="Book Antiqua" w:hAnsi="Book Antiqua"/>
        </w:rPr>
        <w:fldChar w:fldCharType="end"/>
      </w:r>
      <w:r w:rsidR="007571CF" w:rsidRPr="008A2C60">
        <w:rPr>
          <w:rFonts w:ascii="Book Antiqua" w:hAnsi="Book Antiqua"/>
        </w:rPr>
        <w:t>,</w:t>
      </w:r>
      <w:r w:rsidRPr="008A2C60">
        <w:rPr>
          <w:rFonts w:ascii="Book Antiqua" w:hAnsi="Book Antiqua"/>
        </w:rPr>
        <w:t xml:space="preserve"> </w:t>
      </w:r>
      <w:r w:rsidR="007571CF" w:rsidRPr="008A2C60">
        <w:rPr>
          <w:rFonts w:ascii="Book Antiqua" w:hAnsi="Book Antiqua"/>
        </w:rPr>
        <w:t>b</w:t>
      </w:r>
      <w:r w:rsidRPr="008A2C60">
        <w:rPr>
          <w:rFonts w:ascii="Book Antiqua" w:hAnsi="Book Antiqua"/>
        </w:rPr>
        <w:t>iopsy</w:t>
      </w:r>
      <w:r w:rsidR="007571CF" w:rsidRPr="008A2C60">
        <w:rPr>
          <w:rFonts w:ascii="Book Antiqua" w:hAnsi="Book Antiqua"/>
        </w:rPr>
        <w:t xml:space="preserve">-proven acute rejection </w:t>
      </w:r>
      <w:r w:rsidRPr="008A2C60">
        <w:rPr>
          <w:rFonts w:ascii="Book Antiqua" w:hAnsi="Book Antiqua"/>
        </w:rPr>
        <w:t xml:space="preserve">(BPAR) was also studied as an outcome and there was a statistically higher incidence in PTDM </w:t>
      </w:r>
      <w:r w:rsidR="00944790" w:rsidRPr="00944790">
        <w:rPr>
          <w:rFonts w:ascii="Book Antiqua" w:hAnsi="Book Antiqua"/>
          <w:i/>
        </w:rPr>
        <w:t>vs</w:t>
      </w:r>
      <w:r w:rsidRPr="008A2C60">
        <w:rPr>
          <w:rFonts w:ascii="Book Antiqua" w:hAnsi="Book Antiqua"/>
        </w:rPr>
        <w:t xml:space="preserve"> </w:t>
      </w:r>
      <w:r w:rsidR="00161872" w:rsidRPr="008A2C60">
        <w:rPr>
          <w:rFonts w:ascii="Book Antiqua" w:hAnsi="Book Antiqua"/>
        </w:rPr>
        <w:t>non-</w:t>
      </w:r>
      <w:r w:rsidRPr="008A2C60">
        <w:rPr>
          <w:rFonts w:ascii="Book Antiqua" w:hAnsi="Book Antiqua"/>
        </w:rPr>
        <w:t>PTDM</w:t>
      </w:r>
      <w:r w:rsidR="00161872" w:rsidRPr="008A2C60">
        <w:rPr>
          <w:rFonts w:ascii="Book Antiqua" w:hAnsi="Book Antiqua"/>
        </w:rPr>
        <w:t xml:space="preserve"> </w:t>
      </w:r>
      <w:r w:rsidR="007571CF" w:rsidRPr="008A2C60">
        <w:rPr>
          <w:rFonts w:ascii="Book Antiqua" w:hAnsi="Book Antiqua"/>
        </w:rPr>
        <w:t xml:space="preserve">patients </w:t>
      </w:r>
      <w:r w:rsidRPr="008A2C60">
        <w:rPr>
          <w:rFonts w:ascii="Book Antiqua" w:hAnsi="Book Antiqua"/>
        </w:rPr>
        <w:t>(</w:t>
      </w:r>
      <w:r w:rsidR="007367B6" w:rsidRPr="008A2C60">
        <w:rPr>
          <w:rFonts w:ascii="Book Antiqua" w:hAnsi="Book Antiqua"/>
        </w:rPr>
        <w:t xml:space="preserve">41.7% </w:t>
      </w:r>
      <w:r w:rsidR="00944790" w:rsidRPr="00944790">
        <w:rPr>
          <w:rFonts w:ascii="Book Antiqua" w:hAnsi="Book Antiqua"/>
          <w:i/>
        </w:rPr>
        <w:t>vs</w:t>
      </w:r>
      <w:r w:rsidR="007367B6" w:rsidRPr="008A2C60">
        <w:rPr>
          <w:rFonts w:ascii="Book Antiqua" w:hAnsi="Book Antiqua"/>
        </w:rPr>
        <w:t xml:space="preserve"> 24.2%</w:t>
      </w:r>
      <w:r w:rsidR="007571CF" w:rsidRPr="008A2C60">
        <w:rPr>
          <w:rFonts w:ascii="Book Antiqua" w:hAnsi="Book Antiqua"/>
        </w:rPr>
        <w:t xml:space="preserve"> respectively</w:t>
      </w:r>
      <w:r w:rsidR="007367B6" w:rsidRPr="008A2C60">
        <w:rPr>
          <w:rFonts w:ascii="Book Antiqua" w:hAnsi="Book Antiqua"/>
        </w:rPr>
        <w:t xml:space="preserve">, </w:t>
      </w:r>
      <w:r w:rsidR="00C10193" w:rsidRPr="00C10193">
        <w:rPr>
          <w:rFonts w:ascii="Book Antiqua" w:hAnsi="Book Antiqua"/>
          <w:i/>
        </w:rPr>
        <w:t>P</w:t>
      </w:r>
      <w:r w:rsidR="007367B6" w:rsidRPr="008A2C60">
        <w:rPr>
          <w:rFonts w:ascii="Book Antiqua" w:hAnsi="Book Antiqua"/>
        </w:rPr>
        <w:t xml:space="preserve"> = 0.048). </w:t>
      </w:r>
      <w:r w:rsidR="00557C6B" w:rsidRPr="008A2C60">
        <w:rPr>
          <w:rFonts w:ascii="Book Antiqua" w:hAnsi="Book Antiqua"/>
        </w:rPr>
        <w:t xml:space="preserve">Similarly, a retrospective </w:t>
      </w:r>
      <w:r w:rsidR="00953F17" w:rsidRPr="008A2C60">
        <w:rPr>
          <w:rFonts w:ascii="Book Antiqua" w:hAnsi="Book Antiqua"/>
        </w:rPr>
        <w:t>study by Tr</w:t>
      </w:r>
      <w:r w:rsidR="00557C6B" w:rsidRPr="008A2C60">
        <w:rPr>
          <w:rFonts w:ascii="Book Antiqua" w:hAnsi="Book Antiqua"/>
        </w:rPr>
        <w:t>a</w:t>
      </w:r>
      <w:r w:rsidR="00953F17" w:rsidRPr="008A2C60">
        <w:rPr>
          <w:rFonts w:ascii="Book Antiqua" w:hAnsi="Book Antiqua"/>
        </w:rPr>
        <w:t>i</w:t>
      </w:r>
      <w:r w:rsidR="00557C6B" w:rsidRPr="008A2C60">
        <w:rPr>
          <w:rFonts w:ascii="Book Antiqua" w:hAnsi="Book Antiqua"/>
        </w:rPr>
        <w:t xml:space="preserve">l </w:t>
      </w:r>
      <w:r w:rsidR="00EE3848" w:rsidRPr="00EE3848">
        <w:rPr>
          <w:rFonts w:ascii="Book Antiqua" w:hAnsi="Book Antiqua"/>
          <w:i/>
        </w:rPr>
        <w:t xml:space="preserve">et </w:t>
      </w:r>
      <w:proofErr w:type="gramStart"/>
      <w:r w:rsidR="00EE3848" w:rsidRPr="00EE3848">
        <w:rPr>
          <w:rFonts w:ascii="Book Antiqua" w:hAnsi="Book Antiqua"/>
          <w:i/>
        </w:rPr>
        <w:t>al</w:t>
      </w:r>
      <w:r w:rsidR="00944790" w:rsidRPr="00944790">
        <w:rPr>
          <w:rFonts w:ascii="Book Antiqua" w:hAnsi="Book Antiqua" w:hint="eastAsia"/>
          <w:vertAlign w:val="superscript"/>
          <w:lang w:eastAsia="zh-CN"/>
        </w:rPr>
        <w:t>[</w:t>
      </w:r>
      <w:proofErr w:type="gramEnd"/>
      <w:r w:rsidR="00944790" w:rsidRPr="00944790">
        <w:rPr>
          <w:rFonts w:ascii="Book Antiqua" w:hAnsi="Book Antiqua" w:hint="eastAsia"/>
          <w:vertAlign w:val="superscript"/>
          <w:lang w:eastAsia="zh-CN"/>
        </w:rPr>
        <w:t>20]</w:t>
      </w:r>
      <w:r w:rsidR="00557C6B" w:rsidRPr="00944790">
        <w:rPr>
          <w:rFonts w:ascii="Book Antiqua" w:hAnsi="Book Antiqua"/>
          <w:vertAlign w:val="superscript"/>
        </w:rPr>
        <w:t xml:space="preserve"> </w:t>
      </w:r>
      <w:r w:rsidR="00C80191" w:rsidRPr="008A2C60">
        <w:rPr>
          <w:rFonts w:ascii="Book Antiqua" w:hAnsi="Book Antiqua"/>
        </w:rPr>
        <w:t>(</w:t>
      </w:r>
      <w:r w:rsidR="007A3E9A" w:rsidRPr="007A3E9A">
        <w:rPr>
          <w:rFonts w:ascii="Book Antiqua" w:hAnsi="Book Antiqua"/>
          <w:i/>
        </w:rPr>
        <w:t xml:space="preserve">n = </w:t>
      </w:r>
      <w:r w:rsidR="00C80191" w:rsidRPr="008A2C60">
        <w:rPr>
          <w:rFonts w:ascii="Book Antiqua" w:hAnsi="Book Antiqua"/>
        </w:rPr>
        <w:t xml:space="preserve">497), </w:t>
      </w:r>
      <w:r w:rsidR="0088007C" w:rsidRPr="008A2C60">
        <w:rPr>
          <w:rFonts w:ascii="Book Antiqua" w:hAnsi="Book Antiqua"/>
        </w:rPr>
        <w:t>studied morbidity</w:t>
      </w:r>
      <w:r w:rsidR="000B69E5" w:rsidRPr="008A2C60">
        <w:rPr>
          <w:rFonts w:ascii="Book Antiqua" w:hAnsi="Book Antiqua"/>
        </w:rPr>
        <w:t>,</w:t>
      </w:r>
      <w:r w:rsidR="0088007C" w:rsidRPr="008A2C60">
        <w:rPr>
          <w:rFonts w:ascii="Book Antiqua" w:hAnsi="Book Antiqua"/>
        </w:rPr>
        <w:t xml:space="preserve"> including </w:t>
      </w:r>
      <w:r w:rsidR="000F35DA" w:rsidRPr="008A2C60">
        <w:rPr>
          <w:rFonts w:ascii="Book Antiqua" w:hAnsi="Book Antiqua"/>
        </w:rPr>
        <w:t xml:space="preserve">graft </w:t>
      </w:r>
      <w:r w:rsidR="0088007C" w:rsidRPr="008A2C60">
        <w:rPr>
          <w:rFonts w:ascii="Book Antiqua" w:hAnsi="Book Antiqua"/>
        </w:rPr>
        <w:t>rejection</w:t>
      </w:r>
      <w:r w:rsidR="000B69E5" w:rsidRPr="008A2C60">
        <w:rPr>
          <w:rFonts w:ascii="Book Antiqua" w:hAnsi="Book Antiqua"/>
        </w:rPr>
        <w:t>,</w:t>
      </w:r>
      <w:r w:rsidR="0088007C" w:rsidRPr="008A2C60">
        <w:rPr>
          <w:rFonts w:ascii="Book Antiqua" w:hAnsi="Book Antiqua"/>
        </w:rPr>
        <w:t xml:space="preserve"> in DM patients after </w:t>
      </w:r>
      <w:r w:rsidR="000B69E5" w:rsidRPr="008A2C60">
        <w:rPr>
          <w:rFonts w:ascii="Book Antiqua" w:hAnsi="Book Antiqua"/>
        </w:rPr>
        <w:t>LT</w:t>
      </w:r>
      <w:r w:rsidR="0088007C" w:rsidRPr="008A2C60">
        <w:rPr>
          <w:rFonts w:ascii="Book Antiqua" w:hAnsi="Book Antiqua"/>
        </w:rPr>
        <w:t xml:space="preserve"> compared with matched control patients.</w:t>
      </w:r>
      <w:r w:rsidR="00CE3AFE">
        <w:rPr>
          <w:rFonts w:ascii="Book Antiqua" w:hAnsi="Book Antiqua"/>
        </w:rPr>
        <w:t xml:space="preserve"> </w:t>
      </w:r>
      <w:r w:rsidR="008E19BF" w:rsidRPr="008A2C60">
        <w:rPr>
          <w:rFonts w:ascii="Book Antiqua" w:hAnsi="Book Antiqua"/>
        </w:rPr>
        <w:t>Mean</w:t>
      </w:r>
      <w:r w:rsidR="000F35DA" w:rsidRPr="008A2C60">
        <w:rPr>
          <w:rFonts w:ascii="Book Antiqua" w:hAnsi="Book Antiqua"/>
        </w:rPr>
        <w:t xml:space="preserve"> </w:t>
      </w:r>
      <w:r w:rsidR="00046D1F" w:rsidRPr="008A2C60">
        <w:rPr>
          <w:rFonts w:ascii="Book Antiqua" w:hAnsi="Book Antiqua"/>
        </w:rPr>
        <w:t xml:space="preserve">fasting blood glucose for </w:t>
      </w:r>
      <w:r w:rsidR="00D041A8" w:rsidRPr="008A2C60">
        <w:rPr>
          <w:rFonts w:ascii="Book Antiqua" w:hAnsi="Book Antiqua"/>
        </w:rPr>
        <w:t xml:space="preserve">patients with </w:t>
      </w:r>
      <w:r w:rsidR="00046D1F" w:rsidRPr="008A2C60">
        <w:rPr>
          <w:rFonts w:ascii="Book Antiqua" w:hAnsi="Book Antiqua"/>
        </w:rPr>
        <w:t xml:space="preserve">PTDM </w:t>
      </w:r>
      <w:r w:rsidR="000F35DA" w:rsidRPr="008A2C60">
        <w:rPr>
          <w:rFonts w:ascii="Book Antiqua" w:hAnsi="Book Antiqua"/>
        </w:rPr>
        <w:t>wa</w:t>
      </w:r>
      <w:r w:rsidR="00046D1F" w:rsidRPr="008A2C60">
        <w:rPr>
          <w:rFonts w:ascii="Book Antiqua" w:hAnsi="Book Antiqua"/>
        </w:rPr>
        <w:t>s 122.3</w:t>
      </w:r>
      <w:r w:rsidR="00C10193">
        <w:rPr>
          <w:rFonts w:ascii="Book Antiqua" w:hAnsi="Book Antiqua" w:hint="eastAsia"/>
          <w:lang w:eastAsia="zh-CN"/>
        </w:rPr>
        <w:t xml:space="preserve"> </w:t>
      </w:r>
      <w:r w:rsidR="00C10193">
        <w:rPr>
          <w:rFonts w:ascii="Book Antiqua" w:hAnsi="Book Antiqua"/>
        </w:rPr>
        <w:t>±</w:t>
      </w:r>
      <w:r w:rsidR="00C10193">
        <w:rPr>
          <w:rFonts w:ascii="Book Antiqua" w:hAnsi="Book Antiqua" w:hint="eastAsia"/>
          <w:lang w:eastAsia="zh-CN"/>
        </w:rPr>
        <w:t xml:space="preserve"> </w:t>
      </w:r>
      <w:r w:rsidR="00046D1F" w:rsidRPr="008A2C60">
        <w:rPr>
          <w:rFonts w:ascii="Book Antiqua" w:hAnsi="Book Antiqua"/>
        </w:rPr>
        <w:t xml:space="preserve">5.0 </w:t>
      </w:r>
      <w:r w:rsidR="001C1B33" w:rsidRPr="008A2C60">
        <w:rPr>
          <w:rFonts w:ascii="Book Antiqua" w:hAnsi="Book Antiqua"/>
        </w:rPr>
        <w:t xml:space="preserve">mg/dL </w:t>
      </w:r>
      <w:r w:rsidR="00046D1F" w:rsidRPr="008A2C60">
        <w:rPr>
          <w:rFonts w:ascii="Book Antiqua" w:hAnsi="Book Antiqua"/>
        </w:rPr>
        <w:t>compared to 101.9</w:t>
      </w:r>
      <w:r w:rsidR="00C10193">
        <w:rPr>
          <w:rFonts w:ascii="Book Antiqua" w:hAnsi="Book Antiqua" w:hint="eastAsia"/>
          <w:lang w:eastAsia="zh-CN"/>
        </w:rPr>
        <w:t xml:space="preserve"> </w:t>
      </w:r>
      <w:r w:rsidR="00C10193">
        <w:rPr>
          <w:rFonts w:ascii="Book Antiqua" w:hAnsi="Book Antiqua"/>
        </w:rPr>
        <w:t>±</w:t>
      </w:r>
      <w:r w:rsidR="00C10193">
        <w:rPr>
          <w:rFonts w:ascii="Book Antiqua" w:hAnsi="Book Antiqua" w:hint="eastAsia"/>
          <w:lang w:eastAsia="zh-CN"/>
        </w:rPr>
        <w:t xml:space="preserve"> </w:t>
      </w:r>
      <w:r w:rsidR="00046D1F" w:rsidRPr="008A2C60">
        <w:rPr>
          <w:rFonts w:ascii="Book Antiqua" w:hAnsi="Book Antiqua"/>
        </w:rPr>
        <w:t xml:space="preserve">3.9 </w:t>
      </w:r>
      <w:r w:rsidR="001C1B33" w:rsidRPr="008A2C60">
        <w:rPr>
          <w:rFonts w:ascii="Book Antiqua" w:hAnsi="Book Antiqua"/>
        </w:rPr>
        <w:t xml:space="preserve">mg/dL </w:t>
      </w:r>
      <w:r w:rsidR="00D041A8" w:rsidRPr="008A2C60">
        <w:rPr>
          <w:rFonts w:ascii="Book Antiqua" w:hAnsi="Book Antiqua"/>
        </w:rPr>
        <w:t xml:space="preserve">for the matched control patients </w:t>
      </w:r>
      <w:r w:rsidR="00046D1F" w:rsidRPr="008A2C60">
        <w:rPr>
          <w:rFonts w:ascii="Book Antiqua" w:hAnsi="Book Antiqua"/>
        </w:rPr>
        <w:t>(</w:t>
      </w:r>
      <w:r w:rsidR="00C10193" w:rsidRPr="00C10193">
        <w:rPr>
          <w:rFonts w:ascii="Book Antiqua" w:hAnsi="Book Antiqua"/>
          <w:i/>
        </w:rPr>
        <w:t>P</w:t>
      </w:r>
      <w:r w:rsidR="00046D1F" w:rsidRPr="008A2C60">
        <w:rPr>
          <w:rFonts w:ascii="Book Antiqua" w:hAnsi="Book Antiqua"/>
        </w:rPr>
        <w:t xml:space="preserve"> &lt; 0.01)</w:t>
      </w:r>
      <w:r w:rsidR="00D041A8" w:rsidRPr="008A2C60">
        <w:rPr>
          <w:rFonts w:ascii="Book Antiqua" w:hAnsi="Book Antiqua"/>
        </w:rPr>
        <w:t>.</w:t>
      </w:r>
      <w:r w:rsidR="00CE3AFE">
        <w:rPr>
          <w:rFonts w:ascii="Book Antiqua" w:hAnsi="Book Antiqua"/>
        </w:rPr>
        <w:t xml:space="preserve"> </w:t>
      </w:r>
      <w:r w:rsidR="00480EFC" w:rsidRPr="008A2C60">
        <w:rPr>
          <w:rFonts w:ascii="Book Antiqua" w:hAnsi="Book Antiqua"/>
        </w:rPr>
        <w:t>Despite the statistical</w:t>
      </w:r>
      <w:r w:rsidR="000F35DA" w:rsidRPr="008A2C60">
        <w:rPr>
          <w:rFonts w:ascii="Book Antiqua" w:hAnsi="Book Antiqua"/>
        </w:rPr>
        <w:t>ly</w:t>
      </w:r>
      <w:r w:rsidR="00480EFC" w:rsidRPr="008A2C60">
        <w:rPr>
          <w:rFonts w:ascii="Book Antiqua" w:hAnsi="Book Antiqua"/>
        </w:rPr>
        <w:t xml:space="preserve"> significan</w:t>
      </w:r>
      <w:r w:rsidR="000F35DA" w:rsidRPr="008A2C60">
        <w:rPr>
          <w:rFonts w:ascii="Book Antiqua" w:hAnsi="Book Antiqua"/>
        </w:rPr>
        <w:t>t</w:t>
      </w:r>
      <w:r w:rsidR="00480EFC" w:rsidRPr="008A2C60">
        <w:rPr>
          <w:rFonts w:ascii="Book Antiqua" w:hAnsi="Book Antiqua"/>
        </w:rPr>
        <w:t xml:space="preserve"> difference in glycemic levels between the PTDM group and matched control group, the number of rejection episodes was similar between the two groups </w:t>
      </w:r>
      <w:r w:rsidR="00480EFC" w:rsidRPr="00944790">
        <w:rPr>
          <w:rFonts w:ascii="Book Antiqua" w:hAnsi="Book Antiqua"/>
          <w:i/>
        </w:rPr>
        <w:t>i.e.</w:t>
      </w:r>
      <w:r w:rsidR="00944790">
        <w:rPr>
          <w:rFonts w:ascii="Book Antiqua" w:hAnsi="Book Antiqua" w:hint="eastAsia"/>
          <w:lang w:eastAsia="zh-CN"/>
        </w:rPr>
        <w:t>,</w:t>
      </w:r>
      <w:r w:rsidR="00480EFC" w:rsidRPr="008A2C60">
        <w:rPr>
          <w:rFonts w:ascii="Book Antiqua" w:hAnsi="Book Antiqua"/>
        </w:rPr>
        <w:t xml:space="preserve"> </w:t>
      </w:r>
      <w:r w:rsidR="000F35DA" w:rsidRPr="008A2C60">
        <w:rPr>
          <w:rFonts w:ascii="Book Antiqua" w:hAnsi="Book Antiqua"/>
        </w:rPr>
        <w:t xml:space="preserve">rates of rejection were not </w:t>
      </w:r>
      <w:r w:rsidR="00480EFC" w:rsidRPr="008A2C60">
        <w:rPr>
          <w:rFonts w:ascii="Book Antiqua" w:hAnsi="Book Antiqua"/>
        </w:rPr>
        <w:t>significan</w:t>
      </w:r>
      <w:r w:rsidR="000F35DA" w:rsidRPr="008A2C60">
        <w:rPr>
          <w:rFonts w:ascii="Book Antiqua" w:hAnsi="Book Antiqua"/>
        </w:rPr>
        <w:t>tly</w:t>
      </w:r>
      <w:r w:rsidR="00480EFC" w:rsidRPr="008A2C60">
        <w:rPr>
          <w:rFonts w:ascii="Book Antiqua" w:hAnsi="Book Antiqua"/>
        </w:rPr>
        <w:t xml:space="preserve"> differen</w:t>
      </w:r>
      <w:r w:rsidR="000F35DA" w:rsidRPr="008A2C60">
        <w:rPr>
          <w:rFonts w:ascii="Book Antiqua" w:hAnsi="Book Antiqua"/>
        </w:rPr>
        <w:t>t</w:t>
      </w:r>
      <w:r w:rsidR="00480EFC" w:rsidRPr="008A2C60">
        <w:rPr>
          <w:rFonts w:ascii="Book Antiqua" w:hAnsi="Book Antiqua"/>
        </w:rPr>
        <w:t xml:space="preserve"> between groups</w:t>
      </w:r>
      <w:r w:rsidR="001371C3" w:rsidRPr="008A2C60">
        <w:rPr>
          <w:rFonts w:ascii="Book Antiqua" w:hAnsi="Book Antiqua"/>
        </w:rPr>
        <w:t>.</w:t>
      </w:r>
      <w:r w:rsidR="00CE3AFE">
        <w:rPr>
          <w:rFonts w:ascii="Book Antiqua" w:hAnsi="Book Antiqua"/>
        </w:rPr>
        <w:t xml:space="preserve"> </w:t>
      </w:r>
    </w:p>
    <w:p w14:paraId="6E8E2432" w14:textId="77777777" w:rsidR="00E626B1" w:rsidRPr="008A2C60" w:rsidRDefault="00E626B1" w:rsidP="00C26D7B">
      <w:pPr>
        <w:spacing w:line="360" w:lineRule="auto"/>
        <w:contextualSpacing/>
        <w:jc w:val="both"/>
        <w:rPr>
          <w:rFonts w:ascii="Book Antiqua" w:hAnsi="Book Antiqua"/>
        </w:rPr>
      </w:pPr>
    </w:p>
    <w:p w14:paraId="5E0F7A3D" w14:textId="3EA36875" w:rsidR="00E626B1" w:rsidRPr="00C10193" w:rsidRDefault="00F2781B" w:rsidP="00C26D7B">
      <w:pPr>
        <w:spacing w:line="360" w:lineRule="auto"/>
        <w:contextualSpacing/>
        <w:jc w:val="both"/>
        <w:rPr>
          <w:rFonts w:ascii="Book Antiqua" w:hAnsi="Book Antiqua"/>
          <w:b/>
          <w:i/>
        </w:rPr>
      </w:pPr>
      <w:r w:rsidRPr="00C10193">
        <w:rPr>
          <w:rFonts w:ascii="Book Antiqua" w:hAnsi="Book Antiqua"/>
          <w:b/>
          <w:i/>
        </w:rPr>
        <w:t>Infection</w:t>
      </w:r>
    </w:p>
    <w:p w14:paraId="04B18DC2" w14:textId="0BFE118D" w:rsidR="00210D69" w:rsidRPr="008A2C60" w:rsidRDefault="006A5E30" w:rsidP="00C26D7B">
      <w:pPr>
        <w:spacing w:line="360" w:lineRule="auto"/>
        <w:contextualSpacing/>
        <w:jc w:val="both"/>
        <w:rPr>
          <w:rFonts w:ascii="Book Antiqua" w:hAnsi="Book Antiqua"/>
        </w:rPr>
      </w:pPr>
      <w:r w:rsidRPr="008A2C60">
        <w:rPr>
          <w:rFonts w:ascii="Book Antiqua" w:hAnsi="Book Antiqua"/>
        </w:rPr>
        <w:t>S</w:t>
      </w:r>
      <w:r w:rsidR="005B58F8" w:rsidRPr="008A2C60">
        <w:rPr>
          <w:rFonts w:ascii="Book Antiqua" w:hAnsi="Book Antiqua"/>
        </w:rPr>
        <w:t xml:space="preserve">ix </w:t>
      </w:r>
      <w:r w:rsidR="000E7327" w:rsidRPr="008A2C60">
        <w:rPr>
          <w:rFonts w:ascii="Book Antiqua" w:hAnsi="Book Antiqua"/>
        </w:rPr>
        <w:t>retrospective studies evaluated the association betwee</w:t>
      </w:r>
      <w:r w:rsidR="004915B3" w:rsidRPr="008A2C60">
        <w:rPr>
          <w:rFonts w:ascii="Book Antiqua" w:hAnsi="Book Antiqua"/>
        </w:rPr>
        <w:t>n glucose levels and inf</w:t>
      </w:r>
      <w:r w:rsidR="00BB0D68" w:rsidRPr="008A2C60">
        <w:rPr>
          <w:rFonts w:ascii="Book Antiqua" w:hAnsi="Book Antiqua"/>
        </w:rPr>
        <w:t>ection.</w:t>
      </w:r>
      <w:r w:rsidR="00CE3AFE">
        <w:rPr>
          <w:rFonts w:ascii="Book Antiqua" w:hAnsi="Book Antiqua"/>
        </w:rPr>
        <w:t xml:space="preserve"> </w:t>
      </w:r>
      <w:r w:rsidR="00697FF8" w:rsidRPr="008A2C60">
        <w:rPr>
          <w:rFonts w:ascii="Book Antiqua" w:hAnsi="Book Antiqua"/>
        </w:rPr>
        <w:t xml:space="preserve">Park </w:t>
      </w:r>
      <w:r w:rsidR="00EE3848" w:rsidRPr="00EE3848">
        <w:rPr>
          <w:rFonts w:ascii="Book Antiqua" w:hAnsi="Book Antiqua"/>
          <w:i/>
        </w:rPr>
        <w:t>et al</w:t>
      </w:r>
      <w:r w:rsidR="00944790" w:rsidRPr="008A2C60">
        <w:rPr>
          <w:rFonts w:ascii="Book Antiqua" w:hAnsi="Book Antiqua"/>
        </w:rPr>
        <w:fldChar w:fldCharType="begin" w:fldLock="1"/>
      </w:r>
      <w:r w:rsidR="00944790" w:rsidRPr="008A2C60">
        <w:rPr>
          <w:rFonts w:ascii="Book Antiqua" w:hAnsi="Book Antiqua"/>
        </w:rPr>
        <w:instrText>ADDIN CSL_CITATION { "citationItems" : [ { "id" : "ITEM-1", "itemData" : { "DOI" : "10.1097/TP.0b013e31819cc3e6", "ISBN" : "1534-6080", "ISSN" : "1534-6080", "PMID" : "19352123", "abstract" : "BACKGROUND: Surgical site infection (SSI) is a common postoperative complication associated with increased morbidity and mortality in patients undergoing liver transplantation (LT). Although intraoperative hyperglycemia has been shown to be associated with adverse postoperative outcomes including overall infection rate in LT patients, a relationship between intraoperative hyperglycemia and SSI in LT has not been established. We sought to determine if intraoperative hyperglycemia was associated with SSI after LT.\\n\\nMETHODS: Patients undergoing LT at our medical center between January 2004 and November 2007 were included in the study. Recipient, donor, and intraoperative variables including a variety of glucose indices were retrospectively analyzed. Independent risk factors of SSI were identified using a multivariate logistic regression model.\\n\\nRESULTS: Of 680 patients, 76 (11.2%) experienced postoperative SSIs. Among all intraoperative glucose indices analyzed, severe hyperglycemia (&gt;or= 200 mg/dL) was independently associated with postoperative SSI (odds ratio [OR] 2.25, 95% confidence interval [CI] 1.26-4.03, P=0.006). Other independent risk factors include repeat surgery (OR 6.58, 95% CI 3.41-12.69, P&lt;0.001), intraoperative administration of vasopressor (OR 3.14, 95% CI 1.65-5.95, P&lt;0.001), preoperative mechanical ventilation (OR 3.01, 95% CI 1.70-5.33, P&lt;0.001), and combined liver and kidney transplantation (OR 2.95, 95% CI 3.41-12.69, P&lt;0.001).\\n\\nCONCLUSIONS: Severe, but not mild or moderate, intraoperative hyperglycemia is independently associated with postoperative SSI and should be avoided during LT surgery.", "author" : [ { "dropping-particle" : "", "family" : "Park", "given" : "Chulsoo", "non-dropping-particle" : "", "parse-names" : false, "suffix" : "" }, { "dropping-particle" : "", "family" : "Hsu", "given" : "Chehao", "non-dropping-particle" : "", "parse-names" : false, "suffix" : "" }, { "dropping-particle" : "", "family" : "Neelakanta", "given" : "Gundappa", "non-dropping-particle" : "", "parse-names" : false, "suffix" : "" }, { "dropping-particle" : "", "family" : "Nourmand", "given" : "Hamid", "non-dropping-particle" : "", "parse-names" : false, "suffix" : "" }, { "dropping-particle" : "", "family" : "Braunfeld", "given" : "Michelle", "non-dropping-particle" : "", "parse-names" : false, "suffix" : "" }, { "dropping-particle" : "", "family" : "Wray", "given" : "Christopher", "non-dropping-particle" : "", "parse-names" : false, "suffix" : "" }, { "dropping-particle" : "", "family" : "Steadman", "given" : "Randolph H", "non-dropping-particle" : "", "parse-names" : false, "suffix" : "" }, { "dropping-particle" : "", "family" : "Hu", "given" : "Ke-Qin", "non-dropping-particle" : "", "parse-names" : false, "suffix" : "" }, { "dropping-particle" : "", "family" : "Cheng", "given" : "Ronald T", "non-dropping-particle" : "", "parse-names" : false, "suffix" : "" }, { "dropping-particle" : "", "family" : "Xia", "given" : "Victor W", "non-dropping-particle" : "", "parse-names" : false, "suffix" : "" } ], "container-title" : "Transplantation", "id" : "ITEM-1", "issue" : "7", "issued" : { "date-parts" : [ [ "2009" ] ] }, "page" : "1031-6", "title" : "Severe intraoperative hyperglycemia is independently associated with surgical site infection after liver transplantation.", "type" : "article-journal", "volume" : "87" }, "uris" : [ "http://www.mendeley.com/documents/?uuid=126dab49-d2fd-43f6-bc13-46460424d959" ] } ], "mendeley" : { "formattedCitation" : "&lt;sup&gt;[4]&lt;/sup&gt;", "plainTextFormattedCitation" : "[4]", "previouslyFormattedCitation" : "&lt;sup&gt;[4]&lt;/sup&gt;" }, "properties" : {  }, "schema" : "https://github.com/citation-style-language/schema/raw/master/csl-citation.json" }</w:instrText>
      </w:r>
      <w:r w:rsidR="00944790" w:rsidRPr="008A2C60">
        <w:rPr>
          <w:rFonts w:ascii="Book Antiqua" w:hAnsi="Book Antiqua"/>
        </w:rPr>
        <w:fldChar w:fldCharType="separate"/>
      </w:r>
      <w:r w:rsidR="00944790" w:rsidRPr="008A2C60">
        <w:rPr>
          <w:rFonts w:ascii="Book Antiqua" w:hAnsi="Book Antiqua"/>
          <w:noProof/>
          <w:vertAlign w:val="superscript"/>
        </w:rPr>
        <w:t>[4]</w:t>
      </w:r>
      <w:r w:rsidR="00944790" w:rsidRPr="008A2C60">
        <w:rPr>
          <w:rFonts w:ascii="Book Antiqua" w:hAnsi="Book Antiqua"/>
        </w:rPr>
        <w:fldChar w:fldCharType="end"/>
      </w:r>
      <w:r w:rsidR="00697FF8" w:rsidRPr="008A2C60">
        <w:rPr>
          <w:rFonts w:ascii="Book Antiqua" w:hAnsi="Book Antiqua"/>
        </w:rPr>
        <w:t xml:space="preserve"> studied </w:t>
      </w:r>
      <w:r w:rsidR="000F35DA" w:rsidRPr="008A2C60">
        <w:rPr>
          <w:rFonts w:ascii="Book Antiqua" w:hAnsi="Book Antiqua"/>
        </w:rPr>
        <w:t xml:space="preserve">the association between </w:t>
      </w:r>
      <w:r w:rsidR="00910802" w:rsidRPr="008A2C60">
        <w:rPr>
          <w:rFonts w:ascii="Book Antiqua" w:hAnsi="Book Antiqua"/>
        </w:rPr>
        <w:t xml:space="preserve">intraoperative </w:t>
      </w:r>
      <w:r w:rsidR="00697FF8" w:rsidRPr="008A2C60">
        <w:rPr>
          <w:rFonts w:ascii="Book Antiqua" w:hAnsi="Book Antiqua"/>
        </w:rPr>
        <w:t>hyperglycemia and surgical site infection</w:t>
      </w:r>
      <w:r w:rsidR="005B0918" w:rsidRPr="008A2C60">
        <w:rPr>
          <w:rFonts w:ascii="Book Antiqua" w:hAnsi="Book Antiqua"/>
        </w:rPr>
        <w:t xml:space="preserve"> (SSI)</w:t>
      </w:r>
      <w:r w:rsidR="00697FF8" w:rsidRPr="008A2C60">
        <w:rPr>
          <w:rFonts w:ascii="Book Antiqua" w:hAnsi="Book Antiqua"/>
        </w:rPr>
        <w:t xml:space="preserve"> </w:t>
      </w:r>
      <w:r w:rsidR="00910802" w:rsidRPr="008A2C60">
        <w:rPr>
          <w:rFonts w:ascii="Book Antiqua" w:hAnsi="Book Antiqua"/>
        </w:rPr>
        <w:t xml:space="preserve">postoperatively </w:t>
      </w:r>
      <w:r w:rsidR="005B0918" w:rsidRPr="008A2C60">
        <w:rPr>
          <w:rFonts w:ascii="Book Antiqua" w:hAnsi="Book Antiqua"/>
        </w:rPr>
        <w:t>in a retrospective study</w:t>
      </w:r>
      <w:r w:rsidR="0070007A" w:rsidRPr="008A2C60">
        <w:rPr>
          <w:rFonts w:ascii="Book Antiqua" w:hAnsi="Book Antiqua"/>
        </w:rPr>
        <w:t xml:space="preserve"> (</w:t>
      </w:r>
      <w:r w:rsidR="007A3E9A" w:rsidRPr="007A3E9A">
        <w:rPr>
          <w:rFonts w:ascii="Book Antiqua" w:hAnsi="Book Antiqua"/>
          <w:i/>
        </w:rPr>
        <w:t xml:space="preserve">n = </w:t>
      </w:r>
      <w:r w:rsidR="0070007A" w:rsidRPr="008A2C60">
        <w:rPr>
          <w:rFonts w:ascii="Book Antiqua" w:hAnsi="Book Antiqua"/>
        </w:rPr>
        <w:t>680)</w:t>
      </w:r>
      <w:r w:rsidR="00697FF8" w:rsidRPr="008A2C60">
        <w:rPr>
          <w:rFonts w:ascii="Book Antiqua" w:hAnsi="Book Antiqua"/>
        </w:rPr>
        <w:t>.</w:t>
      </w:r>
      <w:r w:rsidR="00CE3AFE">
        <w:rPr>
          <w:rFonts w:ascii="Book Antiqua" w:hAnsi="Book Antiqua"/>
        </w:rPr>
        <w:t xml:space="preserve"> </w:t>
      </w:r>
      <w:r w:rsidR="00E34EC4" w:rsidRPr="008A2C60">
        <w:rPr>
          <w:rFonts w:ascii="Book Antiqua" w:hAnsi="Book Antiqua"/>
        </w:rPr>
        <w:t>Of the 680 patients, 76 (11.2%) experienced SSI after LT.</w:t>
      </w:r>
      <w:r w:rsidR="00CE3AFE">
        <w:rPr>
          <w:rFonts w:ascii="Book Antiqua" w:hAnsi="Book Antiqua"/>
        </w:rPr>
        <w:t xml:space="preserve"> </w:t>
      </w:r>
      <w:r w:rsidR="009B6206" w:rsidRPr="008A2C60">
        <w:rPr>
          <w:rFonts w:ascii="Book Antiqua" w:hAnsi="Book Antiqua"/>
        </w:rPr>
        <w:t>Severe hyperglycemia (</w:t>
      </w:r>
      <w:r w:rsidR="00305DE1" w:rsidRPr="008A2C60">
        <w:rPr>
          <w:rFonts w:ascii="Book Antiqua" w:hAnsi="Book Antiqua"/>
        </w:rPr>
        <w:t xml:space="preserve">defined as </w:t>
      </w:r>
      <w:r w:rsidR="002624CC" w:rsidRPr="008A2C60">
        <w:rPr>
          <w:rFonts w:ascii="Book Antiqua" w:hAnsi="Book Antiqua"/>
        </w:rPr>
        <w:t xml:space="preserve">mean </w:t>
      </w:r>
      <w:r w:rsidR="009B6206" w:rsidRPr="008A2C60">
        <w:rPr>
          <w:rFonts w:ascii="Book Antiqua" w:hAnsi="Book Antiqua"/>
        </w:rPr>
        <w:t xml:space="preserve">BG </w:t>
      </w:r>
      <w:r w:rsidR="00C10193">
        <w:rPr>
          <w:rFonts w:ascii="Book Antiqua" w:hAnsi="Book Antiqua"/>
          <w:u w:val="single"/>
        </w:rPr>
        <w:t>≥</w:t>
      </w:r>
      <w:r w:rsidR="009B6206" w:rsidRPr="008A2C60">
        <w:rPr>
          <w:rFonts w:ascii="Book Antiqua" w:hAnsi="Book Antiqua"/>
        </w:rPr>
        <w:t xml:space="preserve"> 200 mg/dL) was seen in 37.8% of the 76 patients with SSIs compared to </w:t>
      </w:r>
      <w:r w:rsidR="005E229F" w:rsidRPr="008A2C60">
        <w:rPr>
          <w:rFonts w:ascii="Book Antiqua" w:hAnsi="Book Antiqua"/>
        </w:rPr>
        <w:t xml:space="preserve">only </w:t>
      </w:r>
      <w:r w:rsidR="009B6206" w:rsidRPr="008A2C60">
        <w:rPr>
          <w:rFonts w:ascii="Book Antiqua" w:hAnsi="Book Antiqua"/>
        </w:rPr>
        <w:t>21.9% of the 604</w:t>
      </w:r>
      <w:r w:rsidR="00305DE1" w:rsidRPr="008A2C60">
        <w:rPr>
          <w:rFonts w:ascii="Book Antiqua" w:hAnsi="Book Antiqua"/>
        </w:rPr>
        <w:t xml:space="preserve"> non-SSI patients (</w:t>
      </w:r>
      <w:r w:rsidR="00C10193" w:rsidRPr="00C10193">
        <w:rPr>
          <w:rFonts w:ascii="Book Antiqua" w:hAnsi="Book Antiqua"/>
          <w:i/>
        </w:rPr>
        <w:t>P</w:t>
      </w:r>
      <w:r w:rsidR="00305DE1" w:rsidRPr="008A2C60">
        <w:rPr>
          <w:rFonts w:ascii="Book Antiqua" w:hAnsi="Book Antiqua"/>
        </w:rPr>
        <w:t xml:space="preserve"> = 0.002) suggesting an association between</w:t>
      </w:r>
      <w:r w:rsidR="00E22306" w:rsidRPr="008A2C60">
        <w:rPr>
          <w:rFonts w:ascii="Book Antiqua" w:hAnsi="Book Antiqua"/>
        </w:rPr>
        <w:t xml:space="preserve"> the occurrence of</w:t>
      </w:r>
      <w:r w:rsidR="00305DE1" w:rsidRPr="008A2C60">
        <w:rPr>
          <w:rFonts w:ascii="Book Antiqua" w:hAnsi="Book Antiqua"/>
        </w:rPr>
        <w:t xml:space="preserve"> SSIs and </w:t>
      </w:r>
      <w:r w:rsidR="006042F1" w:rsidRPr="008A2C60">
        <w:rPr>
          <w:rFonts w:ascii="Book Antiqua" w:hAnsi="Book Antiqua"/>
        </w:rPr>
        <w:t xml:space="preserve">mean </w:t>
      </w:r>
      <w:r w:rsidR="00305DE1" w:rsidRPr="008A2C60">
        <w:rPr>
          <w:rFonts w:ascii="Book Antiqua" w:hAnsi="Book Antiqua"/>
        </w:rPr>
        <w:t xml:space="preserve">BG levels </w:t>
      </w:r>
      <w:bookmarkStart w:id="200" w:name="OLE_LINK1602"/>
      <w:bookmarkStart w:id="201" w:name="OLE_LINK1603"/>
      <w:r w:rsidR="00C10193" w:rsidRPr="00C10193">
        <w:rPr>
          <w:rFonts w:ascii="Book Antiqua" w:hAnsi="Book Antiqua"/>
        </w:rPr>
        <w:t>≥</w:t>
      </w:r>
      <w:bookmarkEnd w:id="200"/>
      <w:bookmarkEnd w:id="201"/>
      <w:r w:rsidR="00305DE1" w:rsidRPr="008A2C60">
        <w:rPr>
          <w:rFonts w:ascii="Book Antiqua" w:hAnsi="Book Antiqua"/>
        </w:rPr>
        <w:t xml:space="preserve"> 200 mg/dL</w:t>
      </w:r>
      <w:r w:rsidR="003810B6" w:rsidRPr="008A2C60">
        <w:rPr>
          <w:rFonts w:ascii="Book Antiqua" w:hAnsi="Book Antiqua"/>
        </w:rPr>
        <w:t>.</w:t>
      </w:r>
      <w:r w:rsidR="00CE3AFE">
        <w:rPr>
          <w:rFonts w:ascii="Book Antiqua" w:hAnsi="Book Antiqua"/>
        </w:rPr>
        <w:t xml:space="preserve"> </w:t>
      </w:r>
      <w:r w:rsidR="00910802" w:rsidRPr="008A2C60">
        <w:rPr>
          <w:rFonts w:ascii="Book Antiqua" w:hAnsi="Book Antiqua"/>
        </w:rPr>
        <w:t xml:space="preserve">Similarly, </w:t>
      </w:r>
      <w:r w:rsidR="00D56925" w:rsidRPr="008A2C60">
        <w:rPr>
          <w:rFonts w:ascii="Book Antiqua" w:hAnsi="Book Antiqua"/>
        </w:rPr>
        <w:t>In t</w:t>
      </w:r>
      <w:r w:rsidR="00C10193">
        <w:rPr>
          <w:rFonts w:ascii="Book Antiqua" w:hAnsi="Book Antiqua"/>
        </w:rPr>
        <w:t xml:space="preserve">he study by </w:t>
      </w:r>
      <w:proofErr w:type="spellStart"/>
      <w:r w:rsidR="00C10193">
        <w:rPr>
          <w:rFonts w:ascii="Book Antiqua" w:hAnsi="Book Antiqua"/>
        </w:rPr>
        <w:t>Ammori</w:t>
      </w:r>
      <w:proofErr w:type="spellEnd"/>
      <w:r w:rsidR="00C10193">
        <w:rPr>
          <w:rFonts w:ascii="Book Antiqua" w:hAnsi="Book Antiqua"/>
        </w:rPr>
        <w:t xml:space="preserve">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"DOI" : "10.1016/j.jss.2007.02.019", "ISBN" : "0022-4804; 0022-4804", "ISSN" : "00224804", "PMID" : "17509267", "abstract" : "Background: Intensive blood glucose management has been shown to decrease mortality and infections for intensive care patients. The effect of intraoperative strict glucose control on surgical outcomes, including liver transplantation, has not been well evaluated. Materials and methods: A retrospective review of all adult liver recipients transplanted between January 1, 2004 and July 6, 2006 was performed. Donor and recipient demographics, intraoperative variables, and outcomes were collected. Intraoperative glucose measurements were performed by the anesthesiology team and treated with intravenous insulin bolus or continuous infusion. Patients with strict glycemic control (mean blood glucose &lt;150 mg/dL) were compared with those with poor control (mean blood glucose ???150 mg/dL). Results: During the study period, a total of 184 patients met criteria for analysis. Recipients with strict glycemic control (n = 60) had a mean glucose of 135 mg/dL compared with 184 mg/dL in the poorly controlled group (n = 124). Other than recipient age (strict versus poor control, 47 ?? 2 y versus 53 ?? 1 y; P &lt; 0.01), both groups had similar donor and recipient characteristics. Although the incidence of most postoperative complications were similar, poor glycemic control was associated with a significantly increased infection rate at 30 d posttransplant (48% versus 30%; P = 0.02), and also an increased 1 y mortality (21.9% versus 8.8%; P = 0.05). Conclusions: Intraoperative hyperglycemia during liver transplantation was associated with an increased risk of postoperative infection and mortality. Strict intraoperative glycemic control, possibly using insulin infusions, may improve outcomes following liver transplantation. ?? 2007 Elsevier Inc. All rights reserved.", "author" : [ { "dropping-particle" : "", "family" : "Ammori", "given" : "John B.", "non-dropping-particle" : "", "parse-names" : false, "suffix" : "" }, { "dropping-particle" : "", "family" : "Sigakis", "given" : "Matthew", "non-dropping-particle" : "", "parse-names" : false, "suffix" : "" }, { "dropping-particle" : "", "family" : "Englesbe", "given" : "Michael J.", "non-dropping-particle" : "", "parse-names" : false, "suffix" : "" }, { "dropping-particle" : "", "family" : "O'Reilly", "given" : "Michael", "non-dropping-particle" : "", "parse-names" : false, "suffix" : "" }, { "dropping-particle" : "", "family" : "Pelletier", "given" : "Shawn J.", "non-dropping-particle" : "", "parse-names" : false, "suffix" : "" } ], "container-title" : "Journal of Surgical Research", "id" : "ITEM-1", "issue" : "2", "issued" : { "date-parts" : [ [ "2007" ] ] }, "page" : "227-233", "title" : "Effect of Intraoperative Hyperglycemia During Liver Transplantation", "type" : "article-journal", "volume" : "140" }, "uris" : [ "http://www.mendeley.com/documents/?uuid=d9efaca6-b68b-4a30-8d84-22a917bb52b3" ] } ], "mendeley" : { "formattedCitation" : "&lt;sup&gt;[5]&lt;/sup&gt;", "plainTextFormattedCitation" : "[5]", "previouslyFormattedCitation" : "&lt;sup&gt;[5]&lt;/sup&gt;"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[5]</w:t>
      </w:r>
      <w:r w:rsidR="00C10193" w:rsidRPr="008A2C60">
        <w:rPr>
          <w:rFonts w:ascii="Book Antiqua" w:hAnsi="Book Antiqua"/>
        </w:rPr>
        <w:fldChar w:fldCharType="end"/>
      </w:r>
      <w:r w:rsidR="00D56925" w:rsidRPr="008A2C60">
        <w:rPr>
          <w:rFonts w:ascii="Book Antiqua" w:hAnsi="Book Antiqua"/>
        </w:rPr>
        <w:t xml:space="preserve">, infectious complications </w:t>
      </w:r>
      <w:r w:rsidR="00AA2A6A" w:rsidRPr="008A2C60">
        <w:rPr>
          <w:rFonts w:ascii="Book Antiqua" w:hAnsi="Book Antiqua"/>
        </w:rPr>
        <w:t xml:space="preserve">when assessed 30 d post-LT </w:t>
      </w:r>
      <w:r w:rsidR="0011461B" w:rsidRPr="008A2C60">
        <w:rPr>
          <w:rFonts w:ascii="Book Antiqua" w:hAnsi="Book Antiqua"/>
        </w:rPr>
        <w:t>were significantly associated with worse glucose control</w:t>
      </w:r>
      <w:r w:rsidR="00C10193">
        <w:rPr>
          <w:rFonts w:ascii="Book Antiqua" w:hAnsi="Book Antiqua" w:hint="eastAsia"/>
          <w:lang w:eastAsia="zh-CN"/>
        </w:rPr>
        <w:t>-</w:t>
      </w:r>
      <w:r w:rsidR="0011461B" w:rsidRPr="008A2C60">
        <w:rPr>
          <w:rFonts w:ascii="Book Antiqua" w:hAnsi="Book Antiqua"/>
        </w:rPr>
        <w:t>among the</w:t>
      </w:r>
      <w:r w:rsidR="00D56925" w:rsidRPr="008A2C60">
        <w:rPr>
          <w:rFonts w:ascii="Book Antiqua" w:hAnsi="Book Antiqua"/>
        </w:rPr>
        <w:t xml:space="preserve"> strict glucose control </w:t>
      </w:r>
      <w:r w:rsidR="0011461B" w:rsidRPr="008A2C60">
        <w:rPr>
          <w:rFonts w:ascii="Book Antiqua" w:hAnsi="Book Antiqua"/>
        </w:rPr>
        <w:t xml:space="preserve">group </w:t>
      </w:r>
      <w:r w:rsidR="00D56925" w:rsidRPr="008A2C60">
        <w:rPr>
          <w:rFonts w:ascii="Book Antiqua" w:hAnsi="Book Antiqua"/>
        </w:rPr>
        <w:t xml:space="preserve">(mean </w:t>
      </w:r>
      <w:r w:rsidR="00D63031" w:rsidRPr="008A2C60">
        <w:rPr>
          <w:rFonts w:ascii="Book Antiqua" w:hAnsi="Book Antiqua"/>
        </w:rPr>
        <w:t xml:space="preserve">BG </w:t>
      </w:r>
      <w:r w:rsidR="00D56925" w:rsidRPr="008A2C60">
        <w:rPr>
          <w:rFonts w:ascii="Book Antiqua" w:hAnsi="Book Antiqua"/>
        </w:rPr>
        <w:t>&lt;</w:t>
      </w:r>
      <w:r w:rsidR="00C10193">
        <w:rPr>
          <w:rFonts w:ascii="Book Antiqua" w:hAnsi="Book Antiqua" w:hint="eastAsia"/>
          <w:lang w:eastAsia="zh-CN"/>
        </w:rPr>
        <w:t xml:space="preserve"> </w:t>
      </w:r>
      <w:r w:rsidR="00D56925" w:rsidRPr="008A2C60">
        <w:rPr>
          <w:rFonts w:ascii="Book Antiqua" w:hAnsi="Book Antiqua"/>
        </w:rPr>
        <w:t>150 mg/dL)</w:t>
      </w:r>
      <w:r w:rsidR="0011461B" w:rsidRPr="008A2C60">
        <w:rPr>
          <w:rFonts w:ascii="Book Antiqua" w:hAnsi="Book Antiqua"/>
        </w:rPr>
        <w:t>, there were 60 (30%) post-LT infection</w:t>
      </w:r>
      <w:r w:rsidR="00385E4B" w:rsidRPr="008A2C60">
        <w:rPr>
          <w:rFonts w:ascii="Book Antiqua" w:hAnsi="Book Antiqua"/>
        </w:rPr>
        <w:t>s</w:t>
      </w:r>
      <w:r w:rsidR="0011461B" w:rsidRPr="008A2C60">
        <w:rPr>
          <w:rFonts w:ascii="Book Antiqua" w:hAnsi="Book Antiqua"/>
        </w:rPr>
        <w:t>, compared to 124 (48%) infection</w:t>
      </w:r>
      <w:r w:rsidR="00385E4B" w:rsidRPr="008A2C60">
        <w:rPr>
          <w:rFonts w:ascii="Book Antiqua" w:hAnsi="Book Antiqua"/>
        </w:rPr>
        <w:t>s</w:t>
      </w:r>
      <w:r w:rsidR="0011461B" w:rsidRPr="008A2C60">
        <w:rPr>
          <w:rFonts w:ascii="Book Antiqua" w:hAnsi="Book Antiqua"/>
        </w:rPr>
        <w:t xml:space="preserve"> in the poor </w:t>
      </w:r>
      <w:r w:rsidR="0011461B" w:rsidRPr="008A2C60">
        <w:rPr>
          <w:rFonts w:ascii="Book Antiqua" w:hAnsi="Book Antiqua"/>
        </w:rPr>
        <w:lastRenderedPageBreak/>
        <w:t xml:space="preserve">glucose control group </w:t>
      </w:r>
      <w:r w:rsidR="00D56925" w:rsidRPr="008A2C60">
        <w:rPr>
          <w:rFonts w:ascii="Book Antiqua" w:hAnsi="Book Antiqua"/>
        </w:rPr>
        <w:t xml:space="preserve">(mean </w:t>
      </w:r>
      <w:r w:rsidR="00D63031" w:rsidRPr="008A2C60">
        <w:rPr>
          <w:rFonts w:ascii="Book Antiqua" w:hAnsi="Book Antiqua"/>
        </w:rPr>
        <w:t xml:space="preserve">BG </w:t>
      </w:r>
      <w:r w:rsidR="00C10193" w:rsidRPr="00C10193">
        <w:rPr>
          <w:rFonts w:ascii="Book Antiqua" w:hAnsi="Book Antiqua"/>
        </w:rPr>
        <w:t>≥</w:t>
      </w:r>
      <w:r w:rsidR="00D56925" w:rsidRPr="008A2C60">
        <w:rPr>
          <w:rFonts w:ascii="Book Antiqua" w:hAnsi="Book Antiqua"/>
        </w:rPr>
        <w:t xml:space="preserve"> 150 mg/dL)</w:t>
      </w:r>
      <w:r w:rsidR="00550CCF" w:rsidRPr="008A2C60">
        <w:rPr>
          <w:rFonts w:ascii="Book Antiqua" w:hAnsi="Book Antiqua"/>
        </w:rPr>
        <w:t xml:space="preserve"> (</w:t>
      </w:r>
      <w:r w:rsidR="00C10193" w:rsidRPr="00C10193">
        <w:rPr>
          <w:rFonts w:ascii="Book Antiqua" w:hAnsi="Book Antiqua"/>
          <w:i/>
        </w:rPr>
        <w:t>P</w:t>
      </w:r>
      <w:r w:rsidR="00550CCF" w:rsidRPr="008A2C60">
        <w:rPr>
          <w:rFonts w:ascii="Book Antiqua" w:hAnsi="Book Antiqua"/>
        </w:rPr>
        <w:t xml:space="preserve"> = 0.02)</w:t>
      </w:r>
      <w:r w:rsidR="001371C3" w:rsidRPr="008A2C60">
        <w:rPr>
          <w:rFonts w:ascii="Book Antiqua" w:hAnsi="Book Antiqua"/>
        </w:rPr>
        <w:t>.</w:t>
      </w:r>
      <w:r w:rsidR="00CE3AFE">
        <w:rPr>
          <w:rFonts w:ascii="Book Antiqua" w:hAnsi="Book Antiqua"/>
        </w:rPr>
        <w:t xml:space="preserve"> </w:t>
      </w:r>
      <w:r w:rsidR="002F2BAC" w:rsidRPr="008A2C60">
        <w:rPr>
          <w:rFonts w:ascii="Book Antiqua" w:hAnsi="Book Antiqua"/>
        </w:rPr>
        <w:t xml:space="preserve">The retrospective subgroup analysis by </w:t>
      </w:r>
      <w:proofErr w:type="spellStart"/>
      <w:r w:rsidR="002F2BAC" w:rsidRPr="008A2C60">
        <w:rPr>
          <w:rFonts w:ascii="Book Antiqua" w:hAnsi="Book Antiqua"/>
        </w:rPr>
        <w:t>Walli</w:t>
      </w:r>
      <w:r w:rsidR="00C10193">
        <w:rPr>
          <w:rFonts w:ascii="Book Antiqua" w:hAnsi="Book Antiqua"/>
        </w:rPr>
        <w:t>a</w:t>
      </w:r>
      <w:proofErr w:type="spellEnd"/>
      <w:r w:rsidR="00C10193">
        <w:rPr>
          <w:rFonts w:ascii="Book Antiqua" w:hAnsi="Book Antiqua"/>
        </w:rPr>
        <w:t xml:space="preserve">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"DOI" : "10.4158/EP10343.OR", "ISSN" : "1530-891X", "PMID" : "21324822", "abstract" : "\\nTo present an analysis of glycemic control before and after introduction of a dedicated glucose management service ({GMS}) and outcomes within 1 year after liver transplantation ({LT}).\\nWe conducted a retrospective review of patients undergoing {LT}, who were treated with insulin infusions after {LT}, before and after introduction of a {GMS}. Outcome measures within 1 year after {LT} included graft rejection, infection, prolonged ventilation (&gt;48 hours on a ventilator), and graft survival. A multiple logistic regression was used to examine the relationship between {GMS} use and outcomes.\\nThis study consisted of 73 (35 {GMS} and 38 {non-GMS}) organ transplant recipients. The mean perioperative blood glucose level in the {GMS} group was lower than in the {non-GMS} group: unadjusted, by 31.1 {mg/dL} (P = .001); adjusted for pre-insulin drip glucose, age, sex, Model for {End-Stage} Liver Disease ({MELD}) score, and type of transplant, by 23.4 {mg/dL} (P = .020). There were 27 rejection episodes, 48 infections, 26 episodes of prolonged ventilation, and 64 patients with graft survival at 1 year. The infection rate was lower in the {GMS} group than in the {non-GMS} group: the unadjusted odds ratio was 0.28 (P = .015); when adjustments were made for pre-insulin drip glucose, pretransplant glucose, age, sex, {MELD} score, type of transplant, and diabetes status before transplantation, the odds ratio was 0.24 (95% confidence interval, 0.06 to 0.97; P = .045). No significant associations were noted between {GMS} group and rejection rates, prolonged ventilation, or graft survival.\\nIn this study of {LT} patients, a {GMS} was associated with improved glycemic control and reduced postoperative infections. Further studies investigating effects of strict glycemic control after {LT} are warranted.\\n", "author" : [ { "dropping-particle" : "", "family" : "Wallia", "given" : "Amisha", "non-dropping-particle" : "", "parse-names" : false, "suffix" : "" }, { "dropping-particle" : "", "family" : "Parikh", "given" : "Neehar D.", "non-dropping-particle" : "", "parse-names" : false, "suffix" : "" }, { "dropping-particle" : "", "family" : "O'Shea-Mahler", "given" : "Eileen", "non-dropping-particle" : "", "parse-names" : false, "suffix" : "" }, { "dropping-particle" : "", "family" : "Schmidt", "given" : "Kathleen", "non-dropping-particle" : "", "parse-names" : false, "suffix" : "" }, { "dropping-particle" : "", "family" : "DeSantis", "given" : "Anthony J.", "non-dropping-particle" : "", "parse-names" : false, "suffix" : "" }, { "dropping-particle" : "", "family" : "Tian", "given" : "Lu", "non-dropping-particle" : "", "parse-names" : false, "suffix" : "" }, { "dropping-particle" : "", "family" : "Levitsky", "given" : "Josh", "non-dropping-particle" : "", "parse-names" : false, "suffix" : "" }, { "dropping-particle" : "", "family" : "Molitch", "given" : "Mark E.", "non-dropping-particle" : "", "parse-names" : false, "suffix" : "" } ], "container-title" : "Endocrine Practice", "id" : "ITEM-1", "issue" : "4", "issued" : { "date-parts" : [ [ "2011" ] ] }, "page" : "546-551", "title" : "Glycemic Control by a Glucose Management Service and Infection Rates After Liver Transplantation", "type" : "article-journal", "volume" : "17" }, "uris" : [ "http://www.mendeley.com/documents/?uuid=bd04ed9e-7bd4-4412-bedd-92111bfaa222" ] } ], "mendeley" : { "formattedCitation" : "&lt;sup&gt;[19]&lt;/sup&gt;", "plainTextFormattedCitation" : "[19]", "previouslyFormattedCitation" : "&lt;sup&gt;[19]&lt;/sup&gt;"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[19]</w:t>
      </w:r>
      <w:r w:rsidR="00C10193" w:rsidRPr="008A2C60">
        <w:rPr>
          <w:rFonts w:ascii="Book Antiqua" w:hAnsi="Book Antiqua"/>
        </w:rPr>
        <w:fldChar w:fldCharType="end"/>
      </w:r>
      <w:r w:rsidR="006F3EEF" w:rsidRPr="008A2C60">
        <w:rPr>
          <w:rFonts w:ascii="Book Antiqua" w:hAnsi="Book Antiqua"/>
        </w:rPr>
        <w:t xml:space="preserve"> </w:t>
      </w:r>
      <w:r w:rsidR="00E2087E" w:rsidRPr="008A2C60">
        <w:rPr>
          <w:rFonts w:ascii="Book Antiqua" w:hAnsi="Book Antiqua"/>
        </w:rPr>
        <w:t>found</w:t>
      </w:r>
      <w:r w:rsidR="006F3EEF" w:rsidRPr="008A2C60">
        <w:rPr>
          <w:rFonts w:ascii="Book Antiqua" w:hAnsi="Book Antiqua"/>
        </w:rPr>
        <w:t xml:space="preserve"> that the </w:t>
      </w:r>
      <w:r w:rsidR="004D599F" w:rsidRPr="008A2C60">
        <w:rPr>
          <w:rFonts w:ascii="Book Antiqua" w:hAnsi="Book Antiqua"/>
        </w:rPr>
        <w:t xml:space="preserve">patients in the </w:t>
      </w:r>
      <w:r w:rsidR="006F3EEF" w:rsidRPr="008A2C60">
        <w:rPr>
          <w:rFonts w:ascii="Book Antiqua" w:hAnsi="Book Antiqua"/>
        </w:rPr>
        <w:t xml:space="preserve">non-GMS group </w:t>
      </w:r>
      <w:r w:rsidR="004D599F" w:rsidRPr="008A2C60">
        <w:rPr>
          <w:rFonts w:ascii="Book Antiqua" w:hAnsi="Book Antiqua"/>
        </w:rPr>
        <w:t>with</w:t>
      </w:r>
      <w:r w:rsidR="006F3EEF" w:rsidRPr="008A2C60">
        <w:rPr>
          <w:rFonts w:ascii="Book Antiqua" w:hAnsi="Book Antiqua"/>
        </w:rPr>
        <w:t xml:space="preserve"> higher BG levels </w:t>
      </w:r>
      <w:r w:rsidR="004D599F" w:rsidRPr="008A2C60">
        <w:rPr>
          <w:rFonts w:ascii="Book Antiqua" w:hAnsi="Book Antiqua"/>
        </w:rPr>
        <w:t>exhibited</w:t>
      </w:r>
      <w:r w:rsidR="006F3EEF" w:rsidRPr="008A2C60">
        <w:rPr>
          <w:rFonts w:ascii="Book Antiqua" w:hAnsi="Book Antiqua"/>
        </w:rPr>
        <w:t xml:space="preserve"> higher rate of infection compared to </w:t>
      </w:r>
      <w:r w:rsidR="004D599F" w:rsidRPr="008A2C60">
        <w:rPr>
          <w:rFonts w:ascii="Book Antiqua" w:hAnsi="Book Antiqua"/>
        </w:rPr>
        <w:t xml:space="preserve">the patients in the </w:t>
      </w:r>
      <w:r w:rsidR="006F3EEF" w:rsidRPr="008A2C60">
        <w:rPr>
          <w:rFonts w:ascii="Book Antiqua" w:hAnsi="Book Antiqua"/>
        </w:rPr>
        <w:t xml:space="preserve">GMS group at </w:t>
      </w:r>
      <w:r w:rsidR="007F1A1C">
        <w:rPr>
          <w:rFonts w:ascii="Book Antiqua" w:hAnsi="Book Antiqua" w:hint="eastAsia"/>
          <w:lang w:eastAsia="zh-CN"/>
        </w:rPr>
        <w:t>one</w:t>
      </w:r>
      <w:r w:rsidR="006F3EEF" w:rsidRPr="008A2C60">
        <w:rPr>
          <w:rFonts w:ascii="Book Antiqua" w:hAnsi="Book Antiqua"/>
        </w:rPr>
        <w:t>-year post</w:t>
      </w:r>
      <w:r w:rsidR="004D599F" w:rsidRPr="008A2C60">
        <w:rPr>
          <w:rFonts w:ascii="Book Antiqua" w:hAnsi="Book Antiqua"/>
        </w:rPr>
        <w:t>-</w:t>
      </w:r>
      <w:r w:rsidR="0011461B" w:rsidRPr="008A2C60">
        <w:rPr>
          <w:rFonts w:ascii="Book Antiqua" w:hAnsi="Book Antiqua"/>
        </w:rPr>
        <w:t xml:space="preserve">LT </w:t>
      </w:r>
      <w:r w:rsidR="006F3EEF" w:rsidRPr="008A2C60">
        <w:rPr>
          <w:rFonts w:ascii="Book Antiqua" w:hAnsi="Book Antiqua"/>
        </w:rPr>
        <w:t xml:space="preserve">follow up (79% </w:t>
      </w:r>
      <w:r w:rsidR="006F3EEF" w:rsidRPr="00C10193">
        <w:rPr>
          <w:rFonts w:ascii="Book Antiqua" w:hAnsi="Book Antiqua"/>
          <w:i/>
        </w:rPr>
        <w:t>vs</w:t>
      </w:r>
      <w:r w:rsidR="006F3EEF" w:rsidRPr="008A2C60">
        <w:rPr>
          <w:rFonts w:ascii="Book Antiqua" w:hAnsi="Book Antiqua"/>
        </w:rPr>
        <w:t xml:space="preserve"> 51%</w:t>
      </w:r>
      <w:r w:rsidR="0011461B" w:rsidRPr="008A2C60">
        <w:rPr>
          <w:rFonts w:ascii="Book Antiqua" w:hAnsi="Book Antiqua"/>
        </w:rPr>
        <w:t xml:space="preserve"> respectively</w:t>
      </w:r>
      <w:r w:rsidR="006F3EEF" w:rsidRPr="008A2C60">
        <w:rPr>
          <w:rFonts w:ascii="Book Antiqua" w:hAnsi="Book Antiqua"/>
        </w:rPr>
        <w:t xml:space="preserve">, </w:t>
      </w:r>
      <w:r w:rsidR="00C10193" w:rsidRPr="00C10193">
        <w:rPr>
          <w:rFonts w:ascii="Book Antiqua" w:hAnsi="Book Antiqua"/>
          <w:i/>
        </w:rPr>
        <w:t>P</w:t>
      </w:r>
      <w:r w:rsidR="006F3EEF" w:rsidRPr="008A2C60">
        <w:rPr>
          <w:rFonts w:ascii="Book Antiqua" w:hAnsi="Book Antiqua"/>
        </w:rPr>
        <w:t xml:space="preserve"> = 0.015)</w:t>
      </w:r>
      <w:r w:rsidR="001371C3" w:rsidRPr="008A2C60">
        <w:rPr>
          <w:rFonts w:ascii="Book Antiqua" w:hAnsi="Book Antiqua"/>
        </w:rPr>
        <w:t>.</w:t>
      </w:r>
      <w:r w:rsidR="00CE3AFE">
        <w:rPr>
          <w:rFonts w:ascii="Book Antiqua" w:hAnsi="Book Antiqua"/>
        </w:rPr>
        <w:t xml:space="preserve"> </w:t>
      </w:r>
      <w:proofErr w:type="spellStart"/>
      <w:r w:rsidR="00C10193">
        <w:rPr>
          <w:rFonts w:ascii="Book Antiqua" w:hAnsi="Book Antiqua"/>
        </w:rPr>
        <w:t>Gelley</w:t>
      </w:r>
      <w:proofErr w:type="spellEnd"/>
      <w:r w:rsidR="00C10193">
        <w:rPr>
          <w:rFonts w:ascii="Book Antiqua" w:hAnsi="Book Antiqua"/>
        </w:rPr>
        <w:t xml:space="preserve"> </w:t>
      </w:r>
      <w:r w:rsidR="00C10193" w:rsidRPr="00C10193">
        <w:rPr>
          <w:rFonts w:ascii="Book Antiqua" w:hAnsi="Book Antiqua"/>
          <w:i/>
        </w:rPr>
        <w:t>at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"DOI" : "10.1016/j.transproceed.2011.03.065", "ISBN" : "1873-2623", "ISSN" : "00411345", "PMID" : "21620111", "abstract" : "De novo diabetes mellitus is a common complication after liver transplantation. It is strongly associated with hepatitis C virus (HCV) infection. We analyzed the relationship between HCV recurrence and de novo diabetes among the Hungarian liver transplant population. This retrospective study included cases from 1995 to 2009 on 310 whole liver transplantations. De novo diabetes was defined if the patient had a fasting plasma glucose &lt;126 mg/dL permanently after the third month post liver transplantation, and/or required sustained antidiabetic therapy. De novo diabetes occured in 63 patients (20%). The cumulative patient survival rates at 1, 3, 5, and 8 years were 95%, 91%, 88%, and 88% in the control group, and 87%, 79%, 79%, and 64% in the de novo group, respectively (P = .011). The majority of the patients in the de novo group were HCV positive (66% vs 23%). Early virus recurrence within 5 months was associated with the development of diabetes (80% vs 20% non-diabetic controls; P = .017). The fibrosis (2.05 ?? 1.5 vs 1 ?? 1; P = .039) and Knodell scores (3.25 ?? 2 vs 1.69 ?? 1.2; P = .019) were higher among the de novo group after antiviral therapy. Rapid recurrence, more severe viremia, and fibrosis showed significant roles in the developement of de novo diabetes after liver transplantation. ?? 2011 by Elsevier Inc. All rights reserved.", "author" : [ { "dropping-particle" : "", "family" : "Gelley", "given" : "F.", "non-dropping-particle" : "", "parse-names" : false, "suffix" : "" }, { "dropping-particle" : "", "family" : "Zadori", "given" : "G.", "non-dropping-particle" : "", "parse-names" : false, "suffix" : "" }, { "dropping-particle" : "", "family" : "Firneisz", "given" : "G.", "non-dropping-particle" : "", "parse-names" : false, "suffix" : "" }, { "dropping-particle" : "", "family" : "Wagner", "given" : "L.", "non-dropping-particle" : "", "parse-names" : false, "suffix" : "" }, { "dropping-particle" : "", "family" : "Feherv\u00e1ri", "given" : "I.", "non-dropping-particle" : "", "parse-names" : false, "suffix" : "" }, { "dropping-particle" : "", "family" : "Gerlei", "given" : "Z.", "non-dropping-particle" : "", "parse-names" : false, "suffix" : "" }, { "dropping-particle" : "", "family" : "Fazakas", "given" : "J.", "non-dropping-particle" : "", "parse-names" : false, "suffix" : "" }, { "dropping-particle" : "", "family" : "Papai", "given" : "S.", "non-dropping-particle" : "", "parse-names" : false, "suffix" : "" }, { "dropping-particle" : "", "family" : "Lengyel", "given" : "G.", "non-dropping-particle" : "", "parse-names" : false, "suffix" : "" }, { "dropping-particle" : "", "family" : "Sarvary", "given" : "E.", "non-dropping-particle" : "", "parse-names" : false, "suffix" : "" }, { "dropping-particle" : "", "family" : "Nemes", "given" : "B.", "non-dropping-particle" : "", "parse-names" : false, "suffix" : "" } ], "container-title" : "Transplantation Proceedings", "id" : "ITEM-1", "issue" : "4", "issued" : { "date-parts" : [ [ "2011" ] ] }, "page" : "1281-1282", "publisher" : "Elsevier Inc.", "title" : "Relationship between hepatitis C virus recurrence and de novo diabetes after liver transplantation: The Hungarian experience", "type" : "article-journal", "volume" : "43" }, "uris" : [ "http://www.mendeley.com/documents/?uuid=4fb0f425-5172-48eb-b6fe-10f9a9bcfc21" ] } ], "mendeley" : { "formattedCitation" : "&lt;sup&gt;[21]&lt;/sup&gt;", "plainTextFormattedCitation" : "[21]", "previouslyFormattedCitation" : "&lt;sup&gt;[21]&lt;/sup&gt;"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[21]</w:t>
      </w:r>
      <w:r w:rsidR="00C10193" w:rsidRPr="008A2C60">
        <w:rPr>
          <w:rFonts w:ascii="Book Antiqua" w:hAnsi="Book Antiqua"/>
        </w:rPr>
        <w:fldChar w:fldCharType="end"/>
      </w:r>
      <w:r w:rsidR="003B7565" w:rsidRPr="00C10193">
        <w:rPr>
          <w:rFonts w:ascii="Book Antiqua" w:hAnsi="Book Antiqua"/>
          <w:i/>
        </w:rPr>
        <w:t xml:space="preserve"> </w:t>
      </w:r>
      <w:r w:rsidR="0011461B" w:rsidRPr="008A2C60">
        <w:rPr>
          <w:rFonts w:ascii="Book Antiqua" w:hAnsi="Book Antiqua"/>
        </w:rPr>
        <w:t xml:space="preserve">found </w:t>
      </w:r>
      <w:r w:rsidR="003B7565" w:rsidRPr="008A2C60">
        <w:rPr>
          <w:rFonts w:ascii="Book Antiqua" w:hAnsi="Book Antiqua"/>
        </w:rPr>
        <w:t xml:space="preserve">that higher early postoperative fasting plasma glucose led to </w:t>
      </w:r>
      <w:r w:rsidR="0011461B" w:rsidRPr="008A2C60">
        <w:rPr>
          <w:rFonts w:ascii="Book Antiqua" w:hAnsi="Book Antiqua"/>
        </w:rPr>
        <w:t xml:space="preserve">higher </w:t>
      </w:r>
      <w:r w:rsidR="003B7565" w:rsidRPr="008A2C60">
        <w:rPr>
          <w:rFonts w:ascii="Book Antiqua" w:hAnsi="Book Antiqua"/>
        </w:rPr>
        <w:t>incidence of HCV recurrence</w:t>
      </w:r>
      <w:r w:rsidR="003C4ECB" w:rsidRPr="008A2C60">
        <w:rPr>
          <w:rFonts w:ascii="Book Antiqua" w:hAnsi="Book Antiqua"/>
        </w:rPr>
        <w:t xml:space="preserve"> (d</w:t>
      </w:r>
      <w:r w:rsidR="00DE1A53" w:rsidRPr="008A2C60">
        <w:rPr>
          <w:rFonts w:ascii="Book Antiqua" w:hAnsi="Book Antiqua"/>
        </w:rPr>
        <w:t xml:space="preserve">iagnosed with histology criteria of the </w:t>
      </w:r>
      <w:proofErr w:type="spellStart"/>
      <w:r w:rsidR="00DE1A53" w:rsidRPr="008A2C60">
        <w:rPr>
          <w:rFonts w:ascii="Book Antiqua" w:hAnsi="Book Antiqua"/>
        </w:rPr>
        <w:t>Knodell</w:t>
      </w:r>
      <w:proofErr w:type="spellEnd"/>
      <w:r w:rsidR="00DE1A53" w:rsidRPr="008A2C60">
        <w:rPr>
          <w:rFonts w:ascii="Book Antiqua" w:hAnsi="Book Antiqua"/>
        </w:rPr>
        <w:t xml:space="preserve"> score)</w:t>
      </w:r>
      <w:r w:rsidR="003B7565" w:rsidRPr="008A2C60">
        <w:rPr>
          <w:rFonts w:ascii="Book Antiqua" w:hAnsi="Book Antiqua"/>
        </w:rPr>
        <w:t>, although no data was shown with regards to BG levels</w:t>
      </w:r>
      <w:r w:rsidR="001371C3" w:rsidRPr="008A2C60">
        <w:rPr>
          <w:rFonts w:ascii="Book Antiqua" w:hAnsi="Book Antiqua"/>
        </w:rPr>
        <w:t>.</w:t>
      </w:r>
    </w:p>
    <w:p w14:paraId="2A98100A" w14:textId="4F29B9C8" w:rsidR="00332AAD" w:rsidRPr="008A2C60" w:rsidRDefault="002B79C4" w:rsidP="00C26D7B">
      <w:pPr>
        <w:spacing w:line="360" w:lineRule="auto"/>
        <w:ind w:firstLineChars="100" w:firstLine="240"/>
        <w:contextualSpacing/>
        <w:jc w:val="both"/>
        <w:rPr>
          <w:rFonts w:ascii="Book Antiqua" w:hAnsi="Book Antiqua"/>
        </w:rPr>
      </w:pPr>
      <w:r w:rsidRPr="008A2C60">
        <w:rPr>
          <w:rFonts w:ascii="Book Antiqua" w:hAnsi="Book Antiqua"/>
        </w:rPr>
        <w:t>In contrast to the above studies,</w:t>
      </w:r>
      <w:r w:rsidR="00C23C7A" w:rsidRPr="008A2C60">
        <w:rPr>
          <w:rFonts w:ascii="Book Antiqua" w:hAnsi="Book Antiqua"/>
        </w:rPr>
        <w:t xml:space="preserve"> </w:t>
      </w:r>
      <w:r w:rsidRPr="008A2C60">
        <w:rPr>
          <w:rFonts w:ascii="Book Antiqua" w:hAnsi="Book Antiqua"/>
        </w:rPr>
        <w:t>Linde</w:t>
      </w:r>
      <w:r w:rsidR="00DB26D5" w:rsidRPr="008A2C60">
        <w:rPr>
          <w:rFonts w:ascii="Book Antiqua" w:hAnsi="Book Antiqua"/>
        </w:rPr>
        <w:t xml:space="preserve">r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"DOI" : "10.1177/1060028015627662", "ISSN" : "1060-0280", "author" : [ { "dropping-particle" : "", "family" : "Linder", "given" : "K E", "non-dropping-particle" : "", "parse-names" : false, "suffix" : "" }, { "dropping-particle" : "", "family" : "Baker", "given" : "W L", "non-dropping-particle" : "", "parse-names" : false, "suffix" : "" }, { "dropping-particle" : "", "family" : "Rochon", "given" : "C", "non-dropping-particle" : "", "parse-names" : false, "suffix" : "" }, { "dropping-particle" : "", "family" : "May", "given" : "S T", "non-dropping-particle" : "", "parse-names" : false, "suffix" : "" }, { "dropping-particle" : "", "family" : "Sheiner", "given" : "P A", "non-dropping-particle" : "", "parse-names" : false, "suffix" : "" }, { "dropping-particle" : "", "family" : "Martin", "given" : "S T", "non-dropping-particle" : "", "parse-names" : false, "suffix" : "" } ], "container-title" : "Annals of Pharmacotherapy", "id" : "ITEM-1", "issued" : { "date-parts" : [ [ "2016" ] ] }, "title" : "Evaluation of Posttransplantation Diabetes Mellitus After Liver Transplantation: Assessment of Insulin Administration as a Risk Factor", "type" : "article-journal" }, "uris" : [ "http://www.mendeley.com/documents/?uuid=a904ad99-f4a7-4433-b70a-bd175cdafaf6" ] } ], "mendeley" : { "formattedCitation" : "&lt;sup&gt;[18]&lt;/sup&gt;", "plainTextFormattedCitation" : "[18]", "previouslyFormattedCitation" : "&lt;sup&gt;[18]&lt;/sup&gt;"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[18]</w:t>
      </w:r>
      <w:r w:rsidR="00C10193" w:rsidRPr="008A2C60">
        <w:rPr>
          <w:rFonts w:ascii="Book Antiqua" w:hAnsi="Book Antiqua"/>
        </w:rPr>
        <w:fldChar w:fldCharType="end"/>
      </w:r>
      <w:r w:rsidR="00DB26D5" w:rsidRPr="008A2C60">
        <w:rPr>
          <w:rFonts w:ascii="Book Antiqua" w:hAnsi="Book Antiqua"/>
        </w:rPr>
        <w:t xml:space="preserve"> </w:t>
      </w:r>
      <w:r w:rsidRPr="008A2C60">
        <w:rPr>
          <w:rFonts w:ascii="Book Antiqua" w:hAnsi="Book Antiqua"/>
        </w:rPr>
        <w:t xml:space="preserve">showed no association between </w:t>
      </w:r>
      <w:r w:rsidR="00DB26D5" w:rsidRPr="008A2C60">
        <w:rPr>
          <w:rFonts w:ascii="Book Antiqua" w:hAnsi="Book Antiqua"/>
        </w:rPr>
        <w:t>glycemic level</w:t>
      </w:r>
      <w:r w:rsidRPr="008A2C60">
        <w:rPr>
          <w:rFonts w:ascii="Book Antiqua" w:hAnsi="Book Antiqua"/>
        </w:rPr>
        <w:t xml:space="preserve"> and </w:t>
      </w:r>
      <w:r w:rsidR="00882D99" w:rsidRPr="008A2C60">
        <w:rPr>
          <w:rFonts w:ascii="Book Antiqua" w:hAnsi="Book Antiqua"/>
        </w:rPr>
        <w:t xml:space="preserve">post-LT </w:t>
      </w:r>
      <w:r w:rsidR="00016315" w:rsidRPr="008A2C60">
        <w:rPr>
          <w:rFonts w:ascii="Book Antiqua" w:hAnsi="Book Antiqua"/>
        </w:rPr>
        <w:t xml:space="preserve">CMV infection (patients with PTDM had higher BG levels compared to </w:t>
      </w:r>
      <w:r w:rsidR="00161872" w:rsidRPr="008A2C60">
        <w:rPr>
          <w:rFonts w:ascii="Book Antiqua" w:hAnsi="Book Antiqua"/>
        </w:rPr>
        <w:t>non-</w:t>
      </w:r>
      <w:r w:rsidR="00016315" w:rsidRPr="008A2C60">
        <w:rPr>
          <w:rFonts w:ascii="Book Antiqua" w:hAnsi="Book Antiqua"/>
        </w:rPr>
        <w:t>PTDM</w:t>
      </w:r>
      <w:r w:rsidR="00161872" w:rsidRPr="008A2C60">
        <w:rPr>
          <w:rFonts w:ascii="Book Antiqua" w:hAnsi="Book Antiqua"/>
        </w:rPr>
        <w:t xml:space="preserve"> </w:t>
      </w:r>
      <w:r w:rsidR="00016315" w:rsidRPr="008A2C60">
        <w:rPr>
          <w:rFonts w:ascii="Book Antiqua" w:hAnsi="Book Antiqua"/>
        </w:rPr>
        <w:t>patients)</w:t>
      </w:r>
      <w:r w:rsidR="001371C3" w:rsidRPr="008A2C60">
        <w:rPr>
          <w:rFonts w:ascii="Book Antiqua" w:hAnsi="Book Antiqua"/>
        </w:rPr>
        <w:t>.</w:t>
      </w:r>
      <w:r w:rsidR="00CE3AFE">
        <w:rPr>
          <w:rFonts w:ascii="Book Antiqua" w:hAnsi="Book Antiqua"/>
        </w:rPr>
        <w:t xml:space="preserve"> </w:t>
      </w:r>
      <w:r w:rsidR="00E626B1" w:rsidRPr="008A2C60">
        <w:rPr>
          <w:rFonts w:ascii="Book Antiqua" w:hAnsi="Book Antiqua"/>
        </w:rPr>
        <w:t xml:space="preserve">Similarly, </w:t>
      </w:r>
      <w:r w:rsidR="00C10193">
        <w:rPr>
          <w:rFonts w:ascii="Book Antiqua" w:hAnsi="Book Antiqua"/>
        </w:rPr>
        <w:t>Trail</w:t>
      </w:r>
      <w:r w:rsidR="00C10193" w:rsidRPr="00C10193">
        <w:rPr>
          <w:rFonts w:ascii="Book Antiqua" w:hAnsi="Book Antiqua"/>
          <w:i/>
        </w:rPr>
        <w:t xml:space="preserve"> </w:t>
      </w:r>
      <w:r w:rsidR="00EE3848" w:rsidRPr="00EE3848">
        <w:rPr>
          <w:rFonts w:ascii="Book Antiqua" w:hAnsi="Book Antiqua"/>
          <w:i/>
        </w:rPr>
        <w:t>et al</w:t>
      </w:r>
      <w:r w:rsidR="00C10193" w:rsidRPr="008A2C60">
        <w:rPr>
          <w:rFonts w:ascii="Book Antiqua" w:hAnsi="Book Antiqua"/>
        </w:rPr>
        <w:fldChar w:fldCharType="begin" w:fldLock="1"/>
      </w:r>
      <w:r w:rsidR="00C10193" w:rsidRPr="008A2C60">
        <w:rPr>
          <w:rFonts w:ascii="Book Antiqua" w:hAnsi="Book Antiqua"/>
        </w:rPr>
        <w:instrText>ADDIN CSL_CITATION { "citationItems" : [ { "id" : "ITEM-1", "itemData" : { "ISSN" : "1074-3022", "PMID" : "9346661", "abstract" : "It is not well understood whether posttransplant diabetes mellitus (PTDM) following orthotopic liver transplantation (OLTx) alters postoperative morbidity. This study was designed to evaluate this question. All adult patients who received an OLTx between July 1985 and March 1993 (n = 497) were evaluated by retrospective chart review for evidence of PTDM after OLTx. The patients identified with PTDM (n = 26) were case matched with nondiabetic OLTx recipients based on primary liver disease diagnosis, age, gender, date of first OLTx, and survival. Liver synthetic function, number and severity of rejection episodes, graft survival, total number of hospital days within the first year post-OLTx, renal function, and number and type of infection episodes were analyzed to assess differences in morbidity between the PTDM and control patients after OLTx. Of the 497 adult patients who underwent OLTx, 26 (5.2%) were identified as having PTDM within 1 month of discharge. Factors which identified individuals at higher risk for DM after OLTx included higher pre-OLTx fasting blood glucose (P = .04); lower body mass index after OLTx (P = .02); and cyclosporine rather than OKT3 induction (P = .009). Graft survival, synthetic function, and the total number of rejection episodes during the first year were not different between the two groups. The morbidity variables of total number of days in the hospital during the first 12 months, renal function, and type and number of infections were also similar between the two groups. In summary, 5.2% of adult patients developed DM within 1 month of OLTx. Pre-existing insulin resistance, postoperative stress, and immunosuppression medications all likely contribute to the development of overt hyperglycemia after OLTx. Although PTDM can be a consequence of OLTx, it does not have a significant impact on patient outcome in the first year after OLTx.", "author" : [ { "dropping-particle" : "", "family" : "Trail", "given" : "K C", "non-dropping-particle" : "", "parse-names" : false, "suffix" : "" }, { "dropping-particle" : "", "family" : "McCashland", "given" : "T M", "non-dropping-particle" : "", "parse-names" : false, "suffix" : "" }, { "dropping-particle" : "", "family" : "Larsen", "given" : "J L", "non-dropping-particle" : "", "parse-names" : false, "suffix" : "" }, { "dropping-particle" : "", "family" : "Heffron", "given" : "T G", "non-dropping-particle" : "", "parse-names" : false, "suffix" : "" }, { "dropping-particle" : "", "family" : "Stratta", "given" : "R J", "non-dropping-particle" : "", "parse-names" : false, "suffix" : "" }, { "dropping-particle" : "", "family" : "Langnas", "given" : "A N", "non-dropping-particle" : "", "parse-names" : false, "suffix" : "" }, { "dropping-particle" : "", "family" : "Fox", "given" : "I J", "non-dropping-particle" : "", "parse-names" : false, "suffix" : "" }, { "dropping-particle" : "", "family" : "Zetterman", "given" : "R K", "non-dropping-particle" : "", "parse-names" : false, "suffix" : "" }, { "dropping-particle" : "", "family" : "Donovan", "given" : "J P", "non-dropping-particle" : "", "parse-names" : false, "suffix" : "" }, { "dropping-particle" : "", "family" : "Sorrell", "given" : "M F", "non-dropping-particle" : "", "parse-names" : false, "suffix" : "" }, { "dropping-particle" : "", "family" : "Pillen", "given" : "T J", "non-dropping-particle" : "", "parse-names" : false, "suffix" : "" }, { "dropping-particle" : "", "family" : "Ruby", "given" : "E I", "non-dropping-particle" : "", "parse-names" : false, "suffix" : "" }, { "dropping-particle" : "", "family" : "Shaw", "given" : "B W", "non-dropping-particle" : "", "parse-names" : false, "suffix" : "" } ], "container-title" : "Liver transplantation and surgery : official publication of the American Association for the Study of Liver Diseases and the International Liver Transplantation Society", "id" : "ITEM-1", "issue" : "4", "issued" : { "date-parts" : [ [ "1996" ] ] }, "page" : "276-83", "title" : "Morbidity in patients with posttransplant diabetes mellitus following orthotopic liver transplantation.", "type" : "article-journal", "volume" : "2" }, "uris" : [ "http://www.mendeley.com/documents/?uuid=66f357c4-f23e-4cb6-8fd8-4b3844f78e87" ] } ], "mendeley" : { "formattedCitation" : "&lt;sup&gt;[20]&lt;/sup&gt;", "plainTextFormattedCitation" : "[20]", "previouslyFormattedCitation" : "&lt;sup&gt;[20]&lt;/sup&gt;" }, "properties" : {  }, "schema" : "https://github.com/citation-style-language/schema/raw/master/csl-citation.json" }</w:instrText>
      </w:r>
      <w:r w:rsidR="00C10193" w:rsidRPr="008A2C60">
        <w:rPr>
          <w:rFonts w:ascii="Book Antiqua" w:hAnsi="Book Antiqua"/>
        </w:rPr>
        <w:fldChar w:fldCharType="separate"/>
      </w:r>
      <w:r w:rsidR="00C10193" w:rsidRPr="008A2C60">
        <w:rPr>
          <w:rFonts w:ascii="Book Antiqua" w:hAnsi="Book Antiqua"/>
          <w:noProof/>
          <w:vertAlign w:val="superscript"/>
        </w:rPr>
        <w:t>[20]</w:t>
      </w:r>
      <w:r w:rsidR="00C10193" w:rsidRPr="008A2C60">
        <w:rPr>
          <w:rFonts w:ascii="Book Antiqua" w:hAnsi="Book Antiqua"/>
        </w:rPr>
        <w:fldChar w:fldCharType="end"/>
      </w:r>
      <w:r w:rsidR="00953F17" w:rsidRPr="008A2C60">
        <w:rPr>
          <w:rFonts w:ascii="Book Antiqua" w:hAnsi="Book Antiqua"/>
        </w:rPr>
        <w:t xml:space="preserve"> also showed no </w:t>
      </w:r>
      <w:r w:rsidR="00882D99" w:rsidRPr="008A2C60">
        <w:rPr>
          <w:rFonts w:ascii="Book Antiqua" w:hAnsi="Book Antiqua"/>
        </w:rPr>
        <w:t xml:space="preserve">significant difference in infectious rates </w:t>
      </w:r>
      <w:r w:rsidR="00953F17" w:rsidRPr="008A2C60">
        <w:rPr>
          <w:rFonts w:ascii="Book Antiqua" w:hAnsi="Book Antiqua"/>
        </w:rPr>
        <w:t xml:space="preserve">between patients </w:t>
      </w:r>
      <w:r w:rsidR="00882D99" w:rsidRPr="008A2C60">
        <w:rPr>
          <w:rFonts w:ascii="Book Antiqua" w:hAnsi="Book Antiqua"/>
        </w:rPr>
        <w:t>with</w:t>
      </w:r>
      <w:r w:rsidR="00953F17" w:rsidRPr="008A2C60">
        <w:rPr>
          <w:rFonts w:ascii="Book Antiqua" w:hAnsi="Book Antiqua"/>
        </w:rPr>
        <w:t xml:space="preserve"> PTDM </w:t>
      </w:r>
      <w:r w:rsidR="00882D99" w:rsidRPr="008A2C60">
        <w:rPr>
          <w:rFonts w:ascii="Book Antiqua" w:hAnsi="Book Antiqua"/>
        </w:rPr>
        <w:t xml:space="preserve">and those without </w:t>
      </w:r>
      <w:r w:rsidR="00953F17" w:rsidRPr="008A2C60">
        <w:rPr>
          <w:rFonts w:ascii="Book Antiqua" w:hAnsi="Book Antiqua"/>
        </w:rPr>
        <w:t>PTDM.</w:t>
      </w:r>
      <w:r w:rsidR="00CE3AFE">
        <w:rPr>
          <w:rFonts w:ascii="Book Antiqua" w:hAnsi="Book Antiqua"/>
        </w:rPr>
        <w:t xml:space="preserve"> </w:t>
      </w:r>
      <w:r w:rsidR="00953F17" w:rsidRPr="008A2C60">
        <w:rPr>
          <w:rFonts w:ascii="Book Antiqua" w:hAnsi="Book Antiqua"/>
        </w:rPr>
        <w:t>This study also evaluated the severity of infection as well as the type of infection and no differences were seen between the two groups</w:t>
      </w:r>
      <w:r w:rsidR="001371C3" w:rsidRPr="008A2C60">
        <w:rPr>
          <w:rFonts w:ascii="Book Antiqua" w:hAnsi="Book Antiqua"/>
        </w:rPr>
        <w:t>.</w:t>
      </w:r>
    </w:p>
    <w:p w14:paraId="26AC0AD4" w14:textId="77777777" w:rsidR="004B3E10" w:rsidRPr="008A2C60" w:rsidRDefault="004B3E10" w:rsidP="00C26D7B">
      <w:pPr>
        <w:spacing w:line="360" w:lineRule="auto"/>
        <w:contextualSpacing/>
        <w:jc w:val="both"/>
        <w:rPr>
          <w:rFonts w:ascii="Book Antiqua" w:hAnsi="Book Antiqua"/>
          <w:b/>
        </w:rPr>
      </w:pPr>
    </w:p>
    <w:p w14:paraId="31282D86" w14:textId="4C78F95E" w:rsidR="00F84BD3" w:rsidRPr="00C10193" w:rsidRDefault="004B3E10" w:rsidP="00C26D7B">
      <w:pPr>
        <w:spacing w:line="360" w:lineRule="auto"/>
        <w:contextualSpacing/>
        <w:jc w:val="both"/>
        <w:rPr>
          <w:rFonts w:ascii="Book Antiqua" w:hAnsi="Book Antiqua"/>
          <w:b/>
          <w:i/>
        </w:rPr>
      </w:pPr>
      <w:r w:rsidRPr="00C10193">
        <w:rPr>
          <w:rFonts w:ascii="Book Antiqua" w:hAnsi="Book Antiqua"/>
          <w:b/>
          <w:i/>
        </w:rPr>
        <w:t>P</w:t>
      </w:r>
      <w:r w:rsidR="00F97DF3" w:rsidRPr="00C10193">
        <w:rPr>
          <w:rFonts w:ascii="Book Antiqua" w:hAnsi="Book Antiqua"/>
          <w:b/>
          <w:i/>
        </w:rPr>
        <w:t>ost-</w:t>
      </w:r>
      <w:r w:rsidR="00C10193" w:rsidRPr="00C10193">
        <w:rPr>
          <w:rFonts w:ascii="Book Antiqua" w:hAnsi="Book Antiqua"/>
          <w:b/>
          <w:i/>
        </w:rPr>
        <w:t>transplant diabetes mellitus and new-onset diabetes after transplantation</w:t>
      </w:r>
    </w:p>
    <w:p w14:paraId="6D674498" w14:textId="73501A07" w:rsidR="004B3E10" w:rsidRPr="00C26D7B" w:rsidRDefault="002D702D" w:rsidP="00C26D7B">
      <w:pPr>
        <w:spacing w:line="360" w:lineRule="auto"/>
        <w:contextualSpacing/>
        <w:jc w:val="both"/>
        <w:rPr>
          <w:rFonts w:ascii="Book Antiqua" w:hAnsi="Book Antiqua"/>
        </w:rPr>
      </w:pPr>
      <w:r w:rsidRPr="008A2C60">
        <w:rPr>
          <w:rFonts w:ascii="Book Antiqua" w:hAnsi="Book Antiqua"/>
        </w:rPr>
        <w:t xml:space="preserve">Villanueva and Baldwin evaluated the </w:t>
      </w:r>
      <w:r w:rsidR="00E368FA" w:rsidRPr="008A2C60">
        <w:rPr>
          <w:rFonts w:ascii="Book Antiqua" w:hAnsi="Book Antiqua"/>
        </w:rPr>
        <w:t xml:space="preserve">use of Rosiglitazone </w:t>
      </w:r>
      <w:r w:rsidR="0087749D" w:rsidRPr="008A2C60">
        <w:rPr>
          <w:rFonts w:ascii="Book Antiqua" w:hAnsi="Book Antiqua"/>
        </w:rPr>
        <w:t xml:space="preserve">(ROSI) </w:t>
      </w:r>
      <w:r w:rsidR="00E368FA" w:rsidRPr="008A2C60">
        <w:rPr>
          <w:rFonts w:ascii="Book Antiqua" w:hAnsi="Book Antiqua"/>
        </w:rPr>
        <w:t>therapy for patients with PTDM</w:t>
      </w:r>
      <w:r w:rsidR="00B43A75" w:rsidRPr="008A2C60">
        <w:rPr>
          <w:rFonts w:ascii="Book Antiqua" w:hAnsi="Book Antiqua"/>
        </w:rPr>
        <w:t>.</w:t>
      </w:r>
      <w:r w:rsidR="00CE3AFE">
        <w:rPr>
          <w:rFonts w:ascii="Book Antiqua" w:hAnsi="Book Antiqua"/>
        </w:rPr>
        <w:t xml:space="preserve"> </w:t>
      </w:r>
      <w:r w:rsidR="007D7D7E" w:rsidRPr="008A2C60">
        <w:rPr>
          <w:rFonts w:ascii="Book Antiqua" w:hAnsi="Book Antiqua"/>
        </w:rPr>
        <w:t xml:space="preserve">DM </w:t>
      </w:r>
      <w:r w:rsidR="00B43A75" w:rsidRPr="008A2C60">
        <w:rPr>
          <w:rFonts w:ascii="Book Antiqua" w:hAnsi="Book Antiqua"/>
        </w:rPr>
        <w:t xml:space="preserve">was </w:t>
      </w:r>
      <w:r w:rsidR="007D7D7E" w:rsidRPr="008A2C60">
        <w:rPr>
          <w:rFonts w:ascii="Book Antiqua" w:hAnsi="Book Antiqua"/>
        </w:rPr>
        <w:t>diagnosed according to</w:t>
      </w:r>
      <w:r w:rsidR="00B43A75" w:rsidRPr="008A2C60">
        <w:rPr>
          <w:rFonts w:ascii="Book Antiqua" w:hAnsi="Book Antiqua"/>
        </w:rPr>
        <w:t xml:space="preserve"> the American Diabetes Association (ADA) criteria (symptoms of </w:t>
      </w:r>
      <w:r w:rsidR="00DE1A53" w:rsidRPr="008A2C60">
        <w:rPr>
          <w:rFonts w:ascii="Book Antiqua" w:hAnsi="Book Antiqua"/>
        </w:rPr>
        <w:t>hyperglycemia</w:t>
      </w:r>
      <w:r w:rsidR="000E427B" w:rsidRPr="008A2C60">
        <w:rPr>
          <w:rFonts w:ascii="Book Antiqua" w:hAnsi="Book Antiqua"/>
        </w:rPr>
        <w:t xml:space="preserve"> with post-prandial B</w:t>
      </w:r>
      <w:r w:rsidR="00B43A75" w:rsidRPr="00C26D7B">
        <w:rPr>
          <w:rFonts w:ascii="Book Antiqua" w:hAnsi="Book Antiqua"/>
        </w:rPr>
        <w:t xml:space="preserve">G </w:t>
      </w:r>
      <w:r w:rsidR="00C10193" w:rsidRPr="00C26D7B">
        <w:rPr>
          <w:rFonts w:ascii="Book Antiqua" w:hAnsi="Book Antiqua"/>
        </w:rPr>
        <w:t>≥</w:t>
      </w:r>
      <w:r w:rsidR="00B43A75" w:rsidRPr="00C26D7B">
        <w:rPr>
          <w:rFonts w:ascii="Book Antiqua" w:hAnsi="Book Antiqua"/>
        </w:rPr>
        <w:t xml:space="preserve"> 200 mg/dL</w:t>
      </w:r>
      <w:r w:rsidR="000E427B" w:rsidRPr="00C26D7B">
        <w:rPr>
          <w:rFonts w:ascii="Book Antiqua" w:hAnsi="Book Antiqua"/>
        </w:rPr>
        <w:t>, or fasting BG</w:t>
      </w:r>
      <w:r w:rsidR="00B43A75" w:rsidRPr="00C26D7B">
        <w:rPr>
          <w:rFonts w:ascii="Book Antiqua" w:hAnsi="Book Antiqua"/>
        </w:rPr>
        <w:t xml:space="preserve"> </w:t>
      </w:r>
      <w:r w:rsidR="00C10193" w:rsidRPr="00C26D7B">
        <w:rPr>
          <w:rFonts w:ascii="Book Antiqua" w:hAnsi="Book Antiqua"/>
        </w:rPr>
        <w:t>≥</w:t>
      </w:r>
      <w:r w:rsidR="00B43A75" w:rsidRPr="00C26D7B">
        <w:rPr>
          <w:rFonts w:ascii="Book Antiqua" w:hAnsi="Book Antiqua"/>
        </w:rPr>
        <w:t xml:space="preserve"> 126 mg/dL </w:t>
      </w:r>
      <w:r w:rsidR="00656712" w:rsidRPr="00C26D7B">
        <w:rPr>
          <w:rFonts w:ascii="Book Antiqua" w:hAnsi="Book Antiqua"/>
        </w:rPr>
        <w:t>on two separate occasions).</w:t>
      </w:r>
      <w:r w:rsidR="00CE3AFE">
        <w:rPr>
          <w:rFonts w:ascii="Book Antiqua" w:hAnsi="Book Antiqua"/>
        </w:rPr>
        <w:t xml:space="preserve"> </w:t>
      </w:r>
      <w:r w:rsidR="00E368FA" w:rsidRPr="00C26D7B">
        <w:rPr>
          <w:rFonts w:ascii="Book Antiqua" w:hAnsi="Book Antiqua"/>
        </w:rPr>
        <w:t>The study followed 40 patients that developed PTDM that were initially stabilized by twice-daily NPH and regular insulin.</w:t>
      </w:r>
      <w:r w:rsidR="00CE3AFE">
        <w:rPr>
          <w:rFonts w:ascii="Book Antiqua" w:hAnsi="Book Antiqua"/>
        </w:rPr>
        <w:t xml:space="preserve"> </w:t>
      </w:r>
      <w:r w:rsidR="00E368FA" w:rsidRPr="00C26D7B">
        <w:rPr>
          <w:rFonts w:ascii="Book Antiqua" w:hAnsi="Book Antiqua"/>
        </w:rPr>
        <w:t>These patients w</w:t>
      </w:r>
      <w:r w:rsidR="0087749D" w:rsidRPr="00C26D7B">
        <w:rPr>
          <w:rFonts w:ascii="Book Antiqua" w:hAnsi="Book Antiqua"/>
        </w:rPr>
        <w:t xml:space="preserve">ere </w:t>
      </w:r>
      <w:r w:rsidR="00E368FA" w:rsidRPr="00C26D7B">
        <w:rPr>
          <w:rFonts w:ascii="Book Antiqua" w:hAnsi="Book Antiqua"/>
        </w:rPr>
        <w:t>subsequently</w:t>
      </w:r>
      <w:r w:rsidR="0087749D" w:rsidRPr="00C26D7B">
        <w:rPr>
          <w:rFonts w:ascii="Book Antiqua" w:hAnsi="Book Antiqua"/>
        </w:rPr>
        <w:t xml:space="preserve"> started on ROSI 4</w:t>
      </w:r>
      <w:r w:rsidR="00B520C8">
        <w:rPr>
          <w:rFonts w:ascii="Book Antiqua" w:hAnsi="Book Antiqua" w:hint="eastAsia"/>
          <w:lang w:eastAsia="zh-CN"/>
        </w:rPr>
        <w:t xml:space="preserve"> </w:t>
      </w:r>
      <w:r w:rsidR="00B520C8">
        <w:rPr>
          <w:rFonts w:ascii="Book Antiqua" w:hAnsi="Book Antiqua"/>
        </w:rPr>
        <w:t>mg/d</w:t>
      </w:r>
      <w:r w:rsidR="005258E8" w:rsidRPr="00C26D7B">
        <w:rPr>
          <w:rFonts w:ascii="Book Antiqua" w:hAnsi="Book Antiqua"/>
        </w:rPr>
        <w:t xml:space="preserve"> with the treatment goal to discontinue insulin </w:t>
      </w:r>
      <w:r w:rsidR="00452B9C" w:rsidRPr="00C26D7B">
        <w:rPr>
          <w:rFonts w:ascii="Book Antiqua" w:hAnsi="Book Antiqua"/>
        </w:rPr>
        <w:t>while</w:t>
      </w:r>
      <w:r w:rsidR="005258E8" w:rsidRPr="00C26D7B">
        <w:rPr>
          <w:rFonts w:ascii="Book Antiqua" w:hAnsi="Book Antiqua"/>
        </w:rPr>
        <w:t xml:space="preserve"> maintaining a target goal of HBA1c </w:t>
      </w:r>
      <w:bookmarkStart w:id="202" w:name="OLE_LINK1606"/>
      <w:bookmarkStart w:id="203" w:name="OLE_LINK1607"/>
      <w:r w:rsidR="00FF455F" w:rsidRPr="00C26D7B">
        <w:rPr>
          <w:rFonts w:ascii="Book Antiqua" w:hAnsi="Book Antiqua"/>
        </w:rPr>
        <w:t>≤</w:t>
      </w:r>
      <w:bookmarkEnd w:id="202"/>
      <w:bookmarkEnd w:id="203"/>
      <w:r w:rsidR="005258E8" w:rsidRPr="00C26D7B">
        <w:rPr>
          <w:rFonts w:ascii="Book Antiqua" w:hAnsi="Book Antiqua"/>
        </w:rPr>
        <w:t xml:space="preserve"> 6.5%.</w:t>
      </w:r>
      <w:r w:rsidR="00CE3AFE">
        <w:rPr>
          <w:rFonts w:ascii="Book Antiqua" w:hAnsi="Book Antiqua"/>
        </w:rPr>
        <w:t xml:space="preserve"> </w:t>
      </w:r>
      <w:r w:rsidR="005B5165" w:rsidRPr="00C26D7B">
        <w:rPr>
          <w:rFonts w:ascii="Book Antiqua" w:hAnsi="Book Antiqua"/>
        </w:rPr>
        <w:t xml:space="preserve">Thirty </w:t>
      </w:r>
      <w:r w:rsidR="00452B9C" w:rsidRPr="00C26D7B">
        <w:rPr>
          <w:rFonts w:ascii="Book Antiqua" w:hAnsi="Book Antiqua"/>
        </w:rPr>
        <w:t>of the patients that were initially treated with insulin were able to discontinu</w:t>
      </w:r>
      <w:bookmarkStart w:id="204" w:name="OLE_LINK1610"/>
      <w:bookmarkStart w:id="205" w:name="OLE_LINK1611"/>
      <w:r w:rsidR="00452B9C" w:rsidRPr="00C26D7B">
        <w:rPr>
          <w:rFonts w:ascii="Book Antiqua" w:hAnsi="Book Antiqua"/>
        </w:rPr>
        <w:t>e insulin within 3</w:t>
      </w:r>
      <w:r w:rsidR="00C26D7B" w:rsidRPr="00C26D7B">
        <w:rPr>
          <w:rFonts w:ascii="Book Antiqua" w:hAnsi="Book Antiqua" w:hint="eastAsia"/>
          <w:lang w:eastAsia="zh-CN"/>
        </w:rPr>
        <w:t>-</w:t>
      </w:r>
      <w:r w:rsidR="00452B9C" w:rsidRPr="00C26D7B">
        <w:rPr>
          <w:rFonts w:ascii="Book Antiqua" w:hAnsi="Book Antiqua"/>
        </w:rPr>
        <w:t>4 mo.</w:t>
      </w:r>
      <w:r w:rsidR="00CE3AFE">
        <w:rPr>
          <w:rFonts w:ascii="Book Antiqua" w:hAnsi="Book Antiqua"/>
        </w:rPr>
        <w:t xml:space="preserve"> </w:t>
      </w:r>
      <w:r w:rsidR="005B5165" w:rsidRPr="00C26D7B">
        <w:rPr>
          <w:rFonts w:ascii="Book Antiqua" w:hAnsi="Book Antiqua"/>
        </w:rPr>
        <w:t xml:space="preserve">Three </w:t>
      </w:r>
      <w:r w:rsidR="00452B9C" w:rsidRPr="00C26D7B">
        <w:rPr>
          <w:rFonts w:ascii="Book Antiqua" w:hAnsi="Book Antiqua"/>
        </w:rPr>
        <w:t xml:space="preserve">patients required chronic insulin therapy despite ROSI </w:t>
      </w:r>
      <w:bookmarkStart w:id="206" w:name="OLE_LINK1612"/>
      <w:bookmarkStart w:id="207" w:name="OLE_LINK1613"/>
      <w:bookmarkStart w:id="208" w:name="OLE_LINK1614"/>
      <w:r w:rsidR="00C26D7B" w:rsidRPr="00C26D7B">
        <w:rPr>
          <w:rFonts w:ascii="Book Antiqua" w:hAnsi="Book Antiqua"/>
        </w:rPr>
        <w:t>±</w:t>
      </w:r>
      <w:bookmarkEnd w:id="204"/>
      <w:bookmarkEnd w:id="205"/>
      <w:bookmarkEnd w:id="206"/>
      <w:bookmarkEnd w:id="207"/>
      <w:bookmarkEnd w:id="208"/>
      <w:r w:rsidR="00452B9C" w:rsidRPr="00C26D7B">
        <w:rPr>
          <w:rFonts w:ascii="Book Antiqua" w:hAnsi="Book Antiqua"/>
        </w:rPr>
        <w:t xml:space="preserve"> a sulfonylurea, and were considered insulin dependent. </w:t>
      </w:r>
      <w:r w:rsidR="003A66FE" w:rsidRPr="00C26D7B">
        <w:rPr>
          <w:rFonts w:ascii="Book Antiqua" w:hAnsi="Book Antiqua"/>
        </w:rPr>
        <w:t>ROSI monotherapy was</w:t>
      </w:r>
      <w:r w:rsidR="004B3951" w:rsidRPr="00C26D7B">
        <w:rPr>
          <w:rFonts w:ascii="Book Antiqua" w:hAnsi="Book Antiqua"/>
        </w:rPr>
        <w:t xml:space="preserve"> sufficient in 12 patients (30%)</w:t>
      </w:r>
      <w:r w:rsidR="00452B9C" w:rsidRPr="00C26D7B">
        <w:rPr>
          <w:rFonts w:ascii="Book Antiqua" w:hAnsi="Book Antiqua"/>
        </w:rPr>
        <w:t>, whereas 25 patients (62.5%) required ROSI + sulfonylurea to maintain insulin independence and normoglycemia</w:t>
      </w:r>
      <w:r w:rsidR="00C26D7B">
        <w:rPr>
          <w:rFonts w:ascii="Book Antiqua" w:hAnsi="Book Antiqua"/>
        </w:rPr>
        <w:t>. ROSI was continued at 4 mg/d</w:t>
      </w:r>
      <w:r w:rsidR="00452B9C" w:rsidRPr="00C26D7B">
        <w:rPr>
          <w:rFonts w:ascii="Book Antiqua" w:hAnsi="Book Antiqua"/>
        </w:rPr>
        <w:t xml:space="preserve"> in 25 patients while 15 patients required an increase to 8 mg/d.</w:t>
      </w:r>
      <w:r w:rsidR="00CE3AFE">
        <w:rPr>
          <w:rFonts w:ascii="Book Antiqua" w:hAnsi="Book Antiqua"/>
        </w:rPr>
        <w:t xml:space="preserve"> </w:t>
      </w:r>
      <w:r w:rsidR="00452B9C" w:rsidRPr="00C26D7B">
        <w:rPr>
          <w:rFonts w:ascii="Book Antiqua" w:hAnsi="Book Antiqua"/>
        </w:rPr>
        <w:t xml:space="preserve">PTDM patients treated with ROSI maintained a mean HBA1C of 5.6% </w:t>
      </w:r>
      <w:r w:rsidR="00C26D7B" w:rsidRPr="00C26D7B">
        <w:rPr>
          <w:rFonts w:ascii="Book Antiqua" w:hAnsi="Book Antiqua"/>
        </w:rPr>
        <w:t>±</w:t>
      </w:r>
      <w:r w:rsidR="00452B9C" w:rsidRPr="00C26D7B">
        <w:rPr>
          <w:rFonts w:ascii="Book Antiqua" w:hAnsi="Book Antiqua"/>
        </w:rPr>
        <w:t xml:space="preserve"> 0.8</w:t>
      </w:r>
      <w:r w:rsidR="00DB205B" w:rsidRPr="00C26D7B">
        <w:rPr>
          <w:rFonts w:ascii="Book Antiqua" w:hAnsi="Book Antiqua"/>
        </w:rPr>
        <w:t xml:space="preserve"> (target BG levels were &lt; 100 mg/dL for </w:t>
      </w:r>
      <w:r w:rsidR="00CD09B1" w:rsidRPr="00C26D7B">
        <w:rPr>
          <w:rFonts w:ascii="Book Antiqua" w:hAnsi="Book Antiqua"/>
        </w:rPr>
        <w:t xml:space="preserve">fasting glucose </w:t>
      </w:r>
      <w:r w:rsidR="00DB205B" w:rsidRPr="00C26D7B">
        <w:rPr>
          <w:rFonts w:ascii="Book Antiqua" w:hAnsi="Book Antiqua"/>
        </w:rPr>
        <w:t xml:space="preserve">and &lt; 140 mg/dL for </w:t>
      </w:r>
      <w:r w:rsidR="00CD09B1" w:rsidRPr="00C26D7B">
        <w:rPr>
          <w:rFonts w:ascii="Book Antiqua" w:hAnsi="Book Antiqua"/>
        </w:rPr>
        <w:t>post prandial glucose</w:t>
      </w:r>
      <w:r w:rsidR="00DB205B" w:rsidRPr="00C26D7B">
        <w:rPr>
          <w:rFonts w:ascii="Book Antiqua" w:hAnsi="Book Antiqua"/>
        </w:rPr>
        <w:t>)</w:t>
      </w:r>
      <w:r w:rsidR="00452B9C" w:rsidRPr="00C26D7B">
        <w:rPr>
          <w:rFonts w:ascii="Book Antiqua" w:hAnsi="Book Antiqua"/>
        </w:rPr>
        <w:t xml:space="preserve">. </w:t>
      </w:r>
      <w:r w:rsidR="00376B91" w:rsidRPr="00C26D7B">
        <w:rPr>
          <w:rFonts w:ascii="Book Antiqua" w:hAnsi="Book Antiqua"/>
        </w:rPr>
        <w:t xml:space="preserve">A commonly </w:t>
      </w:r>
      <w:r w:rsidR="00452B9C" w:rsidRPr="00C26D7B">
        <w:rPr>
          <w:rFonts w:ascii="Book Antiqua" w:hAnsi="Book Antiqua"/>
        </w:rPr>
        <w:t xml:space="preserve">seen side </w:t>
      </w:r>
      <w:r w:rsidR="00452B9C" w:rsidRPr="00C26D7B">
        <w:rPr>
          <w:rFonts w:ascii="Book Antiqua" w:hAnsi="Book Antiqua"/>
        </w:rPr>
        <w:lastRenderedPageBreak/>
        <w:t>effect among patients treated with ROSI was edema (13%).</w:t>
      </w:r>
      <w:r w:rsidR="00CE3AFE">
        <w:rPr>
          <w:rFonts w:ascii="Book Antiqua" w:hAnsi="Book Antiqua"/>
        </w:rPr>
        <w:t xml:space="preserve"> </w:t>
      </w:r>
      <w:r w:rsidR="000A0A9D" w:rsidRPr="00C26D7B">
        <w:rPr>
          <w:rFonts w:ascii="Book Antiqua" w:hAnsi="Book Antiqua"/>
        </w:rPr>
        <w:t xml:space="preserve">These data suggest ROSI </w:t>
      </w:r>
      <w:r w:rsidR="00C26D7B" w:rsidRPr="00C26D7B">
        <w:rPr>
          <w:rFonts w:ascii="Book Antiqua" w:hAnsi="Book Antiqua"/>
        </w:rPr>
        <w:t>±</w:t>
      </w:r>
      <w:r w:rsidR="000A0A9D" w:rsidRPr="00C26D7B">
        <w:rPr>
          <w:rFonts w:ascii="Book Antiqua" w:hAnsi="Book Antiqua"/>
        </w:rPr>
        <w:t xml:space="preserve"> </w:t>
      </w:r>
      <w:r w:rsidR="00271671" w:rsidRPr="00C26D7B">
        <w:rPr>
          <w:rFonts w:ascii="Book Antiqua" w:hAnsi="Book Antiqua"/>
        </w:rPr>
        <w:t>s</w:t>
      </w:r>
      <w:r w:rsidR="000A0A9D" w:rsidRPr="00C26D7B">
        <w:rPr>
          <w:rFonts w:ascii="Book Antiqua" w:hAnsi="Book Antiqua"/>
        </w:rPr>
        <w:t>ulfonylurea may be a potential intervention that can reduce insulin burden in patients with PTDM</w:t>
      </w:r>
      <w:r w:rsidR="003F54F3" w:rsidRPr="00C26D7B">
        <w:rPr>
          <w:rFonts w:ascii="Book Antiqua" w:hAnsi="Book Antiqua"/>
        </w:rPr>
        <w:fldChar w:fldCharType="begin" w:fldLock="1"/>
      </w:r>
      <w:r w:rsidR="00EA5B56" w:rsidRPr="00C26D7B">
        <w:rPr>
          <w:rFonts w:ascii="Book Antiqua" w:hAnsi="Book Antiqua"/>
        </w:rPr>
        <w:instrText>ADDIN CSL_CITATION { "citationItems" : [ { "id" : "ITEM-1", "itemData" : { "DOI" : "10.1097/01.tp.0000181165.19788.95", "ISSN" : "0041-1337", "PMID" : "16340782", "abstract" : "BACKGROUND: The new onset of posttransplant diabetes mellitus (PTDM) is a common problem after solid organ transplantation. Because insulin resistance plays a significant role in the development of PTDM, we treated 40 consecutive patients with PTDM after liver and kidney transplantation with the insulin sensitizer rosiglitazone (ROSI). METHODS: Thirty-three of 40 patients with PTDM were initially stabilized with twice-daily NPH and regular insulin. All patients subsequently began ROSI 4 mg per day. Patients were followed for a mean of 26 weeks and insulin was adjusted using home blood glucose data and hemoglobin A1C (HBA1C). RESULTS: During 12 months of study, 32/107 liver transplant patients (30%) and 8/205 kidney transplant patients (4%) patients developed PTDM. After 3-4 months of insulin and ROSI therapy, insulin was able to be discontinued in 30/33 (91%) patients with PTDM. In all, 12/40 (30%) patients maintained normal HBA1C levels (5.6+/-0.8%) with ROSI monotherapy, whereas 25/40 (63%) required ROSI and a sulfonylurea to meet this goal. Three of 40 (7.5%) had persistent insulin dependence. 25/40 (63%) continued on 4 mg/day of ROSI, and 15/40 (37%) required an increase to 8 mg/day. Mild edema developed in 13% of patients; significant weight gain did not occur. CONCLUSIONS: Rosiglitazone is the first highly effective oral agent for PTDM. The majority of patients with PTDM may be safely treated with ROSI +/- a sulfonylurea. After the expected 3-6 week delay in the onset of ROSI action, most patients with PTDM will no longer require long-term insulin therapy.", "author" : [ { "dropping-particle" : "", "family" : "Villanueva", "given" : "Griselda", "non-dropping-particle" : "", "parse-names" : false, "suffix" : "" }, { "dropping-particle" : "", "family" : "Baldwin", "given" : "David", "non-dropping-particle" : "", "parse-names" : false, "suffix" : "" } ], "container-title" : "Transplantation", "id" : "ITEM-1", "issue" : "10", "issued" : { "date-parts" : [ [ "2005" ] ] }, "page" : "1402-1405", "title" : "Rosiglitazone therapy of posttransplant diabetes mellitus.", "type" : "article-journal", "volume" : "80" }, "uris" : [ "http://www.mendeley.com/documents/?uuid=b0a49420-9900-4f86-8422-dd865a7be405" ] } ], "mendeley" : { "formattedCitation" : "&lt;sup&gt;[22]&lt;/sup&gt;", "plainTextFormattedCitation" : "[22]", "previouslyFormattedCitation" : "&lt;sup&gt;[22]&lt;/sup&gt;" }, "properties" : {  }, "schema" : "https://github.com/citation-style-language/schema/raw/master/csl-citation.json" }</w:instrText>
      </w:r>
      <w:r w:rsidR="003F54F3" w:rsidRPr="00C26D7B">
        <w:rPr>
          <w:rFonts w:ascii="Book Antiqua" w:hAnsi="Book Antiqua"/>
        </w:rPr>
        <w:fldChar w:fldCharType="separate"/>
      </w:r>
      <w:r w:rsidR="00131F28" w:rsidRPr="00C26D7B">
        <w:rPr>
          <w:rFonts w:ascii="Book Antiqua" w:hAnsi="Book Antiqua"/>
          <w:noProof/>
          <w:vertAlign w:val="superscript"/>
        </w:rPr>
        <w:t>[22]</w:t>
      </w:r>
      <w:r w:rsidR="003F54F3" w:rsidRPr="00C26D7B">
        <w:rPr>
          <w:rFonts w:ascii="Book Antiqua" w:hAnsi="Book Antiqua"/>
        </w:rPr>
        <w:fldChar w:fldCharType="end"/>
      </w:r>
      <w:r w:rsidR="001371C3" w:rsidRPr="00C26D7B">
        <w:rPr>
          <w:rFonts w:ascii="Book Antiqua" w:hAnsi="Book Antiqua"/>
        </w:rPr>
        <w:t>.</w:t>
      </w:r>
    </w:p>
    <w:p w14:paraId="2DBF7009" w14:textId="686E398F" w:rsidR="00FA1E26" w:rsidRPr="008A2C60" w:rsidRDefault="00366E2A" w:rsidP="00C26D7B">
      <w:pPr>
        <w:spacing w:line="360" w:lineRule="auto"/>
        <w:ind w:firstLineChars="100" w:firstLine="240"/>
        <w:contextualSpacing/>
        <w:jc w:val="both"/>
        <w:rPr>
          <w:rFonts w:ascii="Book Antiqua" w:hAnsi="Book Antiqua"/>
        </w:rPr>
      </w:pPr>
      <w:r w:rsidRPr="008A2C60">
        <w:rPr>
          <w:rFonts w:ascii="Book Antiqua" w:hAnsi="Book Antiqua"/>
        </w:rPr>
        <w:t>L</w:t>
      </w:r>
      <w:r w:rsidR="00C26D7B">
        <w:rPr>
          <w:rFonts w:ascii="Book Antiqua" w:hAnsi="Book Antiqua"/>
        </w:rPr>
        <w:t>inder</w:t>
      </w:r>
      <w:r w:rsidR="00C26D7B" w:rsidRPr="00C26D7B">
        <w:rPr>
          <w:rFonts w:ascii="Book Antiqua" w:hAnsi="Book Antiqua"/>
          <w:i/>
        </w:rPr>
        <w:t xml:space="preserve"> </w:t>
      </w:r>
      <w:r w:rsidR="00EE3848" w:rsidRPr="00EE3848">
        <w:rPr>
          <w:rFonts w:ascii="Book Antiqua" w:hAnsi="Book Antiqua"/>
          <w:i/>
        </w:rPr>
        <w:t>et al</w:t>
      </w:r>
      <w:r w:rsidR="00C26D7B" w:rsidRPr="008A2C60">
        <w:rPr>
          <w:rFonts w:ascii="Book Antiqua" w:hAnsi="Book Antiqua"/>
        </w:rPr>
        <w:fldChar w:fldCharType="begin" w:fldLock="1"/>
      </w:r>
      <w:r w:rsidR="00C26D7B" w:rsidRPr="008A2C60">
        <w:rPr>
          <w:rFonts w:ascii="Book Antiqua" w:hAnsi="Book Antiqua"/>
        </w:rPr>
        <w:instrText>ADDIN CSL_CITATION { "citationItems" : [ { "id" : "ITEM-1", "itemData" : { "DOI" : "10.1177/1060028015627662", "ISSN" : "1060-0280", "author" : [ { "dropping-particle" : "", "family" : "Linder", "given" : "K E", "non-dropping-particle" : "", "parse-names" : false, "suffix" : "" }, { "dropping-particle" : "", "family" : "Baker", "given" : "W L", "non-dropping-particle" : "", "parse-names" : false, "suffix" : "" }, { "dropping-particle" : "", "family" : "Rochon", "given" : "C", "non-dropping-particle" : "", "parse-names" : false, "suffix" : "" }, { "dropping-particle" : "", "family" : "May", "given" : "S T", "non-dropping-particle" : "", "parse-names" : false, "suffix" : "" }, { "dropping-particle" : "", "family" : "Sheiner", "given" : "P A", "non-dropping-particle" : "", "parse-names" : false, "suffix" : "" }, { "dropping-particle" : "", "family" : "Martin", "given" : "S T", "non-dropping-particle" : "", "parse-names" : false, "suffix" : "" } ], "container-title" : "Annals of Pharmacotherapy", "id" : "ITEM-1", "issued" : { "date-parts" : [ [ "2016" ] ] }, "title" : "Evaluation of Posttransplantation Diabetes Mellitus After Liver Transplantation: Assessment of Insulin Administration as a Risk Factor", "type" : "article-journal" }, "uris" : [ "http://www.mendeley.com/documents/?uuid=a904ad99-f4a7-4433-b70a-bd175cdafaf6" ] } ], "mendeley" : { "formattedCitation" : "&lt;sup&gt;[18]&lt;/sup&gt;", "plainTextFormattedCitation" : "[18]", "previouslyFormattedCitation" : "&lt;sup&gt;[18]&lt;/sup&gt;" }, "properties" : {  }, "schema" : "https://github.com/citation-style-language/schema/raw/master/csl-citation.json" }</w:instrText>
      </w:r>
      <w:r w:rsidR="00C26D7B" w:rsidRPr="008A2C60">
        <w:rPr>
          <w:rFonts w:ascii="Book Antiqua" w:hAnsi="Book Antiqua"/>
        </w:rPr>
        <w:fldChar w:fldCharType="separate"/>
      </w:r>
      <w:r w:rsidR="00C26D7B" w:rsidRPr="008A2C60">
        <w:rPr>
          <w:rFonts w:ascii="Book Antiqua" w:hAnsi="Book Antiqua"/>
          <w:noProof/>
          <w:vertAlign w:val="superscript"/>
        </w:rPr>
        <w:t>[18]</w:t>
      </w:r>
      <w:r w:rsidR="00C26D7B" w:rsidRPr="008A2C60">
        <w:rPr>
          <w:rFonts w:ascii="Book Antiqua" w:hAnsi="Book Antiqua"/>
        </w:rPr>
        <w:fldChar w:fldCharType="end"/>
      </w:r>
      <w:r w:rsidR="00FA1E26" w:rsidRPr="008A2C60">
        <w:rPr>
          <w:rFonts w:ascii="Book Antiqua" w:hAnsi="Book Antiqua"/>
        </w:rPr>
        <w:t xml:space="preserve"> also showed that patients </w:t>
      </w:r>
      <w:r w:rsidR="008C0BE6" w:rsidRPr="008A2C60">
        <w:rPr>
          <w:rFonts w:ascii="Book Antiqua" w:hAnsi="Book Antiqua"/>
        </w:rPr>
        <w:t xml:space="preserve">who </w:t>
      </w:r>
      <w:r w:rsidR="00FA1E26" w:rsidRPr="008A2C60">
        <w:rPr>
          <w:rFonts w:ascii="Book Antiqua" w:hAnsi="Book Antiqua"/>
        </w:rPr>
        <w:t xml:space="preserve">developed PTDM had significantly higher BG levels (1-mo average BG) suggesting </w:t>
      </w:r>
      <w:r w:rsidR="00376B91" w:rsidRPr="008A2C60">
        <w:rPr>
          <w:rFonts w:ascii="Book Antiqua" w:hAnsi="Book Antiqua"/>
        </w:rPr>
        <w:t xml:space="preserve">post-LT </w:t>
      </w:r>
      <w:r w:rsidR="00FA1E26" w:rsidRPr="008A2C60">
        <w:rPr>
          <w:rFonts w:ascii="Book Antiqua" w:hAnsi="Book Antiqua"/>
        </w:rPr>
        <w:t>hyperglycemia could play a role in the development of PTDM.</w:t>
      </w:r>
      <w:r w:rsidR="00CE3AFE">
        <w:rPr>
          <w:rFonts w:ascii="Book Antiqua" w:hAnsi="Book Antiqua"/>
        </w:rPr>
        <w:t xml:space="preserve"> </w:t>
      </w:r>
      <w:r w:rsidR="00FA1E26" w:rsidRPr="008A2C60">
        <w:rPr>
          <w:rFonts w:ascii="Book Antiqua" w:hAnsi="Book Antiqua"/>
        </w:rPr>
        <w:t>Multivariate analysis for predictors of PTDM showed</w:t>
      </w:r>
      <w:r w:rsidR="00161872" w:rsidRPr="008A2C60">
        <w:rPr>
          <w:rFonts w:ascii="Book Antiqua" w:hAnsi="Book Antiqua"/>
        </w:rPr>
        <w:t xml:space="preserve"> </w:t>
      </w:r>
      <w:r w:rsidR="00C9193B" w:rsidRPr="008A2C60">
        <w:rPr>
          <w:rFonts w:ascii="Book Antiqua" w:hAnsi="Book Antiqua"/>
        </w:rPr>
        <w:t xml:space="preserve">the </w:t>
      </w:r>
      <w:r w:rsidR="00FA1E26" w:rsidRPr="008A2C60">
        <w:rPr>
          <w:rFonts w:ascii="Book Antiqua" w:hAnsi="Book Antiqua"/>
        </w:rPr>
        <w:t xml:space="preserve">use of Basiliximab </w:t>
      </w:r>
      <w:r w:rsidR="00C9193B" w:rsidRPr="008A2C60">
        <w:rPr>
          <w:rFonts w:ascii="Book Antiqua" w:hAnsi="Book Antiqua"/>
        </w:rPr>
        <w:t>w</w:t>
      </w:r>
      <w:r w:rsidR="009358EA" w:rsidRPr="008A2C60">
        <w:rPr>
          <w:rFonts w:ascii="Book Antiqua" w:hAnsi="Book Antiqua"/>
        </w:rPr>
        <w:t xml:space="preserve">as a negative independent predictor </w:t>
      </w:r>
      <w:r w:rsidR="00C26D7B">
        <w:rPr>
          <w:rFonts w:ascii="Book Antiqua" w:hAnsi="Book Antiqua" w:hint="eastAsia"/>
          <w:lang w:eastAsia="zh-CN"/>
        </w:rPr>
        <w:t>[</w:t>
      </w:r>
      <w:r w:rsidR="00FA1E26" w:rsidRPr="008A2C60">
        <w:rPr>
          <w:rFonts w:ascii="Book Antiqua" w:hAnsi="Book Antiqua"/>
        </w:rPr>
        <w:t xml:space="preserve">AOR 0.182 </w:t>
      </w:r>
      <w:r w:rsidR="00C26D7B">
        <w:rPr>
          <w:rFonts w:ascii="Book Antiqua" w:hAnsi="Book Antiqua" w:hint="eastAsia"/>
          <w:lang w:eastAsia="zh-CN"/>
        </w:rPr>
        <w:t>(</w:t>
      </w:r>
      <w:r w:rsidR="00FA1E26" w:rsidRPr="008A2C60">
        <w:rPr>
          <w:rFonts w:ascii="Book Antiqua" w:hAnsi="Book Antiqua"/>
        </w:rPr>
        <w:t>0.040-0.836</w:t>
      </w:r>
      <w:r w:rsidR="00C26D7B">
        <w:rPr>
          <w:rFonts w:ascii="Book Antiqua" w:hAnsi="Book Antiqua" w:hint="eastAsia"/>
          <w:lang w:eastAsia="zh-CN"/>
        </w:rPr>
        <w:t>)</w:t>
      </w:r>
      <w:r w:rsidR="00FA1E26" w:rsidRPr="008A2C60">
        <w:rPr>
          <w:rFonts w:ascii="Book Antiqua" w:hAnsi="Book Antiqua"/>
        </w:rPr>
        <w:t xml:space="preserve">, </w:t>
      </w:r>
      <w:bookmarkStart w:id="209" w:name="OLE_LINK1615"/>
      <w:bookmarkStart w:id="210" w:name="OLE_LINK1616"/>
      <w:r w:rsidR="00C26D7B" w:rsidRPr="00C26D7B">
        <w:rPr>
          <w:rFonts w:ascii="Book Antiqua" w:hAnsi="Book Antiqua"/>
          <w:i/>
        </w:rPr>
        <w:t>P</w:t>
      </w:r>
      <w:bookmarkEnd w:id="209"/>
      <w:bookmarkEnd w:id="210"/>
      <w:r w:rsidR="00FA1E26" w:rsidRPr="008A2C60">
        <w:rPr>
          <w:rFonts w:ascii="Book Antiqua" w:hAnsi="Book Antiqua"/>
        </w:rPr>
        <w:t xml:space="preserve"> = 0.03</w:t>
      </w:r>
      <w:r w:rsidR="00C26D7B">
        <w:rPr>
          <w:rFonts w:ascii="Book Antiqua" w:hAnsi="Book Antiqua" w:hint="eastAsia"/>
          <w:lang w:eastAsia="zh-CN"/>
        </w:rPr>
        <w:t>]</w:t>
      </w:r>
      <w:r w:rsidR="00FA1E26" w:rsidRPr="008A2C60">
        <w:rPr>
          <w:rFonts w:ascii="Book Antiqua" w:hAnsi="Book Antiqua"/>
        </w:rPr>
        <w:t xml:space="preserve"> and rejection </w:t>
      </w:r>
      <w:r w:rsidR="00C9193B" w:rsidRPr="008A2C60">
        <w:rPr>
          <w:rFonts w:ascii="Book Antiqua" w:hAnsi="Book Antiqua"/>
        </w:rPr>
        <w:t>w</w:t>
      </w:r>
      <w:r w:rsidR="00FA1E26" w:rsidRPr="008A2C60">
        <w:rPr>
          <w:rFonts w:ascii="Book Antiqua" w:hAnsi="Book Antiqua"/>
        </w:rPr>
        <w:t xml:space="preserve">as a positive independent predictor </w:t>
      </w:r>
      <w:r w:rsidR="00C26D7B">
        <w:rPr>
          <w:rFonts w:ascii="Book Antiqua" w:hAnsi="Book Antiqua" w:hint="eastAsia"/>
          <w:lang w:eastAsia="zh-CN"/>
        </w:rPr>
        <w:t>[</w:t>
      </w:r>
      <w:r w:rsidR="00C26D7B">
        <w:rPr>
          <w:rFonts w:ascii="Book Antiqua" w:hAnsi="Book Antiqua"/>
        </w:rPr>
        <w:t xml:space="preserve">AOR 3.237 </w:t>
      </w:r>
      <w:r w:rsidR="00C26D7B">
        <w:rPr>
          <w:rFonts w:ascii="Book Antiqua" w:hAnsi="Book Antiqua" w:hint="eastAsia"/>
          <w:lang w:eastAsia="zh-CN"/>
        </w:rPr>
        <w:t>(</w:t>
      </w:r>
      <w:r w:rsidR="00C26D7B">
        <w:rPr>
          <w:rFonts w:ascii="Book Antiqua" w:hAnsi="Book Antiqua"/>
        </w:rPr>
        <w:t>1.214-8.633</w:t>
      </w:r>
      <w:r w:rsidR="00C26D7B">
        <w:rPr>
          <w:rFonts w:ascii="Book Antiqua" w:hAnsi="Book Antiqua" w:hint="eastAsia"/>
          <w:lang w:eastAsia="zh-CN"/>
        </w:rPr>
        <w:t>)</w:t>
      </w:r>
      <w:r w:rsidR="00C26D7B">
        <w:rPr>
          <w:rFonts w:ascii="Book Antiqua" w:hAnsi="Book Antiqua"/>
        </w:rPr>
        <w:t xml:space="preserve">, </w:t>
      </w:r>
      <w:r w:rsidR="00C26D7B" w:rsidRPr="00C26D7B">
        <w:rPr>
          <w:rFonts w:ascii="Book Antiqua" w:hAnsi="Book Antiqua"/>
          <w:i/>
        </w:rPr>
        <w:t>P</w:t>
      </w:r>
      <w:r w:rsidR="009358EA" w:rsidRPr="008A2C60">
        <w:rPr>
          <w:rFonts w:ascii="Book Antiqua" w:hAnsi="Book Antiqua"/>
        </w:rPr>
        <w:t xml:space="preserve"> = 0.019</w:t>
      </w:r>
      <w:r w:rsidR="00C26D7B">
        <w:rPr>
          <w:rFonts w:ascii="Book Antiqua" w:hAnsi="Book Antiqua" w:hint="eastAsia"/>
          <w:lang w:eastAsia="zh-CN"/>
        </w:rPr>
        <w:t>]</w:t>
      </w:r>
      <w:r w:rsidR="009358EA" w:rsidRPr="008A2C60">
        <w:rPr>
          <w:rFonts w:ascii="Book Antiqua" w:hAnsi="Book Antiqua"/>
        </w:rPr>
        <w:t xml:space="preserve"> </w:t>
      </w:r>
      <w:r w:rsidR="00FA1E26" w:rsidRPr="008A2C60">
        <w:rPr>
          <w:rFonts w:ascii="Book Antiqua" w:hAnsi="Book Antiqua"/>
        </w:rPr>
        <w:t>for the development of PTDM</w:t>
      </w:r>
      <w:r w:rsidR="001371C3" w:rsidRPr="008A2C60">
        <w:rPr>
          <w:rFonts w:ascii="Book Antiqua" w:hAnsi="Book Antiqua"/>
        </w:rPr>
        <w:t>.</w:t>
      </w:r>
      <w:r w:rsidR="00C26D7B">
        <w:rPr>
          <w:rFonts w:ascii="Book Antiqua" w:hAnsi="Book Antiqua"/>
        </w:rPr>
        <w:t xml:space="preserve"> </w:t>
      </w:r>
      <w:proofErr w:type="spellStart"/>
      <w:r w:rsidR="00C26D7B">
        <w:rPr>
          <w:rFonts w:ascii="Book Antiqua" w:hAnsi="Book Antiqua"/>
        </w:rPr>
        <w:t>Hartog</w:t>
      </w:r>
      <w:proofErr w:type="spellEnd"/>
      <w:r w:rsidR="00C26D7B">
        <w:rPr>
          <w:rFonts w:ascii="Book Antiqua" w:hAnsi="Book Antiqua"/>
        </w:rPr>
        <w:t xml:space="preserve"> </w:t>
      </w:r>
      <w:r w:rsidR="00EE3848" w:rsidRPr="00EE3848">
        <w:rPr>
          <w:rFonts w:ascii="Book Antiqua" w:hAnsi="Book Antiqua"/>
          <w:i/>
        </w:rPr>
        <w:t>et al</w:t>
      </w:r>
      <w:r w:rsidR="00C26D7B" w:rsidRPr="008A2C60">
        <w:rPr>
          <w:rFonts w:ascii="Book Antiqua" w:hAnsi="Book Antiqua"/>
        </w:rPr>
        <w:fldChar w:fldCharType="begin" w:fldLock="1"/>
      </w:r>
      <w:r w:rsidR="00C26D7B" w:rsidRPr="008A2C60">
        <w:rPr>
          <w:rFonts w:ascii="Book Antiqua" w:hAnsi="Book Antiqua"/>
        </w:rPr>
        <w:instrText>ADDIN CSL_CITATION { "citationItems" : [ { "id" : "ITEM-1", "itemData" : { "DOI" : "10.1111/liv.12706", "ISBN" : "1478-3231 (Electronic)\\r1478-3223 (Linking)", "ISSN" : "14783231", "PMID" : "25349066", "abstract" : "Background &amp; Aims: We studied new-onset diabetes after transplantation (NODAT) in liver transplantation with grafts donated after brain death (DBD) or circulatory death (DCD), focusing on the early post-transplant period. Methods: A total of 430 non-diabetic primary liver transplant recipients [DCD, n = 90 (21%)] were followed up for 30 months (range 5-69). NODAT was defined as the composite endpoint of one of following: (i) Two non-fasting plasma glucose levels &gt; 11.1 mmol/L \u2265 30 days apart, (ii) oral hypoglycaemic drugs \u2265 30 days consecutively (iii) insulin therapy \u2265 30 days and (iv) HbA1c \u2265 48 mmol/L. Resolution of NODAT was defined as cessation of treatment or hyperglycaemia. Results: Total of 81/430 (19%) patients developed NODAT. Incidence and resolution of NODAT over time showed significantly different patterns between DCD and DBD liver graft recipients; early occurrence, high peak incidence and early resolution were seen in DCD. In multivariate logistic regression including age, ethnicity, HCV, tacrolimus level and pulsed steroids, only DCD was independently associated with NODAT at day 15 post-transplant (OR 6.5, 95% CI 2.3-18.4, P &lt; 0.001), whereas age and pulsed steroids were significant factors between 30-90 days. Combined in multivariate Cox regression model for NODAT-free survival, graft type, age and pulsed steroids were each independent predictor for decreased NODAT-free survival in the first 90-postoperative days. Conclusion: Early peak of NODAT in DCD graft recipients is a novel finding, occurring independently from known risk factors. Donor warm ischaemia and impact on insulin sensitivity should be further studied and could perhaps be associated with graft function.", "author" : [ { "dropping-particle" : "", "family" : "Hartog", "given" : "Hermien", "non-dropping-particle" : "", "parse-names" : false, "suffix" : "" }, { "dropping-particle" : "", "family" : "May", "given" : "Christine J H", "non-dropping-particle" : "", "parse-names" : false, "suffix" : "" }, { "dropping-particle" : "", "family" : "Corbett", "given" : "Chris", "non-dropping-particle" : "", "parse-names" : false, "suffix" : "" }, { "dropping-particle" : "", "family" : "Phillips", "given" : "Angela", "non-dropping-particle" : "", "parse-names" : false, "suffix" : "" }, { "dropping-particle" : "", "family" : "Tomlinson", "given" : "Jeremy W.", "non-dropping-particle" : "", "parse-names" : false, "suffix" : "" }, { "dropping-particle" : "", "family" : "Mergental", "given" : "Hynek", "non-dropping-particle" : "", "parse-names" : false, "suffix" : "" }, { "dropping-particle" : "", "family" : "Isaac", "given" : "John", "non-dropping-particle" : "", "parse-names" : false, "suffix" : "" }, { "dropping-particle" : "", "family" : "Bramhall", "given" : "Simon", "non-dropping-particle" : "", "parse-names" : false, "suffix" : "" }, { "dropping-particle" : "", "family" : "Mirza", "given" : "Darius F.", "non-dropping-particle" : "", "parse-names" : false, "suffix" : "" }, { "dropping-particle" : "", "family" : "Muiesan", "given" : "Paolo", "non-dropping-particle" : "", "parse-names" : false, "suffix" : "" }, { "dropping-particle" : "", "family" : "Perera", "given" : "M. Thamara P R", "non-dropping-particle" : "", "parse-names" : false, "suffix" : "" } ], "container-title" : "Liver International", "id" : "ITEM-1", "issue" : "6", "issued" : { "date-parts" : [ [ "2015" ] ] }, "page" : "1739-1747", "title" : "Early occurrence of new-onset diabetes after transplantation is related to type of liver graft and warm ischaemic injury", "type" : "article-journal", "volume" : "35" }, "uris" : [ "http://www.mendeley.com/documents/?uuid=d84a45b3-dc1a-4dd0-828d-d44661b2accf" ] } ], "mendeley" : { "formattedCitation" : "&lt;sup&gt;[23]&lt;/sup&gt;", "plainTextFormattedCitation" : "[23]", "previouslyFormattedCitation" : "&lt;sup&gt;[23]&lt;/sup&gt;" }, "properties" : {  }, "schema" : "https://github.com/citation-style-language/schema/raw/master/csl-citation.json" }</w:instrText>
      </w:r>
      <w:r w:rsidR="00C26D7B" w:rsidRPr="008A2C60">
        <w:rPr>
          <w:rFonts w:ascii="Book Antiqua" w:hAnsi="Book Antiqua"/>
        </w:rPr>
        <w:fldChar w:fldCharType="separate"/>
      </w:r>
      <w:r w:rsidR="00C26D7B" w:rsidRPr="008A2C60">
        <w:rPr>
          <w:rFonts w:ascii="Book Antiqua" w:hAnsi="Book Antiqua"/>
          <w:noProof/>
          <w:vertAlign w:val="superscript"/>
        </w:rPr>
        <w:t>[23]</w:t>
      </w:r>
      <w:r w:rsidR="00C26D7B" w:rsidRPr="008A2C60">
        <w:rPr>
          <w:rFonts w:ascii="Book Antiqua" w:hAnsi="Book Antiqua"/>
        </w:rPr>
        <w:fldChar w:fldCharType="end"/>
      </w:r>
      <w:r w:rsidR="00FA1E26" w:rsidRPr="008A2C60">
        <w:rPr>
          <w:rFonts w:ascii="Book Antiqua" w:hAnsi="Book Antiqua"/>
        </w:rPr>
        <w:t xml:space="preserve"> </w:t>
      </w:r>
      <w:r w:rsidR="008C0BE6" w:rsidRPr="008A2C60">
        <w:rPr>
          <w:rFonts w:ascii="Book Antiqua" w:hAnsi="Book Antiqua"/>
        </w:rPr>
        <w:t xml:space="preserve">demonstrated that pulse high-dose steroids was an </w:t>
      </w:r>
      <w:r w:rsidR="00C26D7B">
        <w:rPr>
          <w:rFonts w:ascii="Book Antiqua" w:hAnsi="Book Antiqua"/>
        </w:rPr>
        <w:t xml:space="preserve">independent predictor of NODAT </w:t>
      </w:r>
      <w:r w:rsidR="00C26D7B">
        <w:rPr>
          <w:rFonts w:ascii="Book Antiqua" w:hAnsi="Book Antiqua" w:hint="eastAsia"/>
          <w:lang w:eastAsia="zh-CN"/>
        </w:rPr>
        <w:t>[</w:t>
      </w:r>
      <w:r w:rsidR="00FA1E26" w:rsidRPr="008A2C60">
        <w:rPr>
          <w:rFonts w:ascii="Book Antiqua" w:hAnsi="Book Antiqua"/>
        </w:rPr>
        <w:t xml:space="preserve">OR 3.1 </w:t>
      </w:r>
      <w:r w:rsidR="00C26D7B">
        <w:rPr>
          <w:rFonts w:ascii="Book Antiqua" w:hAnsi="Book Antiqua" w:hint="eastAsia"/>
          <w:lang w:eastAsia="zh-CN"/>
        </w:rPr>
        <w:t>(</w:t>
      </w:r>
      <w:r w:rsidR="00FA1E26" w:rsidRPr="008A2C60">
        <w:rPr>
          <w:rFonts w:ascii="Book Antiqua" w:hAnsi="Book Antiqua"/>
        </w:rPr>
        <w:t>1.7</w:t>
      </w:r>
      <w:r w:rsidR="00C26D7B">
        <w:rPr>
          <w:rFonts w:ascii="Book Antiqua" w:hAnsi="Book Antiqua" w:hint="eastAsia"/>
          <w:lang w:eastAsia="zh-CN"/>
        </w:rPr>
        <w:t>-</w:t>
      </w:r>
      <w:r w:rsidR="00FA1E26" w:rsidRPr="008A2C60">
        <w:rPr>
          <w:rFonts w:ascii="Book Antiqua" w:hAnsi="Book Antiqua"/>
        </w:rPr>
        <w:t>5.6</w:t>
      </w:r>
      <w:r w:rsidR="00C26D7B" w:rsidRPr="008A2C60">
        <w:rPr>
          <w:rFonts w:ascii="Book Antiqua" w:hAnsi="Book Antiqua"/>
        </w:rPr>
        <w:t>)</w:t>
      </w:r>
      <w:r w:rsidR="00C26D7B">
        <w:rPr>
          <w:rFonts w:ascii="Book Antiqua" w:hAnsi="Book Antiqua"/>
        </w:rPr>
        <w:t xml:space="preserve">, </w:t>
      </w:r>
      <w:r w:rsidR="00C26D7B" w:rsidRPr="00C26D7B">
        <w:rPr>
          <w:rFonts w:ascii="Book Antiqua" w:hAnsi="Book Antiqua"/>
          <w:i/>
        </w:rPr>
        <w:t>P</w:t>
      </w:r>
      <w:r w:rsidR="00FA1E26" w:rsidRPr="008A2C60">
        <w:rPr>
          <w:rFonts w:ascii="Book Antiqua" w:hAnsi="Book Antiqua"/>
        </w:rPr>
        <w:t xml:space="preserve"> = 0.001</w:t>
      </w:r>
      <w:r w:rsidR="00C26D7B">
        <w:rPr>
          <w:rFonts w:ascii="Book Antiqua" w:hAnsi="Book Antiqua" w:hint="eastAsia"/>
          <w:lang w:eastAsia="zh-CN"/>
        </w:rPr>
        <w:t>]</w:t>
      </w:r>
      <w:r w:rsidR="00FA1E26" w:rsidRPr="008A2C60">
        <w:rPr>
          <w:rFonts w:ascii="Book Antiqua" w:hAnsi="Book Antiqua"/>
        </w:rPr>
        <w:t>.</w:t>
      </w:r>
      <w:r w:rsidR="00CE3AFE">
        <w:rPr>
          <w:rFonts w:ascii="Book Antiqua" w:hAnsi="Book Antiqua"/>
        </w:rPr>
        <w:t xml:space="preserve"> </w:t>
      </w:r>
      <w:r w:rsidR="00324E8E" w:rsidRPr="008A2C60">
        <w:rPr>
          <w:rFonts w:ascii="Book Antiqua" w:hAnsi="Book Antiqua"/>
        </w:rPr>
        <w:t xml:space="preserve">In addition, </w:t>
      </w:r>
      <w:r w:rsidR="00776159" w:rsidRPr="008A2C60">
        <w:rPr>
          <w:rFonts w:ascii="Book Antiqua" w:hAnsi="Book Antiqua"/>
        </w:rPr>
        <w:t xml:space="preserve">this study </w:t>
      </w:r>
      <w:r w:rsidR="00324E8E" w:rsidRPr="008A2C60">
        <w:rPr>
          <w:rFonts w:ascii="Book Antiqua" w:hAnsi="Book Antiqua"/>
        </w:rPr>
        <w:t>also demonstrated donor graft type was associated with early occ</w:t>
      </w:r>
      <w:r w:rsidR="00C26D7B">
        <w:rPr>
          <w:rFonts w:ascii="Book Antiqua" w:hAnsi="Book Antiqua"/>
        </w:rPr>
        <w:t>urrence of NODAT (within 15 d</w:t>
      </w:r>
      <w:r w:rsidR="00324E8E" w:rsidRPr="008A2C60">
        <w:rPr>
          <w:rFonts w:ascii="Book Antiqua" w:hAnsi="Book Antiqua"/>
        </w:rPr>
        <w:t xml:space="preserve"> post-LT).</w:t>
      </w:r>
      <w:r w:rsidR="00CE3AFE">
        <w:rPr>
          <w:rFonts w:ascii="Book Antiqua" w:hAnsi="Book Antiqua"/>
        </w:rPr>
        <w:t xml:space="preserve"> </w:t>
      </w:r>
      <w:r w:rsidR="00324E8E" w:rsidRPr="008A2C60">
        <w:rPr>
          <w:rFonts w:ascii="Book Antiqua" w:hAnsi="Book Antiqua"/>
        </w:rPr>
        <w:t xml:space="preserve">Multivariate analysis showed donation after cardiac death (DCD) graft type was associated with significantly early occurrence of NODAT compared to donation after brain death (DBD) graft type </w:t>
      </w:r>
      <w:r w:rsidR="00C26D7B">
        <w:rPr>
          <w:rFonts w:ascii="Book Antiqua" w:hAnsi="Book Antiqua" w:hint="eastAsia"/>
          <w:lang w:eastAsia="zh-CN"/>
        </w:rPr>
        <w:t>[</w:t>
      </w:r>
      <w:r w:rsidR="00324E8E" w:rsidRPr="008A2C60">
        <w:rPr>
          <w:rFonts w:ascii="Book Antiqua" w:hAnsi="Book Antiqua"/>
        </w:rPr>
        <w:t>OR 6.5</w:t>
      </w:r>
      <w:r w:rsidR="00A84B1D" w:rsidRPr="008A2C60">
        <w:rPr>
          <w:rFonts w:ascii="Book Antiqua" w:hAnsi="Book Antiqua"/>
        </w:rPr>
        <w:t xml:space="preserve"> </w:t>
      </w:r>
      <w:r w:rsidR="00C26D7B" w:rsidRPr="008A2C60">
        <w:rPr>
          <w:rFonts w:ascii="Book Antiqua" w:hAnsi="Book Antiqua"/>
        </w:rPr>
        <w:t>(</w:t>
      </w:r>
      <w:r w:rsidR="00324E8E" w:rsidRPr="008A2C60">
        <w:rPr>
          <w:rFonts w:ascii="Book Antiqua" w:hAnsi="Book Antiqua"/>
        </w:rPr>
        <w:t>2.3</w:t>
      </w:r>
      <w:r w:rsidR="00C26D7B">
        <w:rPr>
          <w:rFonts w:ascii="Book Antiqua" w:hAnsi="Book Antiqua" w:hint="eastAsia"/>
          <w:lang w:eastAsia="zh-CN"/>
        </w:rPr>
        <w:t>-</w:t>
      </w:r>
      <w:r w:rsidR="00324E8E" w:rsidRPr="008A2C60">
        <w:rPr>
          <w:rFonts w:ascii="Book Antiqua" w:hAnsi="Book Antiqua"/>
        </w:rPr>
        <w:t>18.4</w:t>
      </w:r>
      <w:r w:rsidR="00C26D7B" w:rsidRPr="008A2C60">
        <w:rPr>
          <w:rFonts w:ascii="Book Antiqua" w:hAnsi="Book Antiqua"/>
        </w:rPr>
        <w:t>)</w:t>
      </w:r>
      <w:r w:rsidR="00A84B1D" w:rsidRPr="008A2C60">
        <w:rPr>
          <w:rFonts w:ascii="Book Antiqua" w:hAnsi="Book Antiqua"/>
        </w:rPr>
        <w:t>,</w:t>
      </w:r>
      <w:r w:rsidR="00337687" w:rsidRPr="008A2C60">
        <w:rPr>
          <w:rFonts w:ascii="Book Antiqua" w:hAnsi="Book Antiqua"/>
        </w:rPr>
        <w:t xml:space="preserve"> </w:t>
      </w:r>
      <w:r w:rsidR="00C26D7B" w:rsidRPr="00C26D7B">
        <w:rPr>
          <w:rFonts w:ascii="Book Antiqua" w:hAnsi="Book Antiqua"/>
          <w:i/>
        </w:rPr>
        <w:t>P</w:t>
      </w:r>
      <w:r w:rsidR="00337687" w:rsidRPr="008A2C60">
        <w:rPr>
          <w:rFonts w:ascii="Book Antiqua" w:hAnsi="Book Antiqua"/>
        </w:rPr>
        <w:t xml:space="preserve"> = 0.001</w:t>
      </w:r>
      <w:r w:rsidR="00C26D7B">
        <w:rPr>
          <w:rFonts w:ascii="Book Antiqua" w:hAnsi="Book Antiqua" w:hint="eastAsia"/>
          <w:lang w:eastAsia="zh-CN"/>
        </w:rPr>
        <w:t>]</w:t>
      </w:r>
      <w:r w:rsidR="001371C3" w:rsidRPr="008A2C60">
        <w:rPr>
          <w:rFonts w:ascii="Book Antiqua" w:hAnsi="Book Antiqua"/>
        </w:rPr>
        <w:t>.</w:t>
      </w:r>
    </w:p>
    <w:p w14:paraId="2439C3A4" w14:textId="672F4FE8" w:rsidR="00A85195" w:rsidRPr="008A2C60" w:rsidRDefault="00A85195" w:rsidP="00C26D7B">
      <w:pPr>
        <w:spacing w:line="360" w:lineRule="auto"/>
        <w:ind w:firstLineChars="100" w:firstLine="240"/>
        <w:contextualSpacing/>
        <w:jc w:val="both"/>
        <w:rPr>
          <w:rFonts w:ascii="Book Antiqua" w:hAnsi="Book Antiqua"/>
        </w:rPr>
      </w:pPr>
      <w:r w:rsidRPr="008A2C60">
        <w:rPr>
          <w:rFonts w:ascii="Book Antiqua" w:hAnsi="Book Antiqua"/>
        </w:rPr>
        <w:t>In addition to the previously mentioned outcomes, PTDM</w:t>
      </w:r>
      <w:r w:rsidR="003D01F5" w:rsidRPr="008A2C60">
        <w:rPr>
          <w:rFonts w:ascii="Book Antiqua" w:hAnsi="Book Antiqua"/>
        </w:rPr>
        <w:t xml:space="preserve"> has also been associated with</w:t>
      </w:r>
      <w:r w:rsidR="000E5C84" w:rsidRPr="008A2C60">
        <w:rPr>
          <w:rFonts w:ascii="Book Antiqua" w:hAnsi="Book Antiqua"/>
        </w:rPr>
        <w:t xml:space="preserve"> higher </w:t>
      </w:r>
      <w:r w:rsidRPr="008A2C60">
        <w:rPr>
          <w:rFonts w:ascii="Book Antiqua" w:hAnsi="Book Antiqua"/>
        </w:rPr>
        <w:t xml:space="preserve">insulin </w:t>
      </w:r>
      <w:r w:rsidR="004B3951" w:rsidRPr="008A2C60">
        <w:rPr>
          <w:rFonts w:ascii="Book Antiqua" w:hAnsi="Book Antiqua"/>
        </w:rPr>
        <w:t xml:space="preserve">use </w:t>
      </w:r>
      <w:r w:rsidRPr="008A2C60">
        <w:rPr>
          <w:rFonts w:ascii="Book Antiqua" w:hAnsi="Book Antiqua"/>
        </w:rPr>
        <w:t>in post-LT patients.</w:t>
      </w:r>
      <w:r w:rsidR="00CE3AFE">
        <w:rPr>
          <w:rFonts w:ascii="Book Antiqua" w:hAnsi="Book Antiqua"/>
        </w:rPr>
        <w:t xml:space="preserve"> </w:t>
      </w:r>
      <w:r w:rsidRPr="008A2C60">
        <w:rPr>
          <w:rFonts w:ascii="Book Antiqua" w:hAnsi="Book Antiqua"/>
        </w:rPr>
        <w:t xml:space="preserve">A cross-sectional study by Alvarez-Sotomayor </w:t>
      </w:r>
      <w:r w:rsidR="00EE3848" w:rsidRPr="00EE3848">
        <w:rPr>
          <w:rFonts w:ascii="Book Antiqua" w:hAnsi="Book Antiqua"/>
          <w:i/>
        </w:rPr>
        <w:t>et al</w:t>
      </w:r>
      <w:r w:rsidR="00944790" w:rsidRPr="008A2C60">
        <w:rPr>
          <w:rFonts w:ascii="Book Antiqua" w:hAnsi="Book Antiqua"/>
        </w:rPr>
        <w:fldChar w:fldCharType="begin" w:fldLock="1"/>
      </w:r>
      <w:r w:rsidR="00944790" w:rsidRPr="008A2C60">
        <w:rPr>
          <w:rFonts w:ascii="Book Antiqua" w:hAnsi="Book Antiqua"/>
        </w:rPr>
        <w:instrText>ADDIN CSL_CITATION { "citationItems" : [ { "id" : "ITEM-1", "itemData" : { "DOI" : "10.1097/TP.0000000000001399 [doi]", "ISBN" : "0000000000", "ISSN" : "1534-6080; 0041-1337", "abstract" : "BACKGROUND: Diabetes mellitus is a chronic illness with great impact on long-term outcome after liver transplantation (LT). Despite this, the current level of glycemic control and quality of screening strategies for diabetes-associated conditions that are being provided to liver transplant recipients with diabetes have not yet been assessed. METHODS: We performed a cross-sectional, multicenter study that included 344 liver transplant recipients and examined the level of glycemic control and its associated factors, as well as the quality of screening strategies for diabetes-associated conditions. RESULTS: Seventy-five patients (21.8%) suffered from diabetes before transplantation, and 82 (23.8%) developed diabetes mellitus after transplantation. Adequate glycemic control (HbA1c &lt; 7%) was achieved in 66.7% of the patients. Forty-eight percent of patients underwent regular screening for retinopathy, 47.1% for nephropathy, 4.5% for neuropathy, and 5.7% for foot ulcers. Diabetes was associated with higher frequency of cardiovascular disease and dyslipidemia both before and after LT. Multivariate analysis revealed association between poor glycemic control and arterial hypertension, presence of diabetes before transplantation, elevated GGT, and insulin use. CONCLUSIONS: Glycemic control was inadequate in 33.3% of LT recipients with diabetes, and screening protocols for diabetes-associated conditions did not meet the standards for medical care set by the American Diabetes Association in any of the participating centers. Consequently, this study reveals a clear deficiency in the quality of diabetes care provided to patients after LT and, hence, we predict that future progress in this area will have a significant impact on medium-term to long-term outcome of these patients.", "author" : [ { "dropping-particle" : "", "family" : "Alvarez-Sotomayor", "given" : "D", "non-dropping-particle" : "", "parse-names" : false, "suffix" : "" }, { "dropping-particle" : "", "family" : "Satorres", "given" : "C", "non-dropping-particle" : "", "parse-names" : false, "suffix" : "" }, { "dropping-particle" : "", "family" : "Rodriguez-Medina", "given" : "B", "non-dropping-particle" : "", "parse-names" : false, "suffix" : "" }, { "dropping-particle" : "", "family" : "Herrero", "given" : "I", "non-dropping-particle" : "", "parse-names" : false, "suffix" : "" }, { "dropping-particle" : "", "family" : "la Mata", "given" : "M", "non-dropping-particle" : "de", "parse-names" : false, "suffix" : "" }, { "dropping-particle" : "", "family" : "Serrano", "given" : "T", "non-dropping-particle" : "", "parse-names" : false, "suffix" : "" }, { "dropping-particle" : "", "family" : "Rodriguez-Peralvarez", "given" : "M", "non-dropping-particle" : "", "parse-names" : false, "suffix" : "" }, { "dropping-particle" : "", "family" : "D'Avola", "given" : "D", "non-dropping-particle" : "", "parse-names" : false, "suffix" : "" }, { "dropping-particle" : "", "family" : "Lorente", "given" : "S", "non-dropping-particle" : "", "parse-names" : false, "suffix" : "" }, { "dropping-particle" : "", "family" : "Rubin", "given" : "A", "non-dropping-particle" : "", "parse-names" : false, "suffix" : "" }, { "dropping-particle" : "", "family" : "Berenguer", "given" : "M", "non-dropping-particle" : "", "parse-names" : false, "suffix" : "" } ], "container-title" : "Transplantation", "id" : "ITEM-1", "issue" : "10", "issued" : { "date-parts" : [ [ "2016" ] ] }, "page" : "e66-e73", "title" : "Controlling Diabetes After Liver Transplantation: Room for Improvement", "type" : "article-journal", "volume" : "100" }, "uris" : [ "http://www.mendeley.com/documents/?uuid=6a251544-e027-49f9-86fa-75c85e6ee2ad" ] } ], "mendeley" : { "formattedCitation" : "&lt;sup&gt;[24]&lt;/sup&gt;", "plainTextFormattedCitation" : "[24]", "previouslyFormattedCitation" : "&lt;sup&gt;[24]&lt;/sup&gt;" }, "properties" : {  }, "schema" : "https://github.com/citation-style-language/schema/raw/master/csl-citation.json" }</w:instrText>
      </w:r>
      <w:r w:rsidR="00944790" w:rsidRPr="008A2C60">
        <w:rPr>
          <w:rFonts w:ascii="Book Antiqua" w:hAnsi="Book Antiqua"/>
        </w:rPr>
        <w:fldChar w:fldCharType="separate"/>
      </w:r>
      <w:r w:rsidR="00944790" w:rsidRPr="008A2C60">
        <w:rPr>
          <w:rFonts w:ascii="Book Antiqua" w:hAnsi="Book Antiqua"/>
          <w:noProof/>
          <w:vertAlign w:val="superscript"/>
        </w:rPr>
        <w:t>[24]</w:t>
      </w:r>
      <w:r w:rsidR="00944790" w:rsidRPr="008A2C60">
        <w:rPr>
          <w:rFonts w:ascii="Book Antiqua" w:hAnsi="Book Antiqua"/>
        </w:rPr>
        <w:fldChar w:fldCharType="end"/>
      </w:r>
      <w:r w:rsidRPr="008A2C60">
        <w:rPr>
          <w:rFonts w:ascii="Book Antiqua" w:hAnsi="Book Antiqua"/>
        </w:rPr>
        <w:t xml:space="preserve"> </w:t>
      </w:r>
      <w:r w:rsidR="00E336A7" w:rsidRPr="008A2C60">
        <w:rPr>
          <w:rFonts w:ascii="Book Antiqua" w:hAnsi="Book Antiqua"/>
        </w:rPr>
        <w:t xml:space="preserve">evaluated 344 patients of </w:t>
      </w:r>
      <w:r w:rsidR="008C0BE6" w:rsidRPr="008A2C60">
        <w:rPr>
          <w:rFonts w:ascii="Book Antiqua" w:hAnsi="Book Antiqua"/>
        </w:rPr>
        <w:t xml:space="preserve">whom </w:t>
      </w:r>
      <w:r w:rsidR="00E336A7" w:rsidRPr="008A2C60">
        <w:rPr>
          <w:rFonts w:ascii="Book Antiqua" w:hAnsi="Book Antiqua"/>
        </w:rPr>
        <w:t>141 patients experienced PTDM</w:t>
      </w:r>
      <w:r w:rsidR="0014555D" w:rsidRPr="008A2C60">
        <w:rPr>
          <w:rFonts w:ascii="Book Antiqua" w:hAnsi="Book Antiqua"/>
        </w:rPr>
        <w:t xml:space="preserve"> (157 total but 16 patients did not have HbA1c readings prior to enrollment)</w:t>
      </w:r>
      <w:r w:rsidR="00E336A7" w:rsidRPr="008A2C60">
        <w:rPr>
          <w:rFonts w:ascii="Book Antiqua" w:hAnsi="Book Antiqua"/>
        </w:rPr>
        <w:t>.</w:t>
      </w:r>
      <w:r w:rsidR="00CE3AFE">
        <w:rPr>
          <w:rFonts w:ascii="Book Antiqua" w:hAnsi="Book Antiqua"/>
        </w:rPr>
        <w:t xml:space="preserve"> </w:t>
      </w:r>
      <w:r w:rsidR="008C0BE6" w:rsidRPr="008A2C60">
        <w:rPr>
          <w:rFonts w:ascii="Book Antiqua" w:hAnsi="Book Antiqua"/>
        </w:rPr>
        <w:t xml:space="preserve">Patients with </w:t>
      </w:r>
      <w:r w:rsidR="0014555D" w:rsidRPr="008A2C60">
        <w:rPr>
          <w:rFonts w:ascii="Book Antiqua" w:hAnsi="Book Antiqua"/>
        </w:rPr>
        <w:t xml:space="preserve">PTDM </w:t>
      </w:r>
      <w:r w:rsidR="008C0BE6" w:rsidRPr="008A2C60">
        <w:rPr>
          <w:rFonts w:ascii="Book Antiqua" w:hAnsi="Book Antiqua"/>
        </w:rPr>
        <w:t xml:space="preserve">who </w:t>
      </w:r>
      <w:r w:rsidRPr="008A2C60">
        <w:rPr>
          <w:rFonts w:ascii="Book Antiqua" w:hAnsi="Book Antiqua"/>
        </w:rPr>
        <w:t xml:space="preserve">had adequate glycemic control (defined as HbA1c &lt; 7%), </w:t>
      </w:r>
      <w:r w:rsidR="008C0BE6" w:rsidRPr="008A2C60">
        <w:rPr>
          <w:rFonts w:ascii="Book Antiqua" w:hAnsi="Book Antiqua"/>
        </w:rPr>
        <w:t xml:space="preserve">were </w:t>
      </w:r>
      <w:r w:rsidRPr="008A2C60">
        <w:rPr>
          <w:rFonts w:ascii="Book Antiqua" w:hAnsi="Book Antiqua"/>
        </w:rPr>
        <w:t xml:space="preserve">significantly </w:t>
      </w:r>
      <w:r w:rsidR="008C0BE6" w:rsidRPr="008A2C60">
        <w:rPr>
          <w:rFonts w:ascii="Book Antiqua" w:hAnsi="Book Antiqua"/>
        </w:rPr>
        <w:t>less dependent</w:t>
      </w:r>
      <w:r w:rsidRPr="008A2C60">
        <w:rPr>
          <w:rFonts w:ascii="Book Antiqua" w:hAnsi="Book Antiqua"/>
        </w:rPr>
        <w:t xml:space="preserve"> on insulin (39.4%</w:t>
      </w:r>
      <w:r w:rsidR="008C0BE6" w:rsidRPr="008A2C60">
        <w:rPr>
          <w:rFonts w:ascii="Book Antiqua" w:hAnsi="Book Antiqua"/>
        </w:rPr>
        <w:t>) compared to patients with inadequate glycemic control (</w:t>
      </w:r>
      <w:r w:rsidRPr="008A2C60">
        <w:rPr>
          <w:rFonts w:ascii="Book Antiqua" w:hAnsi="Book Antiqua"/>
        </w:rPr>
        <w:t>80.8%</w:t>
      </w:r>
      <w:r w:rsidR="008C0BE6" w:rsidRPr="008A2C60">
        <w:rPr>
          <w:rFonts w:ascii="Book Antiqua" w:hAnsi="Book Antiqua"/>
        </w:rPr>
        <w:t>)</w:t>
      </w:r>
      <w:r w:rsidRPr="008A2C60">
        <w:rPr>
          <w:rFonts w:ascii="Book Antiqua" w:hAnsi="Book Antiqua"/>
        </w:rPr>
        <w:t xml:space="preserve"> </w:t>
      </w:r>
      <w:r w:rsidR="008C0BE6" w:rsidRPr="008A2C60">
        <w:rPr>
          <w:rFonts w:ascii="Book Antiqua" w:hAnsi="Book Antiqua"/>
        </w:rPr>
        <w:t>(</w:t>
      </w:r>
      <w:r w:rsidR="00C26D7B">
        <w:rPr>
          <w:rFonts w:ascii="Book Antiqua" w:hAnsi="Book Antiqua"/>
        </w:rPr>
        <w:t>OR 6.6, 95%</w:t>
      </w:r>
      <w:r w:rsidR="00E336A7" w:rsidRPr="008A2C60">
        <w:rPr>
          <w:rFonts w:ascii="Book Antiqua" w:hAnsi="Book Antiqua"/>
        </w:rPr>
        <w:t>CI</w:t>
      </w:r>
      <w:r w:rsidR="00C26D7B">
        <w:rPr>
          <w:rFonts w:ascii="Book Antiqua" w:hAnsi="Book Antiqua" w:hint="eastAsia"/>
          <w:lang w:eastAsia="zh-CN"/>
        </w:rPr>
        <w:t>:</w:t>
      </w:r>
      <w:r w:rsidR="007F1A1C">
        <w:rPr>
          <w:rFonts w:ascii="Book Antiqua" w:hAnsi="Book Antiqua"/>
        </w:rPr>
        <w:t xml:space="preserve"> 1.8-</w:t>
      </w:r>
      <w:r w:rsidR="00E336A7" w:rsidRPr="008A2C60">
        <w:rPr>
          <w:rFonts w:ascii="Book Antiqua" w:hAnsi="Book Antiqua"/>
        </w:rPr>
        <w:t xml:space="preserve">24.6, </w:t>
      </w:r>
      <w:r w:rsidR="00C26D7B" w:rsidRPr="00C26D7B">
        <w:rPr>
          <w:rFonts w:ascii="Book Antiqua" w:hAnsi="Book Antiqua"/>
          <w:i/>
        </w:rPr>
        <w:t>P</w:t>
      </w:r>
      <w:r w:rsidRPr="008A2C60">
        <w:rPr>
          <w:rFonts w:ascii="Book Antiqua" w:hAnsi="Book Antiqua"/>
        </w:rPr>
        <w:t xml:space="preserve"> &lt; 0.001)</w:t>
      </w:r>
      <w:r w:rsidR="001371C3" w:rsidRPr="008A2C60">
        <w:rPr>
          <w:rFonts w:ascii="Book Antiqua" w:hAnsi="Book Antiqua"/>
        </w:rPr>
        <w:t>.</w:t>
      </w:r>
      <w:r w:rsidR="00CE3AFE">
        <w:rPr>
          <w:rFonts w:ascii="Book Antiqua" w:hAnsi="Book Antiqua"/>
        </w:rPr>
        <w:t xml:space="preserve"> </w:t>
      </w:r>
      <w:r w:rsidR="004A41C0" w:rsidRPr="008A2C60">
        <w:rPr>
          <w:rFonts w:ascii="Book Antiqua" w:hAnsi="Book Antiqua"/>
        </w:rPr>
        <w:t xml:space="preserve">Finally, Chung </w:t>
      </w:r>
      <w:r w:rsidR="00EE3848" w:rsidRPr="00EE3848">
        <w:rPr>
          <w:rFonts w:ascii="Book Antiqua" w:hAnsi="Book Antiqua"/>
          <w:i/>
        </w:rPr>
        <w:t>et al</w:t>
      </w:r>
      <w:r w:rsidR="007F1A1C" w:rsidRPr="008A2C60">
        <w:rPr>
          <w:rFonts w:ascii="Book Antiqua" w:hAnsi="Book Antiqua"/>
          <w:noProof/>
          <w:vertAlign w:val="superscript"/>
        </w:rPr>
        <w:t>[25</w:t>
      </w:r>
      <w:r w:rsidR="007D7421" w:rsidRPr="008A2C60">
        <w:rPr>
          <w:rFonts w:ascii="Book Antiqua" w:hAnsi="Book Antiqua"/>
          <w:u w:val="single"/>
        </w:rPr>
        <w:fldChar w:fldCharType="begin" w:fldLock="1"/>
      </w:r>
      <w:r w:rsidR="007D7421" w:rsidRPr="008A2C60">
        <w:rPr>
          <w:rFonts w:ascii="Book Antiqua" w:hAnsi="Book Antiqua"/>
          <w:u w:val="single"/>
        </w:rPr>
        <w:instrText>ADDIN CSL_CITATION { "citationItems" : [ { "id" : "ITEM-1", "itemData" : { "DOI" : "10.1016/j.transproceed.2014.06.078", "ISBN" : "0041-1345", "ISSN" : "18732623", "PMID" : "25498075", "abstract" : "Background. Hyperglycemia in the neohepatic phase of liver transplantation (LT) tends to decrease toward completion of the surgical procedure. Refractory hyperglycemia in the neohepatic phase (RH) is influenced by multiple perioperative factors and may be connected to posttransplant outcomes. We attempted to demonstrate the relationship of RH to posttransplant outcomes and to establish a predictive model for RH in living donor liver transplantation (LDLT). Methods. Perioperative data of 211 patients who underwent LDLT from 2009 and 2012 were reviewed, including declines in the blood glucose levels during the neohepatic phase. Perioperative variables including the posttransplant model for end-stage liver disease (MELD) score until day 30 were compared between patients with normal declines in blood glucose and patients with RH. Selected variables after intergroup comparisons were examined by means of multivariate logistic regression to establish a predictive model for RH occurrence. Results. The mean blood glucose decline was 22.3 - 31.5 mg/dL during the neohepatic phase, and 84 of 203 patients (41.4%) had no decline in blood glucose. In intergroup comparisons, preoperative factors associated with RH included sex, Child-Pugh-Turcotte class, MELD score, emergency, liver enzymes, and graft-to-recipient weight ratio. During surgery, surgical time, serum lactate, and arterial pH were associated with RH. After surgery, the RH group showed slower recovery of the MELD score (15.2 versus 11.9 days) and higher MELD scores until day 10 (P &lt; .05). After the multivariate analysis, recipient sex, emergency, surgical time (???9 h), and the final intraoperative serum lactate level (???5.0 mmol/L) were included in the predictive model for RH. Conclusions. RH was associated with delayed functional recovery of the liver graft in LT. Recipient sex, emergency, surgical time, and the final intraoperative serum lactate level were identified as predictors of RH. Close monitoring of intraoperative blood glucose in LDLT may be an early prognostic indicator.", "author" : [ { "dropping-particle" : "", "family" : "Chung", "given" : "H. S.", "non-dropping-particle" : "", "parse-names" : false, "suffix" : "" }, { "dropping-particle" : "", "family" : "Lee", "given" : "S.", "non-dropping-particle" : "", "parse-names" : false, "suffix" : "" }, { "dropping-particle" : "", "family" : "Kwon", "given" : "S. J.", "non-dropping-particle" : "", "parse-names" : false, "suffix" : "" }, { "dropping-particle" : "", "family" : "Park", "given" : "C. S.", "non-dropping-particle" : "", "parse-names" : false, "suffix" : "" } ], "container-title" : "Transplantation Proceedings", "id" : "ITEM-1", "issue" : "10", "issued" : { "date-parts" : [ [ "2014" ] ] }, "page" : "3474-3480", "publisher" : "Elsevier Inc.", "title" : "Perioperative predictors for refractory hyperglycemia during the neohepatic phase of liver transplantation", "type" : "article-journal", "volume" : "46" }, "uris" : [ "http://www.mendeley.com/documents/?uuid=8c760e6e-800d-4b11-83de-0cbb1c6614cc" ] } ], "mendeley" : { "formattedCitation" : "&lt;sup&gt;[25]&lt;/sup&gt;", "plainTextFormattedCitation" : "[25]", "previouslyFormattedCitation" : "&lt;sup&gt;[25]&lt;/sup&gt;" }, "properties" : {  }, "schema" : "https://github.com/citation-style-language/schema/raw/master/csl-citation.json" }</w:instrText>
      </w:r>
      <w:r w:rsidR="007D7421" w:rsidRPr="008A2C60">
        <w:rPr>
          <w:rFonts w:ascii="Book Antiqua" w:hAnsi="Book Antiqua"/>
          <w:u w:val="single"/>
        </w:rPr>
        <w:fldChar w:fldCharType="separate"/>
      </w:r>
      <w:r w:rsidR="007D7421" w:rsidRPr="008A2C60">
        <w:rPr>
          <w:rFonts w:ascii="Book Antiqua" w:hAnsi="Book Antiqua"/>
          <w:noProof/>
          <w:vertAlign w:val="superscript"/>
        </w:rPr>
        <w:t>]</w:t>
      </w:r>
      <w:r w:rsidR="007D7421" w:rsidRPr="008A2C60">
        <w:rPr>
          <w:rFonts w:ascii="Book Antiqua" w:hAnsi="Book Antiqua"/>
          <w:u w:val="single"/>
        </w:rPr>
        <w:fldChar w:fldCharType="end"/>
      </w:r>
      <w:r w:rsidR="004A41C0" w:rsidRPr="008A2C60">
        <w:rPr>
          <w:rFonts w:ascii="Book Antiqua" w:hAnsi="Book Antiqua"/>
        </w:rPr>
        <w:t xml:space="preserve"> found male sex, emergency surgery, surgical time (</w:t>
      </w:r>
      <w:r w:rsidR="00FF455F" w:rsidRPr="00FF455F">
        <w:rPr>
          <w:rFonts w:ascii="Book Antiqua" w:hAnsi="Book Antiqua"/>
        </w:rPr>
        <w:t>≤</w:t>
      </w:r>
      <w:r w:rsidR="00C26D7B">
        <w:rPr>
          <w:rFonts w:ascii="Book Antiqua" w:hAnsi="Book Antiqua" w:hint="eastAsia"/>
          <w:lang w:eastAsia="zh-CN"/>
        </w:rPr>
        <w:t xml:space="preserve"> </w:t>
      </w:r>
      <w:r w:rsidR="00C26D7B">
        <w:rPr>
          <w:rFonts w:ascii="Book Antiqua" w:hAnsi="Book Antiqua"/>
        </w:rPr>
        <w:t>9 h</w:t>
      </w:r>
      <w:r w:rsidR="004A41C0" w:rsidRPr="008A2C60">
        <w:rPr>
          <w:rFonts w:ascii="Book Antiqua" w:hAnsi="Book Antiqua"/>
        </w:rPr>
        <w:t xml:space="preserve">), and serum lactate (&gt; 5 </w:t>
      </w:r>
      <w:proofErr w:type="spellStart"/>
      <w:r w:rsidR="004A41C0" w:rsidRPr="008A2C60">
        <w:rPr>
          <w:rFonts w:ascii="Book Antiqua" w:hAnsi="Book Antiqua"/>
        </w:rPr>
        <w:t>mmol</w:t>
      </w:r>
      <w:proofErr w:type="spellEnd"/>
      <w:r w:rsidR="004A41C0" w:rsidRPr="008A2C60">
        <w:rPr>
          <w:rFonts w:ascii="Book Antiqua" w:hAnsi="Book Antiqua"/>
        </w:rPr>
        <w:t>/L) to be independent predictors for refractive hyperglycemia (RH), however, most post-LT outcomes were not significant in relation to RH</w:t>
      </w:r>
      <w:r w:rsidR="001371C3" w:rsidRPr="008A2C60">
        <w:rPr>
          <w:rFonts w:ascii="Book Antiqua" w:hAnsi="Book Antiqua"/>
        </w:rPr>
        <w:t>.</w:t>
      </w:r>
      <w:r w:rsidR="004A41C0" w:rsidRPr="008A2C60">
        <w:rPr>
          <w:rFonts w:ascii="Book Antiqua" w:hAnsi="Book Antiqua"/>
        </w:rPr>
        <w:t xml:space="preserve"> </w:t>
      </w:r>
    </w:p>
    <w:p w14:paraId="57133129" w14:textId="77777777" w:rsidR="00DA77FC" w:rsidRPr="008A2C60" w:rsidRDefault="00DA77FC" w:rsidP="00C26D7B">
      <w:pPr>
        <w:spacing w:line="360" w:lineRule="auto"/>
        <w:contextualSpacing/>
        <w:jc w:val="both"/>
        <w:rPr>
          <w:rFonts w:ascii="Book Antiqua" w:hAnsi="Book Antiqua"/>
        </w:rPr>
      </w:pPr>
    </w:p>
    <w:p w14:paraId="1651CFC8" w14:textId="5691EAB9" w:rsidR="00953F17" w:rsidRPr="00C26D7B" w:rsidRDefault="00451E5D" w:rsidP="00C26D7B">
      <w:pPr>
        <w:spacing w:line="360" w:lineRule="auto"/>
        <w:contextualSpacing/>
        <w:jc w:val="both"/>
        <w:rPr>
          <w:rFonts w:ascii="Book Antiqua" w:hAnsi="Book Antiqua"/>
          <w:b/>
          <w:i/>
        </w:rPr>
      </w:pPr>
      <w:r w:rsidRPr="00C26D7B">
        <w:rPr>
          <w:rFonts w:ascii="Book Antiqua" w:hAnsi="Book Antiqua"/>
          <w:b/>
          <w:i/>
        </w:rPr>
        <w:t xml:space="preserve">Acute </w:t>
      </w:r>
      <w:r w:rsidR="00C26D7B" w:rsidRPr="00C26D7B">
        <w:rPr>
          <w:rFonts w:ascii="Book Antiqua" w:hAnsi="Book Antiqua"/>
          <w:b/>
          <w:i/>
        </w:rPr>
        <w:t>kidney injury and graft survival</w:t>
      </w:r>
    </w:p>
    <w:p w14:paraId="438E6434" w14:textId="74C0AEB4" w:rsidR="004A41C0" w:rsidRPr="008A2C60" w:rsidRDefault="003D01F5" w:rsidP="00C26D7B">
      <w:pPr>
        <w:spacing w:line="360" w:lineRule="auto"/>
        <w:contextualSpacing/>
        <w:jc w:val="both"/>
        <w:rPr>
          <w:rFonts w:ascii="Book Antiqua" w:hAnsi="Book Antiqua"/>
        </w:rPr>
      </w:pPr>
      <w:r w:rsidRPr="008A2C60">
        <w:rPr>
          <w:rFonts w:ascii="Book Antiqua" w:hAnsi="Book Antiqua"/>
        </w:rPr>
        <w:t xml:space="preserve">Other outcomes of interest </w:t>
      </w:r>
      <w:r w:rsidR="00476DC2" w:rsidRPr="008A2C60">
        <w:rPr>
          <w:rFonts w:ascii="Book Antiqua" w:hAnsi="Book Antiqua"/>
        </w:rPr>
        <w:t>including AKI, graft survival</w:t>
      </w:r>
      <w:r w:rsidR="00A76905" w:rsidRPr="008A2C60">
        <w:rPr>
          <w:rFonts w:ascii="Book Antiqua" w:hAnsi="Book Antiqua"/>
        </w:rPr>
        <w:t>, and complicat</w:t>
      </w:r>
      <w:r w:rsidRPr="008A2C60">
        <w:rPr>
          <w:rFonts w:ascii="Book Antiqua" w:hAnsi="Book Antiqua"/>
        </w:rPr>
        <w:t>ions related to hospitalization</w:t>
      </w:r>
      <w:r w:rsidR="00A76905" w:rsidRPr="008A2C60">
        <w:rPr>
          <w:rFonts w:ascii="Book Antiqua" w:hAnsi="Book Antiqua"/>
        </w:rPr>
        <w:t xml:space="preserve"> were not studied extensively.</w:t>
      </w:r>
      <w:r w:rsidR="00CE3AFE">
        <w:rPr>
          <w:rFonts w:ascii="Book Antiqua" w:hAnsi="Book Antiqua"/>
        </w:rPr>
        <w:t xml:space="preserve"> </w:t>
      </w:r>
      <w:r w:rsidR="00815CD3" w:rsidRPr="008A2C60">
        <w:rPr>
          <w:rFonts w:ascii="Book Antiqua" w:hAnsi="Book Antiqua"/>
        </w:rPr>
        <w:t xml:space="preserve">Three studies evaluated graft survival and no statistically significant association was seen between </w:t>
      </w:r>
      <w:r w:rsidR="00451E5D" w:rsidRPr="008A2C60">
        <w:rPr>
          <w:rFonts w:ascii="Book Antiqua" w:hAnsi="Book Antiqua"/>
        </w:rPr>
        <w:t xml:space="preserve">post-LT </w:t>
      </w:r>
      <w:r w:rsidR="00815CD3" w:rsidRPr="008A2C60">
        <w:rPr>
          <w:rFonts w:ascii="Book Antiqua" w:hAnsi="Book Antiqua"/>
        </w:rPr>
        <w:t xml:space="preserve">glycemic control and </w:t>
      </w:r>
      <w:r w:rsidR="00815CD3" w:rsidRPr="008A2C60">
        <w:rPr>
          <w:rFonts w:ascii="Book Antiqua" w:hAnsi="Book Antiqua"/>
        </w:rPr>
        <w:lastRenderedPageBreak/>
        <w:t>graft survival</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"10.4158/EP10343.OR", "ISSN" : "1530-891X", "PMID" : "21324822", "abstract" : "\\nTo present an analysis of glycemic control before and after introduction of a dedicated glucose management service ({GMS}) and outcomes within 1 year after liver transplantation ({LT}).\\nWe conducted a retrospective review of patients undergoing {LT}, who were treated with insulin infusions after {LT}, before and after introduction of a {GMS}. Outcome measures within 1 year after {LT} included graft rejection, infection, prolonged ventilation (&gt;48 hours on a ventilator), and graft survival. A multiple logistic regression was used to examine the relationship between {GMS} use and outcomes.\\nThis study consisted of 73 (35 {GMS} and 38 {non-GMS}) organ transplant recipients. The mean perioperative blood glucose level in the {GMS} group was lower than in the {non-GMS} group: unadjusted, by 31.1 {mg/dL} (P = .001); adjusted for pre-insulin drip glucose, age, sex, Model for {End-Stage} Liver Disease ({MELD}) score, and type of transplant, by 23.4 {mg/dL} (P = .020). There were 27 rejection episodes, 48 infections, 26 episodes of prolonged ventilation, and 64 patients with graft survival at 1 year. The infection rate was lower in the {GMS} group than in the {non-GMS} group: the unadjusted odds ratio was 0.28 (P = .015); when adjustments were made for pre-insulin drip glucose, pretransplant glucose, age, sex, {MELD} score, type of transplant, and diabetes status before transplantation, the odds ratio was 0.24 (95% confidence interval, 0.06 to 0.97; P = .045). No significant associations were noted between {GMS} group and rejection rates, prolonged ventilation, or graft survival.\\nIn this study of {LT} patients, a {GMS} was associated with improved glycemic control and reduced postoperative infections. Further studies investigating effects of strict glycemic control after {LT} are warranted.\\n", "author" : [ { "dropping-particle" : "", "family" : "Wallia", "given" : "Amisha", "non-dropping-particle" : "", "parse-names" : false, "suffix" : "" }, { "dropping-particle" : "", "family" : "Parikh", "given" : "Neehar D.", "non-dropping-particle" : "", "parse-names" : false, "suffix" : "" }, { "dropping-particle" : "", "family" : "O'Shea-Mahler", "given" : "Eileen", "non-dropping-particle" : "", "parse-names" : false, "suffix" : "" }, { "dropping-particle" : "", "family" : "Schmidt", "given" : "Kathleen", "non-dropping-particle" : "", "parse-names" : false, "suffix" : "" }, { "dropping-particle" : "", "family" : "DeSantis", "given" : "Anthony J.", "non-dropping-particle" : "", "parse-names" : false, "suffix" : "" }, { "dropping-particle" : "", "family" : "Tian", "given" : "Lu", "non-dropping-particle" : "", "parse-names" : false, "suffix" : "" }, { "dropping-particle" : "", "family" : "Levitsky", "given" : "Josh", "non-dropping-particle" : "", "parse-names" : false, "suffix" : "" }, { "dropping-particle" : "", "family" : "Molitch", "given" : "Mark E.", "non-dropping-particle" : "", "parse-names" : false, "suffix" : "" } ], "container-title" : "Endocrine Practice", "id" : "ITEM-1", "issue" : "4", "issued" : { "date-parts" : [ [ "2011" ] ] }, "page" : "546-551", "title" : "Glycemic Control by a Glucose Management Service and Infection Rates After Liver Transplantation", "type" : "article-journal", "volume" : "17" }, "uris" : [ "http://www.mendeley.com/documents/?uuid=bd04ed9e-7bd4-4412-bedd-92111bfaa222" ] }, { "id" : "ITEM-2", "itemData" : { "PMID" : "20098286", "abstract" : "BACKGROUND Intensive glycemic control has been shown to positively impact outcomes in an intensive care setting. Whether this practice is beneficial after liver transplantation (LT) is not known. METHODS A retrospective review of patients undergoing LT from February 2002 to July 2007 was conducted to analyze the association between perioperative hyperglycemia and outcomes after LT. Covariates included preexisting diabetes, mean glucose 3 months pre-LT, need for insulin drip post-LT, mean total glucose during the post-LT hospitalization, age, sex, type of transplant, and model for end-stage liver disease score. Outcomes within 1 year of LT included rejection, infection, rehospitalization, prolonged ventilation, and patient/graft survival. RESULTS One hundred thirteen LT and 31 liver-kidney recipients were included. By multivariate logistic regression adjusting for covariates, the rejection rate was significantly lower for patients with postoperative glucose levels less than 200 mg/dL (n=114) vs. more than 200 mg/dL (n=30) (odds ratio: 0.055; 95% confidence interval: 0.0154-0.200; P&lt;0.001). The need for prolonged ventilation was more common in patients with glucose less than 200 vs. more than 200 mg/dL (odds ratio: 4.30; 95% confidence interval: 1.284-14.388; P=0.018). Although other outcomes, infection, rehospitalization, patient/graft survival, were not different among the glucose control groups, rejection was associated with increased rehospitalizations and infections. CONCLUSION Our data demonstrate an association between the immediate posttransplant glycemic control and the development of subsequent rejection. Prospective trials investigating the effects of perioperative glycemic control on outcomes and morbidity after LT are warranted.", "author" : [ { "dropping-particle" : "", "family" : "Wallia", "given" : "Amisha", "non-dropping-particle" : "", "parse-names" : false, "suffix" : "" }, { "dropping-particle" : "", "family" : "Parikh", "given" : "Neehar D", "non-dropping-particle" : "", "parse-names" : false, "suffix" : "" }, { "dropping-particle" : "", "family" : "Molitch", "given" : "Mark E", "non-dropping-particle" : "", "parse-names" : false, "suffix" : "" }, { "dropping-particle" : "", "family" : "Mahler", "given" : "Eileen", "non-dropping-particle" : "", "parse-names" : false, "suffix" : "" }, { "dropping-particle" : "", "family" : "Tian", "given" : "Lu", "non-dropping-particle" : "", "parse-names" : false, "suffix" : "" }, { "dropping-particle" : "", "family" : "Huang", "given" : "Jie Jenny", "non-dropping-particle" : "", "parse-names" : false, "suffix" : "" }, { "dropping-particle" : "", "family" : "Levitsky", "given" : "Josh", "non-dropping-particle" : "", "parse-names" : false, "suffix" : "" } ], "container-title" : "Transplantation", "id" : "ITEM-2", "issue" : "2", "issued" : { "date-parts" : [ [ "2010", "1" ] ] }, "page" : "222-6", "title" : "Posttransplant hyperglycemia is associated with increased risk of liver allograft rejection.", "type" : "article-journal", "volume" : "89" }, "uris" : [ "http://www.mendeley.com/documents/?uuid=8fdf0a70-4655-4bf9-97f1-ca55e6f463bb" ] }, { "id" : "ITEM-3", "itemData" : { "ISSN" : "1074-3022", "PMID" : "9346661", "abstract" : "It is not well understood whether posttransplant diabetes mellitus (PTDM) following orthotopic liver transplantation (OLTx) alters postoperative morbidity. This study was designed to evaluate this question. All adult patients who received an OLTx between July 1985 and March 1993 (n = 497) were evaluated by retrospective chart review for evidence of PTDM after OLTx. The patients identified with PTDM (n = 26) were case matched with nondiabetic OLTx recipients based on primary liver disease diagnosis, age, gender, date of first OLTx, and survival. Liver synthetic function, number and severity of rejection episodes, graft survival, total number of hospital days within the first year post-OLTx, renal function, and number and type of infection episodes were analyzed to assess differences in morbidity between the PTDM and control patients after OLTx. Of the 497 adult patients who underwent OLTx, 26 (5.2%) were identified as having PTDM within 1 month of discharge. Factors which identified individuals at higher risk for DM after OLTx included higher pre-OLTx fasting blood glucose (P = .04); lower body mass index after OLTx (P = .02); and cyclosporine rather than OKT3 induction (P = .009). Graft survival, synthetic function, and the total number of rejection episodes during the first year were not different between the two groups. The morbidity variables of total number of days in the hospital during the first 12 months, renal function, and type and number of infections were also similar between the two groups. In summary, 5.2% of adult patients developed DM within 1 month of OLTx. Pre-existing insulin resistance, postoperative stress, and immunosuppression medications all likely contribute to the development of overt hyperglycemia after OLTx. Although PTDM can be a consequence of OLTx, it does not have a significant impact on patient outcome in the first year after OLTx.", "author" : [ { "dropping-particle" : "", "family" : "Trail", "given" : "K C", "non-dropping-particle" : "", "parse-names" : false, "suffix" : "" }, { "dropping-particle" : "", "family" : "McCashland", "given" : "T M", "non-dropping-particle" : "", "parse-names" : false, "suffix" : "" }, { "dropping-particle" : "", "family" : "Larsen", "given" : "J L", "non-dropping-particle" : "", "parse-names" : false, "suffix" : "" }, { "dropping-particle" : "", "family" : "Heffron", "given" : "T G", "non-dropping-particle" : "", "parse-names" : false, "suffix" : "" }, { "dropping-particle" : "", "family" : "Stratta", "given" : "R J", "non-dropping-particle" : "", "parse-names" : false, "suffix" : "" }, { "dropping-particle" : "", "family" : "Langnas", "given" : "A N", "non-dropping-particle" : "", "parse-names" : false, "suffix" : "" }, { "dropping-particle" : "", "family" : "Fox", "given" : "I J", "non-dropping-particle" : "", "parse-names" : false, "suffix" : "" }, { "dropping-particle" : "", "family" : "Zetterman", "given" : "R K", "non-dropping-particle" : "", "parse-names" : false, "suffix" : "" }, { "dropping-particle" : "", "family" : "Donovan", "given" : "J P", "non-dropping-particle" : "", "parse-names" : false, "suffix" : "" }, { "dropping-particle" : "", "family" : "Sorrell", "given" : "M F", "non-dropping-particle" : "", "parse-names" : false, "suffix" : "" }, { "dropping-particle" : "", "family" : "Pillen", "given" : "T J", "non-dropping-particle" : "", "parse-names" : false, "suffix" : "" }, { "dropping-particle" : "", "family" : "Ruby", "given" : "E I", "non-dropping-particle" : "", "parse-names" : false, "suffix" : "" }, { "dropping-particle" : "", "family" : "Shaw", "given" : "B W", "non-dropping-particle" : "", "parse-names" : false, "suffix" : "" } ], "container-title" : "Liver transplantation and surgery : official publication of the American Association for the Study of Liver Diseases and the International Liver Transplantation Society", "id" : "ITEM-3", "issue" : "4", "issued" : { "date-parts" : [ [ "1996" ] ] }, "page" : "276-83", "title" : "Morbidity in patients with posttransplant diabetes mellitus following orthotopic liver transplantation.", "type" : "article-journal", "volume" : "2" }, "uris" : [ "http://www.mendeley.com/documents/?uuid=66f357c4-f23e-4cb6-8fd8-4b3844f78e87" ] } ], "mendeley" : { "formattedCitation" : "&lt;sup&gt;[1,19,20]&lt;/sup&gt;", "plainTextFormattedCitation" : "[1,19,20]", "previouslyFormattedCitation" : "&lt;sup&gt;[1,19,20]&lt;/sup&gt;"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[1,19,20]</w:t>
      </w:r>
      <w:r w:rsidR="003F54F3" w:rsidRPr="008A2C60">
        <w:rPr>
          <w:rFonts w:ascii="Book Antiqua" w:hAnsi="Book Antiqua"/>
        </w:rPr>
        <w:fldChar w:fldCharType="end"/>
      </w:r>
      <w:r w:rsidR="00AC3882" w:rsidRPr="008A2C60">
        <w:rPr>
          <w:rFonts w:ascii="Book Antiqua" w:hAnsi="Book Antiqua"/>
        </w:rPr>
        <w:t>.</w:t>
      </w:r>
      <w:r w:rsidR="00CE3AFE">
        <w:rPr>
          <w:rFonts w:ascii="Book Antiqua" w:hAnsi="Book Antiqua"/>
        </w:rPr>
        <w:t xml:space="preserve"> </w:t>
      </w:r>
      <w:r w:rsidR="00815CD3" w:rsidRPr="008A2C60">
        <w:rPr>
          <w:rFonts w:ascii="Book Antiqua" w:hAnsi="Book Antiqua"/>
        </w:rPr>
        <w:t xml:space="preserve">Similarly, </w:t>
      </w:r>
      <w:r w:rsidR="00476DC2" w:rsidRPr="008A2C60">
        <w:rPr>
          <w:rFonts w:ascii="Book Antiqua" w:hAnsi="Book Antiqua"/>
        </w:rPr>
        <w:t>no association was seen between BG levels and re-hospitalizations</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"10.4158/EP10343.OR", "ISSN" : "1530-891X", "PMID" : "21324822", "abstract" : "\\nTo present an analysis of glycemic control before and after introduction of a dedicated glucose management service ({GMS}) and outcomes within 1 year after liver transplantation ({LT}).\\nWe conducted a retrospective review of patients undergoing {LT}, who were treated with insulin infusions after {LT}, before and after introduction of a {GMS}. Outcome measures within 1 year after {LT} included graft rejection, infection, prolonged ventilation (&gt;48 hours on a ventilator), and graft survival. A multiple logistic regression was used to examine the relationship between {GMS} use and outcomes.\\nThis study consisted of 73 (35 {GMS} and 38 {non-GMS}) organ transplant recipients. The mean perioperative blood glucose level in the {GMS} group was lower than in the {non-GMS} group: unadjusted, by 31.1 {mg/dL} (P = .001); adjusted for pre-insulin drip glucose, age, sex, Model for {End-Stage} Liver Disease ({MELD}) score, and type of transplant, by 23.4 {mg/dL} (P = .020). There were 27 rejection episodes, 48 infections, 26 episodes of prolonged ventilation, and 64 patients with graft survival at 1 year. The infection rate was lower in the {GMS} group than in the {non-GMS} group: the unadjusted odds ratio was 0.28 (P = .015); when adjustments were made for pre-insulin drip glucose, pretransplant glucose, age, sex, {MELD} score, type of transplant, and diabetes status before transplantation, the odds ratio was 0.24 (95% confidence interval, 0.06 to 0.97; P = .045). No significant associations were noted between {GMS} group and rejection rates, prolonged ventilation, or graft survival.\\nIn this study of {LT} patients, a {GMS} was associated with improved glycemic control and reduced postoperative infections. Further studies investigating effects of strict glycemic control after {LT} are warranted.\\n", "author" : [ { "dropping-particle" : "", "family" : "Wallia", "given" : "Amisha", "non-dropping-particle" : "", "parse-names" : false, "suffix" : "" }, { "dropping-particle" : "", "family" : "Parikh", "given" : "Neehar D.", "non-dropping-particle" : "", "parse-names" : false, "suffix" : "" }, { "dropping-particle" : "", "family" : "O'Shea-Mahler", "given" : "Eileen", "non-dropping-particle" : "", "parse-names" : false, "suffix" : "" }, { "dropping-particle" : "", "family" : "Schmidt", "given" : "Kathleen", "non-dropping-particle" : "", "parse-names" : false, "suffix" : "" }, { "dropping-particle" : "", "family" : "DeSantis", "given" : "Anthony J.", "non-dropping-particle" : "", "parse-names" : false, "suffix" : "" }, { "dropping-particle" : "", "family" : "Tian", "given" : "Lu", "non-dropping-particle" : "", "parse-names" : false, "suffix" : "" }, { "dropping-particle" : "", "family" : "Levitsky", "given" : "Josh", "non-dropping-particle" : "", "parse-names" : false, "suffix" : "" }, { "dropping-particle" : "", "family" : "Molitch", "given" : "Mark E.", "non-dropping-particle" : "", "parse-names" : false, "suffix" : "" } ], "container-title" : "Endocrine Practice", "id" : "ITEM-1", "issue" : "4", "issued" : { "date-parts" : [ [ "2011" ] ] }, "page" : "546-551", "title" : "Glycemic Control by a Glucose Management Service and Infection Rates After Liver Transplantation", "type" : "article-journal", "volume" : "17" }, "uris" : [ "http://www.mendeley.com/documents/?uuid=bd04ed9e-7bd4-4412-bedd-92111bfaa222" ] }, { "id" : "ITEM-2", "itemData" : { "PMID" : "20098286", "abstract" : "BACKGROUND Intensive glycemic control has been shown to positively impact outcomes in an intensive care setting. Whether this practice is beneficial after liver transplantation (LT) is not known. METHODS A retrospective review of patients undergoing LT from February 2002 to July 2007 was conducted to analyze the association between perioperative hyperglycemia and outcomes after LT. Covariates included preexisting diabetes, mean glucose 3 months pre-LT, need for insulin drip post-LT, mean total glucose during the post-LT hospitalization, age, sex, type of transplant, and model for end-stage liver disease score. Outcomes within 1 year of LT included rejection, infection, rehospitalization, prolonged ventilation, and patient/graft survival. RESULTS One hundred thirteen LT and 31 liver-kidney recipients were included. By multivariate logistic regression adjusting for covariates, the rejection rate was significantly lower for patients with postoperative glucose levels less than 200 mg/dL (n=114) vs. more than 200 mg/dL (n=30) (odds ratio: 0.055; 95% confidence interval: 0.0154-0.200; P&lt;0.001). The need for prolonged ventilation was more common in patients with glucose less than 200 vs. more than 200 mg/dL (odds ratio: 4.30; 95% confidence interval: 1.284-14.388; P=0.018). Although other outcomes, infection, rehospitalization, patient/graft survival, were not different among the glucose control groups, rejection was associated with increased rehospitalizations and infections. CONCLUSION Our data demonstrate an association between the immediate posttransplant glycemic control and the development of subsequent rejection. Prospective trials investigating the effects of perioperative glycemic control on outcomes and morbidity after LT are warranted.", "author" : [ { "dropping-particle" : "", "family" : "Wallia", "given" : "Amisha", "non-dropping-particle" : "", "parse-names" : false, "suffix" : "" }, { "dropping-particle" : "", "family" : "Parikh", "given" : "Neehar D", "non-dropping-particle" : "", "parse-names" : false, "suffix" : "" }, { "dropping-particle" : "", "family" : "Molitch", "given" : "Mark E", "non-dropping-particle" : "", "parse-names" : false, "suffix" : "" }, { "dropping-particle" : "", "family" : "Mahler", "given" : "Eileen", "non-dropping-particle" : "", "parse-names" : false, "suffix" : "" }, { "dropping-particle" : "", "family" : "Tian", "given" : "Lu", "non-dropping-particle" : "", "parse-names" : false, "suffix" : "" }, { "dropping-particle" : "", "family" : "Huang", "given" : "Jie Jenny", "non-dropping-particle" : "", "parse-names" : false, "suffix" : "" }, { "dropping-particle" : "", "family" : "Levitsky", "given" : "Josh", "non-dropping-particle" : "", "parse-names" : false, "suffix" : "" } ], "container-title" : "Transplantation", "id" : "ITEM-2", "issue" : "2", "issued" : { "date-parts" : [ [ "2010", "1" ] ] }, "page" : "222-6", "title" : "Posttransplant hyperglycemia is associated with increased risk of liver allograft rejection.", "type" : "article-journal", "volume" : "89" }, "uris" : [ "http://www.mendeley.com/documents/?uuid=8fdf0a70-4655-4bf9-97f1-ca55e6f463bb" ] } ], "mendeley" : { "formattedCitation" : "&lt;sup&gt;[1,19]&lt;/sup&gt;", "plainTextFormattedCitation" : "[1,19]", "previouslyFormattedCitation" : "&lt;sup&gt;[1,19]&lt;/sup&gt;"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[1,19]</w:t>
      </w:r>
      <w:r w:rsidR="003F54F3" w:rsidRPr="008A2C60">
        <w:rPr>
          <w:rFonts w:ascii="Book Antiqua" w:hAnsi="Book Antiqua"/>
        </w:rPr>
        <w:fldChar w:fldCharType="end"/>
      </w:r>
      <w:r w:rsidR="00AC3882" w:rsidRPr="008A2C60">
        <w:rPr>
          <w:rFonts w:ascii="Book Antiqua" w:hAnsi="Book Antiqua"/>
        </w:rPr>
        <w:t>.</w:t>
      </w:r>
      <w:r w:rsidR="00C26D7B">
        <w:rPr>
          <w:rFonts w:ascii="Book Antiqua" w:hAnsi="Book Antiqua" w:hint="eastAsia"/>
          <w:lang w:eastAsia="zh-CN"/>
        </w:rPr>
        <w:t xml:space="preserve"> </w:t>
      </w:r>
      <w:r w:rsidR="00476DC2" w:rsidRPr="008A2C60">
        <w:rPr>
          <w:rFonts w:ascii="Book Antiqua" w:hAnsi="Book Antiqua"/>
        </w:rPr>
        <w:t>A</w:t>
      </w:r>
      <w:r w:rsidR="00C26D7B">
        <w:rPr>
          <w:rFonts w:ascii="Book Antiqua" w:hAnsi="Book Antiqua"/>
        </w:rPr>
        <w:t xml:space="preserve"> study by </w:t>
      </w:r>
      <w:proofErr w:type="spellStart"/>
      <w:r w:rsidR="00C26D7B">
        <w:rPr>
          <w:rFonts w:ascii="Book Antiqua" w:hAnsi="Book Antiqua"/>
        </w:rPr>
        <w:t>Yoo</w:t>
      </w:r>
      <w:proofErr w:type="spellEnd"/>
      <w:r w:rsidR="00C26D7B">
        <w:rPr>
          <w:rFonts w:ascii="Book Antiqua" w:hAnsi="Book Antiqua"/>
        </w:rPr>
        <w:t xml:space="preserve"> </w:t>
      </w:r>
      <w:r w:rsidR="00EE3848" w:rsidRPr="00EE3848">
        <w:rPr>
          <w:rFonts w:ascii="Book Antiqua" w:hAnsi="Book Antiqua"/>
          <w:i/>
        </w:rPr>
        <w:t>et al</w:t>
      </w:r>
      <w:r w:rsidR="00C26D7B" w:rsidRPr="008A2C60">
        <w:rPr>
          <w:rFonts w:ascii="Book Antiqua" w:hAnsi="Book Antiqua"/>
        </w:rPr>
        <w:fldChar w:fldCharType="begin" w:fldLock="1"/>
      </w:r>
      <w:r w:rsidR="00C26D7B" w:rsidRPr="008A2C60">
        <w:rPr>
          <w:rFonts w:ascii="Book Antiqua" w:hAnsi="Book Antiqua"/>
        </w:rPr>
        <w:instrText>ADDIN CSL_CITATION { "citationItems" : [ { "id" : "ITEM-1", "itemData" : { "DOI" : "10.1213/ANE.0000000000001632", "ISBN" : "0000000000", "ISSN" : "15267598", "PMID" : "27749341", "abstract" : "BACKGROUND Glucose control can be difficult in the intraoperative and immediate postoperative period of liver transplantation. Hyperglycemia and glucose variability have been associated with acute kidney injury (AKI) in critically ill patients. We performed a retrospective study to test the hypothesis that perioperative glucose levels represented by time-weighted average glucose levels and glucose variability are independently associated with the incidence of postoperative AKI in patients undergoing liver transplantation. METHODS On the basis of blood glucose levels during liver transplantation and the initial 48 hours postoperatively, adult liver transplant recipients were classified into 4 groups according to their time-weighted average glucose: normoglycemia (80-200 mg/dL), mild hyperglycemia (200-250 mg/dL), moderate hyperglycemia (250-300 mg/dL), and severe hyperglycemia (&gt;300 mg/dL) group. Patients were also classified into quartiles depending on their glucose variability, defined as the standard deviation of glucose measurements. The primary outcome was postoperative AKI. RESULTS AKI after liver transplantation was more common in the patients with greater perioperative glucose variability (first versus third quartile; OR, 2.47 [95%CI, 1.22-5.00], P = .012; first versus fourth quartile; OR, 2.16 [95% CI, 1.05-4.42], P = .035). CONCLUSIONS Our study suggests that increased perioperative glucose variability, but not hyperglycemia, is independently associated with increased risk of postoperative AKI in liver transplantation recipients.", "author" : [ { "dropping-particle" : "", "family" : "Yoo", "given" : "Seokha", "non-dropping-particle" : "", "parse-names" : false, "suffix" : "" }, { "dropping-particle" : "", "family" : "Lee", "given" : "Ho-Jin", "non-dropping-particle" : "", "parse-names" : false, "suffix" : "" }, { "dropping-particle" : "", "family" : "Lee", "given" : "Hannah", "non-dropping-particle" : "", "parse-names" : false, "suffix" : "" }, { "dropping-particle" : "", "family" : "Ryu", "given" : "Ho-Geol", "non-dropping-particle" : "", "parse-names" : false, "suffix" : "" } ], "container-title" : "Anesthesia &amp; Analgesia", "id" : "ITEM-1", "issue" : "1", "issued" : { "date-parts" : [ [ "2016" ] ] }, "page" : "1", "title" : "Association Between Perioperative Hyperglycemia or Glucose Variability and Postoperative Acute Kidney Injury After Liver Transplantation", "type" : "article-journal", "volume" : "124" }, "uris" : [ "http://www.mendeley.com/documents/?uuid=a303dfba-19d3-4acc-b2f7-404858403201" ] } ], "mendeley" : { "formattedCitation" : "&lt;sup&gt;[6]&lt;/sup&gt;", "plainTextFormattedCitation" : "[6]", "previouslyFormattedCitation" : "&lt;sup&gt;[6]&lt;/sup&gt;" }, "properties" : {  }, "schema" : "https://github.com/citation-style-language/schema/raw/master/csl-citation.json" }</w:instrText>
      </w:r>
      <w:r w:rsidR="00C26D7B" w:rsidRPr="008A2C60">
        <w:rPr>
          <w:rFonts w:ascii="Book Antiqua" w:hAnsi="Book Antiqua"/>
        </w:rPr>
        <w:fldChar w:fldCharType="separate"/>
      </w:r>
      <w:r w:rsidR="00C26D7B" w:rsidRPr="008A2C60">
        <w:rPr>
          <w:rFonts w:ascii="Book Antiqua" w:hAnsi="Book Antiqua"/>
          <w:noProof/>
          <w:vertAlign w:val="superscript"/>
        </w:rPr>
        <w:t>[6]</w:t>
      </w:r>
      <w:r w:rsidR="00C26D7B" w:rsidRPr="008A2C60">
        <w:rPr>
          <w:rFonts w:ascii="Book Antiqua" w:hAnsi="Book Antiqua"/>
        </w:rPr>
        <w:fldChar w:fldCharType="end"/>
      </w:r>
      <w:r w:rsidR="00815CD3" w:rsidRPr="008A2C60">
        <w:rPr>
          <w:rFonts w:ascii="Book Antiqua" w:hAnsi="Book Antiqua"/>
        </w:rPr>
        <w:t xml:space="preserve"> demonstrated no association between hyperglycemia and AKI in </w:t>
      </w:r>
      <w:r w:rsidR="0006561D" w:rsidRPr="008A2C60">
        <w:rPr>
          <w:rFonts w:ascii="Book Antiqua" w:hAnsi="Book Antiqua"/>
        </w:rPr>
        <w:t xml:space="preserve">LT </w:t>
      </w:r>
      <w:r w:rsidR="00451E5D" w:rsidRPr="008A2C60">
        <w:rPr>
          <w:rFonts w:ascii="Book Antiqua" w:hAnsi="Book Antiqua"/>
        </w:rPr>
        <w:t>recipients;</w:t>
      </w:r>
      <w:r w:rsidR="0006561D" w:rsidRPr="008A2C60">
        <w:rPr>
          <w:rFonts w:ascii="Book Antiqua" w:hAnsi="Book Antiqua"/>
        </w:rPr>
        <w:t xml:space="preserve"> however, patients with greater glucose variability</w:t>
      </w:r>
      <w:r w:rsidR="00451E5D" w:rsidRPr="008A2C60">
        <w:rPr>
          <w:rFonts w:ascii="Book Antiqua" w:hAnsi="Book Antiqua"/>
        </w:rPr>
        <w:t xml:space="preserve">, as defined by the </w:t>
      </w:r>
      <w:r w:rsidR="007F1A1C">
        <w:rPr>
          <w:rFonts w:ascii="Book Antiqua" w:hAnsi="Book Antiqua"/>
        </w:rPr>
        <w:t>SD</w:t>
      </w:r>
      <w:r w:rsidR="00451E5D" w:rsidRPr="008A2C60">
        <w:rPr>
          <w:rFonts w:ascii="Book Antiqua" w:hAnsi="Book Antiqua"/>
        </w:rPr>
        <w:t xml:space="preserve"> of blood glucose levels, </w:t>
      </w:r>
      <w:r w:rsidR="0006561D" w:rsidRPr="008A2C60">
        <w:rPr>
          <w:rFonts w:ascii="Book Antiqua" w:hAnsi="Book Antiqua"/>
        </w:rPr>
        <w:t>more commonly presented with AKI (</w:t>
      </w:r>
      <w:r w:rsidR="00C26D7B" w:rsidRPr="00C26D7B">
        <w:rPr>
          <w:rFonts w:ascii="Book Antiqua" w:hAnsi="Book Antiqua"/>
          <w:i/>
        </w:rPr>
        <w:t>P</w:t>
      </w:r>
      <w:r w:rsidR="0006561D" w:rsidRPr="008A2C60">
        <w:rPr>
          <w:rFonts w:ascii="Book Antiqua" w:hAnsi="Book Antiqua"/>
        </w:rPr>
        <w:t xml:space="preserve"> = 0.019).</w:t>
      </w:r>
      <w:r w:rsidR="00CE3AFE">
        <w:rPr>
          <w:rFonts w:ascii="Book Antiqua" w:hAnsi="Book Antiqua"/>
        </w:rPr>
        <w:t xml:space="preserve"> </w:t>
      </w:r>
      <w:r w:rsidR="00C9193B" w:rsidRPr="008A2C60">
        <w:rPr>
          <w:rFonts w:ascii="Book Antiqua" w:hAnsi="Book Antiqua"/>
        </w:rPr>
        <w:t>Using SD as a surrogate marker for glucose variability, p</w:t>
      </w:r>
      <w:r w:rsidR="0006561D" w:rsidRPr="008A2C60">
        <w:rPr>
          <w:rFonts w:ascii="Book Antiqua" w:hAnsi="Book Antiqua"/>
        </w:rPr>
        <w:t xml:space="preserve">atients were divided into quartiles according to the </w:t>
      </w:r>
      <w:r w:rsidR="00451E5D" w:rsidRPr="008A2C60">
        <w:rPr>
          <w:rFonts w:ascii="Book Antiqua" w:hAnsi="Book Antiqua"/>
        </w:rPr>
        <w:t>SD</w:t>
      </w:r>
      <w:r w:rsidR="0006561D" w:rsidRPr="008A2C60">
        <w:rPr>
          <w:rFonts w:ascii="Book Antiqua" w:hAnsi="Book Antiqua"/>
        </w:rPr>
        <w:t xml:space="preserve"> of intraoperative and postoperative (initial 48 h of ICU admission) blood glucose levels. Patients with the lowest SD were assigned to the first quartile, </w:t>
      </w:r>
      <w:r w:rsidR="00451E5D" w:rsidRPr="008A2C60">
        <w:rPr>
          <w:rFonts w:ascii="Book Antiqua" w:hAnsi="Book Antiqua"/>
        </w:rPr>
        <w:t xml:space="preserve">ranging to those </w:t>
      </w:r>
      <w:r w:rsidR="0006561D" w:rsidRPr="008A2C60">
        <w:rPr>
          <w:rFonts w:ascii="Book Antiqua" w:hAnsi="Book Antiqua"/>
        </w:rPr>
        <w:t xml:space="preserve">with the highest SD </w:t>
      </w:r>
      <w:r w:rsidR="00451E5D" w:rsidRPr="008A2C60">
        <w:rPr>
          <w:rFonts w:ascii="Book Antiqua" w:hAnsi="Book Antiqua"/>
        </w:rPr>
        <w:t xml:space="preserve">who </w:t>
      </w:r>
      <w:r w:rsidR="0006561D" w:rsidRPr="008A2C60">
        <w:rPr>
          <w:rFonts w:ascii="Book Antiqua" w:hAnsi="Book Antiqua"/>
        </w:rPr>
        <w:t>were assigned to the fourth quartile.</w:t>
      </w:r>
      <w:r w:rsidR="00CE3AFE">
        <w:rPr>
          <w:rFonts w:ascii="Book Antiqua" w:hAnsi="Book Antiqua"/>
        </w:rPr>
        <w:t xml:space="preserve"> </w:t>
      </w:r>
      <w:r w:rsidR="00451E5D" w:rsidRPr="008A2C60">
        <w:rPr>
          <w:rFonts w:ascii="Book Antiqua" w:hAnsi="Book Antiqua"/>
        </w:rPr>
        <w:t>G</w:t>
      </w:r>
      <w:r w:rsidR="0006561D" w:rsidRPr="008A2C60">
        <w:rPr>
          <w:rFonts w:ascii="Book Antiqua" w:hAnsi="Book Antiqua"/>
        </w:rPr>
        <w:t xml:space="preserve">lucose variability </w:t>
      </w:r>
      <w:r w:rsidR="00451E5D" w:rsidRPr="008A2C60">
        <w:rPr>
          <w:rFonts w:ascii="Book Antiqua" w:hAnsi="Book Antiqua"/>
        </w:rPr>
        <w:t xml:space="preserve">was significantly associated with </w:t>
      </w:r>
      <w:r w:rsidR="0006561D" w:rsidRPr="008A2C60">
        <w:rPr>
          <w:rFonts w:ascii="Book Antiqua" w:hAnsi="Book Antiqua"/>
        </w:rPr>
        <w:t xml:space="preserve">AKI </w:t>
      </w:r>
      <w:r w:rsidR="00451E5D" w:rsidRPr="008A2C60">
        <w:rPr>
          <w:rFonts w:ascii="Book Antiqua" w:hAnsi="Book Antiqua"/>
        </w:rPr>
        <w:t xml:space="preserve">among patients in </w:t>
      </w:r>
      <w:r w:rsidR="0006561D" w:rsidRPr="008A2C60">
        <w:rPr>
          <w:rFonts w:ascii="Book Antiqua" w:hAnsi="Book Antiqua"/>
        </w:rPr>
        <w:t xml:space="preserve">the third </w:t>
      </w:r>
      <w:r w:rsidR="00451E5D" w:rsidRPr="008A2C60">
        <w:rPr>
          <w:rFonts w:ascii="Book Antiqua" w:hAnsi="Book Antiqua"/>
        </w:rPr>
        <w:t xml:space="preserve">quartile </w:t>
      </w:r>
      <w:r w:rsidR="0006561D" w:rsidRPr="008A2C60">
        <w:rPr>
          <w:rFonts w:ascii="Book Antiqua" w:hAnsi="Book Antiqua"/>
        </w:rPr>
        <w:t xml:space="preserve">(23.3% of patients with no AKI </w:t>
      </w:r>
      <w:r w:rsidR="00C718F5" w:rsidRPr="00C718F5">
        <w:rPr>
          <w:rFonts w:ascii="Book Antiqua" w:hAnsi="Book Antiqua"/>
          <w:i/>
        </w:rPr>
        <w:t>vs</w:t>
      </w:r>
      <w:r w:rsidR="0006561D" w:rsidRPr="008A2C60">
        <w:rPr>
          <w:rFonts w:ascii="Book Antiqua" w:hAnsi="Book Antiqua"/>
        </w:rPr>
        <w:t xml:space="preserve"> 30.3% with AKI</w:t>
      </w:r>
      <w:r w:rsidR="00300978" w:rsidRPr="008A2C60">
        <w:rPr>
          <w:rFonts w:ascii="Book Antiqua" w:hAnsi="Book Antiqua"/>
        </w:rPr>
        <w:t>, OR 2.47, CI</w:t>
      </w:r>
      <w:r w:rsidR="00C26D7B">
        <w:rPr>
          <w:rFonts w:ascii="Book Antiqua" w:hAnsi="Book Antiqua" w:hint="eastAsia"/>
          <w:lang w:eastAsia="zh-CN"/>
        </w:rPr>
        <w:t>:</w:t>
      </w:r>
      <w:r w:rsidR="00300978" w:rsidRPr="008A2C60">
        <w:rPr>
          <w:rFonts w:ascii="Book Antiqua" w:hAnsi="Book Antiqua"/>
        </w:rPr>
        <w:t xml:space="preserve"> 1.22-5.00, </w:t>
      </w:r>
      <w:r w:rsidR="00C26D7B" w:rsidRPr="00C26D7B">
        <w:rPr>
          <w:rFonts w:ascii="Book Antiqua" w:hAnsi="Book Antiqua"/>
          <w:i/>
        </w:rPr>
        <w:t>P</w:t>
      </w:r>
      <w:r w:rsidR="00300978" w:rsidRPr="008A2C60">
        <w:rPr>
          <w:rFonts w:ascii="Book Antiqua" w:hAnsi="Book Antiqua"/>
        </w:rPr>
        <w:t xml:space="preserve"> = 0.012)</w:t>
      </w:r>
      <w:r w:rsidR="0006561D" w:rsidRPr="008A2C60">
        <w:rPr>
          <w:rFonts w:ascii="Book Antiqua" w:hAnsi="Book Antiqua"/>
        </w:rPr>
        <w:t xml:space="preserve"> and fourth quartile</w:t>
      </w:r>
      <w:r w:rsidR="00300978" w:rsidRPr="008A2C60">
        <w:rPr>
          <w:rFonts w:ascii="Book Antiqua" w:hAnsi="Book Antiqua"/>
        </w:rPr>
        <w:t xml:space="preserve"> (22.1% with no AKI and 31.1% with AKI, OR 2.16, CI</w:t>
      </w:r>
      <w:r w:rsidR="00C26D7B">
        <w:rPr>
          <w:rFonts w:ascii="Book Antiqua" w:hAnsi="Book Antiqua" w:hint="eastAsia"/>
          <w:lang w:eastAsia="zh-CN"/>
        </w:rPr>
        <w:t>:</w:t>
      </w:r>
      <w:r w:rsidR="00300978" w:rsidRPr="008A2C60">
        <w:rPr>
          <w:rFonts w:ascii="Book Antiqua" w:hAnsi="Book Antiqua"/>
        </w:rPr>
        <w:t xml:space="preserve"> 1.05-4.42, </w:t>
      </w:r>
      <w:r w:rsidR="00C26D7B" w:rsidRPr="00C26D7B">
        <w:rPr>
          <w:rFonts w:ascii="Book Antiqua" w:hAnsi="Book Antiqua"/>
          <w:i/>
        </w:rPr>
        <w:t>P</w:t>
      </w:r>
      <w:r w:rsidR="00300978" w:rsidRPr="008A2C60">
        <w:rPr>
          <w:rFonts w:ascii="Book Antiqua" w:hAnsi="Book Antiqua"/>
        </w:rPr>
        <w:t xml:space="preserve"> = 0.035)</w:t>
      </w:r>
      <w:r w:rsidR="00AC3882" w:rsidRPr="008A2C60">
        <w:rPr>
          <w:rFonts w:ascii="Book Antiqua" w:hAnsi="Book Antiqua"/>
        </w:rPr>
        <w:t>.</w:t>
      </w:r>
      <w:r w:rsidR="00476DC2" w:rsidRPr="008A2C60">
        <w:rPr>
          <w:rFonts w:ascii="Book Antiqua" w:hAnsi="Book Antiqua"/>
        </w:rPr>
        <w:t xml:space="preserve"> </w:t>
      </w:r>
    </w:p>
    <w:p w14:paraId="2F95A595" w14:textId="77777777" w:rsidR="004D143A" w:rsidRPr="008A2C60" w:rsidRDefault="004D143A" w:rsidP="00C26D7B">
      <w:pPr>
        <w:spacing w:line="360" w:lineRule="auto"/>
        <w:contextualSpacing/>
        <w:jc w:val="both"/>
        <w:rPr>
          <w:rFonts w:ascii="Book Antiqua" w:hAnsi="Book Antiqua"/>
        </w:rPr>
      </w:pPr>
    </w:p>
    <w:p w14:paraId="1AFE0139" w14:textId="7BC404D9" w:rsidR="00CB68AF" w:rsidRPr="008A2C60" w:rsidRDefault="00C26D7B" w:rsidP="00C26D7B">
      <w:pPr>
        <w:spacing w:line="360" w:lineRule="auto"/>
        <w:contextualSpacing/>
        <w:jc w:val="both"/>
        <w:rPr>
          <w:rFonts w:ascii="Book Antiqua" w:hAnsi="Book Antiqua"/>
          <w:b/>
        </w:rPr>
      </w:pPr>
      <w:r w:rsidRPr="008A2C60">
        <w:rPr>
          <w:rFonts w:ascii="Book Antiqua" w:hAnsi="Book Antiqua"/>
          <w:b/>
        </w:rPr>
        <w:t>DISCUSSION</w:t>
      </w:r>
    </w:p>
    <w:p w14:paraId="268527CA" w14:textId="750C8196" w:rsidR="00F97DF3" w:rsidRPr="008A2C60" w:rsidRDefault="00451E5D" w:rsidP="00C26D7B">
      <w:pPr>
        <w:spacing w:line="360" w:lineRule="auto"/>
        <w:contextualSpacing/>
        <w:jc w:val="both"/>
        <w:rPr>
          <w:rFonts w:ascii="Book Antiqua" w:hAnsi="Book Antiqua"/>
        </w:rPr>
      </w:pPr>
      <w:r w:rsidRPr="008A2C60">
        <w:rPr>
          <w:rFonts w:ascii="Book Antiqua" w:hAnsi="Book Antiqua"/>
        </w:rPr>
        <w:t xml:space="preserve">This </w:t>
      </w:r>
      <w:r w:rsidR="00F13A79" w:rsidRPr="008A2C60">
        <w:rPr>
          <w:rFonts w:ascii="Book Antiqua" w:hAnsi="Book Antiqua"/>
        </w:rPr>
        <w:t xml:space="preserve">qualitative </w:t>
      </w:r>
      <w:r w:rsidRPr="008A2C60">
        <w:rPr>
          <w:rFonts w:ascii="Book Antiqua" w:hAnsi="Book Antiqua"/>
        </w:rPr>
        <w:t>systematic review of 1</w:t>
      </w:r>
      <w:r w:rsidR="004D69EE" w:rsidRPr="008A2C60">
        <w:rPr>
          <w:rFonts w:ascii="Book Antiqua" w:hAnsi="Book Antiqua"/>
        </w:rPr>
        <w:t>4</w:t>
      </w:r>
      <w:r w:rsidRPr="008A2C60">
        <w:rPr>
          <w:rFonts w:ascii="Book Antiqua" w:hAnsi="Book Antiqua"/>
        </w:rPr>
        <w:t xml:space="preserve"> studies </w:t>
      </w:r>
      <w:r w:rsidR="00A43AE2" w:rsidRPr="008A2C60">
        <w:rPr>
          <w:rFonts w:ascii="Book Antiqua" w:hAnsi="Book Antiqua"/>
        </w:rPr>
        <w:t>examined</w:t>
      </w:r>
      <w:r w:rsidRPr="008A2C60">
        <w:rPr>
          <w:rFonts w:ascii="Book Antiqua" w:hAnsi="Book Antiqua"/>
        </w:rPr>
        <w:t xml:space="preserve"> post-LT glucose control</w:t>
      </w:r>
      <w:r w:rsidR="00A43AE2" w:rsidRPr="008A2C60">
        <w:rPr>
          <w:rFonts w:ascii="Book Antiqua" w:hAnsi="Book Antiqua"/>
        </w:rPr>
        <w:t xml:space="preserve">, interventions designed to target glucose control, and associations with post-LT outcomes including infection rate, PTDM, AKI, graft </w:t>
      </w:r>
      <w:r w:rsidR="00CD09B1" w:rsidRPr="008A2C60">
        <w:rPr>
          <w:rFonts w:ascii="Book Antiqua" w:hAnsi="Book Antiqua"/>
        </w:rPr>
        <w:t>survival</w:t>
      </w:r>
      <w:r w:rsidR="00A43AE2" w:rsidRPr="008A2C60">
        <w:rPr>
          <w:rFonts w:ascii="Book Antiqua" w:hAnsi="Book Antiqua"/>
        </w:rPr>
        <w:t xml:space="preserve"> and mortality. Ultimately, th</w:t>
      </w:r>
      <w:r w:rsidR="00131561" w:rsidRPr="008A2C60">
        <w:rPr>
          <w:rFonts w:ascii="Book Antiqua" w:hAnsi="Book Antiqua"/>
        </w:rPr>
        <w:t>is</w:t>
      </w:r>
      <w:r w:rsidR="00A43AE2" w:rsidRPr="008A2C60">
        <w:rPr>
          <w:rFonts w:ascii="Book Antiqua" w:hAnsi="Book Antiqua"/>
        </w:rPr>
        <w:t xml:space="preserve"> review concludes</w:t>
      </w:r>
      <w:r w:rsidRPr="008A2C60">
        <w:rPr>
          <w:rFonts w:ascii="Book Antiqua" w:hAnsi="Book Antiqua"/>
        </w:rPr>
        <w:t xml:space="preserve"> that </w:t>
      </w:r>
      <w:r w:rsidR="005A5733" w:rsidRPr="008A2C60">
        <w:rPr>
          <w:rFonts w:ascii="Book Antiqua" w:hAnsi="Book Antiqua"/>
        </w:rPr>
        <w:t>perioperative hyperglycemia leads to unfavorable post-LT outcomes</w:t>
      </w:r>
      <w:r w:rsidR="00F13A79" w:rsidRPr="008A2C60">
        <w:rPr>
          <w:rFonts w:ascii="Book Antiqua" w:hAnsi="Book Antiqua"/>
        </w:rPr>
        <w:t>;</w:t>
      </w:r>
      <w:r w:rsidR="005A5733" w:rsidRPr="008A2C60">
        <w:rPr>
          <w:rFonts w:ascii="Book Antiqua" w:hAnsi="Book Antiqua"/>
        </w:rPr>
        <w:t xml:space="preserve"> however, the degree to which it plays a role may </w:t>
      </w:r>
      <w:r w:rsidR="00D140ED" w:rsidRPr="008A2C60">
        <w:rPr>
          <w:rFonts w:ascii="Book Antiqua" w:hAnsi="Book Antiqua"/>
        </w:rPr>
        <w:t>depen</w:t>
      </w:r>
      <w:r w:rsidR="005A5733" w:rsidRPr="008A2C60">
        <w:rPr>
          <w:rFonts w:ascii="Book Antiqua" w:hAnsi="Book Antiqua"/>
        </w:rPr>
        <w:t>d</w:t>
      </w:r>
      <w:r w:rsidR="00D140ED" w:rsidRPr="008A2C60">
        <w:rPr>
          <w:rFonts w:ascii="Book Antiqua" w:hAnsi="Book Antiqua"/>
        </w:rPr>
        <w:t xml:space="preserve"> on the</w:t>
      </w:r>
      <w:r w:rsidR="00F224D4" w:rsidRPr="008A2C60">
        <w:rPr>
          <w:rFonts w:ascii="Book Antiqua" w:hAnsi="Book Antiqua"/>
        </w:rPr>
        <w:t xml:space="preserve"> </w:t>
      </w:r>
      <w:r w:rsidR="00AB6067" w:rsidRPr="008A2C60">
        <w:rPr>
          <w:rFonts w:ascii="Book Antiqua" w:hAnsi="Book Antiqua"/>
        </w:rPr>
        <w:t>specific</w:t>
      </w:r>
      <w:r w:rsidR="003F6B7D" w:rsidRPr="008A2C60">
        <w:rPr>
          <w:rFonts w:ascii="Book Antiqua" w:hAnsi="Book Antiqua"/>
        </w:rPr>
        <w:t xml:space="preserve"> outcome</w:t>
      </w:r>
      <w:r w:rsidR="00A43AE2" w:rsidRPr="008A2C60">
        <w:rPr>
          <w:rFonts w:ascii="Book Antiqua" w:hAnsi="Book Antiqua"/>
        </w:rPr>
        <w:t xml:space="preserve"> in question</w:t>
      </w:r>
      <w:r w:rsidR="00D140ED" w:rsidRPr="008A2C60">
        <w:rPr>
          <w:rFonts w:ascii="Book Antiqua" w:hAnsi="Book Antiqua"/>
        </w:rPr>
        <w:t>.</w:t>
      </w:r>
      <w:r w:rsidR="00CE3AFE">
        <w:rPr>
          <w:rFonts w:ascii="Book Antiqua" w:hAnsi="Book Antiqua"/>
        </w:rPr>
        <w:t xml:space="preserve"> </w:t>
      </w:r>
      <w:r w:rsidR="00CD09B1" w:rsidRPr="008A2C60">
        <w:rPr>
          <w:rFonts w:ascii="Book Antiqua" w:hAnsi="Book Antiqua"/>
        </w:rPr>
        <w:t>T</w:t>
      </w:r>
      <w:r w:rsidR="00D140ED" w:rsidRPr="008A2C60">
        <w:rPr>
          <w:rFonts w:ascii="Book Antiqua" w:hAnsi="Book Antiqua"/>
        </w:rPr>
        <w:t xml:space="preserve">here </w:t>
      </w:r>
      <w:r w:rsidR="002F4072" w:rsidRPr="008A2C60">
        <w:rPr>
          <w:rFonts w:ascii="Book Antiqua" w:hAnsi="Book Antiqua"/>
        </w:rPr>
        <w:t>is</w:t>
      </w:r>
      <w:r w:rsidR="00D140ED" w:rsidRPr="008A2C60">
        <w:rPr>
          <w:rFonts w:ascii="Book Antiqua" w:hAnsi="Book Antiqua"/>
        </w:rPr>
        <w:t xml:space="preserve"> </w:t>
      </w:r>
      <w:r w:rsidR="00DB7243" w:rsidRPr="008A2C60">
        <w:rPr>
          <w:rFonts w:ascii="Book Antiqua" w:hAnsi="Book Antiqua"/>
        </w:rPr>
        <w:t>strong</w:t>
      </w:r>
      <w:r w:rsidR="00D140ED" w:rsidRPr="008A2C60">
        <w:rPr>
          <w:rFonts w:ascii="Book Antiqua" w:hAnsi="Book Antiqua"/>
        </w:rPr>
        <w:t xml:space="preserve"> </w:t>
      </w:r>
      <w:r w:rsidR="00AB6067" w:rsidRPr="008A2C60">
        <w:rPr>
          <w:rFonts w:ascii="Book Antiqua" w:hAnsi="Book Antiqua"/>
        </w:rPr>
        <w:t xml:space="preserve">evidence to support </w:t>
      </w:r>
      <w:r w:rsidR="00D140ED" w:rsidRPr="008A2C60">
        <w:rPr>
          <w:rFonts w:ascii="Book Antiqua" w:hAnsi="Book Antiqua"/>
        </w:rPr>
        <w:t xml:space="preserve">an association between </w:t>
      </w:r>
      <w:r w:rsidR="008A0DEC" w:rsidRPr="008A2C60">
        <w:rPr>
          <w:rFonts w:ascii="Book Antiqua" w:hAnsi="Book Antiqua"/>
        </w:rPr>
        <w:t xml:space="preserve">perioperative </w:t>
      </w:r>
      <w:r w:rsidR="00D140ED" w:rsidRPr="008A2C60">
        <w:rPr>
          <w:rFonts w:ascii="Book Antiqua" w:hAnsi="Book Antiqua"/>
        </w:rPr>
        <w:t xml:space="preserve">hyperglycemia and </w:t>
      </w:r>
      <w:r w:rsidR="00AD4530" w:rsidRPr="008A2C60">
        <w:rPr>
          <w:rFonts w:ascii="Book Antiqua" w:hAnsi="Book Antiqua"/>
        </w:rPr>
        <w:t xml:space="preserve">post-LT </w:t>
      </w:r>
      <w:r w:rsidR="00D140ED" w:rsidRPr="008A2C60">
        <w:rPr>
          <w:rFonts w:ascii="Book Antiqua" w:hAnsi="Book Antiqua"/>
        </w:rPr>
        <w:t xml:space="preserve">outcomes </w:t>
      </w:r>
      <w:r w:rsidR="008A0DEC" w:rsidRPr="008A2C60">
        <w:rPr>
          <w:rFonts w:ascii="Book Antiqua" w:hAnsi="Book Antiqua"/>
        </w:rPr>
        <w:t xml:space="preserve">such as </w:t>
      </w:r>
      <w:r w:rsidR="00736880" w:rsidRPr="008A2C60">
        <w:rPr>
          <w:rFonts w:ascii="Book Antiqua" w:hAnsi="Book Antiqua"/>
        </w:rPr>
        <w:t xml:space="preserve">high </w:t>
      </w:r>
      <w:r w:rsidR="008A0DEC" w:rsidRPr="008A2C60">
        <w:rPr>
          <w:rFonts w:ascii="Book Antiqua" w:hAnsi="Book Antiqua"/>
        </w:rPr>
        <w:t>infection</w:t>
      </w:r>
      <w:r w:rsidR="00736880" w:rsidRPr="008A2C60">
        <w:rPr>
          <w:rFonts w:ascii="Book Antiqua" w:hAnsi="Book Antiqua"/>
        </w:rPr>
        <w:t xml:space="preserve"> rate</w:t>
      </w:r>
      <w:r w:rsidR="008A0DEC" w:rsidRPr="008A2C60">
        <w:rPr>
          <w:rFonts w:ascii="Book Antiqua" w:hAnsi="Book Antiqua"/>
        </w:rPr>
        <w:t xml:space="preserve"> and graft rejection</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"10.4158/EP10343.OR", "ISSN" : "1530-891X", "PMID" : "21324822", "abstract" : "\\nTo present an analysis of glycemic control before and after introduction of a dedicated glucose management service ({GMS}) and outcomes within 1 year after liver transplantation ({LT}).\\nWe conducted a retrospective review of patients undergoing {LT}, who were treated with insulin infusions after {LT}, before and after introduction of a {GMS}. Outcome measures within 1 year after {LT} included graft rejection, infection, prolonged ventilation (&gt;48 hours on a ventilator), and graft survival. A multiple logistic regression was used to examine the relationship between {GMS} use and outcomes.\\nThis study consisted of 73 (35 {GMS} and 38 {non-GMS}) organ transplant recipients. The mean perioperative blood glucose level in the {GMS} group was lower than in the {non-GMS} group: unadjusted, by 31.1 {mg/dL} (P = .001); adjusted for pre-insulin drip glucose, age, sex, Model for {End-Stage} Liver Disease ({MELD}) score, and type of transplant, by 23.4 {mg/dL} (P = .020). There were 27 rejection episodes, 48 infections, 26 episodes of prolonged ventilation, and 64 patients with graft survival at 1 year. The infection rate was lower in the {GMS} group than in the {non-GMS} group: the unadjusted odds ratio was 0.28 (P = .015); when adjustments were made for pre-insulin drip glucose, pretransplant glucose, age, sex, {MELD} score, type of transplant, and diabetes status before transplantation, the odds ratio was 0.24 (95% confidence interval, 0.06 to 0.97; P = .045). No significant associations were noted between {GMS} group and rejection rates, prolonged ventilation, or graft survival.\\nIn this study of {LT} patients, a {GMS} was associated with improved glycemic control and reduced postoperative infections. Further studies investigating effects of strict glycemic control after {LT} are warranted.\\n", "author" : [ { "dropping-particle" : "", "family" : "Wallia", "given" : "Amisha", "non-dropping-particle" : "", "parse-names" : false, "suffix" : "" }, { "dropping-particle" : "", "family" : "Parikh", "given" : "Neehar D.", "non-dropping-particle" : "", "parse-names" : false, "suffix" : "" }, { "dropping-particle" : "", "family" : "O'Shea-Mahler", "given" : "Eileen", "non-dropping-particle" : "", "parse-names" : false, "suffix" : "" }, { "dropping-particle" : "", "family" : "Schmidt", "given" : "Kathleen", "non-dropping-particle" : "", "parse-names" : false, "suffix" : "" }, { "dropping-particle" : "", "family" : "DeSantis", "given" : "Anthony J.", "non-dropping-particle" : "", "parse-names" : false, "suffix" : "" }, { "dropping-particle" : "", "family" : "Tian", "given" : "Lu", "non-dropping-particle" : "", "parse-names" : false, "suffix" : "" }, { "dropping-particle" : "", "family" : "Levitsky", "given" : "Josh", "non-dropping-particle" : "", "parse-names" : false, "suffix" : "" }, { "dropping-particle" : "", "family" : "Molitch", "given" : "Mark E.", "non-dropping-particle" : "", "parse-names" : false, "suffix" : "" } ], "container-title" : "Endocrine Practice", "id" : "ITEM-1", "issue" : "4", "issued" : { "date-parts" : [ [ "2011" ] ] }, "page" : "546-551", "title" : "Glycemic Control by a Glucose Management Service and Infection Rates After Liver Transplantation", "type" : "article-journal", "volume" : "17" }, "uris" : [ "http://www.mendeley.com/documents/?uuid=bd04ed9e-7bd4-4412-bedd-92111bfaa222" ] }, { "id" : "ITEM-2", "itemData" : { "PMID" : "20098286", "abstract" : "BACKGROUND Intensive glycemic control has been shown to positively impact outcomes in an intensive care setting. Whether this practice is beneficial after liver transplantation (LT) is not known. METHODS A retrospective review of patients undergoing LT from February 2002 to July 2007 was conducted to analyze the association between perioperative hyperglycemia and outcomes after LT. Covariates included preexisting diabetes, mean glucose 3 months pre-LT, need for insulin drip post-LT, mean total glucose during the post-LT hospitalization, age, sex, type of transplant, and model for end-stage liver disease score. Outcomes within 1 year of LT included rejection, infection, rehospitalization, prolonged ventilation, and patient/graft survival. RESULTS One hundred thirteen LT and 31 liver-kidney recipients were included. By multivariate logistic regression adjusting for covariates, the rejection rate was significantly lower for patients with postoperative glucose levels less than 200 mg/dL (n=114) vs. more than 200 mg/dL (n=30) (odds ratio: 0.055; 95% confidence interval: 0.0154-0.200; P&lt;0.001). The need for prolonged ventilation was more common in patients with glucose less than 200 vs. more than 200 mg/dL (odds ratio: 4.30; 95% confidence interval: 1.284-14.388; P=0.018). Although other outcomes, infection, rehospitalization, patient/graft survival, were not different among the glucose control groups, rejection was associated with increased rehospitalizations and infections. CONCLUSION Our data demonstrate an association between the immediate posttransplant glycemic control and the development of subsequent rejection. Prospective trials investigating the effects of perioperative glycemic control on outcomes and morbidity after LT are warranted.", "author" : [ { "dropping-particle" : "", "family" : "Wallia", "given" : "Amisha", "non-dropping-particle" : "", "parse-names" : false, "suffix" : "" }, { "dropping-particle" : "", "family" : "Parikh", "given" : "Neehar D", "non-dropping-particle" : "", "parse-names" : false, "suffix" : "" }, { "dropping-particle" : "", "family" : "Molitch", "given" : "Mark E", "non-dropping-particle" : "", "parse-names" : false, "suffix" : "" }, { "dropping-particle" : "", "family" : "Mahler", "given" : "Eileen", "non-dropping-particle" : "", "parse-names" : false, "suffix" : "" }, { "dropping-particle" : "", "family" : "Tian", "given" : "Lu", "non-dropping-particle" : "", "parse-names" : false, "suffix" : "" }, { "dropping-particle" : "", "family" : "Huang", "given" : "Jie Jenny", "non-dropping-particle" : "", "parse-names" : false, "suffix" : "" }, { "dropping-particle" : "", "family" : "Levitsky", "given" : "Josh", "non-dropping-particle" : "", "parse-names" : false, "suffix" : "" } ], "container-title" : "Transplantation", "id" : "ITEM-2", "issue" : "2", "issued" : { "date-parts" : [ [ "2010", "1" ] ] }, "page" : "222-6", "title" : "Posttransplant hyperglycemia is associated with increased risk of liver allograft rejection.", "type" : "article-journal", "volume" : "89" }, "uris" : [ "http://www.mendeley.com/documents/?uuid=8fdf0a70-4655-4bf9-97f1-ca55e6f463bb" ] }, { "id" : "ITEM-3", "itemData" : { "DOI" : "10.1177/1060028015627662", "ISSN" : "1060-0280", "author" : [ { "dropping-particle" : "", "family" : "Linder", "given" : "K E", "non-dropping-particle" : "", "parse-names" : false, "suffix" : "" }, { "dropping-particle" : "", "family" : "Baker", "given" : "W L", "non-dropping-particle" : "", "parse-names" : false, "suffix" : "" }, { "dropping-particle" : "", "family" : "Rochon", "given" : "C", "non-dropping-particle" : "", "parse-names" : false, "suffix" : "" }, { "dropping-particle" : "", "family" : "May", "given" : "S T", "non-dropping-particle" : "", "parse-names" : false, "suffix" : "" }, { "dropping-particle" : "", "family" : "Sheiner", "given" : "P A", "non-dropping-particle" : "", "parse-names" : false, "suffix" : "" }, { "dropping-particle" : "", "family" : "Martin", "given" : "S T", "non-dropping-particle" : "", "parse-names" : false, "suffix" : "" } ], "container-title" : "Annals of Pharmacotherapy", "id" : "ITEM-3", "issued" : { "date-parts" : [ [ "2016" ] ] }, "title" : "Evaluation of Posttransplantation Diabetes Mellitus After Liver Transplantation: Assessment of Insulin Administration as a Risk Factor", "type" : "article-journal" }, "uris" : [ "http://www.mendeley.com/documents/?uuid=a904ad99-f4a7-4433-b70a-bd175cdafaf6" ] }, { "id" : "ITEM-4", "itemData" : { "DOI" : "10.1016/j.jss.2007.02.019", "ISBN" : "0022-4804; 0022-4804", "ISSN" : "00224804", "PMID" : "17509267", "abstract" : "Background: Intensive blood glucose management has been shown to decrease mortality and infections for intensive care patients. The effect of intraoperative strict glucose control on surgical outcomes, including liver transplantation, has not been well evaluated. Materials and methods: A retrospective review of all adult liver recipients transplanted between January 1, 2004 and July 6, 2006 was performed. Donor and recipient demographics, intraoperative variables, and outcomes were collected. Intraoperative glucose measurements were performed by the anesthesiology team and treated with intravenous insulin bolus or continuous infusion. Patients with strict glycemic control (mean blood glucose &lt;150 mg/dL) were compared with those with poor control (mean blood glucose ???150 mg/dL). Results: During the study period, a total of 184 patients met criteria for analysis. Recipients with strict glycemic control (n = 60) had a mean glucose of 135 mg/dL compared with 184 mg/dL in the poorly controlled group (n = 124). Other than recipient age (strict versus poor control, 47 ?? 2 y versus 53 ?? 1 y; P &lt; 0.01), both groups had similar donor and recipient characteristics. Although the incidence of most postoperative complications were similar, poor glycemic control was associated with a significantly increased infection rate at 30 d posttransplant (48% versus 30%; P = 0.02), and also an increased 1 y mortality (21.9% versus 8.8%; P = 0.05). Conclusions: Intraoperative hyperglycemia during liver transplantation was associated with an increased risk of postoperative infection and mortality. Strict intraoperative glycemic control, possibly using insulin infusions, may improve outcomes following liver transplantation. ?? 2007 Elsevier Inc. All rights reserved.", "author" : [ { "dropping-particle" : "", "family" : "Ammori", "given" : "John B.", "non-dropping-particle" : "", "parse-names" : false, "suffix" : "" }, { "dropping-particle" : "", "family" : "Sigakis", "given" : "Matthew", "non-dropping-particle" : "", "parse-names" : false, "suffix" : "" }, { "dropping-particle" : "", "family" : "Englesbe", "given" : "Michael J.", "non-dropping-particle" : "", "parse-names" : false, "suffix" : "" }, { "dropping-particle" : "", "family" : "O'Reilly", "given" : "Michael", "non-dropping-particle" : "", "parse-names" : false, "suffix" : "" }, { "dropping-particle" : "", "family" : "Pelletier", "given" : "Shawn J.", "non-dropping-particle" : "", "parse-names" : false, "suffix" : "" } ], "container-title" : "Journal of Surgical Research", "id" : "ITEM-4", "issue" : "2", "issued" : { "date-parts" : [ [ "2007" ] ] }, "page" : "227-233", "title" : "Effect of Intraoperative Hyperglycemia During Liver Transplantation", "type" : "article-journal", "volume" : "140" }, "uris" : [ "http://www.mendeley.com/documents/?uuid=d9efaca6-b68b-4a30-8d84-22a917bb52b3" ] }, { "id" : "ITEM-5", "itemData" : { "DOI" : "10.1097/TP.0b013e31819cc3e6", "ISBN" : "1534-6080", "ISSN" : "1534-6080", "PMID" : "19352123", "abstract" : "BACKGROUND: Surgical site infection (SSI) is a common postoperative complication associated with increased morbidity and mortality in patients undergoing liver transplantation (LT). Although intraoperative hyperglycemia has been shown to be associated with adverse postoperative outcomes including overall infection rate in LT patients, a relationship between intraoperative hyperglycemia and SSI in LT has not been established. We sought to determine if intraoperative hyperglycemia was associated with SSI after LT.\\n\\nMETHODS: Patients undergoing LT at our medical center between January 2004 and November 2007 were included in the study. Recipient, donor, and intraoperative variables including a variety of glucose indices were retrospectively analyzed. Independent risk factors of SSI were identified using a multivariate logistic regression model.\\n\\nRESULTS: Of 680 patients, 76 (11.2%) experienced postoperative SSIs. Among all intraoperative glucose indices analyzed, severe hyperglycemia (&gt;or= 200 mg/dL) was independently associated with postoperative SSI (odds ratio [OR] 2.25, 95% confidence interval [CI] 1.26-4.03, P=0.006). Other independent risk factors include repeat surgery (OR 6.58, 95% CI 3.41-12.69, P&lt;0.001), intraoperative administration of vasopressor (OR 3.14, 95% CI 1.65-5.95, P&lt;0.001), preoperative mechanical ventilation (OR 3.01, 95% CI 1.70-5.33, P&lt;0.001), and combined liver and kidney transplantation (OR 2.95, 95% CI 3.41-12.69, P&lt;0.001).\\n\\nCONCLUSIONS: Severe, but not mild or moderate, intraoperative hyperglycemia is independently associated with postoperative SSI and should be avoided during LT surgery.", "author" : [ { "dropping-particle" : "", "family" : "Park", "given" : "Chulsoo", "non-dropping-particle" : "", "parse-names" : false, "suffix" : "" }, { "dropping-particle" : "", "family" : "Hsu", "given" : "Chehao", "non-dropping-particle" : "", "parse-names" : false, "suffix" : "" }, { "dropping-particle" : "", "family" : "Neelakanta", "given" : "Gundappa", "non-dropping-particle" : "", "parse-names" : false, "suffix" : "" }, { "dropping-particle" : "", "family" : "Nourmand", "given" : "Hamid", "non-dropping-particle" : "", "parse-names" : false, "suffix" : "" }, { "dropping-particle" : "", "family" : "Braunfeld", "given" : "Michelle", "non-dropping-particle" : "", "parse-names" : false, "suffix" : "" }, { "dropping-particle" : "", "family" : "Wray", "given" : "Christopher", "non-dropping-particle" : "", "parse-names" : false, "suffix" : "" }, { "dropping-particle" : "", "family" : "Steadman", "given" : "Randolph H", "non-dropping-particle" : "", "parse-names" : false, "suffix" : "" }, { "dropping-particle" : "", "family" : "Hu", "given" : "Ke-Qin", "non-dropping-particle" : "", "parse-names" : false, "suffix" : "" }, { "dropping-particle" : "", "family" : "Cheng", "given" : "Ronald T", "non-dropping-particle" : "", "parse-names" : false, "suffix" : "" }, { "dropping-particle" : "", "family" : "Xia", "given" : "Victor W", "non-dropping-particle" : "", "parse-names" : false, "suffix" : "" } ], "container-title" : "Transplantation", "id" : "ITEM-5", "issue" : "7", "issued" : { "date-parts" : [ [ "2009" ] ] }, "page" : "1031-6", "title" : "Severe intraoperative hyperglycemia is independently associated with surgical site infection after liver transplantation.", "type" : "article-journal", "volume" : "87" }, "uris" : [ "http://www.mendeley.com/documents/?uuid=126dab49-d2fd-43f6-bc13-46460424d959" ] }, { "id" : "ITEM-6", "itemData" : { "ISSN" : "1074-3022", "PMID" : "9346661", "abstract" : "It is not well understood whether posttransplant diabetes mellitus (PTDM) following orthotopic liver transplantation (OLTx) alters postoperative morbidity. This study was designed to evaluate this question. All adult patients who received an OLTx between July 1985 and March 1993 (n = 497) were evaluated by retrospective chart review for evidence of PTDM after OLTx. The patients identified with PTDM (n = 26) were case matched with nondiabetic OLTx recipients based on primary liver disease diagnosis, age, gender, date of first OLTx, and survival. Liver synthetic function, number and severity of rejection episodes, graft survival, total number of hospital days within the first year post-OLTx, renal function, and number and type of infection episodes were analyzed to assess differences in morbidity between the PTDM and control patients after OLTx. Of the 497 adult patients who underwent OLTx, 26 (5.2%) were identified as having PTDM within 1 month of discharge. Factors which identified individuals at higher risk for DM after OLTx included higher pre-OLTx fasting blood glucose (P = .04); lower body mass index after OLTx (P = .02); and cyclosporine rather than OKT3 induction (P = .009). Graft survival, synthetic function, and the total number of rejection episodes during the first year were not different between the two groups. The morbidity variables of total number of days in the hospital during the first 12 months, renal function, and type and number of infections were also similar between the two groups. In summary, 5.2% of adult patients developed DM within 1 month of OLTx. Pre-existing insulin resistance, postoperative stress, and immunosuppression medications all likely contribute to the development of overt hyperglycemia after OLTx. Although PTDM can be a consequence of OLTx, it does not have a significant impact on patient outcome in the first year after OLTx.", "author" : [ { "dropping-particle" : "", "family" : "Trail", "given" : "K C", "non-dropping-particle" : "", "parse-names" : false, "suffix" : "" }, { "dropping-particle" : "", "family" : "McCashland", "given" : "T M", "non-dropping-particle" : "", "parse-names" : false, "suffix" : "" }, { "dropping-particle" : "", "family" : "Larsen", "given" : "J L", "non-dropping-particle" : "", "parse-names" : false, "suffix" : "" }, { "dropping-particle" : "", "family" : "Heffron", "given" : "T G", "non-dropping-particle" : "", "parse-names" : false, "suffix" : "" }, { "dropping-particle" : "", "family" : "Stratta", "given" : "R J", "non-dropping-particle" : "", "parse-names" : false, "suffix" : "" }, { "dropping-particle" : "", "family" : "Langnas", "given" : "A N", "non-dropping-particle" : "", "parse-names" : false, "suffix" : "" }, { "dropping-particle" : "", "family" : "Fox", "given" : "I J", "non-dropping-particle" : "", "parse-names" : false, "suffix" : "" }, { "dropping-particle" : "", "family" : "Zetterman", "given" : "R K", "non-dropping-particle" : "", "parse-names" : false, "suffix" : "" }, { "dropping-particle" : "", "family" : "Donovan", "given" : "J P", "non-dropping-particle" : "", "parse-names" : false, "suffix" : "" }, { "dropping-particle" : "", "family" : "Sorrell", "given" : "M F", "non-dropping-particle" : "", "parse-names" : false, "suffix" : "" }, { "dropping-particle" : "", "family" : "Pillen", "given" : "T J", "non-dropping-particle" : "", "parse-names" : false, "suffix" : "" }, { "dropping-particle" : "", "family" : "Ruby", "given" : "E I", "non-dropping-particle" : "", "parse-names" : false, "suffix" : "" }, { "dropping-particle" : "", "family" : "Shaw", "given" : "B W", "non-dropping-particle" : "", "parse-names" : false, "suffix" : "" } ], "container-title" : "Liver transplantation and surgery : official publication of the American Association for the Study of Liver Diseases and the International Liver Transplantation Society", "id" : "ITEM-6", "issue" : "4", "issued" : { "date-parts" : [ [ "1996" ] ] }, "page" : "276-83", "title" : "Morbidity in patients with posttransplant diabetes mellitus following orthotopic liver transplantation.", "type" : "article-journal", "volume" : "2" }, "uris" : [ "http://www.mendeley.com/documents/?uuid=66f357c4-f23e-4cb6-8fd8-4b3844f78e87" ] }, { "id" : "ITEM-7", "itemData" : { "DOI" : "10.1111/ctr.12391", "ISBN" : "0902-0063", "ISSN" : "13990012", "PMID" : "24893750", "abstract" : "Hepatitis C is the leading indication for liver transplantation in the USA and recurrence is universal. The impact of preexisting diabetes, new-onset diabetes after transplant (NODAT), and glycemic control on fibrosis progression has not been studied. This retrospective longitudinal cohort study included adult liver recipients with hepatitis C transplanted between 2000 and 2011. Patients were divided into three groups: preexisting diabetes (n\u00a0=\u00a041), NODAT (n\u00a0=\u00a059), and no diabetes (n\u00a0=\u00a0103). Patients with preexisting diabetes (70%) or NODAT (59%) were more likely to develop hepatitis C recurrence (\u2265stage 1 fibrosis), as compared to non-diabetics (36%, p\u00a0=\u00a00.006). There was also a trend toward a higher incidence of at least Stage 2 fibrosis (36% and 48% vs. 23%, respectively; p\u00a0=\u00a00.063). Patients with tight glycemic control had a lower rate of Stage 2 fibrosis development (78% vs. 60%, p\u00a0=\u00a00.027), while those with good control (&lt;150\u00a0mg/dL) also had lower rates of Stage 2 fibrosis (84% vs. 62%, p\u00a0=\u00a00.004). Multivariable analysis verified a decreased rate of recurrence for patients with blood glucose &lt;138\u00a0mg/dL (p\u00a0=\u00a00.021), after controlling for confounders. These results demonstrate that diabetes is strongly associated with an increased risk of hepatitis C virus-related fibrosis development and glycemic control may reduce the risk and severity of recurrence.", "author" : [ { "dropping-particle" : "", "family" : "Morbitzer", "given" : "Kathryn A.", "non-dropping-particle" : "", "parse-names" : false, "suffix" : "" }, { "dropping-particle" : "", "family" : "Taber", "given" : "David J.", "non-dropping-particle" : "", "parse-names" : false, "suffix" : "" }, { "dropping-particle" : "", "family" : "Pilch", "given" : "Nicole A.", "non-dropping-particle" : "", "parse-names" : false, "suffix" : "" }, { "dropping-particle" : "", "family" : "Meadows", "given" : "Holly B.", "non-dropping-particle" : "", "parse-names" : false, "suffix" : "" }, { "dropping-particle" : "", "family" : "Fleming", "given" : "James N.", "non-dropping-particle" : "", "parse-names" : false, "suffix" : "" }, { "dropping-particle" : "", "family" : "Bratton", "given" : "Charles F.", "non-dropping-particle" : "", "parse-names" : false, "suffix" : "" }, { "dropping-particle" : "", "family" : "Mcgillicuddy", "given" : "John W.", "non-dropping-particle" : "", "parse-names" : false, "suffix" : "" }, { "dropping-particle" : "", "family" : "Baliga", "given" : "Prabhakar K.", "non-dropping-particle" : "", "parse-names" : false, "suffix" : "" }, { "dropping-particle" : "", "family" : "Chavin", "given" : "Kenneth D.", "non-dropping-particle" : "", "parse-names" : false, "suffix" : "" } ], "container-title" : "Clinical Transplantation", "id" : "ITEM-7", "issue" : "8", "issued" : { "date-parts" : [ [ "2014" ] ] }, "page" : "862-868", "title" : "The impact of diabetes mellitus and glycemic control on clinical outcomes following liver transplant for hepatitis C", "type" : "article-journal", "volume" : "28" }, "uris" : [ "http://www.mendeley.com/documents/?uuid=4faba74e-80e8-4646-af2e-2d9dc4f1f818" ] } ], "mendeley" : { "formattedCitation" : "&lt;sup&gt;[1,4,5,18\u201320,26]&lt;/sup&gt;", "plainTextFormattedCitation" : "[1,4,5,18\u201320,26]", "previouslyFormattedCitation" : "&lt;sup&gt;[1,4,5,18\u201320,26]&lt;/sup&gt;"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[1,4,5,18</w:t>
      </w:r>
      <w:r w:rsidR="00C26D7B">
        <w:rPr>
          <w:rFonts w:ascii="Book Antiqua" w:hAnsi="Book Antiqua" w:hint="eastAsia"/>
          <w:noProof/>
          <w:vertAlign w:val="superscript"/>
          <w:lang w:eastAsia="zh-CN"/>
        </w:rPr>
        <w:t>-</w:t>
      </w:r>
      <w:r w:rsidR="00131F28" w:rsidRPr="008A2C60">
        <w:rPr>
          <w:rFonts w:ascii="Book Antiqua" w:hAnsi="Book Antiqua"/>
          <w:noProof/>
          <w:vertAlign w:val="superscript"/>
        </w:rPr>
        <w:t>20,26]</w:t>
      </w:r>
      <w:r w:rsidR="003F54F3" w:rsidRPr="008A2C60">
        <w:rPr>
          <w:rFonts w:ascii="Book Antiqua" w:hAnsi="Book Antiqua"/>
        </w:rPr>
        <w:fldChar w:fldCharType="end"/>
      </w:r>
      <w:r w:rsidR="001371C3" w:rsidRPr="008A2C60">
        <w:rPr>
          <w:rFonts w:ascii="Book Antiqua" w:hAnsi="Book Antiqua"/>
        </w:rPr>
        <w:t>.</w:t>
      </w:r>
      <w:r w:rsidR="00D140ED" w:rsidRPr="008A2C60">
        <w:rPr>
          <w:rFonts w:ascii="Book Antiqua" w:hAnsi="Book Antiqua"/>
        </w:rPr>
        <w:t xml:space="preserve"> </w:t>
      </w:r>
      <w:r w:rsidR="00F13A79" w:rsidRPr="008A2C60">
        <w:rPr>
          <w:rFonts w:ascii="Book Antiqua" w:hAnsi="Book Antiqua"/>
        </w:rPr>
        <w:t xml:space="preserve">A review by Park </w:t>
      </w:r>
      <w:r w:rsidR="00EE3848" w:rsidRPr="00EE3848">
        <w:rPr>
          <w:rFonts w:ascii="Book Antiqua" w:hAnsi="Book Antiqua"/>
          <w:i/>
        </w:rPr>
        <w:t>et al</w:t>
      </w:r>
      <w:r w:rsidR="007F1A1C" w:rsidRPr="008A2C60">
        <w:rPr>
          <w:rFonts w:ascii="Book Antiqua" w:hAnsi="Book Antiqua"/>
        </w:rPr>
        <w:fldChar w:fldCharType="begin" w:fldLock="1"/>
      </w:r>
      <w:r w:rsidR="007F1A1C" w:rsidRPr="008A2C60">
        <w:rPr>
          <w:rFonts w:ascii="Book Antiqua" w:hAnsi="Book Antiqua"/>
        </w:rPr>
        <w:instrText>ADDIN CSL_CITATION { "citationItems" : [ { "id" : "ITEM-1", "itemData" : { "DOI" : "10.3748/wjg.v21.i22.6835", "ISSN" : "22192840", "PMID" : "26078559", "abstract" : "Diabetogenic traits in patients undergoing liver transplantation (LT) are exacerbated intraoperatively by exogenous causes, such as surgical stress, steroids, blood transfusions, and catecholamines, which lead to intraoperative hyperglycemia. In contrast to the strict glucose control performed in the intensive care unit, no systematic protocol has been developed for glucose management during LT. Intraoperative blood glucose concentrations typically exceed 200 mg/dL in LT, and extreme hyperglycemia (&gt; 300 mg/dL) is common during the neohepatic phase. Only a few retrospective studies have examined the relationship between intraoperative hyperglycemia and post-transplant complications, with reports of infectious complications or mortality. However, no prospective studies have been conducted regarding the influence of intraoperative hyperglycemia in LT on post-transplant outcome. In addition to absolute blood glucose values, the temporal patterns in blood glucose levels during LT may serve as prognostic features. Persistent neohepatic hyperglycemia (without a decline) throughout LT is a useful indicator of early graft dysfunction. Moreover, intraoperative variability in glucose levels may predict the need for reoperation for hemorrhage after LT. Thus, there is an urgent need for guidelines for glucose control in these patients, as well as prospective studies on the impact of glucose control on various post-transplant complications. This report highlights some of the recent studies related to perioperative blood glucose management focused on LT and liver disease.", "author" : [ { "dropping-particle" : "", "family" : "Park", "given" : "Chul Soo", "non-dropping-particle" : "", "parse-names" : false, "suffix" : "" } ], "container-title" : "World Journal of Gastroenterology", "id" : "ITEM-1", "issue" : "22", "issued" : { "date-parts" : [ [ "2015" ] ] }, "page" : "6835-6841", "title" : "Predictive roles of intraoperative blood glucose for posttransplant outcomes in liver transplantation", "type" : "article-journal", "volume" : "21" }, "uris" : [ "http://www.mendeley.com/documents/?uuid=3bd12cd1-0b49-46a2-b40a-e89eb80a3199" ] } ], "mendeley" : { "formattedCitation" : "&lt;sup&gt;[27]&lt;/sup&gt;", "plainTextFormattedCitation" : "[27]", "previouslyFormattedCitation" : "&lt;sup&gt;[27]&lt;/sup&gt;" }, "properties" : {  }, "schema" : "https://github.com/citation-style-language/schema/raw/master/csl-citation.json" }</w:instrText>
      </w:r>
      <w:r w:rsidR="007F1A1C" w:rsidRPr="008A2C60">
        <w:rPr>
          <w:rFonts w:ascii="Book Antiqua" w:hAnsi="Book Antiqua"/>
        </w:rPr>
        <w:fldChar w:fldCharType="separate"/>
      </w:r>
      <w:r w:rsidR="007F1A1C" w:rsidRPr="008A2C60">
        <w:rPr>
          <w:rFonts w:ascii="Book Antiqua" w:hAnsi="Book Antiqua"/>
          <w:noProof/>
          <w:vertAlign w:val="superscript"/>
        </w:rPr>
        <w:t>[27]</w:t>
      </w:r>
      <w:r w:rsidR="007F1A1C" w:rsidRPr="008A2C60">
        <w:rPr>
          <w:rFonts w:ascii="Book Antiqua" w:hAnsi="Book Antiqua"/>
        </w:rPr>
        <w:fldChar w:fldCharType="end"/>
      </w:r>
      <w:r w:rsidR="00F13A79" w:rsidRPr="008A2C60">
        <w:rPr>
          <w:rFonts w:ascii="Book Antiqua" w:hAnsi="Book Antiqua"/>
        </w:rPr>
        <w:t xml:space="preserve"> that focused specifically on intraoperative hyperglycemia found a similar association between hyperglycemia and infection rate</w:t>
      </w:r>
      <w:r w:rsidR="001371C3" w:rsidRPr="008A2C60">
        <w:rPr>
          <w:rFonts w:ascii="Book Antiqua" w:hAnsi="Book Antiqua"/>
        </w:rPr>
        <w:t>.</w:t>
      </w:r>
      <w:r w:rsidR="00CE3AFE">
        <w:rPr>
          <w:rFonts w:ascii="Book Antiqua" w:hAnsi="Book Antiqua"/>
        </w:rPr>
        <w:t xml:space="preserve"> </w:t>
      </w:r>
      <w:r w:rsidR="00DB7243" w:rsidRPr="008A2C60">
        <w:rPr>
          <w:rFonts w:ascii="Book Antiqua" w:hAnsi="Book Antiqua"/>
        </w:rPr>
        <w:t xml:space="preserve">In contrast, the </w:t>
      </w:r>
      <w:r w:rsidR="00042FB4" w:rsidRPr="008A2C60">
        <w:rPr>
          <w:rFonts w:ascii="Book Antiqua" w:hAnsi="Book Antiqua"/>
        </w:rPr>
        <w:t xml:space="preserve">strength of the </w:t>
      </w:r>
      <w:r w:rsidR="00DB7243" w:rsidRPr="008A2C60">
        <w:rPr>
          <w:rFonts w:ascii="Book Antiqua" w:hAnsi="Book Antiqua"/>
        </w:rPr>
        <w:t xml:space="preserve">evidence that exists to </w:t>
      </w:r>
      <w:r w:rsidR="00AB6067" w:rsidRPr="008A2C60">
        <w:rPr>
          <w:rFonts w:ascii="Book Antiqua" w:hAnsi="Book Antiqua"/>
        </w:rPr>
        <w:t xml:space="preserve">support </w:t>
      </w:r>
      <w:r w:rsidR="00D140ED" w:rsidRPr="008A2C60">
        <w:rPr>
          <w:rFonts w:ascii="Book Antiqua" w:hAnsi="Book Antiqua"/>
        </w:rPr>
        <w:t xml:space="preserve">an association between </w:t>
      </w:r>
      <w:r w:rsidR="008A0DEC" w:rsidRPr="008A2C60">
        <w:rPr>
          <w:rFonts w:ascii="Book Antiqua" w:hAnsi="Book Antiqua"/>
        </w:rPr>
        <w:t xml:space="preserve">perioperative </w:t>
      </w:r>
      <w:r w:rsidR="00D140ED" w:rsidRPr="008A2C60">
        <w:rPr>
          <w:rFonts w:ascii="Book Antiqua" w:hAnsi="Book Antiqua"/>
        </w:rPr>
        <w:t>hyperglycemia and o</w:t>
      </w:r>
      <w:r w:rsidR="00C0371C" w:rsidRPr="008A2C60">
        <w:rPr>
          <w:rFonts w:ascii="Book Antiqua" w:hAnsi="Book Antiqua"/>
        </w:rPr>
        <w:t>utcomes such as mortality and</w:t>
      </w:r>
      <w:r w:rsidR="00D140ED" w:rsidRPr="008A2C60">
        <w:rPr>
          <w:rFonts w:ascii="Book Antiqua" w:hAnsi="Book Antiqua"/>
        </w:rPr>
        <w:t xml:space="preserve"> graft survival</w:t>
      </w:r>
      <w:r w:rsidR="00DB7243" w:rsidRPr="008A2C60">
        <w:rPr>
          <w:rFonts w:ascii="Book Antiqua" w:hAnsi="Book Antiqua"/>
        </w:rPr>
        <w:t xml:space="preserve"> is not as </w:t>
      </w:r>
      <w:r w:rsidR="00474519" w:rsidRPr="008A2C60">
        <w:rPr>
          <w:rFonts w:ascii="Book Antiqua" w:hAnsi="Book Antiqua"/>
        </w:rPr>
        <w:t>well founded</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"10.1016/j.jss.2007.02.019", "ISBN" : "0022-4804; 0022-4804", "ISSN" : "00224804", "PMID" : "17509267", "abstract" : "Background: Intensive blood glucose management has been shown to decrease mortality and infections for intensive care patients. The effect of intraoperative strict glucose control on surgical outcomes, including liver transplantation, has not been well evaluated. Materials and methods: A retrospective review of all adult liver recipients transplanted between January 1, 2004 and July 6, 2006 was performed. Donor and recipient demographics, intraoperative variables, and outcomes were collected. Intraoperative glucose measurements were performed by the anesthesiology team and treated with intravenous insulin bolus or continuous infusion. Patients with strict glycemic control (mean blood glucose &lt;150 mg/dL) were compared with those with poor control (mean blood glucose ???150 mg/dL). Results: During the study period, a total of 184 patients met criteria for analysis. Recipients with strict glycemic control (n = 60) had a mean glucose of 135 mg/dL compared with 184 mg/dL in the poorly controlled group (n = 124). Other than recipient age (strict versus poor control, 47 ?? 2 y versus 53 ?? 1 y; P &lt; 0.01), both groups had similar donor and recipient characteristics. Although the incidence of most postoperative complications were similar, poor glycemic control was associated with a significantly increased infection rate at 30 d posttransplant (48% versus 30%; P = 0.02), and also an increased 1 y mortality (21.9% versus 8.8%; P = 0.05). Conclusions: Intraoperative hyperglycemia during liver transplantation was associated with an increased risk of postoperative infection and mortality. Strict intraoperative glycemic control, possibly using insulin infusions, may improve outcomes following liver transplantation. ?? 2007 Elsevier Inc. All rights reserved.", "author" : [ { "dropping-particle" : "", "family" : "Ammori", "given" : "John B.", "non-dropping-particle" : "", "parse-names" : false, "suffix" : "" }, { "dropping-particle" : "", "family" : "Sigakis", "given" : "Matthew", "non-dropping-particle" : "", "parse-names" : false, "suffix" : "" }, { "dropping-particle" : "", "family" : "Englesbe", "given" : "Michael J.", "non-dropping-particle" : "", "parse-names" : false, "suffix" : "" }, { "dropping-particle" : "", "family" : "O'Reilly", "given" : "Michael", "non-dropping-particle" : "", "parse-names" : false, "suffix" : "" }, { "dropping-particle" : "", "family" : "Pelletier", "given" : "Shawn J.", "non-dropping-particle" : "", "parse-names" : false, "suffix" : "" } ], "container-title" : "Journal of Surgical Research", "id" : "ITEM-1", "issue" : "2", "issued" : { "date-parts" : [ [ "2007" ] ] }, "page" : "227-233", "title" : "Effect of Intraoperative Hyperglycemia During Liver Transplantation", "type" : "article-journal", "volume" : "140" }, "uris" : [ "http://www.mendeley.com/documents/?uuid=d9efaca6-b68b-4a30-8d84-22a917bb52b3" ] }, { "id" : "ITEM-2", "itemData" : { "DOI" : "10.1016/j.transproceed.2010.05.156", "ISBN" : "1873-2623 (Electronic)\\r0041-1345 (Linking)", "ISSN" : "00411345", "PMID" : "20832556", "abstract" : "There is a paucity of data regarding the safety and utility of strict glycemic control in patients undergoing orthotopic liver transplantation (OLT). Although control of hyperglycemia may theoretically be beneficial, concerns exist regarding the effect of iatrogenic hypoglycemia on graft function. We performed a retrospective observational study evaluating the impact of the introduction of a nurse-initiated glycemic control protocol on OLT recipients cared for in a single intensive care unit (ICU). The medical records of 84 OLT recipients in 2003 (Preprotocol group) and 77 recipients in 2007 (Protocol group) were reviewed. Data regarding demographics, medical history, physiology, perioperative anesthesia and surgical events, ICU stay, graft function, and mortality were abstracted. Glucose values on admission to ICU, at 2, 6, 12, 18, and 24 hours after surgery, and at 4 am on the morning after OLT were recorded. Patients in the Protocol group achieved better and faster glycemic control. The odds ratio for severe hyperglycemia (glucose &gt;250 mg/dL) in the Protocol group was 0.16 (95% confidence interval, 0.090.28). Hypoglycemia was not observed. The 1-year mortality was 5.3% in the Preprotocol and 6.0% in the Protocol group (P = .86). The rate of graft loss was low, and there was no difference in the incidence of graft failure between the Preprotocol and Protocol groups. We conclude that nurse-initiated and -directed glycemic control protocols can be safely and effectively used in the early period after OLT, though we did not identify a beneficial effect on graft function. ?? 2010 by Elsevier Inc. All rights reserved.", "author" : [ { "dropping-particle" : "", "family" : "Keegan", "given" : "M. T.", "non-dropping-particle" : "", "parse-names" : false, "suffix" : "" }, { "dropping-particle" : "", "family" : "Vrchota", "given" : "J. M.", "non-dropping-particle" : "", "parse-names" : false, "suffix" : "" }, { "dropping-particle" : "", "family" : "Haala", "given" : "P. M.", "non-dropping-particle" : "", "parse-names" : false, "suffix" : "" }, { "dropping-particle" : "V.", "family" : "Timm", "given" : "J.", "non-dropping-particle" : "", "parse-names" : false, "suffix" : "" } ], "container-title" : "Transplantation Proceedings", "id" : "ITEM-2", "issue" : "7", "issued" : { "date-parts" : [ [ "2010" ] ] }, "page" : "2617-2624", "publisher" : "Elsevier Inc.", "title" : "Safety and effectiveness of intensive insulin protocol use in post-operative liver transplant recipients", "type" : "article-journal", "volume" : "42" }, "uris" : [ "http://www.mendeley.com/documents/?uuid=f2050c13-2ec3-4780-995a-6d783e41ef52" ] }, { "id" : "ITEM-3", "itemData" : { "DOI" : "10.1177/1060028015627662", "ISSN" : "1060-0280", "author" : [ { "dropping-particle" : "", "family" : "Linder", "given" : "K E", "non-dropping-particle" : "", "parse-names" : false, "suffix" : "" }, { "dropping-particle" : "", "family" : "Baker", "given" : "W L", "non-dropping-particle" : "", "parse-names" : false, "suffix" : "" }, { "dropping-particle" : "", "family" : "Rochon", "given" : "C", "non-dropping-particle" : "", "parse-names" : false, "suffix" : "" }, { "dropping-particle" : "", "family" : "May", "given" : "S T", "non-dropping-particle" : "", "parse-names" : false, "suffix" : "" }, { "dropping-particle" : "", "family" : "Sheiner", "given" : "P A", "non-dropping-particle" : "", "parse-names" : false, "suffix" : "" }, { "dropping-particle" : "", "family" : "Martin", "given" : "S T", "non-dropping-particle" : "", "parse-names" : false, "suffix" : "" } ], "container-title" : "Annals of Pharmacotherapy", "id" : "ITEM-3", "issued" : { "date-parts" : [ [ "2016" ] ] }, "title" : "Evaluation of Posttransplantation Diabetes Mellitus After Liver Transplantation: Assessment of Insulin Administration as a Risk Factor", "type" : "article-journal" }, "uris" : [ "http://www.mendeley.com/documents/?uuid=a904ad99-f4a7-4433-b70a-bd175cdafaf6" ] }, { "id" : "ITEM-4", "itemData" : { "DOI" : "10.4158/EP10343.OR", "ISSN" : "1530-891X", "PMID" : "21324822", "abstract" : "\\nTo present an analysis of glycemic control before and after introduction of a dedicated glucose management service ({GMS}) and outcomes within 1 year after liver transplantation ({LT}).\\nWe conducted a retrospective review of patients undergoing {LT}, who were treated with insulin infusions after {LT}, before and after introduction of a {GMS}. Outcome measures within 1 year after {LT} included graft rejection, infection, prolonged ventilation (&gt;48 hours on a ventilator), and graft survival. A multiple logistic regression was used to examine the relationship between {GMS} use and outcomes.\\nThis study consisted of 73 (35 {GMS} and 38 {non-GMS}) organ transplant recipients. The mean perioperative blood glucose level in the {GMS} group was lower than in the {non-GMS} group: unadjusted, by 31.1 {mg/dL} (P = .001); adjusted for pre-insulin drip glucose, age, sex, Model for {End-Stage} Liver Disease ({MELD}) score, and type of transplant, by 23.4 {mg/dL} (P = .020). There were 27 rejection episodes, 48 infections, 26 episodes of prolonged ventilation, and 64 patients with graft survival at 1 year. The infection rate was lower in the {GMS} group than in the {non-GMS} group: the unadjusted odds ratio was 0.28 (P = .015); when adjustments were made for pre-insulin drip glucose, pretransplant glucose, age, sex, {MELD} score, type of transplant, and diabetes status before transplantation, the odds ratio was 0.24 (95% confidence interval, 0.06 to 0.97; P = .045). No significant associations were noted between {GMS} group and rejection rates, prolonged ventilation, or graft survival.\\nIn this study of {LT} patients, a {GMS} was associated with improved glycemic control and reduced postoperative infections. Further studies investigating effects of strict glycemic control after {LT} are warranted.\\n", "author" : [ { "dropping-particle" : "", "family" : "Wallia", "given" : "Amisha", "non-dropping-particle" : "", "parse-names" : false, "suffix" : "" }, { "dropping-particle" : "", "family" : "Parikh", "given" : "Neehar D.", "non-dropping-particle" : "", "parse-names" : false, "suffix" : "" }, { "dropping-particle" : "", "family" : "O'Shea-Mahler", "given" : "Eileen", "non-dropping-particle" : "", "parse-names" : false, "suffix" : "" }, { "dropping-particle" : "", "family" : "Schmidt", "given" : "Kathleen", "non-dropping-particle" : "", "parse-names" : false, "suffix" : "" }, { "dropping-particle" : "", "family" : "DeSantis", "given" : "Anthony J.", "non-dropping-particle" : "", "parse-names" : false, "suffix" : "" }, { "dropping-particle" : "", "family" : "Tian", "given" : "Lu", "non-dropping-particle" : "", "parse-names" : false, "suffix" : "" }, { "dropping-particle" : "", "family" : "Levitsky", "given" : "Josh", "non-dropping-particle" : "", "parse-names" : false, "suffix" : "" }, { "dropping-particle" : "", "family" : "Molitch", "given" : "Mark E.", "non-dropping-particle" : "", "parse-names" : false, "suffix" : "" } ], "container-title" : "Endocrine Practice", "id" : "ITEM-4", "issue" : "4", "issued" : { "date-parts" : [ [ "2011" ] ] }, "page" : "546-551", "title" : "Glycemic Control by a Glucose Management Service and Infection Rates After Liver Transplantation", "type" : "article-journal", "volume" : "17" }, "uris" : [ "http://www.mendeley.com/documents/?uuid=bd04ed9e-7bd4-4412-bedd-92111bfaa222" ] }, { "id" : "ITEM-5", "itemData" : { "PMID" : "20098286", "abstract" : "BACKGROUND Intensive glycemic control has been shown to positively impact outcomes in an intensive care setting. Whether this practice is beneficial after liver transplantation (LT) is not known. METHODS A retrospective review of patients undergoing LT from February 2002 to July 2007 was conducted to analyze the association between perioperative hyperglycemia and outcomes after LT. Covariates included preexisting diabetes, mean glucose 3 months pre-LT, need for insulin drip post-LT, mean total glucose during the post-LT hospitalization, age, sex, type of transplant, and model for end-stage liver disease score. Outcomes within 1 year of LT included rejection, infection, rehospitalization, prolonged ventilation, and patient/graft survival. RESULTS One hundred thirteen LT and 31 liver-kidney recipients were included. By multivariate logistic regression adjusting for covariates, the rejection rate was significantly lower for patients with postoperative glucose levels less than 200 mg/dL (n=114) vs. more than 200 mg/dL (n=30) (odds ratio: 0.055; 95% confidence interval: 0.0154-0.200; P&lt;0.001). The need for prolonged ventilation was more common in patients with glucose less than 200 vs. more than 200 mg/dL (odds ratio: 4.30; 95% confidence interval: 1.284-14.388; P=0.018). Although other outcomes, infection, rehospitalization, patient/graft survival, were not different among the glucose control groups, rejection was associated with increased rehospitalizations and infections. CONCLUSION Our data demonstrate an association between the immediate posttransplant glycemic control and the development of subsequent rejection. Prospective trials investigating the effects of perioperative glycemic control on outcomes and morbidity after LT are warranted.", "author" : [ { "dropping-particle" : "", "family" : "Wallia", "given" : "Amisha", "non-dropping-particle" : "", "parse-names" : false, "suffix" : "" }, { "dropping-particle" : "", "family" : "Parikh", "given" : "Neehar D", "non-dropping-particle" : "", "parse-names" : false, "suffix" : "" }, { "dropping-particle" : "", "family" : "Molitch", "given" : "Mark E", "non-dropping-particle" : "", "parse-names" : false, "suffix" : "" }, { "dropping-particle" : "", "family" : "Mahler", "given" : "Eileen", "non-dropping-particle" : "", "parse-names" : false, "suffix" : "" }, { "dropping-particle" : "", "family" : "Tian", "given" : "Lu", "non-dropping-particle" : "", "parse-names" : false, "suffix" : "" }, { "dropping-particle" : "", "family" : "Huang", "given" : "Jie Jenny", "non-dropping-particle" : "", "parse-names" : false, "suffix" : "" }, { "dropping-particle" : "", "family" : "Levitsky", "given" : "Josh", "non-dropping-particle" : "", "parse-names" : false, "suffix" : "" } ], "container-title" : "Transplantation", "id" : "ITEM-5", "issue" : "2", "issued" : { "date-parts" : [ [ "2010", "1" ] ] }, "page" : "222-6", "title" : "Posttransplant hyperglycemia is associated with increased risk of liver allograft rejection.", "type" : "article-journal", "volume" : "89" }, "uris" : [ "http://www.mendeley.com/documents/?uuid=8fdf0a70-4655-4bf9-97f1-ca55e6f463bb" ] }, { "id" : "ITEM-6", "itemData" : { "ISSN" : "1074-3022", "PMID" : "9346661", "abstract" : "It is not well understood whether posttransplant diabetes mellitus (PTDM) following orthotopic liver transplantation (OLTx) alters postoperative morbidity. This study was designed to evaluate this question. All adult patients who received an OLTx between July 1985 and March 1993 (n = 497) were evaluated by retrospective chart review for evidence of PTDM after OLTx. The patients identified with PTDM (n = 26) were case matched with nondiabetic OLTx recipients based on primary liver disease diagnosis, age, gender, date of first OLTx, and survival. Liver synthetic function, number and severity of rejection episodes, graft survival, total number of hospital days within the first year post-OLTx, renal function, and number and type of infection episodes were analyzed to assess differences in morbidity between the PTDM and control patients after OLTx. Of the 497 adult patients who underwent OLTx, 26 (5.2%) were identified as having PTDM within 1 month of discharge. Factors which identified individuals at higher risk for DM after OLTx included higher pre-OLTx fasting blood glucose (P = .04); lower body mass index after OLTx (P = .02); and cyclosporine rather than OKT3 induction (P = .009). Graft survival, synthetic function, and the total number of rejection episodes during the first year were not different between the two groups. The morbidity variables of total number of days in the hospital during the first 12 months, renal function, and type and number of infections were also similar between the two groups. In summary, 5.2% of adult patients developed DM within 1 month of OLTx. Pre-existing insulin resistance, postoperative stress, and immunosuppression medications all likely contribute to the development of overt hyperglycemia after OLTx. Although PTDM can be a consequence of OLTx, it does not have a significant impact on patient outcome in the first year after OLTx.", "author" : [ { "dropping-particle" : "", "family" : "Trail", "given" : "K C", "non-dropping-particle" : "", "parse-names" : false, "suffix" : "" }, { "dropping-particle" : "", "family" : "McCashland", "given" : "T M", "non-dropping-particle" : "", "parse-names" : false, "suffix" : "" }, { "dropping-particle" : "", "family" : "Larsen", "given" : "J L", "non-dropping-particle" : "", "parse-names" : false, "suffix" : "" }, { "dropping-particle" : "", "family" : "Heffron", "given" : "T G", "non-dropping-particle" : "", "parse-names" : false, "suffix" : "" }, { "dropping-particle" : "", "family" : "Stratta", "given" : "R J", "non-dropping-particle" : "", "parse-names" : false, "suffix" : "" }, { "dropping-particle" : "", "family" : "Langnas", "given" : "A N", "non-dropping-particle" : "", "parse-names" : false, "suffix" : "" }, { "dropping-particle" : "", "family" : "Fox", "given" : "I J", "non-dropping-particle" : "", "parse-names" : false, "suffix" : "" }, { "dropping-particle" : "", "family" : "Zetterman", "given" : "R K", "non-dropping-particle" : "", "parse-names" : false, "suffix" : "" }, { "dropping-particle" : "", "family" : "Donovan", "given" : "J P", "non-dropping-particle" : "", "parse-names" : false, "suffix" : "" }, { "dropping-particle" : "", "family" : "Sorrell", "given" : "M F", "non-dropping-particle" : "", "parse-names" : false, "suffix" : "" }, { "dropping-particle" : "", "family" : "Pillen", "given" : "T J", "non-dropping-particle" : "", "parse-names" : false, "suffix" : "" }, { "dropping-particle" : "", "family" : "Ruby", "given" : "E I", "non-dropping-particle" : "", "parse-names" : false, "suffix" : "" }, { "dropping-particle" : "", "family" : "Shaw", "given" : "B W", "non-dropping-particle" : "", "parse-names" : false, "suffix" : "" } ], "container-title" : "Liver transplantation and surgery : official publication of the American Association for the Study of Liver Diseases and the International Liver Transplantation Society", "id" : "ITEM-6", "issue" : "4", "issued" : { "date-parts" : [ [ "1996" ] ] }, "page" : "276-83", "title" : "Morbidity in patients with posttransplant diabetes mellitus following orthotopic liver transplantation.", "type" : "article-journal", "volume" : "2" }, "uris" : [ "http://www.mendeley.com/documents/?uuid=66f357c4-f23e-4cb6-8fd8-4b3844f78e87" ] } ], "mendeley" : { "formattedCitation" : "&lt;sup&gt;[1,5,17\u201320]&lt;/sup&gt;", "plainTextFormattedCitation" : "[1,5,17\u201320]", "previouslyFormattedCitation" : "&lt;sup&gt;[1,5,17\u201320]&lt;/sup&gt;"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[1,5,17</w:t>
      </w:r>
      <w:r w:rsidR="007D7421">
        <w:rPr>
          <w:rFonts w:ascii="Book Antiqua" w:hAnsi="Book Antiqua" w:hint="eastAsia"/>
          <w:noProof/>
          <w:vertAlign w:val="superscript"/>
          <w:lang w:eastAsia="zh-CN"/>
        </w:rPr>
        <w:t>-</w:t>
      </w:r>
      <w:r w:rsidR="00131F28" w:rsidRPr="008A2C60">
        <w:rPr>
          <w:rFonts w:ascii="Book Antiqua" w:hAnsi="Book Antiqua"/>
          <w:noProof/>
          <w:vertAlign w:val="superscript"/>
        </w:rPr>
        <w:t>20]</w:t>
      </w:r>
      <w:r w:rsidR="003F54F3" w:rsidRPr="008A2C60">
        <w:rPr>
          <w:rFonts w:ascii="Book Antiqua" w:hAnsi="Book Antiqua"/>
        </w:rPr>
        <w:fldChar w:fldCharType="end"/>
      </w:r>
      <w:r w:rsidR="001371C3" w:rsidRPr="008A2C60">
        <w:rPr>
          <w:rFonts w:ascii="Book Antiqua" w:hAnsi="Book Antiqua"/>
        </w:rPr>
        <w:t>.</w:t>
      </w:r>
      <w:r w:rsidR="00D140ED" w:rsidRPr="008A2C60">
        <w:rPr>
          <w:rFonts w:ascii="Book Antiqua" w:hAnsi="Book Antiqua"/>
        </w:rPr>
        <w:t xml:space="preserve"> </w:t>
      </w:r>
      <w:r w:rsidR="00474519" w:rsidRPr="008A2C60">
        <w:rPr>
          <w:rFonts w:ascii="Book Antiqua" w:hAnsi="Book Antiqua"/>
        </w:rPr>
        <w:t xml:space="preserve">High </w:t>
      </w:r>
      <w:r w:rsidR="00F224D4" w:rsidRPr="008A2C60">
        <w:rPr>
          <w:rFonts w:ascii="Book Antiqua" w:hAnsi="Book Antiqua"/>
        </w:rPr>
        <w:t xml:space="preserve">glucose variability may also </w:t>
      </w:r>
      <w:r w:rsidR="00C507CE" w:rsidRPr="008A2C60">
        <w:rPr>
          <w:rFonts w:ascii="Book Antiqua" w:hAnsi="Book Antiqua"/>
        </w:rPr>
        <w:t xml:space="preserve">be </w:t>
      </w:r>
      <w:r w:rsidR="00F224D4" w:rsidRPr="008A2C60">
        <w:rPr>
          <w:rFonts w:ascii="Book Antiqua" w:hAnsi="Book Antiqua"/>
        </w:rPr>
        <w:t>a factor with the development of certain complications such as AKI</w:t>
      </w:r>
      <w:r w:rsidR="003F54F3"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"10.1213/ANE.0000000000001632", "ISBN" : "0000000000", "ISSN" : "15267598", "PMID" : "27749341", "abstract" : "BACKGROUND Glucose control can be difficult in the intraoperative and immediate postoperative period of liver transplantation. Hyperglycemia and glucose variability have been associated with acute kidney injury (AKI) in critically ill patients. We performed a retrospective study to test the hypothesis that perioperative glucose levels represented by time-weighted average glucose levels and glucose variability are independently associated with the incidence of postoperative AKI in patients undergoing liver transplantation. METHODS On the basis of blood glucose levels during liver transplantation and the initial 48 hours postoperatively, adult liver transplant recipients were classified into 4 groups according to their time-weighted average glucose: normoglycemia (80-200 mg/dL), mild hyperglycemia (200-250 mg/dL), moderate hyperglycemia (250-300 mg/dL), and severe hyperglycemia (&gt;300 mg/dL) group. Patients were also classified into quartiles depending on their glucose variability, defined as the standard deviation of glucose measurements. The primary outcome was postoperative AKI. RESULTS AKI after liver transplantation was more common in the patients with greater perioperative glucose variability (first versus third quartile; OR, 2.47 [95%CI, 1.22-5.00], P = .012; first versus fourth quartile; OR, 2.16 [95% CI, 1.05-4.42], P = .035). CONCLUSIONS Our study suggests that increased perioperative glucose variability, but not hyperglycemia, is independently associated with increased risk of postoperative AKI in liver transplantation recipients.", "author" : [ { "dropping-particle" : "", "family" : "Yoo", "given" : "Seokha", "non-dropping-particle" : "", "parse-names" : false, "suffix" : "" }, { "dropping-particle" : "", "family" : "Lee", "given" : "Ho-Jin", "non-dropping-particle" : "", "parse-names" : false, "suffix" : "" }, { "dropping-particle" : "", "family" : "Lee", "given" : "Hannah", "non-dropping-particle" : "", "parse-names" : false, "suffix" : "" }, { "dropping-particle" : "", "family" : "Ryu", "given" : "Ho-Geol", "non-dropping-particle" : "", "parse-names" : false, "suffix" : "" } ], "container-title" : "Anesthesia &amp; Analgesia", "id" : "ITEM-1", "issue" : "1", "issued" : { "date-parts" : [ [ "2016" ] ] }, "page" : "1", "title" : "Association Between Perioperative Hyperglycemia or Glucose Variability and Postoperative Acute Kidney Injury After Liver Transplantation", "type" : "article-journal", "volume" : "124" }, "uris" : [ "http://www.mendeley.com/documents/?uuid=a303dfba-19d3-4acc-b2f7-404858403201" ] } ], "mendeley" : { "formattedCitation" : "&lt;sup&gt;[6]&lt;/sup&gt;", "plainTextFormattedCitation" : "[6]", "previouslyFormattedCitation" : "&lt;sup&gt;[6]&lt;/sup&gt;" }, "properties" : {  }, "schema" : "https://github.com/citation-style-language/schema/raw/master/csl-citation.json" }</w:instrText>
      </w:r>
      <w:r w:rsidR="003F54F3" w:rsidRPr="008A2C60">
        <w:rPr>
          <w:rFonts w:ascii="Book Antiqua" w:hAnsi="Book Antiqua"/>
        </w:rPr>
        <w:fldChar w:fldCharType="separate"/>
      </w:r>
      <w:r w:rsidR="00131F28" w:rsidRPr="008A2C60">
        <w:rPr>
          <w:rFonts w:ascii="Book Antiqua" w:hAnsi="Book Antiqua"/>
          <w:noProof/>
          <w:vertAlign w:val="superscript"/>
        </w:rPr>
        <w:t>[6]</w:t>
      </w:r>
      <w:r w:rsidR="003F54F3" w:rsidRPr="008A2C60">
        <w:rPr>
          <w:rFonts w:ascii="Book Antiqua" w:hAnsi="Book Antiqua"/>
        </w:rPr>
        <w:fldChar w:fldCharType="end"/>
      </w:r>
      <w:r w:rsidR="001371C3" w:rsidRPr="008A2C60">
        <w:rPr>
          <w:rFonts w:ascii="Book Antiqua" w:hAnsi="Book Antiqua"/>
        </w:rPr>
        <w:t>.</w:t>
      </w:r>
      <w:r w:rsidR="009F6BF0" w:rsidRPr="008A2C60">
        <w:rPr>
          <w:rFonts w:ascii="Book Antiqua" w:hAnsi="Book Antiqua"/>
        </w:rPr>
        <w:t xml:space="preserve"> </w:t>
      </w:r>
      <w:r w:rsidR="001A0B0F" w:rsidRPr="008A2C60">
        <w:rPr>
          <w:rFonts w:ascii="Book Antiqua" w:hAnsi="Book Antiqua"/>
        </w:rPr>
        <w:t>In addition</w:t>
      </w:r>
      <w:r w:rsidR="007658FB" w:rsidRPr="008A2C60">
        <w:rPr>
          <w:rFonts w:ascii="Book Antiqua" w:hAnsi="Book Antiqua"/>
        </w:rPr>
        <w:t>, donor graft type (D</w:t>
      </w:r>
      <w:r w:rsidR="001A0B0F" w:rsidRPr="008A2C60">
        <w:rPr>
          <w:rFonts w:ascii="Book Antiqua" w:hAnsi="Book Antiqua"/>
        </w:rPr>
        <w:t xml:space="preserve">CD </w:t>
      </w:r>
      <w:r w:rsidR="001A0B0F" w:rsidRPr="00C26D7B">
        <w:rPr>
          <w:rFonts w:ascii="Book Antiqua" w:hAnsi="Book Antiqua"/>
          <w:i/>
        </w:rPr>
        <w:t>vs</w:t>
      </w:r>
      <w:r w:rsidR="001A0B0F" w:rsidRPr="008A2C60">
        <w:rPr>
          <w:rFonts w:ascii="Book Antiqua" w:hAnsi="Book Antiqua"/>
        </w:rPr>
        <w:t xml:space="preserve"> DBD) may also play a role in </w:t>
      </w:r>
      <w:r w:rsidR="007658FB" w:rsidRPr="008A2C60">
        <w:rPr>
          <w:rFonts w:ascii="Book Antiqua" w:hAnsi="Book Antiqua"/>
        </w:rPr>
        <w:t xml:space="preserve">the early occurrence </w:t>
      </w:r>
      <w:r w:rsidR="00C26D7B">
        <w:rPr>
          <w:rFonts w:ascii="Book Antiqua" w:hAnsi="Book Antiqua"/>
        </w:rPr>
        <w:t>of NODAT (within 15 d</w:t>
      </w:r>
      <w:r w:rsidR="001A0B0F" w:rsidRPr="008A2C60">
        <w:rPr>
          <w:rFonts w:ascii="Book Antiqua" w:hAnsi="Book Antiqua"/>
        </w:rPr>
        <w:t xml:space="preserve"> post-LT)</w:t>
      </w:r>
      <w:r w:rsidR="001A0B0F"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"10.1111/liv.12706", "ISBN" : "1478-3231 (Electronic)\\r1478-3223 (Linking)", "ISSN" : "14783231", "PMID" : "25349066", "abstract" : "Background &amp; Aims: We studied new-onset diabetes after transplantation (NODAT) in liver transplantation with grafts donated after brain death (DBD) or circulatory death (DCD), focusing on the early post-transplant period. Methods: A total of 430 non-diabetic primary liver transplant recipients [DCD, n = 90 (21%)] were followed up for 30 months (range 5-69). NODAT was defined as the composite endpoint of one of following: (i) Two non-fasting plasma glucose levels &gt; 11.1 mmol/L \u2265 30 days apart, (ii) oral hypoglycaemic drugs \u2265 30 days consecutively (iii) insulin therapy \u2265 30 days and (iv) HbA1c \u2265 48 mmol/L. Resolution of NODAT was defined as cessation of treatment or hyperglycaemia. Results: Total of 81/430 (19%) patients developed NODAT. Incidence and resolution of NODAT over time showed significantly different patterns between DCD and DBD liver graft recipients; early occurrence, high peak incidence and early resolution were seen in DCD. In multivariate logistic regression including age, ethnicity, HCV, tacrolimus level and pulsed steroids, only DCD was independently associated with NODAT at day 15 post-transplant (OR 6.5, 95% CI 2.3-18.4, P &lt; 0.001), whereas age and pulsed steroids were significant factors between 30-90 days. Combined in multivariate Cox regression model for NODAT-free survival, graft type, age and pulsed steroids were each independent predictor for decreased NODAT-free survival in the first 90-postoperative days. Conclusion: Early peak of NODAT in DCD graft recipients is a novel finding, occurring independently from known risk factors. Donor warm ischaemia and impact on insulin sensitivity should be further studied and could perhaps be associated with graft function.", "author" : [ { "dropping-particle" : "", "family" : "Hartog", "given" : "Hermien", "non-dropping-particle" : "", "parse-names" : false, "suffix" : "" }, { "dropping-particle" : "", "family" : "May", "given" : "Christine J H", "non-dropping-particle" : "", "parse-names" : false, "suffix" : "" }, { "dropping-particle" : "", "family" : "Corbett", "given" : "Chris", "non-dropping-particle" : "", "parse-names" : false, "suffix" : "" }, { "dropping-particle" : "", "family" : "Phillips", "given" : "Angela", "non-dropping-particle" : "", "parse-names" : false, "suffix" : "" }, { "dropping-particle" : "", "family" : "Tomlinson", "given" : "Jeremy W.", "non-dropping-particle" : "", "parse-names" : false, "suffix" : "" }, { "dropping-particle" : "", "family" : "Mergental", "given" : "Hynek", "non-dropping-particle" : "", "parse-names" : false, "suffix" : "" }, { "dropping-particle" : "", "family" : "Isaac", "given" : "John", "non-dropping-particle" : "", "parse-names" : false, "suffix" : "" }, { "dropping-particle" : "", "family" : "Bramhall", "given" : "Simon", "non-dropping-particle" : "", "parse-names" : false, "suffix" : "" }, { "dropping-particle" : "", "family" : "Mirza", "given" : "Darius F.", "non-dropping-particle" : "", "parse-names" : false, "suffix" : "" }, { "dropping-particle" : "", "family" : "Muiesan", "given" : "Paolo", "non-dropping-particle" : "", "parse-names" : false, "suffix" : "" }, { "dropping-particle" : "", "family" : "Perera", "given" : "M. Thamara P R", "non-dropping-particle" : "", "parse-names" : false, "suffix" : "" } ], "container-title" : "Liver International", "id" : "ITEM-1", "issue" : "6", "issued" : { "date-parts" : [ [ "2015" ] ] }, "page" : "1739-1747", "title" : "Early occurrence of new-onset diabetes after transplantation is related to type of liver graft and warm ischaemic injury", "type" : "article-journal", "volume" : "35" }, "uris" : [ "http://www.mendeley.com/documents/?uuid=d84a45b3-dc1a-4dd0-828d-d44661b2accf" ] } ], "mendeley" : { "formattedCitation" : "&lt;sup&gt;[23]&lt;/sup&gt;", "plainTextFormattedCitation" : "[23]", "previouslyFormattedCitation" : "&lt;sup&gt;[23]&lt;/sup&gt;" }, "properties" : {  }, "schema" : "https://github.com/citation-style-language/schema/raw/master/csl-citation.json" }</w:instrText>
      </w:r>
      <w:r w:rsidR="001A0B0F" w:rsidRPr="008A2C60">
        <w:rPr>
          <w:rFonts w:ascii="Book Antiqua" w:hAnsi="Book Antiqua"/>
        </w:rPr>
        <w:fldChar w:fldCharType="separate"/>
      </w:r>
      <w:r w:rsidR="00131F28" w:rsidRPr="008A2C60">
        <w:rPr>
          <w:rFonts w:ascii="Book Antiqua" w:hAnsi="Book Antiqua"/>
          <w:noProof/>
          <w:vertAlign w:val="superscript"/>
        </w:rPr>
        <w:t>[23]</w:t>
      </w:r>
      <w:r w:rsidR="001A0B0F" w:rsidRPr="008A2C60">
        <w:rPr>
          <w:rFonts w:ascii="Book Antiqua" w:hAnsi="Book Antiqua"/>
        </w:rPr>
        <w:fldChar w:fldCharType="end"/>
      </w:r>
      <w:r w:rsidR="001371C3" w:rsidRPr="008A2C60">
        <w:rPr>
          <w:rFonts w:ascii="Book Antiqua" w:hAnsi="Book Antiqua"/>
        </w:rPr>
        <w:t>.</w:t>
      </w:r>
    </w:p>
    <w:p w14:paraId="140DBF01" w14:textId="33E4D00B" w:rsidR="00C37C10" w:rsidRPr="008A2C60" w:rsidRDefault="00131561" w:rsidP="00C26D7B">
      <w:pPr>
        <w:spacing w:line="360" w:lineRule="auto"/>
        <w:ind w:firstLineChars="100" w:firstLine="240"/>
        <w:contextualSpacing/>
        <w:jc w:val="both"/>
        <w:rPr>
          <w:rFonts w:ascii="Book Antiqua" w:hAnsi="Book Antiqua"/>
        </w:rPr>
      </w:pPr>
      <w:r w:rsidRPr="008A2C60">
        <w:rPr>
          <w:rFonts w:ascii="Book Antiqua" w:hAnsi="Book Antiqua"/>
        </w:rPr>
        <w:lastRenderedPageBreak/>
        <w:t>What was difficult to discern from these studies was the target BG level associated with poor post-LT outcomes.</w:t>
      </w:r>
      <w:r w:rsidR="00CE3AFE">
        <w:rPr>
          <w:rFonts w:ascii="Book Antiqua" w:hAnsi="Book Antiqua"/>
        </w:rPr>
        <w:t xml:space="preserve"> </w:t>
      </w:r>
      <w:r w:rsidR="005C4D39" w:rsidRPr="008A2C60">
        <w:rPr>
          <w:rFonts w:ascii="Book Antiqua" w:hAnsi="Book Antiqua"/>
        </w:rPr>
        <w:t>T</w:t>
      </w:r>
      <w:r w:rsidRPr="008A2C60">
        <w:rPr>
          <w:rFonts w:ascii="Book Antiqua" w:hAnsi="Book Antiqua"/>
        </w:rPr>
        <w:t xml:space="preserve">he studies in this review used </w:t>
      </w:r>
      <w:r w:rsidR="0008560A" w:rsidRPr="008A2C60">
        <w:rPr>
          <w:rFonts w:ascii="Book Antiqua" w:hAnsi="Book Antiqua"/>
        </w:rPr>
        <w:t xml:space="preserve">different </w:t>
      </w:r>
      <w:r w:rsidR="00A43AE2" w:rsidRPr="008A2C60">
        <w:rPr>
          <w:rFonts w:ascii="Book Antiqua" w:hAnsi="Book Antiqua"/>
        </w:rPr>
        <w:t xml:space="preserve">target </w:t>
      </w:r>
      <w:r w:rsidR="0008560A" w:rsidRPr="008A2C60">
        <w:rPr>
          <w:rFonts w:ascii="Book Antiqua" w:hAnsi="Book Antiqua"/>
        </w:rPr>
        <w:t xml:space="preserve">BG levels </w:t>
      </w:r>
      <w:r w:rsidRPr="008A2C60">
        <w:rPr>
          <w:rFonts w:ascii="Book Antiqua" w:hAnsi="Book Antiqua"/>
        </w:rPr>
        <w:t>to evaluate</w:t>
      </w:r>
      <w:r w:rsidR="002F4072" w:rsidRPr="008A2C60">
        <w:rPr>
          <w:rFonts w:ascii="Book Antiqua" w:hAnsi="Book Antiqua"/>
        </w:rPr>
        <w:t xml:space="preserve"> </w:t>
      </w:r>
      <w:r w:rsidRPr="008A2C60">
        <w:rPr>
          <w:rFonts w:ascii="Book Antiqua" w:hAnsi="Book Antiqua"/>
        </w:rPr>
        <w:t xml:space="preserve">different </w:t>
      </w:r>
      <w:r w:rsidR="002F4072" w:rsidRPr="008A2C60">
        <w:rPr>
          <w:rFonts w:ascii="Book Antiqua" w:hAnsi="Book Antiqua"/>
        </w:rPr>
        <w:t>outcomes</w:t>
      </w:r>
      <w:r w:rsidR="00AD4530" w:rsidRPr="008A2C60">
        <w:rPr>
          <w:rFonts w:ascii="Book Antiqua" w:hAnsi="Book Antiqua"/>
        </w:rPr>
        <w:t>, thus</w:t>
      </w:r>
      <w:r w:rsidR="002F4072" w:rsidRPr="008A2C60">
        <w:rPr>
          <w:rFonts w:ascii="Book Antiqua" w:hAnsi="Book Antiqua"/>
        </w:rPr>
        <w:t xml:space="preserve"> making it </w:t>
      </w:r>
      <w:r w:rsidR="00411CC0" w:rsidRPr="008A2C60">
        <w:rPr>
          <w:rFonts w:ascii="Book Antiqua" w:hAnsi="Book Antiqua"/>
        </w:rPr>
        <w:t xml:space="preserve">difficult to associate </w:t>
      </w:r>
      <w:r w:rsidR="009B05CA" w:rsidRPr="008A2C60">
        <w:rPr>
          <w:rFonts w:ascii="Book Antiqua" w:hAnsi="Book Antiqua"/>
        </w:rPr>
        <w:t>the degree of glycemic control with certain outcomes</w:t>
      </w:r>
      <w:r w:rsidR="00A43AE2" w:rsidRPr="008A2C60">
        <w:rPr>
          <w:rFonts w:ascii="Book Antiqua" w:hAnsi="Book Antiqua"/>
        </w:rPr>
        <w:t xml:space="preserve"> and also limiting comparisons that could be made between studies</w:t>
      </w:r>
      <w:r w:rsidR="009B05CA" w:rsidRPr="008A2C60">
        <w:rPr>
          <w:rFonts w:ascii="Book Antiqua" w:hAnsi="Book Antiqua"/>
        </w:rPr>
        <w:t>.</w:t>
      </w:r>
      <w:r w:rsidR="00CE3AFE">
        <w:rPr>
          <w:rFonts w:ascii="Book Antiqua" w:hAnsi="Book Antiqua"/>
        </w:rPr>
        <w:t xml:space="preserve"> </w:t>
      </w:r>
      <w:r w:rsidR="00D64B2D" w:rsidRPr="008A2C60">
        <w:rPr>
          <w:rFonts w:ascii="Book Antiqua" w:hAnsi="Book Antiqua"/>
        </w:rPr>
        <w:t>The studies also varied in their definition of PTDM, the timing of glucose monitoring (immediate post-operative to days post-LT), and the medications used to manage hyperglycemia (ranging from insulin infusion to oral meds).</w:t>
      </w:r>
      <w:r w:rsidR="003C4ECB" w:rsidRPr="008A2C60">
        <w:rPr>
          <w:rFonts w:ascii="Book Antiqua" w:hAnsi="Book Antiqua"/>
        </w:rPr>
        <w:t xml:space="preserve"> T</w:t>
      </w:r>
      <w:r w:rsidR="00D64B2D" w:rsidRPr="008A2C60">
        <w:rPr>
          <w:rFonts w:ascii="Book Antiqua" w:hAnsi="Book Antiqua"/>
        </w:rPr>
        <w:t>he variability in the studies is what limits the comparisons that can be made and is the reason we can only perform a qualitative review of the literature.</w:t>
      </w:r>
      <w:r w:rsidR="00CE3AFE">
        <w:rPr>
          <w:rFonts w:ascii="Book Antiqua" w:hAnsi="Book Antiqua"/>
        </w:rPr>
        <w:t xml:space="preserve"> </w:t>
      </w:r>
      <w:r w:rsidR="00A43AE2" w:rsidRPr="008A2C60">
        <w:rPr>
          <w:rFonts w:ascii="Book Antiqua" w:hAnsi="Book Antiqua"/>
        </w:rPr>
        <w:t>Additionally</w:t>
      </w:r>
      <w:r w:rsidR="00C0371C" w:rsidRPr="008A2C60">
        <w:rPr>
          <w:rFonts w:ascii="Book Antiqua" w:hAnsi="Book Antiqua"/>
        </w:rPr>
        <w:t xml:space="preserve">, </w:t>
      </w:r>
      <w:r w:rsidR="00A43AE2" w:rsidRPr="008A2C60">
        <w:rPr>
          <w:rFonts w:ascii="Book Antiqua" w:hAnsi="Book Antiqua"/>
        </w:rPr>
        <w:t>most</w:t>
      </w:r>
      <w:r w:rsidR="00C0371C" w:rsidRPr="008A2C60">
        <w:rPr>
          <w:rFonts w:ascii="Book Antiqua" w:hAnsi="Book Antiqua"/>
        </w:rPr>
        <w:t xml:space="preserve"> of the studies were retrospective</w:t>
      </w:r>
      <w:r w:rsidR="00474519" w:rsidRPr="008A2C60">
        <w:rPr>
          <w:rFonts w:ascii="Book Antiqua" w:hAnsi="Book Antiqua"/>
        </w:rPr>
        <w:t xml:space="preserve"> </w:t>
      </w:r>
      <w:r w:rsidR="00AD4530" w:rsidRPr="008A2C60">
        <w:rPr>
          <w:rFonts w:ascii="Book Antiqua" w:hAnsi="Book Antiqua"/>
        </w:rPr>
        <w:t xml:space="preserve">observational studies </w:t>
      </w:r>
      <w:r w:rsidR="00125909" w:rsidRPr="008A2C60">
        <w:rPr>
          <w:rFonts w:ascii="Book Antiqua" w:hAnsi="Book Antiqua"/>
        </w:rPr>
        <w:t xml:space="preserve">and </w:t>
      </w:r>
      <w:r w:rsidR="00A65BF6" w:rsidRPr="008A2C60">
        <w:rPr>
          <w:rFonts w:ascii="Book Antiqua" w:hAnsi="Book Antiqua"/>
        </w:rPr>
        <w:t>were not designed to study the</w:t>
      </w:r>
      <w:r w:rsidR="00E117BA" w:rsidRPr="008A2C60">
        <w:rPr>
          <w:rFonts w:ascii="Book Antiqua" w:hAnsi="Book Antiqua"/>
        </w:rPr>
        <w:t xml:space="preserve"> </w:t>
      </w:r>
      <w:r w:rsidRPr="008A2C60">
        <w:rPr>
          <w:rFonts w:ascii="Book Antiqua" w:hAnsi="Book Antiqua"/>
        </w:rPr>
        <w:t xml:space="preserve">specific </w:t>
      </w:r>
      <w:r w:rsidR="00E117BA" w:rsidRPr="008A2C60">
        <w:rPr>
          <w:rFonts w:ascii="Book Antiqua" w:hAnsi="Book Antiqua"/>
        </w:rPr>
        <w:t xml:space="preserve">association between </w:t>
      </w:r>
      <w:r w:rsidR="00474519" w:rsidRPr="008A2C60">
        <w:rPr>
          <w:rFonts w:ascii="Book Antiqua" w:hAnsi="Book Antiqua"/>
        </w:rPr>
        <w:t xml:space="preserve">hyperglycemia </w:t>
      </w:r>
      <w:r w:rsidR="00E117BA" w:rsidRPr="008A2C60">
        <w:rPr>
          <w:rFonts w:ascii="Book Antiqua" w:hAnsi="Book Antiqua"/>
        </w:rPr>
        <w:t xml:space="preserve">and </w:t>
      </w:r>
      <w:r w:rsidR="00A43AE2" w:rsidRPr="008A2C60">
        <w:rPr>
          <w:rFonts w:ascii="Book Antiqua" w:hAnsi="Book Antiqua"/>
        </w:rPr>
        <w:t xml:space="preserve">post-LT </w:t>
      </w:r>
      <w:r w:rsidR="00E117BA" w:rsidRPr="008A2C60">
        <w:rPr>
          <w:rFonts w:ascii="Book Antiqua" w:hAnsi="Book Antiqua"/>
        </w:rPr>
        <w:t>outcomes.</w:t>
      </w:r>
      <w:r w:rsidR="00CE3AFE">
        <w:rPr>
          <w:rFonts w:ascii="Book Antiqua" w:hAnsi="Book Antiqua"/>
        </w:rPr>
        <w:t xml:space="preserve"> </w:t>
      </w:r>
      <w:r w:rsidR="002536C3" w:rsidRPr="008A2C60">
        <w:rPr>
          <w:rFonts w:ascii="Book Antiqua" w:hAnsi="Book Antiqua"/>
        </w:rPr>
        <w:t xml:space="preserve">Finally, </w:t>
      </w:r>
      <w:r w:rsidR="00526311" w:rsidRPr="008A2C60">
        <w:rPr>
          <w:rFonts w:ascii="Book Antiqua" w:hAnsi="Book Antiqua"/>
        </w:rPr>
        <w:t>t</w:t>
      </w:r>
      <w:r w:rsidR="002536C3" w:rsidRPr="008A2C60">
        <w:rPr>
          <w:rFonts w:ascii="Book Antiqua" w:hAnsi="Book Antiqua"/>
        </w:rPr>
        <w:t xml:space="preserve">here were some studies that included </w:t>
      </w:r>
      <w:r w:rsidR="00526311" w:rsidRPr="008A2C60">
        <w:rPr>
          <w:rFonts w:ascii="Book Antiqua" w:hAnsi="Book Antiqua"/>
        </w:rPr>
        <w:t xml:space="preserve">a small number of </w:t>
      </w:r>
      <w:r w:rsidR="00D51D47" w:rsidRPr="008A2C60">
        <w:rPr>
          <w:rFonts w:ascii="Book Antiqua" w:hAnsi="Book Antiqua"/>
        </w:rPr>
        <w:t>combined liver-kidney transplant recipients and the results were reported in a composite manner</w:t>
      </w:r>
      <w:r w:rsidR="00A43AE2" w:rsidRPr="008A2C60">
        <w:rPr>
          <w:rFonts w:ascii="Book Antiqua" w:hAnsi="Book Antiqua"/>
        </w:rPr>
        <w:t>, thereby making it difficult to detect LT-specific associations between glucose control and post-LT outcomes</w:t>
      </w:r>
      <w:r w:rsidR="00D51D47" w:rsidRPr="008A2C60">
        <w:rPr>
          <w:rFonts w:ascii="Book Antiqua" w:hAnsi="Book Antiqua"/>
        </w:rPr>
        <w:t>.</w:t>
      </w:r>
      <w:r w:rsidR="00CE3AFE">
        <w:rPr>
          <w:rFonts w:ascii="Book Antiqua" w:hAnsi="Book Antiqua"/>
        </w:rPr>
        <w:t xml:space="preserve"> </w:t>
      </w:r>
    </w:p>
    <w:p w14:paraId="0190C14B" w14:textId="77777777" w:rsidR="006B795E" w:rsidRDefault="00667137" w:rsidP="006B795E">
      <w:pPr>
        <w:spacing w:line="360" w:lineRule="auto"/>
        <w:ind w:firstLineChars="100" w:firstLine="240"/>
        <w:contextualSpacing/>
        <w:jc w:val="both"/>
        <w:rPr>
          <w:rFonts w:ascii="Book Antiqua" w:hAnsi="Book Antiqua"/>
          <w:color w:val="FF0000"/>
          <w:lang w:eastAsia="zh-CN"/>
        </w:rPr>
      </w:pPr>
      <w:r w:rsidRPr="008A2C60">
        <w:rPr>
          <w:rFonts w:ascii="Book Antiqua" w:hAnsi="Book Antiqua"/>
        </w:rPr>
        <w:t xml:space="preserve">In this review, all of the relevant literature regarding glucose control and post-LT outcomes was compiled </w:t>
      </w:r>
      <w:r w:rsidR="005C4D39" w:rsidRPr="008A2C60">
        <w:rPr>
          <w:rFonts w:ascii="Book Antiqua" w:hAnsi="Book Antiqua"/>
        </w:rPr>
        <w:t xml:space="preserve">systematically using an </w:t>
      </w:r>
      <w:r w:rsidR="005C4D39" w:rsidRPr="006B795E">
        <w:rPr>
          <w:rFonts w:ascii="Book Antiqua" w:hAnsi="Book Antiqua"/>
        </w:rPr>
        <w:t>apriori</w:t>
      </w:r>
      <w:r w:rsidR="005C4D39" w:rsidRPr="008A2C60">
        <w:rPr>
          <w:rFonts w:ascii="Book Antiqua" w:hAnsi="Book Antiqua"/>
        </w:rPr>
        <w:t xml:space="preserve"> search </w:t>
      </w:r>
      <w:r w:rsidR="009A2063" w:rsidRPr="008A2C60">
        <w:rPr>
          <w:rFonts w:ascii="Book Antiqua" w:hAnsi="Book Antiqua"/>
        </w:rPr>
        <w:t>strategy of the major medical literature databases.</w:t>
      </w:r>
      <w:r w:rsidR="00CE3AFE">
        <w:rPr>
          <w:rFonts w:ascii="Book Antiqua" w:hAnsi="Book Antiqua"/>
        </w:rPr>
        <w:t xml:space="preserve"> </w:t>
      </w:r>
      <w:r w:rsidR="009A2063" w:rsidRPr="008A2C60">
        <w:rPr>
          <w:rFonts w:ascii="Book Antiqua" w:hAnsi="Book Antiqua"/>
        </w:rPr>
        <w:t xml:space="preserve">The data were compiled in a qualitative, descriptive manner due to the heterogeneity among research strategies and outcomes that exist in published literature </w:t>
      </w:r>
    </w:p>
    <w:p w14:paraId="3756FEE4" w14:textId="4E62024F" w:rsidR="00E117BA" w:rsidRPr="006B795E" w:rsidRDefault="00667137" w:rsidP="006B795E">
      <w:pPr>
        <w:spacing w:line="360" w:lineRule="auto"/>
        <w:ind w:firstLineChars="100" w:firstLine="240"/>
        <w:contextualSpacing/>
        <w:jc w:val="both"/>
        <w:rPr>
          <w:rFonts w:ascii="Book Antiqua" w:hAnsi="Book Antiqua"/>
          <w:color w:val="FF0000"/>
        </w:rPr>
      </w:pPr>
      <w:r w:rsidRPr="008A2C60">
        <w:rPr>
          <w:rFonts w:ascii="Book Antiqua" w:hAnsi="Book Antiqua"/>
        </w:rPr>
        <w:t xml:space="preserve">The conclusions from this review have </w:t>
      </w:r>
      <w:r w:rsidR="00EF5038" w:rsidRPr="008A2C60">
        <w:rPr>
          <w:rFonts w:ascii="Book Antiqua" w:hAnsi="Book Antiqua"/>
        </w:rPr>
        <w:t xml:space="preserve">robust </w:t>
      </w:r>
      <w:r w:rsidRPr="008A2C60">
        <w:rPr>
          <w:rFonts w:ascii="Book Antiqua" w:hAnsi="Book Antiqua"/>
        </w:rPr>
        <w:t>implications for clinical practice. It is imperative to monitor glucose control pre- and post-LT.</w:t>
      </w:r>
      <w:r w:rsidR="00CE3AFE">
        <w:rPr>
          <w:rFonts w:ascii="Book Antiqua" w:hAnsi="Book Antiqua"/>
        </w:rPr>
        <w:t xml:space="preserve"> </w:t>
      </w:r>
      <w:r w:rsidR="00F005BC" w:rsidRPr="008A2C60">
        <w:rPr>
          <w:rFonts w:ascii="Book Antiqua" w:hAnsi="Book Antiqua"/>
        </w:rPr>
        <w:t>Along with hyperglycemia, i</w:t>
      </w:r>
      <w:r w:rsidR="00E117BA" w:rsidRPr="008A2C60">
        <w:rPr>
          <w:rFonts w:ascii="Book Antiqua" w:hAnsi="Book Antiqua"/>
        </w:rPr>
        <w:t xml:space="preserve">t is also important to consider complications associated with strict glycemic control such as hypoglycemia and high insulin burden when deciding specific BG </w:t>
      </w:r>
      <w:r w:rsidR="00C40C6D" w:rsidRPr="008A2C60">
        <w:rPr>
          <w:rFonts w:ascii="Book Antiqua" w:hAnsi="Book Antiqua"/>
        </w:rPr>
        <w:t>levels to target.</w:t>
      </w:r>
      <w:r w:rsidR="00CE3AFE">
        <w:rPr>
          <w:rFonts w:ascii="Book Antiqua" w:hAnsi="Book Antiqua"/>
        </w:rPr>
        <w:t xml:space="preserve"> </w:t>
      </w:r>
      <w:r w:rsidR="00C40C6D" w:rsidRPr="008A2C60">
        <w:rPr>
          <w:rFonts w:ascii="Book Antiqua" w:hAnsi="Book Antiqua"/>
        </w:rPr>
        <w:t xml:space="preserve">Welsh </w:t>
      </w:r>
      <w:r w:rsidR="00EE3848" w:rsidRPr="00EE3848">
        <w:rPr>
          <w:rFonts w:ascii="Book Antiqua" w:hAnsi="Book Antiqua"/>
          <w:i/>
        </w:rPr>
        <w:t>et al</w:t>
      </w:r>
      <w:r w:rsidR="00944790" w:rsidRPr="008A2C60">
        <w:rPr>
          <w:rFonts w:ascii="Book Antiqua" w:hAnsi="Book Antiqua"/>
        </w:rPr>
        <w:fldChar w:fldCharType="begin" w:fldLock="1"/>
      </w:r>
      <w:r w:rsidR="00944790" w:rsidRPr="008A2C60">
        <w:rPr>
          <w:rFonts w:ascii="Book Antiqua" w:hAnsi="Book Antiqua"/>
        </w:rPr>
        <w:instrText>ADDIN CSL_CITATION { "citationItems" : [ { "id" : "ITEM-1", "itemData" : { "DOI" : "10.4158/EP151166.OR", "ISSN" : "1530-891X", "PMID" : "27124695", "abstract" : "OBJECTIVE Inpatient hypoglycemia (glucose \u226470 mg/dL) is a limitation of intensive control with insulin. Causes of hypoglycemia were evaluated in a randomized controlled trial examining intensive glycemic control (IG, target 140 mg/dL) versus moderate glycemic control (MG, target 180 mg/dL) on post-liver transplant outcomes. METHODS Hypoglycemic episodes were reviewed by a multidisciplinary team to calculate and identify contributing pathophysiologic and operational factors. A subsequent subgroup case control (1:1) analysis (with/without) hypoglycemia was completed to further delineate factors. A total of 164 participants were enrolled, and 155 patients were examined in depth. RESULTS Overall, insulin-related hypoglycemia was experienced in 24 of 82 patients in IG (episodes: 20 drip, 36 subcutaneous [SQ]) and 4 of 82 in MG (episodes: 2 drip, 2 SQ). Most episodes occurred at night (41 of 60), with high insulin amounts (44 of 60), and during a protocol deviation (51 of 60). Compared to those without hypoglycemia (n = 127 vs. n = 28), hypoglycemic patients had significantly longer hospital stays (13.6 \u00b1 12.6 days vs. 7.4 \u00b1 6.1 days; P = .002), higher peak insulin drip rates (17.4 \u00b1 10.3 U/h vs. 13.1 \u00b1 9.9 U/h; P = .044), and higher peak insulin glargine doses (36.8 \u00b1 21.4 U vs. 26.2 \u00b1 24.3 U; P = .035). In the case-matched analysis (24 cases, 24 controls), those with insulin-related hypoglycemia had higher median peak insulin drip rates (17 U/h vs. 11 U/h; P = .04) and protocol deviations (92% vs. 50%; P = .004). CONCLUSION Peak insulin requirements and protocol deviations were correlated with hypoglycemia. ABBREVIATIONS DM = diabetes mellitus ICU = intensive care unit IG = intensive glycemic control MELD = Model for End-stage Liver Disease MG = moderate glycemic control SQ = subcutaneous.", "author" : [ { "dropping-particle" : "", "family" : "Welsh", "given" : "Nicholas", "non-dropping-particle" : "", "parse-names" : false, "suffix" : "" }, { "dropping-particle" : "", "family" : "Derby", "given" : "Teresa", "non-dropping-particle" : "", "parse-names" : false, "suffix" : "" }, { "dropping-particle" : "", "family" : "Gupta", "given" : "Suruchi", "non-dropping-particle" : "", "parse-names" : false, "suffix" : "" }, { "dropping-particle" : "", "family" : "Fulkerson", "given" : "Candice", "non-dropping-particle" : "", "parse-names" : false, "suffix" : "" }, { "dropping-particle" : "", "family" : "Oakes", "given" : "Diana Johnson", "non-dropping-particle" : "", "parse-names" : false, "suffix" : "" }, { "dropping-particle" : "", "family" : "Schmidt", "given" : "Kathleen", "non-dropping-particle" : "", "parse-names" : false, "suffix" : "" }, { "dropping-particle" : "", "family" : "Parikh", "given" : "Neehar D", "non-dropping-particle" : "", "parse-names" : false, "suffix" : "" }, { "dropping-particle" : "", "family" : "Norvell", "given" : "J P", "non-dropping-particle" : "", "parse-names" : false, "suffix" : "" }, { "dropping-particle" : "", "family" : "Levitsky", "given" : "Josh", "non-dropping-particle" : "", "parse-names" : false, "suffix" : "" }, { "dropping-particle" : "", "family" : "Rademaker", "given" : "Alfred", "non-dropping-particle" : "", "parse-names" : false, "suffix" : "" }, { "dropping-particle" : "", "family" : "Molitch", "given" : "Mark E", "non-dropping-particle" : "", "parse-names" : false, "suffix" : "" }, { "dropping-particle" : "", "family" : "Wallia", "given" : "Amisha", "non-dropping-particle" : "", "parse-names" : false, "suffix" : "" } ], "container-title" : "Endocrine practice : official journal of the American College of Endocrinology and the American Association of Clinical Endocrinologists", "id" : "ITEM-1", "issue" : "9", "issued" : { "date-parts" : [ [ "2016" ] ] }, "page" : "1040-7", "title" : "Inpatient Hypoglycemic Events in a Comparative Effectiveness Trial for Glycemic Control in a High-Risk Population.", "type" : "article-journal", "volume" : "22" }, "uris" : [ "http://www.mendeley.com/documents/?uuid=f9d97e1f-c500-4c7e-b40e-fe485f5aabf6" ] } ], "mendeley" : { "formattedCitation" : "&lt;sup&gt;[28]&lt;/sup&gt;", "plainTextFormattedCitation" : "[28]", "previouslyFormattedCitation" : "&lt;sup&gt;[28]&lt;/sup&gt;" }, "properties" : {  }, "schema" : "https://github.com/citation-style-language/schema/raw/master/csl-citation.json" }</w:instrText>
      </w:r>
      <w:r w:rsidR="00944790" w:rsidRPr="008A2C60">
        <w:rPr>
          <w:rFonts w:ascii="Book Antiqua" w:hAnsi="Book Antiqua"/>
        </w:rPr>
        <w:fldChar w:fldCharType="separate"/>
      </w:r>
      <w:r w:rsidR="00944790" w:rsidRPr="008A2C60">
        <w:rPr>
          <w:rFonts w:ascii="Book Antiqua" w:hAnsi="Book Antiqua"/>
          <w:noProof/>
          <w:vertAlign w:val="superscript"/>
        </w:rPr>
        <w:t>[28]</w:t>
      </w:r>
      <w:r w:rsidR="00944790" w:rsidRPr="008A2C60">
        <w:rPr>
          <w:rFonts w:ascii="Book Antiqua" w:hAnsi="Book Antiqua"/>
        </w:rPr>
        <w:fldChar w:fldCharType="end"/>
      </w:r>
      <w:r w:rsidR="00E117BA" w:rsidRPr="008A2C60">
        <w:rPr>
          <w:rFonts w:ascii="Book Antiqua" w:hAnsi="Book Antiqua"/>
        </w:rPr>
        <w:t xml:space="preserve"> demonstrated </w:t>
      </w:r>
      <w:r w:rsidR="00131561" w:rsidRPr="008A2C60">
        <w:rPr>
          <w:rFonts w:ascii="Book Antiqua" w:hAnsi="Book Antiqua"/>
        </w:rPr>
        <w:t xml:space="preserve">the </w:t>
      </w:r>
      <w:r w:rsidR="00E117BA" w:rsidRPr="008A2C60">
        <w:rPr>
          <w:rFonts w:ascii="Book Antiqua" w:hAnsi="Book Antiqua"/>
        </w:rPr>
        <w:t xml:space="preserve">impact of hypoglycemia (defined as glucose </w:t>
      </w:r>
      <w:r w:rsidR="00FF455F" w:rsidRPr="00FF455F">
        <w:rPr>
          <w:rFonts w:ascii="Book Antiqua" w:hAnsi="Book Antiqua"/>
        </w:rPr>
        <w:t>≤</w:t>
      </w:r>
      <w:r w:rsidR="00E117BA" w:rsidRPr="008A2C60">
        <w:rPr>
          <w:rFonts w:ascii="Book Antiqua" w:hAnsi="Book Antiqua"/>
        </w:rPr>
        <w:t xml:space="preserve"> 70 mg/dL) pertaining to intensive and moderate glycemic control in post-</w:t>
      </w:r>
      <w:r w:rsidR="00B46CB9" w:rsidRPr="008A2C60">
        <w:rPr>
          <w:rFonts w:ascii="Book Antiqua" w:hAnsi="Book Antiqua"/>
        </w:rPr>
        <w:t>LT</w:t>
      </w:r>
      <w:r w:rsidR="00E117BA" w:rsidRPr="008A2C60">
        <w:rPr>
          <w:rFonts w:ascii="Book Antiqua" w:hAnsi="Book Antiqua"/>
        </w:rPr>
        <w:t xml:space="preserve"> patients.</w:t>
      </w:r>
      <w:r w:rsidR="00CE3AFE">
        <w:rPr>
          <w:rFonts w:ascii="Book Antiqua" w:hAnsi="Book Antiqua"/>
        </w:rPr>
        <w:t xml:space="preserve"> </w:t>
      </w:r>
      <w:r w:rsidR="00E117BA" w:rsidRPr="008A2C60">
        <w:rPr>
          <w:rFonts w:ascii="Book Antiqua" w:hAnsi="Book Antiqua"/>
        </w:rPr>
        <w:t>There were a higher number of hypoglycemic patients in the intensive group and these hypoglycemic patients had significantly higher peak insulin drip rates, higher peak insulin glargine, and more importantly had significantly longer hospital stay</w:t>
      </w:r>
      <w:r w:rsidR="001371C3" w:rsidRPr="008A2C60">
        <w:rPr>
          <w:rFonts w:ascii="Book Antiqua" w:hAnsi="Book Antiqua"/>
        </w:rPr>
        <w:t>.</w:t>
      </w:r>
      <w:r w:rsidR="00CE3AFE">
        <w:rPr>
          <w:rFonts w:ascii="Book Antiqua" w:hAnsi="Book Antiqua"/>
        </w:rPr>
        <w:t xml:space="preserve"> </w:t>
      </w:r>
      <w:r w:rsidR="00E117BA" w:rsidRPr="008A2C60">
        <w:rPr>
          <w:rFonts w:ascii="Book Antiqua" w:hAnsi="Book Antiqua"/>
        </w:rPr>
        <w:t xml:space="preserve">Therefore, it is crucial to target perioperative BG levels within a range that would limit </w:t>
      </w:r>
      <w:r w:rsidR="00E117BA" w:rsidRPr="008A2C60">
        <w:rPr>
          <w:rFonts w:ascii="Book Antiqua" w:hAnsi="Book Antiqua"/>
        </w:rPr>
        <w:lastRenderedPageBreak/>
        <w:t>complications associated with both hyper- and hypoglycemia.</w:t>
      </w:r>
      <w:r w:rsidR="00CE3AFE">
        <w:rPr>
          <w:rFonts w:ascii="Book Antiqua" w:hAnsi="Book Antiqua"/>
        </w:rPr>
        <w:t xml:space="preserve"> </w:t>
      </w:r>
      <w:r w:rsidR="00A13C27" w:rsidRPr="008A2C60">
        <w:rPr>
          <w:rFonts w:ascii="Book Antiqua" w:hAnsi="Book Antiqua"/>
        </w:rPr>
        <w:t xml:space="preserve">A reasonable target, based on our findings </w:t>
      </w:r>
      <w:r w:rsidR="00131561" w:rsidRPr="008A2C60">
        <w:rPr>
          <w:rFonts w:ascii="Book Antiqua" w:hAnsi="Book Antiqua"/>
        </w:rPr>
        <w:t xml:space="preserve">would be </w:t>
      </w:r>
      <w:r w:rsidR="00A13C27" w:rsidRPr="008A2C60">
        <w:rPr>
          <w:rFonts w:ascii="Book Antiqua" w:hAnsi="Book Antiqua"/>
        </w:rPr>
        <w:t>a</w:t>
      </w:r>
      <w:r w:rsidR="00131561" w:rsidRPr="008A2C60">
        <w:rPr>
          <w:rFonts w:ascii="Book Antiqua" w:hAnsi="Book Antiqua"/>
        </w:rPr>
        <w:t xml:space="preserve"> range between 120 mg/dL to 150 mg/dL, given that </w:t>
      </w:r>
      <w:r w:rsidR="00A13C27" w:rsidRPr="008A2C60">
        <w:rPr>
          <w:rFonts w:ascii="Book Antiqua" w:hAnsi="Book Antiqua"/>
        </w:rPr>
        <w:t xml:space="preserve">BG </w:t>
      </w:r>
      <w:r w:rsidR="00C10193" w:rsidRPr="00C26D7B">
        <w:rPr>
          <w:rFonts w:ascii="Book Antiqua" w:hAnsi="Book Antiqua"/>
        </w:rPr>
        <w:t>≥</w:t>
      </w:r>
      <w:r w:rsidR="00A13C27" w:rsidRPr="008A2C60">
        <w:rPr>
          <w:rFonts w:ascii="Book Antiqua" w:hAnsi="Book Antiqua"/>
        </w:rPr>
        <w:t xml:space="preserve"> 150 mg/dL </w:t>
      </w:r>
      <w:r w:rsidR="00131561" w:rsidRPr="008A2C60">
        <w:rPr>
          <w:rFonts w:ascii="Book Antiqua" w:hAnsi="Book Antiqua"/>
        </w:rPr>
        <w:t>were associated with</w:t>
      </w:r>
      <w:r w:rsidR="00A13C27" w:rsidRPr="008A2C60">
        <w:rPr>
          <w:rFonts w:ascii="Book Antiqua" w:hAnsi="Book Antiqua"/>
        </w:rPr>
        <w:t xml:space="preserve"> negative post-LT outcomes.</w:t>
      </w:r>
      <w:r w:rsidR="009A2063" w:rsidRPr="008A2C60">
        <w:rPr>
          <w:rFonts w:ascii="Book Antiqua" w:hAnsi="Book Antiqua"/>
        </w:rPr>
        <w:t xml:space="preserve"> </w:t>
      </w:r>
      <w:r w:rsidR="00900D17" w:rsidRPr="008A2C60">
        <w:rPr>
          <w:rFonts w:ascii="Book Antiqua" w:hAnsi="Book Antiqua"/>
        </w:rPr>
        <w:t xml:space="preserve">In addition, </w:t>
      </w:r>
      <w:r w:rsidR="00C9193B" w:rsidRPr="008A2C60">
        <w:rPr>
          <w:rFonts w:ascii="Book Antiqua" w:hAnsi="Book Antiqua"/>
        </w:rPr>
        <w:t>i</w:t>
      </w:r>
      <w:r w:rsidR="00900D17" w:rsidRPr="008A2C60">
        <w:rPr>
          <w:rFonts w:ascii="Book Antiqua" w:hAnsi="Book Antiqua"/>
        </w:rPr>
        <w:t xml:space="preserve">nterventions through nurse-initiated glucose management protocols to achieve specific target BG levels, early screening to identify patients at high-risk for PTDM, and use of </w:t>
      </w:r>
      <w:r w:rsidR="00161872" w:rsidRPr="008A2C60">
        <w:rPr>
          <w:rFonts w:ascii="Book Antiqua" w:hAnsi="Book Antiqua"/>
        </w:rPr>
        <w:t xml:space="preserve">oral agents </w:t>
      </w:r>
      <w:r w:rsidR="00900D17" w:rsidRPr="008A2C60">
        <w:rPr>
          <w:rFonts w:ascii="Book Antiqua" w:hAnsi="Book Antiqua"/>
        </w:rPr>
        <w:t>for management of PTDM seem to be a promising approach</w:t>
      </w:r>
      <w:r w:rsidR="00D354CD" w:rsidRPr="008A2C60">
        <w:rPr>
          <w:rFonts w:ascii="Book Antiqua" w:hAnsi="Book Antiqua"/>
        </w:rPr>
        <w:t>es</w:t>
      </w:r>
      <w:r w:rsidR="00900D17" w:rsidRPr="008A2C60">
        <w:rPr>
          <w:rFonts w:ascii="Book Antiqua" w:hAnsi="Book Antiqua"/>
        </w:rPr>
        <w:t xml:space="preserve"> to minimize post-LT outcomes</w:t>
      </w:r>
      <w:r w:rsidR="001B3DF0"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"10.1097/TP.0000000000001399 [doi]", "ISBN" : "0000000000", "ISSN" : "1534-6080; 0041-1337", "abstract" : "BACKGROUND: Diabetes mellitus is a chronic illness with great impact on long-term outcome after liver transplantation (LT). Despite this, the current level of glycemic control and quality of screening strategies for diabetes-associated conditions that are being provided to liver transplant recipients with diabetes have not yet been assessed. METHODS: We performed a cross-sectional, multicenter study that included 344 liver transplant recipients and examined the level of glycemic control and its associated factors, as well as the quality of screening strategies for diabetes-associated conditions. RESULTS: Seventy-five patients (21.8%) suffered from diabetes before transplantation, and 82 (23.8%) developed diabetes mellitus after transplantation. Adequate glycemic control (HbA1c &lt; 7%) was achieved in 66.7% of the patients. Forty-eight percent of patients underwent regular screening for retinopathy, 47.1% for nephropathy, 4.5% for neuropathy, and 5.7% for foot ulcers. Diabetes was associated with higher frequency of cardiovascular disease and dyslipidemia both before and after LT. Multivariate analysis revealed association between poor glycemic control and arterial hypertension, presence of diabetes before transplantation, elevated GGT, and insulin use. CONCLUSIONS: Glycemic control was inadequate in 33.3% of LT recipients with diabetes, and screening protocols for diabetes-associated conditions did not meet the standards for medical care set by the American Diabetes Association in any of the participating centers. Consequently, this study reveals a clear deficiency in the quality of diabetes care provided to patients after LT and, hence, we predict that future progress in this area will have a significant impact on medium-term to long-term outcome of these patients.", "author" : [ { "dropping-particle" : "", "family" : "Alvarez-Sotomayor", "given" : "D", "non-dropping-particle" : "", "parse-names" : false, "suffix" : "" }, { "dropping-particle" : "", "family" : "Satorres", "given" : "C", "non-dropping-particle" : "", "parse-names" : false, "suffix" : "" }, { "dropping-particle" : "", "family" : "Rodriguez-Medina", "given" : "B", "non-dropping-particle" : "", "parse-names" : false, "suffix" : "" }, { "dropping-particle" : "", "family" : "Herrero", "given" : "I", "non-dropping-particle" : "", "parse-names" : false, "suffix" : "" }, { "dropping-particle" : "", "family" : "la Mata", "given" : "M", "non-dropping-particle" : "de", "parse-names" : false, "suffix" : "" }, { "dropping-particle" : "", "family" : "Serrano", "given" : "T", "non-dropping-particle" : "", "parse-names" : false, "suffix" : "" }, { "dropping-particle" : "", "family" : "Rodriguez-Peralvarez", "given" : "M", "non-dropping-particle" : "", "parse-names" : false, "suffix" : "" }, { "dropping-particle" : "", "family" : "D'Avola", "given" : "D", "non-dropping-particle" : "", "parse-names" : false, "suffix" : "" }, { "dropping-particle" : "", "family" : "Lorente", "given" : "S", "non-dropping-particle" : "", "parse-names" : false, "suffix" : "" }, { "dropping-particle" : "", "family" : "Rubin", "given" : "A", "non-dropping-particle" : "", "parse-names" : false, "suffix" : "" }, { "dropping-particle" : "", "family" : "Berenguer", "given" : "M", "non-dropping-particle" : "", "parse-names" : false, "suffix" : "" } ], "container-title" : "Transplantation", "id" : "ITEM-1", "issue" : "10", "issued" : { "date-parts" : [ [ "2016" ] ] }, "page" : "e66-e73", "title" : "Controlling Diabetes After Liver Transplantation: Room for Improvement", "type" : "article-journal", "volume" : "100" }, "uris" : [ "http://www.mendeley.com/documents/?uuid=6a251544-e027-49f9-86fa-75c85e6ee2ad" ] }, { "id" : "ITEM-2", "itemData" : { "DOI" : "10.1016/j.transproceed.2010.05.156", "ISBN" : "1873-2623 (Electronic)\\r0041-1345 (Linking)", "ISSN" : "00411345", "PMID" : "20832556", "abstract" : "There is a paucity of data regarding the safety and utility of strict glycemic control in patients undergoing orthotopic liver transplantation (OLT). Although control of hyperglycemia may theoretically be beneficial, concerns exist regarding the effect of iatrogenic hypoglycemia on graft function. We performed a retrospective observational study evaluating the impact of the introduction of a nurse-initiated glycemic control protocol on OLT recipients cared for in a single intensive care unit (ICU). The medical records of 84 OLT recipients in 2003 (Preprotocol group) and 77 recipients in 2007 (Protocol group) were reviewed. Data regarding demographics, medical history, physiology, perioperative anesthesia and surgical events, ICU stay, graft function, and mortality were abstracted. Glucose values on admission to ICU, at 2, 6, 12, 18, and 24 hours after surgery, and at 4 am on the morning after OLT were recorded. Patients in the Protocol group achieved better and faster glycemic control. The odds ratio for severe hyperglycemia (glucose &gt;250 mg/dL) in the Protocol group was 0.16 (95% confidence interval, 0.090.28). Hypoglycemia was not observed. The 1-year mortality was 5.3% in the Preprotocol and 6.0% in the Protocol group (P = .86). The rate of graft loss was low, and there was no difference in the incidence of graft failure between the Preprotocol and Protocol groups. We conclude that nurse-initiated and -directed glycemic control protocols can be safely and effectively used in the early period after OLT, though we did not identify a beneficial effect on graft function. ?? 2010 by Elsevier Inc. All rights reserved.", "author" : [ { "dropping-particle" : "", "family" : "Keegan", "given" : "M. T.", "non-dropping-particle" : "", "parse-names" : false, "suffix" : "" }, { "dropping-particle" : "", "family" : "Vrchota", "given" : "J. M.", "non-dropping-particle" : "", "parse-names" : false, "suffix" : "" }, { "dropping-particle" : "", "family" : "Haala", "given" : "P. M.", "non-dropping-particle" : "", "parse-names" : false, "suffix" : "" }, { "dropping-particle" : "V.", "family" : "Timm", "given" : "J.", "non-dropping-particle" : "", "parse-names" : false, "suffix" : "" } ], "container-title" : "Transplantation Proceedings", "id" : "ITEM-2", "issue" : "7", "issued" : { "date-parts" : [ [ "2010" ] ] }, "page" : "2617-2624", "publisher" : "Elsevier Inc.", "title" : "Safety and effectiveness of intensive insulin protocol use in post-operative liver transplant recipients", "type" : "article-journal", "volume" : "42" }, "uris" : [ "http://www.mendeley.com/documents/?uuid=f2050c13-2ec3-4780-995a-6d783e41ef52" ] }, { "id" : "ITEM-3", "itemData" : { "DOI" : "10.1097/01.tp.0000181165.19788.95", "ISSN" : "0041-1337", "PMID" : "16340782", "abstract" : "BACKGROUND: The new onset of posttransplant diabetes mellitus (PTDM) is a common problem after solid organ transplantation. Because insulin resistance plays a significant role in the development of PTDM, we treated 40 consecutive patients with PTDM after liver and kidney transplantation with the insulin sensitizer rosiglitazone (ROSI). METHODS: Thirty-three of 40 patients with PTDM were initially stabilized with twice-daily NPH and regular insulin. All patients subsequently began ROSI 4 mg per day. Patients were followed for a mean of 26 weeks and insulin was adjusted using home blood glucose data and hemoglobin A1C (HBA1C). RESULTS: During 12 months of study, 32/107 liver transplant patients (30%) and 8/205 kidney transplant patients (4%) patients developed PTDM. After 3-4 months of insulin and ROSI therapy, insulin was able to be discontinued in 30/33 (91%) patients with PTDM. In all, 12/40 (30%) patients maintained normal HBA1C levels (5.6+/-0.8%) with ROSI monotherapy, whereas 25/40 (63%) required ROSI and a sulfonylurea to meet this goal. Three of 40 (7.5%) had persistent insulin dependence. 25/40 (63%) continued on 4 mg/day of ROSI, and 15/40 (37%) required an increase to 8 mg/day. Mild edema developed in 13% of patients; significant weight gain did not occur. CONCLUSIONS: Rosiglitazone is the first highly effective oral agent for PTDM. The majority of patients with PTDM may be safely treated with ROSI +/- a sulfonylurea. After the expected 3-6 week delay in the onset of ROSI action, most patients with PTDM will no longer require long-term insulin therapy.", "author" : [ { "dropping-particle" : "", "family" : "Villanueva", "given" : "Griselda", "non-dropping-particle" : "", "parse-names" : false, "suffix" : "" }, { "dropping-particle" : "", "family" : "Baldwin", "given" : "David", "non-dropping-particle" : "", "parse-names" : false, "suffix" : "" } ], "container-title" : "Transplantation", "id" : "ITEM-3", "issue" : "10", "issued" : { "date-parts" : [ [ "2005" ] ] }, "page" : "1402-1405", "title" : "Rosiglitazone therapy of posttransplant diabetes mellitus.", "type" : "article-journal", "volume" : "80" }, "uris" : [ "http://www.mendeley.com/documents/?uuid=b0a49420-9900-4f86-8422-dd865a7be405" ] } ], "mendeley" : { "formattedCitation" : "&lt;sup&gt;[17,22,24]&lt;/sup&gt;", "plainTextFormattedCitation" : "[17,22,24]", "previouslyFormattedCitation" : "&lt;sup&gt;[17,22,24]&lt;/sup&gt;" }, "properties" : {  }, "schema" : "https://github.com/citation-style-language/schema/raw/master/csl-citation.json" }</w:instrText>
      </w:r>
      <w:r w:rsidR="001B3DF0" w:rsidRPr="008A2C60">
        <w:rPr>
          <w:rFonts w:ascii="Book Antiqua" w:hAnsi="Book Antiqua"/>
        </w:rPr>
        <w:fldChar w:fldCharType="separate"/>
      </w:r>
      <w:r w:rsidR="00131F28" w:rsidRPr="008A2C60">
        <w:rPr>
          <w:rFonts w:ascii="Book Antiqua" w:hAnsi="Book Antiqua"/>
          <w:noProof/>
          <w:vertAlign w:val="superscript"/>
        </w:rPr>
        <w:t>[17,22,24]</w:t>
      </w:r>
      <w:r w:rsidR="001B3DF0" w:rsidRPr="008A2C60">
        <w:rPr>
          <w:rFonts w:ascii="Book Antiqua" w:hAnsi="Book Antiqua"/>
        </w:rPr>
        <w:fldChar w:fldCharType="end"/>
      </w:r>
      <w:r w:rsidR="00AC3882" w:rsidRPr="008A2C60">
        <w:rPr>
          <w:rFonts w:ascii="Book Antiqua" w:hAnsi="Book Antiqua"/>
        </w:rPr>
        <w:t>.</w:t>
      </w:r>
      <w:r w:rsidR="00CE3AFE">
        <w:rPr>
          <w:rFonts w:ascii="Book Antiqua" w:hAnsi="Book Antiqua"/>
        </w:rPr>
        <w:t xml:space="preserve"> </w:t>
      </w:r>
      <w:r w:rsidR="00134452" w:rsidRPr="008A2C60">
        <w:rPr>
          <w:rFonts w:ascii="Book Antiqua" w:hAnsi="Book Antiqua"/>
        </w:rPr>
        <w:t>Although not discussed extensively in this review</w:t>
      </w:r>
      <w:r w:rsidR="00D354CD" w:rsidRPr="008A2C60">
        <w:rPr>
          <w:rFonts w:ascii="Book Antiqua" w:hAnsi="Book Antiqua"/>
        </w:rPr>
        <w:t xml:space="preserve">, optimizing immunosuppression regimens </w:t>
      </w:r>
      <w:r w:rsidR="00134452" w:rsidRPr="008A2C60">
        <w:rPr>
          <w:rFonts w:ascii="Book Antiqua" w:hAnsi="Book Antiqua"/>
        </w:rPr>
        <w:t>may also play</w:t>
      </w:r>
      <w:r w:rsidR="00D354CD" w:rsidRPr="008A2C60">
        <w:rPr>
          <w:rFonts w:ascii="Book Antiqua" w:hAnsi="Book Antiqua"/>
        </w:rPr>
        <w:t xml:space="preserve"> an important </w:t>
      </w:r>
      <w:r w:rsidR="00134452" w:rsidRPr="008A2C60">
        <w:rPr>
          <w:rFonts w:ascii="Book Antiqua" w:hAnsi="Book Antiqua"/>
        </w:rPr>
        <w:t xml:space="preserve">role as noted by the potential association between </w:t>
      </w:r>
      <w:r w:rsidR="006B795E" w:rsidRPr="008A2C60">
        <w:rPr>
          <w:rFonts w:ascii="Book Antiqua" w:hAnsi="Book Antiqua"/>
        </w:rPr>
        <w:t>ba</w:t>
      </w:r>
      <w:r w:rsidR="00134452" w:rsidRPr="008A2C60">
        <w:rPr>
          <w:rFonts w:ascii="Book Antiqua" w:hAnsi="Book Antiqua"/>
        </w:rPr>
        <w:t>siliximab and pulse steroids with PTDM</w:t>
      </w:r>
      <w:r w:rsidR="001B3DF0"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"10.1177/1060028015627662", "ISSN" : "1060-0280", "author" : [ { "dropping-particle" : "", "family" : "Linder", "given" : "K E", "non-dropping-particle" : "", "parse-names" : false, "suffix" : "" }, { "dropping-particle" : "", "family" : "Baker", "given" : "W L", "non-dropping-particle" : "", "parse-names" : false, "suffix" : "" }, { "dropping-particle" : "", "family" : "Rochon", "given" : "C", "non-dropping-particle" : "", "parse-names" : false, "suffix" : "" }, { "dropping-particle" : "", "family" : "May", "given" : "S T", "non-dropping-particle" : "", "parse-names" : false, "suffix" : "" }, { "dropping-particle" : "", "family" : "Sheiner", "given" : "P A", "non-dropping-particle" : "", "parse-names" : false, "suffix" : "" }, { "dropping-particle" : "", "family" : "Martin", "given" : "S T", "non-dropping-particle" : "", "parse-names" : false, "suffix" : "" } ], "container-title" : "Annals of Pharmacotherapy", "id" : "ITEM-1", "issued" : { "date-parts" : [ [ "2016" ] ] }, "title" : "Evaluation of Posttransplantation Diabetes Mellitus After Liver Transplantation: Assessment of Insulin Administration as a Risk Factor", "type" : "article-journal" }, "uris" : [ "http://www.mendeley.com/documents/?uuid=a904ad99-f4a7-4433-b70a-bd175cdafaf6" ] }, { "id" : "ITEM-2", "itemData" : { "DOI" : "10.1111/liv.12706", "ISBN" : "1478-3231 (Electronic)\\r1478-3223 (Linking)", "ISSN" : "14783231", "PMID" : "25349066", "abstract" : "Background &amp; Aims: We studied new-onset diabetes after transplantation (NODAT) in liver transplantation with grafts donated after brain death (DBD) or circulatory death (DCD), focusing on the early post-transplant period. Methods: A total of 430 non-diabetic primary liver transplant recipients [DCD, n = 90 (21%)] were followed up for 30 months (range 5-69). NODAT was defined as the composite endpoint of one of following: (i) Two non-fasting plasma glucose levels &gt; 11.1 mmol/L \u2265 30 days apart, (ii) oral hypoglycaemic drugs \u2265 30 days consecutively (iii) insulin therapy \u2265 30 days and (iv) HbA1c \u2265 48 mmol/L. Resolution of NODAT was defined as cessation of treatment or hyperglycaemia. Results: Total of 81/430 (19%) patients developed NODAT. Incidence and resolution of NODAT over time showed significantly different patterns between DCD and DBD liver graft recipients; early occurrence, high peak incidence and early resolution were seen in DCD. In multivariate logistic regression including age, ethnicity, HCV, tacrolimus level and pulsed steroids, only DCD was independently associated with NODAT at day 15 post-transplant (OR 6.5, 95% CI 2.3-18.4, P &lt; 0.001), whereas age and pulsed steroids were significant factors between 30-90 days. Combined in multivariate Cox regression model for NODAT-free survival, graft type, age and pulsed steroids were each independent predictor for decreased NODAT-free survival in the first 90-postoperative days. Conclusion: Early peak of NODAT in DCD graft recipients is a novel finding, occurring independently from known risk factors. Donor warm ischaemia and impact on insulin sensitivity should be further studied and could perhaps be associated with graft function.", "author" : [ { "dropping-particle" : "", "family" : "Hartog", "given" : "Hermien", "non-dropping-particle" : "", "parse-names" : false, "suffix" : "" }, { "dropping-particle" : "", "family" : "May", "given" : "Christine J H", "non-dropping-particle" : "", "parse-names" : false, "suffix" : "" }, { "dropping-particle" : "", "family" : "Corbett", "given" : "Chris", "non-dropping-particle" : "", "parse-names" : false, "suffix" : "" }, { "dropping-particle" : "", "family" : "Phillips", "given" : "Angela", "non-dropping-particle" : "", "parse-names" : false, "suffix" : "" }, { "dropping-particle" : "", "family" : "Tomlinson", "given" : "Jeremy W.", "non-dropping-particle" : "", "parse-names" : false, "suffix" : "" }, { "dropping-particle" : "", "family" : "Mergental", "given" : "Hynek", "non-dropping-particle" : "", "parse-names" : false, "suffix" : "" }, { "dropping-particle" : "", "family" : "Isaac", "given" : "John", "non-dropping-particle" : "", "parse-names" : false, "suffix" : "" }, { "dropping-particle" : "", "family" : "Bramhall", "given" : "Simon", "non-dropping-particle" : "", "parse-names" : false, "suffix" : "" }, { "dropping-particle" : "", "family" : "Mirza", "given" : "Darius F.", "non-dropping-particle" : "", "parse-names" : false, "suffix" : "" }, { "dropping-particle" : "", "family" : "Muiesan", "given" : "Paolo", "non-dropping-particle" : "", "parse-names" : false, "suffix" : "" }, { "dropping-particle" : "", "family" : "Perera", "given" : "M. Thamara P R", "non-dropping-particle" : "", "parse-names" : false, "suffix" : "" } ], "container-title" : "Liver International", "id" : "ITEM-2", "issue" : "6", "issued" : { "date-parts" : [ [ "2015" ] ] }, "page" : "1739-1747", "title" : "Early occurrence of new-onset diabetes after transplantation is related to type of liver graft and warm ischaemic injury", "type" : "article-journal", "volume" : "35" }, "uris" : [ "http://www.mendeley.com/documents/?uuid=d84a45b3-dc1a-4dd0-828d-d44661b2accf" ] } ], "mendeley" : { "formattedCitation" : "&lt;sup&gt;[18,23]&lt;/sup&gt;", "plainTextFormattedCitation" : "[18,23]", "previouslyFormattedCitation" : "&lt;sup&gt;[18,23]&lt;/sup&gt;" }, "properties" : {  }, "schema" : "https://github.com/citation-style-language/schema/raw/master/csl-citation.json" }</w:instrText>
      </w:r>
      <w:r w:rsidR="001B3DF0" w:rsidRPr="008A2C60">
        <w:rPr>
          <w:rFonts w:ascii="Book Antiqua" w:hAnsi="Book Antiqua"/>
        </w:rPr>
        <w:fldChar w:fldCharType="separate"/>
      </w:r>
      <w:r w:rsidR="00131F28" w:rsidRPr="008A2C60">
        <w:rPr>
          <w:rFonts w:ascii="Book Antiqua" w:hAnsi="Book Antiqua"/>
          <w:noProof/>
          <w:vertAlign w:val="superscript"/>
        </w:rPr>
        <w:t>[18,23]</w:t>
      </w:r>
      <w:r w:rsidR="001B3DF0" w:rsidRPr="008A2C60">
        <w:rPr>
          <w:rFonts w:ascii="Book Antiqua" w:hAnsi="Book Antiqua"/>
        </w:rPr>
        <w:fldChar w:fldCharType="end"/>
      </w:r>
      <w:r w:rsidR="00AC3882" w:rsidRPr="008A2C60">
        <w:rPr>
          <w:rFonts w:ascii="Book Antiqua" w:hAnsi="Book Antiqua"/>
        </w:rPr>
        <w:t>.</w:t>
      </w:r>
      <w:r w:rsidR="00CE3AFE">
        <w:rPr>
          <w:rFonts w:ascii="Book Antiqua" w:hAnsi="Book Antiqua"/>
        </w:rPr>
        <w:t xml:space="preserve"> </w:t>
      </w:r>
      <w:r w:rsidR="00C507CE" w:rsidRPr="008A2C60">
        <w:rPr>
          <w:rFonts w:ascii="Book Antiqua" w:hAnsi="Book Antiqua"/>
        </w:rPr>
        <w:t xml:space="preserve">Song </w:t>
      </w:r>
      <w:r w:rsidR="00EE3848" w:rsidRPr="00EE3848">
        <w:rPr>
          <w:rFonts w:ascii="Book Antiqua" w:hAnsi="Book Antiqua"/>
          <w:i/>
        </w:rPr>
        <w:t>et al</w:t>
      </w:r>
      <w:r w:rsidR="006B795E" w:rsidRPr="008A2C60">
        <w:rPr>
          <w:rFonts w:ascii="Book Antiqua" w:hAnsi="Book Antiqua"/>
        </w:rPr>
        <w:fldChar w:fldCharType="begin" w:fldLock="1"/>
      </w:r>
      <w:r w:rsidR="006B795E" w:rsidRPr="008A2C60">
        <w:rPr>
          <w:rFonts w:ascii="Book Antiqua" w:hAnsi="Book Antiqua"/>
        </w:rPr>
        <w:instrText>ADDIN CSL_CITATION { "citationItems" : [ { "id" : "ITEM-1", "itemData" : { "DOI" : "10.3748/wjg.v22.i6.2133", "ISBN" : "2219-2840", "ISSN" : "22192840", "PMID" : "26877618", "abstract" : "AIM: To investigate the impact of minimum tacrolimus (TAC) on new-onset diabetes mellitus (NODM) after liver transplantation (LT).\\n\\nMETHODS: We retrospectively analyzed the data of 973 liver transplant recipients between March 1999 and September 2014 in West China Hospital Liver Transplantation Center. Following the exclusion of ineligible recipients, 528 recipients with a TAC-dominant regimen were included in our study. We calculated and determined the mean trough concentration of TAC (cTAC) in the year of diabetes diagnosis in NODM recipients or in the last year of the follow-up in non-NODM recipients. A cutoff of mean cTAC value for predicting NODM 6 mo after LT was identified using a receptor operating characteristic curve. TAC-related complications after LT was evaluated by \u03c7(2) test, and the overall and allograft survival was evaluated using the Kaplan-Meier method. Risk factors for NODM after LT were examined by univariate and multivariate Cox regression.\\n\\nRESULTS: Of the 528 transplant recipients, 131 (24.8%) developed NODM after 6 mo after LT, and the cumulative incidence of NODM progressively increased. The mean cTAC of NODM group recipients was significantly higher than that of recipients in the non-NODM group (7.66 \u00b1 3.41 ng/mL vs 4.47 \u00b1 2.22 ng/mL, P &lt; 0.05). Furthermore, NODM group recipients had lower 1-, 5-, 10-year overall survival rates (86.7%, 71.3%, and 61.1% vs 94.7%, 86.1%, and 83.7%, P &lt; 0.05) and allograft survival rates (92.8%, 84.6%, and 75.7% vs 96.1%, 91%, and 86.1%, P &lt; 0.05) than the others. The best cutoff of mean cTAC for predicting NODM was 5.89 ng/mL after 6 mo after LT. Multivariate analysis showed that old age at the time of LT (&gt; 50 years), hypertension pre-LT, and high mean cTAC (\u2265 5.89 ng/mL) after 6 mo after LT were independent risk factors for developing NODM. Concurrently, recipients with a low cTAC (&lt; 5.89 ng/mL) were less likely to become obese (21.3% vs 30.2%, P &lt; 0.05) or to develop dyslipidemia (27.5% vs 44.8%, P &lt;0.05), chronic kidney dysfunction (14.6% vs 22.7%, P &lt; 0.05), and moderate to severe infection (24.7% vs 33.1%, P &lt; 0.05) after LT than recipients in the high mean cTAC group. However, the two groups showed no significant difference in the incidence of acute and chronic rejection, hypertension, cardiovascular events and new-onset malignancy.\\n\\nCONCLUSION: A minimal TAC regimen can decrease the risk of long-term NODM after LT. Maintaining a cTAC value below 5.89 ng/mL after LT is safe and bene\u2026", "author" : [ { "dropping-particle" : "", "family" : "Song", "given" : "Jiu Lin", "non-dropping-particle" : "", "parse-names" : false, "suffix" : "" }, { "dropping-particle" : "", "family" : "Gao", "given" : "Wei", "non-dropping-particle" : "", "parse-names" : false, "suffix" : "" }, { "dropping-particle" : "", "family" : "Zhong", "given" : "Yan", "non-dropping-particle" : "", "parse-names" : false, "suffix" : "" }, { "dropping-particle" : "", "family" : "Yan", "given" : "Lu Nan", "non-dropping-particle" : "", "parse-names" : false, "suffix" : "" }, { "dropping-particle" : "", "family" : "Yang", "given" : "Jia Yin", "non-dropping-particle" : "", "parse-names" : false, "suffix" : "" }, { "dropping-particle" : "", "family" : "Wen", "given" : "Tian Fu", "non-dropping-particle" : "", "parse-names" : false, "suffix" : "" }, { "dropping-particle" : "", "family" : "Li", "given" : "Bo", "non-dropping-particle" : "", "parse-names" : false, "suffix" : "" }, { "dropping-particle" : "", "family" : "Wang", "given" : "Wen Tao", "non-dropping-particle" : "", "parse-names" : false, "suffix" : "" }, { "dropping-particle" : "", "family" : "Wu", "given" : "Hong", "non-dropping-particle" : "", "parse-names" : false, "suffix" : "" }, { "dropping-particle" : "", "family" : "Xu", "given" : "Ming Qing", "non-dropping-particle" : "", "parse-names" : false, "suffix" : "" }, { "dropping-particle" : "", "family" : "Chen", "given" : "Zhe Yu", "non-dropping-particle" : "", "parse-names" : false, "suffix" : "" }, { "dropping-particle" : "", "family" : "Wei", "given" : "Yong Gang", "non-dropping-particle" : "", "parse-names" : false, "suffix" : "" }, { "dropping-particle" : "", "family" : "Jiang", "given" : "Li", "non-dropping-particle" : "", "parse-names" : false, "suffix" : "" }, { "dropping-particle" : "", "family" : "Yang", "given" : "Jian", "non-dropping-particle" : "", "parse-names" : false, "suffix" : "" } ], "container-title" : "World Journal of Gastroenterology", "id" : "ITEM-1", "issue" : "6", "issued" : { "date-parts" : [ [ "2016" ] ] }, "page" : "2133-2141", "title" : "Minimizing tacrolimus decreases the risk of new-onset diabetes mellitus after liver transplantation", "type" : "article-journal", "volume" : "22" }, "uris" : [ "http://www.mendeley.com/documents/?uuid=0d2ed141-1eb9-474b-a165-18bf0d2c18bb" ] } ], "mendeley" : { "formattedCitation" : "&lt;sup&gt;[29]&lt;/sup&gt;", "plainTextFormattedCitation" : "[29]", "previouslyFormattedCitation" : "&lt;sup&gt;[29]&lt;/sup&gt;" }, "properties" : {  }, "schema" : "https://github.com/citation-style-language/schema/raw/master/csl-citation.json" }</w:instrText>
      </w:r>
      <w:r w:rsidR="006B795E" w:rsidRPr="008A2C60">
        <w:rPr>
          <w:rFonts w:ascii="Book Antiqua" w:hAnsi="Book Antiqua"/>
        </w:rPr>
        <w:fldChar w:fldCharType="separate"/>
      </w:r>
      <w:r w:rsidR="006B795E" w:rsidRPr="008A2C60">
        <w:rPr>
          <w:rFonts w:ascii="Book Antiqua" w:hAnsi="Book Antiqua"/>
          <w:noProof/>
          <w:vertAlign w:val="superscript"/>
        </w:rPr>
        <w:t>[29]</w:t>
      </w:r>
      <w:r w:rsidR="006B795E" w:rsidRPr="008A2C60">
        <w:rPr>
          <w:rFonts w:ascii="Book Antiqua" w:hAnsi="Book Antiqua"/>
        </w:rPr>
        <w:fldChar w:fldCharType="end"/>
      </w:r>
      <w:r w:rsidR="00C507CE" w:rsidRPr="008A2C60">
        <w:rPr>
          <w:rFonts w:ascii="Book Antiqua" w:hAnsi="Book Antiqua"/>
        </w:rPr>
        <w:t xml:space="preserve"> conducted a</w:t>
      </w:r>
      <w:r w:rsidR="00134452" w:rsidRPr="008A2C60">
        <w:rPr>
          <w:rFonts w:ascii="Book Antiqua" w:hAnsi="Book Antiqua"/>
        </w:rPr>
        <w:t xml:space="preserve"> </w:t>
      </w:r>
      <w:r w:rsidR="00324298" w:rsidRPr="008A2C60">
        <w:rPr>
          <w:rFonts w:ascii="Book Antiqua" w:hAnsi="Book Antiqua"/>
        </w:rPr>
        <w:t xml:space="preserve">retrospective </w:t>
      </w:r>
      <w:r w:rsidR="00134452" w:rsidRPr="008A2C60">
        <w:rPr>
          <w:rFonts w:ascii="Book Antiqua" w:hAnsi="Book Antiqua"/>
        </w:rPr>
        <w:t>study</w:t>
      </w:r>
      <w:r w:rsidR="00C507CE" w:rsidRPr="008A2C60">
        <w:rPr>
          <w:rFonts w:ascii="Book Antiqua" w:hAnsi="Book Antiqua"/>
        </w:rPr>
        <w:t xml:space="preserve"> </w:t>
      </w:r>
      <w:r w:rsidR="00444284" w:rsidRPr="008A2C60">
        <w:rPr>
          <w:rFonts w:ascii="Book Antiqua" w:hAnsi="Book Antiqua"/>
        </w:rPr>
        <w:t>in C</w:t>
      </w:r>
      <w:r w:rsidR="00134452" w:rsidRPr="008A2C60">
        <w:rPr>
          <w:rFonts w:ascii="Book Antiqua" w:hAnsi="Book Antiqua"/>
        </w:rPr>
        <w:t xml:space="preserve">hina </w:t>
      </w:r>
      <w:r w:rsidR="00C507CE" w:rsidRPr="008A2C60">
        <w:rPr>
          <w:rFonts w:ascii="Book Antiqua" w:hAnsi="Book Antiqua"/>
        </w:rPr>
        <w:t xml:space="preserve">and </w:t>
      </w:r>
      <w:r w:rsidR="00134452" w:rsidRPr="008A2C60">
        <w:rPr>
          <w:rFonts w:ascii="Book Antiqua" w:hAnsi="Book Antiqua"/>
        </w:rPr>
        <w:t xml:space="preserve">demonstrated that lower exposure of tacrolimus (measured by mean tacrolimus concentration </w:t>
      </w:r>
      <w:r w:rsidR="00324298" w:rsidRPr="008A2C60">
        <w:rPr>
          <w:rFonts w:ascii="Book Antiqua" w:hAnsi="Book Antiqua"/>
        </w:rPr>
        <w:t xml:space="preserve">at 6 </w:t>
      </w:r>
      <w:proofErr w:type="spellStart"/>
      <w:r w:rsidR="00324298" w:rsidRPr="008A2C60">
        <w:rPr>
          <w:rFonts w:ascii="Book Antiqua" w:hAnsi="Book Antiqua"/>
        </w:rPr>
        <w:t>mo</w:t>
      </w:r>
      <w:proofErr w:type="spellEnd"/>
      <w:r w:rsidR="00324298" w:rsidRPr="008A2C60">
        <w:rPr>
          <w:rFonts w:ascii="Book Antiqua" w:hAnsi="Book Antiqua"/>
        </w:rPr>
        <w:t xml:space="preserve">) </w:t>
      </w:r>
      <w:r w:rsidR="00444284" w:rsidRPr="008A2C60">
        <w:rPr>
          <w:rFonts w:ascii="Book Antiqua" w:hAnsi="Book Antiqua"/>
        </w:rPr>
        <w:t>wa</w:t>
      </w:r>
      <w:r w:rsidR="00134452" w:rsidRPr="008A2C60">
        <w:rPr>
          <w:rFonts w:ascii="Book Antiqua" w:hAnsi="Book Antiqua"/>
        </w:rPr>
        <w:t xml:space="preserve">s associated with </w:t>
      </w:r>
      <w:r w:rsidR="00324298" w:rsidRPr="008A2C60">
        <w:rPr>
          <w:rFonts w:ascii="Book Antiqua" w:hAnsi="Book Antiqua"/>
        </w:rPr>
        <w:t>less risk of developing NODAT</w:t>
      </w:r>
      <w:r w:rsidR="00444284" w:rsidRPr="008A2C60">
        <w:rPr>
          <w:rFonts w:ascii="Book Antiqua" w:hAnsi="Book Antiqua"/>
        </w:rPr>
        <w:t xml:space="preserve"> and its related complications</w:t>
      </w:r>
      <w:r w:rsidR="00324298" w:rsidRPr="008A2C60">
        <w:rPr>
          <w:rFonts w:ascii="Book Antiqua" w:hAnsi="Book Antiqua"/>
        </w:rPr>
        <w:t>.</w:t>
      </w:r>
      <w:r w:rsidR="00CE3AFE">
        <w:rPr>
          <w:rFonts w:ascii="Book Antiqua" w:hAnsi="Book Antiqua"/>
        </w:rPr>
        <w:t xml:space="preserve"> </w:t>
      </w:r>
      <w:r w:rsidR="00444284" w:rsidRPr="008A2C60">
        <w:rPr>
          <w:rFonts w:ascii="Book Antiqua" w:hAnsi="Book Antiqua"/>
        </w:rPr>
        <w:t>This</w:t>
      </w:r>
      <w:r w:rsidR="006B795E">
        <w:rPr>
          <w:rFonts w:ascii="Book Antiqua" w:hAnsi="Book Antiqua" w:hint="eastAsia"/>
          <w:lang w:eastAsia="zh-CN"/>
        </w:rPr>
        <w:t xml:space="preserve"> </w:t>
      </w:r>
      <w:r w:rsidR="00444284" w:rsidRPr="008A2C60">
        <w:rPr>
          <w:rFonts w:ascii="Book Antiqua" w:hAnsi="Book Antiqua"/>
        </w:rPr>
        <w:t>suggest</w:t>
      </w:r>
      <w:r w:rsidR="006B795E">
        <w:rPr>
          <w:rFonts w:ascii="Book Antiqua" w:hAnsi="Book Antiqua" w:hint="eastAsia"/>
          <w:lang w:eastAsia="zh-CN"/>
        </w:rPr>
        <w:t>ed</w:t>
      </w:r>
      <w:r w:rsidR="00444284" w:rsidRPr="008A2C60">
        <w:rPr>
          <w:rFonts w:ascii="Book Antiqua" w:hAnsi="Book Antiqua"/>
        </w:rPr>
        <w:t xml:space="preserve"> that not only optimizing the regimen important but also the dosing of immunosuppressive drugs utilized in the regimen need to be optimized</w:t>
      </w:r>
      <w:r w:rsidR="00AC3882" w:rsidRPr="008A2C60">
        <w:rPr>
          <w:rFonts w:ascii="Book Antiqua" w:hAnsi="Book Antiqua"/>
        </w:rPr>
        <w:t>.</w:t>
      </w:r>
      <w:r w:rsidR="00CE3AFE">
        <w:rPr>
          <w:rFonts w:ascii="Book Antiqua" w:hAnsi="Book Antiqua"/>
        </w:rPr>
        <w:t xml:space="preserve"> </w:t>
      </w:r>
      <w:r w:rsidR="009A2063" w:rsidRPr="008A2C60">
        <w:rPr>
          <w:rFonts w:ascii="Book Antiqua" w:hAnsi="Book Antiqua"/>
        </w:rPr>
        <w:t>Such recommendation</w:t>
      </w:r>
      <w:r w:rsidR="00900D17" w:rsidRPr="008A2C60">
        <w:rPr>
          <w:rFonts w:ascii="Book Antiqua" w:hAnsi="Book Antiqua"/>
        </w:rPr>
        <w:t>s</w:t>
      </w:r>
      <w:r w:rsidR="009A2063" w:rsidRPr="008A2C60">
        <w:rPr>
          <w:rFonts w:ascii="Book Antiqua" w:hAnsi="Book Antiqua"/>
        </w:rPr>
        <w:t xml:space="preserve"> would be strengthened by prospective randomized data and thus highlights the need for further study in this area.</w:t>
      </w:r>
      <w:r w:rsidR="00CE3AFE">
        <w:rPr>
          <w:rFonts w:ascii="Book Antiqua" w:hAnsi="Book Antiqua"/>
        </w:rPr>
        <w:t xml:space="preserve"> </w:t>
      </w:r>
    </w:p>
    <w:p w14:paraId="2594E910" w14:textId="0DA2DCAD" w:rsidR="00602D25" w:rsidRPr="008A2C60" w:rsidRDefault="00602D25" w:rsidP="00C26D7B">
      <w:pPr>
        <w:spacing w:line="360" w:lineRule="auto"/>
        <w:ind w:firstLineChars="100" w:firstLine="240"/>
        <w:contextualSpacing/>
        <w:jc w:val="both"/>
        <w:rPr>
          <w:rFonts w:ascii="Book Antiqua" w:hAnsi="Book Antiqua"/>
        </w:rPr>
      </w:pPr>
      <w:r w:rsidRPr="008A2C60">
        <w:rPr>
          <w:rFonts w:ascii="Book Antiqua" w:hAnsi="Book Antiqua"/>
        </w:rPr>
        <w:t xml:space="preserve">The need for close </w:t>
      </w:r>
      <w:r w:rsidR="00C9193B" w:rsidRPr="008A2C60">
        <w:rPr>
          <w:rFonts w:ascii="Book Antiqua" w:hAnsi="Book Antiqua"/>
        </w:rPr>
        <w:t>monitoring of glucose</w:t>
      </w:r>
      <w:r w:rsidRPr="008A2C60">
        <w:rPr>
          <w:rFonts w:ascii="Book Antiqua" w:hAnsi="Book Antiqua"/>
        </w:rPr>
        <w:t xml:space="preserve"> levels post</w:t>
      </w:r>
      <w:r w:rsidR="00B46CB9" w:rsidRPr="008A2C60">
        <w:rPr>
          <w:rFonts w:ascii="Book Antiqua" w:hAnsi="Book Antiqua"/>
        </w:rPr>
        <w:t>-LT</w:t>
      </w:r>
      <w:r w:rsidRPr="008A2C60">
        <w:rPr>
          <w:rFonts w:ascii="Book Antiqua" w:hAnsi="Book Antiqua"/>
        </w:rPr>
        <w:t xml:space="preserve"> will become even more important in the future.</w:t>
      </w:r>
      <w:r w:rsidR="00CE3AFE">
        <w:rPr>
          <w:rFonts w:ascii="Book Antiqua" w:hAnsi="Book Antiqua"/>
        </w:rPr>
        <w:t xml:space="preserve"> </w:t>
      </w:r>
      <w:r w:rsidRPr="008A2C60">
        <w:rPr>
          <w:rFonts w:ascii="Book Antiqua" w:hAnsi="Book Antiqua"/>
        </w:rPr>
        <w:t>More patients with insulin resistance will come to transplant in the coming years.</w:t>
      </w:r>
      <w:r w:rsidR="00CE3AFE">
        <w:rPr>
          <w:rFonts w:ascii="Book Antiqua" w:hAnsi="Book Antiqua"/>
        </w:rPr>
        <w:t xml:space="preserve"> </w:t>
      </w:r>
      <w:r w:rsidRPr="008A2C60">
        <w:rPr>
          <w:rFonts w:ascii="Book Antiqua" w:hAnsi="Book Antiqua"/>
        </w:rPr>
        <w:t>NAFLD is the fastest growing indication for transplan</w:t>
      </w:r>
      <w:r w:rsidR="00FB5DD1" w:rsidRPr="008A2C60">
        <w:rPr>
          <w:rFonts w:ascii="Book Antiqua" w:hAnsi="Book Antiqua"/>
        </w:rPr>
        <w:t>t</w:t>
      </w:r>
      <w:r w:rsidRPr="008A2C60">
        <w:rPr>
          <w:rFonts w:ascii="Book Antiqua" w:hAnsi="Book Antiqua"/>
        </w:rPr>
        <w:t xml:space="preserve"> and will become the leading indication over the next decade</w:t>
      </w:r>
      <w:r w:rsidR="00FB5DD1" w:rsidRPr="008A2C60">
        <w:rPr>
          <w:rFonts w:ascii="Book Antiqua" w:hAnsi="Book Antiqua"/>
        </w:rPr>
        <w:fldChar w:fldCharType="begin" w:fldLock="1"/>
      </w:r>
      <w:r w:rsidR="00EA5B56" w:rsidRPr="008A2C60">
        <w:rPr>
          <w:rFonts w:ascii="Book Antiqua" w:hAnsi="Book Antiqua"/>
        </w:rPr>
        <w:instrText>ADDIN CSL_CITATION { "citationItems" : [ { "id" : "ITEM-1", "itemData" : { "author" : [ { "dropping-particle" : "", "family" : "Yi ZA, Mayorga M, Wheeler SB, Hayashi PH, Orman ES", "given" : "Barritt AS", "non-dropping-particle" : "", "parse-names" : false, "suffix" : "" } ], "container-title" : "Hepatology", "id" : "ITEM-1", "issued" : { "date-parts" : [ [ "2016" ] ] }, "page" : "702A-703A", "title" : "Current trends in characteristics of patients listed for liver transplantation will lead to higher rates of waitlist removal due clinical deterioration", "type" : "article-journal", "volume" : "64" }, "uris" : [ "http://www.mendeley.com/documents/?uuid=56b7a0ff-37ac-472a-87e8-2a388f03302d" ] }, { "id" : "ITEM-2", "itemData" : { "author" : [ { "dropping-particle" : "", "family" : "Yi ZA, Mayorga M, Wheeler SB, Hayashi PH, Barritt AS", "given" : "Orman ES", "non-dropping-particle" : "", "parse-names" : false, "suffix" : "" } ], "container-title" : "Hepatology", "id" : "ITEM-2", "issued" : { "date-parts" : [ [ "2016" ] ] }, "page" : "701A-701A", "title" : "The Numbers of New Waitlist Registrants and Removals are Outpacing the Number of Liver Transplants: National Trends and Regional Variation from 2003 through 2014", "type" : "article-journal", "volume" : "64" }, "uris" : [ "http://www.mendeley.com/documents/?uuid=9d984396-51ac-4427-bb22-b072ae1d200e" ] }, { "id" : "ITEM-3", "itemData" : { "DOI" : "10.1016/j.jhep.2016.07.033", "ISSN" : "01688278", "PMID" : "27486010", "abstract" : "Because of global epidemics of obesity and type 2 diabetes, the prevalence of non-alcoholic fatty liver disease (NAFLD) is increasing both in Europe and the United States, becoming one of the most frequent causes of chronic liver disease and predictably, one of the leading causes of liver transplantation both for end-stage liver disease and hepatocellular carcinoma. For most transplant teams around the world this will raise many challenges in terms of pre- and post-transplant management. Here we review the multifaceted impact of NAFLD on liver transplantation and will discuss: (1) NAFLD as a frequent cause of cryptogenic cirrhosis, end-stage chronic liver disease, and hepatocellular carcinoma; (2) prevalence of NAFLD as an indication for liver transplantation both in Europe and the United States; (3) the impact of NAFLD on the donor pool; (4) the access of NAFLD patients to liver transplantation and their management on the waiting list in regard to metabolic, renal and vascular comorbidities; (5) the prevalence and consequences of post-transplant metabolic syndrome, recurrent and de novo NAFLD; (6) the alternative management and therapeutic options to improve the long-term outcomes with particular emphasis on the correction and control of metabolic comorbidities.", "author" : [ { "dropping-particle" : "", "family" : "Pais", "given" : "Raluca", "non-dropping-particle" : "", "parse-names" : false, "suffix" : "" }, { "dropping-particle" : "", "family" : "Barritt", "given" : "A. Sidney", "non-dropping-particle" : "", "parse-names" : false, "suffix" : "" }, { "dropping-particle" : "", "family" : "Calmus", "given" : "Yvon", "non-dropping-particle" : "", "parse-names" : false, "suffix" : "" }, { "dropping-particle" : "", "family" : "Scatton", "given" : "Olivier", "non-dropping-particle" : "", "parse-names" : false, "suffix" : "" }, { "dropping-particle" : "", "family" : "Runge", "given" : "Thomas", "non-dropping-particle" : "", "parse-names" : false, "suffix" : "" }, { "dropping-particle" : "", "family" : "Lebray", "given" : "Pascal", "non-dropping-particle" : "", "parse-names" : false, "suffix" : "" }, { "dropping-particle" : "", "family" : "Poynard", "given" : "Thierry", "non-dropping-particle" : "", "parse-names" : false, "suffix" : "" }, { "dropping-particle" : "", "family" : "Ratziu", "given" : "Vlad", "non-dropping-particle" : "", "parse-names" : false, "suffix" : "" }, { "dropping-particle" : "", "family" : "Conti", "given" : "Filomena", "non-dropping-particle" : "", "parse-names" : false, "suffix" : "" } ], "container-title" : "Journal of Hepatology", "id" : "ITEM-3", "issue" : "6", "issued" : { "date-parts" : [ [ "2016" ] ] }, "page" : "1245-1257", "title" : "NAFLD and liver transplantation: Current burden and expected challenges", "type" : "article-journal", "volume" : "65" }, "uris" : [ "http://www.mendeley.com/documents/?uuid=92c775e2-efef-4560-84d6-076d95f0ef7a" ] } ], "mendeley" : { "formattedCitation" : "&lt;sup&gt;[30\u201332]&lt;/sup&gt;", "plainTextFormattedCitation" : "[30\u201332]", "previouslyFormattedCitation" : "&lt;sup&gt;[30\u201332]&lt;/sup&gt;" }, "properties" : {  }, "schema" : "https://github.com/citation-style-language/schema/raw/master/csl-citation.json" }</w:instrText>
      </w:r>
      <w:r w:rsidR="00FB5DD1" w:rsidRPr="008A2C60">
        <w:rPr>
          <w:rFonts w:ascii="Book Antiqua" w:hAnsi="Book Antiqua"/>
        </w:rPr>
        <w:fldChar w:fldCharType="separate"/>
      </w:r>
      <w:r w:rsidR="00131F28" w:rsidRPr="008A2C60">
        <w:rPr>
          <w:rFonts w:ascii="Book Antiqua" w:hAnsi="Book Antiqua"/>
          <w:noProof/>
          <w:vertAlign w:val="superscript"/>
        </w:rPr>
        <w:t>[30</w:t>
      </w:r>
      <w:r w:rsidR="00067621" w:rsidRPr="00067621">
        <w:rPr>
          <w:rFonts w:ascii="Book Antiqua" w:hAnsi="Book Antiqua" w:hint="eastAsia"/>
          <w:noProof/>
          <w:vertAlign w:val="superscript"/>
          <w:lang w:eastAsia="zh-CN"/>
        </w:rPr>
        <w:t>,</w:t>
      </w:r>
      <w:r w:rsidR="00131F28" w:rsidRPr="008A2C60">
        <w:rPr>
          <w:rFonts w:ascii="Book Antiqua" w:hAnsi="Book Antiqua"/>
          <w:noProof/>
          <w:vertAlign w:val="superscript"/>
        </w:rPr>
        <w:t>3</w:t>
      </w:r>
      <w:r w:rsidR="00067621">
        <w:rPr>
          <w:rFonts w:ascii="Book Antiqua" w:hAnsi="Book Antiqua" w:hint="eastAsia"/>
          <w:noProof/>
          <w:vertAlign w:val="superscript"/>
          <w:lang w:eastAsia="zh-CN"/>
        </w:rPr>
        <w:t>1</w:t>
      </w:r>
      <w:r w:rsidR="00131F28" w:rsidRPr="008A2C60">
        <w:rPr>
          <w:rFonts w:ascii="Book Antiqua" w:hAnsi="Book Antiqua"/>
          <w:noProof/>
          <w:vertAlign w:val="superscript"/>
        </w:rPr>
        <w:t>]</w:t>
      </w:r>
      <w:r w:rsidR="00FB5DD1" w:rsidRPr="008A2C60">
        <w:rPr>
          <w:rFonts w:ascii="Book Antiqua" w:hAnsi="Book Antiqua"/>
        </w:rPr>
        <w:fldChar w:fldCharType="end"/>
      </w:r>
      <w:r w:rsidR="00AC3882" w:rsidRPr="008A2C60">
        <w:rPr>
          <w:rFonts w:ascii="Book Antiqua" w:hAnsi="Book Antiqua"/>
        </w:rPr>
        <w:t>.</w:t>
      </w:r>
      <w:r w:rsidR="00CE3AFE">
        <w:rPr>
          <w:rFonts w:ascii="Book Antiqua" w:hAnsi="Book Antiqua"/>
        </w:rPr>
        <w:t xml:space="preserve"> </w:t>
      </w:r>
      <w:r w:rsidRPr="008A2C60">
        <w:rPr>
          <w:rFonts w:ascii="Book Antiqua" w:hAnsi="Book Antiqua"/>
        </w:rPr>
        <w:t>The change in disease etiology may also be accompanied by donor grafts from older patients with DM and obesity</w:t>
      </w:r>
      <w:r w:rsidR="00FB5DD1" w:rsidRPr="008A2C60">
        <w:rPr>
          <w:rFonts w:ascii="Book Antiqua" w:hAnsi="Book Antiqua"/>
        </w:rPr>
        <w:t xml:space="preserve"> </w:t>
      </w:r>
      <w:r w:rsidRPr="008A2C60">
        <w:rPr>
          <w:rFonts w:ascii="Book Antiqua" w:hAnsi="Book Antiqua"/>
        </w:rPr>
        <w:t>that may be more susceptible to poor outcomes from hyperglycemic stressors</w:t>
      </w:r>
      <w:r w:rsidR="00FB5DD1"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"10.1002/lt.24160", "ISBN" : "5072849694", "ISSN" : "15276473", "PMID" : "25939487", "abstract" : "National liver transplantation (LT) volume has declined since 2006, in part because of worsening donor organ quality. Trends that degrade organ quality are expected to continue over the next 2 decades. We used the United Network for Organ Sharing (UNOS) database to inform a 20-year discrete event simulation estimating LT volume from 2010 to 2030. Data to inform the model were obtained from deceased organ donors between 2000 and 2009. If donor liver utilization practices remain constant, utilization will fall from 78% to 44% by 2030, resulting in 2230 fewer LTs. If transplant centers increase their risk tolerance for marginal grafts, utilization would decrease to 48%. The institution of \"opt-out\" organ donation policies to increase the donor pool would still result in 1380 to 1866 fewer transplants. Ex vivo perfusion techniques that increase the use of marginal donor livers may stabilize LT volume. Otherwise, the number of LTs in the United States will decrease substantially over the next 15 years. In conclusion, the transplant community will need to accept inferior grafts and potentially worse posttransplant outcomes and/or develop new strategies for increasing organ donation and utilization in order to maintain the number of LTs at the current level.", "author" : [ { "dropping-particle" : "", "family" : "Orman", "given" : "Eric S.", "non-dropping-particle" : "", "parse-names" : false, "suffix" : "" }, { "dropping-particle" : "", "family" : "Mayorga", "given" : "Maria E.", "non-dropping-particle" : "", "parse-names" : false, "suffix" : "" }, { "dropping-particle" : "", "family" : "Wheeler", "given" : "Stephanie B.", "non-dropping-particle" : "", "parse-names" : false, "suffix" : "" }, { "dropping-particle" : "", "family" : "Townsley", "given" : "Rachel M.", "non-dropping-particle" : "", "parse-names" : false, "suffix" : "" }, { "dropping-particle" : "", "family" : "Toro-Diaz", "given" : "Hector H.", "non-dropping-particle" : "", "parse-names" : false, "suffix" : "" }, { "dropping-particle" : "", "family" : "Hayashi", "given" : "Paul H.", "non-dropping-particle" : "", "parse-names" : false, "suffix" : "" }, { "dropping-particle" : "", "family" : "Sidney Barritt", "given" : "A.", "non-dropping-particle" : "", "parse-names" : false, "suffix" : "" } ], "container-title" : "Liver Transplantation", "id" : "ITEM-1", "issue" : "8", "issued" : { "date-parts" : [ [ "2015" ] ] }, "page" : "1040-1050", "title" : "Declining liver graft quality threatens the future of liver transplantation in the United States", "type" : "article-journal", "volume" : "21" }, "uris" : [ "http://www.mendeley.com/documents/?uuid=d479ea5b-8005-4a9f-99c9-20c47f47befa" ] } ], "mendeley" : { "formattedCitation" : "&lt;sup&gt;[33]&lt;/sup&gt;", "plainTextFormattedCitation" : "[33]", "previouslyFormattedCitation" : "&lt;sup&gt;[33]&lt;/sup&gt;" }, "properties" : {  }, "schema" : "https://github.com/citation-style-language/schema/raw/master/csl-citation.json" }</w:instrText>
      </w:r>
      <w:r w:rsidR="00FB5DD1" w:rsidRPr="008A2C60">
        <w:rPr>
          <w:rFonts w:ascii="Book Antiqua" w:hAnsi="Book Antiqua"/>
        </w:rPr>
        <w:fldChar w:fldCharType="separate"/>
      </w:r>
      <w:r w:rsidR="00131F28" w:rsidRPr="008A2C60">
        <w:rPr>
          <w:rFonts w:ascii="Book Antiqua" w:hAnsi="Book Antiqua"/>
          <w:noProof/>
          <w:vertAlign w:val="superscript"/>
        </w:rPr>
        <w:t>[3</w:t>
      </w:r>
      <w:r w:rsidR="00067621">
        <w:rPr>
          <w:rFonts w:ascii="Book Antiqua" w:hAnsi="Book Antiqua" w:hint="eastAsia"/>
          <w:noProof/>
          <w:vertAlign w:val="superscript"/>
          <w:lang w:eastAsia="zh-CN"/>
        </w:rPr>
        <w:t>2</w:t>
      </w:r>
      <w:r w:rsidR="00131F28" w:rsidRPr="008A2C60">
        <w:rPr>
          <w:rFonts w:ascii="Book Antiqua" w:hAnsi="Book Antiqua"/>
          <w:noProof/>
          <w:vertAlign w:val="superscript"/>
        </w:rPr>
        <w:t>]</w:t>
      </w:r>
      <w:r w:rsidR="00FB5DD1" w:rsidRPr="008A2C60">
        <w:rPr>
          <w:rFonts w:ascii="Book Antiqua" w:hAnsi="Book Antiqua"/>
        </w:rPr>
        <w:fldChar w:fldCharType="end"/>
      </w:r>
      <w:r w:rsidR="00AC3882" w:rsidRPr="008A2C60">
        <w:rPr>
          <w:rFonts w:ascii="Book Antiqua" w:hAnsi="Book Antiqua"/>
        </w:rPr>
        <w:t>.</w:t>
      </w:r>
      <w:r w:rsidR="00CE3AFE">
        <w:rPr>
          <w:rFonts w:ascii="Book Antiqua" w:hAnsi="Book Antiqua"/>
        </w:rPr>
        <w:t xml:space="preserve"> </w:t>
      </w:r>
      <w:r w:rsidR="00BA4E78" w:rsidRPr="008A2C60">
        <w:rPr>
          <w:rFonts w:ascii="Book Antiqua" w:hAnsi="Book Antiqua"/>
        </w:rPr>
        <w:t>As NAFLD increases prevalence, the transplant community will see more NAFLD among both living donors as well.</w:t>
      </w:r>
      <w:r w:rsidR="00CE3AFE">
        <w:rPr>
          <w:rFonts w:ascii="Book Antiqua" w:hAnsi="Book Antiqua"/>
        </w:rPr>
        <w:t xml:space="preserve"> </w:t>
      </w:r>
      <w:r w:rsidR="00BA4E78" w:rsidRPr="008A2C60">
        <w:rPr>
          <w:rFonts w:ascii="Book Antiqua" w:hAnsi="Book Antiqua"/>
        </w:rPr>
        <w:t>A reliable assessment of hepatic steatosis is of paramount importance for living donor selection as significant steatosis can impact the postoperative outcomes of recipients and safety of the donor</w:t>
      </w:r>
      <w:r w:rsidR="00300C4C" w:rsidRPr="008A2C60">
        <w:rPr>
          <w:rFonts w:ascii="Book Antiqua" w:hAnsi="Book Antiqua"/>
        </w:rPr>
        <w:fldChar w:fldCharType="begin" w:fldLock="1"/>
      </w:r>
      <w:r w:rsidR="00EA5B56" w:rsidRPr="008A2C60">
        <w:rPr>
          <w:rFonts w:ascii="Book Antiqua" w:hAnsi="Book Antiqua"/>
        </w:rPr>
        <w:instrText>ADDIN CSL_CITATION { "citationItems" : [ { "id" : "ITEM-1", "itemData" : { "DOI" : "10.1097/MD.0000000000002718", "ISSN" : "1536-5964 (Electronic)", "PMID" : "26886612", "abstract" : "Hepatic steatosis assessment is of paramount importance for living liver donor selection because significant hepatic steatosis can affect the postoperative outcome of recipients and the safety of the donor. The validity of various noninvasive imaging methods to assess hepatic steatosis remains controversial. The purpose of our study is to investigate the association between noninvasive imaging methods and pathology to detect steatosis in living liver donors and to propose a prediction model for hepatic steatosis. Liver stiffness measurements (LSMs) and controlled attenuation parameter values in vibration controlled transient elastography, ultrasonography, computed tomography (CT), and magnetic resonance imaging were used as pretransplant screening methods to evaluate living liver donors between 2012 and 2014. Only 1 pathologist assessed tissue sample for hepatic steatosis. The median age of the 79 living donors (53 men and 26 women) was 32 years (16-68 years). The CT liver-spleen attenuation (L-S) difference and the controlled attenuation parameter values were well correlated with the level of hepatic steatosis on liver pathology. Multivariate analysis showed that liver stiffness measurement (LSM) (beta = 0.903; 95% CI, 0.105-1.702; P = 0.027) and the CT L to S attenuation difference (beta = -3.322; 95% CI, -0.502 to -0.142; P = 0.001) were closely associated with hepatic steatosis. We generated the following equation to predict total hepatic steatosis: Hepatic steatosis = 0.903 x LSM - 0.322 x CT L to S attenuation difference (AUC = 86.6% and P = 0.001). The values predicted by the equation correlated well with the presence of hepatic steatosis (r = 0.509 and P &lt; 0.001). The combination of nonenhanced CT L to S attenuation difference and transient elastography using vibration controlled transient elastography provides sufficient information to predict hepatic steatosis in living liver donor candidates.", "author" : [ { "dropping-particle" : "", "family" : "Kim", "given" : "Jong Man", "non-dropping-particle" : "", "parse-names" : false, "suffix" : "" }, { "dropping-particle" : "", "family" : "Ha", "given" : "Sang Yun", "non-dropping-particle" : "", "parse-names" : false, "suffix" : "" }, { "dropping-particle" : "", "family" : "Joh", "given" : "Jae-Won", "non-dropping-particle" : "", "parse-names" : false, "suffix" : "" }, { "dropping-particle" : "", "family" : "Sinn", "given" : "Dong Hyun", "non-dropping-particle" : "", "parse-names" : false, "suffix" : "" }, { "dropping-particle" : "", "family" : "Jeong", "given" : "Woo Kyung", "non-dropping-particle" : "", "parse-names" : false, "suffix" : "" }, { "dropping-particle" : "", "family" : "Choi", "given" : "Gyu-Seong", "non-dropping-particle" : "", "parse-names" : false, "suffix" : "" }, { "dropping-particle" : "", "family" : "Gwak", "given" : "Geum Youn", "non-dropping-particle" : "", "parse-names" : false, "suffix" : "" }, { "dropping-particle" : "", "family" : "Kwon", "given" : "Choon Hyuck David", "non-dropping-particle" : "", "parse-names" : false, "suffix" : "" }, { "dropping-particle" : "", "family" : "Kim", "given" : "Young Kon", "non-dropping-particle" : "", "parse-names" : false, "suffix" : "" }, { "dropping-particle" : "", "family" : "Paik", "given" : "Yong Han", "non-dropping-particle" : "", "parse-names" : false, "suffix" : "" }, { "dropping-particle" : "", "family" : "Lee", "given" : "Joon Hyeok", "non-dropping-particle" : "", "parse-names" : false, "suffix" : "" }, { "dropping-particle" : "", "family" : "Lee", "given" : "Won Jae", "non-dropping-particle" : "", "parse-names" : false, "suffix" : "" }, { "dropping-particle" : "", "family" : "Lee", "given" : "Suk-Koo", "non-dropping-particle" : "", "parse-names" : false, "suffix" : "" }, { "dropping-particle" : "", "family" : "Park", "given" : "Cheol Keun", "non-dropping-particle" : "", "parse-names" : false, "suffix" : "" } ], "container-title" : "Medicine", "id" : "ITEM-1", "issue" : "7", "issued" : { "date-parts" : [ [ "2016", "2" ] ] }, "language" : "eng", "page" : "e2718", "publisher-place" : "United States", "title" : "Predicting Hepatic Steatosis in Living Liver Donors via Noninvasive Methods.", "type" : "article-journal", "volume" : "95" }, "uris" : [ "http://www.mendeley.com/documents/?uuid=6c2ef2d7-19d2-4b3b-b6b7-d04388782334" ] } ], "mendeley" : { "formattedCitation" : "&lt;sup&gt;[34]&lt;/sup&gt;", "plainTextFormattedCitation" : "[34]", "previouslyFormattedCitation" : "&lt;sup&gt;[34]&lt;/sup&gt;" }, "properties" : {  }, "schema" : "https://github.com/citation-style-language/schema/raw/master/csl-citation.json" }</w:instrText>
      </w:r>
      <w:r w:rsidR="00300C4C" w:rsidRPr="008A2C60">
        <w:rPr>
          <w:rFonts w:ascii="Book Antiqua" w:hAnsi="Book Antiqua"/>
        </w:rPr>
        <w:fldChar w:fldCharType="separate"/>
      </w:r>
      <w:r w:rsidR="00131F28" w:rsidRPr="008A2C60">
        <w:rPr>
          <w:rFonts w:ascii="Book Antiqua" w:hAnsi="Book Antiqua"/>
          <w:noProof/>
          <w:vertAlign w:val="superscript"/>
        </w:rPr>
        <w:t>[3</w:t>
      </w:r>
      <w:r w:rsidR="00067621">
        <w:rPr>
          <w:rFonts w:ascii="Book Antiqua" w:hAnsi="Book Antiqua" w:hint="eastAsia"/>
          <w:noProof/>
          <w:vertAlign w:val="superscript"/>
          <w:lang w:eastAsia="zh-CN"/>
        </w:rPr>
        <w:t>3</w:t>
      </w:r>
      <w:r w:rsidR="00131F28" w:rsidRPr="008A2C60">
        <w:rPr>
          <w:rFonts w:ascii="Book Antiqua" w:hAnsi="Book Antiqua"/>
          <w:noProof/>
          <w:vertAlign w:val="superscript"/>
        </w:rPr>
        <w:t>]</w:t>
      </w:r>
      <w:r w:rsidR="00300C4C" w:rsidRPr="008A2C60">
        <w:rPr>
          <w:rFonts w:ascii="Book Antiqua" w:hAnsi="Book Antiqua"/>
        </w:rPr>
        <w:fldChar w:fldCharType="end"/>
      </w:r>
      <w:r w:rsidR="001371C3" w:rsidRPr="008A2C60">
        <w:rPr>
          <w:rFonts w:ascii="Book Antiqua" w:hAnsi="Book Antiqua"/>
        </w:rPr>
        <w:t>.</w:t>
      </w:r>
      <w:r w:rsidR="00CE3AFE">
        <w:rPr>
          <w:rFonts w:ascii="Book Antiqua" w:hAnsi="Book Antiqua"/>
        </w:rPr>
        <w:t xml:space="preserve"> </w:t>
      </w:r>
      <w:r w:rsidR="00BA4E78" w:rsidRPr="008A2C60">
        <w:rPr>
          <w:rFonts w:ascii="Book Antiqua" w:hAnsi="Book Antiqua"/>
        </w:rPr>
        <w:t>Because of these challenges, t</w:t>
      </w:r>
      <w:r w:rsidR="00720354" w:rsidRPr="008A2C60">
        <w:rPr>
          <w:rFonts w:ascii="Book Antiqua" w:hAnsi="Book Antiqua"/>
        </w:rPr>
        <w:t>he f</w:t>
      </w:r>
      <w:r w:rsidR="00AB5E77" w:rsidRPr="008A2C60">
        <w:rPr>
          <w:rFonts w:ascii="Book Antiqua" w:hAnsi="Book Antiqua"/>
        </w:rPr>
        <w:t xml:space="preserve">ocus could be </w:t>
      </w:r>
      <w:r w:rsidR="00720354" w:rsidRPr="008A2C60">
        <w:rPr>
          <w:rFonts w:ascii="Book Antiqua" w:hAnsi="Book Antiqua"/>
        </w:rPr>
        <w:t>on developing and</w:t>
      </w:r>
      <w:r w:rsidR="00AB5E77" w:rsidRPr="008A2C60">
        <w:rPr>
          <w:rFonts w:ascii="Book Antiqua" w:hAnsi="Book Antiqua"/>
        </w:rPr>
        <w:t xml:space="preserve"> establishing </w:t>
      </w:r>
      <w:r w:rsidR="00720354" w:rsidRPr="008A2C60">
        <w:rPr>
          <w:rFonts w:ascii="Book Antiqua" w:hAnsi="Book Antiqua"/>
        </w:rPr>
        <w:t>a</w:t>
      </w:r>
      <w:r w:rsidR="00AB5E77" w:rsidRPr="008A2C60">
        <w:rPr>
          <w:rFonts w:ascii="Book Antiqua" w:hAnsi="Book Antiqua"/>
        </w:rPr>
        <w:t xml:space="preserve"> standardized protocol for the monitoring of blood glucose levels. The frequency of test like hemoglobin </w:t>
      </w:r>
      <w:r w:rsidR="00720354" w:rsidRPr="008A2C60">
        <w:rPr>
          <w:rFonts w:ascii="Book Antiqua" w:hAnsi="Book Antiqua"/>
        </w:rPr>
        <w:t>A1</w:t>
      </w:r>
      <w:r w:rsidR="00BA4E78" w:rsidRPr="008A2C60">
        <w:rPr>
          <w:rFonts w:ascii="Book Antiqua" w:hAnsi="Book Antiqua"/>
        </w:rPr>
        <w:t>c</w:t>
      </w:r>
      <w:r w:rsidR="00AB5E77" w:rsidRPr="008A2C60">
        <w:rPr>
          <w:rFonts w:ascii="Book Antiqua" w:hAnsi="Book Antiqua"/>
        </w:rPr>
        <w:t xml:space="preserve">, glucose tolerance test, </w:t>
      </w:r>
      <w:r w:rsidR="00720354" w:rsidRPr="008A2C60">
        <w:rPr>
          <w:rFonts w:ascii="Book Antiqua" w:hAnsi="Book Antiqua"/>
        </w:rPr>
        <w:t xml:space="preserve">and </w:t>
      </w:r>
      <w:r w:rsidR="00AB5E77" w:rsidRPr="008A2C60">
        <w:rPr>
          <w:rFonts w:ascii="Book Antiqua" w:hAnsi="Book Antiqua"/>
        </w:rPr>
        <w:t xml:space="preserve">use of tools </w:t>
      </w:r>
      <w:r w:rsidR="00720354" w:rsidRPr="008A2C60">
        <w:rPr>
          <w:rFonts w:ascii="Book Antiqua" w:hAnsi="Book Antiqua"/>
        </w:rPr>
        <w:t xml:space="preserve">such as </w:t>
      </w:r>
      <w:r w:rsidR="00AB5E77" w:rsidRPr="008A2C60">
        <w:rPr>
          <w:rFonts w:ascii="Book Antiqua" w:hAnsi="Book Antiqua"/>
        </w:rPr>
        <w:t>continuous glucose monitoring should be further explored.</w:t>
      </w:r>
      <w:r w:rsidR="00CE3AFE">
        <w:rPr>
          <w:rFonts w:ascii="Book Antiqua" w:hAnsi="Book Antiqua"/>
        </w:rPr>
        <w:t xml:space="preserve"> </w:t>
      </w:r>
    </w:p>
    <w:p w14:paraId="0DF44B23" w14:textId="09322F2D" w:rsidR="00513695" w:rsidRDefault="009F6BF0" w:rsidP="00B520C8">
      <w:pPr>
        <w:spacing w:line="360" w:lineRule="auto"/>
        <w:ind w:firstLineChars="100" w:firstLine="240"/>
        <w:contextualSpacing/>
        <w:jc w:val="both"/>
        <w:rPr>
          <w:rFonts w:ascii="Book Antiqua" w:hAnsi="Book Antiqua"/>
          <w:lang w:eastAsia="zh-CN"/>
        </w:rPr>
      </w:pPr>
      <w:r w:rsidRPr="008A2C60">
        <w:rPr>
          <w:rFonts w:ascii="Book Antiqua" w:hAnsi="Book Antiqua"/>
        </w:rPr>
        <w:lastRenderedPageBreak/>
        <w:t>Prospective clinical studies need t</w:t>
      </w:r>
      <w:r w:rsidR="00E117BA" w:rsidRPr="008A2C60">
        <w:rPr>
          <w:rFonts w:ascii="Book Antiqua" w:hAnsi="Book Antiqua"/>
        </w:rPr>
        <w:t xml:space="preserve">o further </w:t>
      </w:r>
      <w:r w:rsidRPr="008A2C60">
        <w:rPr>
          <w:rFonts w:ascii="Book Antiqua" w:hAnsi="Book Antiqua"/>
        </w:rPr>
        <w:t>examine</w:t>
      </w:r>
      <w:r w:rsidR="00E117BA" w:rsidRPr="008A2C60">
        <w:rPr>
          <w:rFonts w:ascii="Book Antiqua" w:hAnsi="Book Antiqua"/>
        </w:rPr>
        <w:t xml:space="preserve"> the impact of perioperative glycemic control in </w:t>
      </w:r>
      <w:r w:rsidR="00131561" w:rsidRPr="008A2C60">
        <w:rPr>
          <w:rFonts w:ascii="Book Antiqua" w:hAnsi="Book Antiqua"/>
        </w:rPr>
        <w:t>LT recipients</w:t>
      </w:r>
      <w:r w:rsidRPr="008A2C60">
        <w:rPr>
          <w:rFonts w:ascii="Book Antiqua" w:hAnsi="Book Antiqua"/>
        </w:rPr>
        <w:t xml:space="preserve"> </w:t>
      </w:r>
      <w:r w:rsidR="00131561" w:rsidRPr="008A2C60">
        <w:rPr>
          <w:rFonts w:ascii="Book Antiqua" w:hAnsi="Book Antiqua"/>
        </w:rPr>
        <w:t xml:space="preserve">with specific attention to the </w:t>
      </w:r>
      <w:r w:rsidRPr="008A2C60">
        <w:rPr>
          <w:rFonts w:ascii="Book Antiqua" w:hAnsi="Book Antiqua"/>
        </w:rPr>
        <w:t>outcomes listed above.</w:t>
      </w:r>
      <w:r w:rsidR="00CE3AFE">
        <w:rPr>
          <w:rFonts w:ascii="Book Antiqua" w:hAnsi="Book Antiqua"/>
        </w:rPr>
        <w:t xml:space="preserve"> </w:t>
      </w:r>
      <w:r w:rsidRPr="008A2C60">
        <w:rPr>
          <w:rFonts w:ascii="Book Antiqua" w:hAnsi="Book Antiqua"/>
        </w:rPr>
        <w:t>An ideal target range for BG levels needs to be determined</w:t>
      </w:r>
      <w:r w:rsidR="00EB7DF5" w:rsidRPr="008A2C60">
        <w:rPr>
          <w:rFonts w:ascii="Book Antiqua" w:hAnsi="Book Antiqua"/>
        </w:rPr>
        <w:t xml:space="preserve"> and specifically investigated in terms of reducing </w:t>
      </w:r>
      <w:r w:rsidR="001E2C4D" w:rsidRPr="008A2C60">
        <w:rPr>
          <w:rFonts w:ascii="Book Antiqua" w:hAnsi="Book Antiqua"/>
        </w:rPr>
        <w:t>negative</w:t>
      </w:r>
      <w:r w:rsidR="00EB7DF5" w:rsidRPr="008A2C60">
        <w:rPr>
          <w:rFonts w:ascii="Book Antiqua" w:hAnsi="Book Antiqua"/>
        </w:rPr>
        <w:t xml:space="preserve"> </w:t>
      </w:r>
      <w:r w:rsidR="001E2C4D" w:rsidRPr="008A2C60">
        <w:rPr>
          <w:rFonts w:ascii="Book Antiqua" w:hAnsi="Book Antiqua"/>
        </w:rPr>
        <w:t xml:space="preserve">outcomes associated with </w:t>
      </w:r>
      <w:r w:rsidR="000A34E2" w:rsidRPr="008A2C60">
        <w:rPr>
          <w:rFonts w:ascii="Book Antiqua" w:hAnsi="Book Antiqua"/>
        </w:rPr>
        <w:t xml:space="preserve">both hypo- and </w:t>
      </w:r>
      <w:r w:rsidR="001E2C4D" w:rsidRPr="008A2C60">
        <w:rPr>
          <w:rFonts w:ascii="Book Antiqua" w:hAnsi="Book Antiqua"/>
        </w:rPr>
        <w:t>hyperglycemia</w:t>
      </w:r>
      <w:r w:rsidR="00EB7DF5" w:rsidRPr="008A2C60">
        <w:rPr>
          <w:rFonts w:ascii="Book Antiqua" w:hAnsi="Book Antiqua"/>
        </w:rPr>
        <w:t>, as well as adverse events related to post-LT complications due to impaired glucose control</w:t>
      </w:r>
      <w:r w:rsidR="001E2C4D" w:rsidRPr="008A2C60">
        <w:rPr>
          <w:rFonts w:ascii="Book Antiqua" w:hAnsi="Book Antiqua"/>
        </w:rPr>
        <w:t>.</w:t>
      </w:r>
      <w:r w:rsidR="00CE3AFE">
        <w:rPr>
          <w:rFonts w:ascii="Book Antiqua" w:hAnsi="Book Antiqua"/>
        </w:rPr>
        <w:t xml:space="preserve"> </w:t>
      </w:r>
    </w:p>
    <w:p w14:paraId="091DCA93" w14:textId="77777777" w:rsidR="00067621" w:rsidRPr="00B520C8" w:rsidRDefault="00067621" w:rsidP="00B520C8">
      <w:pPr>
        <w:spacing w:line="360" w:lineRule="auto"/>
        <w:ind w:firstLineChars="100" w:firstLine="240"/>
        <w:contextualSpacing/>
        <w:jc w:val="both"/>
        <w:rPr>
          <w:rFonts w:ascii="Book Antiqua" w:hAnsi="Book Antiqua"/>
          <w:lang w:eastAsia="zh-CN"/>
        </w:rPr>
      </w:pPr>
    </w:p>
    <w:p w14:paraId="77452B35" w14:textId="77777777" w:rsidR="00067621" w:rsidRPr="002B6BD9" w:rsidRDefault="00067621" w:rsidP="00067621">
      <w:pPr>
        <w:adjustRightInd w:val="0"/>
        <w:snapToGrid w:val="0"/>
        <w:spacing w:line="360" w:lineRule="auto"/>
        <w:jc w:val="both"/>
        <w:rPr>
          <w:rFonts w:ascii="Book Antiqua" w:hAnsi="Book Antiqua"/>
          <w:b/>
          <w:lang w:eastAsia="zh-CN"/>
        </w:rPr>
      </w:pPr>
      <w:bookmarkStart w:id="211" w:name="OLE_LINK8"/>
      <w:bookmarkStart w:id="212" w:name="OLE_LINK22"/>
      <w:bookmarkStart w:id="213" w:name="OLE_LINK1087"/>
      <w:bookmarkStart w:id="214" w:name="OLE_LINK1088"/>
      <w:bookmarkStart w:id="215" w:name="OLE_LINK1089"/>
      <w:bookmarkStart w:id="216" w:name="OLE_LINK1090"/>
      <w:bookmarkStart w:id="217" w:name="OLE_LINK1234"/>
      <w:bookmarkStart w:id="218" w:name="OLE_LINK1235"/>
      <w:bookmarkStart w:id="219" w:name="OLE_LINK1236"/>
      <w:bookmarkStart w:id="220" w:name="OLE_LINK1237"/>
      <w:bookmarkStart w:id="221" w:name="OLE_LINK1238"/>
      <w:bookmarkStart w:id="222" w:name="OLE_LINK1239"/>
      <w:bookmarkStart w:id="223" w:name="OLE_LINK1240"/>
      <w:bookmarkStart w:id="224" w:name="OLE_LINK1241"/>
      <w:bookmarkStart w:id="225" w:name="OLE_LINK1420"/>
      <w:r w:rsidRPr="002B6BD9">
        <w:rPr>
          <w:rFonts w:ascii="Book Antiqua" w:hAnsi="Book Antiqua"/>
          <w:b/>
        </w:rPr>
        <w:t>ARTICLE HIGHLIGHTS</w:t>
      </w:r>
    </w:p>
    <w:p w14:paraId="33977BED" w14:textId="77777777" w:rsidR="00067621" w:rsidRPr="007B7BDC" w:rsidRDefault="00067621" w:rsidP="00067621">
      <w:pPr>
        <w:adjustRightInd w:val="0"/>
        <w:snapToGrid w:val="0"/>
        <w:spacing w:line="360" w:lineRule="auto"/>
        <w:jc w:val="both"/>
        <w:rPr>
          <w:rFonts w:ascii="Book Antiqua" w:hAnsi="Book Antiqua"/>
          <w:b/>
          <w:i/>
          <w:color w:val="000000"/>
        </w:rPr>
      </w:pPr>
      <w:r w:rsidRPr="007B7BDC">
        <w:rPr>
          <w:rFonts w:ascii="Book Antiqua" w:hAnsi="Book Antiqua"/>
          <w:b/>
          <w:i/>
          <w:color w:val="000000"/>
        </w:rPr>
        <w:t>Research background</w:t>
      </w:r>
    </w:p>
    <w:bookmarkEnd w:id="211"/>
    <w:bookmarkEnd w:id="212"/>
    <w:p w14:paraId="557A0DAF" w14:textId="77777777" w:rsidR="00067621" w:rsidRPr="007B7BDC" w:rsidRDefault="00067621" w:rsidP="00067621">
      <w:pPr>
        <w:adjustRightInd w:val="0"/>
        <w:snapToGrid w:val="0"/>
        <w:spacing w:line="360" w:lineRule="auto"/>
        <w:jc w:val="both"/>
        <w:rPr>
          <w:rFonts w:ascii="Book Antiqua" w:hAnsi="Book Antiqua"/>
          <w:color w:val="000000"/>
        </w:rPr>
      </w:pPr>
      <w:r>
        <w:rPr>
          <w:rFonts w:ascii="Book Antiqua" w:hAnsi="Book Antiqua"/>
          <w:color w:val="000000"/>
        </w:rPr>
        <w:t>There are no standard guidelines to properly manage hyperglycemia in the</w:t>
      </w:r>
      <w:r>
        <w:rPr>
          <w:rFonts w:ascii="Book Antiqua" w:hAnsi="Book Antiqua" w:hint="eastAsia"/>
          <w:color w:val="000000"/>
          <w:lang w:eastAsia="zh-CN"/>
        </w:rPr>
        <w:t xml:space="preserve"> </w:t>
      </w:r>
      <w:r>
        <w:rPr>
          <w:rFonts w:ascii="Book Antiqua" w:hAnsi="Book Antiqua"/>
          <w:color w:val="000000"/>
        </w:rPr>
        <w:t xml:space="preserve">perioperative period of liver transplantation. </w:t>
      </w:r>
    </w:p>
    <w:p w14:paraId="466BE391" w14:textId="77777777" w:rsidR="00067621" w:rsidRPr="007B7BDC" w:rsidRDefault="00067621" w:rsidP="00067621">
      <w:pPr>
        <w:adjustRightInd w:val="0"/>
        <w:snapToGrid w:val="0"/>
        <w:spacing w:line="360" w:lineRule="auto"/>
        <w:jc w:val="both"/>
        <w:rPr>
          <w:rFonts w:ascii="Book Antiqua" w:hAnsi="Book Antiqua"/>
          <w:color w:val="000000"/>
        </w:rPr>
      </w:pPr>
    </w:p>
    <w:p w14:paraId="34060838" w14:textId="77777777" w:rsidR="00067621" w:rsidRPr="007B7BDC" w:rsidRDefault="00067621" w:rsidP="00067621">
      <w:pPr>
        <w:adjustRightInd w:val="0"/>
        <w:snapToGrid w:val="0"/>
        <w:spacing w:line="360" w:lineRule="auto"/>
        <w:jc w:val="both"/>
        <w:rPr>
          <w:rFonts w:ascii="Book Antiqua" w:hAnsi="Book Antiqua"/>
          <w:b/>
          <w:i/>
          <w:color w:val="000000"/>
        </w:rPr>
      </w:pPr>
      <w:r w:rsidRPr="007B7BDC">
        <w:rPr>
          <w:rFonts w:ascii="Book Antiqua" w:hAnsi="Book Antiqua"/>
          <w:b/>
          <w:i/>
          <w:color w:val="000000"/>
        </w:rPr>
        <w:t>Research motivation</w:t>
      </w:r>
    </w:p>
    <w:p w14:paraId="66761E50" w14:textId="77777777" w:rsidR="00067621" w:rsidRPr="007B7BDC" w:rsidRDefault="00067621" w:rsidP="00067621">
      <w:pPr>
        <w:adjustRightInd w:val="0"/>
        <w:snapToGrid w:val="0"/>
        <w:spacing w:line="360" w:lineRule="auto"/>
        <w:jc w:val="both"/>
        <w:rPr>
          <w:rFonts w:ascii="Book Antiqua" w:hAnsi="Book Antiqua"/>
          <w:color w:val="000000"/>
        </w:rPr>
      </w:pPr>
      <w:r>
        <w:rPr>
          <w:rFonts w:ascii="Book Antiqua" w:hAnsi="Book Antiqua"/>
          <w:color w:val="000000"/>
        </w:rPr>
        <w:t>Understanding the importance of blood glucose level and proper strategies to manage post-liver transplantation hyperglycemia could help reduce adverse outcomes</w:t>
      </w:r>
    </w:p>
    <w:p w14:paraId="5C75D853" w14:textId="77777777" w:rsidR="00067621" w:rsidRPr="007B7BDC" w:rsidRDefault="00067621" w:rsidP="00067621">
      <w:pPr>
        <w:adjustRightInd w:val="0"/>
        <w:snapToGrid w:val="0"/>
        <w:spacing w:line="360" w:lineRule="auto"/>
        <w:jc w:val="both"/>
        <w:rPr>
          <w:rFonts w:ascii="Book Antiqua" w:hAnsi="Book Antiqua"/>
          <w:b/>
          <w:color w:val="000000"/>
        </w:rPr>
      </w:pPr>
    </w:p>
    <w:p w14:paraId="2FF8CC42" w14:textId="77777777" w:rsidR="00067621" w:rsidRPr="007B7BDC" w:rsidRDefault="00067621" w:rsidP="00067621">
      <w:pPr>
        <w:adjustRightInd w:val="0"/>
        <w:snapToGrid w:val="0"/>
        <w:spacing w:line="360" w:lineRule="auto"/>
        <w:jc w:val="both"/>
        <w:rPr>
          <w:rFonts w:ascii="Book Antiqua" w:hAnsi="Book Antiqua"/>
          <w:b/>
          <w:i/>
          <w:color w:val="000000"/>
        </w:rPr>
      </w:pPr>
      <w:r w:rsidRPr="007B7BDC">
        <w:rPr>
          <w:rFonts w:ascii="Book Antiqua" w:hAnsi="Book Antiqua"/>
          <w:b/>
          <w:i/>
          <w:color w:val="000000"/>
        </w:rPr>
        <w:t xml:space="preserve">Research objectives </w:t>
      </w:r>
    </w:p>
    <w:p w14:paraId="76C0CD3A" w14:textId="39510A26" w:rsidR="00067621" w:rsidRPr="002B6BD9" w:rsidRDefault="00067621" w:rsidP="00067621">
      <w:pPr>
        <w:adjustRightInd w:val="0"/>
        <w:snapToGrid w:val="0"/>
        <w:spacing w:line="360" w:lineRule="auto"/>
        <w:jc w:val="both"/>
        <w:rPr>
          <w:rFonts w:ascii="Book Antiqua" w:hAnsi="Book Antiqua"/>
          <w:color w:val="000000"/>
        </w:rPr>
      </w:pPr>
      <w:r w:rsidRPr="002B6BD9">
        <w:rPr>
          <w:rFonts w:ascii="Book Antiqua" w:hAnsi="Book Antiqua"/>
          <w:color w:val="000000"/>
        </w:rPr>
        <w:t>The primary objective was to identify an ideal blood glucose level to achieve in the perioperative period for patients un</w:t>
      </w:r>
      <w:r w:rsidR="00ED3100">
        <w:rPr>
          <w:rFonts w:ascii="Book Antiqua" w:hAnsi="Book Antiqua"/>
          <w:color w:val="000000"/>
        </w:rPr>
        <w:t>dergoing liver transplantation.</w:t>
      </w:r>
      <w:r w:rsidRPr="002B6BD9">
        <w:rPr>
          <w:rFonts w:ascii="Book Antiqua" w:hAnsi="Book Antiqua"/>
          <w:color w:val="000000"/>
        </w:rPr>
        <w:t xml:space="preserve"> In addition, exploring treatment regimens to achieve the target blood glucose can help identify better strategies for the management of these patients in the future.</w:t>
      </w:r>
    </w:p>
    <w:p w14:paraId="5D8E0E53" w14:textId="77777777" w:rsidR="00067621" w:rsidRPr="007B7BDC" w:rsidRDefault="00067621" w:rsidP="00067621">
      <w:pPr>
        <w:adjustRightInd w:val="0"/>
        <w:snapToGrid w:val="0"/>
        <w:spacing w:line="360" w:lineRule="auto"/>
        <w:jc w:val="both"/>
        <w:rPr>
          <w:rFonts w:ascii="Book Antiqua" w:hAnsi="Book Antiqua"/>
          <w:b/>
          <w:color w:val="000000"/>
        </w:rPr>
      </w:pPr>
    </w:p>
    <w:p w14:paraId="2DC86157" w14:textId="77777777" w:rsidR="00067621" w:rsidRPr="007B7BDC" w:rsidRDefault="00067621" w:rsidP="00067621">
      <w:pPr>
        <w:adjustRightInd w:val="0"/>
        <w:snapToGrid w:val="0"/>
        <w:spacing w:line="360" w:lineRule="auto"/>
        <w:jc w:val="both"/>
        <w:rPr>
          <w:rFonts w:ascii="Book Antiqua" w:hAnsi="Book Antiqua"/>
          <w:b/>
          <w:i/>
          <w:color w:val="000000"/>
        </w:rPr>
      </w:pPr>
      <w:r w:rsidRPr="007B7BDC">
        <w:rPr>
          <w:rFonts w:ascii="Book Antiqua" w:hAnsi="Book Antiqua"/>
          <w:b/>
          <w:i/>
          <w:color w:val="000000"/>
        </w:rPr>
        <w:t>Research methods</w:t>
      </w:r>
    </w:p>
    <w:p w14:paraId="7B4B229D" w14:textId="7D221DA0" w:rsidR="00067621" w:rsidRPr="002B6BD9" w:rsidRDefault="00067621" w:rsidP="00067621">
      <w:pPr>
        <w:adjustRightInd w:val="0"/>
        <w:snapToGrid w:val="0"/>
        <w:spacing w:line="360" w:lineRule="auto"/>
        <w:jc w:val="both"/>
        <w:rPr>
          <w:rFonts w:ascii="Book Antiqua" w:hAnsi="Book Antiqua"/>
          <w:color w:val="000000"/>
          <w:lang w:eastAsia="zh-CN"/>
        </w:rPr>
      </w:pPr>
      <w:r w:rsidRPr="002B6BD9">
        <w:rPr>
          <w:rFonts w:ascii="Book Antiqua" w:hAnsi="Book Antiqua"/>
          <w:color w:val="000000"/>
        </w:rPr>
        <w:t>This is a qualitative systematic review that utilized key search terms to find studies on PubM</w:t>
      </w:r>
      <w:r>
        <w:rPr>
          <w:rFonts w:ascii="Book Antiqua" w:hAnsi="Book Antiqua"/>
          <w:color w:val="000000"/>
        </w:rPr>
        <w:t xml:space="preserve">ed and other common databases. </w:t>
      </w:r>
      <w:r w:rsidRPr="002B6BD9">
        <w:rPr>
          <w:rFonts w:ascii="Book Antiqua" w:hAnsi="Book Antiqua"/>
          <w:color w:val="000000"/>
        </w:rPr>
        <w:t>The search terms were in relation to liver transplantation and blood glucose level management</w:t>
      </w:r>
      <w:r>
        <w:rPr>
          <w:rFonts w:ascii="Book Antiqua" w:hAnsi="Book Antiqua"/>
          <w:color w:val="000000"/>
        </w:rPr>
        <w:t xml:space="preserve"> in the peri</w:t>
      </w:r>
      <w:r w:rsidR="00ED3100">
        <w:rPr>
          <w:rFonts w:ascii="Book Antiqua" w:hAnsi="Book Antiqua"/>
          <w:color w:val="000000"/>
        </w:rPr>
        <w:t xml:space="preserve">operative period. </w:t>
      </w:r>
    </w:p>
    <w:p w14:paraId="0C7BE357" w14:textId="77777777" w:rsidR="00067621" w:rsidRPr="007B7BDC" w:rsidRDefault="00067621" w:rsidP="00067621">
      <w:pPr>
        <w:adjustRightInd w:val="0"/>
        <w:snapToGrid w:val="0"/>
        <w:spacing w:line="360" w:lineRule="auto"/>
        <w:jc w:val="both"/>
        <w:rPr>
          <w:rFonts w:ascii="Book Antiqua" w:hAnsi="Book Antiqua"/>
          <w:b/>
          <w:color w:val="000000"/>
        </w:rPr>
      </w:pPr>
    </w:p>
    <w:p w14:paraId="07CD2F4A" w14:textId="77777777" w:rsidR="00067621" w:rsidRPr="007B7BDC" w:rsidRDefault="00067621" w:rsidP="00067621">
      <w:pPr>
        <w:adjustRightInd w:val="0"/>
        <w:snapToGrid w:val="0"/>
        <w:spacing w:line="360" w:lineRule="auto"/>
        <w:jc w:val="both"/>
        <w:rPr>
          <w:rFonts w:ascii="Book Antiqua" w:hAnsi="Book Antiqua"/>
          <w:b/>
          <w:i/>
          <w:color w:val="000000"/>
        </w:rPr>
      </w:pPr>
      <w:r w:rsidRPr="007B7BDC">
        <w:rPr>
          <w:rFonts w:ascii="Book Antiqua" w:hAnsi="Book Antiqua"/>
          <w:b/>
          <w:i/>
          <w:color w:val="000000"/>
        </w:rPr>
        <w:t>Research results</w:t>
      </w:r>
    </w:p>
    <w:p w14:paraId="659BE393" w14:textId="321CE999" w:rsidR="00067621" w:rsidRDefault="00067621" w:rsidP="00067621">
      <w:pPr>
        <w:adjustRightInd w:val="0"/>
        <w:snapToGrid w:val="0"/>
        <w:spacing w:line="360" w:lineRule="auto"/>
        <w:jc w:val="both"/>
        <w:rPr>
          <w:rFonts w:ascii="Book Antiqua" w:hAnsi="Book Antiqua" w:cs="Segoe UI"/>
          <w:shd w:val="clear" w:color="auto" w:fill="FFFFFF"/>
        </w:rPr>
      </w:pPr>
      <w:r>
        <w:rPr>
          <w:rFonts w:ascii="Book Antiqua" w:hAnsi="Book Antiqua" w:cs="Segoe UI"/>
          <w:shd w:val="clear" w:color="auto" w:fill="FFFFFF"/>
        </w:rPr>
        <w:t>A total of 14 studies fit the criteria to</w:t>
      </w:r>
      <w:r w:rsidR="00ED3100">
        <w:rPr>
          <w:rFonts w:ascii="Book Antiqua" w:hAnsi="Book Antiqua" w:cs="Segoe UI"/>
          <w:shd w:val="clear" w:color="auto" w:fill="FFFFFF"/>
        </w:rPr>
        <w:t xml:space="preserve"> properly study the objectives.</w:t>
      </w:r>
      <w:r>
        <w:rPr>
          <w:rFonts w:ascii="Book Antiqua" w:hAnsi="Book Antiqua" w:cs="Segoe UI"/>
          <w:shd w:val="clear" w:color="auto" w:fill="FFFFFF"/>
        </w:rPr>
        <w:t xml:space="preserve"> The findings from this qualitative review suggests that blood glucose levels greater than or equal to 150 </w:t>
      </w:r>
      <w:r>
        <w:rPr>
          <w:rFonts w:ascii="Book Antiqua" w:hAnsi="Book Antiqua" w:cs="Segoe UI"/>
          <w:shd w:val="clear" w:color="auto" w:fill="FFFFFF"/>
        </w:rPr>
        <w:lastRenderedPageBreak/>
        <w:t>mg/</w:t>
      </w:r>
      <w:proofErr w:type="spellStart"/>
      <w:r>
        <w:rPr>
          <w:rFonts w:ascii="Book Antiqua" w:hAnsi="Book Antiqua" w:cs="Segoe UI"/>
          <w:shd w:val="clear" w:color="auto" w:fill="FFFFFF"/>
        </w:rPr>
        <w:t>dL</w:t>
      </w:r>
      <w:proofErr w:type="spellEnd"/>
      <w:r>
        <w:rPr>
          <w:rFonts w:ascii="Book Antiqua" w:hAnsi="Book Antiqua" w:cs="Segoe UI"/>
          <w:shd w:val="clear" w:color="auto" w:fill="FFFFFF"/>
        </w:rPr>
        <w:t xml:space="preserve"> in the perioperative period generally leads to negative post-liver transplantation outcomes. Specifically, there was an increased risk of infections, graft </w:t>
      </w:r>
      <w:r w:rsidR="00ED3100">
        <w:rPr>
          <w:rFonts w:ascii="Book Antiqua" w:hAnsi="Book Antiqua" w:cs="Segoe UI"/>
          <w:shd w:val="clear" w:color="auto" w:fill="FFFFFF"/>
        </w:rPr>
        <w:t>rejection, PTDM, and mortality.</w:t>
      </w:r>
      <w:r>
        <w:rPr>
          <w:rFonts w:ascii="Book Antiqua" w:hAnsi="Book Antiqua" w:cs="Segoe UI"/>
          <w:shd w:val="clear" w:color="auto" w:fill="FFFFFF"/>
        </w:rPr>
        <w:t xml:space="preserve"> Graft survival was not impacted by hyperglycemia and there was an increased risk of </w:t>
      </w:r>
      <w:r w:rsidRPr="008A2C60">
        <w:rPr>
          <w:rFonts w:ascii="Book Antiqua" w:hAnsi="Book Antiqua"/>
        </w:rPr>
        <w:t>acute kidney injury</w:t>
      </w:r>
      <w:r>
        <w:rPr>
          <w:rFonts w:ascii="Book Antiqua" w:hAnsi="Book Antiqua" w:cs="Segoe UI"/>
          <w:shd w:val="clear" w:color="auto" w:fill="FFFFFF"/>
        </w:rPr>
        <w:t xml:space="preserve"> with high glucose variability in the perioperative period.</w:t>
      </w:r>
    </w:p>
    <w:p w14:paraId="2876795D" w14:textId="77777777" w:rsidR="00067621" w:rsidRPr="007B7BDC" w:rsidRDefault="00067621" w:rsidP="00067621">
      <w:pPr>
        <w:adjustRightInd w:val="0"/>
        <w:snapToGrid w:val="0"/>
        <w:spacing w:line="360" w:lineRule="auto"/>
        <w:jc w:val="both"/>
        <w:rPr>
          <w:rFonts w:ascii="Book Antiqua" w:hAnsi="Book Antiqua" w:cs="Segoe UI"/>
          <w:shd w:val="clear" w:color="auto" w:fill="FFFFFF"/>
        </w:rPr>
      </w:pPr>
    </w:p>
    <w:p w14:paraId="641A9B08" w14:textId="77777777" w:rsidR="00067621" w:rsidRPr="007B7BDC" w:rsidRDefault="00067621" w:rsidP="00067621">
      <w:pPr>
        <w:adjustRightInd w:val="0"/>
        <w:snapToGrid w:val="0"/>
        <w:spacing w:line="360" w:lineRule="auto"/>
        <w:jc w:val="both"/>
        <w:rPr>
          <w:rFonts w:ascii="Book Antiqua" w:hAnsi="Book Antiqua" w:cs="Segoe UI"/>
          <w:b/>
          <w:i/>
          <w:color w:val="333333"/>
          <w:shd w:val="clear" w:color="auto" w:fill="FFFFFF"/>
        </w:rPr>
      </w:pPr>
      <w:r w:rsidRPr="007B7BDC">
        <w:rPr>
          <w:rFonts w:ascii="Book Antiqua" w:hAnsi="Book Antiqua"/>
          <w:b/>
          <w:i/>
          <w:color w:val="000000"/>
        </w:rPr>
        <w:t>Research conclusions</w:t>
      </w:r>
    </w:p>
    <w:p w14:paraId="6BBA6F39" w14:textId="77777777" w:rsidR="00067621" w:rsidRPr="007B7BDC" w:rsidRDefault="00067621" w:rsidP="00067621">
      <w:pPr>
        <w:adjustRightInd w:val="0"/>
        <w:snapToGrid w:val="0"/>
        <w:spacing w:line="360" w:lineRule="auto"/>
        <w:jc w:val="both"/>
        <w:rPr>
          <w:rFonts w:ascii="Book Antiqua" w:hAnsi="Book Antiqua" w:cs="Segoe UI"/>
          <w:color w:val="333333"/>
          <w:shd w:val="clear" w:color="auto" w:fill="FFFFFF"/>
        </w:rPr>
      </w:pPr>
      <w:r>
        <w:rPr>
          <w:rFonts w:ascii="Book Antiqua" w:hAnsi="Book Antiqua" w:cs="Segoe UI"/>
          <w:color w:val="333333"/>
          <w:shd w:val="clear" w:color="auto" w:fill="FFFFFF"/>
        </w:rPr>
        <w:t>The findings from the compiled studies in this review suggest a blood glucose level between 120 mg/</w:t>
      </w:r>
      <w:proofErr w:type="spellStart"/>
      <w:r>
        <w:rPr>
          <w:rFonts w:ascii="Book Antiqua" w:hAnsi="Book Antiqua" w:cs="Segoe UI"/>
          <w:color w:val="333333"/>
          <w:shd w:val="clear" w:color="auto" w:fill="FFFFFF"/>
        </w:rPr>
        <w:t>dL</w:t>
      </w:r>
      <w:proofErr w:type="spellEnd"/>
      <w:r>
        <w:rPr>
          <w:rFonts w:ascii="Book Antiqua" w:hAnsi="Book Antiqua" w:cs="Segoe UI"/>
          <w:color w:val="333333"/>
          <w:shd w:val="clear" w:color="auto" w:fill="FFFFFF"/>
        </w:rPr>
        <w:t xml:space="preserve"> and 150 mg/</w:t>
      </w:r>
      <w:proofErr w:type="spellStart"/>
      <w:r>
        <w:rPr>
          <w:rFonts w:ascii="Book Antiqua" w:hAnsi="Book Antiqua" w:cs="Segoe UI"/>
          <w:color w:val="333333"/>
          <w:shd w:val="clear" w:color="auto" w:fill="FFFFFF"/>
        </w:rPr>
        <w:t>dL</w:t>
      </w:r>
      <w:proofErr w:type="spellEnd"/>
      <w:r>
        <w:rPr>
          <w:rFonts w:ascii="Book Antiqua" w:hAnsi="Book Antiqua" w:cs="Segoe UI"/>
          <w:color w:val="333333"/>
          <w:shd w:val="clear" w:color="auto" w:fill="FFFFFF"/>
        </w:rPr>
        <w:t xml:space="preserve"> could potentially be an ideal target to manage hyperglycemia post-liver transplantation. In addition, early screening, use of oral agents, and utilizing resources such as a glucose management service could be potential strategies to limit adverse outcomes post-transplantation.</w:t>
      </w:r>
    </w:p>
    <w:p w14:paraId="6A49DE6E" w14:textId="77777777" w:rsidR="00067621" w:rsidRDefault="00067621" w:rsidP="00067621">
      <w:pPr>
        <w:adjustRightInd w:val="0"/>
        <w:snapToGrid w:val="0"/>
        <w:spacing w:line="360" w:lineRule="auto"/>
        <w:jc w:val="both"/>
        <w:rPr>
          <w:rFonts w:ascii="Book Antiqua" w:hAnsi="Book Antiqua" w:cs="Segoe UI"/>
          <w:b/>
          <w:i/>
          <w:color w:val="000000"/>
          <w:shd w:val="clear" w:color="auto" w:fill="FFFFFF"/>
        </w:rPr>
      </w:pPr>
    </w:p>
    <w:p w14:paraId="2EE7246A" w14:textId="77777777" w:rsidR="00067621" w:rsidRPr="002B6BD9" w:rsidRDefault="00067621" w:rsidP="00067621">
      <w:pPr>
        <w:adjustRightInd w:val="0"/>
        <w:snapToGrid w:val="0"/>
        <w:spacing w:line="360" w:lineRule="auto"/>
        <w:jc w:val="both"/>
        <w:rPr>
          <w:rFonts w:ascii="Book Antiqua" w:hAnsi="Book Antiqua" w:cs="Segoe UI"/>
          <w:b/>
          <w:i/>
          <w:color w:val="000000"/>
          <w:shd w:val="clear" w:color="auto" w:fill="FFFFFF"/>
        </w:rPr>
      </w:pPr>
      <w:r w:rsidRPr="007B7BDC">
        <w:rPr>
          <w:rFonts w:ascii="Book Antiqua" w:hAnsi="Book Antiqua" w:cs="Segoe UI"/>
          <w:b/>
          <w:i/>
          <w:color w:val="000000"/>
          <w:shd w:val="clear" w:color="auto" w:fill="FFFFFF"/>
        </w:rPr>
        <w:t>Research perspectives</w:t>
      </w:r>
    </w:p>
    <w:bookmarkEnd w:id="213"/>
    <w:bookmarkEnd w:id="214"/>
    <w:bookmarkEnd w:id="215"/>
    <w:bookmarkEnd w:id="216"/>
    <w:bookmarkEnd w:id="217"/>
    <w:bookmarkEnd w:id="218"/>
    <w:bookmarkEnd w:id="219"/>
    <w:bookmarkEnd w:id="220"/>
    <w:bookmarkEnd w:id="221"/>
    <w:bookmarkEnd w:id="222"/>
    <w:bookmarkEnd w:id="223"/>
    <w:bookmarkEnd w:id="224"/>
    <w:bookmarkEnd w:id="225"/>
    <w:p w14:paraId="0428D806" w14:textId="746CB30C" w:rsidR="00985A88" w:rsidRDefault="00067621" w:rsidP="00067621">
      <w:pPr>
        <w:spacing w:line="360" w:lineRule="auto"/>
        <w:jc w:val="both"/>
        <w:rPr>
          <w:rFonts w:ascii="Book Antiqua" w:hAnsi="Book Antiqua"/>
          <w:lang w:eastAsia="zh-CN"/>
        </w:rPr>
      </w:pPr>
      <w:r>
        <w:rPr>
          <w:rFonts w:ascii="Book Antiqua" w:hAnsi="Book Antiqua"/>
          <w:lang w:eastAsia="zh-CN"/>
        </w:rPr>
        <w:t>Future studies can validate the findings from this review through a prospective study while implementing some of the strategies discussed in this review to minimize post-liver transplantation outcomes.</w:t>
      </w:r>
    </w:p>
    <w:p w14:paraId="56F11C94" w14:textId="77777777" w:rsidR="00067621" w:rsidRPr="008A2C60" w:rsidRDefault="00067621" w:rsidP="00067621">
      <w:pPr>
        <w:spacing w:line="360" w:lineRule="auto"/>
        <w:jc w:val="both"/>
        <w:rPr>
          <w:rFonts w:ascii="Book Antiqua" w:hAnsi="Book Antiqua"/>
          <w:b/>
        </w:rPr>
      </w:pPr>
    </w:p>
    <w:p w14:paraId="5FA82AAC" w14:textId="55CA5C37" w:rsidR="00C26D7B" w:rsidRDefault="00C26D7B" w:rsidP="00C26D7B">
      <w:pPr>
        <w:autoSpaceDE w:val="0"/>
        <w:autoSpaceDN w:val="0"/>
        <w:adjustRightInd w:val="0"/>
        <w:spacing w:line="360" w:lineRule="auto"/>
        <w:contextualSpacing/>
        <w:jc w:val="both"/>
        <w:rPr>
          <w:rFonts w:ascii="Book Antiqua" w:hAnsi="Book Antiqua" w:cs="Times New Roman"/>
          <w:b/>
          <w:lang w:eastAsia="zh-CN"/>
        </w:rPr>
      </w:pPr>
      <w:r w:rsidRPr="008A2C60">
        <w:rPr>
          <w:rFonts w:ascii="Book Antiqua" w:hAnsi="Book Antiqua" w:cs="Times New Roman"/>
          <w:b/>
        </w:rPr>
        <w:t>ACKNOWLEDGEMENTS</w:t>
      </w:r>
    </w:p>
    <w:p w14:paraId="05933CCA" w14:textId="0673AC77" w:rsidR="00C26D7B" w:rsidRDefault="00985A88" w:rsidP="00C26D7B">
      <w:pPr>
        <w:autoSpaceDE w:val="0"/>
        <w:autoSpaceDN w:val="0"/>
        <w:adjustRightInd w:val="0"/>
        <w:spacing w:line="360" w:lineRule="auto"/>
        <w:contextualSpacing/>
        <w:jc w:val="both"/>
        <w:rPr>
          <w:rFonts w:ascii="Book Antiqua" w:hAnsi="Book Antiqua" w:cs="Times New Roman"/>
          <w:b/>
          <w:lang w:eastAsia="zh-CN"/>
        </w:rPr>
      </w:pPr>
      <w:r w:rsidRPr="008A2C60">
        <w:rPr>
          <w:rFonts w:ascii="Book Antiqua" w:hAnsi="Book Antiqua" w:cs="Times New Roman"/>
        </w:rPr>
        <w:t>The authors would like to thank Rachael Posey of The UNC Health Sciences Library for her assistance in designing the search strategy</w:t>
      </w:r>
      <w:r w:rsidR="00C26D7B">
        <w:rPr>
          <w:rFonts w:ascii="Book Antiqua" w:hAnsi="Book Antiqua" w:cs="Times New Roman" w:hint="eastAsia"/>
          <w:lang w:eastAsia="zh-CN"/>
        </w:rPr>
        <w:t>.</w:t>
      </w:r>
    </w:p>
    <w:p w14:paraId="35151FDA" w14:textId="77777777" w:rsidR="00C26D7B" w:rsidRDefault="00C26D7B" w:rsidP="00C26D7B">
      <w:pPr>
        <w:jc w:val="both"/>
        <w:rPr>
          <w:rFonts w:ascii="Book Antiqua" w:hAnsi="Book Antiqua" w:cs="Times New Roman"/>
          <w:b/>
        </w:rPr>
      </w:pPr>
      <w:r>
        <w:rPr>
          <w:rFonts w:ascii="Book Antiqua" w:hAnsi="Book Antiqua" w:cs="Times New Roman"/>
          <w:b/>
        </w:rPr>
        <w:br w:type="page"/>
      </w:r>
    </w:p>
    <w:p w14:paraId="12A40C3D" w14:textId="30280ACA" w:rsidR="00C26D7B" w:rsidRDefault="00C26D7B" w:rsidP="00C26D7B">
      <w:pPr>
        <w:autoSpaceDE w:val="0"/>
        <w:autoSpaceDN w:val="0"/>
        <w:adjustRightInd w:val="0"/>
        <w:spacing w:line="360" w:lineRule="auto"/>
        <w:contextualSpacing/>
        <w:jc w:val="both"/>
        <w:rPr>
          <w:rFonts w:ascii="Book Antiqua" w:hAnsi="Book Antiqua"/>
          <w:b/>
          <w:lang w:eastAsia="zh-CN"/>
        </w:rPr>
      </w:pPr>
      <w:r w:rsidRPr="008A2C60">
        <w:rPr>
          <w:rFonts w:ascii="Book Antiqua" w:hAnsi="Book Antiqua"/>
          <w:b/>
        </w:rPr>
        <w:lastRenderedPageBreak/>
        <w:t>REFERENCES</w:t>
      </w:r>
    </w:p>
    <w:p w14:paraId="31DF7B30" w14:textId="77777777" w:rsidR="00C26D7B" w:rsidRDefault="00C26D7B" w:rsidP="00C26D7B">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rPr>
        <w:t>Wallia</w:t>
      </w:r>
      <w:proofErr w:type="spellEnd"/>
      <w:r>
        <w:rPr>
          <w:rFonts w:ascii="Book Antiqua" w:hAnsi="Book Antiqua"/>
          <w:b/>
        </w:rPr>
        <w:t xml:space="preserve"> A</w:t>
      </w:r>
      <w:r>
        <w:rPr>
          <w:rFonts w:ascii="Book Antiqua" w:hAnsi="Book Antiqua"/>
        </w:rPr>
        <w:t xml:space="preserve">, Parikh ND, </w:t>
      </w:r>
      <w:proofErr w:type="spellStart"/>
      <w:r>
        <w:rPr>
          <w:rFonts w:ascii="Book Antiqua" w:hAnsi="Book Antiqua"/>
        </w:rPr>
        <w:t>Molitch</w:t>
      </w:r>
      <w:proofErr w:type="spellEnd"/>
      <w:r>
        <w:rPr>
          <w:rFonts w:ascii="Book Antiqua" w:hAnsi="Book Antiqua"/>
        </w:rPr>
        <w:t xml:space="preserve"> ME, Mahler E, Tian L, Huang JJ, </w:t>
      </w:r>
      <w:proofErr w:type="spellStart"/>
      <w:r>
        <w:rPr>
          <w:rFonts w:ascii="Book Antiqua" w:hAnsi="Book Antiqua"/>
        </w:rPr>
        <w:t>Levitsky</w:t>
      </w:r>
      <w:proofErr w:type="spellEnd"/>
      <w:r>
        <w:rPr>
          <w:rFonts w:ascii="Book Antiqua" w:hAnsi="Book Antiqua"/>
        </w:rPr>
        <w:t xml:space="preserve"> J. Posttransplant hyperglycemia is associated with increased risk of liver allograft rejection. </w:t>
      </w:r>
      <w:r>
        <w:rPr>
          <w:rFonts w:ascii="Book Antiqua" w:hAnsi="Book Antiqua"/>
          <w:i/>
        </w:rPr>
        <w:t>Transplantation</w:t>
      </w:r>
      <w:r>
        <w:rPr>
          <w:rFonts w:ascii="Book Antiqua" w:hAnsi="Book Antiqua"/>
        </w:rPr>
        <w:t xml:space="preserve"> 2010; </w:t>
      </w:r>
      <w:r>
        <w:rPr>
          <w:rFonts w:ascii="Book Antiqua" w:hAnsi="Book Antiqua"/>
          <w:b/>
        </w:rPr>
        <w:t>89</w:t>
      </w:r>
      <w:r>
        <w:rPr>
          <w:rFonts w:ascii="Book Antiqua" w:hAnsi="Book Antiqua"/>
        </w:rPr>
        <w:t>: 222-226 [PMID: 20098286 DOI: 10.1097/TP.0b013e3181c3c2ff]</w:t>
      </w:r>
    </w:p>
    <w:p w14:paraId="6585A1FF"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2 </w:t>
      </w:r>
      <w:r>
        <w:rPr>
          <w:rFonts w:ascii="Book Antiqua" w:hAnsi="Book Antiqua"/>
          <w:b/>
        </w:rPr>
        <w:t>Marvin MR</w:t>
      </w:r>
      <w:r>
        <w:rPr>
          <w:rFonts w:ascii="Book Antiqua" w:hAnsi="Book Antiqua"/>
        </w:rPr>
        <w:t>, Morton V. Glycemic control and organ transplantation.</w:t>
      </w:r>
      <w:proofErr w:type="gramEnd"/>
      <w:r>
        <w:rPr>
          <w:rFonts w:ascii="Book Antiqua" w:hAnsi="Book Antiqua"/>
        </w:rPr>
        <w:t xml:space="preserve"> </w:t>
      </w:r>
      <w:r>
        <w:rPr>
          <w:rFonts w:ascii="Book Antiqua" w:hAnsi="Book Antiqua"/>
          <w:i/>
        </w:rPr>
        <w:t xml:space="preserve">J Diabetes </w:t>
      </w:r>
      <w:proofErr w:type="spellStart"/>
      <w:r>
        <w:rPr>
          <w:rFonts w:ascii="Book Antiqua" w:hAnsi="Book Antiqua"/>
          <w:i/>
        </w:rPr>
        <w:t>Sci</w:t>
      </w:r>
      <w:proofErr w:type="spellEnd"/>
      <w:r>
        <w:rPr>
          <w:rFonts w:ascii="Book Antiqua" w:hAnsi="Book Antiqua"/>
          <w:i/>
        </w:rPr>
        <w:t xml:space="preserve"> </w:t>
      </w:r>
      <w:proofErr w:type="spellStart"/>
      <w:r>
        <w:rPr>
          <w:rFonts w:ascii="Book Antiqua" w:hAnsi="Book Antiqua"/>
          <w:i/>
        </w:rPr>
        <w:t>Technol</w:t>
      </w:r>
      <w:proofErr w:type="spellEnd"/>
      <w:r>
        <w:rPr>
          <w:rFonts w:ascii="Book Antiqua" w:hAnsi="Book Antiqua"/>
        </w:rPr>
        <w:t xml:space="preserve"> 2009; </w:t>
      </w:r>
      <w:r>
        <w:rPr>
          <w:rFonts w:ascii="Book Antiqua" w:hAnsi="Book Antiqua"/>
          <w:b/>
        </w:rPr>
        <w:t>3</w:t>
      </w:r>
      <w:r>
        <w:rPr>
          <w:rFonts w:ascii="Book Antiqua" w:hAnsi="Book Antiqua"/>
        </w:rPr>
        <w:t>: 1365-1372 [PMID: 20144390 DOI: 10.1177/193229680900300616]</w:t>
      </w:r>
    </w:p>
    <w:p w14:paraId="52A4B15E" w14:textId="77777777" w:rsidR="00C26D7B" w:rsidRDefault="00C26D7B" w:rsidP="00C26D7B">
      <w:pPr>
        <w:spacing w:line="360" w:lineRule="auto"/>
        <w:jc w:val="both"/>
        <w:rPr>
          <w:rFonts w:ascii="Book Antiqua" w:hAnsi="Book Antiqua"/>
        </w:rPr>
      </w:pPr>
      <w:r>
        <w:rPr>
          <w:rFonts w:ascii="Book Antiqua" w:hAnsi="Book Antiqua"/>
        </w:rPr>
        <w:t xml:space="preserve">3 </w:t>
      </w:r>
      <w:r>
        <w:rPr>
          <w:rFonts w:ascii="Book Antiqua" w:hAnsi="Book Antiqua"/>
          <w:b/>
        </w:rPr>
        <w:t>Nieto-Rodriguez JA</w:t>
      </w:r>
      <w:r>
        <w:rPr>
          <w:rFonts w:ascii="Book Antiqua" w:hAnsi="Book Antiqua"/>
        </w:rPr>
        <w:t xml:space="preserve">, </w:t>
      </w:r>
      <w:proofErr w:type="spellStart"/>
      <w:r>
        <w:rPr>
          <w:rFonts w:ascii="Book Antiqua" w:hAnsi="Book Antiqua"/>
        </w:rPr>
        <w:t>Kusne</w:t>
      </w:r>
      <w:proofErr w:type="spellEnd"/>
      <w:r>
        <w:rPr>
          <w:rFonts w:ascii="Book Antiqua" w:hAnsi="Book Antiqua"/>
        </w:rPr>
        <w:t xml:space="preserve"> S, </w:t>
      </w:r>
      <w:proofErr w:type="spellStart"/>
      <w:r>
        <w:rPr>
          <w:rFonts w:ascii="Book Antiqua" w:hAnsi="Book Antiqua"/>
        </w:rPr>
        <w:t>Mañez</w:t>
      </w:r>
      <w:proofErr w:type="spellEnd"/>
      <w:r>
        <w:rPr>
          <w:rFonts w:ascii="Book Antiqua" w:hAnsi="Book Antiqua"/>
        </w:rPr>
        <w:t xml:space="preserve"> R, Irish W, Linden P, </w:t>
      </w:r>
      <w:proofErr w:type="spellStart"/>
      <w:r>
        <w:rPr>
          <w:rFonts w:ascii="Book Antiqua" w:hAnsi="Book Antiqua"/>
        </w:rPr>
        <w:t>Magnone</w:t>
      </w:r>
      <w:proofErr w:type="spellEnd"/>
      <w:r>
        <w:rPr>
          <w:rFonts w:ascii="Book Antiqua" w:hAnsi="Book Antiqua"/>
        </w:rPr>
        <w:t xml:space="preserve"> M, Wing EJ, Fung JJ, </w:t>
      </w:r>
      <w:proofErr w:type="spellStart"/>
      <w:r>
        <w:rPr>
          <w:rFonts w:ascii="Book Antiqua" w:hAnsi="Book Antiqua"/>
        </w:rPr>
        <w:t>Starzl</w:t>
      </w:r>
      <w:proofErr w:type="spellEnd"/>
      <w:r>
        <w:rPr>
          <w:rFonts w:ascii="Book Antiqua" w:hAnsi="Book Antiqua"/>
        </w:rPr>
        <w:t xml:space="preserve"> TE. Factors associated with the development of </w:t>
      </w:r>
      <w:proofErr w:type="spellStart"/>
      <w:r>
        <w:rPr>
          <w:rFonts w:ascii="Book Antiqua" w:hAnsi="Book Antiqua"/>
        </w:rPr>
        <w:t>candidemia</w:t>
      </w:r>
      <w:proofErr w:type="spellEnd"/>
      <w:r>
        <w:rPr>
          <w:rFonts w:ascii="Book Antiqua" w:hAnsi="Book Antiqua"/>
        </w:rPr>
        <w:t xml:space="preserve"> and </w:t>
      </w:r>
      <w:proofErr w:type="spellStart"/>
      <w:r>
        <w:rPr>
          <w:rFonts w:ascii="Book Antiqua" w:hAnsi="Book Antiqua"/>
        </w:rPr>
        <w:t>candidemia</w:t>
      </w:r>
      <w:proofErr w:type="spellEnd"/>
      <w:r>
        <w:rPr>
          <w:rFonts w:ascii="Book Antiqua" w:hAnsi="Book Antiqua"/>
        </w:rPr>
        <w:t xml:space="preserve">-related death among liver transplant recipients. </w:t>
      </w:r>
      <w:r>
        <w:rPr>
          <w:rFonts w:ascii="Book Antiqua" w:hAnsi="Book Antiqua"/>
          <w:i/>
        </w:rPr>
        <w:t xml:space="preserve">Ann </w:t>
      </w:r>
      <w:proofErr w:type="spellStart"/>
      <w:r>
        <w:rPr>
          <w:rFonts w:ascii="Book Antiqua" w:hAnsi="Book Antiqua"/>
          <w:i/>
        </w:rPr>
        <w:t>Surg</w:t>
      </w:r>
      <w:proofErr w:type="spellEnd"/>
      <w:r>
        <w:rPr>
          <w:rFonts w:ascii="Book Antiqua" w:hAnsi="Book Antiqua"/>
        </w:rPr>
        <w:t xml:space="preserve"> 1996; </w:t>
      </w:r>
      <w:r>
        <w:rPr>
          <w:rFonts w:ascii="Book Antiqua" w:hAnsi="Book Antiqua"/>
          <w:b/>
        </w:rPr>
        <w:t>223</w:t>
      </w:r>
      <w:r>
        <w:rPr>
          <w:rFonts w:ascii="Book Antiqua" w:hAnsi="Book Antiqua"/>
        </w:rPr>
        <w:t>: 70-76 [PMID: 8554421]</w:t>
      </w:r>
    </w:p>
    <w:p w14:paraId="1335350C" w14:textId="77777777" w:rsidR="00C26D7B" w:rsidRDefault="00C26D7B" w:rsidP="00C26D7B">
      <w:pPr>
        <w:spacing w:line="360" w:lineRule="auto"/>
        <w:jc w:val="both"/>
        <w:rPr>
          <w:rFonts w:ascii="Book Antiqua" w:hAnsi="Book Antiqua"/>
        </w:rPr>
      </w:pPr>
      <w:r>
        <w:rPr>
          <w:rFonts w:ascii="Book Antiqua" w:hAnsi="Book Antiqua"/>
        </w:rPr>
        <w:t xml:space="preserve">4 </w:t>
      </w:r>
      <w:r>
        <w:rPr>
          <w:rFonts w:ascii="Book Antiqua" w:hAnsi="Book Antiqua"/>
          <w:b/>
        </w:rPr>
        <w:t>Park C</w:t>
      </w:r>
      <w:r>
        <w:rPr>
          <w:rFonts w:ascii="Book Antiqua" w:hAnsi="Book Antiqua"/>
        </w:rPr>
        <w:t xml:space="preserve">, Hsu C, </w:t>
      </w:r>
      <w:proofErr w:type="spellStart"/>
      <w:r>
        <w:rPr>
          <w:rFonts w:ascii="Book Antiqua" w:hAnsi="Book Antiqua"/>
        </w:rPr>
        <w:t>Neelakanta</w:t>
      </w:r>
      <w:proofErr w:type="spellEnd"/>
      <w:r>
        <w:rPr>
          <w:rFonts w:ascii="Book Antiqua" w:hAnsi="Book Antiqua"/>
        </w:rPr>
        <w:t xml:space="preserve"> G, </w:t>
      </w:r>
      <w:proofErr w:type="spellStart"/>
      <w:r>
        <w:rPr>
          <w:rFonts w:ascii="Book Antiqua" w:hAnsi="Book Antiqua"/>
        </w:rPr>
        <w:t>Nourmand</w:t>
      </w:r>
      <w:proofErr w:type="spellEnd"/>
      <w:r>
        <w:rPr>
          <w:rFonts w:ascii="Book Antiqua" w:hAnsi="Book Antiqua"/>
        </w:rPr>
        <w:t xml:space="preserve"> H, </w:t>
      </w:r>
      <w:proofErr w:type="spellStart"/>
      <w:r>
        <w:rPr>
          <w:rFonts w:ascii="Book Antiqua" w:hAnsi="Book Antiqua"/>
        </w:rPr>
        <w:t>Braunfeld</w:t>
      </w:r>
      <w:proofErr w:type="spellEnd"/>
      <w:r>
        <w:rPr>
          <w:rFonts w:ascii="Book Antiqua" w:hAnsi="Book Antiqua"/>
        </w:rPr>
        <w:t xml:space="preserve"> M, Wray C, Steadman RH, Hu KQ, Cheng RT, Xia VW. Severe intraoperative hyperglycemia is independently associated with surgical site infection after liver transplantation. </w:t>
      </w:r>
      <w:r>
        <w:rPr>
          <w:rFonts w:ascii="Book Antiqua" w:hAnsi="Book Antiqua"/>
          <w:i/>
        </w:rPr>
        <w:t>Transplantation</w:t>
      </w:r>
      <w:r>
        <w:rPr>
          <w:rFonts w:ascii="Book Antiqua" w:hAnsi="Book Antiqua"/>
        </w:rPr>
        <w:t xml:space="preserve"> 2009; </w:t>
      </w:r>
      <w:r>
        <w:rPr>
          <w:rFonts w:ascii="Book Antiqua" w:hAnsi="Book Antiqua"/>
          <w:b/>
        </w:rPr>
        <w:t>87</w:t>
      </w:r>
      <w:r>
        <w:rPr>
          <w:rFonts w:ascii="Book Antiqua" w:hAnsi="Book Antiqua"/>
        </w:rPr>
        <w:t>: 1031-1036 [PMID: 19352123 DOI: 10.1097/TP.0b013e31819cc3e6]</w:t>
      </w:r>
    </w:p>
    <w:p w14:paraId="7B40D54A" w14:textId="77777777" w:rsidR="00C26D7B" w:rsidRDefault="00C26D7B" w:rsidP="00C26D7B">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rPr>
        <w:t>Ammori</w:t>
      </w:r>
      <w:proofErr w:type="spellEnd"/>
      <w:r>
        <w:rPr>
          <w:rFonts w:ascii="Book Antiqua" w:hAnsi="Book Antiqua"/>
          <w:b/>
        </w:rPr>
        <w:t xml:space="preserve"> JB</w:t>
      </w:r>
      <w:r>
        <w:rPr>
          <w:rFonts w:ascii="Book Antiqua" w:hAnsi="Book Antiqua"/>
        </w:rPr>
        <w:t xml:space="preserve">, </w:t>
      </w:r>
      <w:proofErr w:type="spellStart"/>
      <w:r>
        <w:rPr>
          <w:rFonts w:ascii="Book Antiqua" w:hAnsi="Book Antiqua"/>
        </w:rPr>
        <w:t>Sigakis</w:t>
      </w:r>
      <w:proofErr w:type="spellEnd"/>
      <w:r>
        <w:rPr>
          <w:rFonts w:ascii="Book Antiqua" w:hAnsi="Book Antiqua"/>
        </w:rPr>
        <w:t xml:space="preserve"> M, </w:t>
      </w:r>
      <w:proofErr w:type="spellStart"/>
      <w:r>
        <w:rPr>
          <w:rFonts w:ascii="Book Antiqua" w:hAnsi="Book Antiqua"/>
        </w:rPr>
        <w:t>Englesbe</w:t>
      </w:r>
      <w:proofErr w:type="spellEnd"/>
      <w:r>
        <w:rPr>
          <w:rFonts w:ascii="Book Antiqua" w:hAnsi="Book Antiqua"/>
        </w:rPr>
        <w:t xml:space="preserve"> MJ, O'Reilly M, Pelletier SJ. </w:t>
      </w:r>
      <w:proofErr w:type="gramStart"/>
      <w:r>
        <w:rPr>
          <w:rFonts w:ascii="Book Antiqua" w:hAnsi="Book Antiqua"/>
        </w:rPr>
        <w:t>Effect of intraoperative hyperglycemia during liver transplantation.</w:t>
      </w:r>
      <w:proofErr w:type="gramEnd"/>
      <w:r>
        <w:rPr>
          <w:rFonts w:ascii="Book Antiqua" w:hAnsi="Book Antiqua"/>
        </w:rPr>
        <w:t xml:space="preserve"> </w:t>
      </w:r>
      <w:r>
        <w:rPr>
          <w:rFonts w:ascii="Book Antiqua" w:hAnsi="Book Antiqua"/>
          <w:i/>
        </w:rPr>
        <w:t xml:space="preserve">J </w:t>
      </w:r>
      <w:proofErr w:type="spellStart"/>
      <w:r>
        <w:rPr>
          <w:rFonts w:ascii="Book Antiqua" w:hAnsi="Book Antiqua"/>
          <w:i/>
        </w:rPr>
        <w:t>Surg</w:t>
      </w:r>
      <w:proofErr w:type="spellEnd"/>
      <w:r>
        <w:rPr>
          <w:rFonts w:ascii="Book Antiqua" w:hAnsi="Book Antiqua"/>
          <w:i/>
        </w:rPr>
        <w:t xml:space="preserve"> Res</w:t>
      </w:r>
      <w:r>
        <w:rPr>
          <w:rFonts w:ascii="Book Antiqua" w:hAnsi="Book Antiqua"/>
        </w:rPr>
        <w:t xml:space="preserve"> 2007; </w:t>
      </w:r>
      <w:r>
        <w:rPr>
          <w:rFonts w:ascii="Book Antiqua" w:hAnsi="Book Antiqua"/>
          <w:b/>
        </w:rPr>
        <w:t>140</w:t>
      </w:r>
      <w:r>
        <w:rPr>
          <w:rFonts w:ascii="Book Antiqua" w:hAnsi="Book Antiqua"/>
        </w:rPr>
        <w:t>: 227-233 [PMID: 17509267 DOI: 10.1016/j.jss.2007.02.019]</w:t>
      </w:r>
    </w:p>
    <w:p w14:paraId="0143601D" w14:textId="77777777" w:rsidR="00C26D7B" w:rsidRDefault="00C26D7B" w:rsidP="00C26D7B">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rPr>
        <w:t>Yoo</w:t>
      </w:r>
      <w:proofErr w:type="spellEnd"/>
      <w:r>
        <w:rPr>
          <w:rFonts w:ascii="Book Antiqua" w:hAnsi="Book Antiqua"/>
          <w:b/>
        </w:rPr>
        <w:t xml:space="preserve"> S</w:t>
      </w:r>
      <w:r>
        <w:rPr>
          <w:rFonts w:ascii="Book Antiqua" w:hAnsi="Book Antiqua"/>
        </w:rPr>
        <w:t xml:space="preserve">, Lee HJ, Lee H, </w:t>
      </w:r>
      <w:proofErr w:type="spellStart"/>
      <w:r>
        <w:rPr>
          <w:rFonts w:ascii="Book Antiqua" w:hAnsi="Book Antiqua"/>
        </w:rPr>
        <w:t>Ryu</w:t>
      </w:r>
      <w:proofErr w:type="spellEnd"/>
      <w:r>
        <w:rPr>
          <w:rFonts w:ascii="Book Antiqua" w:hAnsi="Book Antiqua"/>
        </w:rPr>
        <w:t xml:space="preserve"> HG. Association Between Perioperative Hyperglycemia or Glucose Variability and Postoperative Acute Kidney Injury After Liver Transplantation: A Retrospective Observational Study. </w:t>
      </w:r>
      <w:proofErr w:type="spellStart"/>
      <w:r>
        <w:rPr>
          <w:rFonts w:ascii="Book Antiqua" w:hAnsi="Book Antiqua"/>
          <w:i/>
        </w:rPr>
        <w:t>Anesth</w:t>
      </w:r>
      <w:proofErr w:type="spellEnd"/>
      <w:r>
        <w:rPr>
          <w:rFonts w:ascii="Book Antiqua" w:hAnsi="Book Antiqua"/>
          <w:i/>
        </w:rPr>
        <w:t xml:space="preserve"> </w:t>
      </w:r>
      <w:proofErr w:type="spellStart"/>
      <w:r>
        <w:rPr>
          <w:rFonts w:ascii="Book Antiqua" w:hAnsi="Book Antiqua"/>
          <w:i/>
        </w:rPr>
        <w:t>Analg</w:t>
      </w:r>
      <w:proofErr w:type="spellEnd"/>
      <w:r>
        <w:rPr>
          <w:rFonts w:ascii="Book Antiqua" w:hAnsi="Book Antiqua"/>
        </w:rPr>
        <w:t xml:space="preserve"> 2017; </w:t>
      </w:r>
      <w:r>
        <w:rPr>
          <w:rFonts w:ascii="Book Antiqua" w:hAnsi="Book Antiqua"/>
          <w:b/>
        </w:rPr>
        <w:t>124</w:t>
      </w:r>
      <w:r>
        <w:rPr>
          <w:rFonts w:ascii="Book Antiqua" w:hAnsi="Book Antiqua"/>
        </w:rPr>
        <w:t>: 35-41 [PMID: 27749341 DOI: 10.1213/ANE.0000000000001632]</w:t>
      </w:r>
    </w:p>
    <w:p w14:paraId="10CADF20"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7 </w:t>
      </w:r>
      <w:r>
        <w:rPr>
          <w:rFonts w:ascii="Book Antiqua" w:hAnsi="Book Antiqua"/>
          <w:b/>
        </w:rPr>
        <w:t>Galindo RJ</w:t>
      </w:r>
      <w:r>
        <w:rPr>
          <w:rFonts w:ascii="Book Antiqua" w:hAnsi="Book Antiqua"/>
        </w:rPr>
        <w:t xml:space="preserve">, </w:t>
      </w:r>
      <w:proofErr w:type="spellStart"/>
      <w:r>
        <w:rPr>
          <w:rFonts w:ascii="Book Antiqua" w:hAnsi="Book Antiqua"/>
        </w:rPr>
        <w:t>Wallia</w:t>
      </w:r>
      <w:proofErr w:type="spellEnd"/>
      <w:r>
        <w:rPr>
          <w:rFonts w:ascii="Book Antiqua" w:hAnsi="Book Antiqua"/>
        </w:rPr>
        <w:t xml:space="preserve"> A. Hyperglycemia and Diabetes Mellitus Following Organ Transplantation.</w:t>
      </w:r>
      <w:proofErr w:type="gramEnd"/>
      <w:r>
        <w:rPr>
          <w:rFonts w:ascii="Book Antiqua" w:hAnsi="Book Antiqua"/>
        </w:rPr>
        <w:t xml:space="preserve"> </w:t>
      </w:r>
      <w:proofErr w:type="spellStart"/>
      <w:r>
        <w:rPr>
          <w:rFonts w:ascii="Book Antiqua" w:hAnsi="Book Antiqua"/>
          <w:i/>
        </w:rPr>
        <w:t>Curr</w:t>
      </w:r>
      <w:proofErr w:type="spellEnd"/>
      <w:r>
        <w:rPr>
          <w:rFonts w:ascii="Book Antiqua" w:hAnsi="Book Antiqua"/>
          <w:i/>
        </w:rPr>
        <w:t xml:space="preserve"> </w:t>
      </w:r>
      <w:proofErr w:type="spellStart"/>
      <w:r>
        <w:rPr>
          <w:rFonts w:ascii="Book Antiqua" w:hAnsi="Book Antiqua"/>
          <w:i/>
        </w:rPr>
        <w:t>Diab</w:t>
      </w:r>
      <w:proofErr w:type="spellEnd"/>
      <w:r>
        <w:rPr>
          <w:rFonts w:ascii="Book Antiqua" w:hAnsi="Book Antiqua"/>
          <w:i/>
        </w:rPr>
        <w:t xml:space="preserve"> Rep</w:t>
      </w:r>
      <w:r>
        <w:rPr>
          <w:rFonts w:ascii="Book Antiqua" w:hAnsi="Book Antiqua"/>
        </w:rPr>
        <w:t xml:space="preserve"> 2016; </w:t>
      </w:r>
      <w:r>
        <w:rPr>
          <w:rFonts w:ascii="Book Antiqua" w:hAnsi="Book Antiqua"/>
          <w:b/>
        </w:rPr>
        <w:t>16</w:t>
      </w:r>
      <w:r>
        <w:rPr>
          <w:rFonts w:ascii="Book Antiqua" w:hAnsi="Book Antiqua"/>
        </w:rPr>
        <w:t>: 14 [PMID: 26803650 DOI: 10.1007/s11892-015-0707-1]</w:t>
      </w:r>
    </w:p>
    <w:p w14:paraId="51DE9702" w14:textId="77777777" w:rsidR="00C26D7B" w:rsidRDefault="00C26D7B" w:rsidP="00C26D7B">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rPr>
        <w:t>Wallia</w:t>
      </w:r>
      <w:proofErr w:type="spellEnd"/>
      <w:r>
        <w:rPr>
          <w:rFonts w:ascii="Book Antiqua" w:hAnsi="Book Antiqua"/>
          <w:b/>
        </w:rPr>
        <w:t xml:space="preserve"> A</w:t>
      </w:r>
      <w:r>
        <w:rPr>
          <w:rFonts w:ascii="Book Antiqua" w:hAnsi="Book Antiqua"/>
        </w:rPr>
        <w:t xml:space="preserve">, </w:t>
      </w:r>
      <w:proofErr w:type="spellStart"/>
      <w:r>
        <w:rPr>
          <w:rFonts w:ascii="Book Antiqua" w:hAnsi="Book Antiqua"/>
        </w:rPr>
        <w:t>Illuri</w:t>
      </w:r>
      <w:proofErr w:type="spellEnd"/>
      <w:r>
        <w:rPr>
          <w:rFonts w:ascii="Book Antiqua" w:hAnsi="Book Antiqua"/>
        </w:rPr>
        <w:t xml:space="preserve"> V, </w:t>
      </w:r>
      <w:proofErr w:type="spellStart"/>
      <w:r>
        <w:rPr>
          <w:rFonts w:ascii="Book Antiqua" w:hAnsi="Book Antiqua"/>
        </w:rPr>
        <w:t>Molitch</w:t>
      </w:r>
      <w:proofErr w:type="spellEnd"/>
      <w:r>
        <w:rPr>
          <w:rFonts w:ascii="Book Antiqua" w:hAnsi="Book Antiqua"/>
        </w:rPr>
        <w:t xml:space="preserve"> ME. Diabetes Care After Transplant: Definitions, Risk Factors, and Clinical Management. </w:t>
      </w:r>
      <w:r>
        <w:rPr>
          <w:rFonts w:ascii="Book Antiqua" w:hAnsi="Book Antiqua"/>
          <w:i/>
        </w:rPr>
        <w:t xml:space="preserve">Med </w:t>
      </w:r>
      <w:proofErr w:type="spellStart"/>
      <w:r>
        <w:rPr>
          <w:rFonts w:ascii="Book Antiqua" w:hAnsi="Book Antiqua"/>
          <w:i/>
        </w:rPr>
        <w:t>Clin</w:t>
      </w:r>
      <w:proofErr w:type="spellEnd"/>
      <w:r>
        <w:rPr>
          <w:rFonts w:ascii="Book Antiqua" w:hAnsi="Book Antiqua"/>
          <w:i/>
        </w:rPr>
        <w:t xml:space="preserve"> North Am</w:t>
      </w:r>
      <w:r>
        <w:rPr>
          <w:rFonts w:ascii="Book Antiqua" w:hAnsi="Book Antiqua"/>
        </w:rPr>
        <w:t xml:space="preserve"> 2016; </w:t>
      </w:r>
      <w:r>
        <w:rPr>
          <w:rFonts w:ascii="Book Antiqua" w:hAnsi="Book Antiqua"/>
          <w:b/>
        </w:rPr>
        <w:t>100</w:t>
      </w:r>
      <w:r>
        <w:rPr>
          <w:rFonts w:ascii="Book Antiqua" w:hAnsi="Book Antiqua"/>
        </w:rPr>
        <w:t>: 535-550 [PMID: 27095644 DOI: 10.1016/j.mcna.2016.01.005]</w:t>
      </w:r>
    </w:p>
    <w:p w14:paraId="6353F889" w14:textId="77777777" w:rsidR="00C26D7B" w:rsidRDefault="00C26D7B" w:rsidP="00C26D7B">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rPr>
        <w:t>Lv</w:t>
      </w:r>
      <w:proofErr w:type="spellEnd"/>
      <w:r>
        <w:rPr>
          <w:rFonts w:ascii="Book Antiqua" w:hAnsi="Book Antiqua"/>
          <w:b/>
        </w:rPr>
        <w:t xml:space="preserve"> C</w:t>
      </w:r>
      <w:r>
        <w:rPr>
          <w:rFonts w:ascii="Book Antiqua" w:hAnsi="Book Antiqua"/>
        </w:rPr>
        <w:t xml:space="preserve">, Zhang Y, Chen X, Huang X, </w:t>
      </w:r>
      <w:proofErr w:type="spellStart"/>
      <w:r>
        <w:rPr>
          <w:rFonts w:ascii="Book Antiqua" w:hAnsi="Book Antiqua"/>
        </w:rPr>
        <w:t>Xue</w:t>
      </w:r>
      <w:proofErr w:type="spellEnd"/>
      <w:r>
        <w:rPr>
          <w:rFonts w:ascii="Book Antiqua" w:hAnsi="Book Antiqua"/>
        </w:rPr>
        <w:t xml:space="preserve"> M, Sun Q, Wang T, Liang J, He S, Gao J, Zhou J, Yu M, Fan J, Gao X. New-onset diabetes after liver transplantation and its impact on </w:t>
      </w:r>
      <w:r>
        <w:rPr>
          <w:rFonts w:ascii="Book Antiqua" w:hAnsi="Book Antiqua"/>
        </w:rPr>
        <w:lastRenderedPageBreak/>
        <w:t xml:space="preserve">complications and patient survival. </w:t>
      </w:r>
      <w:r>
        <w:rPr>
          <w:rFonts w:ascii="Book Antiqua" w:hAnsi="Book Antiqua"/>
          <w:i/>
        </w:rPr>
        <w:t>J Diabetes</w:t>
      </w:r>
      <w:r>
        <w:rPr>
          <w:rFonts w:ascii="Book Antiqua" w:hAnsi="Book Antiqua"/>
        </w:rPr>
        <w:t xml:space="preserve"> 2015; </w:t>
      </w:r>
      <w:r>
        <w:rPr>
          <w:rFonts w:ascii="Book Antiqua" w:hAnsi="Book Antiqua"/>
          <w:b/>
        </w:rPr>
        <w:t>7</w:t>
      </w:r>
      <w:r>
        <w:rPr>
          <w:rFonts w:ascii="Book Antiqua" w:hAnsi="Book Antiqua"/>
        </w:rPr>
        <w:t>: 881-890 [PMID: 25676209 DOI: 10.1111/1753-0407.12275]</w:t>
      </w:r>
    </w:p>
    <w:p w14:paraId="277288F8"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10 </w:t>
      </w:r>
      <w:r>
        <w:rPr>
          <w:rFonts w:ascii="Book Antiqua" w:hAnsi="Book Antiqua"/>
          <w:b/>
        </w:rPr>
        <w:t>Lane JT</w:t>
      </w:r>
      <w:r>
        <w:rPr>
          <w:rFonts w:ascii="Book Antiqua" w:hAnsi="Book Antiqua"/>
        </w:rPr>
        <w:t xml:space="preserve">, </w:t>
      </w:r>
      <w:proofErr w:type="spellStart"/>
      <w:r>
        <w:rPr>
          <w:rFonts w:ascii="Book Antiqua" w:hAnsi="Book Antiqua"/>
        </w:rPr>
        <w:t>Dagogo</w:t>
      </w:r>
      <w:proofErr w:type="spellEnd"/>
      <w:r>
        <w:rPr>
          <w:rFonts w:ascii="Book Antiqua" w:hAnsi="Book Antiqua"/>
        </w:rPr>
        <w:t>-Jack S. Approach to the patient with new-onset diabetes after transplant (NODAT).</w:t>
      </w:r>
      <w:proofErr w:type="gramEnd"/>
      <w:r>
        <w:rPr>
          <w:rFonts w:ascii="Book Antiqua" w:hAnsi="Book Antiqua"/>
        </w:rPr>
        <w:t xml:space="preserve"> </w:t>
      </w:r>
      <w:r>
        <w:rPr>
          <w:rFonts w:ascii="Book Antiqua" w:hAnsi="Book Antiqua"/>
          <w:i/>
        </w:rPr>
        <w:t xml:space="preserve">J </w:t>
      </w:r>
      <w:proofErr w:type="spellStart"/>
      <w:r>
        <w:rPr>
          <w:rFonts w:ascii="Book Antiqua" w:hAnsi="Book Antiqua"/>
          <w:i/>
        </w:rPr>
        <w:t>Clin</w:t>
      </w:r>
      <w:proofErr w:type="spellEnd"/>
      <w:r>
        <w:rPr>
          <w:rFonts w:ascii="Book Antiqua" w:hAnsi="Book Antiqua"/>
          <w:i/>
        </w:rPr>
        <w:t xml:space="preserve"> </w:t>
      </w:r>
      <w:proofErr w:type="spellStart"/>
      <w:r>
        <w:rPr>
          <w:rFonts w:ascii="Book Antiqua" w:hAnsi="Book Antiqua"/>
          <w:i/>
        </w:rPr>
        <w:t>Endocrinol</w:t>
      </w:r>
      <w:proofErr w:type="spellEnd"/>
      <w:r>
        <w:rPr>
          <w:rFonts w:ascii="Book Antiqua" w:hAnsi="Book Antiqua"/>
          <w:i/>
        </w:rPr>
        <w:t xml:space="preserve"> </w:t>
      </w:r>
      <w:proofErr w:type="spellStart"/>
      <w:r>
        <w:rPr>
          <w:rFonts w:ascii="Book Antiqua" w:hAnsi="Book Antiqua"/>
          <w:i/>
        </w:rPr>
        <w:t>Metab</w:t>
      </w:r>
      <w:proofErr w:type="spellEnd"/>
      <w:r>
        <w:rPr>
          <w:rFonts w:ascii="Book Antiqua" w:hAnsi="Book Antiqua"/>
        </w:rPr>
        <w:t xml:space="preserve"> 2011; </w:t>
      </w:r>
      <w:r>
        <w:rPr>
          <w:rFonts w:ascii="Book Antiqua" w:hAnsi="Book Antiqua"/>
          <w:b/>
        </w:rPr>
        <w:t>96</w:t>
      </w:r>
      <w:r>
        <w:rPr>
          <w:rFonts w:ascii="Book Antiqua" w:hAnsi="Book Antiqua"/>
        </w:rPr>
        <w:t>: 3289-3297 [PMID: 22058376 DOI: 10.1210/jc.2011-0657]</w:t>
      </w:r>
    </w:p>
    <w:p w14:paraId="6FFD6CD4" w14:textId="77777777" w:rsidR="00C26D7B" w:rsidRDefault="00C26D7B" w:rsidP="00C26D7B">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rPr>
        <w:t>Gosmanov</w:t>
      </w:r>
      <w:proofErr w:type="spellEnd"/>
      <w:r>
        <w:rPr>
          <w:rFonts w:ascii="Book Antiqua" w:hAnsi="Book Antiqua"/>
          <w:b/>
        </w:rPr>
        <w:t xml:space="preserve"> AR</w:t>
      </w:r>
      <w:r>
        <w:rPr>
          <w:rFonts w:ascii="Book Antiqua" w:hAnsi="Book Antiqua"/>
        </w:rPr>
        <w:t xml:space="preserve">, </w:t>
      </w:r>
      <w:proofErr w:type="spellStart"/>
      <w:r>
        <w:rPr>
          <w:rFonts w:ascii="Book Antiqua" w:hAnsi="Book Antiqua"/>
        </w:rPr>
        <w:t>Dagogo</w:t>
      </w:r>
      <w:proofErr w:type="spellEnd"/>
      <w:r>
        <w:rPr>
          <w:rFonts w:ascii="Book Antiqua" w:hAnsi="Book Antiqua"/>
        </w:rPr>
        <w:t xml:space="preserve">-Jack S. Predicting, managing and preventing new-onset diabetes after transplantation. </w:t>
      </w:r>
      <w:r>
        <w:rPr>
          <w:rFonts w:ascii="Book Antiqua" w:hAnsi="Book Antiqua"/>
          <w:i/>
        </w:rPr>
        <w:t xml:space="preserve">Minerva </w:t>
      </w:r>
      <w:proofErr w:type="spellStart"/>
      <w:r>
        <w:rPr>
          <w:rFonts w:ascii="Book Antiqua" w:hAnsi="Book Antiqua"/>
          <w:i/>
        </w:rPr>
        <w:t>Endocrinol</w:t>
      </w:r>
      <w:proofErr w:type="spellEnd"/>
      <w:r>
        <w:rPr>
          <w:rFonts w:ascii="Book Antiqua" w:hAnsi="Book Antiqua"/>
        </w:rPr>
        <w:t xml:space="preserve"> 2012; </w:t>
      </w:r>
      <w:r>
        <w:rPr>
          <w:rFonts w:ascii="Book Antiqua" w:hAnsi="Book Antiqua"/>
          <w:b/>
        </w:rPr>
        <w:t>37</w:t>
      </w:r>
      <w:r>
        <w:rPr>
          <w:rFonts w:ascii="Book Antiqua" w:hAnsi="Book Antiqua"/>
        </w:rPr>
        <w:t>: 233-246 [PMID: 22766890]</w:t>
      </w:r>
    </w:p>
    <w:p w14:paraId="6844FFF1"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12 </w:t>
      </w:r>
      <w:r>
        <w:rPr>
          <w:rFonts w:ascii="Book Antiqua" w:hAnsi="Book Antiqua"/>
          <w:b/>
        </w:rPr>
        <w:t>Driscoll CJ</w:t>
      </w:r>
      <w:r>
        <w:rPr>
          <w:rFonts w:ascii="Book Antiqua" w:hAnsi="Book Antiqua"/>
        </w:rPr>
        <w:t>.</w:t>
      </w:r>
      <w:proofErr w:type="gramEnd"/>
      <w:r>
        <w:rPr>
          <w:rFonts w:ascii="Book Antiqua" w:hAnsi="Book Antiqua"/>
        </w:rPr>
        <w:t xml:space="preserve"> Risk factors for posttransplant diabetes mellitus: a review of the literature. </w:t>
      </w:r>
      <w:proofErr w:type="spellStart"/>
      <w:r>
        <w:rPr>
          <w:rFonts w:ascii="Book Antiqua" w:hAnsi="Book Antiqua"/>
          <w:i/>
        </w:rPr>
        <w:t>Prog</w:t>
      </w:r>
      <w:proofErr w:type="spellEnd"/>
      <w:r>
        <w:rPr>
          <w:rFonts w:ascii="Book Antiqua" w:hAnsi="Book Antiqua"/>
          <w:i/>
        </w:rPr>
        <w:t xml:space="preserve"> Transplant</w:t>
      </w:r>
      <w:r>
        <w:rPr>
          <w:rFonts w:ascii="Book Antiqua" w:hAnsi="Book Antiqua"/>
        </w:rPr>
        <w:t xml:space="preserve"> 2007; </w:t>
      </w:r>
      <w:r>
        <w:rPr>
          <w:rFonts w:ascii="Book Antiqua" w:hAnsi="Book Antiqua"/>
          <w:b/>
        </w:rPr>
        <w:t>17</w:t>
      </w:r>
      <w:r>
        <w:rPr>
          <w:rFonts w:ascii="Book Antiqua" w:hAnsi="Book Antiqua"/>
        </w:rPr>
        <w:t>: 295-300; quiz 301 [PMID: 18240695]</w:t>
      </w:r>
    </w:p>
    <w:p w14:paraId="3A1BB537"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13 </w:t>
      </w:r>
      <w:proofErr w:type="spellStart"/>
      <w:r>
        <w:rPr>
          <w:rFonts w:ascii="Book Antiqua" w:hAnsi="Book Antiqua"/>
          <w:b/>
        </w:rPr>
        <w:t>Räkel</w:t>
      </w:r>
      <w:proofErr w:type="spellEnd"/>
      <w:r>
        <w:rPr>
          <w:rFonts w:ascii="Book Antiqua" w:hAnsi="Book Antiqua"/>
          <w:b/>
        </w:rPr>
        <w:t xml:space="preserve"> A</w:t>
      </w:r>
      <w:r>
        <w:rPr>
          <w:rFonts w:ascii="Book Antiqua" w:hAnsi="Book Antiqua"/>
        </w:rPr>
        <w:t>, Karelis AD.</w:t>
      </w:r>
      <w:proofErr w:type="gramEnd"/>
      <w:r>
        <w:rPr>
          <w:rFonts w:ascii="Book Antiqua" w:hAnsi="Book Antiqua"/>
        </w:rPr>
        <w:t xml:space="preserve"> New-onset diabetes after transplantation: risk factors and clinical impact. </w:t>
      </w:r>
      <w:r>
        <w:rPr>
          <w:rFonts w:ascii="Book Antiqua" w:hAnsi="Book Antiqua"/>
          <w:i/>
        </w:rPr>
        <w:t xml:space="preserve">Diabetes </w:t>
      </w:r>
      <w:proofErr w:type="spellStart"/>
      <w:r>
        <w:rPr>
          <w:rFonts w:ascii="Book Antiqua" w:hAnsi="Book Antiqua"/>
          <w:i/>
        </w:rPr>
        <w:t>Metab</w:t>
      </w:r>
      <w:proofErr w:type="spellEnd"/>
      <w:r>
        <w:rPr>
          <w:rFonts w:ascii="Book Antiqua" w:hAnsi="Book Antiqua"/>
        </w:rPr>
        <w:t xml:space="preserve"> 2011; </w:t>
      </w:r>
      <w:r>
        <w:rPr>
          <w:rFonts w:ascii="Book Antiqua" w:hAnsi="Book Antiqua"/>
          <w:b/>
        </w:rPr>
        <w:t>37</w:t>
      </w:r>
      <w:r>
        <w:rPr>
          <w:rFonts w:ascii="Book Antiqua" w:hAnsi="Book Antiqua"/>
        </w:rPr>
        <w:t>: 1-14 [PMID: 21295510 DOI: 10.1016/j.diabet.2010.09.003]</w:t>
      </w:r>
    </w:p>
    <w:p w14:paraId="5403D1B3" w14:textId="77777777" w:rsidR="00C26D7B" w:rsidRDefault="00C26D7B" w:rsidP="00C26D7B">
      <w:pPr>
        <w:spacing w:line="360" w:lineRule="auto"/>
        <w:jc w:val="both"/>
        <w:rPr>
          <w:rFonts w:ascii="Book Antiqua" w:hAnsi="Book Antiqua"/>
        </w:rPr>
      </w:pPr>
      <w:r>
        <w:rPr>
          <w:rFonts w:ascii="Book Antiqua" w:hAnsi="Book Antiqua"/>
        </w:rPr>
        <w:t xml:space="preserve">14 </w:t>
      </w:r>
      <w:r>
        <w:rPr>
          <w:rFonts w:ascii="Book Antiqua" w:hAnsi="Book Antiqua"/>
          <w:b/>
        </w:rPr>
        <w:t>First MR</w:t>
      </w:r>
      <w:r>
        <w:rPr>
          <w:rFonts w:ascii="Book Antiqua" w:hAnsi="Book Antiqua"/>
        </w:rPr>
        <w:t xml:space="preserve">, </w:t>
      </w:r>
      <w:proofErr w:type="spellStart"/>
      <w:r>
        <w:rPr>
          <w:rFonts w:ascii="Book Antiqua" w:hAnsi="Book Antiqua"/>
        </w:rPr>
        <w:t>Dhadda</w:t>
      </w:r>
      <w:proofErr w:type="spellEnd"/>
      <w:r>
        <w:rPr>
          <w:rFonts w:ascii="Book Antiqua" w:hAnsi="Book Antiqua"/>
        </w:rPr>
        <w:t xml:space="preserve"> S, </w:t>
      </w:r>
      <w:proofErr w:type="spellStart"/>
      <w:r>
        <w:rPr>
          <w:rFonts w:ascii="Book Antiqua" w:hAnsi="Book Antiqua"/>
        </w:rPr>
        <w:t>Croy</w:t>
      </w:r>
      <w:proofErr w:type="spellEnd"/>
      <w:r>
        <w:rPr>
          <w:rFonts w:ascii="Book Antiqua" w:hAnsi="Book Antiqua"/>
        </w:rPr>
        <w:t xml:space="preserve"> R, Holman J, Fitzsimmons WE. New-onset diabetes after transplantation (NODAT): an evaluation of definitions in clinical trials. </w:t>
      </w:r>
      <w:r>
        <w:rPr>
          <w:rFonts w:ascii="Book Antiqua" w:hAnsi="Book Antiqua"/>
          <w:i/>
        </w:rPr>
        <w:t>Transplantation</w:t>
      </w:r>
      <w:r>
        <w:rPr>
          <w:rFonts w:ascii="Book Antiqua" w:hAnsi="Book Antiqua"/>
        </w:rPr>
        <w:t xml:space="preserve"> 2013; </w:t>
      </w:r>
      <w:r>
        <w:rPr>
          <w:rFonts w:ascii="Book Antiqua" w:hAnsi="Book Antiqua"/>
          <w:b/>
        </w:rPr>
        <w:t>96</w:t>
      </w:r>
      <w:r>
        <w:rPr>
          <w:rFonts w:ascii="Book Antiqua" w:hAnsi="Book Antiqua"/>
        </w:rPr>
        <w:t>: 58-64 [PMID: 23619735 DOI: 10.1097/TP.0b013e318293fcf8]</w:t>
      </w:r>
    </w:p>
    <w:p w14:paraId="3190AE40" w14:textId="3B54F448" w:rsidR="00C26D7B" w:rsidRDefault="00C26D7B" w:rsidP="00C26D7B">
      <w:pPr>
        <w:spacing w:line="360" w:lineRule="auto"/>
        <w:jc w:val="both"/>
        <w:rPr>
          <w:rFonts w:ascii="Book Antiqua" w:hAnsi="Book Antiqua"/>
        </w:rPr>
      </w:pPr>
      <w:proofErr w:type="gramStart"/>
      <w:r>
        <w:rPr>
          <w:rFonts w:ascii="Book Antiqua" w:hAnsi="Book Antiqua"/>
        </w:rPr>
        <w:t xml:space="preserve">15 </w:t>
      </w:r>
      <w:r>
        <w:rPr>
          <w:rFonts w:ascii="Book Antiqua" w:hAnsi="Book Antiqua"/>
          <w:b/>
        </w:rPr>
        <w:t>Higgins JPT,</w:t>
      </w:r>
      <w:r w:rsidR="00481969">
        <w:rPr>
          <w:rFonts w:ascii="Book Antiqua" w:hAnsi="Book Antiqua" w:hint="eastAsia"/>
          <w:lang w:eastAsia="zh-CN"/>
        </w:rPr>
        <w:t xml:space="preserve"> </w:t>
      </w:r>
      <w:r>
        <w:rPr>
          <w:rFonts w:ascii="Book Antiqua" w:hAnsi="Book Antiqua"/>
        </w:rPr>
        <w:t>Green S (</w:t>
      </w:r>
      <w:proofErr w:type="spellStart"/>
      <w:r>
        <w:rPr>
          <w:rFonts w:ascii="Book Antiqua" w:hAnsi="Book Antiqua"/>
        </w:rPr>
        <w:t>eds</w:t>
      </w:r>
      <w:proofErr w:type="spellEnd"/>
      <w:r>
        <w:rPr>
          <w:rFonts w:ascii="Book Antiqua" w:hAnsi="Book Antiqua"/>
        </w:rPr>
        <w:t>).</w:t>
      </w:r>
      <w:proofErr w:type="gramEnd"/>
      <w:r>
        <w:rPr>
          <w:rFonts w:ascii="Book Antiqua" w:hAnsi="Book Antiqua"/>
        </w:rPr>
        <w:t xml:space="preserve"> Cochrane Handbook for System-</w:t>
      </w:r>
      <w:proofErr w:type="spellStart"/>
      <w:r>
        <w:rPr>
          <w:rFonts w:ascii="Book Antiqua" w:hAnsi="Book Antiqua"/>
        </w:rPr>
        <w:t>atic</w:t>
      </w:r>
      <w:proofErr w:type="spellEnd"/>
      <w:r>
        <w:rPr>
          <w:rFonts w:ascii="Book Antiqua" w:hAnsi="Book Antiqua"/>
        </w:rPr>
        <w:t xml:space="preserve"> Reviews of Interventions Version 5.1.0 [updated March</w:t>
      </w:r>
      <w:r w:rsidR="008972E3">
        <w:rPr>
          <w:rFonts w:ascii="Book Antiqua" w:hAnsi="Book Antiqua"/>
        </w:rPr>
        <w:t xml:space="preserve"> </w:t>
      </w:r>
      <w:r>
        <w:rPr>
          <w:rFonts w:ascii="Book Antiqua" w:hAnsi="Book Antiqua"/>
        </w:rPr>
        <w:t xml:space="preserve">2011]. </w:t>
      </w:r>
      <w:proofErr w:type="gramStart"/>
      <w:r>
        <w:rPr>
          <w:rFonts w:ascii="Book Antiqua" w:hAnsi="Book Antiqua"/>
        </w:rPr>
        <w:t>The Cochrane Collaboration, 2011.</w:t>
      </w:r>
      <w:proofErr w:type="gramEnd"/>
      <w:r>
        <w:rPr>
          <w:rFonts w:ascii="Book Antiqua" w:hAnsi="Book Antiqua"/>
        </w:rPr>
        <w:t xml:space="preserve"> Available from: URL: http://methods.cochrane.org/bias/</w:t>
      </w:r>
    </w:p>
    <w:p w14:paraId="16798826" w14:textId="327876FB" w:rsidR="00C26D7B" w:rsidRDefault="00C26D7B" w:rsidP="00C26D7B">
      <w:pPr>
        <w:spacing w:line="360" w:lineRule="auto"/>
        <w:jc w:val="both"/>
        <w:rPr>
          <w:rFonts w:ascii="Book Antiqua" w:hAnsi="Book Antiqua"/>
        </w:rPr>
      </w:pPr>
      <w:r>
        <w:rPr>
          <w:rFonts w:ascii="Book Antiqua" w:hAnsi="Book Antiqua"/>
        </w:rPr>
        <w:t xml:space="preserve">16 </w:t>
      </w:r>
      <w:r>
        <w:rPr>
          <w:rFonts w:ascii="Book Antiqua" w:hAnsi="Book Antiqua"/>
          <w:b/>
        </w:rPr>
        <w:t>Wells G,</w:t>
      </w:r>
      <w:r w:rsidR="00CE3AFE">
        <w:rPr>
          <w:rFonts w:ascii="Book Antiqua" w:hAnsi="Book Antiqua"/>
        </w:rPr>
        <w:t xml:space="preserve"> </w:t>
      </w:r>
      <w:r>
        <w:rPr>
          <w:rFonts w:ascii="Book Antiqua" w:hAnsi="Book Antiqua"/>
        </w:rPr>
        <w:t xml:space="preserve">Shea B, O’Connell D, Peterson J, Welch V, </w:t>
      </w:r>
      <w:proofErr w:type="spellStart"/>
      <w:r>
        <w:rPr>
          <w:rFonts w:ascii="Book Antiqua" w:hAnsi="Book Antiqua"/>
        </w:rPr>
        <w:t>Losos</w:t>
      </w:r>
      <w:proofErr w:type="spellEnd"/>
      <w:r>
        <w:rPr>
          <w:rFonts w:ascii="Book Antiqua" w:hAnsi="Book Antiqua"/>
        </w:rPr>
        <w:t xml:space="preserve"> M, </w:t>
      </w:r>
      <w:proofErr w:type="spellStart"/>
      <w:r>
        <w:rPr>
          <w:rFonts w:ascii="Book Antiqua" w:hAnsi="Book Antiqua"/>
        </w:rPr>
        <w:t>Tugwell</w:t>
      </w:r>
      <w:proofErr w:type="spellEnd"/>
      <w:r>
        <w:rPr>
          <w:rFonts w:ascii="Book Antiqua" w:hAnsi="Book Antiqua"/>
        </w:rPr>
        <w:t xml:space="preserve"> P. The Newcastle-Ottawa Scale (NOS) for assessing the quality of </w:t>
      </w:r>
      <w:proofErr w:type="spellStart"/>
      <w:r>
        <w:rPr>
          <w:rFonts w:ascii="Book Antiqua" w:hAnsi="Book Antiqua"/>
        </w:rPr>
        <w:t>nonrandomised</w:t>
      </w:r>
      <w:proofErr w:type="spellEnd"/>
      <w:r>
        <w:rPr>
          <w:rFonts w:ascii="Book Antiqua" w:hAnsi="Book Antiqua"/>
        </w:rPr>
        <w:t xml:space="preserve"> studies in meta-analyses. 2013.</w:t>
      </w:r>
      <w:r w:rsidR="008972E3">
        <w:rPr>
          <w:rFonts w:ascii="Book Antiqua" w:hAnsi="Book Antiqua"/>
        </w:rPr>
        <w:t xml:space="preserve"> </w:t>
      </w:r>
      <w:r w:rsidR="008972E3">
        <w:rPr>
          <w:rFonts w:ascii="Book Antiqua" w:hAnsi="Book Antiqua"/>
        </w:rPr>
        <w:t xml:space="preserve">Available from: URL: </w:t>
      </w:r>
      <w:r>
        <w:rPr>
          <w:rFonts w:ascii="Book Antiqua" w:hAnsi="Book Antiqua"/>
        </w:rPr>
        <w:t xml:space="preserve"> http://www.ohri.ca/programs/c</w:t>
      </w:r>
      <w:r w:rsidR="008972E3">
        <w:rPr>
          <w:rFonts w:ascii="Book Antiqua" w:hAnsi="Book Antiqua"/>
        </w:rPr>
        <w:t>linical_epidemiology/oxford.asp</w:t>
      </w:r>
    </w:p>
    <w:p w14:paraId="4F68C470"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17 </w:t>
      </w:r>
      <w:r>
        <w:rPr>
          <w:rFonts w:ascii="Book Antiqua" w:hAnsi="Book Antiqua"/>
          <w:b/>
        </w:rPr>
        <w:t>Keegan MT</w:t>
      </w:r>
      <w:r>
        <w:rPr>
          <w:rFonts w:ascii="Book Antiqua" w:hAnsi="Book Antiqua"/>
        </w:rPr>
        <w:t xml:space="preserve">, </w:t>
      </w:r>
      <w:proofErr w:type="spellStart"/>
      <w:r>
        <w:rPr>
          <w:rFonts w:ascii="Book Antiqua" w:hAnsi="Book Antiqua"/>
        </w:rPr>
        <w:t>Vrchota</w:t>
      </w:r>
      <w:proofErr w:type="spellEnd"/>
      <w:r>
        <w:rPr>
          <w:rFonts w:ascii="Book Antiqua" w:hAnsi="Book Antiqua"/>
        </w:rPr>
        <w:t xml:space="preserve"> JM, </w:t>
      </w:r>
      <w:proofErr w:type="spellStart"/>
      <w:r>
        <w:rPr>
          <w:rFonts w:ascii="Book Antiqua" w:hAnsi="Book Antiqua"/>
        </w:rPr>
        <w:t>Haala</w:t>
      </w:r>
      <w:proofErr w:type="spellEnd"/>
      <w:r>
        <w:rPr>
          <w:rFonts w:ascii="Book Antiqua" w:hAnsi="Book Antiqua"/>
        </w:rPr>
        <w:t xml:space="preserve"> PM, </w:t>
      </w:r>
      <w:proofErr w:type="spellStart"/>
      <w:r>
        <w:rPr>
          <w:rFonts w:ascii="Book Antiqua" w:hAnsi="Book Antiqua"/>
        </w:rPr>
        <w:t>Timm</w:t>
      </w:r>
      <w:proofErr w:type="spellEnd"/>
      <w:r>
        <w:rPr>
          <w:rFonts w:ascii="Book Antiqua" w:hAnsi="Book Antiqua"/>
        </w:rPr>
        <w:t xml:space="preserve"> JV.</w:t>
      </w:r>
      <w:proofErr w:type="gramEnd"/>
      <w:r>
        <w:rPr>
          <w:rFonts w:ascii="Book Antiqua" w:hAnsi="Book Antiqua"/>
        </w:rPr>
        <w:t xml:space="preserve"> Safety and effectiveness of intensive insulin protocol use in post-operative liver transplant recipients. </w:t>
      </w:r>
      <w:r>
        <w:rPr>
          <w:rFonts w:ascii="Book Antiqua" w:hAnsi="Book Antiqua"/>
          <w:i/>
        </w:rPr>
        <w:t>Transplant Proc</w:t>
      </w:r>
      <w:r>
        <w:rPr>
          <w:rFonts w:ascii="Book Antiqua" w:hAnsi="Book Antiqua"/>
        </w:rPr>
        <w:t xml:space="preserve"> 2010; </w:t>
      </w:r>
      <w:r>
        <w:rPr>
          <w:rFonts w:ascii="Book Antiqua" w:hAnsi="Book Antiqua"/>
          <w:b/>
        </w:rPr>
        <w:t>42</w:t>
      </w:r>
      <w:r>
        <w:rPr>
          <w:rFonts w:ascii="Book Antiqua" w:hAnsi="Book Antiqua"/>
        </w:rPr>
        <w:t>: 2617-2624 [PMID: 20832556 DOI: 10.1016/j.transproceed.2010.05.156]</w:t>
      </w:r>
    </w:p>
    <w:p w14:paraId="0144E418" w14:textId="77777777" w:rsidR="00C26D7B" w:rsidRDefault="00C26D7B" w:rsidP="00C26D7B">
      <w:pPr>
        <w:spacing w:line="360" w:lineRule="auto"/>
        <w:jc w:val="both"/>
        <w:rPr>
          <w:rFonts w:ascii="Book Antiqua" w:hAnsi="Book Antiqua"/>
        </w:rPr>
      </w:pPr>
      <w:r>
        <w:rPr>
          <w:rFonts w:ascii="Book Antiqua" w:hAnsi="Book Antiqua"/>
        </w:rPr>
        <w:t xml:space="preserve">18 </w:t>
      </w:r>
      <w:r>
        <w:rPr>
          <w:rFonts w:ascii="Book Antiqua" w:hAnsi="Book Antiqua"/>
          <w:b/>
        </w:rPr>
        <w:t>Linder KE</w:t>
      </w:r>
      <w:r>
        <w:rPr>
          <w:rFonts w:ascii="Book Antiqua" w:hAnsi="Book Antiqua"/>
        </w:rPr>
        <w:t xml:space="preserve">, Baker WL, </w:t>
      </w:r>
      <w:proofErr w:type="spellStart"/>
      <w:r>
        <w:rPr>
          <w:rFonts w:ascii="Book Antiqua" w:hAnsi="Book Antiqua"/>
        </w:rPr>
        <w:t>Rochon</w:t>
      </w:r>
      <w:proofErr w:type="spellEnd"/>
      <w:r>
        <w:rPr>
          <w:rFonts w:ascii="Book Antiqua" w:hAnsi="Book Antiqua"/>
        </w:rPr>
        <w:t xml:space="preserve"> C, May ST, </w:t>
      </w:r>
      <w:proofErr w:type="spellStart"/>
      <w:r>
        <w:rPr>
          <w:rFonts w:ascii="Book Antiqua" w:hAnsi="Book Antiqua"/>
        </w:rPr>
        <w:t>Sheiner</w:t>
      </w:r>
      <w:proofErr w:type="spellEnd"/>
      <w:r>
        <w:rPr>
          <w:rFonts w:ascii="Book Antiqua" w:hAnsi="Book Antiqua"/>
        </w:rPr>
        <w:t xml:space="preserve"> PA, Martin ST. Evaluation of Posttransplantation Diabetes Mellitus After Liver Transplantation: Assessment of Insulin Administration as a Risk Factor. </w:t>
      </w:r>
      <w:r>
        <w:rPr>
          <w:rFonts w:ascii="Book Antiqua" w:hAnsi="Book Antiqua"/>
          <w:i/>
        </w:rPr>
        <w:t xml:space="preserve">Ann </w:t>
      </w:r>
      <w:proofErr w:type="spellStart"/>
      <w:r>
        <w:rPr>
          <w:rFonts w:ascii="Book Antiqua" w:hAnsi="Book Antiqua"/>
          <w:i/>
        </w:rPr>
        <w:t>Pharmacother</w:t>
      </w:r>
      <w:proofErr w:type="spellEnd"/>
      <w:r>
        <w:rPr>
          <w:rFonts w:ascii="Book Antiqua" w:hAnsi="Book Antiqua"/>
        </w:rPr>
        <w:t xml:space="preserve"> 2016; </w:t>
      </w:r>
      <w:r>
        <w:rPr>
          <w:rFonts w:ascii="Book Antiqua" w:hAnsi="Book Antiqua"/>
          <w:b/>
        </w:rPr>
        <w:t>50</w:t>
      </w:r>
      <w:r>
        <w:rPr>
          <w:rFonts w:ascii="Book Antiqua" w:hAnsi="Book Antiqua"/>
        </w:rPr>
        <w:t>: 369-375 [PMID: 26847860 DOI: 10.1177/1060028015627662]</w:t>
      </w:r>
    </w:p>
    <w:p w14:paraId="4AEF134E" w14:textId="77777777" w:rsidR="00C26D7B" w:rsidRDefault="00C26D7B" w:rsidP="00C26D7B">
      <w:pPr>
        <w:spacing w:line="360" w:lineRule="auto"/>
        <w:jc w:val="both"/>
        <w:rPr>
          <w:rFonts w:ascii="Book Antiqua" w:hAnsi="Book Antiqua"/>
        </w:rPr>
      </w:pPr>
      <w:r>
        <w:rPr>
          <w:rFonts w:ascii="Book Antiqua" w:hAnsi="Book Antiqua"/>
        </w:rPr>
        <w:lastRenderedPageBreak/>
        <w:t xml:space="preserve">19 </w:t>
      </w:r>
      <w:proofErr w:type="spellStart"/>
      <w:r>
        <w:rPr>
          <w:rFonts w:ascii="Book Antiqua" w:hAnsi="Book Antiqua"/>
          <w:b/>
        </w:rPr>
        <w:t>Wallia</w:t>
      </w:r>
      <w:proofErr w:type="spellEnd"/>
      <w:r>
        <w:rPr>
          <w:rFonts w:ascii="Book Antiqua" w:hAnsi="Book Antiqua"/>
          <w:b/>
        </w:rPr>
        <w:t xml:space="preserve"> A</w:t>
      </w:r>
      <w:r>
        <w:rPr>
          <w:rFonts w:ascii="Book Antiqua" w:hAnsi="Book Antiqua"/>
        </w:rPr>
        <w:t xml:space="preserve">, Parikh ND, O'Shea-Mahler E, Schmidt K, DeSantis AJ, Tian L, </w:t>
      </w:r>
      <w:proofErr w:type="spellStart"/>
      <w:r>
        <w:rPr>
          <w:rFonts w:ascii="Book Antiqua" w:hAnsi="Book Antiqua"/>
        </w:rPr>
        <w:t>Levitsky</w:t>
      </w:r>
      <w:proofErr w:type="spellEnd"/>
      <w:r>
        <w:rPr>
          <w:rFonts w:ascii="Book Antiqua" w:hAnsi="Book Antiqua"/>
        </w:rPr>
        <w:t xml:space="preserve"> J, </w:t>
      </w:r>
      <w:proofErr w:type="spellStart"/>
      <w:r>
        <w:rPr>
          <w:rFonts w:ascii="Book Antiqua" w:hAnsi="Book Antiqua"/>
        </w:rPr>
        <w:t>Molitch</w:t>
      </w:r>
      <w:proofErr w:type="spellEnd"/>
      <w:r>
        <w:rPr>
          <w:rFonts w:ascii="Book Antiqua" w:hAnsi="Book Antiqua"/>
        </w:rPr>
        <w:t xml:space="preserve"> ME. </w:t>
      </w:r>
      <w:proofErr w:type="gramStart"/>
      <w:r>
        <w:rPr>
          <w:rFonts w:ascii="Book Antiqua" w:hAnsi="Book Antiqua"/>
        </w:rPr>
        <w:t>Glycemic control by a glucose management service and infection rates after liver transplantation.</w:t>
      </w:r>
      <w:proofErr w:type="gramEnd"/>
      <w:r>
        <w:rPr>
          <w:rFonts w:ascii="Book Antiqua" w:hAnsi="Book Antiqua"/>
        </w:rPr>
        <w:t xml:space="preserve"> </w:t>
      </w:r>
      <w:proofErr w:type="spellStart"/>
      <w:r>
        <w:rPr>
          <w:rFonts w:ascii="Book Antiqua" w:hAnsi="Book Antiqua"/>
          <w:i/>
        </w:rPr>
        <w:t>Endocr</w:t>
      </w:r>
      <w:proofErr w:type="spellEnd"/>
      <w:r>
        <w:rPr>
          <w:rFonts w:ascii="Book Antiqua" w:hAnsi="Book Antiqua"/>
          <w:i/>
        </w:rPr>
        <w:t xml:space="preserve"> </w:t>
      </w:r>
      <w:proofErr w:type="spellStart"/>
      <w:r>
        <w:rPr>
          <w:rFonts w:ascii="Book Antiqua" w:hAnsi="Book Antiqua"/>
          <w:i/>
        </w:rPr>
        <w:t>Pract</w:t>
      </w:r>
      <w:proofErr w:type="spellEnd"/>
      <w:r>
        <w:rPr>
          <w:rFonts w:ascii="Book Antiqua" w:hAnsi="Book Antiqua"/>
        </w:rPr>
        <w:t xml:space="preserve"> 2011; </w:t>
      </w:r>
      <w:r>
        <w:rPr>
          <w:rFonts w:ascii="Book Antiqua" w:hAnsi="Book Antiqua"/>
          <w:b/>
        </w:rPr>
        <w:t>17</w:t>
      </w:r>
      <w:r>
        <w:rPr>
          <w:rFonts w:ascii="Book Antiqua" w:hAnsi="Book Antiqua"/>
        </w:rPr>
        <w:t>: 546-551 [PMID: 21324822 DOI: 10.4158/EP10343.OR]</w:t>
      </w:r>
    </w:p>
    <w:p w14:paraId="50C48615" w14:textId="77777777" w:rsidR="00C26D7B" w:rsidRDefault="00C26D7B" w:rsidP="00C26D7B">
      <w:pPr>
        <w:spacing w:line="360" w:lineRule="auto"/>
        <w:jc w:val="both"/>
        <w:rPr>
          <w:rFonts w:ascii="Book Antiqua" w:hAnsi="Book Antiqua"/>
        </w:rPr>
      </w:pPr>
      <w:r>
        <w:rPr>
          <w:rFonts w:ascii="Book Antiqua" w:hAnsi="Book Antiqua"/>
        </w:rPr>
        <w:t xml:space="preserve">20 </w:t>
      </w:r>
      <w:r>
        <w:rPr>
          <w:rFonts w:ascii="Book Antiqua" w:hAnsi="Book Antiqua"/>
          <w:b/>
        </w:rPr>
        <w:t>Trail KC</w:t>
      </w:r>
      <w:r>
        <w:rPr>
          <w:rFonts w:ascii="Book Antiqua" w:hAnsi="Book Antiqua"/>
        </w:rPr>
        <w:t xml:space="preserve">, </w:t>
      </w:r>
      <w:proofErr w:type="spellStart"/>
      <w:r>
        <w:rPr>
          <w:rFonts w:ascii="Book Antiqua" w:hAnsi="Book Antiqua"/>
        </w:rPr>
        <w:t>McCashland</w:t>
      </w:r>
      <w:proofErr w:type="spellEnd"/>
      <w:r>
        <w:rPr>
          <w:rFonts w:ascii="Book Antiqua" w:hAnsi="Book Antiqua"/>
        </w:rPr>
        <w:t xml:space="preserve"> TM, Larsen JL, </w:t>
      </w:r>
      <w:proofErr w:type="spellStart"/>
      <w:r>
        <w:rPr>
          <w:rFonts w:ascii="Book Antiqua" w:hAnsi="Book Antiqua"/>
        </w:rPr>
        <w:t>Heffron</w:t>
      </w:r>
      <w:proofErr w:type="spellEnd"/>
      <w:r>
        <w:rPr>
          <w:rFonts w:ascii="Book Antiqua" w:hAnsi="Book Antiqua"/>
        </w:rPr>
        <w:t xml:space="preserve"> TG, </w:t>
      </w:r>
      <w:proofErr w:type="spellStart"/>
      <w:r>
        <w:rPr>
          <w:rFonts w:ascii="Book Antiqua" w:hAnsi="Book Antiqua"/>
        </w:rPr>
        <w:t>Stratta</w:t>
      </w:r>
      <w:proofErr w:type="spellEnd"/>
      <w:r>
        <w:rPr>
          <w:rFonts w:ascii="Book Antiqua" w:hAnsi="Book Antiqua"/>
        </w:rPr>
        <w:t xml:space="preserve"> RJ, </w:t>
      </w:r>
      <w:proofErr w:type="spellStart"/>
      <w:r>
        <w:rPr>
          <w:rFonts w:ascii="Book Antiqua" w:hAnsi="Book Antiqua"/>
        </w:rPr>
        <w:t>Langnas</w:t>
      </w:r>
      <w:proofErr w:type="spellEnd"/>
      <w:r>
        <w:rPr>
          <w:rFonts w:ascii="Book Antiqua" w:hAnsi="Book Antiqua"/>
        </w:rPr>
        <w:t xml:space="preserve"> AN, Fox IJ, </w:t>
      </w:r>
      <w:proofErr w:type="spellStart"/>
      <w:r>
        <w:rPr>
          <w:rFonts w:ascii="Book Antiqua" w:hAnsi="Book Antiqua"/>
        </w:rPr>
        <w:t>Zetterman</w:t>
      </w:r>
      <w:proofErr w:type="spellEnd"/>
      <w:r>
        <w:rPr>
          <w:rFonts w:ascii="Book Antiqua" w:hAnsi="Book Antiqua"/>
        </w:rPr>
        <w:t xml:space="preserve"> RK, Donovan JP, Sorrell MF, </w:t>
      </w:r>
      <w:proofErr w:type="spellStart"/>
      <w:r>
        <w:rPr>
          <w:rFonts w:ascii="Book Antiqua" w:hAnsi="Book Antiqua"/>
        </w:rPr>
        <w:t>Pillen</w:t>
      </w:r>
      <w:proofErr w:type="spellEnd"/>
      <w:r>
        <w:rPr>
          <w:rFonts w:ascii="Book Antiqua" w:hAnsi="Book Antiqua"/>
        </w:rPr>
        <w:t xml:space="preserve"> TJ, Ruby EI, Shaw BW Jr. Morbidity in patients with posttransplant diabetes mellitus following orthotopic liver transplantation. </w:t>
      </w:r>
      <w:r>
        <w:rPr>
          <w:rFonts w:ascii="Book Antiqua" w:hAnsi="Book Antiqua"/>
          <w:i/>
        </w:rPr>
        <w:t xml:space="preserve">Liver </w:t>
      </w:r>
      <w:proofErr w:type="spellStart"/>
      <w:r>
        <w:rPr>
          <w:rFonts w:ascii="Book Antiqua" w:hAnsi="Book Antiqua"/>
          <w:i/>
        </w:rPr>
        <w:t>Transpl</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rPr>
        <w:t xml:space="preserve"> 1996; </w:t>
      </w:r>
      <w:r>
        <w:rPr>
          <w:rFonts w:ascii="Book Antiqua" w:hAnsi="Book Antiqua"/>
          <w:b/>
        </w:rPr>
        <w:t>2</w:t>
      </w:r>
      <w:r>
        <w:rPr>
          <w:rFonts w:ascii="Book Antiqua" w:hAnsi="Book Antiqua"/>
        </w:rPr>
        <w:t>: 276-283 [PMID: 9346661 DOI: 10.1002/lt.500020405]</w:t>
      </w:r>
    </w:p>
    <w:p w14:paraId="1E58A467" w14:textId="77777777" w:rsidR="00C26D7B" w:rsidRDefault="00C26D7B" w:rsidP="00C26D7B">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rPr>
        <w:t>Gelley</w:t>
      </w:r>
      <w:proofErr w:type="spellEnd"/>
      <w:r>
        <w:rPr>
          <w:rFonts w:ascii="Book Antiqua" w:hAnsi="Book Antiqua"/>
          <w:b/>
        </w:rPr>
        <w:t xml:space="preserve"> F</w:t>
      </w:r>
      <w:r>
        <w:rPr>
          <w:rFonts w:ascii="Book Antiqua" w:hAnsi="Book Antiqua"/>
        </w:rPr>
        <w:t xml:space="preserve">, </w:t>
      </w:r>
      <w:proofErr w:type="spellStart"/>
      <w:r>
        <w:rPr>
          <w:rFonts w:ascii="Book Antiqua" w:hAnsi="Book Antiqua"/>
        </w:rPr>
        <w:t>Zadori</w:t>
      </w:r>
      <w:proofErr w:type="spellEnd"/>
      <w:r>
        <w:rPr>
          <w:rFonts w:ascii="Book Antiqua" w:hAnsi="Book Antiqua"/>
        </w:rPr>
        <w:t xml:space="preserve"> G, </w:t>
      </w:r>
      <w:proofErr w:type="spellStart"/>
      <w:r>
        <w:rPr>
          <w:rFonts w:ascii="Book Antiqua" w:hAnsi="Book Antiqua"/>
        </w:rPr>
        <w:t>Firneisz</w:t>
      </w:r>
      <w:proofErr w:type="spellEnd"/>
      <w:r>
        <w:rPr>
          <w:rFonts w:ascii="Book Antiqua" w:hAnsi="Book Antiqua"/>
        </w:rPr>
        <w:t xml:space="preserve"> G, Wagner L, </w:t>
      </w:r>
      <w:proofErr w:type="spellStart"/>
      <w:r>
        <w:rPr>
          <w:rFonts w:ascii="Book Antiqua" w:hAnsi="Book Antiqua"/>
        </w:rPr>
        <w:t>Fehervári</w:t>
      </w:r>
      <w:proofErr w:type="spellEnd"/>
      <w:r>
        <w:rPr>
          <w:rFonts w:ascii="Book Antiqua" w:hAnsi="Book Antiqua"/>
        </w:rPr>
        <w:t xml:space="preserve"> I, </w:t>
      </w:r>
      <w:proofErr w:type="spellStart"/>
      <w:r>
        <w:rPr>
          <w:rFonts w:ascii="Book Antiqua" w:hAnsi="Book Antiqua"/>
        </w:rPr>
        <w:t>Gerlei</w:t>
      </w:r>
      <w:proofErr w:type="spellEnd"/>
      <w:r>
        <w:rPr>
          <w:rFonts w:ascii="Book Antiqua" w:hAnsi="Book Antiqua"/>
        </w:rPr>
        <w:t xml:space="preserve"> Z, </w:t>
      </w:r>
      <w:proofErr w:type="spellStart"/>
      <w:r>
        <w:rPr>
          <w:rFonts w:ascii="Book Antiqua" w:hAnsi="Book Antiqua"/>
        </w:rPr>
        <w:t>Fazakas</w:t>
      </w:r>
      <w:proofErr w:type="spellEnd"/>
      <w:r>
        <w:rPr>
          <w:rFonts w:ascii="Book Antiqua" w:hAnsi="Book Antiqua"/>
        </w:rPr>
        <w:t xml:space="preserve"> J, </w:t>
      </w:r>
      <w:proofErr w:type="spellStart"/>
      <w:r>
        <w:rPr>
          <w:rFonts w:ascii="Book Antiqua" w:hAnsi="Book Antiqua"/>
        </w:rPr>
        <w:t>Papai</w:t>
      </w:r>
      <w:proofErr w:type="spellEnd"/>
      <w:r>
        <w:rPr>
          <w:rFonts w:ascii="Book Antiqua" w:hAnsi="Book Antiqua"/>
        </w:rPr>
        <w:t xml:space="preserve"> S, </w:t>
      </w:r>
      <w:proofErr w:type="spellStart"/>
      <w:r>
        <w:rPr>
          <w:rFonts w:ascii="Book Antiqua" w:hAnsi="Book Antiqua"/>
        </w:rPr>
        <w:t>Lengyel</w:t>
      </w:r>
      <w:proofErr w:type="spellEnd"/>
      <w:r>
        <w:rPr>
          <w:rFonts w:ascii="Book Antiqua" w:hAnsi="Book Antiqua"/>
        </w:rPr>
        <w:t xml:space="preserve"> G, </w:t>
      </w:r>
      <w:proofErr w:type="spellStart"/>
      <w:r>
        <w:rPr>
          <w:rFonts w:ascii="Book Antiqua" w:hAnsi="Book Antiqua"/>
        </w:rPr>
        <w:t>Sarvary</w:t>
      </w:r>
      <w:proofErr w:type="spellEnd"/>
      <w:r>
        <w:rPr>
          <w:rFonts w:ascii="Book Antiqua" w:hAnsi="Book Antiqua"/>
        </w:rPr>
        <w:t xml:space="preserve"> E, </w:t>
      </w:r>
      <w:proofErr w:type="spellStart"/>
      <w:r>
        <w:rPr>
          <w:rFonts w:ascii="Book Antiqua" w:hAnsi="Book Antiqua"/>
        </w:rPr>
        <w:t>Nemes</w:t>
      </w:r>
      <w:proofErr w:type="spellEnd"/>
      <w:r>
        <w:rPr>
          <w:rFonts w:ascii="Book Antiqua" w:hAnsi="Book Antiqua"/>
        </w:rPr>
        <w:t xml:space="preserve"> B. Relationship between hepatitis C virus recurrence and de novo diabetes after liver transplantation: the Hungarian experience. </w:t>
      </w:r>
      <w:r>
        <w:rPr>
          <w:rFonts w:ascii="Book Antiqua" w:hAnsi="Book Antiqua"/>
          <w:i/>
        </w:rPr>
        <w:t>Transplant Proc</w:t>
      </w:r>
      <w:r>
        <w:rPr>
          <w:rFonts w:ascii="Book Antiqua" w:hAnsi="Book Antiqua"/>
        </w:rPr>
        <w:t xml:space="preserve"> 2011; </w:t>
      </w:r>
      <w:r>
        <w:rPr>
          <w:rFonts w:ascii="Book Antiqua" w:hAnsi="Book Antiqua"/>
          <w:b/>
        </w:rPr>
        <w:t>43</w:t>
      </w:r>
      <w:r>
        <w:rPr>
          <w:rFonts w:ascii="Book Antiqua" w:hAnsi="Book Antiqua"/>
        </w:rPr>
        <w:t>: 1281-1282 [PMID: 21620111 DOI: 10.1016/j.transproceed.2011.03.065]</w:t>
      </w:r>
    </w:p>
    <w:p w14:paraId="49A7D5EA"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22 </w:t>
      </w:r>
      <w:r>
        <w:rPr>
          <w:rFonts w:ascii="Book Antiqua" w:hAnsi="Book Antiqua"/>
          <w:b/>
        </w:rPr>
        <w:t>Villanueva G</w:t>
      </w:r>
      <w:r>
        <w:rPr>
          <w:rFonts w:ascii="Book Antiqua" w:hAnsi="Book Antiqua"/>
        </w:rPr>
        <w:t>, Baldwin D. Rosiglitazone therapy of posttransplant diabetes mellitus.</w:t>
      </w:r>
      <w:proofErr w:type="gramEnd"/>
      <w:r>
        <w:rPr>
          <w:rFonts w:ascii="Book Antiqua" w:hAnsi="Book Antiqua"/>
        </w:rPr>
        <w:t xml:space="preserve"> </w:t>
      </w:r>
      <w:r>
        <w:rPr>
          <w:rFonts w:ascii="Book Antiqua" w:hAnsi="Book Antiqua"/>
          <w:i/>
        </w:rPr>
        <w:t>Transplantation</w:t>
      </w:r>
      <w:r>
        <w:rPr>
          <w:rFonts w:ascii="Book Antiqua" w:hAnsi="Book Antiqua"/>
        </w:rPr>
        <w:t xml:space="preserve"> 2005; </w:t>
      </w:r>
      <w:r>
        <w:rPr>
          <w:rFonts w:ascii="Book Antiqua" w:hAnsi="Book Antiqua"/>
          <w:b/>
        </w:rPr>
        <w:t>80</w:t>
      </w:r>
      <w:r>
        <w:rPr>
          <w:rFonts w:ascii="Book Antiqua" w:hAnsi="Book Antiqua"/>
        </w:rPr>
        <w:t>: 1402-1405 [PMID: 16340782 DOI: 10.1097/01.tp.0000181165.19788.95]</w:t>
      </w:r>
    </w:p>
    <w:p w14:paraId="46C64B52" w14:textId="77777777" w:rsidR="00C26D7B" w:rsidRDefault="00C26D7B" w:rsidP="00C26D7B">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rPr>
        <w:t>Hartog</w:t>
      </w:r>
      <w:proofErr w:type="spellEnd"/>
      <w:r>
        <w:rPr>
          <w:rFonts w:ascii="Book Antiqua" w:hAnsi="Book Antiqua"/>
          <w:b/>
        </w:rPr>
        <w:t xml:space="preserve"> H</w:t>
      </w:r>
      <w:r>
        <w:rPr>
          <w:rFonts w:ascii="Book Antiqua" w:hAnsi="Book Antiqua"/>
        </w:rPr>
        <w:t xml:space="preserve">, May CJ, Corbett C, Phillips A, Tomlinson JW, </w:t>
      </w:r>
      <w:proofErr w:type="spellStart"/>
      <w:r>
        <w:rPr>
          <w:rFonts w:ascii="Book Antiqua" w:hAnsi="Book Antiqua"/>
        </w:rPr>
        <w:t>Mergental</w:t>
      </w:r>
      <w:proofErr w:type="spellEnd"/>
      <w:r>
        <w:rPr>
          <w:rFonts w:ascii="Book Antiqua" w:hAnsi="Book Antiqua"/>
        </w:rPr>
        <w:t xml:space="preserve"> H, Isaac J, Bramhall S, Mirza DF, </w:t>
      </w:r>
      <w:proofErr w:type="spellStart"/>
      <w:r>
        <w:rPr>
          <w:rFonts w:ascii="Book Antiqua" w:hAnsi="Book Antiqua"/>
        </w:rPr>
        <w:t>Muiesan</w:t>
      </w:r>
      <w:proofErr w:type="spellEnd"/>
      <w:r>
        <w:rPr>
          <w:rFonts w:ascii="Book Antiqua" w:hAnsi="Book Antiqua"/>
        </w:rPr>
        <w:t xml:space="preserve"> P, </w:t>
      </w:r>
      <w:proofErr w:type="spellStart"/>
      <w:r>
        <w:rPr>
          <w:rFonts w:ascii="Book Antiqua" w:hAnsi="Book Antiqua"/>
        </w:rPr>
        <w:t>Perera</w:t>
      </w:r>
      <w:proofErr w:type="spellEnd"/>
      <w:r>
        <w:rPr>
          <w:rFonts w:ascii="Book Antiqua" w:hAnsi="Book Antiqua"/>
        </w:rPr>
        <w:t xml:space="preserve"> MT. Early occurrence of new-onset diabetes after transplantation is related to type of liver graft and warm </w:t>
      </w:r>
      <w:proofErr w:type="spellStart"/>
      <w:r>
        <w:rPr>
          <w:rFonts w:ascii="Book Antiqua" w:hAnsi="Book Antiqua"/>
        </w:rPr>
        <w:t>ischaemic</w:t>
      </w:r>
      <w:proofErr w:type="spellEnd"/>
      <w:r>
        <w:rPr>
          <w:rFonts w:ascii="Book Antiqua" w:hAnsi="Book Antiqua"/>
        </w:rPr>
        <w:t xml:space="preserve"> injury. </w:t>
      </w:r>
      <w:r>
        <w:rPr>
          <w:rFonts w:ascii="Book Antiqua" w:hAnsi="Book Antiqua"/>
          <w:i/>
        </w:rPr>
        <w:t xml:space="preserve">Liver </w:t>
      </w:r>
      <w:proofErr w:type="spellStart"/>
      <w:r>
        <w:rPr>
          <w:rFonts w:ascii="Book Antiqua" w:hAnsi="Book Antiqua"/>
          <w:i/>
        </w:rPr>
        <w:t>Int</w:t>
      </w:r>
      <w:proofErr w:type="spellEnd"/>
      <w:r>
        <w:rPr>
          <w:rFonts w:ascii="Book Antiqua" w:hAnsi="Book Antiqua"/>
        </w:rPr>
        <w:t xml:space="preserve"> 2015; </w:t>
      </w:r>
      <w:r>
        <w:rPr>
          <w:rFonts w:ascii="Book Antiqua" w:hAnsi="Book Antiqua"/>
          <w:b/>
        </w:rPr>
        <w:t>35</w:t>
      </w:r>
      <w:r>
        <w:rPr>
          <w:rFonts w:ascii="Book Antiqua" w:hAnsi="Book Antiqua"/>
        </w:rPr>
        <w:t>: 1739-1747 [PMID: 25349066 DOI: 10.1111/liv.12706]</w:t>
      </w:r>
    </w:p>
    <w:p w14:paraId="40447669" w14:textId="77777777" w:rsidR="00C26D7B" w:rsidRDefault="00C26D7B" w:rsidP="00C26D7B">
      <w:pPr>
        <w:spacing w:line="360" w:lineRule="auto"/>
        <w:jc w:val="both"/>
        <w:rPr>
          <w:rFonts w:ascii="Book Antiqua" w:hAnsi="Book Antiqua"/>
        </w:rPr>
      </w:pPr>
      <w:r>
        <w:rPr>
          <w:rFonts w:ascii="Book Antiqua" w:hAnsi="Book Antiqua"/>
        </w:rPr>
        <w:t xml:space="preserve">24 </w:t>
      </w:r>
      <w:r>
        <w:rPr>
          <w:rFonts w:ascii="Book Antiqua" w:hAnsi="Book Antiqua"/>
          <w:b/>
        </w:rPr>
        <w:t>Alvarez-Sotomayor D</w:t>
      </w:r>
      <w:r>
        <w:rPr>
          <w:rFonts w:ascii="Book Antiqua" w:hAnsi="Book Antiqua"/>
        </w:rPr>
        <w:t xml:space="preserve">, </w:t>
      </w:r>
      <w:proofErr w:type="spellStart"/>
      <w:r>
        <w:rPr>
          <w:rFonts w:ascii="Book Antiqua" w:hAnsi="Book Antiqua"/>
        </w:rPr>
        <w:t>Satorres</w:t>
      </w:r>
      <w:proofErr w:type="spellEnd"/>
      <w:r>
        <w:rPr>
          <w:rFonts w:ascii="Book Antiqua" w:hAnsi="Book Antiqua"/>
        </w:rPr>
        <w:t xml:space="preserve"> C, Rodríguez-Medina B, Herrero I, de la Mata M, Serrano T, Rodríguez-</w:t>
      </w:r>
      <w:proofErr w:type="spellStart"/>
      <w:r>
        <w:rPr>
          <w:rFonts w:ascii="Book Antiqua" w:hAnsi="Book Antiqua"/>
        </w:rPr>
        <w:t>Perálvarez</w:t>
      </w:r>
      <w:proofErr w:type="spellEnd"/>
      <w:r>
        <w:rPr>
          <w:rFonts w:ascii="Book Antiqua" w:hAnsi="Book Antiqua"/>
        </w:rPr>
        <w:t xml:space="preserve"> M, </w:t>
      </w:r>
      <w:proofErr w:type="spellStart"/>
      <w:r>
        <w:rPr>
          <w:rFonts w:ascii="Book Antiqua" w:hAnsi="Book Antiqua"/>
        </w:rPr>
        <w:t>D</w:t>
      </w:r>
      <w:r>
        <w:rPr>
          <w:rFonts w:ascii="Cambria Math" w:hAnsi="Cambria Math" w:cs="Cambria Math"/>
        </w:rPr>
        <w:t>ʼ</w:t>
      </w:r>
      <w:r>
        <w:rPr>
          <w:rFonts w:ascii="Book Antiqua" w:hAnsi="Book Antiqua"/>
        </w:rPr>
        <w:t>Avola</w:t>
      </w:r>
      <w:proofErr w:type="spellEnd"/>
      <w:r>
        <w:rPr>
          <w:rFonts w:ascii="Book Antiqua" w:hAnsi="Book Antiqua"/>
        </w:rPr>
        <w:t xml:space="preserve"> D, </w:t>
      </w:r>
      <w:proofErr w:type="spellStart"/>
      <w:r>
        <w:rPr>
          <w:rFonts w:ascii="Book Antiqua" w:hAnsi="Book Antiqua"/>
        </w:rPr>
        <w:t>Lorente</w:t>
      </w:r>
      <w:proofErr w:type="spellEnd"/>
      <w:r>
        <w:rPr>
          <w:rFonts w:ascii="Book Antiqua" w:hAnsi="Book Antiqua"/>
        </w:rPr>
        <w:t xml:space="preserve"> S, </w:t>
      </w:r>
      <w:proofErr w:type="spellStart"/>
      <w:r>
        <w:rPr>
          <w:rFonts w:ascii="Book Antiqua" w:hAnsi="Book Antiqua"/>
        </w:rPr>
        <w:t>Rub</w:t>
      </w:r>
      <w:r>
        <w:rPr>
          <w:rFonts w:ascii="Book Antiqua" w:hAnsi="Book Antiqua" w:cs="Book Antiqua"/>
        </w:rPr>
        <w:t>í</w:t>
      </w:r>
      <w:r>
        <w:rPr>
          <w:rFonts w:ascii="Book Antiqua" w:hAnsi="Book Antiqua"/>
        </w:rPr>
        <w:t>n</w:t>
      </w:r>
      <w:proofErr w:type="spellEnd"/>
      <w:r>
        <w:rPr>
          <w:rFonts w:ascii="Book Antiqua" w:hAnsi="Book Antiqua"/>
        </w:rPr>
        <w:t xml:space="preserve"> A, </w:t>
      </w:r>
      <w:proofErr w:type="spellStart"/>
      <w:r>
        <w:rPr>
          <w:rFonts w:ascii="Book Antiqua" w:hAnsi="Book Antiqua"/>
        </w:rPr>
        <w:t>Berenguer</w:t>
      </w:r>
      <w:proofErr w:type="spellEnd"/>
      <w:r>
        <w:rPr>
          <w:rFonts w:ascii="Book Antiqua" w:hAnsi="Book Antiqua"/>
        </w:rPr>
        <w:t xml:space="preserve"> M. Controlling Diabetes After Liver Transplantation: Room for Improvement. </w:t>
      </w:r>
      <w:r>
        <w:rPr>
          <w:rFonts w:ascii="Book Antiqua" w:hAnsi="Book Antiqua"/>
          <w:i/>
        </w:rPr>
        <w:t>Transplantation</w:t>
      </w:r>
      <w:r>
        <w:rPr>
          <w:rFonts w:ascii="Book Antiqua" w:hAnsi="Book Antiqua"/>
        </w:rPr>
        <w:t xml:space="preserve"> 2016; </w:t>
      </w:r>
      <w:r>
        <w:rPr>
          <w:rFonts w:ascii="Book Antiqua" w:hAnsi="Book Antiqua"/>
          <w:b/>
        </w:rPr>
        <w:t>100</w:t>
      </w:r>
      <w:r>
        <w:rPr>
          <w:rFonts w:ascii="Book Antiqua" w:hAnsi="Book Antiqua"/>
        </w:rPr>
        <w:t>: e66-e73 [PMID: 27653229 DOI: 10.1097/TP.0000000000001399]</w:t>
      </w:r>
    </w:p>
    <w:p w14:paraId="1D7F6A05" w14:textId="77777777" w:rsidR="00C26D7B" w:rsidRDefault="00C26D7B" w:rsidP="00C26D7B">
      <w:pPr>
        <w:spacing w:line="360" w:lineRule="auto"/>
        <w:jc w:val="both"/>
        <w:rPr>
          <w:rFonts w:ascii="Book Antiqua" w:hAnsi="Book Antiqua"/>
        </w:rPr>
      </w:pPr>
      <w:r>
        <w:rPr>
          <w:rFonts w:ascii="Book Antiqua" w:hAnsi="Book Antiqua"/>
        </w:rPr>
        <w:t xml:space="preserve">25 </w:t>
      </w:r>
      <w:r>
        <w:rPr>
          <w:rFonts w:ascii="Book Antiqua" w:hAnsi="Book Antiqua"/>
          <w:b/>
        </w:rPr>
        <w:t>Chung HS</w:t>
      </w:r>
      <w:r>
        <w:rPr>
          <w:rFonts w:ascii="Book Antiqua" w:hAnsi="Book Antiqua"/>
        </w:rPr>
        <w:t xml:space="preserve">, Lee S, Kwon SJ, Park CS. Perioperative predictors for refractory hyperglycemia during the neohepatic phase of liver transplantation. </w:t>
      </w:r>
      <w:r>
        <w:rPr>
          <w:rFonts w:ascii="Book Antiqua" w:hAnsi="Book Antiqua"/>
          <w:i/>
        </w:rPr>
        <w:t>Transplant Proc</w:t>
      </w:r>
      <w:r>
        <w:rPr>
          <w:rFonts w:ascii="Book Antiqua" w:hAnsi="Book Antiqua"/>
        </w:rPr>
        <w:t xml:space="preserve"> 2014; </w:t>
      </w:r>
      <w:r>
        <w:rPr>
          <w:rFonts w:ascii="Book Antiqua" w:hAnsi="Book Antiqua"/>
          <w:b/>
        </w:rPr>
        <w:t>46</w:t>
      </w:r>
      <w:r>
        <w:rPr>
          <w:rFonts w:ascii="Book Antiqua" w:hAnsi="Book Antiqua"/>
        </w:rPr>
        <w:t>: 3474-3480 [PMID: 25498075 DOI: 10.1016/j.transproceed.2014.06.078]</w:t>
      </w:r>
    </w:p>
    <w:p w14:paraId="3C130D6B" w14:textId="77777777" w:rsidR="00C26D7B" w:rsidRDefault="00C26D7B" w:rsidP="00C26D7B">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rPr>
        <w:t>Morbitzer</w:t>
      </w:r>
      <w:proofErr w:type="spellEnd"/>
      <w:r>
        <w:rPr>
          <w:rFonts w:ascii="Book Antiqua" w:hAnsi="Book Antiqua"/>
          <w:b/>
        </w:rPr>
        <w:t xml:space="preserve"> KA</w:t>
      </w:r>
      <w:r>
        <w:rPr>
          <w:rFonts w:ascii="Book Antiqua" w:hAnsi="Book Antiqua"/>
        </w:rPr>
        <w:t xml:space="preserve">, Taber DJ, </w:t>
      </w:r>
      <w:proofErr w:type="spellStart"/>
      <w:r>
        <w:rPr>
          <w:rFonts w:ascii="Book Antiqua" w:hAnsi="Book Antiqua"/>
        </w:rPr>
        <w:t>Pilch</w:t>
      </w:r>
      <w:proofErr w:type="spellEnd"/>
      <w:r>
        <w:rPr>
          <w:rFonts w:ascii="Book Antiqua" w:hAnsi="Book Antiqua"/>
        </w:rPr>
        <w:t xml:space="preserve"> NA, Meadows HB, Fleming JN, Bratton CF, </w:t>
      </w:r>
      <w:proofErr w:type="spellStart"/>
      <w:r>
        <w:rPr>
          <w:rFonts w:ascii="Book Antiqua" w:hAnsi="Book Antiqua"/>
        </w:rPr>
        <w:t>McGillicuddy</w:t>
      </w:r>
      <w:proofErr w:type="spellEnd"/>
      <w:r>
        <w:rPr>
          <w:rFonts w:ascii="Book Antiqua" w:hAnsi="Book Antiqua"/>
        </w:rPr>
        <w:t xml:space="preserve"> JW, </w:t>
      </w:r>
      <w:proofErr w:type="spellStart"/>
      <w:r>
        <w:rPr>
          <w:rFonts w:ascii="Book Antiqua" w:hAnsi="Book Antiqua"/>
        </w:rPr>
        <w:t>Baliga</w:t>
      </w:r>
      <w:proofErr w:type="spellEnd"/>
      <w:r>
        <w:rPr>
          <w:rFonts w:ascii="Book Antiqua" w:hAnsi="Book Antiqua"/>
        </w:rPr>
        <w:t xml:space="preserve"> PK, </w:t>
      </w:r>
      <w:proofErr w:type="spellStart"/>
      <w:r>
        <w:rPr>
          <w:rFonts w:ascii="Book Antiqua" w:hAnsi="Book Antiqua"/>
        </w:rPr>
        <w:t>Chavin</w:t>
      </w:r>
      <w:proofErr w:type="spellEnd"/>
      <w:r>
        <w:rPr>
          <w:rFonts w:ascii="Book Antiqua" w:hAnsi="Book Antiqua"/>
        </w:rPr>
        <w:t xml:space="preserve"> KD. The impact of diabetes mellitus and glycemic </w:t>
      </w:r>
      <w:r>
        <w:rPr>
          <w:rFonts w:ascii="Book Antiqua" w:hAnsi="Book Antiqua"/>
        </w:rPr>
        <w:lastRenderedPageBreak/>
        <w:t xml:space="preserve">control on clinical outcomes following liver transplant for hepatitis C. </w:t>
      </w:r>
      <w:proofErr w:type="spellStart"/>
      <w:r>
        <w:rPr>
          <w:rFonts w:ascii="Book Antiqua" w:hAnsi="Book Antiqua"/>
          <w:i/>
        </w:rPr>
        <w:t>Clin</w:t>
      </w:r>
      <w:proofErr w:type="spellEnd"/>
      <w:r>
        <w:rPr>
          <w:rFonts w:ascii="Book Antiqua" w:hAnsi="Book Antiqua"/>
          <w:i/>
        </w:rPr>
        <w:t xml:space="preserve"> Transplant</w:t>
      </w:r>
      <w:r>
        <w:rPr>
          <w:rFonts w:ascii="Book Antiqua" w:hAnsi="Book Antiqua"/>
        </w:rPr>
        <w:t xml:space="preserve"> 2014; </w:t>
      </w:r>
      <w:r>
        <w:rPr>
          <w:rFonts w:ascii="Book Antiqua" w:hAnsi="Book Antiqua"/>
          <w:b/>
        </w:rPr>
        <w:t>28</w:t>
      </w:r>
      <w:r>
        <w:rPr>
          <w:rFonts w:ascii="Book Antiqua" w:hAnsi="Book Antiqua"/>
        </w:rPr>
        <w:t>: 862-868 [PMID: 24893750 DOI: 10.1111/ctr.12391]</w:t>
      </w:r>
    </w:p>
    <w:p w14:paraId="41F6A646" w14:textId="77777777" w:rsidR="00C26D7B" w:rsidRDefault="00C26D7B" w:rsidP="00C26D7B">
      <w:pPr>
        <w:spacing w:line="360" w:lineRule="auto"/>
        <w:jc w:val="both"/>
        <w:rPr>
          <w:rFonts w:ascii="Book Antiqua" w:hAnsi="Book Antiqua"/>
        </w:rPr>
      </w:pPr>
      <w:proofErr w:type="gramStart"/>
      <w:r>
        <w:rPr>
          <w:rFonts w:ascii="Book Antiqua" w:hAnsi="Book Antiqua"/>
        </w:rPr>
        <w:t xml:space="preserve">27 </w:t>
      </w:r>
      <w:r>
        <w:rPr>
          <w:rFonts w:ascii="Book Antiqua" w:hAnsi="Book Antiqua"/>
          <w:b/>
        </w:rPr>
        <w:t>Park CS</w:t>
      </w:r>
      <w:r>
        <w:rPr>
          <w:rFonts w:ascii="Book Antiqua" w:hAnsi="Book Antiqua"/>
        </w:rPr>
        <w:t>. Predictive roles of intraoperative blood glucose for post-transplant outcomes in liver transplantation.</w:t>
      </w:r>
      <w:proofErr w:type="gramEnd"/>
      <w:r>
        <w:rPr>
          <w:rFonts w:ascii="Book Antiqua" w:hAnsi="Book Antiqua"/>
        </w:rPr>
        <w:t xml:space="preserve"> </w:t>
      </w:r>
      <w:r>
        <w:rPr>
          <w:rFonts w:ascii="Book Antiqua" w:hAnsi="Book Antiqua"/>
          <w:i/>
        </w:rPr>
        <w:t xml:space="preserve">World J </w:t>
      </w:r>
      <w:proofErr w:type="spellStart"/>
      <w:r>
        <w:rPr>
          <w:rFonts w:ascii="Book Antiqua" w:hAnsi="Book Antiqua"/>
          <w:i/>
        </w:rPr>
        <w:t>Gastroenterol</w:t>
      </w:r>
      <w:proofErr w:type="spellEnd"/>
      <w:r>
        <w:rPr>
          <w:rFonts w:ascii="Book Antiqua" w:hAnsi="Book Antiqua"/>
        </w:rPr>
        <w:t xml:space="preserve"> 2015; </w:t>
      </w:r>
      <w:r>
        <w:rPr>
          <w:rFonts w:ascii="Book Antiqua" w:hAnsi="Book Antiqua"/>
          <w:b/>
        </w:rPr>
        <w:t>21</w:t>
      </w:r>
      <w:r>
        <w:rPr>
          <w:rFonts w:ascii="Book Antiqua" w:hAnsi="Book Antiqua"/>
        </w:rPr>
        <w:t>: 6835-6841 [PMID: 26078559 DOI: 10.3748/wjg.v21.i22.6835]</w:t>
      </w:r>
    </w:p>
    <w:p w14:paraId="2E55B48E" w14:textId="407E5727" w:rsidR="00C26D7B" w:rsidRDefault="00C26D7B" w:rsidP="00C26D7B">
      <w:pPr>
        <w:spacing w:line="360" w:lineRule="auto"/>
        <w:jc w:val="both"/>
        <w:rPr>
          <w:rFonts w:ascii="Book Antiqua" w:hAnsi="Book Antiqua"/>
        </w:rPr>
      </w:pPr>
      <w:r>
        <w:rPr>
          <w:rFonts w:ascii="Book Antiqua" w:hAnsi="Book Antiqua"/>
        </w:rPr>
        <w:t xml:space="preserve">28 </w:t>
      </w:r>
      <w:r>
        <w:rPr>
          <w:rFonts w:ascii="Book Antiqua" w:hAnsi="Book Antiqua"/>
          <w:b/>
        </w:rPr>
        <w:t>Welsh N</w:t>
      </w:r>
      <w:r>
        <w:rPr>
          <w:rFonts w:ascii="Book Antiqua" w:hAnsi="Book Antiqua"/>
        </w:rPr>
        <w:t xml:space="preserve">, Derby T, Gupta S, Fulkerson C, Oakes DJ, Schmidt K, Parikh ND, </w:t>
      </w:r>
      <w:proofErr w:type="spellStart"/>
      <w:r>
        <w:rPr>
          <w:rFonts w:ascii="Book Antiqua" w:hAnsi="Book Antiqua"/>
        </w:rPr>
        <w:t>Norvell</w:t>
      </w:r>
      <w:proofErr w:type="spellEnd"/>
      <w:r>
        <w:rPr>
          <w:rFonts w:ascii="Book Antiqua" w:hAnsi="Book Antiqua"/>
        </w:rPr>
        <w:t xml:space="preserve"> JP, </w:t>
      </w:r>
      <w:proofErr w:type="spellStart"/>
      <w:r>
        <w:rPr>
          <w:rFonts w:ascii="Book Antiqua" w:hAnsi="Book Antiqua"/>
        </w:rPr>
        <w:t>Levitsky</w:t>
      </w:r>
      <w:proofErr w:type="spellEnd"/>
      <w:r>
        <w:rPr>
          <w:rFonts w:ascii="Book Antiqua" w:hAnsi="Book Antiqua"/>
        </w:rPr>
        <w:t xml:space="preserve"> J, </w:t>
      </w:r>
      <w:proofErr w:type="spellStart"/>
      <w:r>
        <w:rPr>
          <w:rFonts w:ascii="Book Antiqua" w:hAnsi="Book Antiqua"/>
        </w:rPr>
        <w:t>Rademaker</w:t>
      </w:r>
      <w:proofErr w:type="spellEnd"/>
      <w:r>
        <w:rPr>
          <w:rFonts w:ascii="Book Antiqua" w:hAnsi="Book Antiqua"/>
        </w:rPr>
        <w:t xml:space="preserve"> A, </w:t>
      </w:r>
      <w:proofErr w:type="spellStart"/>
      <w:r>
        <w:rPr>
          <w:rFonts w:ascii="Book Antiqua" w:hAnsi="Book Antiqua"/>
        </w:rPr>
        <w:t>Molitch</w:t>
      </w:r>
      <w:proofErr w:type="spellEnd"/>
      <w:r>
        <w:rPr>
          <w:rFonts w:ascii="Book Antiqua" w:hAnsi="Book Antiqua"/>
        </w:rPr>
        <w:t xml:space="preserve"> ME, </w:t>
      </w:r>
      <w:proofErr w:type="spellStart"/>
      <w:r>
        <w:rPr>
          <w:rFonts w:ascii="Book Antiqua" w:hAnsi="Book Antiqua"/>
        </w:rPr>
        <w:t>Wallia</w:t>
      </w:r>
      <w:proofErr w:type="spellEnd"/>
      <w:r>
        <w:rPr>
          <w:rFonts w:ascii="Book Antiqua" w:hAnsi="Book Antiqua"/>
        </w:rPr>
        <w:t xml:space="preserve"> A. </w:t>
      </w:r>
      <w:bookmarkStart w:id="226" w:name="_GoBack"/>
      <w:r w:rsidR="008972E3">
        <w:rPr>
          <w:rFonts w:ascii="Book Antiqua" w:hAnsi="Book Antiqua"/>
        </w:rPr>
        <w:t>Inpatient hypoglycemic events in a comparative effectiveness trial for glycemic control in a high-risk population</w:t>
      </w:r>
      <w:bookmarkEnd w:id="226"/>
      <w:r>
        <w:rPr>
          <w:rFonts w:ascii="Book Antiqua" w:hAnsi="Book Antiqua"/>
        </w:rPr>
        <w:t xml:space="preserve">. </w:t>
      </w:r>
      <w:proofErr w:type="spellStart"/>
      <w:r>
        <w:rPr>
          <w:rFonts w:ascii="Book Antiqua" w:hAnsi="Book Antiqua"/>
          <w:i/>
        </w:rPr>
        <w:t>Endocr</w:t>
      </w:r>
      <w:proofErr w:type="spellEnd"/>
      <w:r>
        <w:rPr>
          <w:rFonts w:ascii="Book Antiqua" w:hAnsi="Book Antiqua"/>
          <w:i/>
        </w:rPr>
        <w:t xml:space="preserve"> </w:t>
      </w:r>
      <w:proofErr w:type="spellStart"/>
      <w:r>
        <w:rPr>
          <w:rFonts w:ascii="Book Antiqua" w:hAnsi="Book Antiqua"/>
          <w:i/>
        </w:rPr>
        <w:t>Pract</w:t>
      </w:r>
      <w:proofErr w:type="spellEnd"/>
      <w:r>
        <w:rPr>
          <w:rFonts w:ascii="Book Antiqua" w:hAnsi="Book Antiqua"/>
        </w:rPr>
        <w:t xml:space="preserve"> 2016; </w:t>
      </w:r>
      <w:r>
        <w:rPr>
          <w:rFonts w:ascii="Book Antiqua" w:hAnsi="Book Antiqua"/>
          <w:b/>
        </w:rPr>
        <w:t>22</w:t>
      </w:r>
      <w:r>
        <w:rPr>
          <w:rFonts w:ascii="Book Antiqua" w:hAnsi="Book Antiqua"/>
        </w:rPr>
        <w:t>: 1040-1047 [PMID: 27124695 DOI: 10.4158/EP151166.OR]</w:t>
      </w:r>
    </w:p>
    <w:p w14:paraId="28FC7F5C" w14:textId="77777777" w:rsidR="00C26D7B" w:rsidRDefault="00C26D7B" w:rsidP="00C26D7B">
      <w:pPr>
        <w:spacing w:line="360" w:lineRule="auto"/>
        <w:jc w:val="both"/>
        <w:rPr>
          <w:rFonts w:ascii="Book Antiqua" w:hAnsi="Book Antiqua"/>
        </w:rPr>
      </w:pPr>
      <w:r>
        <w:rPr>
          <w:rFonts w:ascii="Book Antiqua" w:hAnsi="Book Antiqua"/>
        </w:rPr>
        <w:t xml:space="preserve">29 </w:t>
      </w:r>
      <w:r>
        <w:rPr>
          <w:rFonts w:ascii="Book Antiqua" w:hAnsi="Book Antiqua"/>
          <w:b/>
        </w:rPr>
        <w:t>Song JL</w:t>
      </w:r>
      <w:r>
        <w:rPr>
          <w:rFonts w:ascii="Book Antiqua" w:hAnsi="Book Antiqua"/>
        </w:rPr>
        <w:t xml:space="preserve">, Gao W, </w:t>
      </w:r>
      <w:proofErr w:type="spellStart"/>
      <w:r>
        <w:rPr>
          <w:rFonts w:ascii="Book Antiqua" w:hAnsi="Book Antiqua"/>
        </w:rPr>
        <w:t>Zhong</w:t>
      </w:r>
      <w:proofErr w:type="spellEnd"/>
      <w:r>
        <w:rPr>
          <w:rFonts w:ascii="Book Antiqua" w:hAnsi="Book Antiqua"/>
        </w:rPr>
        <w:t xml:space="preserve"> Y, Yan LN, Yang JY, Wen TF, Li B, Wang WT, Wu H, Xu MQ, Chen ZY, Wei YG, Jiang L, Yang J. Minimizing tacrolimus decreases the risk of new-onset diabetes mellitus after liver transplantation. </w:t>
      </w:r>
      <w:r>
        <w:rPr>
          <w:rFonts w:ascii="Book Antiqua" w:hAnsi="Book Antiqua"/>
          <w:i/>
        </w:rPr>
        <w:t xml:space="preserve">World J </w:t>
      </w:r>
      <w:proofErr w:type="spellStart"/>
      <w:r>
        <w:rPr>
          <w:rFonts w:ascii="Book Antiqua" w:hAnsi="Book Antiqua"/>
          <w:i/>
        </w:rPr>
        <w:t>Gastroenterol</w:t>
      </w:r>
      <w:proofErr w:type="spellEnd"/>
      <w:r>
        <w:rPr>
          <w:rFonts w:ascii="Book Antiqua" w:hAnsi="Book Antiqua"/>
        </w:rPr>
        <w:t xml:space="preserve"> 2016; </w:t>
      </w:r>
      <w:r>
        <w:rPr>
          <w:rFonts w:ascii="Book Antiqua" w:hAnsi="Book Antiqua"/>
          <w:b/>
        </w:rPr>
        <w:t>22</w:t>
      </w:r>
      <w:r>
        <w:rPr>
          <w:rFonts w:ascii="Book Antiqua" w:hAnsi="Book Antiqua"/>
        </w:rPr>
        <w:t>: 2133-2141 [PMID: 26877618 DOI: 10.3748/wjg.v22.i6.2133]</w:t>
      </w:r>
    </w:p>
    <w:p w14:paraId="79AEA2BE" w14:textId="77777777" w:rsidR="00C26D7B" w:rsidRDefault="00C26D7B" w:rsidP="00C26D7B">
      <w:pPr>
        <w:spacing w:line="360" w:lineRule="auto"/>
        <w:jc w:val="both"/>
        <w:rPr>
          <w:rFonts w:ascii="Book Antiqua" w:hAnsi="Book Antiqua"/>
        </w:rPr>
      </w:pPr>
      <w:r>
        <w:rPr>
          <w:rFonts w:ascii="Book Antiqua" w:hAnsi="Book Antiqua"/>
        </w:rPr>
        <w:t xml:space="preserve">30 </w:t>
      </w:r>
      <w:r>
        <w:rPr>
          <w:rFonts w:ascii="Book Antiqua" w:hAnsi="Book Antiqua"/>
          <w:b/>
        </w:rPr>
        <w:t>Yi Z</w:t>
      </w:r>
      <w:r>
        <w:rPr>
          <w:rFonts w:ascii="Book Antiqua" w:hAnsi="Book Antiqua"/>
        </w:rPr>
        <w:t xml:space="preserve">, </w:t>
      </w:r>
      <w:proofErr w:type="spellStart"/>
      <w:r>
        <w:rPr>
          <w:rFonts w:ascii="Book Antiqua" w:hAnsi="Book Antiqua"/>
        </w:rPr>
        <w:t>Mayorga</w:t>
      </w:r>
      <w:proofErr w:type="spellEnd"/>
      <w:r>
        <w:rPr>
          <w:rFonts w:ascii="Book Antiqua" w:hAnsi="Book Antiqua"/>
        </w:rPr>
        <w:t xml:space="preserve"> ME, </w:t>
      </w:r>
      <w:proofErr w:type="spellStart"/>
      <w:r>
        <w:rPr>
          <w:rFonts w:ascii="Book Antiqua" w:hAnsi="Book Antiqua"/>
        </w:rPr>
        <w:t>Orman</w:t>
      </w:r>
      <w:proofErr w:type="spellEnd"/>
      <w:r>
        <w:rPr>
          <w:rFonts w:ascii="Book Antiqua" w:hAnsi="Book Antiqua"/>
        </w:rPr>
        <w:t xml:space="preserve"> ES, Wheeler SB, Hayashi PH, </w:t>
      </w:r>
      <w:proofErr w:type="spellStart"/>
      <w:r>
        <w:rPr>
          <w:rFonts w:ascii="Book Antiqua" w:hAnsi="Book Antiqua"/>
        </w:rPr>
        <w:t>Barritt</w:t>
      </w:r>
      <w:proofErr w:type="spellEnd"/>
      <w:r>
        <w:rPr>
          <w:rFonts w:ascii="Book Antiqua" w:hAnsi="Book Antiqua"/>
        </w:rPr>
        <w:t xml:space="preserve"> AS Th. Trends in Characteristics of Patients Listed for Liver Transplantation Will Lead to Higher Rates of Waitlist Removal Due to Clinical Deterioration. </w:t>
      </w:r>
      <w:r>
        <w:rPr>
          <w:rFonts w:ascii="Book Antiqua" w:hAnsi="Book Antiqua"/>
          <w:i/>
        </w:rPr>
        <w:t>Transplantation</w:t>
      </w:r>
      <w:r>
        <w:rPr>
          <w:rFonts w:ascii="Book Antiqua" w:hAnsi="Book Antiqua"/>
        </w:rPr>
        <w:t xml:space="preserve"> 2017; </w:t>
      </w:r>
      <w:r>
        <w:rPr>
          <w:rFonts w:ascii="Book Antiqua" w:hAnsi="Book Antiqua"/>
          <w:b/>
        </w:rPr>
        <w:t>101</w:t>
      </w:r>
      <w:r>
        <w:rPr>
          <w:rFonts w:ascii="Book Antiqua" w:hAnsi="Book Antiqua"/>
        </w:rPr>
        <w:t>: 2368-2374 [PMID: 28858174 DOI: 10.1097/TP.0000000000001851]</w:t>
      </w:r>
    </w:p>
    <w:p w14:paraId="750A9E4D" w14:textId="30D0DC93" w:rsidR="00C26D7B" w:rsidRDefault="00C26D7B" w:rsidP="00C26D7B">
      <w:pPr>
        <w:spacing w:line="360" w:lineRule="auto"/>
        <w:jc w:val="both"/>
        <w:rPr>
          <w:rFonts w:ascii="Book Antiqua" w:hAnsi="Book Antiqua"/>
        </w:rPr>
      </w:pPr>
      <w:r>
        <w:rPr>
          <w:rFonts w:ascii="Book Antiqua" w:hAnsi="Book Antiqua"/>
        </w:rPr>
        <w:t>3</w:t>
      </w:r>
      <w:r w:rsidR="00067621">
        <w:rPr>
          <w:rFonts w:ascii="Book Antiqua" w:hAnsi="Book Antiqua" w:hint="eastAsia"/>
          <w:lang w:eastAsia="zh-CN"/>
        </w:rPr>
        <w:t>1</w:t>
      </w:r>
      <w:r>
        <w:rPr>
          <w:rFonts w:ascii="Book Antiqua" w:hAnsi="Book Antiqua"/>
        </w:rPr>
        <w:t xml:space="preserve"> </w:t>
      </w:r>
      <w:proofErr w:type="spellStart"/>
      <w:r>
        <w:rPr>
          <w:rFonts w:ascii="Book Antiqua" w:hAnsi="Book Antiqua"/>
          <w:b/>
        </w:rPr>
        <w:t>Pais</w:t>
      </w:r>
      <w:proofErr w:type="spellEnd"/>
      <w:r>
        <w:rPr>
          <w:rFonts w:ascii="Book Antiqua" w:hAnsi="Book Antiqua"/>
          <w:b/>
        </w:rPr>
        <w:t xml:space="preserve"> R</w:t>
      </w:r>
      <w:r>
        <w:rPr>
          <w:rFonts w:ascii="Book Antiqua" w:hAnsi="Book Antiqua"/>
        </w:rPr>
        <w:t xml:space="preserve">, </w:t>
      </w:r>
      <w:proofErr w:type="spellStart"/>
      <w:r>
        <w:rPr>
          <w:rFonts w:ascii="Book Antiqua" w:hAnsi="Book Antiqua"/>
        </w:rPr>
        <w:t>Barritt</w:t>
      </w:r>
      <w:proofErr w:type="spellEnd"/>
      <w:r>
        <w:rPr>
          <w:rFonts w:ascii="Book Antiqua" w:hAnsi="Book Antiqua"/>
        </w:rPr>
        <w:t xml:space="preserve"> AS 4th, </w:t>
      </w:r>
      <w:proofErr w:type="spellStart"/>
      <w:r>
        <w:rPr>
          <w:rFonts w:ascii="Book Antiqua" w:hAnsi="Book Antiqua"/>
        </w:rPr>
        <w:t>Calmus</w:t>
      </w:r>
      <w:proofErr w:type="spellEnd"/>
      <w:r>
        <w:rPr>
          <w:rFonts w:ascii="Book Antiqua" w:hAnsi="Book Antiqua"/>
        </w:rPr>
        <w:t xml:space="preserve"> Y, </w:t>
      </w:r>
      <w:proofErr w:type="spellStart"/>
      <w:r>
        <w:rPr>
          <w:rFonts w:ascii="Book Antiqua" w:hAnsi="Book Antiqua"/>
        </w:rPr>
        <w:t>Scatton</w:t>
      </w:r>
      <w:proofErr w:type="spellEnd"/>
      <w:r>
        <w:rPr>
          <w:rFonts w:ascii="Book Antiqua" w:hAnsi="Book Antiqua"/>
        </w:rPr>
        <w:t xml:space="preserve"> O, </w:t>
      </w:r>
      <w:proofErr w:type="spellStart"/>
      <w:r>
        <w:rPr>
          <w:rFonts w:ascii="Book Antiqua" w:hAnsi="Book Antiqua"/>
        </w:rPr>
        <w:t>Runge</w:t>
      </w:r>
      <w:proofErr w:type="spellEnd"/>
      <w:r>
        <w:rPr>
          <w:rFonts w:ascii="Book Antiqua" w:hAnsi="Book Antiqua"/>
        </w:rPr>
        <w:t xml:space="preserve"> T, </w:t>
      </w:r>
      <w:proofErr w:type="spellStart"/>
      <w:r>
        <w:rPr>
          <w:rFonts w:ascii="Book Antiqua" w:hAnsi="Book Antiqua"/>
        </w:rPr>
        <w:t>Lebray</w:t>
      </w:r>
      <w:proofErr w:type="spellEnd"/>
      <w:r>
        <w:rPr>
          <w:rFonts w:ascii="Book Antiqua" w:hAnsi="Book Antiqua"/>
        </w:rPr>
        <w:t xml:space="preserve"> P, </w:t>
      </w:r>
      <w:proofErr w:type="spellStart"/>
      <w:r>
        <w:rPr>
          <w:rFonts w:ascii="Book Antiqua" w:hAnsi="Book Antiqua"/>
        </w:rPr>
        <w:t>Poynard</w:t>
      </w:r>
      <w:proofErr w:type="spellEnd"/>
      <w:r>
        <w:rPr>
          <w:rFonts w:ascii="Book Antiqua" w:hAnsi="Book Antiqua"/>
        </w:rPr>
        <w:t xml:space="preserve"> T, </w:t>
      </w:r>
      <w:proofErr w:type="spellStart"/>
      <w:r>
        <w:rPr>
          <w:rFonts w:ascii="Book Antiqua" w:hAnsi="Book Antiqua"/>
        </w:rPr>
        <w:t>Ratziu</w:t>
      </w:r>
      <w:proofErr w:type="spellEnd"/>
      <w:r>
        <w:rPr>
          <w:rFonts w:ascii="Book Antiqua" w:hAnsi="Book Antiqua"/>
        </w:rPr>
        <w:t xml:space="preserve"> V, Conti F. NAFLD and liver transplantation: Current burden and expected challenges. </w:t>
      </w:r>
      <w:r>
        <w:rPr>
          <w:rFonts w:ascii="Book Antiqua" w:hAnsi="Book Antiqua"/>
          <w:i/>
        </w:rPr>
        <w:t xml:space="preserve">J </w:t>
      </w:r>
      <w:proofErr w:type="spellStart"/>
      <w:r>
        <w:rPr>
          <w:rFonts w:ascii="Book Antiqua" w:hAnsi="Book Antiqua"/>
          <w:i/>
        </w:rPr>
        <w:t>Hepatol</w:t>
      </w:r>
      <w:proofErr w:type="spellEnd"/>
      <w:r>
        <w:rPr>
          <w:rFonts w:ascii="Book Antiqua" w:hAnsi="Book Antiqua"/>
        </w:rPr>
        <w:t xml:space="preserve"> 2016; </w:t>
      </w:r>
      <w:r>
        <w:rPr>
          <w:rFonts w:ascii="Book Antiqua" w:hAnsi="Book Antiqua"/>
          <w:b/>
        </w:rPr>
        <w:t>65</w:t>
      </w:r>
      <w:r>
        <w:rPr>
          <w:rFonts w:ascii="Book Antiqua" w:hAnsi="Book Antiqua"/>
        </w:rPr>
        <w:t>: 1245-1257 [PMID: 27486010 DOI: 10.1016/j.jhep.2016.07.033]</w:t>
      </w:r>
    </w:p>
    <w:p w14:paraId="3367F2CC" w14:textId="4A60656F" w:rsidR="00C26D7B" w:rsidRDefault="00C26D7B" w:rsidP="00C26D7B">
      <w:pPr>
        <w:spacing w:line="360" w:lineRule="auto"/>
        <w:jc w:val="both"/>
        <w:rPr>
          <w:rFonts w:ascii="Book Antiqua" w:hAnsi="Book Antiqua"/>
        </w:rPr>
      </w:pPr>
      <w:r>
        <w:rPr>
          <w:rFonts w:ascii="Book Antiqua" w:hAnsi="Book Antiqua"/>
        </w:rPr>
        <w:t>3</w:t>
      </w:r>
      <w:r w:rsidR="00067621">
        <w:rPr>
          <w:rFonts w:ascii="Book Antiqua" w:hAnsi="Book Antiqua" w:hint="eastAsia"/>
          <w:lang w:eastAsia="zh-CN"/>
        </w:rPr>
        <w:t>2</w:t>
      </w:r>
      <w:r>
        <w:rPr>
          <w:rFonts w:ascii="Book Antiqua" w:hAnsi="Book Antiqua"/>
        </w:rPr>
        <w:t xml:space="preserve"> </w:t>
      </w:r>
      <w:proofErr w:type="spellStart"/>
      <w:r>
        <w:rPr>
          <w:rFonts w:ascii="Book Antiqua" w:hAnsi="Book Antiqua"/>
          <w:b/>
        </w:rPr>
        <w:t>Orman</w:t>
      </w:r>
      <w:proofErr w:type="spellEnd"/>
      <w:r>
        <w:rPr>
          <w:rFonts w:ascii="Book Antiqua" w:hAnsi="Book Antiqua"/>
          <w:b/>
        </w:rPr>
        <w:t xml:space="preserve"> ES</w:t>
      </w:r>
      <w:r>
        <w:rPr>
          <w:rFonts w:ascii="Book Antiqua" w:hAnsi="Book Antiqua"/>
        </w:rPr>
        <w:t xml:space="preserve">, </w:t>
      </w:r>
      <w:proofErr w:type="spellStart"/>
      <w:r>
        <w:rPr>
          <w:rFonts w:ascii="Book Antiqua" w:hAnsi="Book Antiqua"/>
        </w:rPr>
        <w:t>Mayorga</w:t>
      </w:r>
      <w:proofErr w:type="spellEnd"/>
      <w:r>
        <w:rPr>
          <w:rFonts w:ascii="Book Antiqua" w:hAnsi="Book Antiqua"/>
        </w:rPr>
        <w:t xml:space="preserve"> ME, Wheeler SB, </w:t>
      </w:r>
      <w:proofErr w:type="spellStart"/>
      <w:r>
        <w:rPr>
          <w:rFonts w:ascii="Book Antiqua" w:hAnsi="Book Antiqua"/>
        </w:rPr>
        <w:t>Townsley</w:t>
      </w:r>
      <w:proofErr w:type="spellEnd"/>
      <w:r>
        <w:rPr>
          <w:rFonts w:ascii="Book Antiqua" w:hAnsi="Book Antiqua"/>
        </w:rPr>
        <w:t xml:space="preserve"> RM, Toro-Diaz HH, Hayashi PH, </w:t>
      </w:r>
      <w:proofErr w:type="spellStart"/>
      <w:r>
        <w:rPr>
          <w:rFonts w:ascii="Book Antiqua" w:hAnsi="Book Antiqua"/>
        </w:rPr>
        <w:t>Barritt</w:t>
      </w:r>
      <w:proofErr w:type="spellEnd"/>
      <w:r>
        <w:rPr>
          <w:rFonts w:ascii="Book Antiqua" w:hAnsi="Book Antiqua"/>
        </w:rPr>
        <w:t xml:space="preserve"> AS 4th. Declining liver graft quality threatens the future of liver transplantation in the United States. </w:t>
      </w:r>
      <w:r>
        <w:rPr>
          <w:rFonts w:ascii="Book Antiqua" w:hAnsi="Book Antiqua"/>
          <w:i/>
        </w:rPr>
        <w:t xml:space="preserve">Liver </w:t>
      </w:r>
      <w:proofErr w:type="spellStart"/>
      <w:r>
        <w:rPr>
          <w:rFonts w:ascii="Book Antiqua" w:hAnsi="Book Antiqua"/>
          <w:i/>
        </w:rPr>
        <w:t>Transpl</w:t>
      </w:r>
      <w:proofErr w:type="spellEnd"/>
      <w:r>
        <w:rPr>
          <w:rFonts w:ascii="Book Antiqua" w:hAnsi="Book Antiqua"/>
        </w:rPr>
        <w:t xml:space="preserve"> 2015; </w:t>
      </w:r>
      <w:r>
        <w:rPr>
          <w:rFonts w:ascii="Book Antiqua" w:hAnsi="Book Antiqua"/>
          <w:b/>
        </w:rPr>
        <w:t>21</w:t>
      </w:r>
      <w:r>
        <w:rPr>
          <w:rFonts w:ascii="Book Antiqua" w:hAnsi="Book Antiqua"/>
        </w:rPr>
        <w:t>: 1040-1050 [PMID: 25939487 DOI: 10.1002/lt.24160]</w:t>
      </w:r>
    </w:p>
    <w:p w14:paraId="5C7EB344" w14:textId="40C4D22E" w:rsidR="00944790" w:rsidRDefault="00C26D7B" w:rsidP="00C26D7B">
      <w:pPr>
        <w:spacing w:line="360" w:lineRule="auto"/>
        <w:jc w:val="both"/>
        <w:rPr>
          <w:rFonts w:ascii="Book Antiqua" w:hAnsi="Book Antiqua"/>
          <w:lang w:eastAsia="zh-CN"/>
        </w:rPr>
      </w:pPr>
      <w:r>
        <w:rPr>
          <w:rFonts w:ascii="Book Antiqua" w:hAnsi="Book Antiqua"/>
        </w:rPr>
        <w:t>3</w:t>
      </w:r>
      <w:r w:rsidR="00067621">
        <w:rPr>
          <w:rFonts w:ascii="Book Antiqua" w:hAnsi="Book Antiqua" w:hint="eastAsia"/>
          <w:lang w:eastAsia="zh-CN"/>
        </w:rPr>
        <w:t>3</w:t>
      </w:r>
      <w:r>
        <w:rPr>
          <w:rFonts w:ascii="Book Antiqua" w:hAnsi="Book Antiqua"/>
        </w:rPr>
        <w:t xml:space="preserve"> </w:t>
      </w:r>
      <w:r>
        <w:rPr>
          <w:rFonts w:ascii="Book Antiqua" w:hAnsi="Book Antiqua"/>
          <w:b/>
        </w:rPr>
        <w:t>Kim JM</w:t>
      </w:r>
      <w:r>
        <w:rPr>
          <w:rFonts w:ascii="Book Antiqua" w:hAnsi="Book Antiqua"/>
        </w:rPr>
        <w:t xml:space="preserve">, Ha SY, Joh JW, Sinn DH, </w:t>
      </w:r>
      <w:proofErr w:type="spellStart"/>
      <w:r>
        <w:rPr>
          <w:rFonts w:ascii="Book Antiqua" w:hAnsi="Book Antiqua"/>
        </w:rPr>
        <w:t>Jeong</w:t>
      </w:r>
      <w:proofErr w:type="spellEnd"/>
      <w:r>
        <w:rPr>
          <w:rFonts w:ascii="Book Antiqua" w:hAnsi="Book Antiqua"/>
        </w:rPr>
        <w:t xml:space="preserve"> WK, Choi GS, </w:t>
      </w:r>
      <w:proofErr w:type="spellStart"/>
      <w:r>
        <w:rPr>
          <w:rFonts w:ascii="Book Antiqua" w:hAnsi="Book Antiqua"/>
        </w:rPr>
        <w:t>Gwak</w:t>
      </w:r>
      <w:proofErr w:type="spellEnd"/>
      <w:r>
        <w:rPr>
          <w:rFonts w:ascii="Book Antiqua" w:hAnsi="Book Antiqua"/>
        </w:rPr>
        <w:t xml:space="preserve"> GY, Kwon CH, Kim YK, Paik YH, Lee JH, Lee WJ, Lee SK, Park CK. Predicting Hepatic Steatosis in Living Liver Donors via Noninvasive Methods. </w:t>
      </w:r>
      <w:r>
        <w:rPr>
          <w:rFonts w:ascii="Book Antiqua" w:hAnsi="Book Antiqua"/>
          <w:i/>
        </w:rPr>
        <w:t xml:space="preserve">Medicine </w:t>
      </w:r>
      <w:r w:rsidRPr="00C26D7B">
        <w:rPr>
          <w:rFonts w:ascii="Book Antiqua" w:hAnsi="Book Antiqua"/>
        </w:rPr>
        <w:t xml:space="preserve">(Baltimore) </w:t>
      </w:r>
      <w:r>
        <w:rPr>
          <w:rFonts w:ascii="Book Antiqua" w:hAnsi="Book Antiqua"/>
        </w:rPr>
        <w:t xml:space="preserve">2016; </w:t>
      </w:r>
      <w:r>
        <w:rPr>
          <w:rFonts w:ascii="Book Antiqua" w:hAnsi="Book Antiqua"/>
          <w:b/>
        </w:rPr>
        <w:t>95</w:t>
      </w:r>
      <w:r>
        <w:rPr>
          <w:rFonts w:ascii="Book Antiqua" w:hAnsi="Book Antiqua"/>
        </w:rPr>
        <w:t>: e2718 [PMID: 26886612 DOI: 10.1097/MD.0000000000002718]</w:t>
      </w:r>
    </w:p>
    <w:p w14:paraId="143937B3" w14:textId="77777777" w:rsidR="00944790" w:rsidRDefault="00944790" w:rsidP="00C26D7B">
      <w:pPr>
        <w:spacing w:line="360" w:lineRule="auto"/>
        <w:jc w:val="both"/>
        <w:rPr>
          <w:rFonts w:ascii="Book Antiqua" w:hAnsi="Book Antiqua"/>
          <w:lang w:eastAsia="zh-CN"/>
        </w:rPr>
      </w:pPr>
    </w:p>
    <w:p w14:paraId="7C743437" w14:textId="30563457" w:rsidR="00944790" w:rsidRPr="002C5B89" w:rsidRDefault="00944790" w:rsidP="008972E3">
      <w:pPr>
        <w:wordWrap w:val="0"/>
        <w:adjustRightInd w:val="0"/>
        <w:snapToGrid w:val="0"/>
        <w:spacing w:line="360" w:lineRule="auto"/>
        <w:ind w:left="390" w:hangingChars="150" w:hanging="390"/>
        <w:jc w:val="right"/>
        <w:rPr>
          <w:rFonts w:ascii="Book Antiqua" w:hAnsi="Book Antiqua"/>
          <w:color w:val="000000"/>
          <w:lang w:eastAsia="zh-CN"/>
        </w:rPr>
      </w:pPr>
      <w:r w:rsidRPr="002C5B89">
        <w:rPr>
          <w:rFonts w:ascii="Book Antiqua" w:hAnsi="Book Antiqua"/>
          <w:b/>
          <w:bCs/>
          <w:color w:val="000000"/>
        </w:rPr>
        <w:t>P-Reviewer:</w:t>
      </w:r>
      <w:r>
        <w:rPr>
          <w:rFonts w:ascii="Book Antiqua" w:hAnsi="Book Antiqua" w:hint="eastAsia"/>
          <w:bCs/>
          <w:color w:val="000000"/>
        </w:rPr>
        <w:t xml:space="preserve"> </w:t>
      </w:r>
      <w:proofErr w:type="spellStart"/>
      <w:r w:rsidRPr="00944790">
        <w:rPr>
          <w:rFonts w:ascii="Book Antiqua" w:hAnsi="Book Antiqua"/>
          <w:bCs/>
          <w:color w:val="000000"/>
        </w:rPr>
        <w:t>Sanal</w:t>
      </w:r>
      <w:proofErr w:type="spellEnd"/>
      <w:r>
        <w:rPr>
          <w:rFonts w:ascii="Book Antiqua" w:hAnsi="Book Antiqua" w:hint="eastAsia"/>
          <w:bCs/>
          <w:color w:val="000000"/>
          <w:lang w:eastAsia="zh-CN"/>
        </w:rPr>
        <w:t xml:space="preserve"> MG, </w:t>
      </w:r>
      <w:r w:rsidRPr="00944790">
        <w:rPr>
          <w:rFonts w:ascii="Book Antiqua" w:hAnsi="Book Antiqua"/>
          <w:bCs/>
          <w:color w:val="000000"/>
          <w:lang w:eastAsia="zh-CN"/>
        </w:rPr>
        <w:t>Tarantino</w:t>
      </w:r>
      <w:r>
        <w:rPr>
          <w:rFonts w:ascii="Book Antiqua" w:hAnsi="Book Antiqua" w:hint="eastAsia"/>
          <w:bCs/>
          <w:color w:val="000000"/>
          <w:lang w:eastAsia="zh-CN"/>
        </w:rPr>
        <w:t xml:space="preserve"> G </w:t>
      </w:r>
      <w:r w:rsidRPr="002C5B89">
        <w:rPr>
          <w:rFonts w:ascii="Book Antiqua" w:hAnsi="Book Antiqua"/>
          <w:b/>
          <w:bCs/>
          <w:color w:val="000000"/>
        </w:rPr>
        <w:t>S-Editor:</w:t>
      </w:r>
      <w:r>
        <w:rPr>
          <w:rFonts w:ascii="Book Antiqua" w:hAnsi="Book Antiqua" w:hint="eastAsia"/>
          <w:b/>
          <w:bCs/>
          <w:color w:val="000000"/>
          <w:lang w:eastAsia="zh-CN"/>
        </w:rPr>
        <w:t xml:space="preserve"> </w:t>
      </w:r>
      <w:r w:rsidRPr="00944790">
        <w:rPr>
          <w:rFonts w:ascii="Book Antiqua" w:hAnsi="Book Antiqua" w:hint="eastAsia"/>
          <w:bCs/>
          <w:color w:val="000000"/>
          <w:lang w:eastAsia="zh-CN"/>
        </w:rPr>
        <w:t>Wang XJ</w:t>
      </w:r>
    </w:p>
    <w:p w14:paraId="11041C57" w14:textId="77777777" w:rsidR="00944790" w:rsidRDefault="00944790" w:rsidP="008972E3">
      <w:pPr>
        <w:adjustRightInd w:val="0"/>
        <w:snapToGrid w:val="0"/>
        <w:spacing w:line="360" w:lineRule="auto"/>
        <w:ind w:left="390" w:hangingChars="150" w:hanging="390"/>
        <w:jc w:val="right"/>
        <w:rPr>
          <w:rFonts w:ascii="Book Antiqua" w:hAnsi="Book Antiqua"/>
          <w:b/>
          <w:bCs/>
          <w:color w:val="000000"/>
        </w:rPr>
      </w:pPr>
      <w:r w:rsidRPr="002C5B89">
        <w:rPr>
          <w:rFonts w:ascii="Book Antiqua" w:hAnsi="Book Antiqua"/>
          <w:b/>
          <w:bCs/>
          <w:color w:val="000000"/>
        </w:rPr>
        <w:lastRenderedPageBreak/>
        <w:t>L-Editor:</w:t>
      </w:r>
      <w:r w:rsidRPr="002C5B89">
        <w:rPr>
          <w:rFonts w:ascii="Book Antiqua" w:hAnsi="Book Antiqua"/>
          <w:color w:val="000000"/>
        </w:rPr>
        <w:t xml:space="preserve"> </w:t>
      </w:r>
      <w:r w:rsidRPr="002C5B89">
        <w:rPr>
          <w:rFonts w:ascii="Book Antiqua" w:hAnsi="Book Antiqua"/>
          <w:b/>
          <w:bCs/>
          <w:color w:val="000000"/>
        </w:rPr>
        <w:t>E-Editor:</w:t>
      </w:r>
    </w:p>
    <w:p w14:paraId="65C000E8" w14:textId="77777777" w:rsidR="00944790" w:rsidRPr="00837218" w:rsidRDefault="00944790" w:rsidP="00944790">
      <w:pPr>
        <w:adjustRightInd w:val="0"/>
        <w:snapToGrid w:val="0"/>
        <w:spacing w:line="360" w:lineRule="auto"/>
        <w:ind w:left="360" w:hangingChars="150" w:hanging="360"/>
        <w:jc w:val="right"/>
        <w:rPr>
          <w:rFonts w:ascii="Book Antiqua" w:hAnsi="Book Antiqua"/>
          <w:color w:val="000000"/>
        </w:rPr>
      </w:pPr>
    </w:p>
    <w:p w14:paraId="3CF93E0C" w14:textId="77777777" w:rsidR="00944790" w:rsidRDefault="00944790" w:rsidP="00944790">
      <w:pPr>
        <w:adjustRightInd w:val="0"/>
        <w:snapToGrid w:val="0"/>
        <w:spacing w:line="360" w:lineRule="auto"/>
        <w:rPr>
          <w:rFonts w:ascii="Book Antiqua" w:hAnsi="Book Antiqua" w:cs="Times New Roman"/>
          <w:lang w:eastAsia="zh-CN"/>
        </w:rPr>
      </w:pPr>
      <w:r w:rsidRPr="00837218">
        <w:rPr>
          <w:rFonts w:ascii="Book Antiqua" w:eastAsia="MS Mincho" w:hAnsi="Book Antiqua" w:cs="Times New Roman"/>
          <w:b/>
        </w:rPr>
        <w:t>Specialty type:</w:t>
      </w:r>
      <w:r w:rsidRPr="00837218">
        <w:rPr>
          <w:rFonts w:ascii="Book Antiqua" w:eastAsia="MS Mincho" w:hAnsi="Book Antiqua" w:cs="Times New Roman"/>
        </w:rPr>
        <w:t xml:space="preserve"> </w:t>
      </w:r>
      <w:r w:rsidRPr="00944790">
        <w:rPr>
          <w:rFonts w:ascii="Book Antiqua" w:eastAsia="MS Mincho" w:hAnsi="Book Antiqua" w:cs="Times New Roman"/>
        </w:rPr>
        <w:t xml:space="preserve">Transplantation </w:t>
      </w:r>
    </w:p>
    <w:p w14:paraId="33B99898" w14:textId="40CE34F7" w:rsidR="00944790" w:rsidRPr="00944790" w:rsidRDefault="00944790" w:rsidP="00944790">
      <w:pPr>
        <w:adjustRightInd w:val="0"/>
        <w:snapToGrid w:val="0"/>
        <w:spacing w:line="360" w:lineRule="auto"/>
        <w:rPr>
          <w:rFonts w:ascii="Book Antiqua" w:hAnsi="Book Antiqua" w:cs="Times New Roman"/>
          <w:lang w:eastAsia="zh-CN"/>
        </w:rPr>
      </w:pPr>
      <w:r w:rsidRPr="00837218">
        <w:rPr>
          <w:rFonts w:ascii="Book Antiqua" w:eastAsia="MS Mincho" w:hAnsi="Book Antiqua" w:cs="Times New Roman"/>
          <w:b/>
        </w:rPr>
        <w:t>Country of origin:</w:t>
      </w:r>
      <w:r>
        <w:rPr>
          <w:rFonts w:ascii="Book Antiqua" w:hAnsi="Book Antiqua" w:cs="Times New Roman" w:hint="eastAsia"/>
          <w:b/>
          <w:lang w:eastAsia="zh-CN"/>
        </w:rPr>
        <w:t xml:space="preserve"> </w:t>
      </w:r>
      <w:r w:rsidRPr="00944790">
        <w:rPr>
          <w:rFonts w:ascii="Book Antiqua" w:hAnsi="Book Antiqua" w:cs="Times New Roman"/>
          <w:lang w:eastAsia="zh-CN"/>
        </w:rPr>
        <w:t>United States</w:t>
      </w:r>
    </w:p>
    <w:p w14:paraId="721FD17D" w14:textId="77777777" w:rsidR="00944790" w:rsidRPr="00837218" w:rsidRDefault="00944790" w:rsidP="00944790">
      <w:pPr>
        <w:adjustRightInd w:val="0"/>
        <w:snapToGrid w:val="0"/>
        <w:spacing w:line="360" w:lineRule="auto"/>
        <w:rPr>
          <w:rFonts w:ascii="Book Antiqua" w:eastAsia="MS Mincho" w:hAnsi="Book Antiqua" w:cs="Times New Roman"/>
          <w:b/>
        </w:rPr>
      </w:pPr>
      <w:r w:rsidRPr="00837218">
        <w:rPr>
          <w:rFonts w:ascii="Book Antiqua" w:eastAsia="MS Mincho" w:hAnsi="Book Antiqua" w:cs="Times New Roman"/>
          <w:b/>
        </w:rPr>
        <w:t>Peer-review report classification</w:t>
      </w:r>
    </w:p>
    <w:p w14:paraId="49B4932F" w14:textId="77777777" w:rsidR="00944790" w:rsidRPr="00837218" w:rsidRDefault="00944790" w:rsidP="00944790">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rPr>
        <w:t>Grade A (Excellent): 0</w:t>
      </w:r>
    </w:p>
    <w:p w14:paraId="2F7F45C5" w14:textId="77777777" w:rsidR="00944790" w:rsidRPr="00837218" w:rsidRDefault="00944790" w:rsidP="00944790">
      <w:pPr>
        <w:adjustRightInd w:val="0"/>
        <w:snapToGrid w:val="0"/>
        <w:spacing w:line="360" w:lineRule="auto"/>
        <w:rPr>
          <w:rFonts w:ascii="Book Antiqua" w:hAnsi="Book Antiqua" w:cs="Times New Roman"/>
        </w:rPr>
      </w:pPr>
      <w:r>
        <w:rPr>
          <w:rFonts w:ascii="Book Antiqua" w:eastAsia="MS Mincho" w:hAnsi="Book Antiqua" w:cs="Times New Roman"/>
        </w:rPr>
        <w:t>Grade B (Very good):</w:t>
      </w:r>
      <w:r>
        <w:rPr>
          <w:rFonts w:ascii="Book Antiqua" w:hAnsi="Book Antiqua" w:cs="Times New Roman" w:hint="eastAsia"/>
        </w:rPr>
        <w:t xml:space="preserve"> 0</w:t>
      </w:r>
    </w:p>
    <w:p w14:paraId="40A46C49" w14:textId="7B338B68" w:rsidR="00944790" w:rsidRPr="00837218" w:rsidRDefault="00944790" w:rsidP="00944790">
      <w:pPr>
        <w:adjustRightInd w:val="0"/>
        <w:snapToGrid w:val="0"/>
        <w:spacing w:line="360" w:lineRule="auto"/>
        <w:rPr>
          <w:rFonts w:ascii="Book Antiqua" w:eastAsia="MS Mincho" w:hAnsi="Book Antiqua" w:cs="Times New Roman"/>
          <w:lang w:eastAsia="zh-CN"/>
        </w:rPr>
      </w:pPr>
      <w:r w:rsidRPr="00837218">
        <w:rPr>
          <w:rFonts w:ascii="Book Antiqua" w:eastAsia="MS Mincho" w:hAnsi="Book Antiqua" w:cs="Times New Roman"/>
        </w:rPr>
        <w:t xml:space="preserve">Grade C (Good): </w:t>
      </w:r>
      <w:r>
        <w:rPr>
          <w:rFonts w:ascii="Book Antiqua" w:eastAsia="宋体" w:hAnsi="Book Antiqua" w:cs="Times New Roman" w:hint="eastAsia"/>
          <w:lang w:eastAsia="zh-CN"/>
        </w:rPr>
        <w:t>C, C</w:t>
      </w:r>
    </w:p>
    <w:p w14:paraId="7EDAFE90" w14:textId="77777777" w:rsidR="00944790" w:rsidRPr="00837218" w:rsidRDefault="00944790" w:rsidP="00944790">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rPr>
        <w:t>Grade D (Fair): 0</w:t>
      </w:r>
    </w:p>
    <w:p w14:paraId="3264D68B" w14:textId="77777777" w:rsidR="00944790" w:rsidRDefault="00944790" w:rsidP="00944790">
      <w:pPr>
        <w:adjustRightInd w:val="0"/>
        <w:snapToGrid w:val="0"/>
        <w:spacing w:line="360" w:lineRule="auto"/>
        <w:rPr>
          <w:rFonts w:ascii="Book Antiqua" w:hAnsi="Book Antiqua" w:cs="Times New Roman"/>
        </w:rPr>
      </w:pPr>
      <w:r w:rsidRPr="00837218">
        <w:rPr>
          <w:rFonts w:ascii="Book Antiqua" w:eastAsia="MS Mincho" w:hAnsi="Book Antiqua" w:cs="Times New Roman"/>
        </w:rPr>
        <w:t>Grade E (Poor): 0</w:t>
      </w:r>
    </w:p>
    <w:p w14:paraId="721A77D6" w14:textId="77777777" w:rsidR="00944790" w:rsidRPr="00944790" w:rsidRDefault="00944790" w:rsidP="00C26D7B">
      <w:pPr>
        <w:spacing w:line="360" w:lineRule="auto"/>
        <w:jc w:val="both"/>
        <w:rPr>
          <w:rFonts w:ascii="Book Antiqua" w:hAnsi="Book Antiqua"/>
          <w:lang w:eastAsia="zh-CN"/>
        </w:rPr>
        <w:sectPr w:rsidR="00944790" w:rsidRPr="00944790" w:rsidSect="00724F3D">
          <w:pgSz w:w="12240" w:h="15840"/>
          <w:pgMar w:top="1440" w:right="1440" w:bottom="1440" w:left="1440" w:header="720" w:footer="720" w:gutter="0"/>
          <w:cols w:space="720"/>
          <w:docGrid w:linePitch="360"/>
        </w:sectPr>
      </w:pPr>
    </w:p>
    <w:p w14:paraId="71B31931" w14:textId="51B8DA1D" w:rsidR="00193C34" w:rsidRPr="008A2C60" w:rsidRDefault="00193C34" w:rsidP="006B795E">
      <w:pPr>
        <w:pStyle w:val="Caption"/>
        <w:widowControl w:val="0"/>
        <w:spacing w:after="0" w:line="360" w:lineRule="auto"/>
        <w:jc w:val="both"/>
        <w:rPr>
          <w:rFonts w:ascii="Book Antiqua" w:hAnsi="Book Antiqua"/>
          <w:b/>
          <w:bCs/>
          <w:i w:val="0"/>
          <w:iCs w:val="0"/>
          <w:color w:val="000000"/>
          <w:sz w:val="24"/>
          <w:szCs w:val="24"/>
        </w:rPr>
      </w:pPr>
      <w:r w:rsidRPr="008A2C60">
        <w:rPr>
          <w:rFonts w:ascii="Book Antiqua" w:hAnsi="Book Antiqua"/>
          <w:b/>
          <w:bCs/>
          <w:i w:val="0"/>
          <w:iCs w:val="0"/>
          <w:color w:val="000000"/>
          <w:sz w:val="24"/>
          <w:szCs w:val="24"/>
        </w:rPr>
        <w:lastRenderedPageBreak/>
        <w:t>Table 1</w:t>
      </w:r>
      <w:r w:rsidR="00173D78">
        <w:rPr>
          <w:rFonts w:ascii="Book Antiqua" w:hAnsi="Book Antiqua" w:hint="eastAsia"/>
          <w:b/>
          <w:bCs/>
          <w:i w:val="0"/>
          <w:iCs w:val="0"/>
          <w:color w:val="000000"/>
          <w:sz w:val="24"/>
          <w:szCs w:val="24"/>
          <w:lang w:eastAsia="zh-CN"/>
        </w:rPr>
        <w:t xml:space="preserve"> </w:t>
      </w:r>
      <w:r w:rsidRPr="008A2C60">
        <w:rPr>
          <w:rFonts w:ascii="Book Antiqua" w:hAnsi="Book Antiqua"/>
          <w:b/>
          <w:bCs/>
          <w:i w:val="0"/>
          <w:iCs w:val="0"/>
          <w:color w:val="000000"/>
          <w:sz w:val="24"/>
          <w:szCs w:val="24"/>
        </w:rPr>
        <w:t>Summary</w:t>
      </w:r>
      <w:r w:rsidR="00EE3848" w:rsidRPr="008A2C60">
        <w:rPr>
          <w:rFonts w:ascii="Book Antiqua" w:hAnsi="Book Antiqua"/>
          <w:b/>
          <w:bCs/>
          <w:i w:val="0"/>
          <w:iCs w:val="0"/>
          <w:color w:val="000000"/>
          <w:sz w:val="24"/>
          <w:szCs w:val="24"/>
        </w:rPr>
        <w:t xml:space="preserve"> of important findings of perioperative glucose control on liver transplant ou</w:t>
      </w:r>
      <w:r w:rsidRPr="008A2C60">
        <w:rPr>
          <w:rFonts w:ascii="Book Antiqua" w:hAnsi="Book Antiqua"/>
          <w:b/>
          <w:bCs/>
          <w:i w:val="0"/>
          <w:iCs w:val="0"/>
          <w:color w:val="000000"/>
          <w:sz w:val="24"/>
          <w:szCs w:val="24"/>
        </w:rPr>
        <w:t>tcomes</w:t>
      </w:r>
    </w:p>
    <w:tbl>
      <w:tblPr>
        <w:tblW w:w="15168" w:type="dxa"/>
        <w:tblInd w:w="-1026" w:type="dxa"/>
        <w:tblCellMar>
          <w:left w:w="0" w:type="dxa"/>
          <w:right w:w="0" w:type="dxa"/>
        </w:tblCellMar>
        <w:tblLook w:val="04A0" w:firstRow="1" w:lastRow="0" w:firstColumn="1" w:lastColumn="0" w:noHBand="0" w:noVBand="1"/>
      </w:tblPr>
      <w:tblGrid>
        <w:gridCol w:w="3626"/>
        <w:gridCol w:w="7006"/>
        <w:gridCol w:w="4536"/>
      </w:tblGrid>
      <w:tr w:rsidR="00193C34" w:rsidRPr="008A2C60" w14:paraId="51560321" w14:textId="77777777" w:rsidTr="006D6589">
        <w:trPr>
          <w:trHeight w:val="272"/>
        </w:trPr>
        <w:tc>
          <w:tcPr>
            <w:tcW w:w="3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DA5373" w14:textId="28157FEE" w:rsidR="00193C34" w:rsidRPr="008A2C60" w:rsidRDefault="00193C34" w:rsidP="006B795E">
            <w:pPr>
              <w:widowControl w:val="0"/>
              <w:spacing w:line="360" w:lineRule="auto"/>
              <w:rPr>
                <w:rFonts w:ascii="Book Antiqua" w:hAnsi="Book Antiqua"/>
                <w:b/>
                <w:bCs/>
              </w:rPr>
            </w:pPr>
            <w:r w:rsidRPr="008A2C60">
              <w:rPr>
                <w:rFonts w:ascii="Book Antiqua" w:hAnsi="Book Antiqua"/>
                <w:b/>
                <w:bCs/>
              </w:rPr>
              <w:t>Outcome o</w:t>
            </w:r>
            <w:r w:rsidR="007D7421" w:rsidRPr="008A2C60">
              <w:rPr>
                <w:rFonts w:ascii="Book Antiqua" w:hAnsi="Book Antiqua"/>
                <w:b/>
                <w:bCs/>
              </w:rPr>
              <w:t>f i</w:t>
            </w:r>
            <w:r w:rsidRPr="008A2C60">
              <w:rPr>
                <w:rFonts w:ascii="Book Antiqua" w:hAnsi="Book Antiqua"/>
                <w:b/>
                <w:bCs/>
              </w:rPr>
              <w:t>nterest</w:t>
            </w:r>
          </w:p>
        </w:tc>
        <w:tc>
          <w:tcPr>
            <w:tcW w:w="7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05D4A" w14:textId="5AA0EC95" w:rsidR="00193C34" w:rsidRPr="008A2C60" w:rsidRDefault="00193C34" w:rsidP="006B795E">
            <w:pPr>
              <w:widowControl w:val="0"/>
              <w:spacing w:line="360" w:lineRule="auto"/>
              <w:jc w:val="center"/>
              <w:rPr>
                <w:rFonts w:ascii="Book Antiqua" w:hAnsi="Book Antiqua"/>
                <w:b/>
                <w:bCs/>
              </w:rPr>
            </w:pPr>
            <w:r w:rsidRPr="008A2C60">
              <w:rPr>
                <w:rFonts w:ascii="Book Antiqua" w:hAnsi="Book Antiqua"/>
                <w:b/>
                <w:bCs/>
              </w:rPr>
              <w:t>Important</w:t>
            </w:r>
            <w:r w:rsidR="007D7421" w:rsidRPr="008A2C60">
              <w:rPr>
                <w:rFonts w:ascii="Book Antiqua" w:hAnsi="Book Antiqua"/>
                <w:b/>
                <w:bCs/>
              </w:rPr>
              <w:t xml:space="preserve"> finding</w:t>
            </w:r>
            <w:r w:rsidRPr="008A2C60">
              <w:rPr>
                <w:rFonts w:ascii="Book Antiqua" w:hAnsi="Book Antiqua"/>
                <w:b/>
                <w:bCs/>
              </w:rPr>
              <w:t>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792C3" w14:textId="6D4E7C57" w:rsidR="00193C34" w:rsidRPr="008A2C60" w:rsidRDefault="00193C34" w:rsidP="006B795E">
            <w:pPr>
              <w:widowControl w:val="0"/>
              <w:spacing w:line="360" w:lineRule="auto"/>
              <w:jc w:val="center"/>
              <w:rPr>
                <w:rFonts w:ascii="Book Antiqua" w:hAnsi="Book Antiqua"/>
                <w:b/>
                <w:bCs/>
              </w:rPr>
            </w:pPr>
            <w:r w:rsidRPr="008A2C60">
              <w:rPr>
                <w:rFonts w:ascii="Book Antiqua" w:hAnsi="Book Antiqua"/>
                <w:b/>
                <w:bCs/>
              </w:rPr>
              <w:t xml:space="preserve">Data </w:t>
            </w:r>
            <w:r w:rsidR="007D7421" w:rsidRPr="008A2C60">
              <w:rPr>
                <w:rFonts w:ascii="Book Antiqua" w:hAnsi="Book Antiqua"/>
                <w:b/>
                <w:bCs/>
              </w:rPr>
              <w:t>sou</w:t>
            </w:r>
            <w:r w:rsidRPr="008A2C60">
              <w:rPr>
                <w:rFonts w:ascii="Book Antiqua" w:hAnsi="Book Antiqua"/>
                <w:b/>
                <w:bCs/>
              </w:rPr>
              <w:t>rces</w:t>
            </w:r>
          </w:p>
        </w:tc>
      </w:tr>
      <w:tr w:rsidR="00193C34" w:rsidRPr="008A2C60" w14:paraId="542584CB" w14:textId="77777777" w:rsidTr="006D6589">
        <w:trPr>
          <w:trHeight w:val="1123"/>
        </w:trPr>
        <w:tc>
          <w:tcPr>
            <w:tcW w:w="3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2DCFB" w14:textId="77777777" w:rsidR="00193C34" w:rsidRPr="008A2C60" w:rsidRDefault="00193C34" w:rsidP="006B795E">
            <w:pPr>
              <w:widowControl w:val="0"/>
              <w:spacing w:line="360" w:lineRule="auto"/>
              <w:jc w:val="both"/>
              <w:rPr>
                <w:rFonts w:ascii="Book Antiqua" w:hAnsi="Book Antiqua"/>
              </w:rPr>
            </w:pPr>
            <w:r w:rsidRPr="008A2C60">
              <w:rPr>
                <w:rFonts w:ascii="Book Antiqua" w:hAnsi="Book Antiqua"/>
              </w:rPr>
              <w:t>Mortality</w:t>
            </w:r>
          </w:p>
        </w:tc>
        <w:tc>
          <w:tcPr>
            <w:tcW w:w="7006" w:type="dxa"/>
            <w:tcBorders>
              <w:top w:val="nil"/>
              <w:left w:val="nil"/>
              <w:bottom w:val="single" w:sz="8" w:space="0" w:color="auto"/>
              <w:right w:val="single" w:sz="8" w:space="0" w:color="auto"/>
            </w:tcBorders>
            <w:tcMar>
              <w:top w:w="0" w:type="dxa"/>
              <w:left w:w="108" w:type="dxa"/>
              <w:bottom w:w="0" w:type="dxa"/>
              <w:right w:w="108" w:type="dxa"/>
            </w:tcMar>
            <w:hideMark/>
          </w:tcPr>
          <w:p w14:paraId="2DA47AC7" w14:textId="559912A2" w:rsidR="00193C34" w:rsidRPr="00EE3848" w:rsidRDefault="00193C34" w:rsidP="00EE3848">
            <w:pPr>
              <w:widowControl w:val="0"/>
              <w:spacing w:line="360" w:lineRule="auto"/>
              <w:rPr>
                <w:rFonts w:ascii="Book Antiqua" w:hAnsi="Book Antiqua"/>
              </w:rPr>
            </w:pPr>
            <w:r w:rsidRPr="00EE3848">
              <w:rPr>
                <w:rFonts w:ascii="Book Antiqua" w:hAnsi="Book Antiqua"/>
              </w:rPr>
              <w:t xml:space="preserve">Mean </w:t>
            </w:r>
            <w:r w:rsidR="00F06FE5" w:rsidRPr="00EE3848">
              <w:rPr>
                <w:rFonts w:ascii="Book Antiqua" w:hAnsi="Book Antiqua"/>
              </w:rPr>
              <w:t xml:space="preserve">BG </w:t>
            </w:r>
            <w:r w:rsidR="00C10193" w:rsidRPr="007D7421">
              <w:rPr>
                <w:rFonts w:ascii="Book Antiqua" w:hAnsi="Book Antiqua"/>
              </w:rPr>
              <w:t>≥</w:t>
            </w:r>
            <w:r w:rsidR="002C4117">
              <w:rPr>
                <w:rFonts w:ascii="Book Antiqua" w:hAnsi="Book Antiqua" w:hint="eastAsia"/>
                <w:lang w:eastAsia="zh-CN"/>
              </w:rPr>
              <w:t xml:space="preserve"> </w:t>
            </w:r>
            <w:r w:rsidRPr="00EE3848">
              <w:rPr>
                <w:rFonts w:ascii="Book Antiqua" w:hAnsi="Book Antiqua"/>
              </w:rPr>
              <w:t xml:space="preserve">150 </w:t>
            </w:r>
            <w:r w:rsidR="00F06FE5" w:rsidRPr="00EE3848">
              <w:rPr>
                <w:rFonts w:ascii="Book Antiqua" w:hAnsi="Book Antiqua"/>
              </w:rPr>
              <w:t>mg/</w:t>
            </w:r>
            <w:proofErr w:type="spellStart"/>
            <w:r w:rsidR="00F06FE5" w:rsidRPr="00EE3848">
              <w:rPr>
                <w:rFonts w:ascii="Book Antiqua" w:hAnsi="Book Antiqua"/>
              </w:rPr>
              <w:t>dL</w:t>
            </w:r>
            <w:proofErr w:type="spellEnd"/>
            <w:r w:rsidR="00F06FE5" w:rsidRPr="00EE3848">
              <w:rPr>
                <w:rFonts w:ascii="Book Antiqua" w:hAnsi="Book Antiqua"/>
              </w:rPr>
              <w:t xml:space="preserve"> </w:t>
            </w:r>
            <w:r w:rsidRPr="00EE3848">
              <w:rPr>
                <w:rFonts w:ascii="Book Antiqua" w:hAnsi="Book Antiqua"/>
              </w:rPr>
              <w:t>increases mortality</w:t>
            </w:r>
          </w:p>
          <w:p w14:paraId="1A06E5DC" w14:textId="63535154" w:rsidR="00193C34" w:rsidRPr="00EE3848" w:rsidRDefault="00193C34" w:rsidP="00EE3848">
            <w:pPr>
              <w:widowControl w:val="0"/>
              <w:spacing w:line="360" w:lineRule="auto"/>
              <w:rPr>
                <w:rFonts w:ascii="Book Antiqua" w:hAnsi="Book Antiqua"/>
              </w:rPr>
            </w:pPr>
            <w:r w:rsidRPr="00EE3848">
              <w:rPr>
                <w:rFonts w:ascii="Book Antiqua" w:hAnsi="Book Antiqua"/>
              </w:rPr>
              <w:t xml:space="preserve">Nurse initiated </w:t>
            </w:r>
            <w:r w:rsidR="00EE3848" w:rsidRPr="00EE3848">
              <w:rPr>
                <w:rFonts w:ascii="Book Antiqua" w:hAnsi="Book Antiqua"/>
              </w:rPr>
              <w:t>insulin protocol did not impact</w:t>
            </w:r>
            <w:r w:rsidR="00EE3848" w:rsidRPr="00EE3848">
              <w:rPr>
                <w:rFonts w:ascii="Book Antiqua" w:hAnsi="Book Antiqua" w:hint="eastAsia"/>
                <w:lang w:eastAsia="zh-CN"/>
              </w:rPr>
              <w:t xml:space="preserve"> </w:t>
            </w:r>
            <w:r w:rsidRPr="00EE3848">
              <w:rPr>
                <w:rFonts w:ascii="Book Antiqua" w:hAnsi="Book Antiqua"/>
              </w:rPr>
              <w:t>mortality</w:t>
            </w:r>
          </w:p>
          <w:p w14:paraId="15ACD9EE" w14:textId="4021F6D6" w:rsidR="00193C34" w:rsidRPr="00EE3848" w:rsidRDefault="00193C34" w:rsidP="00EE3848">
            <w:pPr>
              <w:widowControl w:val="0"/>
              <w:spacing w:line="360" w:lineRule="auto"/>
              <w:rPr>
                <w:rFonts w:ascii="Book Antiqua" w:hAnsi="Book Antiqua"/>
              </w:rPr>
            </w:pPr>
            <w:r w:rsidRPr="00EE3848">
              <w:rPr>
                <w:rFonts w:ascii="Book Antiqua" w:hAnsi="Book Antiqua"/>
              </w:rPr>
              <w:t>PTDM influenced gl</w:t>
            </w:r>
            <w:r w:rsidR="00EE3848">
              <w:rPr>
                <w:rFonts w:ascii="Book Antiqua" w:hAnsi="Book Antiqua"/>
              </w:rPr>
              <w:t>ucose levels but did not change</w:t>
            </w:r>
            <w:r w:rsidR="00EE3848">
              <w:rPr>
                <w:rFonts w:ascii="Book Antiqua" w:hAnsi="Book Antiqua" w:hint="eastAsia"/>
                <w:lang w:eastAsia="zh-CN"/>
              </w:rPr>
              <w:t xml:space="preserve"> </w:t>
            </w:r>
            <w:r w:rsidRPr="00EE3848">
              <w:rPr>
                <w:rFonts w:ascii="Book Antiqua" w:hAnsi="Book Antiqua"/>
              </w:rPr>
              <w:t>mortality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3312AFF" w14:textId="54777D44" w:rsidR="00193C34" w:rsidRPr="00EE3848" w:rsidRDefault="00193C34" w:rsidP="00EE3848">
            <w:pPr>
              <w:widowControl w:val="0"/>
              <w:spacing w:line="360" w:lineRule="auto"/>
              <w:rPr>
                <w:rFonts w:ascii="Book Antiqua" w:hAnsi="Book Antiqua"/>
              </w:rPr>
            </w:pPr>
            <w:proofErr w:type="spellStart"/>
            <w:r w:rsidRPr="00EE3848">
              <w:rPr>
                <w:rFonts w:ascii="Book Antiqua" w:hAnsi="Book Antiqua"/>
              </w:rPr>
              <w:t>Ammori</w:t>
            </w:r>
            <w:proofErr w:type="spellEnd"/>
            <w:r w:rsidRPr="00EE3848">
              <w:rPr>
                <w:rFonts w:ascii="Book Antiqua" w:hAnsi="Book Antiqua"/>
              </w:rPr>
              <w:t xml:space="preserve"> </w:t>
            </w:r>
            <w:r w:rsidR="00EE3848" w:rsidRPr="00EE3848">
              <w:rPr>
                <w:rFonts w:ascii="Book Antiqua" w:hAnsi="Book Antiqua"/>
                <w:i/>
              </w:rPr>
              <w:t>et al</w:t>
            </w:r>
            <w:r w:rsidR="00EE3848" w:rsidRPr="00EE3848">
              <w:rPr>
                <w:rFonts w:ascii="Book Antiqua" w:hAnsi="Book Antiqua" w:hint="eastAsia"/>
                <w:vertAlign w:val="superscript"/>
                <w:lang w:eastAsia="zh-CN"/>
              </w:rPr>
              <w:t>[5]</w:t>
            </w:r>
            <w:r w:rsidRPr="00EE3848">
              <w:rPr>
                <w:rFonts w:ascii="Book Antiqua" w:hAnsi="Book Antiqua"/>
                <w:vertAlign w:val="superscript"/>
              </w:rPr>
              <w:t xml:space="preserve"> </w:t>
            </w:r>
            <w:r w:rsidRPr="00EE3848">
              <w:rPr>
                <w:rFonts w:ascii="Book Antiqua" w:hAnsi="Book Antiqua"/>
              </w:rPr>
              <w:t>(retrospective study)</w:t>
            </w:r>
          </w:p>
          <w:p w14:paraId="304B4092" w14:textId="478EB2A2" w:rsidR="00193C34" w:rsidRPr="00EE3848" w:rsidRDefault="00193C34" w:rsidP="00EE3848">
            <w:pPr>
              <w:widowControl w:val="0"/>
              <w:spacing w:line="360" w:lineRule="auto"/>
              <w:rPr>
                <w:rFonts w:ascii="Book Antiqua" w:hAnsi="Book Antiqua"/>
              </w:rPr>
            </w:pPr>
            <w:r w:rsidRPr="00EE3848">
              <w:rPr>
                <w:rFonts w:ascii="Book Antiqua" w:hAnsi="Book Antiqua"/>
              </w:rPr>
              <w:t xml:space="preserve">Keegan </w:t>
            </w:r>
            <w:r w:rsidR="00EE3848" w:rsidRPr="00EE3848">
              <w:rPr>
                <w:rFonts w:ascii="Book Antiqua" w:hAnsi="Book Antiqua"/>
                <w:i/>
              </w:rPr>
              <w:t>et al</w:t>
            </w:r>
            <w:r w:rsidR="00EE3848" w:rsidRPr="00EE3848">
              <w:rPr>
                <w:rFonts w:ascii="Book Antiqua" w:hAnsi="Book Antiqua" w:hint="eastAsia"/>
                <w:vertAlign w:val="superscript"/>
                <w:lang w:eastAsia="zh-CN"/>
              </w:rPr>
              <w:t>[</w:t>
            </w:r>
            <w:r w:rsidR="00EE3848">
              <w:rPr>
                <w:rFonts w:ascii="Book Antiqua" w:hAnsi="Book Antiqua" w:hint="eastAsia"/>
                <w:vertAlign w:val="superscript"/>
                <w:lang w:eastAsia="zh-CN"/>
              </w:rPr>
              <w:t>17</w:t>
            </w:r>
            <w:r w:rsidR="00EE3848" w:rsidRPr="00EE3848">
              <w:rPr>
                <w:rFonts w:ascii="Book Antiqua" w:hAnsi="Book Antiqua" w:hint="eastAsia"/>
                <w:vertAlign w:val="superscript"/>
                <w:lang w:eastAsia="zh-CN"/>
              </w:rPr>
              <w:t>]</w:t>
            </w:r>
            <w:r w:rsidRPr="00EE3848">
              <w:rPr>
                <w:rFonts w:ascii="Book Antiqua" w:hAnsi="Book Antiqua"/>
              </w:rPr>
              <w:t xml:space="preserve"> (retrospective study</w:t>
            </w:r>
          </w:p>
          <w:p w14:paraId="51F8E2E6" w14:textId="0A25A27C" w:rsidR="00193C34" w:rsidRPr="00EE3848" w:rsidRDefault="00193C34" w:rsidP="00EE3848">
            <w:pPr>
              <w:widowControl w:val="0"/>
              <w:spacing w:line="360" w:lineRule="auto"/>
              <w:rPr>
                <w:rFonts w:ascii="Book Antiqua" w:hAnsi="Book Antiqua"/>
              </w:rPr>
            </w:pPr>
            <w:r w:rsidRPr="00EE3848">
              <w:rPr>
                <w:rFonts w:ascii="Book Antiqua" w:hAnsi="Book Antiqua"/>
              </w:rPr>
              <w:t xml:space="preserve">Linder </w:t>
            </w:r>
            <w:r w:rsidR="00EE3848" w:rsidRPr="00EE3848">
              <w:rPr>
                <w:rFonts w:ascii="Book Antiqua" w:hAnsi="Book Antiqua"/>
                <w:i/>
              </w:rPr>
              <w:t>et al</w:t>
            </w:r>
            <w:r w:rsidR="00EE3848" w:rsidRPr="00EE3848">
              <w:rPr>
                <w:rFonts w:ascii="Book Antiqua" w:hAnsi="Book Antiqua" w:hint="eastAsia"/>
                <w:vertAlign w:val="superscript"/>
                <w:lang w:eastAsia="zh-CN"/>
              </w:rPr>
              <w:t>[</w:t>
            </w:r>
            <w:r w:rsidR="00EE3848">
              <w:rPr>
                <w:rFonts w:ascii="Book Antiqua" w:hAnsi="Book Antiqua" w:hint="eastAsia"/>
                <w:vertAlign w:val="superscript"/>
                <w:lang w:eastAsia="zh-CN"/>
              </w:rPr>
              <w:t>18</w:t>
            </w:r>
            <w:r w:rsidR="00EE3848" w:rsidRPr="00EE3848">
              <w:rPr>
                <w:rFonts w:ascii="Book Antiqua" w:hAnsi="Book Antiqua" w:hint="eastAsia"/>
                <w:vertAlign w:val="superscript"/>
                <w:lang w:eastAsia="zh-CN"/>
              </w:rPr>
              <w:t>]</w:t>
            </w:r>
            <w:r w:rsidRPr="00EE3848">
              <w:rPr>
                <w:rFonts w:ascii="Book Antiqua" w:hAnsi="Book Antiqua"/>
              </w:rPr>
              <w:t xml:space="preserve"> (retrospective study)</w:t>
            </w:r>
          </w:p>
        </w:tc>
      </w:tr>
      <w:tr w:rsidR="00193C34" w:rsidRPr="008A2C60" w14:paraId="3F33D13F" w14:textId="77777777" w:rsidTr="006D6589">
        <w:trPr>
          <w:trHeight w:val="1762"/>
        </w:trPr>
        <w:tc>
          <w:tcPr>
            <w:tcW w:w="3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44786" w14:textId="43ABD9A2" w:rsidR="00193C34" w:rsidRPr="007D7421" w:rsidRDefault="00193C34" w:rsidP="006B795E">
            <w:pPr>
              <w:widowControl w:val="0"/>
              <w:spacing w:line="360" w:lineRule="auto"/>
              <w:jc w:val="both"/>
              <w:rPr>
                <w:rFonts w:ascii="Book Antiqua" w:hAnsi="Book Antiqua"/>
              </w:rPr>
            </w:pPr>
            <w:r w:rsidRPr="007D7421">
              <w:rPr>
                <w:rFonts w:ascii="Book Antiqua" w:hAnsi="Book Antiqua"/>
              </w:rPr>
              <w:t>Gra</w:t>
            </w:r>
            <w:r w:rsidR="007D7421" w:rsidRPr="007D7421">
              <w:rPr>
                <w:rFonts w:ascii="Book Antiqua" w:hAnsi="Book Antiqua"/>
              </w:rPr>
              <w:t>ft rejection</w:t>
            </w:r>
          </w:p>
        </w:tc>
        <w:tc>
          <w:tcPr>
            <w:tcW w:w="7006" w:type="dxa"/>
            <w:tcBorders>
              <w:top w:val="nil"/>
              <w:left w:val="nil"/>
              <w:bottom w:val="single" w:sz="8" w:space="0" w:color="auto"/>
              <w:right w:val="single" w:sz="8" w:space="0" w:color="auto"/>
            </w:tcBorders>
            <w:tcMar>
              <w:top w:w="0" w:type="dxa"/>
              <w:left w:w="108" w:type="dxa"/>
              <w:bottom w:w="0" w:type="dxa"/>
              <w:right w:w="108" w:type="dxa"/>
            </w:tcMar>
          </w:tcPr>
          <w:p w14:paraId="6F7E94A7" w14:textId="68D78620" w:rsidR="00193C34" w:rsidRPr="007D7421" w:rsidRDefault="00F06FE5" w:rsidP="006D6589">
            <w:pPr>
              <w:widowControl w:val="0"/>
              <w:spacing w:line="360" w:lineRule="auto"/>
              <w:rPr>
                <w:rFonts w:ascii="Book Antiqua" w:hAnsi="Book Antiqua"/>
              </w:rPr>
            </w:pPr>
            <w:r w:rsidRPr="007D7421">
              <w:rPr>
                <w:rFonts w:ascii="Book Antiqua" w:hAnsi="Book Antiqua"/>
              </w:rPr>
              <w:t>Mean BG &gt; 200 mg/dL increases risk of rejection</w:t>
            </w:r>
          </w:p>
          <w:p w14:paraId="334524F5" w14:textId="77777777" w:rsidR="00F746F9" w:rsidRPr="007D7421" w:rsidRDefault="00F746F9" w:rsidP="006D6589">
            <w:pPr>
              <w:widowControl w:val="0"/>
              <w:spacing w:line="360" w:lineRule="auto"/>
              <w:rPr>
                <w:rFonts w:ascii="Book Antiqua" w:hAnsi="Book Antiqua"/>
              </w:rPr>
            </w:pPr>
            <w:r w:rsidRPr="007D7421">
              <w:rPr>
                <w:rFonts w:ascii="Book Antiqua" w:hAnsi="Book Antiqua"/>
              </w:rPr>
              <w:t>Although, mean BG were lower with the use of GMS, it did not lead to lower rate of rejection</w:t>
            </w:r>
          </w:p>
          <w:p w14:paraId="2818A91C" w14:textId="7EA78838" w:rsidR="0046065C" w:rsidRPr="007D7421" w:rsidRDefault="0046065C" w:rsidP="006D6589">
            <w:pPr>
              <w:widowControl w:val="0"/>
              <w:spacing w:line="360" w:lineRule="auto"/>
              <w:rPr>
                <w:rFonts w:ascii="Book Antiqua" w:hAnsi="Book Antiqua"/>
              </w:rPr>
            </w:pPr>
            <w:r w:rsidRPr="007D7421">
              <w:rPr>
                <w:rFonts w:ascii="Book Antiqua" w:hAnsi="Book Antiqua"/>
              </w:rPr>
              <w:t>Conflicting evidence exists relating to the development of PTDM and its relation to rejection</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08B9EC3B" w14:textId="108F714A" w:rsidR="00B93042" w:rsidRPr="006D6589" w:rsidRDefault="009F561C" w:rsidP="006D6589">
            <w:pPr>
              <w:widowControl w:val="0"/>
              <w:spacing w:line="360" w:lineRule="auto"/>
              <w:rPr>
                <w:rFonts w:ascii="Book Antiqua" w:hAnsi="Book Antiqua"/>
              </w:rPr>
            </w:pPr>
            <w:proofErr w:type="spellStart"/>
            <w:r w:rsidRPr="006D6589">
              <w:rPr>
                <w:rFonts w:ascii="Book Antiqua" w:hAnsi="Book Antiqua"/>
              </w:rPr>
              <w:t>Wallia</w:t>
            </w:r>
            <w:proofErr w:type="spellEnd"/>
            <w:r w:rsidRPr="006D6589">
              <w:rPr>
                <w:rFonts w:ascii="Book Antiqua" w:hAnsi="Book Antiqua"/>
              </w:rPr>
              <w:t xml:space="preserve"> </w:t>
            </w:r>
            <w:r w:rsidR="00EE3848" w:rsidRPr="006D6589">
              <w:rPr>
                <w:rFonts w:ascii="Book Antiqua" w:hAnsi="Book Antiqua"/>
                <w:i/>
              </w:rPr>
              <w:t>et al</w:t>
            </w:r>
            <w:r w:rsidR="00EE3848" w:rsidRPr="006D6589">
              <w:rPr>
                <w:rFonts w:ascii="Book Antiqua" w:hAnsi="Book Antiqua" w:hint="eastAsia"/>
                <w:vertAlign w:val="superscript"/>
                <w:lang w:eastAsia="zh-CN"/>
              </w:rPr>
              <w:t>[1]</w:t>
            </w:r>
            <w:r w:rsidR="00B93042" w:rsidRPr="006D6589">
              <w:rPr>
                <w:rFonts w:ascii="Book Antiqua" w:hAnsi="Book Antiqua"/>
              </w:rPr>
              <w:t xml:space="preserve"> (retrospective study)</w:t>
            </w:r>
          </w:p>
          <w:p w14:paraId="5296EC78" w14:textId="67B1CA89" w:rsidR="00091A7B" w:rsidRPr="006D6589" w:rsidRDefault="00B93042" w:rsidP="006D6589">
            <w:pPr>
              <w:widowControl w:val="0"/>
              <w:spacing w:line="360" w:lineRule="auto"/>
              <w:rPr>
                <w:rFonts w:ascii="Book Antiqua" w:hAnsi="Book Antiqua"/>
              </w:rPr>
            </w:pPr>
            <w:proofErr w:type="spellStart"/>
            <w:r w:rsidRPr="006D6589">
              <w:rPr>
                <w:rFonts w:ascii="Book Antiqua" w:hAnsi="Book Antiqua"/>
              </w:rPr>
              <w:t>Wallia</w:t>
            </w:r>
            <w:proofErr w:type="spellEnd"/>
            <w:r w:rsidRPr="006D6589">
              <w:rPr>
                <w:rFonts w:ascii="Book Antiqua" w:hAnsi="Book Antiqua"/>
              </w:rPr>
              <w:t xml:space="preserve"> </w:t>
            </w:r>
            <w:r w:rsidR="00EE3848" w:rsidRPr="006D6589">
              <w:rPr>
                <w:rFonts w:ascii="Book Antiqua" w:hAnsi="Book Antiqua"/>
                <w:i/>
              </w:rPr>
              <w:t>et al</w:t>
            </w:r>
            <w:r w:rsidR="00EE3848" w:rsidRPr="006D6589">
              <w:rPr>
                <w:rFonts w:ascii="Book Antiqua" w:hAnsi="Book Antiqua" w:hint="eastAsia"/>
                <w:vertAlign w:val="superscript"/>
                <w:lang w:eastAsia="zh-CN"/>
              </w:rPr>
              <w:t>[19]</w:t>
            </w:r>
            <w:r w:rsidR="006D6589">
              <w:rPr>
                <w:rFonts w:ascii="Book Antiqua" w:hAnsi="Book Antiqua" w:hint="eastAsia"/>
                <w:lang w:eastAsia="zh-CN"/>
              </w:rPr>
              <w:t xml:space="preserve"> </w:t>
            </w:r>
            <w:r w:rsidRPr="006D6589">
              <w:rPr>
                <w:rFonts w:ascii="Book Antiqua" w:hAnsi="Book Antiqua"/>
              </w:rPr>
              <w:t>(retrospective study)</w:t>
            </w:r>
          </w:p>
          <w:p w14:paraId="551C714F" w14:textId="5279ABFC" w:rsidR="002D59C1" w:rsidRPr="006D6589" w:rsidRDefault="00B64F0A" w:rsidP="006D6589">
            <w:pPr>
              <w:widowControl w:val="0"/>
              <w:spacing w:line="360" w:lineRule="auto"/>
              <w:rPr>
                <w:rFonts w:ascii="Book Antiqua" w:hAnsi="Book Antiqua"/>
              </w:rPr>
            </w:pPr>
            <w:r w:rsidRPr="006D6589">
              <w:rPr>
                <w:rFonts w:ascii="Book Antiqua" w:hAnsi="Book Antiqua"/>
              </w:rPr>
              <w:t xml:space="preserve">Linder </w:t>
            </w:r>
            <w:r w:rsidR="00EE3848" w:rsidRPr="006D6589">
              <w:rPr>
                <w:rFonts w:ascii="Book Antiqua" w:hAnsi="Book Antiqua"/>
                <w:i/>
              </w:rPr>
              <w:t>et al</w:t>
            </w:r>
            <w:r w:rsidR="00EE3848" w:rsidRPr="006D6589">
              <w:rPr>
                <w:rFonts w:ascii="Book Antiqua" w:hAnsi="Book Antiqua" w:hint="eastAsia"/>
                <w:vertAlign w:val="superscript"/>
                <w:lang w:eastAsia="zh-CN"/>
              </w:rPr>
              <w:t>[18]</w:t>
            </w:r>
            <w:r w:rsidR="006D6589">
              <w:rPr>
                <w:rFonts w:ascii="Book Antiqua" w:hAnsi="Book Antiqua" w:hint="eastAsia"/>
                <w:vertAlign w:val="superscript"/>
                <w:lang w:eastAsia="zh-CN"/>
              </w:rPr>
              <w:t xml:space="preserve"> </w:t>
            </w:r>
            <w:r w:rsidR="006D6589">
              <w:rPr>
                <w:rFonts w:ascii="Book Antiqua" w:hAnsi="Book Antiqua" w:hint="eastAsia"/>
                <w:lang w:eastAsia="zh-CN"/>
              </w:rPr>
              <w:t xml:space="preserve">and </w:t>
            </w:r>
            <w:r w:rsidRPr="006D6589">
              <w:rPr>
                <w:rFonts w:ascii="Book Antiqua" w:hAnsi="Book Antiqua"/>
              </w:rPr>
              <w:t xml:space="preserve">Trail </w:t>
            </w:r>
            <w:r w:rsidR="00EE3848" w:rsidRPr="006D6589">
              <w:rPr>
                <w:rFonts w:ascii="Book Antiqua" w:hAnsi="Book Antiqua"/>
                <w:i/>
              </w:rPr>
              <w:t>et al</w:t>
            </w:r>
            <w:r w:rsidR="00EE3848" w:rsidRPr="006D6589">
              <w:rPr>
                <w:rFonts w:ascii="Book Antiqua" w:hAnsi="Book Antiqua" w:hint="eastAsia"/>
                <w:vertAlign w:val="superscript"/>
                <w:lang w:eastAsia="zh-CN"/>
              </w:rPr>
              <w:t>[20]</w:t>
            </w:r>
            <w:r w:rsidR="006D6589">
              <w:rPr>
                <w:rFonts w:ascii="Book Antiqua" w:hAnsi="Book Antiqua" w:hint="eastAsia"/>
                <w:lang w:eastAsia="zh-CN"/>
              </w:rPr>
              <w:t xml:space="preserve"> </w:t>
            </w:r>
            <w:r w:rsidR="002D59C1" w:rsidRPr="006D6589">
              <w:rPr>
                <w:rFonts w:ascii="Book Antiqua" w:hAnsi="Book Antiqua"/>
              </w:rPr>
              <w:t>(retrospective studies)</w:t>
            </w:r>
          </w:p>
        </w:tc>
      </w:tr>
      <w:tr w:rsidR="00193C34" w:rsidRPr="008A2C60" w14:paraId="4051D468" w14:textId="77777777" w:rsidTr="006D6589">
        <w:trPr>
          <w:trHeight w:val="2518"/>
        </w:trPr>
        <w:tc>
          <w:tcPr>
            <w:tcW w:w="3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F26CB" w14:textId="594877FA" w:rsidR="00193C34" w:rsidRPr="007D7421" w:rsidRDefault="00193C34" w:rsidP="006B795E">
            <w:pPr>
              <w:widowControl w:val="0"/>
              <w:spacing w:line="360" w:lineRule="auto"/>
              <w:jc w:val="both"/>
              <w:rPr>
                <w:rFonts w:ascii="Book Antiqua" w:hAnsi="Book Antiqua"/>
              </w:rPr>
            </w:pPr>
            <w:r w:rsidRPr="007D7421">
              <w:rPr>
                <w:rFonts w:ascii="Book Antiqua" w:hAnsi="Book Antiqua"/>
              </w:rPr>
              <w:t>Infection</w:t>
            </w:r>
            <w:r w:rsidR="00C6480C" w:rsidRPr="007D7421">
              <w:rPr>
                <w:rFonts w:ascii="Book Antiqua" w:hAnsi="Book Antiqua"/>
              </w:rPr>
              <w:t xml:space="preserve"> rate</w:t>
            </w:r>
          </w:p>
        </w:tc>
        <w:tc>
          <w:tcPr>
            <w:tcW w:w="7006" w:type="dxa"/>
            <w:tcBorders>
              <w:top w:val="nil"/>
              <w:left w:val="nil"/>
              <w:bottom w:val="single" w:sz="8" w:space="0" w:color="auto"/>
              <w:right w:val="single" w:sz="8" w:space="0" w:color="auto"/>
            </w:tcBorders>
            <w:tcMar>
              <w:top w:w="0" w:type="dxa"/>
              <w:left w:w="108" w:type="dxa"/>
              <w:bottom w:w="0" w:type="dxa"/>
              <w:right w:w="108" w:type="dxa"/>
            </w:tcMar>
          </w:tcPr>
          <w:p w14:paraId="61E3A948" w14:textId="2F4179FA" w:rsidR="00193C34" w:rsidRPr="007D7421" w:rsidRDefault="00CD7F12" w:rsidP="006D6589">
            <w:pPr>
              <w:widowControl w:val="0"/>
              <w:spacing w:line="360" w:lineRule="auto"/>
              <w:rPr>
                <w:rFonts w:ascii="Book Antiqua" w:hAnsi="Book Antiqua"/>
              </w:rPr>
            </w:pPr>
            <w:bookmarkStart w:id="227" w:name="OLE_LINK1619"/>
            <w:bookmarkStart w:id="228" w:name="OLE_LINK1620"/>
            <w:r w:rsidRPr="007D7421">
              <w:rPr>
                <w:rFonts w:ascii="Book Antiqua" w:hAnsi="Book Antiqua"/>
              </w:rPr>
              <w:t xml:space="preserve">BG </w:t>
            </w:r>
            <w:bookmarkEnd w:id="227"/>
            <w:bookmarkEnd w:id="228"/>
            <w:r w:rsidR="00C10193" w:rsidRPr="007D7421">
              <w:rPr>
                <w:rFonts w:ascii="Book Antiqua" w:hAnsi="Book Antiqua"/>
              </w:rPr>
              <w:t>≥</w:t>
            </w:r>
            <w:r w:rsidRPr="007D7421">
              <w:rPr>
                <w:rFonts w:ascii="Book Antiqua" w:hAnsi="Book Antiqua"/>
              </w:rPr>
              <w:t xml:space="preserve"> 150 mg/dL is associated with higher infection rate</w:t>
            </w:r>
          </w:p>
          <w:p w14:paraId="718B4C49" w14:textId="2768E7F9" w:rsidR="00F04694" w:rsidRPr="007D7421" w:rsidRDefault="00F04694" w:rsidP="006D6589">
            <w:pPr>
              <w:widowControl w:val="0"/>
              <w:spacing w:line="360" w:lineRule="auto"/>
              <w:rPr>
                <w:rFonts w:ascii="Book Antiqua" w:hAnsi="Book Antiqua"/>
              </w:rPr>
            </w:pPr>
            <w:r w:rsidRPr="007D7421">
              <w:rPr>
                <w:rFonts w:ascii="Book Antiqua" w:hAnsi="Book Antiqua"/>
              </w:rPr>
              <w:t xml:space="preserve">BG </w:t>
            </w:r>
            <w:r w:rsidR="00C10193" w:rsidRPr="007D7421">
              <w:rPr>
                <w:rFonts w:ascii="Book Antiqua" w:hAnsi="Book Antiqua"/>
              </w:rPr>
              <w:t>≥</w:t>
            </w:r>
            <w:r w:rsidRPr="007D7421">
              <w:rPr>
                <w:rFonts w:ascii="Book Antiqua" w:hAnsi="Book Antiqua"/>
              </w:rPr>
              <w:t xml:space="preserve"> 200 mg/dL increases risk of SSIs</w:t>
            </w:r>
          </w:p>
          <w:p w14:paraId="11CC5AAE" w14:textId="77777777" w:rsidR="00F04694" w:rsidRPr="007D7421" w:rsidRDefault="00F04694" w:rsidP="006D6589">
            <w:pPr>
              <w:widowControl w:val="0"/>
              <w:spacing w:line="360" w:lineRule="auto"/>
              <w:rPr>
                <w:rFonts w:ascii="Book Antiqua" w:hAnsi="Book Antiqua"/>
              </w:rPr>
            </w:pPr>
            <w:r w:rsidRPr="007D7421">
              <w:rPr>
                <w:rFonts w:ascii="Book Antiqua" w:hAnsi="Book Antiqua"/>
              </w:rPr>
              <w:t>Use of GMS led to lower rate of infection</w:t>
            </w:r>
          </w:p>
          <w:p w14:paraId="638F7A5E" w14:textId="77777777" w:rsidR="0038088F" w:rsidRPr="007D7421" w:rsidRDefault="0038088F" w:rsidP="006D6589">
            <w:pPr>
              <w:widowControl w:val="0"/>
              <w:spacing w:line="360" w:lineRule="auto"/>
              <w:rPr>
                <w:rFonts w:ascii="Book Antiqua" w:hAnsi="Book Antiqua"/>
              </w:rPr>
            </w:pPr>
            <w:r w:rsidRPr="007D7421">
              <w:rPr>
                <w:rFonts w:ascii="Book Antiqua" w:hAnsi="Book Antiqua"/>
              </w:rPr>
              <w:t>Higher BG levels post-LT also led to increased incidence of HCV recurrence</w:t>
            </w:r>
          </w:p>
          <w:p w14:paraId="01702A54" w14:textId="77777777" w:rsidR="0038088F" w:rsidRPr="007D7421" w:rsidRDefault="00B231F9" w:rsidP="006D6589">
            <w:pPr>
              <w:widowControl w:val="0"/>
              <w:spacing w:line="360" w:lineRule="auto"/>
              <w:rPr>
                <w:rFonts w:ascii="Book Antiqua" w:hAnsi="Book Antiqua"/>
              </w:rPr>
            </w:pPr>
            <w:r w:rsidRPr="007D7421">
              <w:rPr>
                <w:rFonts w:ascii="Book Antiqua" w:hAnsi="Book Antiqua"/>
              </w:rPr>
              <w:t>No association between BG levels and post-LT CMV infection</w:t>
            </w:r>
          </w:p>
          <w:p w14:paraId="0EB00979" w14:textId="7A1A8324" w:rsidR="00B231F9" w:rsidRPr="007D7421" w:rsidRDefault="00B231F9" w:rsidP="006D6589">
            <w:pPr>
              <w:widowControl w:val="0"/>
              <w:spacing w:line="360" w:lineRule="auto"/>
              <w:rPr>
                <w:rFonts w:ascii="Book Antiqua" w:hAnsi="Book Antiqua"/>
              </w:rPr>
            </w:pPr>
            <w:r w:rsidRPr="007D7421">
              <w:rPr>
                <w:rFonts w:ascii="Book Antiqua" w:hAnsi="Book Antiqua"/>
              </w:rPr>
              <w:t>Development of PTDM did not lead to higher infection rate</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7A6AA44F" w14:textId="596CB707" w:rsidR="00B231F9" w:rsidRPr="006D6589" w:rsidRDefault="00B231F9" w:rsidP="006D6589">
            <w:pPr>
              <w:widowControl w:val="0"/>
              <w:spacing w:line="360" w:lineRule="auto"/>
              <w:rPr>
                <w:rFonts w:ascii="Book Antiqua" w:hAnsi="Book Antiqua"/>
              </w:rPr>
            </w:pPr>
            <w:proofErr w:type="spellStart"/>
            <w:r w:rsidRPr="006D6589">
              <w:rPr>
                <w:rFonts w:ascii="Book Antiqua" w:hAnsi="Book Antiqua"/>
              </w:rPr>
              <w:t>Ammori</w:t>
            </w:r>
            <w:proofErr w:type="spellEnd"/>
            <w:r w:rsidRPr="006D6589">
              <w:rPr>
                <w:rFonts w:ascii="Book Antiqua" w:hAnsi="Book Antiqua"/>
              </w:rPr>
              <w:t xml:space="preserve"> </w:t>
            </w:r>
            <w:r w:rsidR="00EE3848" w:rsidRPr="006D6589">
              <w:rPr>
                <w:rFonts w:ascii="Book Antiqua" w:hAnsi="Book Antiqua"/>
                <w:i/>
              </w:rPr>
              <w:t>et al</w:t>
            </w:r>
            <w:r w:rsidR="00EE3848" w:rsidRPr="006D6589">
              <w:rPr>
                <w:rFonts w:ascii="Book Antiqua" w:hAnsi="Book Antiqua" w:hint="eastAsia"/>
                <w:vertAlign w:val="superscript"/>
                <w:lang w:eastAsia="zh-CN"/>
              </w:rPr>
              <w:t>[5]</w:t>
            </w:r>
            <w:r w:rsidR="00782D55" w:rsidRPr="006D6589">
              <w:rPr>
                <w:rFonts w:ascii="Book Antiqua" w:hAnsi="Book Antiqua"/>
              </w:rPr>
              <w:t xml:space="preserve"> </w:t>
            </w:r>
            <w:r w:rsidR="005E7CAB" w:rsidRPr="006D6589">
              <w:rPr>
                <w:rFonts w:ascii="Book Antiqua" w:hAnsi="Book Antiqua"/>
              </w:rPr>
              <w:t>(retrospective study)</w:t>
            </w:r>
          </w:p>
          <w:p w14:paraId="26662323" w14:textId="45F3B487" w:rsidR="005E7CAB" w:rsidRPr="006D6589" w:rsidRDefault="00B231F9" w:rsidP="006D6589">
            <w:pPr>
              <w:widowControl w:val="0"/>
              <w:spacing w:line="360" w:lineRule="auto"/>
              <w:rPr>
                <w:rFonts w:ascii="Book Antiqua" w:hAnsi="Book Antiqua"/>
              </w:rPr>
            </w:pPr>
            <w:r w:rsidRPr="006D6589">
              <w:rPr>
                <w:rFonts w:ascii="Book Antiqua" w:hAnsi="Book Antiqua"/>
              </w:rPr>
              <w:t xml:space="preserve">Park </w:t>
            </w:r>
            <w:r w:rsidR="00EE3848" w:rsidRPr="006D6589">
              <w:rPr>
                <w:rFonts w:ascii="Book Antiqua" w:hAnsi="Book Antiqua"/>
                <w:i/>
              </w:rPr>
              <w:t>et al</w:t>
            </w:r>
            <w:r w:rsidR="00EE3848" w:rsidRPr="006D6589">
              <w:rPr>
                <w:rFonts w:ascii="Book Antiqua" w:hAnsi="Book Antiqua" w:hint="eastAsia"/>
                <w:vertAlign w:val="superscript"/>
                <w:lang w:eastAsia="zh-CN"/>
              </w:rPr>
              <w:t>[27]</w:t>
            </w:r>
            <w:r w:rsidR="006D652A" w:rsidRPr="006D6589">
              <w:rPr>
                <w:rFonts w:ascii="Book Antiqua" w:hAnsi="Book Antiqua"/>
              </w:rPr>
              <w:t xml:space="preserve"> </w:t>
            </w:r>
            <w:r w:rsidR="005E7CAB" w:rsidRPr="006D6589">
              <w:rPr>
                <w:rFonts w:ascii="Book Antiqua" w:hAnsi="Book Antiqua"/>
              </w:rPr>
              <w:t>(retrospective study)</w:t>
            </w:r>
          </w:p>
          <w:p w14:paraId="6EBBE32A" w14:textId="104ADBA7" w:rsidR="00B231F9" w:rsidRPr="006D6589" w:rsidRDefault="00B231F9" w:rsidP="006D6589">
            <w:pPr>
              <w:widowControl w:val="0"/>
              <w:spacing w:line="360" w:lineRule="auto"/>
              <w:rPr>
                <w:rFonts w:ascii="Book Antiqua" w:hAnsi="Book Antiqua"/>
              </w:rPr>
            </w:pPr>
            <w:proofErr w:type="spellStart"/>
            <w:r w:rsidRPr="006D6589">
              <w:rPr>
                <w:rFonts w:ascii="Book Antiqua" w:hAnsi="Book Antiqua"/>
              </w:rPr>
              <w:t>Wallia</w:t>
            </w:r>
            <w:proofErr w:type="spellEnd"/>
            <w:r w:rsidRPr="006D6589">
              <w:rPr>
                <w:rFonts w:ascii="Book Antiqua" w:hAnsi="Book Antiqua"/>
              </w:rPr>
              <w:t xml:space="preserve">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1</w:t>
            </w:r>
            <w:r w:rsidR="00EE3848" w:rsidRPr="006D6589">
              <w:rPr>
                <w:rFonts w:ascii="Book Antiqua" w:hAnsi="Book Antiqua" w:hint="eastAsia"/>
                <w:vertAlign w:val="superscript"/>
                <w:lang w:eastAsia="zh-CN"/>
              </w:rPr>
              <w:t>]</w:t>
            </w:r>
            <w:r w:rsidR="00A80270" w:rsidRPr="006D6589">
              <w:rPr>
                <w:rFonts w:ascii="Book Antiqua" w:hAnsi="Book Antiqua"/>
              </w:rPr>
              <w:t xml:space="preserve"> </w:t>
            </w:r>
            <w:r w:rsidR="005E7CAB" w:rsidRPr="006D6589">
              <w:rPr>
                <w:rFonts w:ascii="Book Antiqua" w:hAnsi="Book Antiqua"/>
              </w:rPr>
              <w:t>(retrospective study)</w:t>
            </w:r>
          </w:p>
          <w:p w14:paraId="710E6317" w14:textId="2DE1D8D1" w:rsidR="005E7CAB" w:rsidRPr="006D6589" w:rsidRDefault="005E7CAB" w:rsidP="006D6589">
            <w:pPr>
              <w:widowControl w:val="0"/>
              <w:spacing w:line="360" w:lineRule="auto"/>
              <w:rPr>
                <w:rFonts w:ascii="Book Antiqua" w:hAnsi="Book Antiqua"/>
              </w:rPr>
            </w:pPr>
            <w:proofErr w:type="spellStart"/>
            <w:r w:rsidRPr="006D6589">
              <w:rPr>
                <w:rFonts w:ascii="Book Antiqua" w:hAnsi="Book Antiqua"/>
              </w:rPr>
              <w:t>Gelley</w:t>
            </w:r>
            <w:proofErr w:type="spellEnd"/>
            <w:r w:rsidRPr="006D6589">
              <w:rPr>
                <w:rFonts w:ascii="Book Antiqua" w:hAnsi="Book Antiqua"/>
              </w:rPr>
              <w:t xml:space="preserve">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21</w:t>
            </w:r>
            <w:r w:rsidR="00EE3848" w:rsidRPr="006D6589">
              <w:rPr>
                <w:rFonts w:ascii="Book Antiqua" w:hAnsi="Book Antiqua" w:hint="eastAsia"/>
                <w:vertAlign w:val="superscript"/>
                <w:lang w:eastAsia="zh-CN"/>
              </w:rPr>
              <w:t>]</w:t>
            </w:r>
            <w:r w:rsidR="006D6589">
              <w:rPr>
                <w:rFonts w:ascii="Book Antiqua" w:hAnsi="Book Antiqua" w:hint="eastAsia"/>
                <w:lang w:eastAsia="zh-CN"/>
              </w:rPr>
              <w:t xml:space="preserve"> </w:t>
            </w:r>
            <w:r w:rsidRPr="006D6589">
              <w:rPr>
                <w:rFonts w:ascii="Book Antiqua" w:hAnsi="Book Antiqua"/>
              </w:rPr>
              <w:t>(retrospective study)</w:t>
            </w:r>
          </w:p>
          <w:p w14:paraId="11699E4C" w14:textId="4391B4B0" w:rsidR="005E7CAB" w:rsidRPr="006D6589" w:rsidRDefault="005E7CAB" w:rsidP="006D6589">
            <w:pPr>
              <w:widowControl w:val="0"/>
              <w:spacing w:line="360" w:lineRule="auto"/>
              <w:rPr>
                <w:rFonts w:ascii="Book Antiqua" w:hAnsi="Book Antiqua"/>
              </w:rPr>
            </w:pPr>
            <w:r w:rsidRPr="006D6589">
              <w:rPr>
                <w:rFonts w:ascii="Book Antiqua" w:hAnsi="Book Antiqua"/>
              </w:rPr>
              <w:t xml:space="preserve">Linder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18</w:t>
            </w:r>
            <w:r w:rsidR="00EE3848" w:rsidRPr="006D6589">
              <w:rPr>
                <w:rFonts w:ascii="Book Antiqua" w:hAnsi="Book Antiqua" w:hint="eastAsia"/>
                <w:vertAlign w:val="superscript"/>
                <w:lang w:eastAsia="zh-CN"/>
              </w:rPr>
              <w:t>]</w:t>
            </w:r>
            <w:r w:rsidR="006D6589">
              <w:rPr>
                <w:rFonts w:ascii="Book Antiqua" w:hAnsi="Book Antiqua" w:hint="eastAsia"/>
                <w:lang w:eastAsia="zh-CN"/>
              </w:rPr>
              <w:t xml:space="preserve"> </w:t>
            </w:r>
            <w:r w:rsidRPr="006D6589">
              <w:rPr>
                <w:rFonts w:ascii="Book Antiqua" w:hAnsi="Book Antiqua"/>
              </w:rPr>
              <w:t>(retrospective study)</w:t>
            </w:r>
          </w:p>
          <w:p w14:paraId="126824A0" w14:textId="1D431C72" w:rsidR="005E7CAB" w:rsidRPr="006D6589" w:rsidRDefault="005E7CAB" w:rsidP="006D6589">
            <w:pPr>
              <w:widowControl w:val="0"/>
              <w:spacing w:line="360" w:lineRule="auto"/>
              <w:rPr>
                <w:rFonts w:ascii="Book Antiqua" w:hAnsi="Book Antiqua"/>
              </w:rPr>
            </w:pPr>
            <w:r w:rsidRPr="006D6589">
              <w:rPr>
                <w:rFonts w:ascii="Book Antiqua" w:hAnsi="Book Antiqua"/>
              </w:rPr>
              <w:t xml:space="preserve">Trail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20</w:t>
            </w:r>
            <w:r w:rsidR="00EE3848" w:rsidRPr="006D6589">
              <w:rPr>
                <w:rFonts w:ascii="Book Antiqua" w:hAnsi="Book Antiqua" w:hint="eastAsia"/>
                <w:vertAlign w:val="superscript"/>
                <w:lang w:eastAsia="zh-CN"/>
              </w:rPr>
              <w:t>]</w:t>
            </w:r>
            <w:r w:rsidR="006D6589">
              <w:rPr>
                <w:rFonts w:ascii="Book Antiqua" w:hAnsi="Book Antiqua" w:hint="eastAsia"/>
                <w:lang w:eastAsia="zh-CN"/>
              </w:rPr>
              <w:t xml:space="preserve"> </w:t>
            </w:r>
            <w:r w:rsidRPr="006D6589">
              <w:rPr>
                <w:rFonts w:ascii="Book Antiqua" w:hAnsi="Book Antiqua"/>
              </w:rPr>
              <w:t>(retrospective study)</w:t>
            </w:r>
          </w:p>
        </w:tc>
      </w:tr>
      <w:tr w:rsidR="00193C34" w:rsidRPr="008A2C60" w14:paraId="77EB7D0A" w14:textId="77777777" w:rsidTr="006D6589">
        <w:trPr>
          <w:trHeight w:val="1762"/>
        </w:trPr>
        <w:tc>
          <w:tcPr>
            <w:tcW w:w="3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E8229" w14:textId="233557A1" w:rsidR="00193C34" w:rsidRPr="008A2C60" w:rsidRDefault="00193C34" w:rsidP="006B795E">
            <w:pPr>
              <w:widowControl w:val="0"/>
              <w:spacing w:line="360" w:lineRule="auto"/>
              <w:jc w:val="both"/>
              <w:rPr>
                <w:rFonts w:ascii="Book Antiqua" w:hAnsi="Book Antiqua"/>
              </w:rPr>
            </w:pPr>
            <w:r w:rsidRPr="008A2C60">
              <w:rPr>
                <w:rFonts w:ascii="Book Antiqua" w:hAnsi="Book Antiqua"/>
              </w:rPr>
              <w:t>Post</w:t>
            </w:r>
            <w:r w:rsidR="007D7421" w:rsidRPr="008A2C60">
              <w:rPr>
                <w:rFonts w:ascii="Book Antiqua" w:hAnsi="Book Antiqua"/>
              </w:rPr>
              <w:t>-transplant diabetes mellitus/new onset diabetes mellitus</w:t>
            </w:r>
          </w:p>
        </w:tc>
        <w:tc>
          <w:tcPr>
            <w:tcW w:w="7006" w:type="dxa"/>
            <w:tcBorders>
              <w:top w:val="nil"/>
              <w:left w:val="nil"/>
              <w:bottom w:val="single" w:sz="8" w:space="0" w:color="auto"/>
              <w:right w:val="single" w:sz="8" w:space="0" w:color="auto"/>
            </w:tcBorders>
            <w:tcMar>
              <w:top w:w="0" w:type="dxa"/>
              <w:left w:w="108" w:type="dxa"/>
              <w:bottom w:w="0" w:type="dxa"/>
              <w:right w:w="108" w:type="dxa"/>
            </w:tcMar>
          </w:tcPr>
          <w:p w14:paraId="0F58CA41" w14:textId="353BDFF5" w:rsidR="00193C34" w:rsidRPr="006D6589" w:rsidRDefault="00021DFD" w:rsidP="006D6589">
            <w:pPr>
              <w:widowControl w:val="0"/>
              <w:spacing w:line="360" w:lineRule="auto"/>
              <w:rPr>
                <w:rFonts w:ascii="Book Antiqua" w:hAnsi="Book Antiqua"/>
              </w:rPr>
            </w:pPr>
            <w:r w:rsidRPr="006D6589">
              <w:rPr>
                <w:rFonts w:ascii="Book Antiqua" w:hAnsi="Book Antiqua"/>
              </w:rPr>
              <w:t xml:space="preserve">Rosiglitazone </w:t>
            </w:r>
            <w:r w:rsidR="00C26D7B" w:rsidRPr="006D6589">
              <w:rPr>
                <w:rFonts w:ascii="Book Antiqua" w:hAnsi="Book Antiqua"/>
              </w:rPr>
              <w:t>±</w:t>
            </w:r>
            <w:r w:rsidRPr="006D6589">
              <w:rPr>
                <w:rFonts w:ascii="Book Antiqua" w:hAnsi="Book Antiqua"/>
              </w:rPr>
              <w:t xml:space="preserve"> sulfonylurea is a potential option for the </w:t>
            </w:r>
            <w:r w:rsidR="008E11AA" w:rsidRPr="006D6589">
              <w:rPr>
                <w:rFonts w:ascii="Book Antiqua" w:hAnsi="Book Antiqua"/>
              </w:rPr>
              <w:t>management</w:t>
            </w:r>
            <w:r w:rsidRPr="006D6589">
              <w:rPr>
                <w:rFonts w:ascii="Book Antiqua" w:hAnsi="Book Antiqua"/>
              </w:rPr>
              <w:t xml:space="preserve"> of PTDM</w:t>
            </w:r>
          </w:p>
          <w:p w14:paraId="185F5F3D" w14:textId="77777777" w:rsidR="00021DFD" w:rsidRPr="006D6589" w:rsidRDefault="00A7675D" w:rsidP="006D6589">
            <w:pPr>
              <w:widowControl w:val="0"/>
              <w:spacing w:line="360" w:lineRule="auto"/>
              <w:rPr>
                <w:rFonts w:ascii="Book Antiqua" w:hAnsi="Book Antiqua"/>
              </w:rPr>
            </w:pPr>
            <w:r w:rsidRPr="006D6589">
              <w:rPr>
                <w:rFonts w:ascii="Book Antiqua" w:hAnsi="Book Antiqua"/>
              </w:rPr>
              <w:t>Post-LT hyperglycemia is associated with the development of PTDM</w:t>
            </w:r>
          </w:p>
          <w:p w14:paraId="44E41358" w14:textId="7DF14B6D" w:rsidR="00A7675D" w:rsidRPr="006D6589" w:rsidRDefault="00A7675D" w:rsidP="006D6589">
            <w:pPr>
              <w:widowControl w:val="0"/>
              <w:spacing w:line="360" w:lineRule="auto"/>
              <w:rPr>
                <w:rFonts w:ascii="Book Antiqua" w:hAnsi="Book Antiqua"/>
              </w:rPr>
            </w:pPr>
            <w:r w:rsidRPr="006D6589">
              <w:rPr>
                <w:rFonts w:ascii="Book Antiqua" w:hAnsi="Book Antiqua"/>
              </w:rPr>
              <w:lastRenderedPageBreak/>
              <w:t>Insulin use was significantly higher in PTDM patients with inadequate BG</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54997880" w14:textId="07FA9F87" w:rsidR="0019259C" w:rsidRPr="006D6589" w:rsidRDefault="0019259C" w:rsidP="006D6589">
            <w:pPr>
              <w:widowControl w:val="0"/>
              <w:spacing w:line="360" w:lineRule="auto"/>
              <w:rPr>
                <w:rFonts w:ascii="Book Antiqua" w:hAnsi="Book Antiqua"/>
              </w:rPr>
            </w:pPr>
            <w:r w:rsidRPr="006D6589">
              <w:rPr>
                <w:rFonts w:ascii="Book Antiqua" w:hAnsi="Book Antiqua"/>
              </w:rPr>
              <w:lastRenderedPageBreak/>
              <w:t xml:space="preserve">Villanueva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22</w:t>
            </w:r>
            <w:r w:rsidR="00EE3848" w:rsidRPr="006D6589">
              <w:rPr>
                <w:rFonts w:ascii="Book Antiqua" w:hAnsi="Book Antiqua" w:hint="eastAsia"/>
                <w:vertAlign w:val="superscript"/>
                <w:lang w:eastAsia="zh-CN"/>
              </w:rPr>
              <w:t>]</w:t>
            </w:r>
            <w:r w:rsidR="006D6589">
              <w:rPr>
                <w:rFonts w:ascii="Book Antiqua" w:hAnsi="Book Antiqua" w:hint="eastAsia"/>
                <w:lang w:eastAsia="zh-CN"/>
              </w:rPr>
              <w:t xml:space="preserve"> </w:t>
            </w:r>
            <w:r w:rsidRPr="006D6589">
              <w:rPr>
                <w:rFonts w:ascii="Book Antiqua" w:hAnsi="Book Antiqua"/>
              </w:rPr>
              <w:t>(prospective study)</w:t>
            </w:r>
          </w:p>
          <w:p w14:paraId="75006D5C" w14:textId="1EE62416" w:rsidR="0019259C" w:rsidRPr="006D6589" w:rsidRDefault="0019259C" w:rsidP="006D6589">
            <w:pPr>
              <w:widowControl w:val="0"/>
              <w:spacing w:line="360" w:lineRule="auto"/>
              <w:rPr>
                <w:rFonts w:ascii="Book Antiqua" w:hAnsi="Book Antiqua"/>
              </w:rPr>
            </w:pPr>
            <w:r w:rsidRPr="006D6589">
              <w:rPr>
                <w:rFonts w:ascii="Book Antiqua" w:hAnsi="Book Antiqua"/>
              </w:rPr>
              <w:t xml:space="preserve">Linder </w:t>
            </w:r>
            <w:r w:rsidR="00EE3848" w:rsidRPr="006D6589">
              <w:rPr>
                <w:rFonts w:ascii="Book Antiqua" w:hAnsi="Book Antiqua" w:hint="eastAsia"/>
                <w:i/>
                <w:lang w:eastAsia="zh-CN"/>
              </w:rPr>
              <w:t>e</w:t>
            </w:r>
            <w:r w:rsidRPr="006D6589">
              <w:rPr>
                <w:rFonts w:ascii="Book Antiqua" w:hAnsi="Book Antiqua"/>
                <w:i/>
              </w:rPr>
              <w:t>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18</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 xml:space="preserve"> </w:t>
            </w:r>
            <w:r w:rsidRPr="006D6589">
              <w:rPr>
                <w:rFonts w:ascii="Book Antiqua" w:hAnsi="Book Antiqua"/>
              </w:rPr>
              <w:t>(retrospective study)</w:t>
            </w:r>
          </w:p>
          <w:p w14:paraId="7CC6F680" w14:textId="26DDA447" w:rsidR="0019259C" w:rsidRPr="006D6589" w:rsidRDefault="0019259C" w:rsidP="006D6589">
            <w:pPr>
              <w:widowControl w:val="0"/>
              <w:spacing w:line="360" w:lineRule="auto"/>
              <w:rPr>
                <w:rFonts w:ascii="Book Antiqua" w:hAnsi="Book Antiqua"/>
              </w:rPr>
            </w:pPr>
            <w:r w:rsidRPr="006D6589">
              <w:rPr>
                <w:rFonts w:ascii="Book Antiqua" w:hAnsi="Book Antiqua"/>
              </w:rPr>
              <w:t xml:space="preserve">Alvarez-Sotomayor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24</w:t>
            </w:r>
            <w:r w:rsidR="00EE3848" w:rsidRPr="006D6589">
              <w:rPr>
                <w:rFonts w:ascii="Book Antiqua" w:hAnsi="Book Antiqua" w:hint="eastAsia"/>
                <w:vertAlign w:val="superscript"/>
                <w:lang w:eastAsia="zh-CN"/>
              </w:rPr>
              <w:t>]</w:t>
            </w:r>
            <w:r w:rsidR="006D6589">
              <w:rPr>
                <w:rFonts w:ascii="Book Antiqua" w:hAnsi="Book Antiqua" w:hint="eastAsia"/>
                <w:lang w:eastAsia="zh-CN"/>
              </w:rPr>
              <w:t xml:space="preserve"> </w:t>
            </w:r>
            <w:r w:rsidRPr="006D6589">
              <w:rPr>
                <w:rFonts w:ascii="Book Antiqua" w:hAnsi="Book Antiqua"/>
              </w:rPr>
              <w:t>(retrospective study)</w:t>
            </w:r>
          </w:p>
        </w:tc>
      </w:tr>
      <w:tr w:rsidR="00193C34" w:rsidRPr="008A2C60" w14:paraId="294DCFD4" w14:textId="77777777" w:rsidTr="006D6589">
        <w:trPr>
          <w:trHeight w:val="340"/>
        </w:trPr>
        <w:tc>
          <w:tcPr>
            <w:tcW w:w="3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8E23E" w14:textId="71DB2D1C" w:rsidR="00193C34" w:rsidRPr="008A2C60" w:rsidRDefault="00193C34" w:rsidP="006B795E">
            <w:pPr>
              <w:widowControl w:val="0"/>
              <w:spacing w:line="360" w:lineRule="auto"/>
              <w:jc w:val="both"/>
              <w:rPr>
                <w:rFonts w:ascii="Book Antiqua" w:hAnsi="Book Antiqua"/>
              </w:rPr>
            </w:pPr>
            <w:r w:rsidRPr="008A2C60">
              <w:rPr>
                <w:rFonts w:ascii="Book Antiqua" w:hAnsi="Book Antiqua"/>
              </w:rPr>
              <w:lastRenderedPageBreak/>
              <w:t>Acu</w:t>
            </w:r>
            <w:r w:rsidR="007D7421" w:rsidRPr="008A2C60">
              <w:rPr>
                <w:rFonts w:ascii="Book Antiqua" w:hAnsi="Book Antiqua"/>
              </w:rPr>
              <w:t>te kidney injury and graft survival</w:t>
            </w:r>
          </w:p>
        </w:tc>
        <w:tc>
          <w:tcPr>
            <w:tcW w:w="7006" w:type="dxa"/>
            <w:tcBorders>
              <w:top w:val="nil"/>
              <w:left w:val="nil"/>
              <w:bottom w:val="single" w:sz="8" w:space="0" w:color="auto"/>
              <w:right w:val="single" w:sz="8" w:space="0" w:color="auto"/>
            </w:tcBorders>
            <w:tcMar>
              <w:top w:w="0" w:type="dxa"/>
              <w:left w:w="108" w:type="dxa"/>
              <w:bottom w:w="0" w:type="dxa"/>
              <w:right w:w="108" w:type="dxa"/>
            </w:tcMar>
          </w:tcPr>
          <w:p w14:paraId="1CD9351F" w14:textId="77777777" w:rsidR="00193C34" w:rsidRPr="006D6589" w:rsidRDefault="005752E6" w:rsidP="006D6589">
            <w:pPr>
              <w:widowControl w:val="0"/>
              <w:spacing w:line="360" w:lineRule="auto"/>
              <w:rPr>
                <w:rFonts w:ascii="Book Antiqua" w:hAnsi="Book Antiqua"/>
              </w:rPr>
            </w:pPr>
            <w:r w:rsidRPr="006D6589">
              <w:rPr>
                <w:rFonts w:ascii="Book Antiqua" w:hAnsi="Book Antiqua"/>
              </w:rPr>
              <w:t>High glucose variability is associated with post-LT acute kidney injury</w:t>
            </w:r>
          </w:p>
          <w:p w14:paraId="5B7C36DE" w14:textId="1337220E" w:rsidR="005752E6" w:rsidRPr="006D6589" w:rsidRDefault="005752E6" w:rsidP="006D6589">
            <w:pPr>
              <w:widowControl w:val="0"/>
              <w:spacing w:line="360" w:lineRule="auto"/>
              <w:rPr>
                <w:rFonts w:ascii="Book Antiqua" w:hAnsi="Book Antiqua"/>
              </w:rPr>
            </w:pPr>
            <w:r w:rsidRPr="006D6589">
              <w:rPr>
                <w:rFonts w:ascii="Book Antiqua" w:hAnsi="Book Antiqua"/>
              </w:rPr>
              <w:t>No association between post-LT BG levels and graft survival</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23A56FC7" w14:textId="4F35B715" w:rsidR="005752E6" w:rsidRPr="006D6589" w:rsidRDefault="005752E6" w:rsidP="006D6589">
            <w:pPr>
              <w:widowControl w:val="0"/>
              <w:spacing w:line="360" w:lineRule="auto"/>
              <w:rPr>
                <w:rFonts w:ascii="Book Antiqua" w:hAnsi="Book Antiqua"/>
              </w:rPr>
            </w:pPr>
            <w:proofErr w:type="spellStart"/>
            <w:r w:rsidRPr="006D6589">
              <w:rPr>
                <w:rFonts w:ascii="Book Antiqua" w:hAnsi="Book Antiqua"/>
              </w:rPr>
              <w:t>Yoo</w:t>
            </w:r>
            <w:proofErr w:type="spellEnd"/>
            <w:r w:rsidRPr="006D6589">
              <w:rPr>
                <w:rFonts w:ascii="Book Antiqua" w:hAnsi="Book Antiqua"/>
              </w:rPr>
              <w:t xml:space="preserve">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6</w:t>
            </w:r>
            <w:r w:rsidR="00EE3848" w:rsidRPr="006D6589">
              <w:rPr>
                <w:rFonts w:ascii="Book Antiqua" w:hAnsi="Book Antiqua" w:hint="eastAsia"/>
                <w:vertAlign w:val="superscript"/>
                <w:lang w:eastAsia="zh-CN"/>
              </w:rPr>
              <w:t>]</w:t>
            </w:r>
            <w:r w:rsidR="006D6589">
              <w:rPr>
                <w:rFonts w:ascii="Book Antiqua" w:hAnsi="Book Antiqua" w:hint="eastAsia"/>
                <w:lang w:eastAsia="zh-CN"/>
              </w:rPr>
              <w:t xml:space="preserve"> </w:t>
            </w:r>
            <w:r w:rsidRPr="006D6589">
              <w:rPr>
                <w:rFonts w:ascii="Book Antiqua" w:hAnsi="Book Antiqua"/>
              </w:rPr>
              <w:t>(retrospective study)</w:t>
            </w:r>
          </w:p>
          <w:p w14:paraId="4751D464" w14:textId="03CE64D6" w:rsidR="00B037D8" w:rsidRPr="006D6589" w:rsidRDefault="00B037D8" w:rsidP="006D6589">
            <w:pPr>
              <w:widowControl w:val="0"/>
              <w:spacing w:line="360" w:lineRule="auto"/>
              <w:rPr>
                <w:rFonts w:ascii="Book Antiqua" w:hAnsi="Book Antiqua"/>
              </w:rPr>
            </w:pPr>
            <w:proofErr w:type="spellStart"/>
            <w:r w:rsidRPr="006D6589">
              <w:rPr>
                <w:rFonts w:ascii="Book Antiqua" w:hAnsi="Book Antiqua"/>
              </w:rPr>
              <w:t>Wallia</w:t>
            </w:r>
            <w:proofErr w:type="spellEnd"/>
            <w:r w:rsidRPr="006D6589">
              <w:rPr>
                <w:rFonts w:ascii="Book Antiqua" w:hAnsi="Book Antiqua"/>
              </w:rPr>
              <w:t xml:space="preserve"> </w:t>
            </w:r>
            <w:r w:rsidR="00EE3848" w:rsidRPr="006D6589">
              <w:rPr>
                <w:rFonts w:ascii="Book Antiqua" w:hAnsi="Book Antiqua"/>
                <w:i/>
              </w:rPr>
              <w:t>et a</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1</w:t>
            </w:r>
            <w:r w:rsidR="00EE3848" w:rsidRPr="006D6589">
              <w:rPr>
                <w:rFonts w:ascii="Book Antiqua" w:hAnsi="Book Antiqua" w:hint="eastAsia"/>
                <w:vertAlign w:val="superscript"/>
                <w:lang w:eastAsia="zh-CN"/>
              </w:rPr>
              <w:t>]</w:t>
            </w:r>
            <w:r w:rsidR="00EE3848" w:rsidRPr="006D6589">
              <w:rPr>
                <w:rFonts w:ascii="Book Antiqua" w:hAnsi="Book Antiqua"/>
                <w:i/>
              </w:rPr>
              <w:t>l</w:t>
            </w:r>
            <w:r w:rsidRPr="006D6589">
              <w:rPr>
                <w:rFonts w:ascii="Book Antiqua" w:hAnsi="Book Antiqua"/>
              </w:rPr>
              <w:t xml:space="preserve"> and Trail </w:t>
            </w:r>
            <w:r w:rsidR="00EE3848" w:rsidRPr="006D6589">
              <w:rPr>
                <w:rFonts w:ascii="Book Antiqua" w:hAnsi="Book Antiqua"/>
                <w:i/>
              </w:rPr>
              <w:t>et al</w:t>
            </w:r>
            <w:r w:rsidR="00EE3848" w:rsidRPr="006D6589">
              <w:rPr>
                <w:rFonts w:ascii="Book Antiqua" w:hAnsi="Book Antiqua" w:hint="eastAsia"/>
                <w:vertAlign w:val="superscript"/>
                <w:lang w:eastAsia="zh-CN"/>
              </w:rPr>
              <w:t>[</w:t>
            </w:r>
            <w:r w:rsidR="006D6589" w:rsidRPr="006D6589">
              <w:rPr>
                <w:rFonts w:ascii="Book Antiqua" w:hAnsi="Book Antiqua" w:hint="eastAsia"/>
                <w:vertAlign w:val="superscript"/>
                <w:lang w:eastAsia="zh-CN"/>
              </w:rPr>
              <w:t>20</w:t>
            </w:r>
            <w:r w:rsidR="00EE3848" w:rsidRPr="006D6589">
              <w:rPr>
                <w:rFonts w:ascii="Book Antiqua" w:hAnsi="Book Antiqua" w:hint="eastAsia"/>
                <w:vertAlign w:val="superscript"/>
                <w:lang w:eastAsia="zh-CN"/>
              </w:rPr>
              <w:t>]</w:t>
            </w:r>
            <w:r w:rsidR="006D6589">
              <w:rPr>
                <w:rFonts w:ascii="Book Antiqua" w:hAnsi="Book Antiqua" w:hint="eastAsia"/>
                <w:lang w:eastAsia="zh-CN"/>
              </w:rPr>
              <w:t xml:space="preserve"> </w:t>
            </w:r>
            <w:r w:rsidRPr="006D6589">
              <w:rPr>
                <w:rFonts w:ascii="Book Antiqua" w:hAnsi="Book Antiqua"/>
              </w:rPr>
              <w:t>(retrospective studies)</w:t>
            </w:r>
          </w:p>
        </w:tc>
      </w:tr>
    </w:tbl>
    <w:p w14:paraId="4422FEC9" w14:textId="5BD0959F" w:rsidR="006B795E" w:rsidRDefault="006D6589" w:rsidP="006B795E">
      <w:pPr>
        <w:widowControl w:val="0"/>
        <w:spacing w:line="360" w:lineRule="auto"/>
        <w:contextualSpacing/>
        <w:jc w:val="both"/>
        <w:rPr>
          <w:rFonts w:ascii="Book Antiqua" w:hAnsi="Book Antiqua"/>
          <w:b/>
          <w:lang w:eastAsia="zh-CN"/>
        </w:rPr>
      </w:pPr>
      <w:r w:rsidRPr="00EE3848">
        <w:rPr>
          <w:rFonts w:ascii="Book Antiqua" w:hAnsi="Book Antiqua"/>
        </w:rPr>
        <w:t>BG</w:t>
      </w:r>
      <w:r>
        <w:rPr>
          <w:rFonts w:ascii="Book Antiqua" w:hAnsi="Book Antiqua" w:hint="eastAsia"/>
          <w:lang w:eastAsia="zh-CN"/>
        </w:rPr>
        <w:t xml:space="preserve">: </w:t>
      </w:r>
      <w:r w:rsidRPr="008A2C60">
        <w:rPr>
          <w:rFonts w:ascii="Book Antiqua" w:hAnsi="Book Antiqua"/>
        </w:rPr>
        <w:t>Blood glucose</w:t>
      </w:r>
      <w:r>
        <w:rPr>
          <w:rFonts w:ascii="Book Antiqua" w:hAnsi="Book Antiqua" w:hint="eastAsia"/>
          <w:lang w:eastAsia="zh-CN"/>
        </w:rPr>
        <w:t xml:space="preserve">; </w:t>
      </w:r>
      <w:r w:rsidRPr="00EE3848">
        <w:rPr>
          <w:rFonts w:ascii="Book Antiqua" w:hAnsi="Book Antiqua"/>
        </w:rPr>
        <w:t>PTDM</w:t>
      </w:r>
      <w:r>
        <w:rPr>
          <w:rFonts w:ascii="Book Antiqua" w:hAnsi="Book Antiqua" w:hint="eastAsia"/>
          <w:lang w:eastAsia="zh-CN"/>
        </w:rPr>
        <w:t xml:space="preserve">: </w:t>
      </w:r>
      <w:r w:rsidRPr="008A2C60">
        <w:rPr>
          <w:rFonts w:ascii="Book Antiqua" w:hAnsi="Book Antiqua"/>
        </w:rPr>
        <w:t>Post-transplant diabetes mellitus</w:t>
      </w:r>
      <w:r>
        <w:rPr>
          <w:rFonts w:ascii="Book Antiqua" w:hAnsi="Book Antiqua" w:hint="eastAsia"/>
          <w:lang w:eastAsia="zh-CN"/>
        </w:rPr>
        <w:t xml:space="preserve">; </w:t>
      </w:r>
      <w:r w:rsidRPr="006D6589">
        <w:rPr>
          <w:rFonts w:ascii="Book Antiqua" w:hAnsi="Book Antiqua"/>
        </w:rPr>
        <w:t>GMS</w:t>
      </w:r>
      <w:r>
        <w:rPr>
          <w:rFonts w:ascii="Book Antiqua" w:hAnsi="Book Antiqua" w:hint="eastAsia"/>
          <w:lang w:eastAsia="zh-CN"/>
        </w:rPr>
        <w:t xml:space="preserve">: </w:t>
      </w:r>
      <w:r w:rsidR="009806A0" w:rsidRPr="008A2C60">
        <w:rPr>
          <w:rFonts w:ascii="Book Antiqua" w:hAnsi="Book Antiqua"/>
        </w:rPr>
        <w:t>G</w:t>
      </w:r>
      <w:r w:rsidRPr="008A2C60">
        <w:rPr>
          <w:rFonts w:ascii="Book Antiqua" w:hAnsi="Book Antiqua"/>
        </w:rPr>
        <w:t>lucose management service</w:t>
      </w:r>
      <w:r w:rsidR="009806A0">
        <w:rPr>
          <w:rFonts w:ascii="Book Antiqua" w:hAnsi="Book Antiqua" w:hint="eastAsia"/>
          <w:lang w:eastAsia="zh-CN"/>
        </w:rPr>
        <w:t>;</w:t>
      </w:r>
      <w:r>
        <w:rPr>
          <w:rFonts w:ascii="Book Antiqua" w:hAnsi="Book Antiqua" w:hint="eastAsia"/>
          <w:lang w:eastAsia="zh-CN"/>
        </w:rPr>
        <w:t xml:space="preserve"> </w:t>
      </w:r>
      <w:r w:rsidRPr="006D6589">
        <w:rPr>
          <w:rFonts w:ascii="Book Antiqua" w:hAnsi="Book Antiqua"/>
        </w:rPr>
        <w:t>HCV</w:t>
      </w:r>
      <w:r w:rsidR="009806A0">
        <w:rPr>
          <w:rFonts w:ascii="Book Antiqua" w:hAnsi="Book Antiqua" w:hint="eastAsia"/>
          <w:lang w:eastAsia="zh-CN"/>
        </w:rPr>
        <w:t xml:space="preserve">: </w:t>
      </w:r>
      <w:r w:rsidR="009806A0" w:rsidRPr="008A2C60">
        <w:rPr>
          <w:rFonts w:ascii="Book Antiqua" w:hAnsi="Book Antiqua"/>
        </w:rPr>
        <w:t>Hepatitis C virus</w:t>
      </w:r>
      <w:r w:rsidR="009806A0">
        <w:rPr>
          <w:rFonts w:ascii="Book Antiqua" w:hAnsi="Book Antiqua" w:hint="eastAsia"/>
          <w:lang w:eastAsia="zh-CN"/>
        </w:rPr>
        <w:t xml:space="preserve">; </w:t>
      </w:r>
      <w:r w:rsidRPr="006D6589">
        <w:rPr>
          <w:rFonts w:ascii="Book Antiqua" w:hAnsi="Book Antiqua"/>
        </w:rPr>
        <w:t>LT</w:t>
      </w:r>
      <w:r w:rsidR="009806A0">
        <w:rPr>
          <w:rFonts w:ascii="Book Antiqua" w:hAnsi="Book Antiqua" w:hint="eastAsia"/>
          <w:lang w:eastAsia="zh-CN"/>
        </w:rPr>
        <w:t xml:space="preserve">: </w:t>
      </w:r>
      <w:r w:rsidR="009806A0" w:rsidRPr="008A2C60">
        <w:rPr>
          <w:rFonts w:ascii="Book Antiqua" w:hAnsi="Book Antiqua"/>
        </w:rPr>
        <w:t>Liver transplantation</w:t>
      </w:r>
      <w:r w:rsidR="009806A0">
        <w:rPr>
          <w:rFonts w:ascii="Book Antiqua" w:hAnsi="Book Antiqua" w:hint="eastAsia"/>
          <w:lang w:eastAsia="zh-CN"/>
        </w:rPr>
        <w:t>.</w:t>
      </w:r>
    </w:p>
    <w:p w14:paraId="30CDFE76" w14:textId="77777777" w:rsidR="006B795E" w:rsidRDefault="006B795E" w:rsidP="006B795E">
      <w:pPr>
        <w:widowControl w:val="0"/>
        <w:rPr>
          <w:rFonts w:ascii="Book Antiqua" w:hAnsi="Book Antiqua"/>
          <w:b/>
          <w:lang w:eastAsia="zh-CN"/>
        </w:rPr>
      </w:pPr>
      <w:r>
        <w:rPr>
          <w:rFonts w:ascii="Book Antiqua" w:hAnsi="Book Antiqua"/>
          <w:b/>
          <w:lang w:eastAsia="zh-CN"/>
        </w:rPr>
        <w:br w:type="page"/>
      </w:r>
    </w:p>
    <w:p w14:paraId="6FF33635" w14:textId="7BEA9158" w:rsidR="00236616" w:rsidRPr="008A2C60" w:rsidRDefault="00236616" w:rsidP="006B795E">
      <w:pPr>
        <w:widowControl w:val="0"/>
        <w:spacing w:line="360" w:lineRule="auto"/>
        <w:contextualSpacing/>
        <w:jc w:val="both"/>
        <w:rPr>
          <w:rFonts w:ascii="Book Antiqua" w:hAnsi="Book Antiqua"/>
          <w:b/>
        </w:rPr>
      </w:pPr>
      <w:r w:rsidRPr="008A2C60">
        <w:rPr>
          <w:rFonts w:ascii="Book Antiqua" w:hAnsi="Book Antiqua"/>
          <w:b/>
        </w:rPr>
        <w:lastRenderedPageBreak/>
        <w:t>Table 2</w:t>
      </w:r>
      <w:r w:rsidR="006B795E">
        <w:rPr>
          <w:rFonts w:ascii="Book Antiqua" w:hAnsi="Book Antiqua" w:hint="eastAsia"/>
          <w:b/>
          <w:lang w:eastAsia="zh-CN"/>
        </w:rPr>
        <w:t xml:space="preserve"> </w:t>
      </w:r>
      <w:r w:rsidR="00FD53F1" w:rsidRPr="008A2C60">
        <w:rPr>
          <w:rFonts w:ascii="Book Antiqua" w:hAnsi="Book Antiqua"/>
          <w:b/>
        </w:rPr>
        <w:t>Characte</w:t>
      </w:r>
      <w:r w:rsidR="007D7421" w:rsidRPr="008A2C60">
        <w:rPr>
          <w:rFonts w:ascii="Book Antiqua" w:hAnsi="Book Antiqua"/>
          <w:b/>
        </w:rPr>
        <w:t>ristics of retrospective stu</w:t>
      </w:r>
      <w:r w:rsidRPr="008A2C60">
        <w:rPr>
          <w:rFonts w:ascii="Book Antiqua" w:hAnsi="Book Antiqua"/>
          <w:b/>
        </w:rPr>
        <w:t>dies</w:t>
      </w:r>
    </w:p>
    <w:tbl>
      <w:tblPr>
        <w:tblW w:w="5458" w:type="pct"/>
        <w:tblInd w:w="-10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5"/>
        <w:gridCol w:w="2091"/>
        <w:gridCol w:w="886"/>
        <w:gridCol w:w="1274"/>
        <w:gridCol w:w="1985"/>
        <w:gridCol w:w="2071"/>
        <w:gridCol w:w="2324"/>
        <w:gridCol w:w="1907"/>
      </w:tblGrid>
      <w:tr w:rsidR="00CD68E9" w:rsidRPr="008A2C60" w14:paraId="43CA0C45" w14:textId="77777777" w:rsidTr="00CD68E9">
        <w:tc>
          <w:tcPr>
            <w:tcW w:w="641" w:type="pct"/>
          </w:tcPr>
          <w:p w14:paraId="60738DCE" w14:textId="49269887" w:rsidR="00622C9E" w:rsidRPr="009806A0" w:rsidRDefault="002C4117" w:rsidP="006B795E">
            <w:pPr>
              <w:widowControl w:val="0"/>
              <w:spacing w:line="360" w:lineRule="auto"/>
              <w:contextualSpacing/>
              <w:jc w:val="both"/>
              <w:rPr>
                <w:rFonts w:ascii="Book Antiqua" w:hAnsi="Book Antiqua"/>
                <w:b/>
                <w:lang w:eastAsia="zh-CN"/>
              </w:rPr>
            </w:pPr>
            <w:r>
              <w:rPr>
                <w:rFonts w:ascii="Book Antiqua" w:hAnsi="Book Antiqua" w:hint="eastAsia"/>
                <w:b/>
                <w:lang w:eastAsia="zh-CN"/>
              </w:rPr>
              <w:t>Ref.</w:t>
            </w:r>
          </w:p>
        </w:tc>
        <w:tc>
          <w:tcPr>
            <w:tcW w:w="727" w:type="pct"/>
          </w:tcPr>
          <w:p w14:paraId="4C141018" w14:textId="77777777" w:rsidR="00622C9E" w:rsidRPr="009806A0" w:rsidRDefault="00622C9E" w:rsidP="009806A0">
            <w:pPr>
              <w:widowControl w:val="0"/>
              <w:spacing w:line="360" w:lineRule="auto"/>
              <w:contextualSpacing/>
              <w:jc w:val="center"/>
              <w:rPr>
                <w:rFonts w:ascii="Book Antiqua" w:hAnsi="Book Antiqua"/>
                <w:b/>
              </w:rPr>
            </w:pPr>
            <w:r w:rsidRPr="009806A0">
              <w:rPr>
                <w:rFonts w:ascii="Book Antiqua" w:hAnsi="Book Antiqua"/>
                <w:b/>
              </w:rPr>
              <w:t>Country</w:t>
            </w:r>
          </w:p>
        </w:tc>
        <w:tc>
          <w:tcPr>
            <w:tcW w:w="308" w:type="pct"/>
          </w:tcPr>
          <w:p w14:paraId="38BA5704" w14:textId="2961B7BF" w:rsidR="00622C9E" w:rsidRPr="009806A0" w:rsidRDefault="00BB2CA9" w:rsidP="009806A0">
            <w:pPr>
              <w:widowControl w:val="0"/>
              <w:spacing w:line="360" w:lineRule="auto"/>
              <w:contextualSpacing/>
              <w:jc w:val="center"/>
              <w:rPr>
                <w:rFonts w:ascii="Book Antiqua" w:hAnsi="Book Antiqua"/>
                <w:b/>
              </w:rPr>
            </w:pPr>
            <w:proofErr w:type="spellStart"/>
            <w:r>
              <w:rPr>
                <w:rFonts w:ascii="Book Antiqua" w:hAnsi="Book Antiqua"/>
                <w:b/>
              </w:rPr>
              <w:t>Y</w:t>
            </w:r>
            <w:r w:rsidR="00622C9E" w:rsidRPr="009806A0">
              <w:rPr>
                <w:rFonts w:ascii="Book Antiqua" w:hAnsi="Book Antiqua"/>
                <w:b/>
              </w:rPr>
              <w:t>r</w:t>
            </w:r>
            <w:proofErr w:type="spellEnd"/>
          </w:p>
        </w:tc>
        <w:tc>
          <w:tcPr>
            <w:tcW w:w="443" w:type="pct"/>
          </w:tcPr>
          <w:p w14:paraId="5FA8F650" w14:textId="6D4DD0AA" w:rsidR="00622C9E" w:rsidRPr="009806A0" w:rsidRDefault="009806A0" w:rsidP="009806A0">
            <w:pPr>
              <w:widowControl w:val="0"/>
              <w:spacing w:line="360" w:lineRule="auto"/>
              <w:contextualSpacing/>
              <w:jc w:val="center"/>
              <w:rPr>
                <w:rFonts w:ascii="Book Antiqua" w:hAnsi="Book Antiqua"/>
                <w:b/>
                <w:i/>
                <w:lang w:eastAsia="zh-CN"/>
              </w:rPr>
            </w:pPr>
            <w:r w:rsidRPr="009806A0">
              <w:rPr>
                <w:rFonts w:ascii="Book Antiqua" w:hAnsi="Book Antiqua"/>
                <w:b/>
                <w:i/>
              </w:rPr>
              <w:t>n</w:t>
            </w:r>
          </w:p>
        </w:tc>
        <w:tc>
          <w:tcPr>
            <w:tcW w:w="690" w:type="pct"/>
          </w:tcPr>
          <w:p w14:paraId="6FFE4E4D" w14:textId="77777777" w:rsidR="00622C9E" w:rsidRPr="009806A0" w:rsidRDefault="00454F69" w:rsidP="009806A0">
            <w:pPr>
              <w:widowControl w:val="0"/>
              <w:spacing w:line="360" w:lineRule="auto"/>
              <w:contextualSpacing/>
              <w:jc w:val="center"/>
              <w:rPr>
                <w:rFonts w:ascii="Book Antiqua" w:hAnsi="Book Antiqua"/>
                <w:b/>
                <w:bCs/>
              </w:rPr>
            </w:pPr>
            <w:r w:rsidRPr="009806A0">
              <w:rPr>
                <w:rFonts w:ascii="Book Antiqua" w:hAnsi="Book Antiqua"/>
                <w:b/>
              </w:rPr>
              <w:t>Group</w:t>
            </w:r>
            <w:r w:rsidR="00513695" w:rsidRPr="009806A0">
              <w:rPr>
                <w:rFonts w:ascii="Book Antiqua" w:hAnsi="Book Antiqua"/>
                <w:b/>
              </w:rPr>
              <w:t xml:space="preserve"> 1</w:t>
            </w:r>
          </w:p>
        </w:tc>
        <w:tc>
          <w:tcPr>
            <w:tcW w:w="720" w:type="pct"/>
          </w:tcPr>
          <w:p w14:paraId="0A0EC7C1" w14:textId="77777777" w:rsidR="00622C9E" w:rsidRPr="009806A0" w:rsidRDefault="00454F69" w:rsidP="009806A0">
            <w:pPr>
              <w:widowControl w:val="0"/>
              <w:spacing w:line="360" w:lineRule="auto"/>
              <w:contextualSpacing/>
              <w:jc w:val="center"/>
              <w:rPr>
                <w:rFonts w:ascii="Book Antiqua" w:hAnsi="Book Antiqua"/>
                <w:b/>
              </w:rPr>
            </w:pPr>
            <w:r w:rsidRPr="009806A0">
              <w:rPr>
                <w:rFonts w:ascii="Book Antiqua" w:hAnsi="Book Antiqua"/>
                <w:b/>
              </w:rPr>
              <w:t>Group</w:t>
            </w:r>
            <w:r w:rsidR="00513695" w:rsidRPr="009806A0">
              <w:rPr>
                <w:rFonts w:ascii="Book Antiqua" w:hAnsi="Book Antiqua"/>
                <w:b/>
              </w:rPr>
              <w:t xml:space="preserve"> 2</w:t>
            </w:r>
          </w:p>
        </w:tc>
        <w:tc>
          <w:tcPr>
            <w:tcW w:w="808" w:type="pct"/>
          </w:tcPr>
          <w:p w14:paraId="7411DA40" w14:textId="23128A05" w:rsidR="00622C9E" w:rsidRPr="009806A0" w:rsidRDefault="00E5312B" w:rsidP="009806A0">
            <w:pPr>
              <w:widowControl w:val="0"/>
              <w:spacing w:line="360" w:lineRule="auto"/>
              <w:contextualSpacing/>
              <w:jc w:val="center"/>
              <w:rPr>
                <w:rFonts w:ascii="Book Antiqua" w:hAnsi="Book Antiqua"/>
                <w:b/>
              </w:rPr>
            </w:pPr>
            <w:r w:rsidRPr="009806A0">
              <w:rPr>
                <w:rFonts w:ascii="Book Antiqua" w:hAnsi="Book Antiqua"/>
                <w:b/>
              </w:rPr>
              <w:t>Study</w:t>
            </w:r>
            <w:r w:rsidR="0048772C" w:rsidRPr="009806A0">
              <w:rPr>
                <w:rFonts w:ascii="Book Antiqua" w:hAnsi="Book Antiqua"/>
                <w:b/>
              </w:rPr>
              <w:t xml:space="preserve"> </w:t>
            </w:r>
            <w:r w:rsidR="007D7421" w:rsidRPr="009806A0">
              <w:rPr>
                <w:rFonts w:ascii="Book Antiqua" w:hAnsi="Book Antiqua"/>
                <w:b/>
              </w:rPr>
              <w:t>o</w:t>
            </w:r>
            <w:r w:rsidR="00622C9E" w:rsidRPr="009806A0">
              <w:rPr>
                <w:rFonts w:ascii="Book Antiqua" w:hAnsi="Book Antiqua"/>
                <w:b/>
              </w:rPr>
              <w:t>utcome(s)</w:t>
            </w:r>
          </w:p>
        </w:tc>
        <w:tc>
          <w:tcPr>
            <w:tcW w:w="663" w:type="pct"/>
          </w:tcPr>
          <w:p w14:paraId="6BEED0B8" w14:textId="7EB8ED7E" w:rsidR="00622C9E" w:rsidRPr="009806A0" w:rsidRDefault="00E5312B" w:rsidP="009806A0">
            <w:pPr>
              <w:widowControl w:val="0"/>
              <w:spacing w:line="360" w:lineRule="auto"/>
              <w:contextualSpacing/>
              <w:jc w:val="center"/>
              <w:rPr>
                <w:rFonts w:ascii="Book Antiqua" w:hAnsi="Book Antiqua"/>
                <w:b/>
              </w:rPr>
            </w:pPr>
            <w:r w:rsidRPr="009806A0">
              <w:rPr>
                <w:rFonts w:ascii="Book Antiqua" w:hAnsi="Book Antiqua"/>
                <w:b/>
              </w:rPr>
              <w:t>Comments</w:t>
            </w:r>
          </w:p>
        </w:tc>
      </w:tr>
      <w:tr w:rsidR="00CD68E9" w:rsidRPr="008A2C60" w14:paraId="7C05BAD3" w14:textId="77777777" w:rsidTr="00CD68E9">
        <w:tc>
          <w:tcPr>
            <w:tcW w:w="641" w:type="pct"/>
          </w:tcPr>
          <w:p w14:paraId="39457C6C" w14:textId="0BD2CEE8" w:rsidR="00513695" w:rsidRPr="008A2C60" w:rsidRDefault="00513695" w:rsidP="006B795E">
            <w:pPr>
              <w:widowControl w:val="0"/>
              <w:spacing w:line="360" w:lineRule="auto"/>
              <w:contextualSpacing/>
              <w:jc w:val="both"/>
              <w:rPr>
                <w:rFonts w:ascii="Book Antiqua" w:hAnsi="Book Antiqua"/>
              </w:rPr>
            </w:pPr>
            <w:proofErr w:type="spellStart"/>
            <w:r w:rsidRPr="008A2C60">
              <w:rPr>
                <w:rFonts w:ascii="Book Antiqua" w:hAnsi="Book Antiqua"/>
              </w:rPr>
              <w:t>Ammori</w:t>
            </w:r>
            <w:proofErr w:type="spellEnd"/>
            <w:r w:rsidRPr="008A2C60">
              <w:rPr>
                <w:rFonts w:ascii="Book Antiqua" w:hAnsi="Book Antiqua"/>
              </w:rPr>
              <w:t xml:space="preserve">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"10.1016/j.jss.2007.02.019", "ISBN" : "0022-4804; 0022-4804", "ISSN" : "00224804", "PMID" : "17509267", "abstract" : "Background: Intensive blood glucose management has been shown to decrease mortality and infections for intensive care patients. The effect of intraoperative strict glucose control on surgical outcomes, including liver transplantation, has not been well evaluated. Materials and methods: A retrospective review of all adult liver recipients transplanted between January 1, 2004 and July 6, 2006 was performed. Donor and recipient demographics, intraoperative variables, and outcomes were collected. Intraoperative glucose measurements were performed by the anesthesiology team and treated with intravenous insulin bolus or continuous infusion. Patients with strict glycemic control (mean blood glucose &lt;150 mg/dL) were compared with those with poor control (mean blood glucose ???150 mg/dL). Results: During the study period, a total of 184 patients met criteria for analysis. Recipients with strict glycemic control (n = 60) had a mean glucose of 135 mg/dL compared with 184 mg/dL in the poorly controlled group (n = 124). Other than recipient age (strict versus poor control, 47 ?? 2 y versus 53 ?? 1 y; P &lt; 0.01), both groups had similar donor and recipient characteristics. Although the incidence of most postoperative complications were similar, poor glycemic control was associated with a significantly increased infection rate at 30 d posttransplant (48% versus 30%; P = 0.02), and also an increased 1 y mortality (21.9% versus 8.8%; P = 0.05). Conclusions: Intraoperative hyperglycemia during liver transplantation was associated with an increased risk of postoperative infection and mortality. Strict intraoperative glycemic control, possibly using insulin infusions, may improve outcomes following liver transplantation. ?? 2007 Elsevier Inc. All rights reserved.", "author" : [ { "dropping-particle" : "", "family" : "Ammori", "given" : "John B.", "non-dropping-particle" : "", "parse-names" : false, "suffix" : "" }, { "dropping-particle" : "", "family" : "Sigakis", "given" : "Matthew", "non-dropping-particle" : "", "parse-names" : false, "suffix" : "" }, { "dropping-particle" : "", "family" : "Englesbe", "given" : "Michael J.", "non-dropping-particle" : "", "parse-names" : false, "suffix" : "" }, { "dropping-particle" : "", "family" : "O'Reilly", "given" : "Michael", "non-dropping-particle" : "", "parse-names" : false, "suffix" : "" }, { "dropping-particle" : "", "family" : "Pelletier", "given" : "Shawn J.", "non-dropping-particle" : "", "parse-names" : false, "suffix" : "" } ], "container-title" : "Journal of Surgical Research", "id" : "ITEM-1", "issue" : "2", "issued" : { "date-parts" : [ [ "2007" ] ] }, "page" : "227-233", "title" : "Effect of Intraoperative Hyperglycemia During Liver Transplantation", "type" : "article-journal", "volume" : "140" }, "uris" : [ "http://www.mendeley.com/documents/?uuid=d9efaca6-b68b-4a30-8d84-22a917bb52b3" ] } ], "mendeley" : { "formattedCitation" : "&lt;sup&gt;[5]&lt;/sup&gt;", "plainTextFormattedCitation" : "[5]", "previouslyFormattedCitation" : "&lt;sup&gt;[5]&lt;/sup&gt;"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[5]</w:t>
            </w:r>
            <w:r w:rsidR="00EA5B56" w:rsidRPr="008A2C60">
              <w:rPr>
                <w:rFonts w:ascii="Book Antiqua" w:hAnsi="Book Antiqua"/>
                <w:i/>
              </w:rPr>
              <w:fldChar w:fldCharType="end"/>
            </w:r>
          </w:p>
        </w:tc>
        <w:tc>
          <w:tcPr>
            <w:tcW w:w="727" w:type="pct"/>
          </w:tcPr>
          <w:p w14:paraId="39C30E68" w14:textId="46FD4E7D" w:rsidR="00513695" w:rsidRPr="008A2C60" w:rsidRDefault="00513695" w:rsidP="009806A0">
            <w:pPr>
              <w:widowControl w:val="0"/>
              <w:spacing w:line="360" w:lineRule="auto"/>
              <w:contextualSpacing/>
              <w:jc w:val="center"/>
              <w:rPr>
                <w:rFonts w:ascii="Book Antiqua" w:hAnsi="Book Antiqua"/>
                <w:lang w:eastAsia="zh-CN"/>
              </w:rPr>
            </w:pPr>
            <w:r w:rsidRPr="008A2C60">
              <w:rPr>
                <w:rFonts w:ascii="Book Antiqua" w:hAnsi="Book Antiqua"/>
              </w:rPr>
              <w:t>U</w:t>
            </w:r>
            <w:r w:rsidR="009806A0">
              <w:rPr>
                <w:rFonts w:ascii="Book Antiqua" w:hAnsi="Book Antiqua" w:hint="eastAsia"/>
                <w:lang w:eastAsia="zh-CN"/>
              </w:rPr>
              <w:t>nited States</w:t>
            </w:r>
          </w:p>
        </w:tc>
        <w:tc>
          <w:tcPr>
            <w:tcW w:w="308" w:type="pct"/>
          </w:tcPr>
          <w:p w14:paraId="0B0C7716" w14:textId="77777777" w:rsidR="00513695" w:rsidRPr="008A2C60" w:rsidRDefault="00513695" w:rsidP="009806A0">
            <w:pPr>
              <w:widowControl w:val="0"/>
              <w:spacing w:line="360" w:lineRule="auto"/>
              <w:contextualSpacing/>
              <w:jc w:val="center"/>
              <w:rPr>
                <w:rFonts w:ascii="Book Antiqua" w:hAnsi="Book Antiqua"/>
              </w:rPr>
            </w:pPr>
            <w:r w:rsidRPr="008A2C60">
              <w:rPr>
                <w:rFonts w:ascii="Book Antiqua" w:hAnsi="Book Antiqua"/>
              </w:rPr>
              <w:t>2007</w:t>
            </w:r>
          </w:p>
        </w:tc>
        <w:tc>
          <w:tcPr>
            <w:tcW w:w="443" w:type="pct"/>
          </w:tcPr>
          <w:p w14:paraId="78414F85" w14:textId="77777777" w:rsidR="00513695" w:rsidRPr="008A2C60" w:rsidRDefault="00513695" w:rsidP="009806A0">
            <w:pPr>
              <w:widowControl w:val="0"/>
              <w:spacing w:line="360" w:lineRule="auto"/>
              <w:contextualSpacing/>
              <w:jc w:val="center"/>
              <w:rPr>
                <w:rFonts w:ascii="Book Antiqua" w:hAnsi="Book Antiqua"/>
              </w:rPr>
            </w:pPr>
            <w:r w:rsidRPr="008A2C60">
              <w:rPr>
                <w:rFonts w:ascii="Book Antiqua" w:hAnsi="Book Antiqua"/>
              </w:rPr>
              <w:t>184</w:t>
            </w:r>
          </w:p>
        </w:tc>
        <w:tc>
          <w:tcPr>
            <w:tcW w:w="690" w:type="pct"/>
          </w:tcPr>
          <w:p w14:paraId="7C949AEC" w14:textId="69E15445" w:rsidR="00513695" w:rsidRPr="008A2C60" w:rsidRDefault="00513695" w:rsidP="009806A0">
            <w:pPr>
              <w:widowControl w:val="0"/>
              <w:spacing w:line="360" w:lineRule="auto"/>
              <w:contextualSpacing/>
              <w:jc w:val="center"/>
              <w:rPr>
                <w:rFonts w:ascii="Book Antiqua" w:hAnsi="Book Antiqua"/>
              </w:rPr>
            </w:pPr>
            <w:r w:rsidRPr="008A2C60">
              <w:rPr>
                <w:rFonts w:ascii="Book Antiqua" w:hAnsi="Book Antiqua"/>
              </w:rPr>
              <w:t>Stri</w:t>
            </w:r>
            <w:r w:rsidR="009806A0" w:rsidRPr="008A2C60">
              <w:rPr>
                <w:rFonts w:ascii="Book Antiqua" w:hAnsi="Book Antiqua"/>
              </w:rPr>
              <w:t>ct glucose cont</w:t>
            </w:r>
            <w:r w:rsidRPr="008A2C60">
              <w:rPr>
                <w:rFonts w:ascii="Book Antiqua" w:hAnsi="Book Antiqua"/>
              </w:rPr>
              <w:t>rol (BG &lt; 150 mg/dL)</w:t>
            </w:r>
          </w:p>
        </w:tc>
        <w:tc>
          <w:tcPr>
            <w:tcW w:w="720" w:type="pct"/>
          </w:tcPr>
          <w:p w14:paraId="6C084871" w14:textId="2953AEDB" w:rsidR="00513695" w:rsidRPr="008A2C60" w:rsidRDefault="00513695" w:rsidP="009806A0">
            <w:pPr>
              <w:widowControl w:val="0"/>
              <w:spacing w:line="360" w:lineRule="auto"/>
              <w:contextualSpacing/>
              <w:jc w:val="center"/>
              <w:rPr>
                <w:rFonts w:ascii="Book Antiqua" w:hAnsi="Book Antiqua"/>
              </w:rPr>
            </w:pPr>
            <w:r w:rsidRPr="008A2C60">
              <w:rPr>
                <w:rFonts w:ascii="Book Antiqua" w:hAnsi="Book Antiqua"/>
              </w:rPr>
              <w:t xml:space="preserve">Poor Glucose control (BG </w:t>
            </w:r>
            <w:r w:rsidR="00C10193" w:rsidRPr="009806A0">
              <w:rPr>
                <w:rFonts w:ascii="Book Antiqua" w:hAnsi="Book Antiqua"/>
              </w:rPr>
              <w:t>≥</w:t>
            </w:r>
            <w:r w:rsidRPr="008A2C60">
              <w:rPr>
                <w:rFonts w:ascii="Book Antiqua" w:hAnsi="Book Antiqua"/>
              </w:rPr>
              <w:t xml:space="preserve"> 150 mg/dL)</w:t>
            </w:r>
          </w:p>
        </w:tc>
        <w:tc>
          <w:tcPr>
            <w:tcW w:w="808" w:type="pct"/>
          </w:tcPr>
          <w:p w14:paraId="14D008DF" w14:textId="177C040B" w:rsidR="00513695" w:rsidRPr="008A2C60" w:rsidRDefault="00513695" w:rsidP="009806A0">
            <w:pPr>
              <w:widowControl w:val="0"/>
              <w:spacing w:line="360" w:lineRule="auto"/>
              <w:contextualSpacing/>
              <w:jc w:val="center"/>
              <w:rPr>
                <w:rFonts w:ascii="Book Antiqua" w:hAnsi="Book Antiqua"/>
              </w:rPr>
            </w:pPr>
            <w:r w:rsidRPr="008A2C60">
              <w:rPr>
                <w:rFonts w:ascii="Book Antiqua" w:hAnsi="Book Antiqua"/>
              </w:rPr>
              <w:t>Mortality</w:t>
            </w:r>
          </w:p>
          <w:p w14:paraId="0BF10332" w14:textId="657A739E" w:rsidR="00513695" w:rsidRPr="008A2C60" w:rsidRDefault="00513695" w:rsidP="009806A0">
            <w:pPr>
              <w:widowControl w:val="0"/>
              <w:spacing w:line="360" w:lineRule="auto"/>
              <w:contextualSpacing/>
              <w:jc w:val="center"/>
              <w:rPr>
                <w:rFonts w:ascii="Book Antiqua" w:hAnsi="Book Antiqua"/>
              </w:rPr>
            </w:pPr>
            <w:r w:rsidRPr="008A2C60">
              <w:rPr>
                <w:rFonts w:ascii="Book Antiqua" w:hAnsi="Book Antiqua"/>
              </w:rPr>
              <w:t>Infection</w:t>
            </w:r>
            <w:r w:rsidR="00736880" w:rsidRPr="008A2C60">
              <w:rPr>
                <w:rFonts w:ascii="Book Antiqua" w:hAnsi="Book Antiqua"/>
              </w:rPr>
              <w:t xml:space="preserve"> rate</w:t>
            </w:r>
          </w:p>
        </w:tc>
        <w:tc>
          <w:tcPr>
            <w:tcW w:w="663" w:type="pct"/>
          </w:tcPr>
          <w:p w14:paraId="381440C6" w14:textId="77777777" w:rsidR="00513695" w:rsidRPr="008A2C60" w:rsidRDefault="00513695" w:rsidP="009806A0">
            <w:pPr>
              <w:widowControl w:val="0"/>
              <w:spacing w:line="360" w:lineRule="auto"/>
              <w:contextualSpacing/>
              <w:jc w:val="center"/>
              <w:rPr>
                <w:rFonts w:ascii="Book Antiqua" w:hAnsi="Book Antiqua"/>
              </w:rPr>
            </w:pPr>
          </w:p>
        </w:tc>
      </w:tr>
      <w:tr w:rsidR="00CD68E9" w:rsidRPr="008A2C60" w14:paraId="571AE3D2" w14:textId="77777777" w:rsidTr="00CD68E9">
        <w:tc>
          <w:tcPr>
            <w:tcW w:w="641" w:type="pct"/>
          </w:tcPr>
          <w:p w14:paraId="02DD3B20" w14:textId="24A31207" w:rsidR="007E53BE" w:rsidRPr="008A2C60" w:rsidRDefault="007E53BE" w:rsidP="006B795E">
            <w:pPr>
              <w:widowControl w:val="0"/>
              <w:spacing w:line="360" w:lineRule="auto"/>
              <w:contextualSpacing/>
              <w:jc w:val="both"/>
              <w:rPr>
                <w:rFonts w:ascii="Book Antiqua" w:hAnsi="Book Antiqua"/>
              </w:rPr>
            </w:pPr>
            <w:r w:rsidRPr="008A2C60">
              <w:rPr>
                <w:rFonts w:ascii="Book Antiqua" w:hAnsi="Book Antiqua"/>
              </w:rPr>
              <w:t xml:space="preserve">Chung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"10.1016/j.transproceed.2014.06.078", "ISBN" : "0041-1345", "ISSN" : "18732623", "PMID" : "25498075", "abstract" : "Background. Hyperglycemia in the neohepatic phase of liver transplantation (LT) tends to decrease toward completion of the surgical procedure. Refractory hyperglycemia in the neohepatic phase (RH) is influenced by multiple perioperative factors and may be connected to posttransplant outcomes. We attempted to demonstrate the relationship of RH to posttransplant outcomes and to establish a predictive model for RH in living donor liver transplantation (LDLT). Methods. Perioperative data of 211 patients who underwent LDLT from 2009 and 2012 were reviewed, including declines in the blood glucose levels during the neohepatic phase. Perioperative variables including the posttransplant model for end-stage liver disease (MELD) score until day 30 were compared between patients with normal declines in blood glucose and patients with RH. Selected variables after intergroup comparisons were examined by means of multivariate logistic regression to establish a predictive model for RH occurrence. Results. The mean blood glucose decline was 22.3 - 31.5 mg/dL during the neohepatic phase, and 84 of 203 patients (41.4%) had no decline in blood glucose. In intergroup comparisons, preoperative factors associated with RH included sex, Child-Pugh-Turcotte class, MELD score, emergency, liver enzymes, and graft-to-recipient weight ratio. During surgery, surgical time, serum lactate, and arterial pH were associated with RH. After surgery, the RH group showed slower recovery of the MELD score (15.2 versus 11.9 days) and higher MELD scores until day 10 (P &lt; .05). After the multivariate analysis, recipient sex, emergency, surgical time (???9 h), and the final intraoperative serum lactate level (???5.0 mmol/L) were included in the predictive model for RH. Conclusions. RH was associated with delayed functional recovery of the liver graft in LT. Recipient sex, emergency, surgical time, and the final intraoperative serum lactate level were identified as predictors of RH. Close monitoring of intraoperative blood glucose in LDLT may be an early prognostic indicator.", "author" : [ { "dropping-particle" : "", "family" : "Chung", "given" : "H. S.", "non-dropping-particle" : "", "parse-names" : false, "suffix" : "" }, { "dropping-particle" : "", "family" : "Lee", "given" : "S.", "non-dropping-particle" : "", "parse-names" : false, "suffix" : "" }, { "dropping-particle" : "", "family" : "Kwon", "given" : "S. J.", "non-dropping-particle" : "", "parse-names" : false, "suffix" : "" }, { "dropping-particle" : "", "family" : "Park", "given" : "C. S.", "non-dropping-particle" : "", "parse-names" : false, "suffix" : "" } ], "container-title" : "Transplantation Proceedings", "id" : "ITEM-1", "issue" : "10", "issued" : { "date-parts" : [ [ "2014" ] ] }, "page" : "3474-3480", "publisher" : "Elsevier Inc.", "title" : "Perioperative predictors for refractory hyperglycemia during the neohepatic phase of liver transplantation", "type" : "article-journal", "volume" : "46" }, "uris" : [ "http://www.mendeley.com/documents/?uuid=8c760e6e-800d-4b11-83de-0cbb1c6614cc" ] } ], "mendeley" : { "formattedCitation" : "&lt;sup&gt;[25]&lt;/sup&gt;", "plainTextFormattedCitation" : "[25]", "previouslyFormattedCitation" : "&lt;sup&gt;[25]&lt;/sup&gt;"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[25]</w:t>
            </w:r>
            <w:r w:rsidR="00EA5B56" w:rsidRPr="008A2C60">
              <w:rPr>
                <w:rFonts w:ascii="Book Antiqua" w:hAnsi="Book Antiqua"/>
                <w:i/>
              </w:rPr>
              <w:fldChar w:fldCharType="end"/>
            </w:r>
          </w:p>
        </w:tc>
        <w:tc>
          <w:tcPr>
            <w:tcW w:w="727" w:type="pct"/>
          </w:tcPr>
          <w:p w14:paraId="7C31E182" w14:textId="77777777" w:rsidR="007E53BE" w:rsidRPr="008A2C60" w:rsidRDefault="007E53BE" w:rsidP="009806A0">
            <w:pPr>
              <w:widowControl w:val="0"/>
              <w:spacing w:line="360" w:lineRule="auto"/>
              <w:contextualSpacing/>
              <w:jc w:val="center"/>
              <w:rPr>
                <w:rFonts w:ascii="Book Antiqua" w:hAnsi="Book Antiqua"/>
              </w:rPr>
            </w:pPr>
            <w:r w:rsidRPr="008A2C60">
              <w:rPr>
                <w:rFonts w:ascii="Book Antiqua" w:hAnsi="Book Antiqua"/>
              </w:rPr>
              <w:t>South Korea</w:t>
            </w:r>
          </w:p>
        </w:tc>
        <w:tc>
          <w:tcPr>
            <w:tcW w:w="308" w:type="pct"/>
          </w:tcPr>
          <w:p w14:paraId="20A542D9" w14:textId="77777777" w:rsidR="007E53BE" w:rsidRPr="008A2C60" w:rsidRDefault="007E53BE" w:rsidP="009806A0">
            <w:pPr>
              <w:widowControl w:val="0"/>
              <w:spacing w:line="360" w:lineRule="auto"/>
              <w:contextualSpacing/>
              <w:jc w:val="center"/>
              <w:rPr>
                <w:rFonts w:ascii="Book Antiqua" w:hAnsi="Book Antiqua"/>
              </w:rPr>
            </w:pPr>
            <w:r w:rsidRPr="008A2C60">
              <w:rPr>
                <w:rFonts w:ascii="Book Antiqua" w:hAnsi="Book Antiqua"/>
              </w:rPr>
              <w:t>2014</w:t>
            </w:r>
          </w:p>
        </w:tc>
        <w:tc>
          <w:tcPr>
            <w:tcW w:w="443" w:type="pct"/>
          </w:tcPr>
          <w:p w14:paraId="7F024ABB" w14:textId="77777777" w:rsidR="007E53BE" w:rsidRPr="008A2C60" w:rsidRDefault="007E53BE" w:rsidP="009806A0">
            <w:pPr>
              <w:widowControl w:val="0"/>
              <w:spacing w:line="360" w:lineRule="auto"/>
              <w:contextualSpacing/>
              <w:jc w:val="center"/>
              <w:rPr>
                <w:rFonts w:ascii="Book Antiqua" w:hAnsi="Book Antiqua"/>
              </w:rPr>
            </w:pPr>
            <w:r w:rsidRPr="008A2C60">
              <w:rPr>
                <w:rFonts w:ascii="Book Antiqua" w:hAnsi="Book Antiqua"/>
              </w:rPr>
              <w:t>211</w:t>
            </w:r>
          </w:p>
        </w:tc>
        <w:tc>
          <w:tcPr>
            <w:tcW w:w="690" w:type="pct"/>
          </w:tcPr>
          <w:p w14:paraId="15F9E837" w14:textId="77777777" w:rsidR="00E5312B" w:rsidRPr="008A2C60" w:rsidRDefault="00E5312B" w:rsidP="009806A0">
            <w:pPr>
              <w:widowControl w:val="0"/>
              <w:spacing w:line="360" w:lineRule="auto"/>
              <w:contextualSpacing/>
              <w:jc w:val="center"/>
              <w:rPr>
                <w:rFonts w:ascii="Book Antiqua" w:hAnsi="Book Antiqua"/>
              </w:rPr>
            </w:pPr>
            <w:r w:rsidRPr="008A2C60">
              <w:rPr>
                <w:rFonts w:ascii="Book Antiqua" w:hAnsi="Book Antiqua"/>
              </w:rPr>
              <w:t>BG decline during the Neohepatic</w:t>
            </w:r>
          </w:p>
          <w:p w14:paraId="2F4E3842" w14:textId="77777777" w:rsidR="007E53BE" w:rsidRPr="008A2C60" w:rsidRDefault="00E5312B" w:rsidP="009806A0">
            <w:pPr>
              <w:widowControl w:val="0"/>
              <w:spacing w:line="360" w:lineRule="auto"/>
              <w:contextualSpacing/>
              <w:jc w:val="center"/>
              <w:rPr>
                <w:rFonts w:ascii="Book Antiqua" w:hAnsi="Book Antiqua"/>
              </w:rPr>
            </w:pPr>
            <w:r w:rsidRPr="008A2C60">
              <w:rPr>
                <w:rFonts w:ascii="Book Antiqua" w:hAnsi="Book Antiqua"/>
              </w:rPr>
              <w:t>Phase (Yes)</w:t>
            </w:r>
          </w:p>
        </w:tc>
        <w:tc>
          <w:tcPr>
            <w:tcW w:w="720" w:type="pct"/>
          </w:tcPr>
          <w:p w14:paraId="66D1113E" w14:textId="77777777" w:rsidR="00E5312B" w:rsidRPr="008A2C60" w:rsidRDefault="00E5312B" w:rsidP="009806A0">
            <w:pPr>
              <w:widowControl w:val="0"/>
              <w:spacing w:line="360" w:lineRule="auto"/>
              <w:contextualSpacing/>
              <w:jc w:val="center"/>
              <w:rPr>
                <w:rFonts w:ascii="Book Antiqua" w:hAnsi="Book Antiqua"/>
              </w:rPr>
            </w:pPr>
            <w:r w:rsidRPr="008A2C60">
              <w:rPr>
                <w:rFonts w:ascii="Book Antiqua" w:hAnsi="Book Antiqua"/>
              </w:rPr>
              <w:t>BG decline during the Neohepatic</w:t>
            </w:r>
          </w:p>
          <w:p w14:paraId="7D8F6C7C" w14:textId="77777777" w:rsidR="007E53BE" w:rsidRPr="008A2C60" w:rsidRDefault="00E5312B" w:rsidP="009806A0">
            <w:pPr>
              <w:widowControl w:val="0"/>
              <w:spacing w:line="360" w:lineRule="auto"/>
              <w:contextualSpacing/>
              <w:jc w:val="center"/>
              <w:rPr>
                <w:rFonts w:ascii="Book Antiqua" w:hAnsi="Book Antiqua"/>
              </w:rPr>
            </w:pPr>
            <w:r w:rsidRPr="008A2C60">
              <w:rPr>
                <w:rFonts w:ascii="Book Antiqua" w:hAnsi="Book Antiqua"/>
              </w:rPr>
              <w:t>Phase (No)</w:t>
            </w:r>
          </w:p>
        </w:tc>
        <w:tc>
          <w:tcPr>
            <w:tcW w:w="808" w:type="pct"/>
          </w:tcPr>
          <w:p w14:paraId="0241BFA5" w14:textId="77777777" w:rsidR="00E5312B" w:rsidRPr="008A2C60" w:rsidRDefault="00E5312B" w:rsidP="009806A0">
            <w:pPr>
              <w:widowControl w:val="0"/>
              <w:spacing w:line="360" w:lineRule="auto"/>
              <w:contextualSpacing/>
              <w:jc w:val="center"/>
              <w:rPr>
                <w:rFonts w:ascii="Book Antiqua" w:hAnsi="Book Antiqua"/>
              </w:rPr>
            </w:pPr>
            <w:r w:rsidRPr="008A2C60">
              <w:rPr>
                <w:rFonts w:ascii="Book Antiqua" w:hAnsi="Book Antiqua"/>
              </w:rPr>
              <w:t>Mortality, length of ICU stay, early allograft dysfunction, MELD Score recovery</w:t>
            </w:r>
          </w:p>
        </w:tc>
        <w:tc>
          <w:tcPr>
            <w:tcW w:w="663" w:type="pct"/>
          </w:tcPr>
          <w:p w14:paraId="2F61D451" w14:textId="387257CC" w:rsidR="007E53BE" w:rsidRPr="008A2C60" w:rsidRDefault="00E5312B" w:rsidP="009806A0">
            <w:pPr>
              <w:widowControl w:val="0"/>
              <w:spacing w:line="360" w:lineRule="auto"/>
              <w:contextualSpacing/>
              <w:jc w:val="center"/>
              <w:rPr>
                <w:rFonts w:ascii="Book Antiqua" w:hAnsi="Book Antiqua"/>
              </w:rPr>
            </w:pPr>
            <w:r w:rsidRPr="008A2C60">
              <w:rPr>
                <w:rFonts w:ascii="Book Antiqua" w:hAnsi="Book Antiqua"/>
              </w:rPr>
              <w:t xml:space="preserve">Outcomes were </w:t>
            </w:r>
            <w:r w:rsidR="005C3BE3" w:rsidRPr="008A2C60">
              <w:rPr>
                <w:rFonts w:ascii="Book Antiqua" w:hAnsi="Book Antiqua"/>
              </w:rPr>
              <w:t>assessed</w:t>
            </w:r>
            <w:r w:rsidRPr="008A2C60">
              <w:rPr>
                <w:rFonts w:ascii="Book Antiqua" w:hAnsi="Book Antiqua"/>
              </w:rPr>
              <w:t xml:space="preserve"> relative to the drop in hyperglycemia after the </w:t>
            </w:r>
            <w:r w:rsidR="00CD68E9" w:rsidRPr="008A2C60">
              <w:rPr>
                <w:rFonts w:ascii="Book Antiqua" w:hAnsi="Book Antiqua"/>
              </w:rPr>
              <w:t>neohepatic p</w:t>
            </w:r>
            <w:r w:rsidRPr="008A2C60">
              <w:rPr>
                <w:rFonts w:ascii="Book Antiqua" w:hAnsi="Book Antiqua"/>
              </w:rPr>
              <w:t>hase</w:t>
            </w:r>
          </w:p>
        </w:tc>
      </w:tr>
      <w:tr w:rsidR="00CD68E9" w:rsidRPr="008A2C60" w14:paraId="0EF4FFFB" w14:textId="77777777" w:rsidTr="00CD68E9">
        <w:tc>
          <w:tcPr>
            <w:tcW w:w="641" w:type="pct"/>
          </w:tcPr>
          <w:p w14:paraId="3DA2C934" w14:textId="142F41D5" w:rsidR="0066529B" w:rsidRPr="008A2C60" w:rsidRDefault="0066529B" w:rsidP="006B795E">
            <w:pPr>
              <w:widowControl w:val="0"/>
              <w:spacing w:line="360" w:lineRule="auto"/>
              <w:contextualSpacing/>
              <w:jc w:val="both"/>
              <w:rPr>
                <w:rFonts w:ascii="Book Antiqua" w:hAnsi="Book Antiqua"/>
              </w:rPr>
            </w:pPr>
            <w:proofErr w:type="spellStart"/>
            <w:r w:rsidRPr="008A2C60">
              <w:rPr>
                <w:rFonts w:ascii="Book Antiqua" w:hAnsi="Book Antiqua"/>
              </w:rPr>
              <w:t>Gelley</w:t>
            </w:r>
            <w:proofErr w:type="spellEnd"/>
            <w:r w:rsidRPr="008A2C60">
              <w:rPr>
                <w:rFonts w:ascii="Book Antiqua" w:hAnsi="Book Antiqua"/>
              </w:rPr>
              <w:t xml:space="preserve">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"10.1016/j.transproceed.2011.03.065", "ISBN" : "1873-2623", "ISSN" : "00411345", "PMID" : "21620111", "abstract" : "De novo diabetes mellitus is a common complication after liver transplantation. It is strongly associated with hepatitis C virus (HCV) infection. We analyzed the relationship between HCV recurrence and de novo diabetes among the Hungarian liver transplant population. This retrospective study included cases from 1995 to 2009 on 310 whole liver transplantations. De novo diabetes was defined if the patient had a fasting plasma glucose &lt;126 mg/dL permanently after the third month post liver transplantation, and/or required sustained antidiabetic therapy. De novo diabetes occured in 63 patients (20%). The cumulative patient survival rates at 1, 3, 5, and 8 years were 95%, 91%, 88%, and 88% in the control group, and 87%, 79%, 79%, and 64% in the de novo group, respectively (P = .011). The majority of the patients in the de novo group were HCV positive (66% vs 23%). Early virus recurrence within 5 months was associated with the development of diabetes (80% vs 20% non-diabetic controls; P = .017). The fibrosis (2.05 ?? 1.5 vs 1 ?? 1; P = .039) and Knodell scores (3.25 ?? 2 vs 1.69 ?? 1.2; P = .019) were higher among the de novo group after antiviral therapy. Rapid recurrence, more severe viremia, and fibrosis showed significant roles in the developement of de novo diabetes after liver transplantation. ?? 2011 by Elsevier Inc. All rights reserved.", "author" : [ { "dropping-particle" : "", "family" : "Gelley", "given" : "F.", "non-dropping-particle" : "", "parse-names" : false, "suffix" : "" }, { "dropping-particle" : "", "family" : "Zadori", "given" : "G.", "non-dropping-particle" : "", "parse-names" : false, "suffix" : "" }, { "dropping-particle" : "", "family" : "Firneisz", "given" : "G.", "non-dropping-particle" : "", "parse-names" : false, "suffix" : "" }, { "dropping-particle" : "", "family" : "Wagner", "given" : "L.", "non-dropping-particle" : "", "parse-names" : false, "suffix" : "" }, { "dropping-particle" : "", "family" : "Feherv\u00e1ri", "given" : "I.", "non-dropping-particle" : "", "parse-names" : false, "suffix" : "" }, { "dropping-particle" : "", "family" : "Gerlei", "given" : "Z.", "non-dropping-particle" : "", "parse-names" : false, "suffix" : "" }, { "dropping-particle" : "", "family" : "Fazakas", "given" : "J.", "non-dropping-particle" : "", "parse-names" : false, "suffix" : "" }, { "dropping-particle" : "", "family" : "Papai", "given" : "S.", "non-dropping-particle" : "", "parse-names" : false, "suffix" : "" }, { "dropping-particle" : "", "family" : "Lengyel", "given" : "G.", "non-dropping-particle" : "", "parse-names" : false, "suffix" : "" }, { "dropping-particle" : "", "family" : "Sarvary", "given" : "E.", "non-dropping-particle" : "", "parse-names" : false, "suffix" : "" }, { "dropping-particle" : "", "family" : "Nemes", "given" : "B.", "non-dropping-particle" : "", "parse-names" : false, "suffix" : "" } ], "container-title" : "Transplantation Proceedings", "id" : "ITEM-1", "issue" : "4", "issued" : { "date-parts" : [ [ "2011" ] ] }, "page" : "1281-1282", "publisher" : "Elsevier Inc.", "title" : "Relationship between hepatitis C virus recurrence and de novo diabetes after liver transplantation: The Hungarian experience", "type" : "article-journal", "volume" : "43" }, "uris" : [ "http://www.mendeley.com/documents/?uuid=4fb0f425-5172-48eb-b6fe-10f9a9bcfc21" ] } ], "mendeley" : { "formattedCitation" : "&lt;sup&gt;[21]&lt;/sup&gt;", "plainTextFormattedCitation" : "[21]", "previouslyFormattedCitation" : "&lt;sup&gt;[21]&lt;/sup&gt;"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[21]</w:t>
            </w:r>
            <w:r w:rsidR="00EA5B56" w:rsidRPr="008A2C60">
              <w:rPr>
                <w:rFonts w:ascii="Book Antiqua" w:hAnsi="Book Antiqua"/>
                <w:i/>
              </w:rPr>
              <w:fldChar w:fldCharType="end"/>
            </w:r>
          </w:p>
        </w:tc>
        <w:tc>
          <w:tcPr>
            <w:tcW w:w="727" w:type="pct"/>
          </w:tcPr>
          <w:p w14:paraId="290DA888" w14:textId="77777777"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Hungary</w:t>
            </w:r>
          </w:p>
        </w:tc>
        <w:tc>
          <w:tcPr>
            <w:tcW w:w="308" w:type="pct"/>
          </w:tcPr>
          <w:p w14:paraId="0C073EAE" w14:textId="77777777"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2011</w:t>
            </w:r>
          </w:p>
        </w:tc>
        <w:tc>
          <w:tcPr>
            <w:tcW w:w="443" w:type="pct"/>
          </w:tcPr>
          <w:p w14:paraId="0CFC4173" w14:textId="77777777"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310</w:t>
            </w:r>
          </w:p>
        </w:tc>
        <w:tc>
          <w:tcPr>
            <w:tcW w:w="690" w:type="pct"/>
          </w:tcPr>
          <w:p w14:paraId="4467A102" w14:textId="15ACF810" w:rsidR="0066529B" w:rsidRPr="008A2C60" w:rsidRDefault="00623BD1" w:rsidP="009806A0">
            <w:pPr>
              <w:widowControl w:val="0"/>
              <w:spacing w:line="360" w:lineRule="auto"/>
              <w:contextualSpacing/>
              <w:jc w:val="center"/>
              <w:rPr>
                <w:rFonts w:ascii="Book Antiqua" w:hAnsi="Book Antiqua"/>
              </w:rPr>
            </w:pPr>
            <w:r w:rsidRPr="008A2C60">
              <w:rPr>
                <w:rFonts w:ascii="Book Antiqua" w:hAnsi="Book Antiqua"/>
              </w:rPr>
              <w:t>D</w:t>
            </w:r>
            <w:r w:rsidR="009806A0" w:rsidRPr="008A2C60">
              <w:rPr>
                <w:rFonts w:ascii="Book Antiqua" w:hAnsi="Book Antiqua"/>
              </w:rPr>
              <w:t>e novo dia</w:t>
            </w:r>
            <w:r w:rsidRPr="008A2C60">
              <w:rPr>
                <w:rFonts w:ascii="Book Antiqua" w:hAnsi="Book Antiqua"/>
              </w:rPr>
              <w:t>betes</w:t>
            </w:r>
          </w:p>
        </w:tc>
        <w:tc>
          <w:tcPr>
            <w:tcW w:w="720" w:type="pct"/>
          </w:tcPr>
          <w:p w14:paraId="5698A776" w14:textId="77777777" w:rsidR="0066529B" w:rsidRPr="008A2C60" w:rsidRDefault="00623BD1" w:rsidP="009806A0">
            <w:pPr>
              <w:widowControl w:val="0"/>
              <w:spacing w:line="360" w:lineRule="auto"/>
              <w:contextualSpacing/>
              <w:jc w:val="center"/>
              <w:rPr>
                <w:rFonts w:ascii="Book Antiqua" w:hAnsi="Book Antiqua"/>
              </w:rPr>
            </w:pPr>
            <w:r w:rsidRPr="008A2C60">
              <w:rPr>
                <w:rFonts w:ascii="Book Antiqua" w:hAnsi="Book Antiqua"/>
              </w:rPr>
              <w:t>Control</w:t>
            </w:r>
          </w:p>
        </w:tc>
        <w:tc>
          <w:tcPr>
            <w:tcW w:w="808" w:type="pct"/>
          </w:tcPr>
          <w:p w14:paraId="395D3CA0" w14:textId="77777777" w:rsidR="0066529B" w:rsidRPr="008A2C60" w:rsidRDefault="0066529B" w:rsidP="009806A0">
            <w:pPr>
              <w:widowControl w:val="0"/>
              <w:spacing w:line="360" w:lineRule="auto"/>
              <w:contextualSpacing/>
              <w:jc w:val="center"/>
              <w:rPr>
                <w:rFonts w:ascii="Book Antiqua" w:hAnsi="Book Antiqua"/>
              </w:rPr>
            </w:pPr>
            <w:proofErr w:type="spellStart"/>
            <w:r w:rsidRPr="008A2C60">
              <w:rPr>
                <w:rFonts w:ascii="Book Antiqua" w:hAnsi="Book Antiqua"/>
              </w:rPr>
              <w:t>HepC</w:t>
            </w:r>
            <w:proofErr w:type="spellEnd"/>
            <w:r w:rsidRPr="008A2C60">
              <w:rPr>
                <w:rFonts w:ascii="Book Antiqua" w:hAnsi="Book Antiqua"/>
              </w:rPr>
              <w:t xml:space="preserve"> </w:t>
            </w:r>
            <w:r w:rsidR="00623BD1" w:rsidRPr="008A2C60">
              <w:rPr>
                <w:rFonts w:ascii="Book Antiqua" w:hAnsi="Book Antiqua"/>
              </w:rPr>
              <w:t xml:space="preserve">recurrence </w:t>
            </w:r>
            <w:r w:rsidRPr="008A2C60">
              <w:rPr>
                <w:rFonts w:ascii="Book Antiqua" w:hAnsi="Book Antiqua"/>
              </w:rPr>
              <w:t xml:space="preserve">and </w:t>
            </w:r>
            <w:r w:rsidR="00623BD1" w:rsidRPr="008A2C60">
              <w:rPr>
                <w:rFonts w:ascii="Book Antiqua" w:hAnsi="Book Antiqua"/>
              </w:rPr>
              <w:t xml:space="preserve">association with </w:t>
            </w:r>
            <w:r w:rsidRPr="008A2C60">
              <w:rPr>
                <w:rFonts w:ascii="Book Antiqua" w:hAnsi="Book Antiqua"/>
              </w:rPr>
              <w:t>NODAT</w:t>
            </w:r>
          </w:p>
        </w:tc>
        <w:tc>
          <w:tcPr>
            <w:tcW w:w="663" w:type="pct"/>
          </w:tcPr>
          <w:p w14:paraId="48EB8909" w14:textId="77777777" w:rsidR="0066529B" w:rsidRPr="008A2C60" w:rsidRDefault="0066529B" w:rsidP="009806A0">
            <w:pPr>
              <w:widowControl w:val="0"/>
              <w:spacing w:line="360" w:lineRule="auto"/>
              <w:contextualSpacing/>
              <w:jc w:val="center"/>
              <w:rPr>
                <w:rFonts w:ascii="Book Antiqua" w:hAnsi="Book Antiqua"/>
              </w:rPr>
            </w:pPr>
          </w:p>
        </w:tc>
      </w:tr>
      <w:tr w:rsidR="00CD68E9" w:rsidRPr="008A2C60" w14:paraId="274CF35D" w14:textId="77777777" w:rsidTr="00CD68E9">
        <w:tc>
          <w:tcPr>
            <w:tcW w:w="641" w:type="pct"/>
          </w:tcPr>
          <w:p w14:paraId="6F4F319A" w14:textId="536CE38F" w:rsidR="00EF0B18" w:rsidRPr="008A2C60" w:rsidRDefault="00EF0B18" w:rsidP="006B795E">
            <w:pPr>
              <w:widowControl w:val="0"/>
              <w:spacing w:line="360" w:lineRule="auto"/>
              <w:contextualSpacing/>
              <w:jc w:val="both"/>
              <w:rPr>
                <w:rFonts w:ascii="Book Antiqua" w:hAnsi="Book Antiqua"/>
              </w:rPr>
            </w:pPr>
            <w:proofErr w:type="spellStart"/>
            <w:r w:rsidRPr="008A2C60">
              <w:rPr>
                <w:rFonts w:ascii="Book Antiqua" w:hAnsi="Book Antiqua"/>
              </w:rPr>
              <w:t>Hartog</w:t>
            </w:r>
            <w:proofErr w:type="spellEnd"/>
            <w:r w:rsidRPr="008A2C60">
              <w:rPr>
                <w:rFonts w:ascii="Book Antiqua" w:hAnsi="Book Antiqua"/>
              </w:rPr>
              <w:t xml:space="preserve">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"10.1111/liv.12706", "ISBN" : "1478-3231 (Electronic)\\r1478-3223 (Linking)", "ISSN" : "14783231", "PMID" : "25349066", "abstract" : "Background &amp; Aims: We studied new-onset diabetes after transplantation (NODAT) in liver transplantation with grafts donated after brain death (DBD) or circulatory death (DCD), focusing on the early post-transplant period. Methods: A total of 430 non-diabetic primary liver transplant recipients [DCD, n = 90 (21%)] were followed up for 30 months (range 5-69). NODAT was defined as the composite endpoint of one of following: (i) Two non-fasting plasma glucose levels &gt; 11.1 mmol/L \u2265 30 days apart, (ii) oral hypoglycaemic drugs \u2265 30 days consecutively (iii) insulin therapy \u2265 30 days and (iv) HbA1c \u2265 48 mmol/L. Resolution of NODAT was defined as cessation of treatment or hyperglycaemia. Results: Total of 81/430 (19%) patients developed NODAT. Incidence and resolution of NODAT over time showed significantly different patterns between DCD and DBD liver graft recipients; early occurrence, high peak incidence and early resolution were seen in DCD. In multivariate logistic regression including age, ethnicity, HCV, tacrolimus level and pulsed steroids, only DCD was independently associated with NODAT at day 15 post-transplant (OR 6.5, 95% CI 2.3-18.4, P &lt; 0.001), whereas age and pulsed steroids were significant factors between 30-90 days. Combined in multivariate Cox regression model for NODAT-free survival, graft type, age and pulsed steroids were each independent predictor for decreased NODAT-free survival in the first 90-postoperative days. Conclusion: Early peak of NODAT in DCD graft recipients is a novel finding, occurring independently from known risk factors. Donor warm ischaemia and impact on insulin sensitivity should be further studied and could perhaps be associated with graft function.", "author" : [ { "dropping-particle" : "", "family" : "Hartog", "given" : "Hermien", "non-dropping-particle" : "", "parse-names" : false, "suffix" : "" }, { "dropping-particle" : "", "family" : "May", "given" : "Christine J H", "non-dropping-particle" : "", "parse-names" : false, "suffix" : "" }, { "dropping-particle" : "", "family" : "Corbett", "given" : "Chris", "non-dropping-particle" : "", "parse-names" : false, "suffix" : "" }, { "dropping-particle" : "", "family" : "Phillips", "given" : "Angela", "non-dropping-particle" : "", "parse-names" : false, "suffix" : "" }, { "dropping-particle" : "", "family" : "Tomlinson", "given" : "Jeremy W.", "non-dropping-particle" : "", "parse-names" : false, "suffix" : "" }, { "dropping-particle" : "", "family" : "Mergental", "given" : "Hynek", "non-dropping-particle" : "", "parse-names" : false, "suffix" : "" }, { "dropping-particle" : "", "family" : "Isaac", "given" : "John", "non-dropping-particle" : "", "parse-names" : false, "suffix" : "" }, { "dropping-particle" : "", "family" : "Bramhall", "given" : "Simon", "non-dropping-particle" : "", "parse-names" : false, "suffix" : "" }, { "dropping-particle" : "", "family" : "Mirza", "given" : "Darius F.", "non-dropping-particle" : "", "parse-names" : false, "suffix" : "" }, { "dropping-particle" : "", "family" : "Muiesan", "given" : "Paolo", "non-dropping-particle" : "", "parse-names" : false, "suffix" : "" }, { "dropping-particle" : "", "family" : "Perera", "given" : "M. Thamara P R", "non-dropping-particle" : "", "parse-names" : false, "suffix" : "" } ], "container-title" : "Liver International", "id" : "ITEM-1", "issue" : "6", "issued" : { "date-parts" : [ [ "2015" ] ] }, "page" : "1739-1747", "title" : "Early occurrence of new-onset diabetes after transplantation is related to type of liver graft and warm ischaemic injury", "type" : "article-journal", "volume" : "35" }, "uris" : [ "http://www.mendeley.com/documents/?uuid=d84a45b3-dc1a-4dd0-828d-d44661b2accf" ] } ], "mendeley" : { "formattedCitation" : "&lt;sup&gt;[23]&lt;/sup&gt;", "plainTextFormattedCitation" : "[23]", "previouslyFormattedCitation" : "&lt;sup&gt;[23]&lt;/sup&gt;"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[23]</w:t>
            </w:r>
            <w:r w:rsidR="00EA5B56" w:rsidRPr="008A2C60">
              <w:rPr>
                <w:rFonts w:ascii="Book Antiqua" w:hAnsi="Book Antiqua"/>
                <w:i/>
              </w:rPr>
              <w:fldChar w:fldCharType="end"/>
            </w:r>
          </w:p>
        </w:tc>
        <w:tc>
          <w:tcPr>
            <w:tcW w:w="727" w:type="pct"/>
          </w:tcPr>
          <w:p w14:paraId="4C2EC62C" w14:textId="662D5FA5" w:rsidR="00EF0B18" w:rsidRPr="008A2C60" w:rsidRDefault="00CD68E9" w:rsidP="009806A0">
            <w:pPr>
              <w:widowControl w:val="0"/>
              <w:spacing w:line="360" w:lineRule="auto"/>
              <w:contextualSpacing/>
              <w:jc w:val="center"/>
              <w:rPr>
                <w:rFonts w:ascii="Book Antiqua" w:hAnsi="Book Antiqua"/>
              </w:rPr>
            </w:pPr>
            <w:r w:rsidRPr="00CD68E9">
              <w:rPr>
                <w:rFonts w:ascii="Book Antiqua" w:hAnsi="Book Antiqua"/>
              </w:rPr>
              <w:t>United Kingdom</w:t>
            </w:r>
          </w:p>
        </w:tc>
        <w:tc>
          <w:tcPr>
            <w:tcW w:w="308" w:type="pct"/>
          </w:tcPr>
          <w:p w14:paraId="39756F1C"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2014</w:t>
            </w:r>
          </w:p>
        </w:tc>
        <w:tc>
          <w:tcPr>
            <w:tcW w:w="443" w:type="pct"/>
          </w:tcPr>
          <w:p w14:paraId="693458F1"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430</w:t>
            </w:r>
          </w:p>
        </w:tc>
        <w:tc>
          <w:tcPr>
            <w:tcW w:w="690" w:type="pct"/>
          </w:tcPr>
          <w:p w14:paraId="1844F23D" w14:textId="3FA1F762" w:rsidR="00EF0B18" w:rsidRPr="008A2C60" w:rsidRDefault="009806A0" w:rsidP="009806A0">
            <w:pPr>
              <w:widowControl w:val="0"/>
              <w:spacing w:line="360" w:lineRule="auto"/>
              <w:contextualSpacing/>
              <w:jc w:val="center"/>
              <w:rPr>
                <w:rFonts w:ascii="Book Antiqua" w:hAnsi="Book Antiqua"/>
                <w:lang w:eastAsia="zh-CN"/>
              </w:rPr>
            </w:pPr>
            <w:r>
              <w:rPr>
                <w:rFonts w:ascii="Book Antiqua" w:hAnsi="Book Antiqua"/>
              </w:rPr>
              <w:t>DBD</w:t>
            </w:r>
          </w:p>
        </w:tc>
        <w:tc>
          <w:tcPr>
            <w:tcW w:w="720" w:type="pct"/>
          </w:tcPr>
          <w:p w14:paraId="280DDC16" w14:textId="540E4DB8" w:rsidR="00EF0B18" w:rsidRPr="008A2C60" w:rsidRDefault="00CD68E9" w:rsidP="009806A0">
            <w:pPr>
              <w:widowControl w:val="0"/>
              <w:spacing w:line="360" w:lineRule="auto"/>
              <w:contextualSpacing/>
              <w:jc w:val="center"/>
              <w:rPr>
                <w:rFonts w:ascii="Book Antiqua" w:hAnsi="Book Antiqua"/>
                <w:lang w:eastAsia="zh-CN"/>
              </w:rPr>
            </w:pPr>
            <w:r>
              <w:rPr>
                <w:rFonts w:ascii="Book Antiqua" w:hAnsi="Book Antiqua"/>
              </w:rPr>
              <w:t>DCD</w:t>
            </w:r>
          </w:p>
        </w:tc>
        <w:tc>
          <w:tcPr>
            <w:tcW w:w="808" w:type="pct"/>
          </w:tcPr>
          <w:p w14:paraId="36C10E3C"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NODAT</w:t>
            </w:r>
          </w:p>
        </w:tc>
        <w:tc>
          <w:tcPr>
            <w:tcW w:w="663" w:type="pct"/>
          </w:tcPr>
          <w:p w14:paraId="274BF043" w14:textId="77777777" w:rsidR="00EF0B18" w:rsidRPr="008A2C60" w:rsidRDefault="00EF0B18" w:rsidP="009806A0">
            <w:pPr>
              <w:widowControl w:val="0"/>
              <w:spacing w:line="360" w:lineRule="auto"/>
              <w:contextualSpacing/>
              <w:jc w:val="center"/>
              <w:rPr>
                <w:rFonts w:ascii="Book Antiqua" w:hAnsi="Book Antiqua"/>
              </w:rPr>
            </w:pPr>
          </w:p>
        </w:tc>
      </w:tr>
      <w:tr w:rsidR="00CD68E9" w:rsidRPr="008A2C60" w14:paraId="7DE48F13" w14:textId="77777777" w:rsidTr="00CD68E9">
        <w:tc>
          <w:tcPr>
            <w:tcW w:w="641" w:type="pct"/>
          </w:tcPr>
          <w:p w14:paraId="4E20F307" w14:textId="507183B5" w:rsidR="00EF0B18" w:rsidRPr="008A2C60" w:rsidRDefault="00EF0B18" w:rsidP="006B795E">
            <w:pPr>
              <w:widowControl w:val="0"/>
              <w:spacing w:line="360" w:lineRule="auto"/>
              <w:contextualSpacing/>
              <w:jc w:val="both"/>
              <w:rPr>
                <w:rFonts w:ascii="Book Antiqua" w:hAnsi="Book Antiqua"/>
              </w:rPr>
            </w:pPr>
            <w:r w:rsidRPr="008A2C60">
              <w:rPr>
                <w:rFonts w:ascii="Book Antiqua" w:hAnsi="Book Antiqua"/>
              </w:rPr>
              <w:t xml:space="preserve">Keegan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"10.1016/j.transproceed.2010.05.156", "ISBN" : "1873-2623 (Electronic)\\r0041-1345 (Linking)", "ISSN" : "00411345", "PMID" : "20832556", "abstract" : "There is a paucity of data regarding the safety and utility of strict glycemic control in patients undergoing orthotopic liver transplantation (OLT). Although control of hyperglycemia may theoretically be beneficial, concerns exist regarding the effect of iatrogenic hypoglycemia on graft function. We performed a retrospective observational study evaluating the impact of the introduction of a nurse-initiated glycemic control protocol on OLT recipients cared for in a single intensive care unit (ICU). The medical records of 84 OLT recipients in 2003 (Preprotocol group) and 77 recipients in 2007 (Protocol group) were reviewed. Data regarding demographics, medical history, physiology, perioperative anesthesia and surgical events, ICU stay, graft function, and mortality were abstracted. Glucose values on admission to ICU, at 2, 6, 12, 18, and 24 hours after surgery, and at 4 am on the morning after OLT were recorded. Patients in the Protocol group achieved better and faster glycemic control. The odds ratio for severe hyperglycemia (glucose &gt;250 mg/dL) in the Protocol group was 0.16 (95% confidence interval, 0.090.28). Hypoglycemia was not observed. The 1-year mortality was 5.3% in the Preprotocol and 6.0% in the Protocol group (P = .86). The rate of graft loss was low, and there was no difference in the incidence of graft failure between the Preprotocol and Protocol groups. We conclude that nurse-initiated and -directed glycemic control protocols can be safely and effectively used in the early period after OLT, though we did not identify a beneficial effect on graft function. ?? 2010 by Elsevier Inc. All rights reserved.", "author" : [ { "dropping-particle" : "", "family" : "Keegan", "given" : "M. T.", "non-dropping-particle" : "", "parse-names" : false, "suffix" : "" }, { "dropping-particle" : "", "family" : "Vrchota", "given" : "J. M.", "non-dropping-particle" : "", "parse-names" : false, "suffix" : "" }, { "dropping-particle" : "", "family" : "Haala", "given" : "P. M.", "non-dropping-particle" : "", "parse-names" : false, "suffix" : "" }, { "dropping-particle" : "V.", "family" : "Timm", "given" : "J.", "non-dropping-particle" : "", "parse-names" : false, "suffix" : "" } ], "container-title" : "Transplantation Proceedings", "id" : "ITEM-1", "issue" : "7", "issued" : { "date-parts" : [ [ "2010" ] ] }, "page" : "2617-2624", "publisher" : "Elsevier Inc.", "title" : "Safety and effectiveness of intensive insulin protocol use in post-operative liver transplant recipients", "type" : "article-journal", "volume" : "42" }, "uris" : [ "http://www.mendeley.com/documents/?uuid=f2050c13-2ec3-4780-995a-6d783e41ef52" ] } ], "mendeley" : { "formattedCitation" : "&lt;sup&gt;[17]&lt;/sup&gt;", "plainTextFormattedCitation" : "[17]", "previouslyFormattedCitation" : "&lt;sup&gt;[17]&lt;/sup&gt;"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[17]</w:t>
            </w:r>
            <w:r w:rsidR="00EA5B56" w:rsidRPr="008A2C60">
              <w:rPr>
                <w:rFonts w:ascii="Book Antiqua" w:hAnsi="Book Antiqua"/>
                <w:i/>
              </w:rPr>
              <w:fldChar w:fldCharType="end"/>
            </w:r>
          </w:p>
        </w:tc>
        <w:tc>
          <w:tcPr>
            <w:tcW w:w="727" w:type="pct"/>
          </w:tcPr>
          <w:p w14:paraId="61182EE1" w14:textId="5DB40502" w:rsidR="00EF0B18" w:rsidRPr="008A2C60" w:rsidRDefault="009806A0" w:rsidP="009806A0">
            <w:pPr>
              <w:widowControl w:val="0"/>
              <w:spacing w:line="360" w:lineRule="auto"/>
              <w:contextualSpacing/>
              <w:jc w:val="center"/>
              <w:rPr>
                <w:rFonts w:ascii="Book Antiqua" w:hAnsi="Book Antiqua"/>
              </w:rPr>
            </w:pPr>
            <w:r w:rsidRPr="008A2C60">
              <w:rPr>
                <w:rFonts w:ascii="Book Antiqua" w:hAnsi="Book Antiqua"/>
              </w:rPr>
              <w:t>U</w:t>
            </w:r>
            <w:r>
              <w:rPr>
                <w:rFonts w:ascii="Book Antiqua" w:hAnsi="Book Antiqua" w:hint="eastAsia"/>
                <w:lang w:eastAsia="zh-CN"/>
              </w:rPr>
              <w:t>nited States</w:t>
            </w:r>
          </w:p>
        </w:tc>
        <w:tc>
          <w:tcPr>
            <w:tcW w:w="308" w:type="pct"/>
          </w:tcPr>
          <w:p w14:paraId="77CB57AF"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2010</w:t>
            </w:r>
          </w:p>
        </w:tc>
        <w:tc>
          <w:tcPr>
            <w:tcW w:w="443" w:type="pct"/>
          </w:tcPr>
          <w:p w14:paraId="4EEFCEA2"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161</w:t>
            </w:r>
          </w:p>
          <w:p w14:paraId="60D6F2A5"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 xml:space="preserve">(158 were available for </w:t>
            </w:r>
            <w:r w:rsidRPr="008A2C60">
              <w:rPr>
                <w:rFonts w:ascii="Book Antiqua" w:hAnsi="Book Antiqua"/>
              </w:rPr>
              <w:lastRenderedPageBreak/>
              <w:t>analysis)</w:t>
            </w:r>
          </w:p>
        </w:tc>
        <w:tc>
          <w:tcPr>
            <w:tcW w:w="690" w:type="pct"/>
          </w:tcPr>
          <w:p w14:paraId="31277CF5" w14:textId="77777777" w:rsidR="00EF0B18" w:rsidRPr="008A2C60" w:rsidRDefault="00114EC3" w:rsidP="009806A0">
            <w:pPr>
              <w:widowControl w:val="0"/>
              <w:spacing w:line="360" w:lineRule="auto"/>
              <w:contextualSpacing/>
              <w:jc w:val="center"/>
              <w:rPr>
                <w:rFonts w:ascii="Book Antiqua" w:hAnsi="Book Antiqua"/>
              </w:rPr>
            </w:pPr>
            <w:r w:rsidRPr="008A2C60">
              <w:rPr>
                <w:rFonts w:ascii="Book Antiqua" w:hAnsi="Book Antiqua"/>
              </w:rPr>
              <w:lastRenderedPageBreak/>
              <w:t>Pre-protocol</w:t>
            </w:r>
          </w:p>
        </w:tc>
        <w:tc>
          <w:tcPr>
            <w:tcW w:w="720" w:type="pct"/>
          </w:tcPr>
          <w:p w14:paraId="52F194C0" w14:textId="77777777" w:rsidR="00EF0B18" w:rsidRPr="008A2C60" w:rsidRDefault="00114EC3" w:rsidP="009806A0">
            <w:pPr>
              <w:widowControl w:val="0"/>
              <w:spacing w:line="360" w:lineRule="auto"/>
              <w:contextualSpacing/>
              <w:jc w:val="center"/>
              <w:rPr>
                <w:rFonts w:ascii="Book Antiqua" w:hAnsi="Book Antiqua"/>
              </w:rPr>
            </w:pPr>
            <w:r w:rsidRPr="008A2C60">
              <w:rPr>
                <w:rFonts w:ascii="Book Antiqua" w:hAnsi="Book Antiqua"/>
              </w:rPr>
              <w:t>Protocol</w:t>
            </w:r>
          </w:p>
        </w:tc>
        <w:tc>
          <w:tcPr>
            <w:tcW w:w="808" w:type="pct"/>
          </w:tcPr>
          <w:p w14:paraId="18E46A1C"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Mortality</w:t>
            </w:r>
          </w:p>
          <w:p w14:paraId="0DC77E48"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Morbidity</w:t>
            </w:r>
          </w:p>
          <w:p w14:paraId="394435EC"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Graft function</w:t>
            </w:r>
          </w:p>
        </w:tc>
        <w:tc>
          <w:tcPr>
            <w:tcW w:w="663" w:type="pct"/>
          </w:tcPr>
          <w:p w14:paraId="08D56732" w14:textId="77777777" w:rsidR="00EF0B18" w:rsidRPr="008A2C60" w:rsidRDefault="00EF0B18" w:rsidP="009806A0">
            <w:pPr>
              <w:widowControl w:val="0"/>
              <w:spacing w:line="360" w:lineRule="auto"/>
              <w:contextualSpacing/>
              <w:jc w:val="center"/>
              <w:rPr>
                <w:rFonts w:ascii="Book Antiqua" w:hAnsi="Book Antiqua"/>
              </w:rPr>
            </w:pPr>
          </w:p>
        </w:tc>
      </w:tr>
      <w:tr w:rsidR="00CD68E9" w:rsidRPr="008A2C60" w14:paraId="0E744BA2" w14:textId="77777777" w:rsidTr="00CD68E9">
        <w:tc>
          <w:tcPr>
            <w:tcW w:w="641" w:type="pct"/>
          </w:tcPr>
          <w:p w14:paraId="4451C8A8" w14:textId="1B142D4A" w:rsidR="00622C9E" w:rsidRPr="008A2C60" w:rsidRDefault="00622C9E" w:rsidP="006B795E">
            <w:pPr>
              <w:widowControl w:val="0"/>
              <w:spacing w:line="360" w:lineRule="auto"/>
              <w:contextualSpacing/>
              <w:jc w:val="both"/>
              <w:rPr>
                <w:rFonts w:ascii="Book Antiqua" w:hAnsi="Book Antiqua"/>
              </w:rPr>
            </w:pPr>
            <w:r w:rsidRPr="008A2C60">
              <w:rPr>
                <w:rFonts w:ascii="Book Antiqua" w:hAnsi="Book Antiqua"/>
              </w:rPr>
              <w:lastRenderedPageBreak/>
              <w:t xml:space="preserve">Linder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"10.1177/1060028015627662", "ISSN" : "1060-0280", "author" : [ { "dropping-particle" : "", "family" : "Linder", "given" : "K E", "non-dropping-particle" : "", "parse-names" : false, "suffix" : "" }, { "dropping-particle" : "", "family" : "Baker", "given" : "W L", "non-dropping-particle" : "", "parse-names" : false, "suffix" : "" }, { "dropping-particle" : "", "family" : "Rochon", "given" : "C", "non-dropping-particle" : "", "parse-names" : false, "suffix" : "" }, { "dropping-particle" : "", "family" : "May", "given" : "S T", "non-dropping-particle" : "", "parse-names" : false, "suffix" : "" }, { "dropping-particle" : "", "family" : "Sheiner", "given" : "P A", "non-dropping-particle" : "", "parse-names" : false, "suffix" : "" }, { "dropping-particle" : "", "family" : "Martin", "given" : "S T", "non-dropping-particle" : "", "parse-names" : false, "suffix" : "" } ], "container-title" : "Annals of Pharmacotherapy", "id" : "ITEM-1", "issued" : { "date-parts" : [ [ "2016" ] ] }, "title" : "Evaluation of Posttransplantation Diabetes Mellitus After Liver Transplantation: Assessment of Insulin Administration as a Risk Factor", "type" : "article-journal" }, "uris" : [ "http://www.mendeley.com/documents/?uuid=a904ad99-f4a7-4433-b70a-bd175cdafaf6" ] } ], "mendeley" : { "formattedCitation" : "&lt;sup&gt;[18]&lt;/sup&gt;", "plainTextFormattedCitation" : "[18]", "previouslyFormattedCitation" : "&lt;sup&gt;[18]&lt;/sup&gt;"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[18]</w:t>
            </w:r>
            <w:r w:rsidR="00EA5B56" w:rsidRPr="008A2C60">
              <w:rPr>
                <w:rFonts w:ascii="Book Antiqua" w:hAnsi="Book Antiqua"/>
                <w:i/>
              </w:rPr>
              <w:fldChar w:fldCharType="end"/>
            </w:r>
          </w:p>
        </w:tc>
        <w:tc>
          <w:tcPr>
            <w:tcW w:w="727" w:type="pct"/>
          </w:tcPr>
          <w:p w14:paraId="108BBF82" w14:textId="19E94C94" w:rsidR="00622C9E" w:rsidRPr="008A2C60" w:rsidRDefault="009806A0" w:rsidP="009806A0">
            <w:pPr>
              <w:widowControl w:val="0"/>
              <w:spacing w:line="360" w:lineRule="auto"/>
              <w:contextualSpacing/>
              <w:jc w:val="center"/>
              <w:rPr>
                <w:rFonts w:ascii="Book Antiqua" w:hAnsi="Book Antiqua"/>
              </w:rPr>
            </w:pPr>
            <w:r w:rsidRPr="008A2C60">
              <w:rPr>
                <w:rFonts w:ascii="Book Antiqua" w:hAnsi="Book Antiqua"/>
              </w:rPr>
              <w:t>U</w:t>
            </w:r>
            <w:r>
              <w:rPr>
                <w:rFonts w:ascii="Book Antiqua" w:hAnsi="Book Antiqua" w:hint="eastAsia"/>
                <w:lang w:eastAsia="zh-CN"/>
              </w:rPr>
              <w:t>nited States</w:t>
            </w:r>
          </w:p>
        </w:tc>
        <w:tc>
          <w:tcPr>
            <w:tcW w:w="308" w:type="pct"/>
          </w:tcPr>
          <w:p w14:paraId="5C3E95F9" w14:textId="77777777"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2016</w:t>
            </w:r>
          </w:p>
        </w:tc>
        <w:tc>
          <w:tcPr>
            <w:tcW w:w="443" w:type="pct"/>
          </w:tcPr>
          <w:p w14:paraId="680C50B0" w14:textId="77777777"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114</w:t>
            </w:r>
          </w:p>
        </w:tc>
        <w:tc>
          <w:tcPr>
            <w:tcW w:w="690" w:type="pct"/>
          </w:tcPr>
          <w:p w14:paraId="3B806AF8" w14:textId="0886BD74" w:rsidR="00622C9E" w:rsidRPr="008A2C60" w:rsidRDefault="009806A0" w:rsidP="009806A0">
            <w:pPr>
              <w:widowControl w:val="0"/>
              <w:spacing w:line="360" w:lineRule="auto"/>
              <w:contextualSpacing/>
              <w:jc w:val="center"/>
              <w:rPr>
                <w:rFonts w:ascii="Book Antiqua" w:hAnsi="Book Antiqua"/>
                <w:lang w:eastAsia="zh-CN"/>
              </w:rPr>
            </w:pPr>
            <w:r>
              <w:rPr>
                <w:rFonts w:ascii="Book Antiqua" w:hAnsi="Book Antiqua"/>
              </w:rPr>
              <w:t>PTDM</w:t>
            </w:r>
          </w:p>
        </w:tc>
        <w:tc>
          <w:tcPr>
            <w:tcW w:w="720" w:type="pct"/>
          </w:tcPr>
          <w:p w14:paraId="48948FAC" w14:textId="4F6B8CB6" w:rsidR="00622C9E" w:rsidRPr="008A2C60" w:rsidRDefault="00CD68E9" w:rsidP="009806A0">
            <w:pPr>
              <w:widowControl w:val="0"/>
              <w:spacing w:line="360" w:lineRule="auto"/>
              <w:contextualSpacing/>
              <w:jc w:val="center"/>
              <w:rPr>
                <w:rFonts w:ascii="Book Antiqua" w:hAnsi="Book Antiqua"/>
                <w:lang w:eastAsia="zh-CN"/>
              </w:rPr>
            </w:pPr>
            <w:r w:rsidRPr="008A2C60">
              <w:rPr>
                <w:rFonts w:ascii="Book Antiqua" w:hAnsi="Book Antiqua"/>
              </w:rPr>
              <w:t>N</w:t>
            </w:r>
            <w:r w:rsidR="007B490C" w:rsidRPr="008A2C60">
              <w:rPr>
                <w:rFonts w:ascii="Book Antiqua" w:hAnsi="Book Antiqua"/>
              </w:rPr>
              <w:t>on-</w:t>
            </w:r>
            <w:r w:rsidR="009806A0">
              <w:rPr>
                <w:rFonts w:ascii="Book Antiqua" w:hAnsi="Book Antiqua"/>
              </w:rPr>
              <w:t>PTDM</w:t>
            </w:r>
          </w:p>
        </w:tc>
        <w:tc>
          <w:tcPr>
            <w:tcW w:w="808" w:type="pct"/>
          </w:tcPr>
          <w:p w14:paraId="0658A2B0" w14:textId="047C4CCF" w:rsidR="00622C9E" w:rsidRPr="008A2C60" w:rsidRDefault="005636AE" w:rsidP="009806A0">
            <w:pPr>
              <w:widowControl w:val="0"/>
              <w:spacing w:line="360" w:lineRule="auto"/>
              <w:contextualSpacing/>
              <w:jc w:val="center"/>
              <w:rPr>
                <w:rFonts w:ascii="Book Antiqua" w:hAnsi="Book Antiqua"/>
              </w:rPr>
            </w:pPr>
            <w:r w:rsidRPr="008A2C60">
              <w:rPr>
                <w:rFonts w:ascii="Book Antiqua" w:hAnsi="Book Antiqua"/>
              </w:rPr>
              <w:t>PTDM</w:t>
            </w:r>
          </w:p>
        </w:tc>
        <w:tc>
          <w:tcPr>
            <w:tcW w:w="663" w:type="pct"/>
          </w:tcPr>
          <w:p w14:paraId="1165EE51" w14:textId="77777777"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BPAR, allograft failure, death, CMV infection are additional endpoints</w:t>
            </w:r>
          </w:p>
        </w:tc>
      </w:tr>
      <w:tr w:rsidR="00CD68E9" w:rsidRPr="008A2C60" w14:paraId="4ECC6A09" w14:textId="77777777" w:rsidTr="00CD68E9">
        <w:tc>
          <w:tcPr>
            <w:tcW w:w="641" w:type="pct"/>
          </w:tcPr>
          <w:p w14:paraId="530F6271" w14:textId="397A27AD" w:rsidR="00622C9E" w:rsidRPr="008A2C60" w:rsidRDefault="00622C9E" w:rsidP="006B795E">
            <w:pPr>
              <w:widowControl w:val="0"/>
              <w:spacing w:line="360" w:lineRule="auto"/>
              <w:contextualSpacing/>
              <w:jc w:val="both"/>
              <w:rPr>
                <w:rFonts w:ascii="Book Antiqua" w:hAnsi="Book Antiqua"/>
              </w:rPr>
            </w:pPr>
            <w:r w:rsidRPr="008A2C60">
              <w:rPr>
                <w:rFonts w:ascii="Book Antiqua" w:hAnsi="Book Antiqua"/>
              </w:rPr>
              <w:t xml:space="preserve">Park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"10.1097/TP.0b013e31819cc3e6", "ISBN" : "1534-6080", "ISSN" : "1534-6080", "PMID" : "19352123", "abstract" : "BACKGROUND: Surgical site infection (SSI) is a common postoperative complication associated with increased morbidity and mortality in patients undergoing liver transplantation (LT). Although intraoperative hyperglycemia has been shown to be associated with adverse postoperative outcomes including overall infection rate in LT patients, a relationship between intraoperative hyperglycemia and SSI in LT has not been established. We sought to determine if intraoperative hyperglycemia was associated with SSI after LT.\\n\\nMETHODS: Patients undergoing LT at our medical center between January 2004 and November 2007 were included in the study. Recipient, donor, and intraoperative variables including a variety of glucose indices were retrospectively analyzed. Independent risk factors of SSI were identified using a multivariate logistic regression model.\\n\\nRESULTS: Of 680 patients, 76 (11.2%) experienced postoperative SSIs. Among all intraoperative glucose indices analyzed, severe hyperglycemia (&gt;or= 200 mg/dL) was independently associated with postoperative SSI (odds ratio [OR] 2.25, 95% confidence interval [CI] 1.26-4.03, P=0.006). Other independent risk factors include repeat surgery (OR 6.58, 95% CI 3.41-12.69, P&lt;0.001), intraoperative administration of vasopressor (OR 3.14, 95% CI 1.65-5.95, P&lt;0.001), preoperative mechanical ventilation (OR 3.01, 95% CI 1.70-5.33, P&lt;0.001), and combined liver and kidney transplantation (OR 2.95, 95% CI 3.41-12.69, P&lt;0.001).\\n\\nCONCLUSIONS: Severe, but not mild or moderate, intraoperative hyperglycemia is independently associated with postoperative SSI and should be avoided during LT surgery.", "author" : [ { "dropping-particle" : "", "family" : "Park", "given" : "Chulsoo", "non-dropping-particle" : "", "parse-names" : false, "suffix" : "" }, { "dropping-particle" : "", "family" : "Hsu", "given" : "Chehao", "non-dropping-particle" : "", "parse-names" : false, "suffix" : "" }, { "dropping-particle" : "", "family" : "Neelakanta", "given" : "Gundappa", "non-dropping-particle" : "", "parse-names" : false, "suffix" : "" }, { "dropping-particle" : "", "family" : "Nourmand", "given" : "Hamid", "non-dropping-particle" : "", "parse-names" : false, "suffix" : "" }, { "dropping-particle" : "", "family" : "Braunfeld", "given" : "Michelle", "non-dropping-particle" : "", "parse-names" : false, "suffix" : "" }, { "dropping-particle" : "", "family" : "Wray", "given" : "Christopher", "non-dropping-particle" : "", "parse-names" : false, "suffix" : "" }, { "dropping-particle" : "", "family" : "Steadman", "given" : "Randolph H", "non-dropping-particle" : "", "parse-names" : false, "suffix" : "" }, { "dropping-particle" : "", "family" : "Hu", "given" : "Ke-Qin", "non-dropping-particle" : "", "parse-names" : false, "suffix" : "" }, { "dropping-particle" : "", "family" : "Cheng", "given" : "Ronald T", "non-dropping-particle" : "", "parse-names" : false, "suffix" : "" }, { "dropping-particle" : "", "family" : "Xia", "given" : "Victor W", "non-dropping-particle" : "", "parse-names" : false, "suffix" : "" } ], "container-title" : "Transplantation", "id" : "ITEM-1", "issue" : "7", "issued" : { "date-parts" : [ [ "2009" ] ] }, "page" : "1031-6", "title" : "Severe intraoperative hyperglycemia is independently associated with surgical site infection after liver transplantation.", "type" : "article-journal", "volume" : "87" }, "uris" : [ "http://www.mendeley.com/documents/?uuid=126dab49-d2fd-43f6-bc13-46460424d959" ] } ], "mendeley" : { "formattedCitation" : "&lt;sup&gt;[4]&lt;/sup&gt;", "plainTextFormattedCitation" : "[4]", "previouslyFormattedCitation" : "&lt;sup&gt;[4]&lt;/sup&gt;"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[4]</w:t>
            </w:r>
            <w:r w:rsidR="00EA5B56" w:rsidRPr="008A2C60">
              <w:rPr>
                <w:rFonts w:ascii="Book Antiqua" w:hAnsi="Book Antiqua"/>
                <w:i/>
              </w:rPr>
              <w:fldChar w:fldCharType="end"/>
            </w:r>
          </w:p>
        </w:tc>
        <w:tc>
          <w:tcPr>
            <w:tcW w:w="727" w:type="pct"/>
          </w:tcPr>
          <w:p w14:paraId="104062F8" w14:textId="63870E62" w:rsidR="00622C9E" w:rsidRPr="008A2C60" w:rsidRDefault="009806A0" w:rsidP="009806A0">
            <w:pPr>
              <w:widowControl w:val="0"/>
              <w:spacing w:line="360" w:lineRule="auto"/>
              <w:contextualSpacing/>
              <w:jc w:val="center"/>
              <w:rPr>
                <w:rFonts w:ascii="Book Antiqua" w:hAnsi="Book Antiqua"/>
              </w:rPr>
            </w:pPr>
            <w:r w:rsidRPr="008A2C60">
              <w:rPr>
                <w:rFonts w:ascii="Book Antiqua" w:hAnsi="Book Antiqua"/>
              </w:rPr>
              <w:t>U</w:t>
            </w:r>
            <w:r>
              <w:rPr>
                <w:rFonts w:ascii="Book Antiqua" w:hAnsi="Book Antiqua" w:hint="eastAsia"/>
                <w:lang w:eastAsia="zh-CN"/>
              </w:rPr>
              <w:t>nited States</w:t>
            </w:r>
            <w:r>
              <w:rPr>
                <w:rFonts w:ascii="Book Antiqua" w:hAnsi="Book Antiqua"/>
              </w:rPr>
              <w:t>/</w:t>
            </w:r>
            <w:r w:rsidR="004938C3" w:rsidRPr="008A2C60">
              <w:rPr>
                <w:rFonts w:ascii="Book Antiqua" w:hAnsi="Book Antiqua"/>
              </w:rPr>
              <w:t>Taiwan</w:t>
            </w:r>
          </w:p>
        </w:tc>
        <w:tc>
          <w:tcPr>
            <w:tcW w:w="308" w:type="pct"/>
          </w:tcPr>
          <w:p w14:paraId="11217660" w14:textId="77777777"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2009</w:t>
            </w:r>
          </w:p>
        </w:tc>
        <w:tc>
          <w:tcPr>
            <w:tcW w:w="443" w:type="pct"/>
          </w:tcPr>
          <w:p w14:paraId="4BC6EFC8" w14:textId="77777777"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680</w:t>
            </w:r>
          </w:p>
        </w:tc>
        <w:tc>
          <w:tcPr>
            <w:tcW w:w="690" w:type="pct"/>
          </w:tcPr>
          <w:p w14:paraId="29E99A42" w14:textId="77777777" w:rsidR="00622C9E" w:rsidRPr="008A2C60" w:rsidRDefault="006F6035" w:rsidP="009806A0">
            <w:pPr>
              <w:widowControl w:val="0"/>
              <w:spacing w:line="360" w:lineRule="auto"/>
              <w:contextualSpacing/>
              <w:jc w:val="center"/>
              <w:rPr>
                <w:rFonts w:ascii="Book Antiqua" w:hAnsi="Book Antiqua"/>
              </w:rPr>
            </w:pPr>
            <w:r w:rsidRPr="008A2C60">
              <w:rPr>
                <w:rFonts w:ascii="Book Antiqua" w:hAnsi="Book Antiqua"/>
              </w:rPr>
              <w:t>SSI</w:t>
            </w:r>
            <w:r w:rsidR="00515DE4" w:rsidRPr="008A2C60">
              <w:rPr>
                <w:rFonts w:ascii="Book Antiqua" w:hAnsi="Book Antiqua"/>
              </w:rPr>
              <w:t xml:space="preserve"> (Yes)</w:t>
            </w:r>
          </w:p>
        </w:tc>
        <w:tc>
          <w:tcPr>
            <w:tcW w:w="720" w:type="pct"/>
          </w:tcPr>
          <w:p w14:paraId="01CF9E36" w14:textId="77777777" w:rsidR="00622C9E" w:rsidRPr="008A2C60" w:rsidRDefault="00515DE4" w:rsidP="009806A0">
            <w:pPr>
              <w:widowControl w:val="0"/>
              <w:spacing w:line="360" w:lineRule="auto"/>
              <w:contextualSpacing/>
              <w:jc w:val="center"/>
              <w:rPr>
                <w:rFonts w:ascii="Book Antiqua" w:hAnsi="Book Antiqua"/>
              </w:rPr>
            </w:pPr>
            <w:r w:rsidRPr="008A2C60">
              <w:rPr>
                <w:rFonts w:ascii="Book Antiqua" w:hAnsi="Book Antiqua"/>
              </w:rPr>
              <w:t>SSI (No)</w:t>
            </w:r>
          </w:p>
        </w:tc>
        <w:tc>
          <w:tcPr>
            <w:tcW w:w="808" w:type="pct"/>
          </w:tcPr>
          <w:p w14:paraId="14F534FE" w14:textId="701FEA10"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SSI</w:t>
            </w:r>
          </w:p>
        </w:tc>
        <w:tc>
          <w:tcPr>
            <w:tcW w:w="663" w:type="pct"/>
          </w:tcPr>
          <w:p w14:paraId="1DFEB0AC" w14:textId="77777777" w:rsidR="00622C9E" w:rsidRPr="008A2C60" w:rsidRDefault="00622C9E" w:rsidP="009806A0">
            <w:pPr>
              <w:widowControl w:val="0"/>
              <w:spacing w:line="360" w:lineRule="auto"/>
              <w:contextualSpacing/>
              <w:jc w:val="center"/>
              <w:rPr>
                <w:rFonts w:ascii="Book Antiqua" w:hAnsi="Book Antiqua"/>
              </w:rPr>
            </w:pPr>
          </w:p>
        </w:tc>
      </w:tr>
      <w:tr w:rsidR="00CD68E9" w:rsidRPr="008A2C60" w14:paraId="22529BBE" w14:textId="77777777" w:rsidTr="00CD68E9">
        <w:tc>
          <w:tcPr>
            <w:tcW w:w="641" w:type="pct"/>
          </w:tcPr>
          <w:p w14:paraId="130CB3EA" w14:textId="20EA8EE8" w:rsidR="00EF0B18" w:rsidRPr="008A2C60" w:rsidRDefault="00EF0B18" w:rsidP="006B795E">
            <w:pPr>
              <w:widowControl w:val="0"/>
              <w:spacing w:line="360" w:lineRule="auto"/>
              <w:contextualSpacing/>
              <w:jc w:val="both"/>
              <w:rPr>
                <w:rFonts w:ascii="Book Antiqua" w:hAnsi="Book Antiqua"/>
              </w:rPr>
            </w:pPr>
            <w:r w:rsidRPr="008A2C60">
              <w:rPr>
                <w:rFonts w:ascii="Book Antiqua" w:hAnsi="Book Antiqua"/>
              </w:rPr>
              <w:t xml:space="preserve">Trail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"ISSN" : "1074-3022", "PMID" : "9346661", "abstract" : "It is not well understood whether posttransplant diabetes mellitus (PTDM) following orthotopic liver transplantation (OLTx) alters postoperative morbidity. This study was designed to evaluate this question. All adult patients who received an OLTx between July 1985 and March 1993 (n = 497) were evaluated by retrospective chart review for evidence of PTDM after OLTx. The patients identified with PTDM (n = 26) were case matched with nondiabetic OLTx recipients based on primary liver disease diagnosis, age, gender, date of first OLTx, and survival. Liver synthetic function, number and severity of rejection episodes, graft survival, total number of hospital days within the first year post-OLTx, renal function, and number and type of infection episodes were analyzed to assess differences in morbidity between the PTDM and control patients after OLTx. Of the 497 adult patients who underwent OLTx, 26 (5.2%) were identified as having PTDM within 1 month of discharge. Factors which identified individuals at higher risk for DM after OLTx included higher pre-OLTx fasting blood glucose (P = .04); lower body mass index after OLTx (P = .02); and cyclosporine rather than OKT3 induction (P = .009). Graft survival, synthetic function, and the total number of rejection episodes during the first year were not different between the two groups. The morbidity variables of total number of days in the hospital during the first 12 months, renal function, and type and number of infections were also similar between the two groups. In summary, 5.2% of adult patients developed DM within 1 month of OLTx. Pre-existing insulin resistance, postoperative stress, and immunosuppression medications all likely contribute to the development of overt hyperglycemia after OLTx. Although PTDM can be a consequence of OLTx, it does not have a significant impact on patient outcome in the first year after OLTx.", "author" : [ { "dropping-particle" : "", "family" : "Trail", "given" : "K C", "non-dropping-particle" : "", "parse-names" : false, "suffix" : "" }, { "dropping-particle" : "", "family" : "McCashland", "given" : "T M", "non-dropping-particle" : "", "parse-names" : false, "suffix" : "" }, { "dropping-particle" : "", "family" : "Larsen", "given" : "J L", "non-dropping-particle" : "", "parse-names" : false, "suffix" : "" }, { "dropping-particle" : "", "family" : "Heffron", "given" : "T G", "non-dropping-particle" : "", "parse-names" : false, "suffix" : "" }, { "dropping-particle" : "", "family" : "Stratta", "given" : "R J", "non-dropping-particle" : "", "parse-names" : false, "suffix" : "" }, { "dropping-particle" : "", "family" : "Langnas", "given" : "A N", "non-dropping-particle" : "", "parse-names" : false, "suffix" : "" }, { "dropping-particle" : "", "family" : "Fox", "given" : "I J", "non-dropping-particle" : "", "parse-names" : false, "suffix" : "" }, { "dropping-particle" : "", "family" : "Zetterman", "given" : "R K", "non-dropping-particle" : "", "parse-names" : false, "suffix" : "" }, { "dropping-particle" : "", "family" : "Donovan", "given" : "J P", "non-dropping-particle" : "", "parse-names" : false, "suffix" : "" }, { "dropping-particle" : "", "family" : "Sorrell", "given" : "M F", "non-dropping-particle" : "", "parse-names" : false, "suffix" : "" }, { "dropping-particle" : "", "family" : "Pillen", "given" : "T J", "non-dropping-particle" : "", "parse-names" : false, "suffix" : "" }, { "dropping-particle" : "", "family" : "Ruby", "given" : "E I", "non-dropping-particle" : "", "parse-names" : false, "suffix" : "" }, { "dropping-particle" : "", "family" : "Shaw", "given" : "B W", "non-dropping-particle" : "", "parse-names" : false, "suffix" : "" } ], "container-title" : "Liver transplantation and surgery : official publication of the American Association for the Study of Liver Diseases and the International Liver Transplantation Society", "id" : "ITEM-1", "issue" : "4", "issued" : { "date-parts" : [ [ "1996" ] ] }, "page" : "276-83", "title" : "Morbidity in patients with posttransplant diabetes mellitus following orthotopic liver transplantation.", "type" : "article-journal", "volume" : "2" }, "uris" : [ "http://www.mendeley.com/documents/?uuid=66f357c4-f23e-4cb6-8fd8-4b3844f78e87" ] } ], "mendeley" : { "formattedCitation" : "&lt;sup&gt;[20]&lt;/sup&gt;", "plainTextFormattedCitation" : "[20]", "previouslyFormattedCitation" : "&lt;sup&gt;[20]&lt;/sup&gt;"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[20]</w:t>
            </w:r>
            <w:r w:rsidR="00EA5B56" w:rsidRPr="008A2C60">
              <w:rPr>
                <w:rFonts w:ascii="Book Antiqua" w:hAnsi="Book Antiqua"/>
                <w:i/>
              </w:rPr>
              <w:fldChar w:fldCharType="end"/>
            </w:r>
          </w:p>
        </w:tc>
        <w:tc>
          <w:tcPr>
            <w:tcW w:w="727" w:type="pct"/>
          </w:tcPr>
          <w:p w14:paraId="695EC6E9" w14:textId="56BAA4E3" w:rsidR="00EF0B18" w:rsidRPr="008A2C60" w:rsidRDefault="009806A0" w:rsidP="009806A0">
            <w:pPr>
              <w:widowControl w:val="0"/>
              <w:spacing w:line="360" w:lineRule="auto"/>
              <w:contextualSpacing/>
              <w:jc w:val="center"/>
              <w:rPr>
                <w:rFonts w:ascii="Book Antiqua" w:hAnsi="Book Antiqua"/>
              </w:rPr>
            </w:pPr>
            <w:r w:rsidRPr="008A2C60">
              <w:rPr>
                <w:rFonts w:ascii="Book Antiqua" w:hAnsi="Book Antiqua"/>
              </w:rPr>
              <w:t>U</w:t>
            </w:r>
            <w:r>
              <w:rPr>
                <w:rFonts w:ascii="Book Antiqua" w:hAnsi="Book Antiqua" w:hint="eastAsia"/>
                <w:lang w:eastAsia="zh-CN"/>
              </w:rPr>
              <w:t>nited States</w:t>
            </w:r>
          </w:p>
        </w:tc>
        <w:tc>
          <w:tcPr>
            <w:tcW w:w="308" w:type="pct"/>
          </w:tcPr>
          <w:p w14:paraId="7401CD9B"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1996</w:t>
            </w:r>
          </w:p>
        </w:tc>
        <w:tc>
          <w:tcPr>
            <w:tcW w:w="443" w:type="pct"/>
          </w:tcPr>
          <w:p w14:paraId="0439A1E8"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497</w:t>
            </w:r>
          </w:p>
        </w:tc>
        <w:tc>
          <w:tcPr>
            <w:tcW w:w="690" w:type="pct"/>
          </w:tcPr>
          <w:p w14:paraId="3204F8A8" w14:textId="5E5307E5" w:rsidR="00EF0B18" w:rsidRPr="008A2C60" w:rsidRDefault="00515DE4" w:rsidP="009806A0">
            <w:pPr>
              <w:widowControl w:val="0"/>
              <w:spacing w:line="360" w:lineRule="auto"/>
              <w:contextualSpacing/>
              <w:jc w:val="center"/>
              <w:rPr>
                <w:rFonts w:ascii="Book Antiqua" w:hAnsi="Book Antiqua"/>
              </w:rPr>
            </w:pPr>
            <w:r w:rsidRPr="008A2C60">
              <w:rPr>
                <w:rFonts w:ascii="Book Antiqua" w:hAnsi="Book Antiqua"/>
              </w:rPr>
              <w:t>PTDM</w:t>
            </w:r>
          </w:p>
        </w:tc>
        <w:tc>
          <w:tcPr>
            <w:tcW w:w="720" w:type="pct"/>
          </w:tcPr>
          <w:p w14:paraId="03C4016D" w14:textId="2D10A3C0" w:rsidR="00EF0B18" w:rsidRPr="008A2C60" w:rsidRDefault="00515DE4" w:rsidP="009806A0">
            <w:pPr>
              <w:widowControl w:val="0"/>
              <w:spacing w:line="360" w:lineRule="auto"/>
              <w:contextualSpacing/>
              <w:jc w:val="center"/>
              <w:rPr>
                <w:rFonts w:ascii="Book Antiqua" w:hAnsi="Book Antiqua"/>
              </w:rPr>
            </w:pPr>
            <w:r w:rsidRPr="008A2C60">
              <w:rPr>
                <w:rFonts w:ascii="Book Antiqua" w:hAnsi="Book Antiqua"/>
              </w:rPr>
              <w:t>Case-</w:t>
            </w:r>
            <w:r w:rsidR="009806A0" w:rsidRPr="008A2C60">
              <w:rPr>
                <w:rFonts w:ascii="Book Antiqua" w:hAnsi="Book Antiqua"/>
              </w:rPr>
              <w:t>con</w:t>
            </w:r>
            <w:r w:rsidRPr="008A2C60">
              <w:rPr>
                <w:rFonts w:ascii="Book Antiqua" w:hAnsi="Book Antiqua"/>
              </w:rPr>
              <w:t>trol</w:t>
            </w:r>
          </w:p>
        </w:tc>
        <w:tc>
          <w:tcPr>
            <w:tcW w:w="808" w:type="pct"/>
          </w:tcPr>
          <w:p w14:paraId="11777583" w14:textId="25B261CC" w:rsidR="00EF0B18" w:rsidRPr="008A2C60" w:rsidRDefault="005636AE" w:rsidP="009806A0">
            <w:pPr>
              <w:widowControl w:val="0"/>
              <w:spacing w:line="360" w:lineRule="auto"/>
              <w:contextualSpacing/>
              <w:jc w:val="center"/>
              <w:rPr>
                <w:rFonts w:ascii="Book Antiqua" w:hAnsi="Book Antiqua"/>
              </w:rPr>
            </w:pPr>
            <w:r w:rsidRPr="008A2C60">
              <w:rPr>
                <w:rFonts w:ascii="Book Antiqua" w:hAnsi="Book Antiqua"/>
              </w:rPr>
              <w:t>PTDM</w:t>
            </w:r>
          </w:p>
          <w:p w14:paraId="2EE3DDEF" w14:textId="3B342B0E" w:rsidR="00EF0B18" w:rsidRPr="008A2C60" w:rsidRDefault="00CD68E9" w:rsidP="009806A0">
            <w:pPr>
              <w:widowControl w:val="0"/>
              <w:spacing w:line="360" w:lineRule="auto"/>
              <w:contextualSpacing/>
              <w:jc w:val="center"/>
              <w:rPr>
                <w:rFonts w:ascii="Book Antiqua" w:hAnsi="Book Antiqua"/>
              </w:rPr>
            </w:pPr>
            <w:r w:rsidRPr="008A2C60">
              <w:rPr>
                <w:rFonts w:ascii="Book Antiqua" w:hAnsi="Book Antiqua"/>
              </w:rPr>
              <w:t>mo</w:t>
            </w:r>
            <w:r w:rsidR="00EF0B18" w:rsidRPr="008A2C60">
              <w:rPr>
                <w:rFonts w:ascii="Book Antiqua" w:hAnsi="Book Antiqua"/>
              </w:rPr>
              <w:t>rbidity</w:t>
            </w:r>
          </w:p>
        </w:tc>
        <w:tc>
          <w:tcPr>
            <w:tcW w:w="663" w:type="pct"/>
          </w:tcPr>
          <w:p w14:paraId="76C5EE44" w14:textId="14DD2FB7" w:rsidR="00EF0B18" w:rsidRPr="008A2C60" w:rsidRDefault="005636AE" w:rsidP="009806A0">
            <w:pPr>
              <w:widowControl w:val="0"/>
              <w:spacing w:line="360" w:lineRule="auto"/>
              <w:contextualSpacing/>
              <w:jc w:val="center"/>
              <w:rPr>
                <w:rFonts w:ascii="Book Antiqua" w:hAnsi="Book Antiqua"/>
              </w:rPr>
            </w:pPr>
            <w:r w:rsidRPr="008A2C60">
              <w:rPr>
                <w:rFonts w:ascii="Book Antiqua" w:hAnsi="Book Antiqua"/>
              </w:rPr>
              <w:t xml:space="preserve">PTDM </w:t>
            </w:r>
            <w:r w:rsidR="00EF0B18" w:rsidRPr="008A2C60">
              <w:rPr>
                <w:rFonts w:ascii="Book Antiqua" w:hAnsi="Book Antiqua"/>
              </w:rPr>
              <w:t>leading to infection</w:t>
            </w:r>
            <w:r w:rsidR="00736880" w:rsidRPr="008A2C60">
              <w:rPr>
                <w:rFonts w:ascii="Book Antiqua" w:hAnsi="Book Antiqua"/>
              </w:rPr>
              <w:t>s</w:t>
            </w:r>
            <w:r w:rsidR="00EF0B18" w:rsidRPr="008A2C60">
              <w:rPr>
                <w:rFonts w:ascii="Book Antiqua" w:hAnsi="Book Antiqua"/>
              </w:rPr>
              <w:t xml:space="preserve"> and graft rejection</w:t>
            </w:r>
          </w:p>
        </w:tc>
      </w:tr>
      <w:tr w:rsidR="00CD68E9" w:rsidRPr="008A2C60" w14:paraId="04495136" w14:textId="77777777" w:rsidTr="00CD68E9">
        <w:tc>
          <w:tcPr>
            <w:tcW w:w="641" w:type="pct"/>
          </w:tcPr>
          <w:p w14:paraId="4D8CC307" w14:textId="7F13FA7C" w:rsidR="00622C9E" w:rsidRPr="008A2C60" w:rsidRDefault="00622C9E" w:rsidP="006B795E">
            <w:pPr>
              <w:widowControl w:val="0"/>
              <w:spacing w:line="360" w:lineRule="auto"/>
              <w:contextualSpacing/>
              <w:jc w:val="both"/>
              <w:rPr>
                <w:rFonts w:ascii="Book Antiqua" w:hAnsi="Book Antiqua"/>
              </w:rPr>
            </w:pPr>
            <w:proofErr w:type="spellStart"/>
            <w:r w:rsidRPr="008A2C60">
              <w:rPr>
                <w:rFonts w:ascii="Book Antiqua" w:hAnsi="Book Antiqua"/>
              </w:rPr>
              <w:t>Wallia</w:t>
            </w:r>
            <w:proofErr w:type="spellEnd"/>
            <w:r w:rsidRPr="008A2C60">
              <w:rPr>
                <w:rFonts w:ascii="Book Antiqua" w:hAnsi="Book Antiqua"/>
              </w:rPr>
              <w:t xml:space="preserve">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"PMID" : "20098286", "abstract" : "BACKGROUND Intensive glycemic control has been shown to positively impact outcomes in an intensive care setting. Whether this practice is beneficial after liver transplantation (LT) is not known. METHODS A retrospective review of patients undergoing LT from February 2002 to July 2007 was conducted to analyze the association between perioperative hyperglycemia and outcomes after LT. Covariates included preexisting diabetes, mean glucose 3 months pre-LT, need for insulin drip post-LT, mean total glucose during the post-LT hospitalization, age, sex, type of transplant, and model for end-stage liver disease score. Outcomes within 1 year of LT included rejection, infection, rehospitalization, prolonged ventilation, and patient/graft survival. RESULTS One hundred thirteen LT and 31 liver-kidney recipients were included. By multivariate logistic regression adjusting for covariates, the rejection rate was significantly lower for patients with postoperative glucose levels less than 200 mg/dL (n=114) vs. more than 200 mg/dL (n=30) (odds ratio: 0.055; 95% confidence interval: 0.0154-0.200; P&lt;0.001). The need for prolonged ventilation was more common in patients with glucose less than 200 vs. more than 200 mg/dL (odds ratio: 4.30; 95% confidence interval: 1.284-14.388; P=0.018). Although other outcomes, infection, rehospitalization, patient/graft survival, were not different among the glucose control groups, rejection was associated with increased rehospitalizations and infections. CONCLUSION Our data demonstrate an association between the immediate posttransplant glycemic control and the development of subsequent rejection. Prospective trials investigating the effects of perioperative glycemic control on outcomes and morbidity after LT are warranted.", "author" : [ { "dropping-particle" : "", "family" : "Wallia", "given" : "Amisha", "non-dropping-particle" : "", "parse-names" : false, "suffix" : "" }, { "dropping-particle" : "", "family" : "Parikh", "given" : "Neehar D", "non-dropping-particle" : "", "parse-names" : false, "suffix" : "" }, { "dropping-particle" : "", "family" : "Molitch", "given" : "Mark E", "non-dropping-particle" : "", "parse-names" : false, "suffix" : "" }, { "dropping-particle" : "", "family" : "Mahler", "given" : "Eileen", "non-dropping-particle" : "", "parse-names" : false, "suffix" : "" }, { "dropping-particle" : "", "family" : "Tian", "given" : "Lu", "non-dropping-particle" : "", "parse-names" : false, "suffix" : "" }, { "dropping-particle" : "", "family" : "Huang", "given" : "Jie Jenny", "non-dropping-particle" : "", "parse-names" : false, "suffix" : "" }, { "dropping-particle" : "", "family" : "Levitsky", "given" : "Josh", "non-dropping-particle" : "", "parse-names" : false, "suffix" : "" } ], "container-title" : "Transplantation", "id" : "ITEM-1", "issue" : "2", "issued" : { "date-parts" : [ [ "2010", "1" ] ] }, "page" : "222-6", "title" : "Posttransplant hyperglycemia is associated with increased risk of liver allograft rejection.", "type" : "article-journal", "volume" : "89" }, "uris" : [ "http://www.mendeley.com/documents/?uuid=8fdf0a70-4655-4bf9-97f1-ca55e6f463bb" ] } ], "mendeley" : { "formattedCitation" : "&lt;sup&gt;[1]&lt;/sup&gt;", "plainTextFormattedCitation" : "[1]", "previouslyFormattedCitation" : "&lt;sup&gt;[1]&lt;/sup&gt;"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[1]</w:t>
            </w:r>
            <w:r w:rsidR="00EA5B56" w:rsidRPr="008A2C60">
              <w:rPr>
                <w:rFonts w:ascii="Book Antiqua" w:hAnsi="Book Antiqua"/>
                <w:i/>
              </w:rPr>
              <w:fldChar w:fldCharType="end"/>
            </w:r>
          </w:p>
        </w:tc>
        <w:tc>
          <w:tcPr>
            <w:tcW w:w="727" w:type="pct"/>
          </w:tcPr>
          <w:p w14:paraId="2C22C89F" w14:textId="2F6FCEFC" w:rsidR="00622C9E" w:rsidRPr="008A2C60" w:rsidRDefault="009806A0" w:rsidP="009806A0">
            <w:pPr>
              <w:widowControl w:val="0"/>
              <w:spacing w:line="360" w:lineRule="auto"/>
              <w:contextualSpacing/>
              <w:jc w:val="center"/>
              <w:rPr>
                <w:rFonts w:ascii="Book Antiqua" w:hAnsi="Book Antiqua"/>
              </w:rPr>
            </w:pPr>
            <w:r w:rsidRPr="008A2C60">
              <w:rPr>
                <w:rFonts w:ascii="Book Antiqua" w:hAnsi="Book Antiqua"/>
              </w:rPr>
              <w:t>U</w:t>
            </w:r>
            <w:r>
              <w:rPr>
                <w:rFonts w:ascii="Book Antiqua" w:hAnsi="Book Antiqua" w:hint="eastAsia"/>
                <w:lang w:eastAsia="zh-CN"/>
              </w:rPr>
              <w:t>nited States</w:t>
            </w:r>
          </w:p>
        </w:tc>
        <w:tc>
          <w:tcPr>
            <w:tcW w:w="308" w:type="pct"/>
          </w:tcPr>
          <w:p w14:paraId="4D7756E0" w14:textId="77777777"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2010</w:t>
            </w:r>
          </w:p>
        </w:tc>
        <w:tc>
          <w:tcPr>
            <w:tcW w:w="443" w:type="pct"/>
          </w:tcPr>
          <w:p w14:paraId="764CA46A" w14:textId="77777777" w:rsidR="00622C9E" w:rsidRPr="008A2C60" w:rsidRDefault="00AD29B2" w:rsidP="009806A0">
            <w:pPr>
              <w:widowControl w:val="0"/>
              <w:spacing w:line="360" w:lineRule="auto"/>
              <w:contextualSpacing/>
              <w:jc w:val="center"/>
              <w:rPr>
                <w:rFonts w:ascii="Book Antiqua" w:hAnsi="Book Antiqua"/>
              </w:rPr>
            </w:pPr>
            <w:r w:rsidRPr="008A2C60">
              <w:rPr>
                <w:rFonts w:ascii="Book Antiqua" w:hAnsi="Book Antiqua"/>
              </w:rPr>
              <w:t>144</w:t>
            </w:r>
          </w:p>
        </w:tc>
        <w:tc>
          <w:tcPr>
            <w:tcW w:w="690" w:type="pct"/>
          </w:tcPr>
          <w:p w14:paraId="754C7CED" w14:textId="77777777" w:rsidR="00622C9E" w:rsidRPr="008A2C60" w:rsidRDefault="001F2A03" w:rsidP="009806A0">
            <w:pPr>
              <w:widowControl w:val="0"/>
              <w:spacing w:line="360" w:lineRule="auto"/>
              <w:contextualSpacing/>
              <w:jc w:val="center"/>
              <w:rPr>
                <w:rFonts w:ascii="Book Antiqua" w:hAnsi="Book Antiqua"/>
              </w:rPr>
            </w:pPr>
            <w:r w:rsidRPr="008A2C60">
              <w:rPr>
                <w:rFonts w:ascii="Book Antiqua" w:hAnsi="Book Antiqua"/>
              </w:rPr>
              <w:t>BG &gt; 200 mg/dL</w:t>
            </w:r>
          </w:p>
        </w:tc>
        <w:tc>
          <w:tcPr>
            <w:tcW w:w="720" w:type="pct"/>
          </w:tcPr>
          <w:p w14:paraId="12618B35" w14:textId="77777777" w:rsidR="00622C9E" w:rsidRPr="008A2C60" w:rsidRDefault="001F2A03" w:rsidP="009806A0">
            <w:pPr>
              <w:widowControl w:val="0"/>
              <w:spacing w:line="360" w:lineRule="auto"/>
              <w:contextualSpacing/>
              <w:jc w:val="center"/>
              <w:rPr>
                <w:rFonts w:ascii="Book Antiqua" w:hAnsi="Book Antiqua"/>
              </w:rPr>
            </w:pPr>
            <w:r w:rsidRPr="008A2C60">
              <w:rPr>
                <w:rFonts w:ascii="Book Antiqua" w:hAnsi="Book Antiqua"/>
              </w:rPr>
              <w:t>BG &lt; 200 mg/dL</w:t>
            </w:r>
          </w:p>
        </w:tc>
        <w:tc>
          <w:tcPr>
            <w:tcW w:w="808" w:type="pct"/>
          </w:tcPr>
          <w:p w14:paraId="43263484" w14:textId="657B130D" w:rsidR="00622C9E" w:rsidRPr="008A2C60" w:rsidRDefault="00622C9E" w:rsidP="009806A0">
            <w:pPr>
              <w:widowControl w:val="0"/>
              <w:spacing w:line="360" w:lineRule="auto"/>
              <w:contextualSpacing/>
              <w:jc w:val="center"/>
              <w:rPr>
                <w:rFonts w:ascii="Book Antiqua" w:hAnsi="Book Antiqua"/>
              </w:rPr>
            </w:pPr>
            <w:r w:rsidRPr="008A2C60">
              <w:rPr>
                <w:rFonts w:ascii="Book Antiqua" w:hAnsi="Book Antiqua"/>
              </w:rPr>
              <w:t>Graft rejecti</w:t>
            </w:r>
            <w:r w:rsidR="00AD29B2" w:rsidRPr="008A2C60">
              <w:rPr>
                <w:rFonts w:ascii="Book Antiqua" w:hAnsi="Book Antiqua"/>
              </w:rPr>
              <w:t>on,</w:t>
            </w:r>
            <w:r w:rsidR="00CE3AFE">
              <w:rPr>
                <w:rFonts w:ascii="Book Antiqua" w:hAnsi="Book Antiqua"/>
              </w:rPr>
              <w:t xml:space="preserve"> </w:t>
            </w:r>
            <w:r w:rsidR="00CD68E9" w:rsidRPr="008A2C60">
              <w:rPr>
                <w:rFonts w:ascii="Book Antiqua" w:hAnsi="Book Antiqua"/>
              </w:rPr>
              <w:t>infection, and re</w:t>
            </w:r>
            <w:r w:rsidR="00AD29B2" w:rsidRPr="008A2C60">
              <w:rPr>
                <w:rFonts w:ascii="Book Antiqua" w:hAnsi="Book Antiqua"/>
              </w:rPr>
              <w:t>-hospitalization</w:t>
            </w:r>
          </w:p>
        </w:tc>
        <w:tc>
          <w:tcPr>
            <w:tcW w:w="663" w:type="pct"/>
          </w:tcPr>
          <w:p w14:paraId="2BB971A3" w14:textId="77777777" w:rsidR="00622C9E" w:rsidRPr="008A2C60" w:rsidRDefault="00AD29B2" w:rsidP="009806A0">
            <w:pPr>
              <w:widowControl w:val="0"/>
              <w:spacing w:line="360" w:lineRule="auto"/>
              <w:contextualSpacing/>
              <w:jc w:val="center"/>
              <w:rPr>
                <w:rFonts w:ascii="Book Antiqua" w:hAnsi="Book Antiqua"/>
              </w:rPr>
            </w:pPr>
            <w:r w:rsidRPr="008A2C60">
              <w:rPr>
                <w:rFonts w:ascii="Book Antiqua" w:hAnsi="Book Antiqua"/>
              </w:rPr>
              <w:t>Graft survival and prolonged ventilation</w:t>
            </w:r>
          </w:p>
        </w:tc>
      </w:tr>
      <w:tr w:rsidR="00CD68E9" w:rsidRPr="008A2C60" w14:paraId="59B37BBD" w14:textId="77777777" w:rsidTr="00CD68E9">
        <w:tc>
          <w:tcPr>
            <w:tcW w:w="641" w:type="pct"/>
          </w:tcPr>
          <w:p w14:paraId="0BBD33AD" w14:textId="331406CF" w:rsidR="0066529B" w:rsidRPr="008A2C60" w:rsidRDefault="0066529B" w:rsidP="006B795E">
            <w:pPr>
              <w:widowControl w:val="0"/>
              <w:spacing w:line="360" w:lineRule="auto"/>
              <w:contextualSpacing/>
              <w:jc w:val="both"/>
              <w:rPr>
                <w:rFonts w:ascii="Book Antiqua" w:hAnsi="Book Antiqua"/>
              </w:rPr>
            </w:pPr>
            <w:proofErr w:type="spellStart"/>
            <w:r w:rsidRPr="008A2C60">
              <w:rPr>
                <w:rFonts w:ascii="Book Antiqua" w:hAnsi="Book Antiqua"/>
              </w:rPr>
              <w:t>Wallia</w:t>
            </w:r>
            <w:proofErr w:type="spellEnd"/>
            <w:r w:rsidRPr="008A2C60">
              <w:rPr>
                <w:rFonts w:ascii="Book Antiqua" w:hAnsi="Book Antiqua"/>
              </w:rPr>
              <w:t xml:space="preserve">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"10.4158/EP10343.OR", "ISSN" : "1530-891X", "PMID" : "21324822", "abstract" : "\\nTo present an analysis of glycemic control before and after introduction of a dedicated glucose management service ({GMS}) and outcomes within 1 year after liver transplantation ({LT}).\\nWe conducted a retrospective review of patients undergoing {LT}, who were treated with insulin infusions after {LT}, before and after introduction of a {GMS}. Outcome measures within 1 year after {LT} included graft rejection, infection, prolonged ventilation (&gt;48 hours on a ventilator), and graft survival. A multiple logistic regression was used to examine the relationship between {GMS} use and outcomes.\\nThis study consisted of 73 (35 {GMS} and 38 {non-GMS}) organ transplant recipients. The mean perioperative blood glucose level in the {GMS} group was lower than in the {non-GMS} group: unadjusted, by 31.1 {mg/dL} (P = .001); adjusted for pre-insulin drip glucose, age, sex, Model for {End-Stage} Liver Disease ({MELD}) score, and type of transplant, by 23.4 {mg/dL} (P = .020). There were 27 rejection episodes, 48 infections, 26 episodes of prolonged ventilation, and 64 patients with graft survival at 1 year. The infection rate was lower in the {GMS} group than in the {non-GMS} group: the unadjusted odds ratio was 0.28 (P = .015); when adjustments were made for pre-insulin drip glucose, pretransplant glucose, age, sex, {MELD} score, type of transplant, and diabetes status before transplantation, the odds ratio was 0.24 (95% confidence interval, 0.06 to 0.97; P = .045). No significant associations were noted between {GMS} group and rejection rates, prolonged ventilation, or graft survival.\\nIn this study of {LT} patients, a {GMS} was associated with improved glycemic control and reduced postoperative infections. Further studies investigating effects of strict glycemic control after {LT} are warranted.\\n", "author" : [ { "dropping-particle" : "", "family" : "Wallia", "given" : "Amisha", "non-dropping-particle" : "", "parse-names" : false, "suffix" : "" }, { "dropping-particle" : "", "family" : "Parikh", "given" : "Neehar D.", "non-dropping-particle" : "", "parse-names" : false, "suffix" : "" }, { "dropping-particle" : "", "family" : "O'Shea-Mahler", "given" : "Eileen", "non-dropping-particle" : "", "parse-names" : false, "suffix" : "" }, { "dropping-particle" : "", "family" : "Schmidt", "given" : "Kathleen", "non-dropping-particle" : "", "parse-names" : false, "suffix" : "" }, { "dropping-particle" : "", "family" : "DeSantis", "given" : "Anthony J.", "non-dropping-particle" : "", "parse-names" : false, "suffix" : "" }, { "dropping-particle" : "", "family" : "Tian", "given" : "Lu", "non-dropping-particle" : "", "parse-names" : false, "suffix" : "" }, { "dropping-particle" : "", "family" : "Levitsky", "given" : "Josh", "non-dropping-particle" : "", "parse-names" : false, "suffix" : "" }, { "dropping-particle" : "", "family" : "Molitch", "given" : "Mark E.", "non-dropping-particle" : "", "parse-names" : false, "suffix" : "" } ], "container-title" : "Endocrine Practice", "id" : "ITEM-1", "issue" : "4", "issued" : { "date-parts" : [ [ "2011" ] ] }, "page" : "546-551", "title" : "Glycemic Control by a Glucose Management Service and Infection Rates After Liver Transplantation", "type" : "article-journal", "volume" : "17" }, "uris" : [ "http://www.mendeley.com/documents/?uuid=bd04ed9e-7bd4-4412-bedd-92111bfaa222" ] } ], "mendeley" : { "formattedCitation" : "&lt;sup&gt;[19]&lt;/sup&gt;", "plainTextFormattedCitation" : "[19]", "previouslyFormattedCitation" : "&lt;sup&gt;[19]&lt;/sup&gt;"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[19]</w:t>
            </w:r>
            <w:r w:rsidR="00EA5B56" w:rsidRPr="008A2C60">
              <w:rPr>
                <w:rFonts w:ascii="Book Antiqua" w:hAnsi="Book Antiqua"/>
                <w:i/>
              </w:rPr>
              <w:fldChar w:fldCharType="end"/>
            </w:r>
          </w:p>
        </w:tc>
        <w:tc>
          <w:tcPr>
            <w:tcW w:w="727" w:type="pct"/>
          </w:tcPr>
          <w:p w14:paraId="74742A05" w14:textId="788F3275" w:rsidR="0066529B" w:rsidRPr="008A2C60" w:rsidRDefault="009806A0" w:rsidP="009806A0">
            <w:pPr>
              <w:widowControl w:val="0"/>
              <w:spacing w:line="360" w:lineRule="auto"/>
              <w:contextualSpacing/>
              <w:jc w:val="center"/>
              <w:rPr>
                <w:rFonts w:ascii="Book Antiqua" w:hAnsi="Book Antiqua"/>
              </w:rPr>
            </w:pPr>
            <w:r w:rsidRPr="008A2C60">
              <w:rPr>
                <w:rFonts w:ascii="Book Antiqua" w:hAnsi="Book Antiqua"/>
              </w:rPr>
              <w:t>U</w:t>
            </w:r>
            <w:r>
              <w:rPr>
                <w:rFonts w:ascii="Book Antiqua" w:hAnsi="Book Antiqua" w:hint="eastAsia"/>
                <w:lang w:eastAsia="zh-CN"/>
              </w:rPr>
              <w:t>nited States</w:t>
            </w:r>
          </w:p>
        </w:tc>
        <w:tc>
          <w:tcPr>
            <w:tcW w:w="308" w:type="pct"/>
          </w:tcPr>
          <w:p w14:paraId="277CE82C" w14:textId="77777777"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2011</w:t>
            </w:r>
          </w:p>
        </w:tc>
        <w:tc>
          <w:tcPr>
            <w:tcW w:w="443" w:type="pct"/>
          </w:tcPr>
          <w:p w14:paraId="7DE39841" w14:textId="77777777"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73</w:t>
            </w:r>
          </w:p>
        </w:tc>
        <w:tc>
          <w:tcPr>
            <w:tcW w:w="690" w:type="pct"/>
          </w:tcPr>
          <w:p w14:paraId="1F54DF44" w14:textId="4709036F"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 xml:space="preserve">Glucose </w:t>
            </w:r>
            <w:r w:rsidR="009806A0" w:rsidRPr="008A2C60">
              <w:rPr>
                <w:rFonts w:ascii="Book Antiqua" w:hAnsi="Book Antiqua"/>
              </w:rPr>
              <w:t>management ser</w:t>
            </w:r>
            <w:r w:rsidRPr="008A2C60">
              <w:rPr>
                <w:rFonts w:ascii="Book Antiqua" w:hAnsi="Book Antiqua"/>
              </w:rPr>
              <w:t>vice</w:t>
            </w:r>
          </w:p>
        </w:tc>
        <w:tc>
          <w:tcPr>
            <w:tcW w:w="720" w:type="pct"/>
          </w:tcPr>
          <w:p w14:paraId="1605EBAD" w14:textId="4ACC5B04"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Non-Glucose Management Service</w:t>
            </w:r>
          </w:p>
        </w:tc>
        <w:tc>
          <w:tcPr>
            <w:tcW w:w="808" w:type="pct"/>
          </w:tcPr>
          <w:p w14:paraId="7C2F199F" w14:textId="50FBC8D7"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Graf</w:t>
            </w:r>
            <w:r w:rsidR="00CD68E9" w:rsidRPr="008A2C60">
              <w:rPr>
                <w:rFonts w:ascii="Book Antiqua" w:hAnsi="Book Antiqua"/>
              </w:rPr>
              <w:t>t rejection, infection, and re-hospitaliz</w:t>
            </w:r>
            <w:r w:rsidRPr="008A2C60">
              <w:rPr>
                <w:rFonts w:ascii="Book Antiqua" w:hAnsi="Book Antiqua"/>
              </w:rPr>
              <w:t>ation</w:t>
            </w:r>
          </w:p>
        </w:tc>
        <w:tc>
          <w:tcPr>
            <w:tcW w:w="663" w:type="pct"/>
          </w:tcPr>
          <w:p w14:paraId="35F6D76F" w14:textId="1CCC9673" w:rsidR="0066529B" w:rsidRPr="008A2C60" w:rsidRDefault="0066529B" w:rsidP="009806A0">
            <w:pPr>
              <w:widowControl w:val="0"/>
              <w:spacing w:line="360" w:lineRule="auto"/>
              <w:contextualSpacing/>
              <w:jc w:val="center"/>
              <w:rPr>
                <w:rFonts w:ascii="Book Antiqua" w:hAnsi="Book Antiqua"/>
              </w:rPr>
            </w:pPr>
            <w:r w:rsidRPr="008A2C60">
              <w:rPr>
                <w:rFonts w:ascii="Book Antiqua" w:hAnsi="Book Antiqua"/>
              </w:rPr>
              <w:t>Graft survival and prolonged ventilation</w:t>
            </w:r>
          </w:p>
        </w:tc>
      </w:tr>
      <w:tr w:rsidR="00CD68E9" w:rsidRPr="008A2C60" w14:paraId="5B4FE8D0" w14:textId="77777777" w:rsidTr="00CD68E9">
        <w:tc>
          <w:tcPr>
            <w:tcW w:w="641" w:type="pct"/>
          </w:tcPr>
          <w:p w14:paraId="559EE743" w14:textId="55B89E6C" w:rsidR="00EF0B18" w:rsidRPr="008A2C60" w:rsidRDefault="00EF0B18" w:rsidP="006B795E">
            <w:pPr>
              <w:widowControl w:val="0"/>
              <w:spacing w:line="360" w:lineRule="auto"/>
              <w:contextualSpacing/>
              <w:jc w:val="both"/>
              <w:rPr>
                <w:rFonts w:ascii="Book Antiqua" w:hAnsi="Book Antiqua"/>
              </w:rPr>
            </w:pPr>
            <w:proofErr w:type="spellStart"/>
            <w:r w:rsidRPr="008A2C60">
              <w:rPr>
                <w:rFonts w:ascii="Book Antiqua" w:hAnsi="Book Antiqua"/>
              </w:rPr>
              <w:t>Yoo</w:t>
            </w:r>
            <w:proofErr w:type="spellEnd"/>
            <w:r w:rsidRPr="008A2C60">
              <w:rPr>
                <w:rFonts w:ascii="Book Antiqua" w:hAnsi="Book Antiqua"/>
              </w:rPr>
              <w:t xml:space="preserve"> </w:t>
            </w:r>
            <w:r w:rsidR="00EE3848" w:rsidRPr="00EE3848">
              <w:rPr>
                <w:rFonts w:ascii="Book Antiqua" w:hAnsi="Book Antiqua"/>
                <w:i/>
              </w:rPr>
              <w:t>et al</w:t>
            </w:r>
            <w:r w:rsidR="00EA5B56" w:rsidRPr="008A2C60">
              <w:rPr>
                <w:rFonts w:ascii="Book Antiqua" w:hAnsi="Book Antiqua"/>
                <w:i/>
              </w:rPr>
              <w:fldChar w:fldCharType="begin" w:fldLock="1"/>
            </w:r>
            <w:r w:rsidR="00EA5B56" w:rsidRPr="008A2C60">
              <w:rPr>
                <w:rFonts w:ascii="Book Antiqua" w:hAnsi="Book Antiqua"/>
                <w:i/>
              </w:rPr>
              <w:instrText>ADDIN CSL_CITATION { "citationItems" : [ { "id" : "ITEM-1", "itemData" : { "DOI" : "10.1213/ANE.0000000000001632", "ISBN" : "0000000000", "ISSN" : "15267598", "PMID" : "27749341", "abstract" : "BACKGROUND Glucose control can be difficult in the intraoperative and immediate postoperative period of liver transplantation. Hyperglycemia and glucose variability have been associated with acute kidney injury (AKI) in critically ill patients. We performed a retrospective study to test the hypothesis that perioperative glucose levels represented by time-weighted average glucose levels and glucose variability are independently associated with the incidence of postoperative AKI in patients undergoing liver transplantation. METHODS On the basis of blood glucose levels during liver transplantation and the initial 48 hours postoperatively, adult liver transplant recipients were classified into 4 groups according to their time-weighted average glucose: normoglycemia (80-200 mg/dL), mild hyperglycemia (200-250 mg/dL), moderate hyperglycemia (250-300 mg/dL), and severe hyperglycemia (&gt;300 mg/dL) group. Patients were also classified into quartiles depending on their glucose variability, defined as the standard deviation of glucose measurements. The primary outcome was postoperative AKI. RESULTS AKI after liver transplantation was more common in the patients with greater perioperative glucose variability (first versus third quartile; OR, 2.47 [95%CI, 1.22-5.00], P = .012; first versus fourth quartile; OR, 2.16 [95% CI, 1.05-4.42], P = .035). CONCLUSIONS Our study suggests that increased perioperative glucose variability, but not hyperglycemia, is independently associated with increased risk of postoperative AKI in liver transplantation recipients.", "author" : [ { "dropping-particle" : "", "family" : "Yoo", "given" : "Seokha", "non-dropping-particle" : "", "parse-names" : false, "suffix" : "" }, { "dropping-particle" : "", "family" : "Lee", "given" : "Ho-Jin", "non-dropping-particle" : "", "parse-names" : false, "suffix" : "" }, { "dropping-particle" : "", "family" : "Lee", "given" : "Hannah", "non-dropping-particle" : "", "parse-names" : false, "suffix" : "" }, { "dropping-particle" : "", "family" : "Ryu", "given" : "Ho-Geol", "non-dropping-particle" : "", "parse-names" : false, "suffix" : "" } ], "container-title" : "Anesthesia &amp; Analgesia", "id" : "ITEM-1", "issue" : "1", "issued" : { "date-parts" : [ [ "2016" ] ] }, "page" : "1", "title" : "Association Between Perioperative Hyperglycemia or Glucose Variability and Postoperative Acute Kidney Injury After Liver Transplantation", "type" : "article-journal", "volume" : "124" }, "uris" : [ "http://www.mendeley.com/documents/?uuid=a303dfba-19d3-4acc-b2f7-404858403201" ] } ], "mendeley" : { "formattedCitation" : "&lt;sup&gt;[6]&lt;/sup&gt;", "plainTextFormattedCitation" : "[6]", "previouslyFormattedCitation" : "&lt;sup&gt;[6]&lt;/sup&gt;" }, "properties" : {  }, "schema" : "https://github.com/citation-style-language/schema/raw/master/csl-citation.json" }</w:instrText>
            </w:r>
            <w:r w:rsidR="00EA5B56" w:rsidRPr="008A2C60">
              <w:rPr>
                <w:rFonts w:ascii="Book Antiqua" w:hAnsi="Book Antiqua"/>
                <w:i/>
              </w:rPr>
              <w:fldChar w:fldCharType="separate"/>
            </w:r>
            <w:r w:rsidR="00EA5B56" w:rsidRPr="008A2C60">
              <w:rPr>
                <w:rFonts w:ascii="Book Antiqua" w:hAnsi="Book Antiqua"/>
                <w:b/>
                <w:noProof/>
                <w:vertAlign w:val="superscript"/>
              </w:rPr>
              <w:t>[6]</w:t>
            </w:r>
            <w:r w:rsidR="00EA5B56" w:rsidRPr="008A2C60">
              <w:rPr>
                <w:rFonts w:ascii="Book Antiqua" w:hAnsi="Book Antiqua"/>
                <w:i/>
              </w:rPr>
              <w:fldChar w:fldCharType="end"/>
            </w:r>
          </w:p>
        </w:tc>
        <w:tc>
          <w:tcPr>
            <w:tcW w:w="727" w:type="pct"/>
          </w:tcPr>
          <w:p w14:paraId="4C1ADADE"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South Korea</w:t>
            </w:r>
          </w:p>
        </w:tc>
        <w:tc>
          <w:tcPr>
            <w:tcW w:w="308" w:type="pct"/>
          </w:tcPr>
          <w:p w14:paraId="3D4B5535"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2016</w:t>
            </w:r>
          </w:p>
        </w:tc>
        <w:tc>
          <w:tcPr>
            <w:tcW w:w="443" w:type="pct"/>
          </w:tcPr>
          <w:p w14:paraId="0E10B4F0"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t>304</w:t>
            </w:r>
          </w:p>
        </w:tc>
        <w:tc>
          <w:tcPr>
            <w:tcW w:w="690" w:type="pct"/>
          </w:tcPr>
          <w:p w14:paraId="31FA1722" w14:textId="77777777" w:rsidR="00EF0B18" w:rsidRPr="008A2C60" w:rsidRDefault="00253146" w:rsidP="009806A0">
            <w:pPr>
              <w:widowControl w:val="0"/>
              <w:spacing w:line="360" w:lineRule="auto"/>
              <w:contextualSpacing/>
              <w:jc w:val="center"/>
              <w:rPr>
                <w:rFonts w:ascii="Book Antiqua" w:hAnsi="Book Antiqua"/>
              </w:rPr>
            </w:pPr>
            <w:r w:rsidRPr="008A2C60">
              <w:rPr>
                <w:rFonts w:ascii="Book Antiqua" w:hAnsi="Book Antiqua"/>
              </w:rPr>
              <w:t>Normoglycemia (BG: 80-200 mg/dL)</w:t>
            </w:r>
          </w:p>
        </w:tc>
        <w:tc>
          <w:tcPr>
            <w:tcW w:w="720" w:type="pct"/>
          </w:tcPr>
          <w:p w14:paraId="625632D0" w14:textId="7DAF989E" w:rsidR="00EF0B18" w:rsidRPr="008A2C60" w:rsidRDefault="00253146" w:rsidP="009806A0">
            <w:pPr>
              <w:widowControl w:val="0"/>
              <w:spacing w:line="360" w:lineRule="auto"/>
              <w:contextualSpacing/>
              <w:jc w:val="center"/>
              <w:rPr>
                <w:rFonts w:ascii="Book Antiqua" w:hAnsi="Book Antiqua"/>
              </w:rPr>
            </w:pPr>
            <w:r w:rsidRPr="008A2C60">
              <w:rPr>
                <w:rFonts w:ascii="Book Antiqua" w:hAnsi="Book Antiqua"/>
              </w:rPr>
              <w:t xml:space="preserve">Mild </w:t>
            </w:r>
            <w:r w:rsidR="009806A0" w:rsidRPr="008A2C60">
              <w:rPr>
                <w:rFonts w:ascii="Book Antiqua" w:hAnsi="Book Antiqua"/>
              </w:rPr>
              <w:t>h</w:t>
            </w:r>
            <w:r w:rsidRPr="008A2C60">
              <w:rPr>
                <w:rFonts w:ascii="Book Antiqua" w:hAnsi="Book Antiqua"/>
              </w:rPr>
              <w:t xml:space="preserve">yperglycemia (BG: 200-250 </w:t>
            </w:r>
            <w:r w:rsidRPr="008A2C60">
              <w:rPr>
                <w:rFonts w:ascii="Book Antiqua" w:hAnsi="Book Antiqua"/>
              </w:rPr>
              <w:lastRenderedPageBreak/>
              <w:t>mg/dL)</w:t>
            </w:r>
          </w:p>
        </w:tc>
        <w:tc>
          <w:tcPr>
            <w:tcW w:w="808" w:type="pct"/>
          </w:tcPr>
          <w:p w14:paraId="1FE84FFF" w14:textId="77777777" w:rsidR="00EF0B18" w:rsidRPr="008A2C60" w:rsidRDefault="00EF0B18" w:rsidP="009806A0">
            <w:pPr>
              <w:widowControl w:val="0"/>
              <w:spacing w:line="360" w:lineRule="auto"/>
              <w:contextualSpacing/>
              <w:jc w:val="center"/>
              <w:rPr>
                <w:rFonts w:ascii="Book Antiqua" w:hAnsi="Book Antiqua"/>
              </w:rPr>
            </w:pPr>
            <w:r w:rsidRPr="008A2C60">
              <w:rPr>
                <w:rFonts w:ascii="Book Antiqua" w:hAnsi="Book Antiqua"/>
              </w:rPr>
              <w:lastRenderedPageBreak/>
              <w:t>AKI</w:t>
            </w:r>
          </w:p>
        </w:tc>
        <w:tc>
          <w:tcPr>
            <w:tcW w:w="663" w:type="pct"/>
          </w:tcPr>
          <w:p w14:paraId="2E51BBD6" w14:textId="05B8E5BF" w:rsidR="00EF0B18" w:rsidRPr="008A2C60" w:rsidRDefault="00253146" w:rsidP="009806A0">
            <w:pPr>
              <w:widowControl w:val="0"/>
              <w:spacing w:line="360" w:lineRule="auto"/>
              <w:contextualSpacing/>
              <w:jc w:val="center"/>
              <w:rPr>
                <w:rFonts w:ascii="Book Antiqua" w:hAnsi="Book Antiqua"/>
              </w:rPr>
            </w:pPr>
            <w:r w:rsidRPr="008A2C60">
              <w:rPr>
                <w:rFonts w:ascii="Book Antiqua" w:hAnsi="Book Antiqua"/>
              </w:rPr>
              <w:t xml:space="preserve">Group 3: Moderate hyperglycemia </w:t>
            </w:r>
            <w:r w:rsidRPr="008A2C60">
              <w:rPr>
                <w:rFonts w:ascii="Book Antiqua" w:hAnsi="Book Antiqua"/>
              </w:rPr>
              <w:lastRenderedPageBreak/>
              <w:t>(250-300 mg/dL)</w:t>
            </w:r>
          </w:p>
          <w:p w14:paraId="109FBE30" w14:textId="533BAEF8" w:rsidR="00253146" w:rsidRPr="008A2C60" w:rsidRDefault="00253146" w:rsidP="009806A0">
            <w:pPr>
              <w:widowControl w:val="0"/>
              <w:spacing w:line="360" w:lineRule="auto"/>
              <w:contextualSpacing/>
              <w:jc w:val="center"/>
              <w:rPr>
                <w:rFonts w:ascii="Book Antiqua" w:hAnsi="Book Antiqua"/>
              </w:rPr>
            </w:pPr>
            <w:r w:rsidRPr="008A2C60">
              <w:rPr>
                <w:rFonts w:ascii="Book Antiqua" w:hAnsi="Book Antiqua"/>
              </w:rPr>
              <w:t xml:space="preserve">Group 4: Severe </w:t>
            </w:r>
            <w:r w:rsidR="00067621" w:rsidRPr="008A2C60">
              <w:rPr>
                <w:rFonts w:ascii="Book Antiqua" w:hAnsi="Book Antiqua"/>
              </w:rPr>
              <w:t>h</w:t>
            </w:r>
            <w:r w:rsidRPr="008A2C60">
              <w:rPr>
                <w:rFonts w:ascii="Book Antiqua" w:hAnsi="Book Antiqua"/>
              </w:rPr>
              <w:t>yperglycemia (&gt;</w:t>
            </w:r>
            <w:r w:rsidR="007D7421">
              <w:rPr>
                <w:rFonts w:ascii="Book Antiqua" w:hAnsi="Book Antiqua" w:hint="eastAsia"/>
                <w:lang w:eastAsia="zh-CN"/>
              </w:rPr>
              <w:t xml:space="preserve"> </w:t>
            </w:r>
            <w:r w:rsidRPr="008A2C60">
              <w:rPr>
                <w:rFonts w:ascii="Book Antiqua" w:hAnsi="Book Antiqua"/>
              </w:rPr>
              <w:t>300 mg/</w:t>
            </w:r>
            <w:proofErr w:type="spellStart"/>
            <w:r w:rsidRPr="008A2C60">
              <w:rPr>
                <w:rFonts w:ascii="Book Antiqua" w:hAnsi="Book Antiqua"/>
              </w:rPr>
              <w:t>dL</w:t>
            </w:r>
            <w:proofErr w:type="spellEnd"/>
            <w:r w:rsidRPr="008A2C60">
              <w:rPr>
                <w:rFonts w:ascii="Book Antiqua" w:hAnsi="Book Antiqua"/>
              </w:rPr>
              <w:t>)</w:t>
            </w:r>
          </w:p>
        </w:tc>
      </w:tr>
    </w:tbl>
    <w:p w14:paraId="3061D629" w14:textId="6BA84D98" w:rsidR="004A41C0" w:rsidRPr="008A2C60" w:rsidRDefault="00CD68E9" w:rsidP="006B795E">
      <w:pPr>
        <w:widowControl w:val="0"/>
        <w:spacing w:line="360" w:lineRule="auto"/>
        <w:contextualSpacing/>
        <w:jc w:val="both"/>
        <w:rPr>
          <w:rFonts w:ascii="Book Antiqua" w:hAnsi="Book Antiqua"/>
          <w:lang w:eastAsia="zh-CN"/>
        </w:rPr>
      </w:pPr>
      <w:r w:rsidRPr="008A2C60">
        <w:rPr>
          <w:rFonts w:ascii="Book Antiqua" w:hAnsi="Book Antiqua"/>
        </w:rPr>
        <w:lastRenderedPageBreak/>
        <w:t>DBD</w:t>
      </w:r>
      <w:r>
        <w:rPr>
          <w:rFonts w:ascii="Book Antiqua" w:hAnsi="Book Antiqua" w:hint="eastAsia"/>
          <w:lang w:eastAsia="zh-CN"/>
        </w:rPr>
        <w:t>:</w:t>
      </w:r>
      <w:r w:rsidRPr="008A2C60">
        <w:rPr>
          <w:rFonts w:ascii="Book Antiqua" w:hAnsi="Book Antiqua"/>
        </w:rPr>
        <w:t xml:space="preserve"> </w:t>
      </w:r>
      <w:r w:rsidR="009806A0" w:rsidRPr="008A2C60">
        <w:rPr>
          <w:rFonts w:ascii="Book Antiqua" w:hAnsi="Book Antiqua"/>
        </w:rPr>
        <w:t>Donated after brain death</w:t>
      </w:r>
      <w:r>
        <w:rPr>
          <w:rFonts w:ascii="Book Antiqua" w:hAnsi="Book Antiqua" w:hint="eastAsia"/>
          <w:lang w:eastAsia="zh-CN"/>
        </w:rPr>
        <w:t>;</w:t>
      </w:r>
      <w:r w:rsidR="009806A0" w:rsidRPr="009806A0">
        <w:rPr>
          <w:rFonts w:ascii="Book Antiqua" w:hAnsi="Book Antiqua"/>
        </w:rPr>
        <w:t xml:space="preserve"> </w:t>
      </w:r>
      <w:r w:rsidRPr="008A2C60">
        <w:rPr>
          <w:rFonts w:ascii="Book Antiqua" w:hAnsi="Book Antiqua"/>
        </w:rPr>
        <w:t>PTDM</w:t>
      </w:r>
      <w:r>
        <w:rPr>
          <w:rFonts w:ascii="Book Antiqua" w:hAnsi="Book Antiqua" w:hint="eastAsia"/>
          <w:lang w:eastAsia="zh-CN"/>
        </w:rPr>
        <w:t xml:space="preserve">: </w:t>
      </w:r>
      <w:r w:rsidR="009806A0" w:rsidRPr="008A2C60">
        <w:rPr>
          <w:rFonts w:ascii="Book Antiqua" w:hAnsi="Book Antiqua"/>
        </w:rPr>
        <w:t>Po</w:t>
      </w:r>
      <w:r w:rsidRPr="008A2C60">
        <w:rPr>
          <w:rFonts w:ascii="Book Antiqua" w:hAnsi="Book Antiqua"/>
        </w:rPr>
        <w:t>st-transplant diabetes m</w:t>
      </w:r>
      <w:r w:rsidR="009806A0" w:rsidRPr="008A2C60">
        <w:rPr>
          <w:rFonts w:ascii="Book Antiqua" w:hAnsi="Book Antiqua"/>
        </w:rPr>
        <w:t>ellitus</w:t>
      </w:r>
      <w:r>
        <w:rPr>
          <w:rFonts w:ascii="Book Antiqua" w:hAnsi="Book Antiqua" w:hint="eastAsia"/>
          <w:lang w:eastAsia="zh-CN"/>
        </w:rPr>
        <w:t xml:space="preserve">; </w:t>
      </w:r>
      <w:r w:rsidRPr="008A2C60">
        <w:rPr>
          <w:rFonts w:ascii="Book Antiqua" w:hAnsi="Book Antiqua"/>
        </w:rPr>
        <w:t>Non-PTDM</w:t>
      </w:r>
      <w:r>
        <w:rPr>
          <w:rFonts w:ascii="Book Antiqua" w:hAnsi="Book Antiqua" w:hint="eastAsia"/>
          <w:lang w:eastAsia="zh-CN"/>
        </w:rPr>
        <w:t xml:space="preserve">: </w:t>
      </w:r>
      <w:r w:rsidR="009806A0" w:rsidRPr="008A2C60">
        <w:rPr>
          <w:rFonts w:ascii="Book Antiqua" w:hAnsi="Book Antiqua"/>
        </w:rPr>
        <w:t>Transpl</w:t>
      </w:r>
      <w:r w:rsidRPr="008A2C60">
        <w:rPr>
          <w:rFonts w:ascii="Book Antiqua" w:hAnsi="Book Antiqua"/>
        </w:rPr>
        <w:t>ant diabetes mellitus fr</w:t>
      </w:r>
      <w:r w:rsidR="009806A0" w:rsidRPr="008A2C60">
        <w:rPr>
          <w:rFonts w:ascii="Book Antiqua" w:hAnsi="Book Antiqua"/>
        </w:rPr>
        <w:t>ee</w:t>
      </w:r>
      <w:r>
        <w:rPr>
          <w:rFonts w:ascii="Book Antiqua" w:hAnsi="Book Antiqua" w:hint="eastAsia"/>
          <w:lang w:eastAsia="zh-CN"/>
        </w:rPr>
        <w:t xml:space="preserve">; </w:t>
      </w:r>
      <w:r w:rsidRPr="008A2C60">
        <w:rPr>
          <w:rFonts w:ascii="Book Antiqua" w:hAnsi="Book Antiqua"/>
        </w:rPr>
        <w:t>DCD</w:t>
      </w:r>
      <w:r>
        <w:rPr>
          <w:rFonts w:ascii="Book Antiqua" w:hAnsi="Book Antiqua" w:hint="eastAsia"/>
          <w:lang w:eastAsia="zh-CN"/>
        </w:rPr>
        <w:t>:</w:t>
      </w:r>
      <w:r w:rsidRPr="008A2C60">
        <w:rPr>
          <w:rFonts w:ascii="Book Antiqua" w:hAnsi="Book Antiqua"/>
        </w:rPr>
        <w:t xml:space="preserve"> Donated after circulatory death</w:t>
      </w:r>
      <w:r>
        <w:rPr>
          <w:rFonts w:ascii="Book Antiqua" w:hAnsi="Book Antiqua" w:hint="eastAsia"/>
          <w:lang w:eastAsia="zh-CN"/>
        </w:rPr>
        <w:t xml:space="preserve">; </w:t>
      </w:r>
      <w:r w:rsidRPr="008A2C60">
        <w:rPr>
          <w:rFonts w:ascii="Book Antiqua" w:hAnsi="Book Antiqua"/>
        </w:rPr>
        <w:t>NODAT</w:t>
      </w:r>
      <w:r>
        <w:rPr>
          <w:rFonts w:ascii="Book Antiqua" w:hAnsi="Book Antiqua" w:hint="eastAsia"/>
          <w:lang w:eastAsia="zh-CN"/>
        </w:rPr>
        <w:t xml:space="preserve">: </w:t>
      </w:r>
      <w:r w:rsidRPr="008A2C60">
        <w:rPr>
          <w:rFonts w:ascii="Book Antiqua" w:hAnsi="Book Antiqua"/>
        </w:rPr>
        <w:t>New onset diabetes after transplantation</w:t>
      </w:r>
      <w:r>
        <w:rPr>
          <w:rFonts w:ascii="Book Antiqua" w:hAnsi="Book Antiqua" w:hint="eastAsia"/>
          <w:lang w:eastAsia="zh-CN"/>
        </w:rPr>
        <w:t xml:space="preserve">; </w:t>
      </w:r>
      <w:r w:rsidRPr="008A2C60">
        <w:rPr>
          <w:rFonts w:ascii="Book Antiqua" w:hAnsi="Book Antiqua"/>
        </w:rPr>
        <w:t>AKI</w:t>
      </w:r>
      <w:r>
        <w:rPr>
          <w:rFonts w:ascii="Book Antiqua" w:hAnsi="Book Antiqua" w:hint="eastAsia"/>
          <w:lang w:eastAsia="zh-CN"/>
        </w:rPr>
        <w:t xml:space="preserve">: </w:t>
      </w:r>
      <w:r w:rsidR="00CC274A" w:rsidRPr="008A2C60">
        <w:rPr>
          <w:rFonts w:ascii="Book Antiqua" w:hAnsi="Book Antiqua"/>
        </w:rPr>
        <w:t>A</w:t>
      </w:r>
      <w:r w:rsidRPr="008A2C60">
        <w:rPr>
          <w:rFonts w:ascii="Book Antiqua" w:hAnsi="Book Antiqua"/>
        </w:rPr>
        <w:t>cute kidney injury</w:t>
      </w:r>
      <w:r w:rsidR="00CC274A">
        <w:rPr>
          <w:rFonts w:ascii="Book Antiqua" w:hAnsi="Book Antiqua" w:hint="eastAsia"/>
          <w:lang w:eastAsia="zh-CN"/>
        </w:rPr>
        <w:t>.</w:t>
      </w:r>
    </w:p>
    <w:p w14:paraId="7B8A7D58" w14:textId="77777777" w:rsidR="009806A0" w:rsidRDefault="009806A0">
      <w:pPr>
        <w:rPr>
          <w:rFonts w:ascii="Book Antiqua" w:hAnsi="Book Antiqua"/>
          <w:b/>
        </w:rPr>
      </w:pPr>
      <w:r>
        <w:rPr>
          <w:rFonts w:ascii="Book Antiqua" w:hAnsi="Book Antiqua"/>
          <w:b/>
        </w:rPr>
        <w:br w:type="page"/>
      </w:r>
    </w:p>
    <w:p w14:paraId="330275C8" w14:textId="000013DE" w:rsidR="00236616" w:rsidRPr="008A2C60" w:rsidRDefault="00236616" w:rsidP="006B795E">
      <w:pPr>
        <w:widowControl w:val="0"/>
        <w:spacing w:line="360" w:lineRule="auto"/>
        <w:contextualSpacing/>
        <w:jc w:val="both"/>
        <w:rPr>
          <w:rFonts w:ascii="Book Antiqua" w:hAnsi="Book Antiqua"/>
          <w:b/>
        </w:rPr>
      </w:pPr>
      <w:r w:rsidRPr="008A2C60">
        <w:rPr>
          <w:rFonts w:ascii="Book Antiqua" w:hAnsi="Book Antiqua"/>
          <w:b/>
        </w:rPr>
        <w:lastRenderedPageBreak/>
        <w:t>Table 3</w:t>
      </w:r>
      <w:r w:rsidR="00CC274A">
        <w:rPr>
          <w:rFonts w:ascii="Book Antiqua" w:hAnsi="Book Antiqua" w:hint="eastAsia"/>
          <w:b/>
          <w:lang w:eastAsia="zh-CN"/>
        </w:rPr>
        <w:t xml:space="preserve"> </w:t>
      </w:r>
      <w:r w:rsidR="009336DE" w:rsidRPr="008A2C60">
        <w:rPr>
          <w:rFonts w:ascii="Book Antiqua" w:hAnsi="Book Antiqua"/>
          <w:b/>
        </w:rPr>
        <w:t>Characteristics</w:t>
      </w:r>
      <w:r w:rsidR="00FD53F1" w:rsidRPr="008A2C60">
        <w:rPr>
          <w:rFonts w:ascii="Book Antiqua" w:hAnsi="Book Antiqua"/>
          <w:b/>
        </w:rPr>
        <w:t xml:space="preserve"> of p</w:t>
      </w:r>
      <w:r w:rsidRPr="008A2C60">
        <w:rPr>
          <w:rFonts w:ascii="Book Antiqua" w:hAnsi="Book Antiqua"/>
          <w:b/>
        </w:rPr>
        <w:t xml:space="preserve">rospective studies </w:t>
      </w:r>
      <w:r w:rsidR="00246DE0" w:rsidRPr="008A2C60">
        <w:rPr>
          <w:rFonts w:ascii="Book Antiqua" w:hAnsi="Book Antiqua"/>
          <w:b/>
        </w:rPr>
        <w:t>and the cross-sectional study</w:t>
      </w:r>
    </w:p>
    <w:tbl>
      <w:tblPr>
        <w:tblStyle w:val="LightShading"/>
        <w:tblW w:w="5443" w:type="pct"/>
        <w:tblInd w:w="-1168" w:type="dxa"/>
        <w:tblBorders>
          <w:insideH w:val="single" w:sz="4" w:space="0" w:color="auto"/>
          <w:insideV w:val="single" w:sz="4" w:space="0" w:color="auto"/>
        </w:tblBorders>
        <w:tblLook w:val="04A0" w:firstRow="1" w:lastRow="0" w:firstColumn="1" w:lastColumn="0" w:noHBand="0" w:noVBand="1"/>
      </w:tblPr>
      <w:tblGrid>
        <w:gridCol w:w="3062"/>
        <w:gridCol w:w="1455"/>
        <w:gridCol w:w="1013"/>
        <w:gridCol w:w="849"/>
        <w:gridCol w:w="1842"/>
        <w:gridCol w:w="2126"/>
        <w:gridCol w:w="2269"/>
        <w:gridCol w:w="1727"/>
      </w:tblGrid>
      <w:tr w:rsidR="00454F69" w:rsidRPr="008A2C60" w14:paraId="2335F2F0" w14:textId="77777777" w:rsidTr="00CC2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Borders>
              <w:top w:val="none" w:sz="0" w:space="0" w:color="auto"/>
              <w:left w:val="none" w:sz="0" w:space="0" w:color="auto"/>
              <w:bottom w:val="none" w:sz="0" w:space="0" w:color="auto"/>
              <w:right w:val="none" w:sz="0" w:space="0" w:color="auto"/>
            </w:tcBorders>
            <w:shd w:val="clear" w:color="auto" w:fill="auto"/>
          </w:tcPr>
          <w:p w14:paraId="006D39E0" w14:textId="6AE9890F" w:rsidR="00454F69" w:rsidRPr="008A2C60" w:rsidRDefault="00C736DA" w:rsidP="006B795E">
            <w:pPr>
              <w:widowControl w:val="0"/>
              <w:spacing w:line="360" w:lineRule="auto"/>
              <w:contextualSpacing/>
              <w:jc w:val="both"/>
              <w:rPr>
                <w:rFonts w:ascii="Book Antiqua" w:hAnsi="Book Antiqua"/>
                <w:lang w:eastAsia="zh-CN"/>
              </w:rPr>
            </w:pPr>
            <w:r>
              <w:rPr>
                <w:rFonts w:ascii="Book Antiqua" w:hAnsi="Book Antiqua" w:hint="eastAsia"/>
                <w:lang w:eastAsia="zh-CN"/>
              </w:rPr>
              <w:t>Ref.</w:t>
            </w:r>
          </w:p>
        </w:tc>
        <w:tc>
          <w:tcPr>
            <w:tcW w:w="507" w:type="pct"/>
            <w:tcBorders>
              <w:top w:val="none" w:sz="0" w:space="0" w:color="auto"/>
              <w:left w:val="none" w:sz="0" w:space="0" w:color="auto"/>
              <w:bottom w:val="none" w:sz="0" w:space="0" w:color="auto"/>
              <w:right w:val="none" w:sz="0" w:space="0" w:color="auto"/>
            </w:tcBorders>
            <w:shd w:val="clear" w:color="auto" w:fill="auto"/>
          </w:tcPr>
          <w:p w14:paraId="7951ED09" w14:textId="77777777" w:rsidR="00454F69" w:rsidRPr="008A2C60" w:rsidRDefault="00454F69" w:rsidP="00CC274A">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Country</w:t>
            </w:r>
          </w:p>
        </w:tc>
        <w:tc>
          <w:tcPr>
            <w:tcW w:w="353" w:type="pct"/>
            <w:tcBorders>
              <w:top w:val="none" w:sz="0" w:space="0" w:color="auto"/>
              <w:left w:val="none" w:sz="0" w:space="0" w:color="auto"/>
              <w:bottom w:val="none" w:sz="0" w:space="0" w:color="auto"/>
              <w:right w:val="none" w:sz="0" w:space="0" w:color="auto"/>
            </w:tcBorders>
            <w:shd w:val="clear" w:color="auto" w:fill="auto"/>
          </w:tcPr>
          <w:p w14:paraId="56FF67FB" w14:textId="1C3BE9E8" w:rsidR="00454F69" w:rsidRPr="008A2C60" w:rsidRDefault="00BB2CA9" w:rsidP="00CC274A">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Y</w:t>
            </w:r>
            <w:r w:rsidR="00C736DA">
              <w:rPr>
                <w:rFonts w:ascii="Book Antiqua" w:hAnsi="Book Antiqua" w:hint="eastAsia"/>
                <w:lang w:eastAsia="zh-CN"/>
              </w:rPr>
              <w:t>ea</w:t>
            </w:r>
            <w:r w:rsidR="00454F69" w:rsidRPr="008A2C60">
              <w:rPr>
                <w:rFonts w:ascii="Book Antiqua" w:hAnsi="Book Antiqua"/>
              </w:rPr>
              <w:t>r</w:t>
            </w:r>
          </w:p>
        </w:tc>
        <w:tc>
          <w:tcPr>
            <w:tcW w:w="296" w:type="pct"/>
            <w:tcBorders>
              <w:top w:val="none" w:sz="0" w:space="0" w:color="auto"/>
              <w:left w:val="none" w:sz="0" w:space="0" w:color="auto"/>
              <w:bottom w:val="none" w:sz="0" w:space="0" w:color="auto"/>
              <w:right w:val="none" w:sz="0" w:space="0" w:color="auto"/>
            </w:tcBorders>
            <w:shd w:val="clear" w:color="auto" w:fill="auto"/>
          </w:tcPr>
          <w:p w14:paraId="1F44FB5A" w14:textId="31D2119B" w:rsidR="00454F69" w:rsidRPr="00CC274A" w:rsidRDefault="00CC274A" w:rsidP="00CC274A">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i/>
                <w:lang w:eastAsia="zh-CN"/>
              </w:rPr>
            </w:pPr>
            <w:r w:rsidRPr="00CC274A">
              <w:rPr>
                <w:rFonts w:ascii="Book Antiqua" w:hAnsi="Book Antiqua" w:hint="eastAsia"/>
                <w:i/>
                <w:lang w:eastAsia="zh-CN"/>
              </w:rPr>
              <w:t>n</w:t>
            </w:r>
          </w:p>
        </w:tc>
        <w:tc>
          <w:tcPr>
            <w:tcW w:w="642" w:type="pct"/>
            <w:tcBorders>
              <w:top w:val="none" w:sz="0" w:space="0" w:color="auto"/>
              <w:left w:val="none" w:sz="0" w:space="0" w:color="auto"/>
              <w:bottom w:val="none" w:sz="0" w:space="0" w:color="auto"/>
              <w:right w:val="none" w:sz="0" w:space="0" w:color="auto"/>
            </w:tcBorders>
            <w:shd w:val="clear" w:color="auto" w:fill="auto"/>
          </w:tcPr>
          <w:p w14:paraId="346B6624" w14:textId="77777777" w:rsidR="00454F69" w:rsidRPr="008A2C60" w:rsidRDefault="00454F69" w:rsidP="00CC274A">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Group</w:t>
            </w:r>
            <w:r w:rsidR="009D0AB4" w:rsidRPr="008A2C60">
              <w:rPr>
                <w:rFonts w:ascii="Book Antiqua" w:hAnsi="Book Antiqua"/>
              </w:rPr>
              <w:t xml:space="preserve"> 1</w:t>
            </w:r>
          </w:p>
        </w:tc>
        <w:tc>
          <w:tcPr>
            <w:tcW w:w="741" w:type="pct"/>
            <w:tcBorders>
              <w:top w:val="none" w:sz="0" w:space="0" w:color="auto"/>
              <w:left w:val="none" w:sz="0" w:space="0" w:color="auto"/>
              <w:bottom w:val="none" w:sz="0" w:space="0" w:color="auto"/>
              <w:right w:val="none" w:sz="0" w:space="0" w:color="auto"/>
            </w:tcBorders>
            <w:shd w:val="clear" w:color="auto" w:fill="auto"/>
          </w:tcPr>
          <w:p w14:paraId="173A40A2" w14:textId="77777777" w:rsidR="00454F69" w:rsidRPr="008A2C60" w:rsidRDefault="009D0AB4" w:rsidP="00CC274A">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G</w:t>
            </w:r>
            <w:r w:rsidR="00454F69" w:rsidRPr="008A2C60">
              <w:rPr>
                <w:rFonts w:ascii="Book Antiqua" w:hAnsi="Book Antiqua"/>
              </w:rPr>
              <w:t>roup</w:t>
            </w:r>
            <w:r w:rsidRPr="008A2C60">
              <w:rPr>
                <w:rFonts w:ascii="Book Antiqua" w:hAnsi="Book Antiqua"/>
              </w:rPr>
              <w:t xml:space="preserve"> 2</w:t>
            </w:r>
          </w:p>
        </w:tc>
        <w:tc>
          <w:tcPr>
            <w:tcW w:w="791" w:type="pct"/>
            <w:tcBorders>
              <w:top w:val="none" w:sz="0" w:space="0" w:color="auto"/>
              <w:left w:val="none" w:sz="0" w:space="0" w:color="auto"/>
              <w:bottom w:val="none" w:sz="0" w:space="0" w:color="auto"/>
              <w:right w:val="none" w:sz="0" w:space="0" w:color="auto"/>
            </w:tcBorders>
            <w:shd w:val="clear" w:color="auto" w:fill="auto"/>
          </w:tcPr>
          <w:p w14:paraId="30CE3A41" w14:textId="77777777" w:rsidR="00454F69" w:rsidRPr="008A2C60" w:rsidRDefault="00454F69" w:rsidP="00CC274A">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Outcome</w:t>
            </w:r>
          </w:p>
        </w:tc>
        <w:tc>
          <w:tcPr>
            <w:tcW w:w="602" w:type="pct"/>
            <w:tcBorders>
              <w:top w:val="none" w:sz="0" w:space="0" w:color="auto"/>
              <w:left w:val="none" w:sz="0" w:space="0" w:color="auto"/>
              <w:bottom w:val="none" w:sz="0" w:space="0" w:color="auto"/>
              <w:right w:val="none" w:sz="0" w:space="0" w:color="auto"/>
            </w:tcBorders>
            <w:shd w:val="clear" w:color="auto" w:fill="auto"/>
          </w:tcPr>
          <w:p w14:paraId="729D9A50" w14:textId="77777777" w:rsidR="00454F69" w:rsidRPr="008A2C60" w:rsidRDefault="00454F69" w:rsidP="00CC274A">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Comment</w:t>
            </w:r>
          </w:p>
        </w:tc>
      </w:tr>
      <w:tr w:rsidR="009E754E" w:rsidRPr="008A2C60" w14:paraId="21858C0C" w14:textId="77777777" w:rsidTr="00CC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Borders>
              <w:left w:val="none" w:sz="0" w:space="0" w:color="auto"/>
              <w:right w:val="none" w:sz="0" w:space="0" w:color="auto"/>
            </w:tcBorders>
            <w:shd w:val="clear" w:color="auto" w:fill="auto"/>
          </w:tcPr>
          <w:p w14:paraId="67B5AF09" w14:textId="42270B15" w:rsidR="009E754E" w:rsidRPr="00CC274A" w:rsidRDefault="009E754E" w:rsidP="006B795E">
            <w:pPr>
              <w:widowControl w:val="0"/>
              <w:spacing w:line="360" w:lineRule="auto"/>
              <w:contextualSpacing/>
              <w:jc w:val="both"/>
              <w:rPr>
                <w:rFonts w:ascii="Book Antiqua" w:hAnsi="Book Antiqua"/>
                <w:b w:val="0"/>
              </w:rPr>
            </w:pPr>
            <w:r w:rsidRPr="00CC274A">
              <w:rPr>
                <w:rFonts w:ascii="Book Antiqua" w:hAnsi="Book Antiqua"/>
                <w:b w:val="0"/>
              </w:rPr>
              <w:t xml:space="preserve">Alvarez-Sotomayor </w:t>
            </w:r>
            <w:r w:rsidR="00EE3848" w:rsidRPr="00CC274A">
              <w:rPr>
                <w:rFonts w:ascii="Book Antiqua" w:hAnsi="Book Antiqua"/>
                <w:b w:val="0"/>
                <w:i/>
              </w:rPr>
              <w:t>et al</w:t>
            </w:r>
            <w:r w:rsidR="00EA5B56" w:rsidRPr="00CC274A">
              <w:rPr>
                <w:rFonts w:ascii="Book Antiqua" w:hAnsi="Book Antiqua"/>
                <w:i/>
              </w:rPr>
              <w:fldChar w:fldCharType="begin" w:fldLock="1"/>
            </w:r>
            <w:r w:rsidR="00EA5B56" w:rsidRPr="00CC274A">
              <w:rPr>
                <w:rFonts w:ascii="Book Antiqua" w:hAnsi="Book Antiqua"/>
                <w:b w:val="0"/>
                <w:i/>
              </w:rPr>
              <w:instrText>ADDIN CSL_CITATION { "citationItems" : [ { "id" : "ITEM-1", "itemData" : { "DOI" : "10.1097/TP.0000000000001399 [doi]", "ISBN" : "0000000000", "ISSN" : "1534-6080; 0041-1337", "abstract" : "BACKGROUND: Diabetes mellitus is a chronic illness with great impact on long-term outcome after liver transplantation (LT). Despite this, the current level of glycemic control and quality of screening strategies for diabetes-associated conditions that are being provided to liver transplant recipients with diabetes have not yet been assessed. METHODS: We performed a cross-sectional, multicenter study that included 344 liver transplant recipients and examined the level of glycemic control and its associated factors, as well as the quality of screening strategies for diabetes-associated conditions. RESULTS: Seventy-five patients (21.8%) suffered from diabetes before transplantation, and 82 (23.8%) developed diabetes mellitus after transplantation. Adequate glycemic control (HbA1c &lt; 7%) was achieved in 66.7% of the patients. Forty-eight percent of patients underwent regular screening for retinopathy, 47.1% for nephropathy, 4.5% for neuropathy, and 5.7% for foot ulcers. Diabetes was associated with higher frequency of cardiovascular disease and dyslipidemia both before and after LT. Multivariate analysis revealed association between poor glycemic control and arterial hypertension, presence of diabetes before transplantation, elevated GGT, and insulin use. CONCLUSIONS: Glycemic control was inadequate in 33.3% of LT recipients with diabetes, and screening protocols for diabetes-associated conditions did not meet the standards for medical care set by the American Diabetes Association in any of the participating centers. Consequently, this study reveals a clear deficiency in the quality of diabetes care provided to patients after LT and, hence, we predict that future progress in this area will have a significant impact on medium-term to long-term outcome of these patients.", "author" : [ { "dropping-particle" : "", "family" : "Alvarez-Sotomayor", "given" : "D", "non-dropping-particle" : "", "parse-names" : false, "suffix" : "" }, { "dropping-particle" : "", "family" : "Satorres", "given" : "C", "non-dropping-particle" : "", "parse-names" : false, "suffix" : "" }, { "dropping-particle" : "", "family" : "Rodriguez-Medina", "given" : "B", "non-dropping-particle" : "", "parse-names" : false, "suffix" : "" }, { "dropping-particle" : "", "family" : "Herrero", "given" : "I", "non-dropping-particle" : "", "parse-names" : false, "suffix" : "" }, { "dropping-particle" : "", "family" : "la Mata", "given" : "M", "non-dropping-particle" : "de", "parse-names" : false, "suffix" : "" }, { "dropping-particle" : "", "family" : "Serrano", "given" : "T", "non-dropping-particle" : "", "parse-names" : false, "suffix" : "" }, { "dropping-particle" : "", "family" : "Rodriguez-Peralvarez", "given" : "M", "non-dropping-particle" : "", "parse-names" : false, "suffix" : "" }, { "dropping-particle" : "", "family" : "D'Avola", "given" : "D", "non-dropping-particle" : "", "parse-names" : false, "suffix" : "" }, { "dropping-particle" : "", "family" : "Lorente", "given" : "S", "non-dropping-particle" : "", "parse-names" : false, "suffix" : "" }, { "dropping-particle" : "", "family" : "Rubin", "given" : "A", "non-dropping-particle" : "", "parse-names" : false, "suffix" : "" }, { "dropping-particle" : "", "family" : "Berenguer", "given" : "M", "non-dropping-particle" : "", "parse-names" : false, "suffix" : "" } ], "container-title" : "Transplantation", "id" : "ITEM-1", "issue" : "10", "issued" : { "date-parts" : [ [ "2016" ] ] }, "page" : "e66-e73", "title" : "Controlling Diabetes After Liver Transplantation: Room for Improvement", "type" : "article-journal", "volume" : "100" }, "uris" : [ "http://www.mendeley.com/documents/?uuid=6a251544-e027-49f9-86fa-75c85e6ee2ad" ] } ], "mendeley" : { "formattedCitation" : "&lt;sup&gt;[24]&lt;/sup&gt;", "plainTextFormattedCitation" : "[24]", "previouslyFormattedCitation" : "&lt;sup&gt;[24]&lt;/sup&gt;" }, "properties" : {  }, "schema" : "https://github.com/citation-style-language/schema/raw/master/csl-citation.json" }</w:instrText>
            </w:r>
            <w:r w:rsidR="00EA5B56" w:rsidRPr="00CC274A">
              <w:rPr>
                <w:rFonts w:ascii="Book Antiqua" w:hAnsi="Book Antiqua"/>
                <w:i/>
              </w:rPr>
              <w:fldChar w:fldCharType="separate"/>
            </w:r>
            <w:r w:rsidR="00EA5B56" w:rsidRPr="00CC274A">
              <w:rPr>
                <w:rFonts w:ascii="Book Antiqua" w:hAnsi="Book Antiqua"/>
                <w:b w:val="0"/>
                <w:noProof/>
                <w:vertAlign w:val="superscript"/>
              </w:rPr>
              <w:t>[24]</w:t>
            </w:r>
            <w:r w:rsidR="00EA5B56" w:rsidRPr="00CC274A">
              <w:rPr>
                <w:rFonts w:ascii="Book Antiqua" w:hAnsi="Book Antiqua"/>
                <w:i/>
              </w:rPr>
              <w:fldChar w:fldCharType="end"/>
            </w:r>
          </w:p>
        </w:tc>
        <w:tc>
          <w:tcPr>
            <w:tcW w:w="507" w:type="pct"/>
            <w:tcBorders>
              <w:left w:val="none" w:sz="0" w:space="0" w:color="auto"/>
              <w:right w:val="none" w:sz="0" w:space="0" w:color="auto"/>
            </w:tcBorders>
            <w:shd w:val="clear" w:color="auto" w:fill="auto"/>
          </w:tcPr>
          <w:p w14:paraId="4008E1E8" w14:textId="77777777"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Spain</w:t>
            </w:r>
          </w:p>
        </w:tc>
        <w:tc>
          <w:tcPr>
            <w:tcW w:w="353" w:type="pct"/>
            <w:tcBorders>
              <w:left w:val="none" w:sz="0" w:space="0" w:color="auto"/>
              <w:right w:val="none" w:sz="0" w:space="0" w:color="auto"/>
            </w:tcBorders>
            <w:shd w:val="clear" w:color="auto" w:fill="auto"/>
          </w:tcPr>
          <w:p w14:paraId="2FCF61DD" w14:textId="77777777"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2016</w:t>
            </w:r>
          </w:p>
        </w:tc>
        <w:tc>
          <w:tcPr>
            <w:tcW w:w="296" w:type="pct"/>
            <w:tcBorders>
              <w:left w:val="none" w:sz="0" w:space="0" w:color="auto"/>
              <w:right w:val="none" w:sz="0" w:space="0" w:color="auto"/>
            </w:tcBorders>
            <w:shd w:val="clear" w:color="auto" w:fill="auto"/>
          </w:tcPr>
          <w:p w14:paraId="41EA3A4B" w14:textId="77777777"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344</w:t>
            </w:r>
          </w:p>
        </w:tc>
        <w:tc>
          <w:tcPr>
            <w:tcW w:w="642" w:type="pct"/>
            <w:tcBorders>
              <w:left w:val="none" w:sz="0" w:space="0" w:color="auto"/>
              <w:right w:val="none" w:sz="0" w:space="0" w:color="auto"/>
            </w:tcBorders>
            <w:shd w:val="clear" w:color="auto" w:fill="auto"/>
          </w:tcPr>
          <w:p w14:paraId="51CB355F" w14:textId="77777777" w:rsidR="009E754E" w:rsidRPr="008A2C60" w:rsidRDefault="00246DE0"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Diabetes before transplantation</w:t>
            </w:r>
          </w:p>
        </w:tc>
        <w:tc>
          <w:tcPr>
            <w:tcW w:w="741" w:type="pct"/>
            <w:tcBorders>
              <w:left w:val="none" w:sz="0" w:space="0" w:color="auto"/>
              <w:right w:val="none" w:sz="0" w:space="0" w:color="auto"/>
            </w:tcBorders>
            <w:shd w:val="clear" w:color="auto" w:fill="auto"/>
          </w:tcPr>
          <w:p w14:paraId="7BCB6D74" w14:textId="50662A63" w:rsidR="009E754E" w:rsidRPr="008A2C60" w:rsidRDefault="00A91FF3"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N</w:t>
            </w:r>
            <w:r w:rsidR="00CC274A" w:rsidRPr="008A2C60">
              <w:rPr>
                <w:rFonts w:ascii="Book Antiqua" w:hAnsi="Book Antiqua"/>
              </w:rPr>
              <w:t>o di</w:t>
            </w:r>
            <w:r w:rsidRPr="008A2C60">
              <w:rPr>
                <w:rFonts w:ascii="Book Antiqua" w:hAnsi="Book Antiqua"/>
              </w:rPr>
              <w:t>abetes before transplantation</w:t>
            </w:r>
          </w:p>
        </w:tc>
        <w:tc>
          <w:tcPr>
            <w:tcW w:w="791" w:type="pct"/>
            <w:tcBorders>
              <w:left w:val="none" w:sz="0" w:space="0" w:color="auto"/>
              <w:right w:val="none" w:sz="0" w:space="0" w:color="auto"/>
            </w:tcBorders>
            <w:shd w:val="clear" w:color="auto" w:fill="auto"/>
          </w:tcPr>
          <w:p w14:paraId="4632E337" w14:textId="20B639EA" w:rsidR="009E754E" w:rsidRPr="008A2C60" w:rsidRDefault="00161755"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PTDM</w:t>
            </w:r>
          </w:p>
        </w:tc>
        <w:tc>
          <w:tcPr>
            <w:tcW w:w="602" w:type="pct"/>
            <w:tcBorders>
              <w:left w:val="none" w:sz="0" w:space="0" w:color="auto"/>
              <w:right w:val="none" w:sz="0" w:space="0" w:color="auto"/>
            </w:tcBorders>
            <w:shd w:val="clear" w:color="auto" w:fill="auto"/>
          </w:tcPr>
          <w:p w14:paraId="29439A5C" w14:textId="77777777" w:rsidR="009E754E" w:rsidRPr="008A2C60" w:rsidRDefault="00246DE0"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Cross-sectional study</w:t>
            </w:r>
          </w:p>
        </w:tc>
      </w:tr>
      <w:tr w:rsidR="009E754E" w:rsidRPr="008A2C60" w14:paraId="471EC232" w14:textId="77777777" w:rsidTr="00CC274A">
        <w:tc>
          <w:tcPr>
            <w:cnfStyle w:val="001000000000" w:firstRow="0" w:lastRow="0" w:firstColumn="1" w:lastColumn="0" w:oddVBand="0" w:evenVBand="0" w:oddHBand="0" w:evenHBand="0" w:firstRowFirstColumn="0" w:firstRowLastColumn="0" w:lastRowFirstColumn="0" w:lastRowLastColumn="0"/>
            <w:tcW w:w="1067" w:type="pct"/>
            <w:shd w:val="clear" w:color="auto" w:fill="auto"/>
          </w:tcPr>
          <w:p w14:paraId="5BB35B9F" w14:textId="466A0BF7" w:rsidR="00454F69" w:rsidRPr="00CC274A" w:rsidRDefault="00454F69" w:rsidP="006B795E">
            <w:pPr>
              <w:widowControl w:val="0"/>
              <w:spacing w:line="360" w:lineRule="auto"/>
              <w:contextualSpacing/>
              <w:jc w:val="both"/>
              <w:rPr>
                <w:rFonts w:ascii="Book Antiqua" w:hAnsi="Book Antiqua"/>
                <w:b w:val="0"/>
              </w:rPr>
            </w:pPr>
            <w:r w:rsidRPr="00CC274A">
              <w:rPr>
                <w:rFonts w:ascii="Book Antiqua" w:hAnsi="Book Antiqua"/>
                <w:b w:val="0"/>
              </w:rPr>
              <w:t xml:space="preserve">Villanueva </w:t>
            </w:r>
            <w:r w:rsidR="00EE3848" w:rsidRPr="00CC274A">
              <w:rPr>
                <w:rFonts w:ascii="Book Antiqua" w:hAnsi="Book Antiqua"/>
                <w:b w:val="0"/>
                <w:i/>
              </w:rPr>
              <w:t>et al</w:t>
            </w:r>
            <w:r w:rsidR="00EA5B56" w:rsidRPr="00CC274A">
              <w:rPr>
                <w:rFonts w:ascii="Book Antiqua" w:hAnsi="Book Antiqua"/>
                <w:i/>
              </w:rPr>
              <w:fldChar w:fldCharType="begin" w:fldLock="1"/>
            </w:r>
            <w:r w:rsidR="00EA5B56" w:rsidRPr="00CC274A">
              <w:rPr>
                <w:rFonts w:ascii="Book Antiqua" w:hAnsi="Book Antiqua"/>
                <w:b w:val="0"/>
                <w:i/>
              </w:rPr>
              <w:instrText>ADDIN CSL_CITATION { "citationItems" : [ { "id" : "ITEM-1", "itemData" : { "DOI" : "10.1097/01.tp.0000181165.19788.95", "ISSN" : "0041-1337", "PMID" : "16340782", "abstract" : "BACKGROUND: The new onset of posttransplant diabetes mellitus (PTDM) is a common problem after solid organ transplantation. Because insulin resistance plays a significant role in the development of PTDM, we treated 40 consecutive patients with PTDM after liver and kidney transplantation with the insulin sensitizer rosiglitazone (ROSI). METHODS: Thirty-three of 40 patients with PTDM were initially stabilized with twice-daily NPH and regular insulin. All patients subsequently began ROSI 4 mg per day. Patients were followed for a mean of 26 weeks and insulin was adjusted using home blood glucose data and hemoglobin A1C (HBA1C). RESULTS: During 12 months of study, 32/107 liver transplant patients (30%) and 8/205 kidney transplant patients (4%) patients developed PTDM. After 3-4 months of insulin and ROSI therapy, insulin was able to be discontinued in 30/33 (91%) patients with PTDM. In all, 12/40 (30%) patients maintained normal HBA1C levels (5.6+/-0.8%) with ROSI monotherapy, whereas 25/40 (63%) required ROSI and a sulfonylurea to meet this goal. Three of 40 (7.5%) had persistent insulin dependence. 25/40 (63%) continued on 4 mg/day of ROSI, and 15/40 (37%) required an increase to 8 mg/day. Mild edema developed in 13% of patients; significant weight gain did not occur. CONCLUSIONS: Rosiglitazone is the first highly effective oral agent for PTDM. The majority of patients with PTDM may be safely treated with ROSI +/- a sulfonylurea. After the expected 3-6 week delay in the onset of ROSI action, most patients with PTDM will no longer require long-term insulin therapy.", "author" : [ { "dropping-particle" : "", "family" : "Villanueva", "given" : "Griselda", "non-dropping-particle" : "", "parse-names" : false, "suffix" : "" }, { "dropping-particle" : "", "family" : "Baldwin", "given" : "David", "non-dropping-particle" : "", "parse-names" : false, "suffix" : "" } ], "container-title" : "Transplantation", "id" : "ITEM-1", "issue" : "10", "issued" : { "date-parts" : [ [ "2005" ] ] }, "page" : "1402-1405", "title" : "Rosiglitazone therapy of posttransplant diabetes mellitus.", "type" : "article-journal", "volume" : "80" }, "uris" : [ "http://www.mendeley.com/documents/?uuid=b0a49420-9900-4f86-8422-dd865a7be405" ] } ], "mendeley" : { "formattedCitation" : "&lt;sup&gt;[22]&lt;/sup&gt;", "plainTextFormattedCitation" : "[22]", "previouslyFormattedCitation" : "&lt;sup&gt;[22]&lt;/sup&gt;" }, "properties" : {  }, "schema" : "https://github.com/citation-style-language/schema/raw/master/csl-citation.json" }</w:instrText>
            </w:r>
            <w:r w:rsidR="00EA5B56" w:rsidRPr="00CC274A">
              <w:rPr>
                <w:rFonts w:ascii="Book Antiqua" w:hAnsi="Book Antiqua"/>
                <w:i/>
              </w:rPr>
              <w:fldChar w:fldCharType="separate"/>
            </w:r>
            <w:r w:rsidR="00EA5B56" w:rsidRPr="00CC274A">
              <w:rPr>
                <w:rFonts w:ascii="Book Antiqua" w:hAnsi="Book Antiqua"/>
                <w:b w:val="0"/>
                <w:noProof/>
                <w:vertAlign w:val="superscript"/>
              </w:rPr>
              <w:t>[22]</w:t>
            </w:r>
            <w:r w:rsidR="00EA5B56" w:rsidRPr="00CC274A">
              <w:rPr>
                <w:rFonts w:ascii="Book Antiqua" w:hAnsi="Book Antiqua"/>
                <w:i/>
              </w:rPr>
              <w:fldChar w:fldCharType="end"/>
            </w:r>
          </w:p>
        </w:tc>
        <w:tc>
          <w:tcPr>
            <w:tcW w:w="507" w:type="pct"/>
            <w:shd w:val="clear" w:color="auto" w:fill="auto"/>
          </w:tcPr>
          <w:p w14:paraId="0ACECA17" w14:textId="6067D7A8" w:rsidR="00454F69" w:rsidRPr="008A2C60" w:rsidRDefault="00CC274A" w:rsidP="00CC274A">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U</w:t>
            </w:r>
            <w:r>
              <w:rPr>
                <w:rFonts w:ascii="Book Antiqua" w:hAnsi="Book Antiqua" w:hint="eastAsia"/>
                <w:lang w:eastAsia="zh-CN"/>
              </w:rPr>
              <w:t>nited States</w:t>
            </w:r>
          </w:p>
        </w:tc>
        <w:tc>
          <w:tcPr>
            <w:tcW w:w="353" w:type="pct"/>
            <w:shd w:val="clear" w:color="auto" w:fill="auto"/>
          </w:tcPr>
          <w:p w14:paraId="3A2B9A57" w14:textId="77777777" w:rsidR="00454F69" w:rsidRPr="008A2C60" w:rsidRDefault="00454F69" w:rsidP="00CC274A">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2005</w:t>
            </w:r>
          </w:p>
        </w:tc>
        <w:tc>
          <w:tcPr>
            <w:tcW w:w="296" w:type="pct"/>
            <w:shd w:val="clear" w:color="auto" w:fill="auto"/>
          </w:tcPr>
          <w:p w14:paraId="35CCC81C" w14:textId="77777777" w:rsidR="00454F69" w:rsidRPr="008A2C60" w:rsidRDefault="00454F69" w:rsidP="00CC274A">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107</w:t>
            </w:r>
          </w:p>
        </w:tc>
        <w:tc>
          <w:tcPr>
            <w:tcW w:w="642" w:type="pct"/>
            <w:shd w:val="clear" w:color="auto" w:fill="auto"/>
          </w:tcPr>
          <w:p w14:paraId="0C259F1C" w14:textId="77777777" w:rsidR="00454F69" w:rsidRPr="008A2C60" w:rsidRDefault="009E754E" w:rsidP="00CC274A">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Rosiglitazone</w:t>
            </w:r>
          </w:p>
        </w:tc>
        <w:tc>
          <w:tcPr>
            <w:tcW w:w="741" w:type="pct"/>
            <w:shd w:val="clear" w:color="auto" w:fill="auto"/>
          </w:tcPr>
          <w:p w14:paraId="1A55ACD9" w14:textId="4182E84B" w:rsidR="00454F69" w:rsidRPr="008A2C60" w:rsidRDefault="00CC274A" w:rsidP="00CC274A">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w:t>
            </w:r>
          </w:p>
        </w:tc>
        <w:tc>
          <w:tcPr>
            <w:tcW w:w="791" w:type="pct"/>
            <w:shd w:val="clear" w:color="auto" w:fill="auto"/>
          </w:tcPr>
          <w:p w14:paraId="63D4B2BB" w14:textId="6E17A06D" w:rsidR="00454F69" w:rsidRPr="008A2C60" w:rsidRDefault="00812BF4" w:rsidP="00CC274A">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2C60">
              <w:rPr>
                <w:rFonts w:ascii="Book Antiqua" w:hAnsi="Book Antiqua"/>
              </w:rPr>
              <w:t>PTDM</w:t>
            </w:r>
          </w:p>
        </w:tc>
        <w:tc>
          <w:tcPr>
            <w:tcW w:w="602" w:type="pct"/>
            <w:shd w:val="clear" w:color="auto" w:fill="auto"/>
          </w:tcPr>
          <w:p w14:paraId="71D9AF16" w14:textId="77777777" w:rsidR="00454F69" w:rsidRPr="008A2C60" w:rsidRDefault="00454F69" w:rsidP="00CC274A">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9E754E" w:rsidRPr="008A2C60" w14:paraId="29D2A3D3" w14:textId="77777777" w:rsidTr="00CC2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pct"/>
            <w:tcBorders>
              <w:left w:val="none" w:sz="0" w:space="0" w:color="auto"/>
              <w:right w:val="none" w:sz="0" w:space="0" w:color="auto"/>
            </w:tcBorders>
            <w:shd w:val="clear" w:color="auto" w:fill="auto"/>
          </w:tcPr>
          <w:p w14:paraId="711C2E88" w14:textId="2E5AFD16" w:rsidR="009E754E" w:rsidRPr="00CC274A" w:rsidRDefault="009E754E" w:rsidP="006B795E">
            <w:pPr>
              <w:widowControl w:val="0"/>
              <w:spacing w:line="360" w:lineRule="auto"/>
              <w:contextualSpacing/>
              <w:jc w:val="both"/>
              <w:rPr>
                <w:rFonts w:ascii="Book Antiqua" w:hAnsi="Book Antiqua"/>
                <w:b w:val="0"/>
              </w:rPr>
            </w:pPr>
            <w:r w:rsidRPr="00CC274A">
              <w:rPr>
                <w:rFonts w:ascii="Book Antiqua" w:hAnsi="Book Antiqua"/>
                <w:b w:val="0"/>
              </w:rPr>
              <w:t xml:space="preserve">Welsh </w:t>
            </w:r>
            <w:r w:rsidR="00EE3848" w:rsidRPr="00CC274A">
              <w:rPr>
                <w:rFonts w:ascii="Book Antiqua" w:hAnsi="Book Antiqua"/>
                <w:b w:val="0"/>
                <w:i/>
              </w:rPr>
              <w:t>et al</w:t>
            </w:r>
            <w:r w:rsidR="00EA5B56" w:rsidRPr="00CC274A">
              <w:rPr>
                <w:rFonts w:ascii="Book Antiqua" w:hAnsi="Book Antiqua"/>
                <w:i/>
              </w:rPr>
              <w:fldChar w:fldCharType="begin" w:fldLock="1"/>
            </w:r>
            <w:r w:rsidR="00EA5B56" w:rsidRPr="00CC274A">
              <w:rPr>
                <w:rFonts w:ascii="Book Antiqua" w:hAnsi="Book Antiqua"/>
                <w:b w:val="0"/>
                <w:i/>
              </w:rPr>
              <w:instrText>ADDIN CSL_CITATION { "citationItems" : [ { "id" : "ITEM-1", "itemData" : { "DOI" : "10.4158/EP151166.OR", "ISSN" : "1530-891X", "PMID" : "27124695", "abstract" : "OBJECTIVE Inpatient hypoglycemia (glucose \u226470 mg/dL) is a limitation of intensive control with insulin. Causes of hypoglycemia were evaluated in a randomized controlled trial examining intensive glycemic control (IG, target 140 mg/dL) versus moderate glycemic control (MG, target 180 mg/dL) on post-liver transplant outcomes. METHODS Hypoglycemic episodes were reviewed by a multidisciplinary team to calculate and identify contributing pathophysiologic and operational factors. A subsequent subgroup case control (1:1) analysis (with/without) hypoglycemia was completed to further delineate factors. A total of 164 participants were enrolled, and 155 patients were examined in depth. RESULTS Overall, insulin-related hypoglycemia was experienced in 24 of 82 patients in IG (episodes: 20 drip, 36 subcutaneous [SQ]) and 4 of 82 in MG (episodes: 2 drip, 2 SQ). Most episodes occurred at night (41 of 60), with high insulin amounts (44 of 60), and during a protocol deviation (51 of 60). Compared to those without hypoglycemia (n = 127 vs. n = 28), hypoglycemic patients had significantly longer hospital stays (13.6 \u00b1 12.6 days vs. 7.4 \u00b1 6.1 days; P = .002), higher peak insulin drip rates (17.4 \u00b1 10.3 U/h vs. 13.1 \u00b1 9.9 U/h; P = .044), and higher peak insulin glargine doses (36.8 \u00b1 21.4 U vs. 26.2 \u00b1 24.3 U; P = .035). In the case-matched analysis (24 cases, 24 controls), those with insulin-related hypoglycemia had higher median peak insulin drip rates (17 U/h vs. 11 U/h; P = .04) and protocol deviations (92% vs. 50%; P = .004). CONCLUSION Peak insulin requirements and protocol deviations were correlated with hypoglycemia. ABBREVIATIONS DM = diabetes mellitus ICU = intensive care unit IG = intensive glycemic control MELD = Model for End-stage Liver Disease MG = moderate glycemic control SQ = subcutaneous.", "author" : [ { "dropping-particle" : "", "family" : "Welsh", "given" : "Nicholas", "non-dropping-particle" : "", "parse-names" : false, "suffix" : "" }, { "dropping-particle" : "", "family" : "Derby", "given" : "Teresa", "non-dropping-particle" : "", "parse-names" : false, "suffix" : "" }, { "dropping-particle" : "", "family" : "Gupta", "given" : "Suruchi", "non-dropping-particle" : "", "parse-names" : false, "suffix" : "" }, { "dropping-particle" : "", "family" : "Fulkerson", "given" : "Candice", "non-dropping-particle" : "", "parse-names" : false, "suffix" : "" }, { "dropping-particle" : "", "family" : "Oakes", "given" : "Diana Johnson", "non-dropping-particle" : "", "parse-names" : false, "suffix" : "" }, { "dropping-particle" : "", "family" : "Schmidt", "given" : "Kathleen", "non-dropping-particle" : "", "parse-names" : false, "suffix" : "" }, { "dropping-particle" : "", "family" : "Parikh", "given" : "Neehar D", "non-dropping-particle" : "", "parse-names" : false, "suffix" : "" }, { "dropping-particle" : "", "family" : "Norvell", "given" : "J P", "non-dropping-particle" : "", "parse-names" : false, "suffix" : "" }, { "dropping-particle" : "", "family" : "Levitsky", "given" : "Josh", "non-dropping-particle" : "", "parse-names" : false, "suffix" : "" }, { "dropping-particle" : "", "family" : "Rademaker", "given" : "Alfred", "non-dropping-particle" : "", "parse-names" : false, "suffix" : "" }, { "dropping-particle" : "", "family" : "Molitch", "given" : "Mark E", "non-dropping-particle" : "", "parse-names" : false, "suffix" : "" }, { "dropping-particle" : "", "family" : "Wallia", "given" : "Amisha", "non-dropping-particle" : "", "parse-names" : false, "suffix" : "" } ], "container-title" : "Endocrine practice : official journal of the American College of Endocrinology and the American Association of Clinical Endocrinologists", "id" : "ITEM-1", "issue" : "9", "issued" : { "date-parts" : [ [ "2016" ] ] }, "page" : "1040-7", "title" : "Inpatient Hypoglycemic Events in a Comparative Effectiveness Trial for Glycemic Control in a High-Risk Population.", "type" : "article-journal", "volume" : "22" }, "uris" : [ "http://www.mendeley.com/documents/?uuid=f9d97e1f-c500-4c7e-b40e-fe485f5aabf6" ] } ], "mendeley" : { "formattedCitation" : "&lt;sup&gt;[28]&lt;/sup&gt;", "plainTextFormattedCitation" : "[28]", "previouslyFormattedCitation" : "&lt;sup&gt;[28]&lt;/sup&gt;" }, "properties" : {  }, "schema" : "https://github.com/citation-style-language/schema/raw/master/csl-citation.json" }</w:instrText>
            </w:r>
            <w:r w:rsidR="00EA5B56" w:rsidRPr="00CC274A">
              <w:rPr>
                <w:rFonts w:ascii="Book Antiqua" w:hAnsi="Book Antiqua"/>
                <w:i/>
              </w:rPr>
              <w:fldChar w:fldCharType="separate"/>
            </w:r>
            <w:r w:rsidR="00EA5B56" w:rsidRPr="00CC274A">
              <w:rPr>
                <w:rFonts w:ascii="Book Antiqua" w:hAnsi="Book Antiqua"/>
                <w:b w:val="0"/>
                <w:noProof/>
                <w:vertAlign w:val="superscript"/>
              </w:rPr>
              <w:t>[28]</w:t>
            </w:r>
            <w:r w:rsidR="00EA5B56" w:rsidRPr="00CC274A">
              <w:rPr>
                <w:rFonts w:ascii="Book Antiqua" w:hAnsi="Book Antiqua"/>
                <w:i/>
              </w:rPr>
              <w:fldChar w:fldCharType="end"/>
            </w:r>
          </w:p>
        </w:tc>
        <w:tc>
          <w:tcPr>
            <w:tcW w:w="507" w:type="pct"/>
            <w:tcBorders>
              <w:left w:val="none" w:sz="0" w:space="0" w:color="auto"/>
              <w:right w:val="none" w:sz="0" w:space="0" w:color="auto"/>
            </w:tcBorders>
            <w:shd w:val="clear" w:color="auto" w:fill="auto"/>
          </w:tcPr>
          <w:p w14:paraId="61321D00" w14:textId="60E31CA8" w:rsidR="009E754E" w:rsidRPr="008A2C60" w:rsidRDefault="00CC274A"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U</w:t>
            </w:r>
            <w:r>
              <w:rPr>
                <w:rFonts w:ascii="Book Antiqua" w:hAnsi="Book Antiqua" w:hint="eastAsia"/>
                <w:lang w:eastAsia="zh-CN"/>
              </w:rPr>
              <w:t>nited States</w:t>
            </w:r>
          </w:p>
        </w:tc>
        <w:tc>
          <w:tcPr>
            <w:tcW w:w="353" w:type="pct"/>
            <w:tcBorders>
              <w:left w:val="none" w:sz="0" w:space="0" w:color="auto"/>
              <w:right w:val="none" w:sz="0" w:space="0" w:color="auto"/>
            </w:tcBorders>
            <w:shd w:val="clear" w:color="auto" w:fill="auto"/>
          </w:tcPr>
          <w:p w14:paraId="5A8F841B" w14:textId="77777777"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2016</w:t>
            </w:r>
          </w:p>
        </w:tc>
        <w:tc>
          <w:tcPr>
            <w:tcW w:w="296" w:type="pct"/>
            <w:tcBorders>
              <w:left w:val="none" w:sz="0" w:space="0" w:color="auto"/>
              <w:right w:val="none" w:sz="0" w:space="0" w:color="auto"/>
            </w:tcBorders>
            <w:shd w:val="clear" w:color="auto" w:fill="auto"/>
          </w:tcPr>
          <w:p w14:paraId="4ECBEA5B" w14:textId="77777777"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164</w:t>
            </w:r>
          </w:p>
        </w:tc>
        <w:tc>
          <w:tcPr>
            <w:tcW w:w="642" w:type="pct"/>
            <w:tcBorders>
              <w:left w:val="none" w:sz="0" w:space="0" w:color="auto"/>
              <w:right w:val="none" w:sz="0" w:space="0" w:color="auto"/>
            </w:tcBorders>
            <w:shd w:val="clear" w:color="auto" w:fill="auto"/>
          </w:tcPr>
          <w:p w14:paraId="7FEA8A22" w14:textId="0C306F6A"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In</w:t>
            </w:r>
            <w:r w:rsidR="00CC274A" w:rsidRPr="008A2C60">
              <w:rPr>
                <w:rFonts w:ascii="Book Antiqua" w:hAnsi="Book Antiqua"/>
              </w:rPr>
              <w:t>tensive glycemic con</w:t>
            </w:r>
            <w:r w:rsidRPr="008A2C60">
              <w:rPr>
                <w:rFonts w:ascii="Book Antiqua" w:hAnsi="Book Antiqua"/>
              </w:rPr>
              <w:t>trol</w:t>
            </w:r>
          </w:p>
        </w:tc>
        <w:tc>
          <w:tcPr>
            <w:tcW w:w="741" w:type="pct"/>
            <w:tcBorders>
              <w:left w:val="none" w:sz="0" w:space="0" w:color="auto"/>
              <w:right w:val="none" w:sz="0" w:space="0" w:color="auto"/>
            </w:tcBorders>
            <w:shd w:val="clear" w:color="auto" w:fill="auto"/>
          </w:tcPr>
          <w:p w14:paraId="63C23BD3" w14:textId="11602213"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M</w:t>
            </w:r>
            <w:r w:rsidR="00CC274A" w:rsidRPr="008A2C60">
              <w:rPr>
                <w:rFonts w:ascii="Book Antiqua" w:hAnsi="Book Antiqua"/>
              </w:rPr>
              <w:t>oderate glycemic co</w:t>
            </w:r>
            <w:r w:rsidRPr="008A2C60">
              <w:rPr>
                <w:rFonts w:ascii="Book Antiqua" w:hAnsi="Book Antiqua"/>
              </w:rPr>
              <w:t>ntrol</w:t>
            </w:r>
          </w:p>
        </w:tc>
        <w:tc>
          <w:tcPr>
            <w:tcW w:w="791" w:type="pct"/>
            <w:tcBorders>
              <w:left w:val="none" w:sz="0" w:space="0" w:color="auto"/>
              <w:right w:val="none" w:sz="0" w:space="0" w:color="auto"/>
            </w:tcBorders>
            <w:shd w:val="clear" w:color="auto" w:fill="auto"/>
          </w:tcPr>
          <w:p w14:paraId="2D7E0910" w14:textId="77777777"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Hypoglycemia</w:t>
            </w:r>
          </w:p>
        </w:tc>
        <w:tc>
          <w:tcPr>
            <w:tcW w:w="602" w:type="pct"/>
            <w:tcBorders>
              <w:left w:val="none" w:sz="0" w:space="0" w:color="auto"/>
              <w:right w:val="none" w:sz="0" w:space="0" w:color="auto"/>
            </w:tcBorders>
            <w:shd w:val="clear" w:color="auto" w:fill="auto"/>
          </w:tcPr>
          <w:p w14:paraId="572E6482" w14:textId="2B43C896" w:rsidR="009E754E" w:rsidRPr="008A2C60" w:rsidRDefault="009E754E" w:rsidP="00CC274A">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2C60">
              <w:rPr>
                <w:rFonts w:ascii="Book Antiqua" w:hAnsi="Book Antiqua"/>
              </w:rPr>
              <w:t>Insulin requirements</w:t>
            </w:r>
          </w:p>
        </w:tc>
      </w:tr>
    </w:tbl>
    <w:p w14:paraId="10E38BE7" w14:textId="59A633DF" w:rsidR="00CC274A" w:rsidRPr="00CC274A" w:rsidRDefault="003A56F3" w:rsidP="00944790">
      <w:pPr>
        <w:rPr>
          <w:rFonts w:ascii="Book Antiqua" w:hAnsi="Book Antiqua"/>
          <w:lang w:eastAsia="zh-CN"/>
        </w:rPr>
      </w:pPr>
      <w:r w:rsidRPr="008A2C60">
        <w:rPr>
          <w:rFonts w:ascii="Book Antiqua" w:hAnsi="Book Antiqua"/>
        </w:rPr>
        <w:t xml:space="preserve"> </w:t>
      </w:r>
      <w:r w:rsidR="00CC274A" w:rsidRPr="008A2C60">
        <w:rPr>
          <w:rFonts w:ascii="Book Antiqua" w:hAnsi="Book Antiqua"/>
        </w:rPr>
        <w:t>PTDM</w:t>
      </w:r>
      <w:r w:rsidR="00CC274A">
        <w:rPr>
          <w:rFonts w:ascii="Book Antiqua" w:hAnsi="Book Antiqua" w:hint="eastAsia"/>
          <w:lang w:eastAsia="zh-CN"/>
        </w:rPr>
        <w:t xml:space="preserve">: </w:t>
      </w:r>
      <w:r w:rsidR="00CC274A" w:rsidRPr="008A2C60">
        <w:rPr>
          <w:rFonts w:ascii="Book Antiqua" w:hAnsi="Book Antiqua"/>
        </w:rPr>
        <w:t>Transplant diabetes mellitus</w:t>
      </w:r>
      <w:r w:rsidR="00CC274A">
        <w:rPr>
          <w:rFonts w:ascii="Book Antiqua" w:hAnsi="Book Antiqua" w:hint="eastAsia"/>
          <w:lang w:eastAsia="zh-CN"/>
        </w:rPr>
        <w:t xml:space="preserve">. </w:t>
      </w:r>
    </w:p>
    <w:p w14:paraId="047AE3E1" w14:textId="0E4E83BF" w:rsidR="00A7073A" w:rsidRPr="00CC274A" w:rsidRDefault="00CB68AF" w:rsidP="00CC274A">
      <w:pPr>
        <w:rPr>
          <w:rFonts w:ascii="Book Antiqua" w:hAnsi="Book Antiqua"/>
          <w:lang w:eastAsia="zh-CN"/>
        </w:rPr>
      </w:pPr>
      <w:r w:rsidRPr="008A2C60">
        <w:rPr>
          <w:rFonts w:ascii="Book Antiqua" w:hAnsi="Book Antiqua"/>
        </w:rPr>
        <w:br w:type="page"/>
      </w:r>
    </w:p>
    <w:p w14:paraId="3FE2D254" w14:textId="38F9FBA1" w:rsidR="0066529B" w:rsidRPr="008A2C60" w:rsidRDefault="0066529B" w:rsidP="00C26D7B">
      <w:pPr>
        <w:spacing w:line="360" w:lineRule="auto"/>
        <w:contextualSpacing/>
        <w:jc w:val="both"/>
        <w:rPr>
          <w:rFonts w:ascii="Book Antiqua" w:hAnsi="Book Antiqua"/>
          <w:lang w:eastAsia="zh-CN"/>
        </w:rPr>
        <w:sectPr w:rsidR="0066529B" w:rsidRPr="008A2C60" w:rsidSect="00EE3848">
          <w:pgSz w:w="15840" w:h="12240" w:orient="landscape"/>
          <w:pgMar w:top="1440" w:right="1440" w:bottom="1440" w:left="1440" w:header="720" w:footer="720" w:gutter="0"/>
          <w:cols w:space="720"/>
          <w:docGrid w:linePitch="360"/>
        </w:sectPr>
      </w:pPr>
    </w:p>
    <w:p w14:paraId="4364AF96" w14:textId="3D889F0E" w:rsidR="00EC1AB0" w:rsidRDefault="00CC274A" w:rsidP="00C26D7B">
      <w:pPr>
        <w:spacing w:line="360" w:lineRule="auto"/>
        <w:contextualSpacing/>
        <w:jc w:val="both"/>
        <w:rPr>
          <w:rFonts w:ascii="Book Antiqua" w:hAnsi="Book Antiqua"/>
          <w:lang w:eastAsia="zh-CN"/>
        </w:rPr>
      </w:pPr>
      <w:r>
        <w:rPr>
          <w:noProof/>
        </w:rPr>
        <w:lastRenderedPageBreak/>
        <w:drawing>
          <wp:inline distT="0" distB="0" distL="0" distR="0" wp14:anchorId="3D4AAF8E" wp14:editId="753DC1C2">
            <wp:extent cx="4876191" cy="4866667"/>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76191" cy="4866667"/>
                    </a:xfrm>
                    <a:prstGeom prst="rect">
                      <a:avLst/>
                    </a:prstGeom>
                  </pic:spPr>
                </pic:pic>
              </a:graphicData>
            </a:graphic>
          </wp:inline>
        </w:drawing>
      </w:r>
    </w:p>
    <w:p w14:paraId="5D3F343F" w14:textId="3C1F0263" w:rsidR="00CC274A" w:rsidRPr="008A2C60" w:rsidRDefault="00CC274A" w:rsidP="00C26D7B">
      <w:pPr>
        <w:spacing w:line="360" w:lineRule="auto"/>
        <w:contextualSpacing/>
        <w:jc w:val="both"/>
        <w:rPr>
          <w:rFonts w:ascii="Book Antiqua" w:hAnsi="Book Antiqua"/>
          <w:lang w:eastAsia="zh-CN"/>
        </w:rPr>
      </w:pPr>
      <w:r w:rsidRPr="008A2C60">
        <w:rPr>
          <w:rFonts w:ascii="Book Antiqua" w:hAnsi="Book Antiqua"/>
          <w:b/>
        </w:rPr>
        <w:t>Figure 1</w:t>
      </w:r>
      <w:r>
        <w:rPr>
          <w:rFonts w:ascii="Book Antiqua" w:hAnsi="Book Antiqua" w:hint="eastAsia"/>
          <w:b/>
          <w:lang w:eastAsia="zh-CN"/>
        </w:rPr>
        <w:t xml:space="preserve"> </w:t>
      </w:r>
      <w:r w:rsidRPr="008A2C60">
        <w:rPr>
          <w:rFonts w:ascii="Book Antiqua" w:hAnsi="Book Antiqua"/>
          <w:b/>
        </w:rPr>
        <w:t>C</w:t>
      </w:r>
      <w:r w:rsidR="00944790" w:rsidRPr="008A2C60">
        <w:rPr>
          <w:rFonts w:ascii="Book Antiqua" w:hAnsi="Book Antiqua"/>
          <w:b/>
        </w:rPr>
        <w:t>onsort</w:t>
      </w:r>
      <w:r w:rsidRPr="008A2C60">
        <w:rPr>
          <w:rFonts w:ascii="Book Antiqua" w:hAnsi="Book Antiqua"/>
          <w:b/>
        </w:rPr>
        <w:t xml:space="preserve"> diagram</w:t>
      </w:r>
      <w:r>
        <w:rPr>
          <w:rFonts w:ascii="Book Antiqua" w:hAnsi="Book Antiqua" w:hint="eastAsia"/>
          <w:b/>
          <w:lang w:eastAsia="zh-CN"/>
        </w:rPr>
        <w:t>.</w:t>
      </w:r>
    </w:p>
    <w:sectPr w:rsidR="00CC274A" w:rsidRPr="008A2C60" w:rsidSect="00EE3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7CE3A" w14:textId="77777777" w:rsidR="003D0C4A" w:rsidRDefault="003D0C4A" w:rsidP="00CA6497">
      <w:r>
        <w:separator/>
      </w:r>
    </w:p>
  </w:endnote>
  <w:endnote w:type="continuationSeparator" w:id="0">
    <w:p w14:paraId="1DABFFB3" w14:textId="77777777" w:rsidR="003D0C4A" w:rsidRDefault="003D0C4A" w:rsidP="00CA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02FF" w:usb1="4000E47F" w:usb2="00000029" w:usb3="00000000" w:csb0="000001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FF28F" w14:textId="77777777" w:rsidR="003D0C4A" w:rsidRDefault="003D0C4A" w:rsidP="00CA6497">
      <w:r>
        <w:separator/>
      </w:r>
    </w:p>
  </w:footnote>
  <w:footnote w:type="continuationSeparator" w:id="0">
    <w:p w14:paraId="78189C7F" w14:textId="77777777" w:rsidR="003D0C4A" w:rsidRDefault="003D0C4A" w:rsidP="00CA64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F6E"/>
    <w:multiLevelType w:val="hybridMultilevel"/>
    <w:tmpl w:val="DF2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D209B"/>
    <w:multiLevelType w:val="hybridMultilevel"/>
    <w:tmpl w:val="E5963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3025D"/>
    <w:multiLevelType w:val="hybridMultilevel"/>
    <w:tmpl w:val="05F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44AB0"/>
    <w:multiLevelType w:val="multilevel"/>
    <w:tmpl w:val="2376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82CDC"/>
    <w:multiLevelType w:val="hybridMultilevel"/>
    <w:tmpl w:val="82902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158CC"/>
    <w:multiLevelType w:val="hybridMultilevel"/>
    <w:tmpl w:val="D3D4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5657D"/>
    <w:multiLevelType w:val="hybridMultilevel"/>
    <w:tmpl w:val="F36A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2533B"/>
    <w:multiLevelType w:val="multilevel"/>
    <w:tmpl w:val="A47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F4453"/>
    <w:multiLevelType w:val="hybridMultilevel"/>
    <w:tmpl w:val="0464B656"/>
    <w:lvl w:ilvl="0" w:tplc="62389B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715EE"/>
    <w:multiLevelType w:val="hybridMultilevel"/>
    <w:tmpl w:val="E7D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33DE2"/>
    <w:multiLevelType w:val="hybridMultilevel"/>
    <w:tmpl w:val="4D2CEF80"/>
    <w:lvl w:ilvl="0" w:tplc="1CF2D37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4662C"/>
    <w:multiLevelType w:val="hybridMultilevel"/>
    <w:tmpl w:val="4B92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680022"/>
    <w:multiLevelType w:val="multilevel"/>
    <w:tmpl w:val="8F5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4"/>
  </w:num>
  <w:num w:numId="5">
    <w:abstractNumId w:val="0"/>
  </w:num>
  <w:num w:numId="6">
    <w:abstractNumId w:val="10"/>
  </w:num>
  <w:num w:numId="7">
    <w:abstractNumId w:val="11"/>
  </w:num>
  <w:num w:numId="8">
    <w:abstractNumId w:val="2"/>
  </w:num>
  <w:num w:numId="9">
    <w:abstractNumId w:val="5"/>
  </w:num>
  <w:num w:numId="10">
    <w:abstractNumId w:val="6"/>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MzE2NzI1MjO1NLdU0lEKTi0uzszPAykwrgUACZS3/iwAAAA="/>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2vr5pfrwvfw59et90n5fzt59xefdrs9xz9a&quot;&gt;NAFLD.NASH Study EndNote Library&lt;record-ids&gt;&lt;item&gt;67&lt;/item&gt;&lt;/record-ids&gt;&lt;/item&gt;&lt;/Libraries&gt;"/>
  </w:docVars>
  <w:rsids>
    <w:rsidRoot w:val="00CC66FF"/>
    <w:rsid w:val="000021CC"/>
    <w:rsid w:val="00005AA3"/>
    <w:rsid w:val="000105B1"/>
    <w:rsid w:val="00016315"/>
    <w:rsid w:val="00021DFD"/>
    <w:rsid w:val="000231DC"/>
    <w:rsid w:val="00024DF3"/>
    <w:rsid w:val="00025221"/>
    <w:rsid w:val="00027A10"/>
    <w:rsid w:val="00027EB2"/>
    <w:rsid w:val="00032CDA"/>
    <w:rsid w:val="00036585"/>
    <w:rsid w:val="00042FB4"/>
    <w:rsid w:val="00044D10"/>
    <w:rsid w:val="000454AB"/>
    <w:rsid w:val="00046D1F"/>
    <w:rsid w:val="00056B85"/>
    <w:rsid w:val="00062257"/>
    <w:rsid w:val="00062CA7"/>
    <w:rsid w:val="00064367"/>
    <w:rsid w:val="0006561D"/>
    <w:rsid w:val="00067621"/>
    <w:rsid w:val="000706DA"/>
    <w:rsid w:val="000757B6"/>
    <w:rsid w:val="00080E39"/>
    <w:rsid w:val="00081399"/>
    <w:rsid w:val="000834DC"/>
    <w:rsid w:val="0008560A"/>
    <w:rsid w:val="00086782"/>
    <w:rsid w:val="00091A7B"/>
    <w:rsid w:val="00093D23"/>
    <w:rsid w:val="00093E04"/>
    <w:rsid w:val="00096FBD"/>
    <w:rsid w:val="000A07B7"/>
    <w:rsid w:val="000A0A9D"/>
    <w:rsid w:val="000A34E2"/>
    <w:rsid w:val="000A646C"/>
    <w:rsid w:val="000A7176"/>
    <w:rsid w:val="000A7DF6"/>
    <w:rsid w:val="000B36A9"/>
    <w:rsid w:val="000B45B0"/>
    <w:rsid w:val="000B60A5"/>
    <w:rsid w:val="000B69E5"/>
    <w:rsid w:val="000B6B74"/>
    <w:rsid w:val="000C2DF3"/>
    <w:rsid w:val="000C6B9E"/>
    <w:rsid w:val="000C6FED"/>
    <w:rsid w:val="000D106C"/>
    <w:rsid w:val="000E068F"/>
    <w:rsid w:val="000E2640"/>
    <w:rsid w:val="000E427B"/>
    <w:rsid w:val="000E5C84"/>
    <w:rsid w:val="000E7327"/>
    <w:rsid w:val="000F02AA"/>
    <w:rsid w:val="000F35DA"/>
    <w:rsid w:val="000F63CB"/>
    <w:rsid w:val="000F7059"/>
    <w:rsid w:val="000F7DAB"/>
    <w:rsid w:val="00104BF7"/>
    <w:rsid w:val="00105FA1"/>
    <w:rsid w:val="00110657"/>
    <w:rsid w:val="0011091D"/>
    <w:rsid w:val="00111255"/>
    <w:rsid w:val="0011461B"/>
    <w:rsid w:val="00114EC3"/>
    <w:rsid w:val="0012041F"/>
    <w:rsid w:val="001218AD"/>
    <w:rsid w:val="00121E63"/>
    <w:rsid w:val="0012300E"/>
    <w:rsid w:val="001230DD"/>
    <w:rsid w:val="00123A79"/>
    <w:rsid w:val="00123F59"/>
    <w:rsid w:val="00124CDF"/>
    <w:rsid w:val="00125909"/>
    <w:rsid w:val="001306B2"/>
    <w:rsid w:val="00130EB4"/>
    <w:rsid w:val="00131561"/>
    <w:rsid w:val="00131F28"/>
    <w:rsid w:val="00133BD6"/>
    <w:rsid w:val="00134452"/>
    <w:rsid w:val="001354A4"/>
    <w:rsid w:val="001361BE"/>
    <w:rsid w:val="001371C3"/>
    <w:rsid w:val="00137936"/>
    <w:rsid w:val="00137EF2"/>
    <w:rsid w:val="0014555D"/>
    <w:rsid w:val="00151307"/>
    <w:rsid w:val="0015652B"/>
    <w:rsid w:val="00161755"/>
    <w:rsid w:val="00161872"/>
    <w:rsid w:val="00163B2B"/>
    <w:rsid w:val="00166AE2"/>
    <w:rsid w:val="00167FF2"/>
    <w:rsid w:val="00170C65"/>
    <w:rsid w:val="00170F8D"/>
    <w:rsid w:val="00173D78"/>
    <w:rsid w:val="001763AB"/>
    <w:rsid w:val="00182827"/>
    <w:rsid w:val="00184FAD"/>
    <w:rsid w:val="001878F5"/>
    <w:rsid w:val="0019091D"/>
    <w:rsid w:val="00191F5D"/>
    <w:rsid w:val="0019259C"/>
    <w:rsid w:val="00193C34"/>
    <w:rsid w:val="00196084"/>
    <w:rsid w:val="001A0B0F"/>
    <w:rsid w:val="001A7F49"/>
    <w:rsid w:val="001B3DF0"/>
    <w:rsid w:val="001B6ECA"/>
    <w:rsid w:val="001B73F0"/>
    <w:rsid w:val="001C1B33"/>
    <w:rsid w:val="001C584F"/>
    <w:rsid w:val="001C768C"/>
    <w:rsid w:val="001D1FB0"/>
    <w:rsid w:val="001D7CEE"/>
    <w:rsid w:val="001E08FE"/>
    <w:rsid w:val="001E2C4D"/>
    <w:rsid w:val="001E60E4"/>
    <w:rsid w:val="001F10B6"/>
    <w:rsid w:val="001F2A03"/>
    <w:rsid w:val="001F2B21"/>
    <w:rsid w:val="001F6F5E"/>
    <w:rsid w:val="00203770"/>
    <w:rsid w:val="0020618A"/>
    <w:rsid w:val="002067AC"/>
    <w:rsid w:val="00210D69"/>
    <w:rsid w:val="00212E21"/>
    <w:rsid w:val="00214C97"/>
    <w:rsid w:val="00216A37"/>
    <w:rsid w:val="00216AE7"/>
    <w:rsid w:val="002204D0"/>
    <w:rsid w:val="00222F7D"/>
    <w:rsid w:val="0022504F"/>
    <w:rsid w:val="0022526C"/>
    <w:rsid w:val="002273BA"/>
    <w:rsid w:val="0023436D"/>
    <w:rsid w:val="00236616"/>
    <w:rsid w:val="00240029"/>
    <w:rsid w:val="0024035B"/>
    <w:rsid w:val="00241AF0"/>
    <w:rsid w:val="002437BB"/>
    <w:rsid w:val="00245F59"/>
    <w:rsid w:val="002462D1"/>
    <w:rsid w:val="00246DE0"/>
    <w:rsid w:val="002471B7"/>
    <w:rsid w:val="00251BB6"/>
    <w:rsid w:val="00253146"/>
    <w:rsid w:val="002536C3"/>
    <w:rsid w:val="00256B23"/>
    <w:rsid w:val="002624CC"/>
    <w:rsid w:val="00271671"/>
    <w:rsid w:val="002716CB"/>
    <w:rsid w:val="00273C15"/>
    <w:rsid w:val="002859EC"/>
    <w:rsid w:val="00285B28"/>
    <w:rsid w:val="0029474B"/>
    <w:rsid w:val="002952E4"/>
    <w:rsid w:val="00296FA2"/>
    <w:rsid w:val="002A0AA4"/>
    <w:rsid w:val="002A2E91"/>
    <w:rsid w:val="002A5D53"/>
    <w:rsid w:val="002B2C07"/>
    <w:rsid w:val="002B51CC"/>
    <w:rsid w:val="002B79C4"/>
    <w:rsid w:val="002C4117"/>
    <w:rsid w:val="002C7124"/>
    <w:rsid w:val="002D1E5B"/>
    <w:rsid w:val="002D58F8"/>
    <w:rsid w:val="002D59C1"/>
    <w:rsid w:val="002D702D"/>
    <w:rsid w:val="002E12FF"/>
    <w:rsid w:val="002E2F7D"/>
    <w:rsid w:val="002E69A0"/>
    <w:rsid w:val="002F2BAC"/>
    <w:rsid w:val="002F4072"/>
    <w:rsid w:val="00300978"/>
    <w:rsid w:val="00300C4C"/>
    <w:rsid w:val="00300D39"/>
    <w:rsid w:val="00301128"/>
    <w:rsid w:val="003028BE"/>
    <w:rsid w:val="00305DE1"/>
    <w:rsid w:val="003101BD"/>
    <w:rsid w:val="0031607B"/>
    <w:rsid w:val="00324298"/>
    <w:rsid w:val="00324E8E"/>
    <w:rsid w:val="003252C2"/>
    <w:rsid w:val="00327489"/>
    <w:rsid w:val="003329C2"/>
    <w:rsid w:val="00332AAD"/>
    <w:rsid w:val="00332BDD"/>
    <w:rsid w:val="00332E98"/>
    <w:rsid w:val="00335B35"/>
    <w:rsid w:val="00337687"/>
    <w:rsid w:val="00340170"/>
    <w:rsid w:val="00341787"/>
    <w:rsid w:val="00346878"/>
    <w:rsid w:val="00347987"/>
    <w:rsid w:val="00351792"/>
    <w:rsid w:val="00352F3A"/>
    <w:rsid w:val="00356AC5"/>
    <w:rsid w:val="003638BC"/>
    <w:rsid w:val="0036663B"/>
    <w:rsid w:val="00366E2A"/>
    <w:rsid w:val="0037030D"/>
    <w:rsid w:val="0037425F"/>
    <w:rsid w:val="00376B91"/>
    <w:rsid w:val="00377AEE"/>
    <w:rsid w:val="0038088F"/>
    <w:rsid w:val="003810B6"/>
    <w:rsid w:val="00384C17"/>
    <w:rsid w:val="00385E4B"/>
    <w:rsid w:val="003931E6"/>
    <w:rsid w:val="00394CA2"/>
    <w:rsid w:val="003969BA"/>
    <w:rsid w:val="00396B5A"/>
    <w:rsid w:val="003979AD"/>
    <w:rsid w:val="003A058E"/>
    <w:rsid w:val="003A070C"/>
    <w:rsid w:val="003A26C1"/>
    <w:rsid w:val="003A2A7A"/>
    <w:rsid w:val="003A3C3A"/>
    <w:rsid w:val="003A401A"/>
    <w:rsid w:val="003A56F3"/>
    <w:rsid w:val="003A63D7"/>
    <w:rsid w:val="003A66FE"/>
    <w:rsid w:val="003A7306"/>
    <w:rsid w:val="003A7848"/>
    <w:rsid w:val="003B3388"/>
    <w:rsid w:val="003B6970"/>
    <w:rsid w:val="003B6F57"/>
    <w:rsid w:val="003B7565"/>
    <w:rsid w:val="003C0C9D"/>
    <w:rsid w:val="003C3980"/>
    <w:rsid w:val="003C4E53"/>
    <w:rsid w:val="003C4ECB"/>
    <w:rsid w:val="003C6705"/>
    <w:rsid w:val="003D01F5"/>
    <w:rsid w:val="003D0BCF"/>
    <w:rsid w:val="003D0C4A"/>
    <w:rsid w:val="003D2ADC"/>
    <w:rsid w:val="003D7E04"/>
    <w:rsid w:val="003E01F7"/>
    <w:rsid w:val="003E31FA"/>
    <w:rsid w:val="003E4CA8"/>
    <w:rsid w:val="003E5167"/>
    <w:rsid w:val="003E5F96"/>
    <w:rsid w:val="003F2D8B"/>
    <w:rsid w:val="003F4FB1"/>
    <w:rsid w:val="003F54F3"/>
    <w:rsid w:val="003F5D09"/>
    <w:rsid w:val="003F61C3"/>
    <w:rsid w:val="003F6B7D"/>
    <w:rsid w:val="00402012"/>
    <w:rsid w:val="004052EC"/>
    <w:rsid w:val="00405B76"/>
    <w:rsid w:val="00411CC0"/>
    <w:rsid w:val="00417623"/>
    <w:rsid w:val="00417A34"/>
    <w:rsid w:val="00420BBF"/>
    <w:rsid w:val="0042349F"/>
    <w:rsid w:val="00427EB6"/>
    <w:rsid w:val="00431DC0"/>
    <w:rsid w:val="00432173"/>
    <w:rsid w:val="00436E95"/>
    <w:rsid w:val="00440155"/>
    <w:rsid w:val="00444284"/>
    <w:rsid w:val="004504FD"/>
    <w:rsid w:val="0045078B"/>
    <w:rsid w:val="00451E5D"/>
    <w:rsid w:val="00451EE3"/>
    <w:rsid w:val="00452B9C"/>
    <w:rsid w:val="00454F69"/>
    <w:rsid w:val="0046065C"/>
    <w:rsid w:val="00460849"/>
    <w:rsid w:val="00461549"/>
    <w:rsid w:val="00463C53"/>
    <w:rsid w:val="00464AC3"/>
    <w:rsid w:val="00471ADB"/>
    <w:rsid w:val="00474519"/>
    <w:rsid w:val="00474DE1"/>
    <w:rsid w:val="004758C6"/>
    <w:rsid w:val="00476DC2"/>
    <w:rsid w:val="0048071A"/>
    <w:rsid w:val="0048073C"/>
    <w:rsid w:val="00480CD5"/>
    <w:rsid w:val="00480EFC"/>
    <w:rsid w:val="00481969"/>
    <w:rsid w:val="00482EB7"/>
    <w:rsid w:val="004831FB"/>
    <w:rsid w:val="0048658A"/>
    <w:rsid w:val="0048772C"/>
    <w:rsid w:val="004915B3"/>
    <w:rsid w:val="00491C75"/>
    <w:rsid w:val="0049356C"/>
    <w:rsid w:val="004938C3"/>
    <w:rsid w:val="004A0DD9"/>
    <w:rsid w:val="004A1A70"/>
    <w:rsid w:val="004A41C0"/>
    <w:rsid w:val="004A5F4B"/>
    <w:rsid w:val="004B0671"/>
    <w:rsid w:val="004B0819"/>
    <w:rsid w:val="004B11F4"/>
    <w:rsid w:val="004B3951"/>
    <w:rsid w:val="004B3E10"/>
    <w:rsid w:val="004B5C21"/>
    <w:rsid w:val="004B6ED9"/>
    <w:rsid w:val="004D0A93"/>
    <w:rsid w:val="004D143A"/>
    <w:rsid w:val="004D1E49"/>
    <w:rsid w:val="004D3939"/>
    <w:rsid w:val="004D4210"/>
    <w:rsid w:val="004D599F"/>
    <w:rsid w:val="004D5A5F"/>
    <w:rsid w:val="004D69EE"/>
    <w:rsid w:val="004E0808"/>
    <w:rsid w:val="004E0B0D"/>
    <w:rsid w:val="004F0096"/>
    <w:rsid w:val="004F585E"/>
    <w:rsid w:val="004F5F06"/>
    <w:rsid w:val="004F65F8"/>
    <w:rsid w:val="0050030D"/>
    <w:rsid w:val="00503992"/>
    <w:rsid w:val="0050524C"/>
    <w:rsid w:val="00507501"/>
    <w:rsid w:val="00507C71"/>
    <w:rsid w:val="005100FE"/>
    <w:rsid w:val="00511421"/>
    <w:rsid w:val="00513695"/>
    <w:rsid w:val="005136C2"/>
    <w:rsid w:val="00513CFE"/>
    <w:rsid w:val="00515C35"/>
    <w:rsid w:val="00515DE4"/>
    <w:rsid w:val="00517A7B"/>
    <w:rsid w:val="005202B4"/>
    <w:rsid w:val="005258E8"/>
    <w:rsid w:val="00526311"/>
    <w:rsid w:val="00527682"/>
    <w:rsid w:val="005314A4"/>
    <w:rsid w:val="00533230"/>
    <w:rsid w:val="0053455C"/>
    <w:rsid w:val="00541760"/>
    <w:rsid w:val="005425F8"/>
    <w:rsid w:val="005461D6"/>
    <w:rsid w:val="00546D78"/>
    <w:rsid w:val="005478C9"/>
    <w:rsid w:val="00550CCF"/>
    <w:rsid w:val="00551DA9"/>
    <w:rsid w:val="00555F01"/>
    <w:rsid w:val="00556488"/>
    <w:rsid w:val="00557C6B"/>
    <w:rsid w:val="00560444"/>
    <w:rsid w:val="005636AE"/>
    <w:rsid w:val="005752E6"/>
    <w:rsid w:val="00575E28"/>
    <w:rsid w:val="00576541"/>
    <w:rsid w:val="005803DF"/>
    <w:rsid w:val="00590B47"/>
    <w:rsid w:val="0059185A"/>
    <w:rsid w:val="00595DB5"/>
    <w:rsid w:val="0059732B"/>
    <w:rsid w:val="005A49F9"/>
    <w:rsid w:val="005A5733"/>
    <w:rsid w:val="005B0918"/>
    <w:rsid w:val="005B43A9"/>
    <w:rsid w:val="005B5165"/>
    <w:rsid w:val="005B58F8"/>
    <w:rsid w:val="005B6C7E"/>
    <w:rsid w:val="005C1FFB"/>
    <w:rsid w:val="005C2178"/>
    <w:rsid w:val="005C3BE3"/>
    <w:rsid w:val="005C4D39"/>
    <w:rsid w:val="005C6D0A"/>
    <w:rsid w:val="005D20F7"/>
    <w:rsid w:val="005D462F"/>
    <w:rsid w:val="005D4C2C"/>
    <w:rsid w:val="005D65D4"/>
    <w:rsid w:val="005D714E"/>
    <w:rsid w:val="005E1B01"/>
    <w:rsid w:val="005E1E59"/>
    <w:rsid w:val="005E229F"/>
    <w:rsid w:val="005E40EC"/>
    <w:rsid w:val="005E7CAB"/>
    <w:rsid w:val="005F3754"/>
    <w:rsid w:val="005F3A66"/>
    <w:rsid w:val="006013A9"/>
    <w:rsid w:val="00602145"/>
    <w:rsid w:val="00602195"/>
    <w:rsid w:val="00602D25"/>
    <w:rsid w:val="00602FD2"/>
    <w:rsid w:val="006042F1"/>
    <w:rsid w:val="00606468"/>
    <w:rsid w:val="00610090"/>
    <w:rsid w:val="00613E83"/>
    <w:rsid w:val="00614A99"/>
    <w:rsid w:val="006162C3"/>
    <w:rsid w:val="00620D56"/>
    <w:rsid w:val="00621464"/>
    <w:rsid w:val="00622C9E"/>
    <w:rsid w:val="00622CD0"/>
    <w:rsid w:val="00623BD1"/>
    <w:rsid w:val="00632B7F"/>
    <w:rsid w:val="00634D6D"/>
    <w:rsid w:val="006361C1"/>
    <w:rsid w:val="006416BA"/>
    <w:rsid w:val="00641C98"/>
    <w:rsid w:val="006432D3"/>
    <w:rsid w:val="00656712"/>
    <w:rsid w:val="006607B2"/>
    <w:rsid w:val="006618E0"/>
    <w:rsid w:val="00663714"/>
    <w:rsid w:val="00664483"/>
    <w:rsid w:val="0066529B"/>
    <w:rsid w:val="00665FEE"/>
    <w:rsid w:val="00666CD1"/>
    <w:rsid w:val="00667137"/>
    <w:rsid w:val="00672DCF"/>
    <w:rsid w:val="00675F05"/>
    <w:rsid w:val="006772D5"/>
    <w:rsid w:val="00684AA8"/>
    <w:rsid w:val="0069618D"/>
    <w:rsid w:val="00697FF8"/>
    <w:rsid w:val="006A32AA"/>
    <w:rsid w:val="006A37F6"/>
    <w:rsid w:val="006A5E30"/>
    <w:rsid w:val="006B002A"/>
    <w:rsid w:val="006B27C0"/>
    <w:rsid w:val="006B39DE"/>
    <w:rsid w:val="006B5BD2"/>
    <w:rsid w:val="006B795E"/>
    <w:rsid w:val="006C1000"/>
    <w:rsid w:val="006C1F57"/>
    <w:rsid w:val="006C31F4"/>
    <w:rsid w:val="006D0BDF"/>
    <w:rsid w:val="006D4EAF"/>
    <w:rsid w:val="006D652A"/>
    <w:rsid w:val="006D6589"/>
    <w:rsid w:val="006E0487"/>
    <w:rsid w:val="006E3339"/>
    <w:rsid w:val="006E5458"/>
    <w:rsid w:val="006F24D9"/>
    <w:rsid w:val="006F2A7C"/>
    <w:rsid w:val="006F3EEF"/>
    <w:rsid w:val="006F424B"/>
    <w:rsid w:val="006F6035"/>
    <w:rsid w:val="0070007A"/>
    <w:rsid w:val="00701764"/>
    <w:rsid w:val="00703540"/>
    <w:rsid w:val="00705226"/>
    <w:rsid w:val="00710AA4"/>
    <w:rsid w:val="00711BAE"/>
    <w:rsid w:val="00713F06"/>
    <w:rsid w:val="00720354"/>
    <w:rsid w:val="0072096F"/>
    <w:rsid w:val="00720E26"/>
    <w:rsid w:val="00724F3D"/>
    <w:rsid w:val="0072747E"/>
    <w:rsid w:val="0073037B"/>
    <w:rsid w:val="00733127"/>
    <w:rsid w:val="007358E5"/>
    <w:rsid w:val="00735C42"/>
    <w:rsid w:val="007367B6"/>
    <w:rsid w:val="00736880"/>
    <w:rsid w:val="00737974"/>
    <w:rsid w:val="00740735"/>
    <w:rsid w:val="007418A5"/>
    <w:rsid w:val="00744303"/>
    <w:rsid w:val="007457B3"/>
    <w:rsid w:val="007478F3"/>
    <w:rsid w:val="007504C3"/>
    <w:rsid w:val="00750DAB"/>
    <w:rsid w:val="00754A8F"/>
    <w:rsid w:val="00754D94"/>
    <w:rsid w:val="00755B10"/>
    <w:rsid w:val="007571CF"/>
    <w:rsid w:val="00760153"/>
    <w:rsid w:val="007658FB"/>
    <w:rsid w:val="007703D8"/>
    <w:rsid w:val="007735D7"/>
    <w:rsid w:val="00773FBE"/>
    <w:rsid w:val="00776159"/>
    <w:rsid w:val="00781125"/>
    <w:rsid w:val="00782D55"/>
    <w:rsid w:val="0078523A"/>
    <w:rsid w:val="00790492"/>
    <w:rsid w:val="0079272C"/>
    <w:rsid w:val="00793F69"/>
    <w:rsid w:val="007944BF"/>
    <w:rsid w:val="007969C3"/>
    <w:rsid w:val="007A0435"/>
    <w:rsid w:val="007A18DF"/>
    <w:rsid w:val="007A3CC0"/>
    <w:rsid w:val="007A3E9A"/>
    <w:rsid w:val="007A5AC7"/>
    <w:rsid w:val="007B490C"/>
    <w:rsid w:val="007B6A38"/>
    <w:rsid w:val="007B6CAD"/>
    <w:rsid w:val="007C0B5E"/>
    <w:rsid w:val="007C222B"/>
    <w:rsid w:val="007C2810"/>
    <w:rsid w:val="007C47E3"/>
    <w:rsid w:val="007C6B27"/>
    <w:rsid w:val="007C78E5"/>
    <w:rsid w:val="007D38CE"/>
    <w:rsid w:val="007D641B"/>
    <w:rsid w:val="007D6B49"/>
    <w:rsid w:val="007D7421"/>
    <w:rsid w:val="007D7D7E"/>
    <w:rsid w:val="007E13F1"/>
    <w:rsid w:val="007E1651"/>
    <w:rsid w:val="007E292A"/>
    <w:rsid w:val="007E3AE1"/>
    <w:rsid w:val="007E53BE"/>
    <w:rsid w:val="007F1A1C"/>
    <w:rsid w:val="007F5E22"/>
    <w:rsid w:val="00800A30"/>
    <w:rsid w:val="00800B15"/>
    <w:rsid w:val="00801916"/>
    <w:rsid w:val="00803F79"/>
    <w:rsid w:val="008102F7"/>
    <w:rsid w:val="00811508"/>
    <w:rsid w:val="00812BF4"/>
    <w:rsid w:val="00812C6B"/>
    <w:rsid w:val="008137FD"/>
    <w:rsid w:val="0081472F"/>
    <w:rsid w:val="00815CD3"/>
    <w:rsid w:val="008223FF"/>
    <w:rsid w:val="008314D8"/>
    <w:rsid w:val="0083162E"/>
    <w:rsid w:val="008334D7"/>
    <w:rsid w:val="00834AB8"/>
    <w:rsid w:val="00837625"/>
    <w:rsid w:val="008422C5"/>
    <w:rsid w:val="00843750"/>
    <w:rsid w:val="00843BD8"/>
    <w:rsid w:val="00843EF7"/>
    <w:rsid w:val="008440B2"/>
    <w:rsid w:val="008472C0"/>
    <w:rsid w:val="00861D88"/>
    <w:rsid w:val="00861FE4"/>
    <w:rsid w:val="00876896"/>
    <w:rsid w:val="0087749D"/>
    <w:rsid w:val="0088007C"/>
    <w:rsid w:val="00882D99"/>
    <w:rsid w:val="00896059"/>
    <w:rsid w:val="00896482"/>
    <w:rsid w:val="00896987"/>
    <w:rsid w:val="008972E3"/>
    <w:rsid w:val="008A0C1D"/>
    <w:rsid w:val="008A0CEA"/>
    <w:rsid w:val="008A0DEC"/>
    <w:rsid w:val="008A2C60"/>
    <w:rsid w:val="008B4CDF"/>
    <w:rsid w:val="008B76EF"/>
    <w:rsid w:val="008C0741"/>
    <w:rsid w:val="008C0BE6"/>
    <w:rsid w:val="008C1487"/>
    <w:rsid w:val="008C1C3C"/>
    <w:rsid w:val="008C32BB"/>
    <w:rsid w:val="008C75EA"/>
    <w:rsid w:val="008D3C36"/>
    <w:rsid w:val="008D5FAD"/>
    <w:rsid w:val="008D73AC"/>
    <w:rsid w:val="008E0599"/>
    <w:rsid w:val="008E11AA"/>
    <w:rsid w:val="008E1587"/>
    <w:rsid w:val="008E19BF"/>
    <w:rsid w:val="008E2B61"/>
    <w:rsid w:val="008E7145"/>
    <w:rsid w:val="008E75C4"/>
    <w:rsid w:val="008F08A2"/>
    <w:rsid w:val="008F41C6"/>
    <w:rsid w:val="00900AD6"/>
    <w:rsid w:val="00900D17"/>
    <w:rsid w:val="00900EAE"/>
    <w:rsid w:val="00901B91"/>
    <w:rsid w:val="00904CF2"/>
    <w:rsid w:val="00905A10"/>
    <w:rsid w:val="00905F8F"/>
    <w:rsid w:val="0090705C"/>
    <w:rsid w:val="00907776"/>
    <w:rsid w:val="00910802"/>
    <w:rsid w:val="00910EE0"/>
    <w:rsid w:val="0091398B"/>
    <w:rsid w:val="00920715"/>
    <w:rsid w:val="00922E9F"/>
    <w:rsid w:val="0092721A"/>
    <w:rsid w:val="009329AA"/>
    <w:rsid w:val="00932E77"/>
    <w:rsid w:val="009335D8"/>
    <w:rsid w:val="00933664"/>
    <w:rsid w:val="009336DE"/>
    <w:rsid w:val="009346B4"/>
    <w:rsid w:val="009358EA"/>
    <w:rsid w:val="00936544"/>
    <w:rsid w:val="00937B00"/>
    <w:rsid w:val="00941E81"/>
    <w:rsid w:val="00944790"/>
    <w:rsid w:val="009522BE"/>
    <w:rsid w:val="00953F17"/>
    <w:rsid w:val="00960962"/>
    <w:rsid w:val="00965A36"/>
    <w:rsid w:val="00966AE1"/>
    <w:rsid w:val="00971133"/>
    <w:rsid w:val="00971A6E"/>
    <w:rsid w:val="00972C9C"/>
    <w:rsid w:val="00973FCF"/>
    <w:rsid w:val="009806A0"/>
    <w:rsid w:val="00982ADF"/>
    <w:rsid w:val="00985A88"/>
    <w:rsid w:val="00986611"/>
    <w:rsid w:val="00987CE1"/>
    <w:rsid w:val="009910A8"/>
    <w:rsid w:val="00994A11"/>
    <w:rsid w:val="0099738E"/>
    <w:rsid w:val="009A1A21"/>
    <w:rsid w:val="009A2063"/>
    <w:rsid w:val="009A2C9F"/>
    <w:rsid w:val="009A77DD"/>
    <w:rsid w:val="009B05CA"/>
    <w:rsid w:val="009B05CD"/>
    <w:rsid w:val="009B6206"/>
    <w:rsid w:val="009B7B0F"/>
    <w:rsid w:val="009C117D"/>
    <w:rsid w:val="009C21B9"/>
    <w:rsid w:val="009C5D72"/>
    <w:rsid w:val="009C7B7A"/>
    <w:rsid w:val="009D0AB4"/>
    <w:rsid w:val="009D242D"/>
    <w:rsid w:val="009D362F"/>
    <w:rsid w:val="009D448A"/>
    <w:rsid w:val="009D7BC4"/>
    <w:rsid w:val="009E1166"/>
    <w:rsid w:val="009E311F"/>
    <w:rsid w:val="009E5CF7"/>
    <w:rsid w:val="009E754E"/>
    <w:rsid w:val="009F4B16"/>
    <w:rsid w:val="009F4DC4"/>
    <w:rsid w:val="009F561C"/>
    <w:rsid w:val="009F6BF0"/>
    <w:rsid w:val="00A00455"/>
    <w:rsid w:val="00A01911"/>
    <w:rsid w:val="00A025CE"/>
    <w:rsid w:val="00A030E4"/>
    <w:rsid w:val="00A04BEF"/>
    <w:rsid w:val="00A112C8"/>
    <w:rsid w:val="00A1272E"/>
    <w:rsid w:val="00A132BA"/>
    <w:rsid w:val="00A13C27"/>
    <w:rsid w:val="00A151CC"/>
    <w:rsid w:val="00A162DE"/>
    <w:rsid w:val="00A16CD6"/>
    <w:rsid w:val="00A21CA1"/>
    <w:rsid w:val="00A228EA"/>
    <w:rsid w:val="00A22F32"/>
    <w:rsid w:val="00A2560E"/>
    <w:rsid w:val="00A27F15"/>
    <w:rsid w:val="00A342BA"/>
    <w:rsid w:val="00A43AE2"/>
    <w:rsid w:val="00A47F7F"/>
    <w:rsid w:val="00A5018F"/>
    <w:rsid w:val="00A51571"/>
    <w:rsid w:val="00A54F02"/>
    <w:rsid w:val="00A55D77"/>
    <w:rsid w:val="00A62B33"/>
    <w:rsid w:val="00A63B12"/>
    <w:rsid w:val="00A65BF6"/>
    <w:rsid w:val="00A65DC5"/>
    <w:rsid w:val="00A66BEC"/>
    <w:rsid w:val="00A671A7"/>
    <w:rsid w:val="00A7073A"/>
    <w:rsid w:val="00A72ACB"/>
    <w:rsid w:val="00A7675D"/>
    <w:rsid w:val="00A76905"/>
    <w:rsid w:val="00A7781B"/>
    <w:rsid w:val="00A80270"/>
    <w:rsid w:val="00A84B1D"/>
    <w:rsid w:val="00A85195"/>
    <w:rsid w:val="00A85E6A"/>
    <w:rsid w:val="00A901EF"/>
    <w:rsid w:val="00A90F4E"/>
    <w:rsid w:val="00A91054"/>
    <w:rsid w:val="00A91FF3"/>
    <w:rsid w:val="00A9403D"/>
    <w:rsid w:val="00A959FF"/>
    <w:rsid w:val="00AA14FE"/>
    <w:rsid w:val="00AA15B6"/>
    <w:rsid w:val="00AA2A6A"/>
    <w:rsid w:val="00AA34AE"/>
    <w:rsid w:val="00AA524C"/>
    <w:rsid w:val="00AB202C"/>
    <w:rsid w:val="00AB23E6"/>
    <w:rsid w:val="00AB5E77"/>
    <w:rsid w:val="00AB6067"/>
    <w:rsid w:val="00AC3882"/>
    <w:rsid w:val="00AD1F7C"/>
    <w:rsid w:val="00AD29B2"/>
    <w:rsid w:val="00AD30BA"/>
    <w:rsid w:val="00AD4530"/>
    <w:rsid w:val="00AD5208"/>
    <w:rsid w:val="00AD5F7D"/>
    <w:rsid w:val="00AD7319"/>
    <w:rsid w:val="00AE1217"/>
    <w:rsid w:val="00AE13FF"/>
    <w:rsid w:val="00AE1757"/>
    <w:rsid w:val="00AE7534"/>
    <w:rsid w:val="00AF62D7"/>
    <w:rsid w:val="00AF788B"/>
    <w:rsid w:val="00B037D8"/>
    <w:rsid w:val="00B04745"/>
    <w:rsid w:val="00B123DC"/>
    <w:rsid w:val="00B158F9"/>
    <w:rsid w:val="00B20177"/>
    <w:rsid w:val="00B21233"/>
    <w:rsid w:val="00B231F9"/>
    <w:rsid w:val="00B27E18"/>
    <w:rsid w:val="00B3182B"/>
    <w:rsid w:val="00B35409"/>
    <w:rsid w:val="00B35622"/>
    <w:rsid w:val="00B36CEF"/>
    <w:rsid w:val="00B40242"/>
    <w:rsid w:val="00B43A75"/>
    <w:rsid w:val="00B46CB9"/>
    <w:rsid w:val="00B504E6"/>
    <w:rsid w:val="00B51887"/>
    <w:rsid w:val="00B51940"/>
    <w:rsid w:val="00B520C8"/>
    <w:rsid w:val="00B52A7B"/>
    <w:rsid w:val="00B56862"/>
    <w:rsid w:val="00B56F9C"/>
    <w:rsid w:val="00B63B37"/>
    <w:rsid w:val="00B64F0A"/>
    <w:rsid w:val="00B668FB"/>
    <w:rsid w:val="00B70769"/>
    <w:rsid w:val="00B75867"/>
    <w:rsid w:val="00B76536"/>
    <w:rsid w:val="00B807DB"/>
    <w:rsid w:val="00B81579"/>
    <w:rsid w:val="00B83115"/>
    <w:rsid w:val="00B83DDF"/>
    <w:rsid w:val="00B84ADB"/>
    <w:rsid w:val="00B85C75"/>
    <w:rsid w:val="00B93042"/>
    <w:rsid w:val="00B95D47"/>
    <w:rsid w:val="00B96356"/>
    <w:rsid w:val="00BA29B5"/>
    <w:rsid w:val="00BA330C"/>
    <w:rsid w:val="00BA4E78"/>
    <w:rsid w:val="00BA7F85"/>
    <w:rsid w:val="00BB0D68"/>
    <w:rsid w:val="00BB2CA9"/>
    <w:rsid w:val="00BB37FD"/>
    <w:rsid w:val="00BC0A88"/>
    <w:rsid w:val="00BC1713"/>
    <w:rsid w:val="00BC1AFB"/>
    <w:rsid w:val="00BC2FB7"/>
    <w:rsid w:val="00BC448A"/>
    <w:rsid w:val="00BC5DFF"/>
    <w:rsid w:val="00BC6C7E"/>
    <w:rsid w:val="00BD5E64"/>
    <w:rsid w:val="00BD6F55"/>
    <w:rsid w:val="00BE2667"/>
    <w:rsid w:val="00BE3041"/>
    <w:rsid w:val="00BE50C2"/>
    <w:rsid w:val="00BE54A0"/>
    <w:rsid w:val="00BE7B8D"/>
    <w:rsid w:val="00BF2686"/>
    <w:rsid w:val="00BF2B2C"/>
    <w:rsid w:val="00BF4271"/>
    <w:rsid w:val="00BF54B9"/>
    <w:rsid w:val="00BF678F"/>
    <w:rsid w:val="00BF70C3"/>
    <w:rsid w:val="00BF750D"/>
    <w:rsid w:val="00BF77A1"/>
    <w:rsid w:val="00C00275"/>
    <w:rsid w:val="00C014AB"/>
    <w:rsid w:val="00C0371C"/>
    <w:rsid w:val="00C03811"/>
    <w:rsid w:val="00C059E8"/>
    <w:rsid w:val="00C05A13"/>
    <w:rsid w:val="00C05C70"/>
    <w:rsid w:val="00C06DD7"/>
    <w:rsid w:val="00C10193"/>
    <w:rsid w:val="00C10D4A"/>
    <w:rsid w:val="00C16487"/>
    <w:rsid w:val="00C16CF3"/>
    <w:rsid w:val="00C23C7A"/>
    <w:rsid w:val="00C26D7B"/>
    <w:rsid w:val="00C37C10"/>
    <w:rsid w:val="00C40C6D"/>
    <w:rsid w:val="00C4195F"/>
    <w:rsid w:val="00C41BA0"/>
    <w:rsid w:val="00C43A73"/>
    <w:rsid w:val="00C507CE"/>
    <w:rsid w:val="00C52D79"/>
    <w:rsid w:val="00C53F0A"/>
    <w:rsid w:val="00C544E4"/>
    <w:rsid w:val="00C54F85"/>
    <w:rsid w:val="00C55A3E"/>
    <w:rsid w:val="00C6285C"/>
    <w:rsid w:val="00C6480C"/>
    <w:rsid w:val="00C64CAB"/>
    <w:rsid w:val="00C709D0"/>
    <w:rsid w:val="00C70CB4"/>
    <w:rsid w:val="00C71096"/>
    <w:rsid w:val="00C718F5"/>
    <w:rsid w:val="00C736DA"/>
    <w:rsid w:val="00C7547B"/>
    <w:rsid w:val="00C80191"/>
    <w:rsid w:val="00C86E32"/>
    <w:rsid w:val="00C90E12"/>
    <w:rsid w:val="00C9130F"/>
    <w:rsid w:val="00C9193B"/>
    <w:rsid w:val="00C92265"/>
    <w:rsid w:val="00C939DC"/>
    <w:rsid w:val="00C9417A"/>
    <w:rsid w:val="00C94388"/>
    <w:rsid w:val="00C94A51"/>
    <w:rsid w:val="00C965D0"/>
    <w:rsid w:val="00C9740F"/>
    <w:rsid w:val="00C97A06"/>
    <w:rsid w:val="00CA1E34"/>
    <w:rsid w:val="00CA6497"/>
    <w:rsid w:val="00CB3766"/>
    <w:rsid w:val="00CB486F"/>
    <w:rsid w:val="00CB68AF"/>
    <w:rsid w:val="00CC274A"/>
    <w:rsid w:val="00CC45E6"/>
    <w:rsid w:val="00CC5D35"/>
    <w:rsid w:val="00CC66FF"/>
    <w:rsid w:val="00CC7699"/>
    <w:rsid w:val="00CD09B1"/>
    <w:rsid w:val="00CD1021"/>
    <w:rsid w:val="00CD15EA"/>
    <w:rsid w:val="00CD453F"/>
    <w:rsid w:val="00CD68E9"/>
    <w:rsid w:val="00CD7F12"/>
    <w:rsid w:val="00CE25A4"/>
    <w:rsid w:val="00CE3AFE"/>
    <w:rsid w:val="00CE50ED"/>
    <w:rsid w:val="00CE5845"/>
    <w:rsid w:val="00CE5FFE"/>
    <w:rsid w:val="00CE638B"/>
    <w:rsid w:val="00CE7426"/>
    <w:rsid w:val="00CF3AD5"/>
    <w:rsid w:val="00CF56DD"/>
    <w:rsid w:val="00CF6A0B"/>
    <w:rsid w:val="00D02E49"/>
    <w:rsid w:val="00D041A8"/>
    <w:rsid w:val="00D107C3"/>
    <w:rsid w:val="00D10BE9"/>
    <w:rsid w:val="00D10D65"/>
    <w:rsid w:val="00D140ED"/>
    <w:rsid w:val="00D20A9E"/>
    <w:rsid w:val="00D22847"/>
    <w:rsid w:val="00D319A2"/>
    <w:rsid w:val="00D354CD"/>
    <w:rsid w:val="00D37CC4"/>
    <w:rsid w:val="00D4205E"/>
    <w:rsid w:val="00D51D47"/>
    <w:rsid w:val="00D56925"/>
    <w:rsid w:val="00D579D1"/>
    <w:rsid w:val="00D63031"/>
    <w:rsid w:val="00D638EF"/>
    <w:rsid w:val="00D64B2D"/>
    <w:rsid w:val="00D7038D"/>
    <w:rsid w:val="00D7153D"/>
    <w:rsid w:val="00D762D5"/>
    <w:rsid w:val="00D8554E"/>
    <w:rsid w:val="00D87B90"/>
    <w:rsid w:val="00D91A87"/>
    <w:rsid w:val="00D92383"/>
    <w:rsid w:val="00D9403D"/>
    <w:rsid w:val="00D945D6"/>
    <w:rsid w:val="00D9636F"/>
    <w:rsid w:val="00DA0FD7"/>
    <w:rsid w:val="00DA6AA3"/>
    <w:rsid w:val="00DA77FC"/>
    <w:rsid w:val="00DA7A1E"/>
    <w:rsid w:val="00DB027C"/>
    <w:rsid w:val="00DB205B"/>
    <w:rsid w:val="00DB26D5"/>
    <w:rsid w:val="00DB497F"/>
    <w:rsid w:val="00DB7243"/>
    <w:rsid w:val="00DC0B6F"/>
    <w:rsid w:val="00DC5B3F"/>
    <w:rsid w:val="00DD0905"/>
    <w:rsid w:val="00DD1D77"/>
    <w:rsid w:val="00DD67B7"/>
    <w:rsid w:val="00DE02C7"/>
    <w:rsid w:val="00DE1A53"/>
    <w:rsid w:val="00DE55DA"/>
    <w:rsid w:val="00DE706C"/>
    <w:rsid w:val="00DF2553"/>
    <w:rsid w:val="00DF2C0D"/>
    <w:rsid w:val="00DF2C97"/>
    <w:rsid w:val="00DF3599"/>
    <w:rsid w:val="00DF369B"/>
    <w:rsid w:val="00DF3779"/>
    <w:rsid w:val="00DF5477"/>
    <w:rsid w:val="00DF7767"/>
    <w:rsid w:val="00E01E2F"/>
    <w:rsid w:val="00E047B3"/>
    <w:rsid w:val="00E117BA"/>
    <w:rsid w:val="00E17527"/>
    <w:rsid w:val="00E2087E"/>
    <w:rsid w:val="00E22306"/>
    <w:rsid w:val="00E26BD4"/>
    <w:rsid w:val="00E27AEA"/>
    <w:rsid w:val="00E323EB"/>
    <w:rsid w:val="00E336A7"/>
    <w:rsid w:val="00E33C6C"/>
    <w:rsid w:val="00E33ED3"/>
    <w:rsid w:val="00E34EC4"/>
    <w:rsid w:val="00E368FA"/>
    <w:rsid w:val="00E46003"/>
    <w:rsid w:val="00E514B3"/>
    <w:rsid w:val="00E5312B"/>
    <w:rsid w:val="00E53441"/>
    <w:rsid w:val="00E5518D"/>
    <w:rsid w:val="00E556CC"/>
    <w:rsid w:val="00E578B5"/>
    <w:rsid w:val="00E626B1"/>
    <w:rsid w:val="00E63112"/>
    <w:rsid w:val="00E63EE6"/>
    <w:rsid w:val="00E65076"/>
    <w:rsid w:val="00E743E7"/>
    <w:rsid w:val="00E76A59"/>
    <w:rsid w:val="00E7734D"/>
    <w:rsid w:val="00E80CD6"/>
    <w:rsid w:val="00E8189F"/>
    <w:rsid w:val="00E822FE"/>
    <w:rsid w:val="00E82714"/>
    <w:rsid w:val="00E830B0"/>
    <w:rsid w:val="00E83BAF"/>
    <w:rsid w:val="00E85F36"/>
    <w:rsid w:val="00E917BD"/>
    <w:rsid w:val="00E9298F"/>
    <w:rsid w:val="00EA19AA"/>
    <w:rsid w:val="00EA3F2D"/>
    <w:rsid w:val="00EA5B56"/>
    <w:rsid w:val="00EA676D"/>
    <w:rsid w:val="00EA6DD4"/>
    <w:rsid w:val="00EA73BB"/>
    <w:rsid w:val="00EB24C7"/>
    <w:rsid w:val="00EB7DF5"/>
    <w:rsid w:val="00EC058A"/>
    <w:rsid w:val="00EC1AB0"/>
    <w:rsid w:val="00EC4ABA"/>
    <w:rsid w:val="00EC6941"/>
    <w:rsid w:val="00ED3100"/>
    <w:rsid w:val="00ED5013"/>
    <w:rsid w:val="00ED58C6"/>
    <w:rsid w:val="00EE0B4E"/>
    <w:rsid w:val="00EE3848"/>
    <w:rsid w:val="00EE6C4C"/>
    <w:rsid w:val="00EF0B18"/>
    <w:rsid w:val="00EF0F74"/>
    <w:rsid w:val="00EF1CDC"/>
    <w:rsid w:val="00EF1EC4"/>
    <w:rsid w:val="00EF277E"/>
    <w:rsid w:val="00EF2AB9"/>
    <w:rsid w:val="00EF5038"/>
    <w:rsid w:val="00EF6503"/>
    <w:rsid w:val="00F005BC"/>
    <w:rsid w:val="00F01B81"/>
    <w:rsid w:val="00F04694"/>
    <w:rsid w:val="00F054B5"/>
    <w:rsid w:val="00F06FE5"/>
    <w:rsid w:val="00F126D7"/>
    <w:rsid w:val="00F13A79"/>
    <w:rsid w:val="00F14907"/>
    <w:rsid w:val="00F224D4"/>
    <w:rsid w:val="00F22508"/>
    <w:rsid w:val="00F24271"/>
    <w:rsid w:val="00F25ADA"/>
    <w:rsid w:val="00F26752"/>
    <w:rsid w:val="00F2781B"/>
    <w:rsid w:val="00F30CFC"/>
    <w:rsid w:val="00F37966"/>
    <w:rsid w:val="00F43F89"/>
    <w:rsid w:val="00F45082"/>
    <w:rsid w:val="00F472D3"/>
    <w:rsid w:val="00F546A1"/>
    <w:rsid w:val="00F54E83"/>
    <w:rsid w:val="00F54FBC"/>
    <w:rsid w:val="00F5787C"/>
    <w:rsid w:val="00F61243"/>
    <w:rsid w:val="00F6697A"/>
    <w:rsid w:val="00F70DFC"/>
    <w:rsid w:val="00F7335D"/>
    <w:rsid w:val="00F746F9"/>
    <w:rsid w:val="00F84BD3"/>
    <w:rsid w:val="00F86849"/>
    <w:rsid w:val="00F87984"/>
    <w:rsid w:val="00F87FB1"/>
    <w:rsid w:val="00F92ED5"/>
    <w:rsid w:val="00F974FF"/>
    <w:rsid w:val="00F97DF3"/>
    <w:rsid w:val="00FA1E26"/>
    <w:rsid w:val="00FA2124"/>
    <w:rsid w:val="00FA5A24"/>
    <w:rsid w:val="00FB0E9F"/>
    <w:rsid w:val="00FB42C3"/>
    <w:rsid w:val="00FB5DD1"/>
    <w:rsid w:val="00FC0DFF"/>
    <w:rsid w:val="00FC2D75"/>
    <w:rsid w:val="00FC52A9"/>
    <w:rsid w:val="00FD10BF"/>
    <w:rsid w:val="00FD1123"/>
    <w:rsid w:val="00FD1441"/>
    <w:rsid w:val="00FD3684"/>
    <w:rsid w:val="00FD53F1"/>
    <w:rsid w:val="00FD5B38"/>
    <w:rsid w:val="00FE2E73"/>
    <w:rsid w:val="00FE45BB"/>
    <w:rsid w:val="00FE463F"/>
    <w:rsid w:val="00FE47C5"/>
    <w:rsid w:val="00FE5D98"/>
    <w:rsid w:val="00FF2883"/>
    <w:rsid w:val="00FF30DB"/>
    <w:rsid w:val="00FF455F"/>
    <w:rsid w:val="00FF48B2"/>
    <w:rsid w:val="00FF510C"/>
    <w:rsid w:val="00FF6EE2"/>
    <w:rsid w:val="00FF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B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C2"/>
  </w:style>
  <w:style w:type="paragraph" w:styleId="Heading1">
    <w:name w:val="heading 1"/>
    <w:basedOn w:val="Normal"/>
    <w:next w:val="Normal"/>
    <w:link w:val="Heading1Char"/>
    <w:uiPriority w:val="9"/>
    <w:qFormat/>
    <w:rsid w:val="004D39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70"/>
    <w:rPr>
      <w:rFonts w:ascii="Lucida Grande" w:hAnsi="Lucida Grande" w:cs="Lucida Grande"/>
      <w:sz w:val="18"/>
      <w:szCs w:val="18"/>
    </w:rPr>
  </w:style>
  <w:style w:type="paragraph" w:styleId="NormalWeb">
    <w:name w:val="Normal (Web)"/>
    <w:basedOn w:val="Normal"/>
    <w:uiPriority w:val="99"/>
    <w:semiHidden/>
    <w:unhideWhenUsed/>
    <w:rsid w:val="00CC66F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66FF"/>
    <w:rPr>
      <w:b/>
      <w:bCs/>
    </w:rPr>
  </w:style>
  <w:style w:type="character" w:customStyle="1" w:styleId="apple-converted-space">
    <w:name w:val="apple-converted-space"/>
    <w:basedOn w:val="DefaultParagraphFont"/>
    <w:rsid w:val="00CC66FF"/>
  </w:style>
  <w:style w:type="character" w:styleId="Hyperlink">
    <w:name w:val="Hyperlink"/>
    <w:basedOn w:val="DefaultParagraphFont"/>
    <w:unhideWhenUsed/>
    <w:rsid w:val="00CC66FF"/>
    <w:rPr>
      <w:color w:val="0000FF"/>
      <w:u w:val="single"/>
    </w:rPr>
  </w:style>
  <w:style w:type="paragraph" w:styleId="ListParagraph">
    <w:name w:val="List Paragraph"/>
    <w:basedOn w:val="Normal"/>
    <w:uiPriority w:val="34"/>
    <w:qFormat/>
    <w:rsid w:val="00CC66FF"/>
    <w:pPr>
      <w:ind w:left="720"/>
      <w:contextualSpacing/>
    </w:pPr>
  </w:style>
  <w:style w:type="character" w:customStyle="1" w:styleId="Heading1Char">
    <w:name w:val="Heading 1 Char"/>
    <w:basedOn w:val="DefaultParagraphFont"/>
    <w:link w:val="Heading1"/>
    <w:uiPriority w:val="9"/>
    <w:rsid w:val="004D393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nhideWhenUsed/>
    <w:rsid w:val="00E27AEA"/>
    <w:rPr>
      <w:sz w:val="16"/>
      <w:szCs w:val="16"/>
    </w:rPr>
  </w:style>
  <w:style w:type="paragraph" w:styleId="CommentText">
    <w:name w:val="annotation text"/>
    <w:basedOn w:val="Normal"/>
    <w:link w:val="CommentTextChar"/>
    <w:unhideWhenUsed/>
    <w:qFormat/>
    <w:rsid w:val="00E27AEA"/>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E27AEA"/>
    <w:rPr>
      <w:rFonts w:ascii="Calibri" w:eastAsia="Calibri" w:hAnsi="Calibri" w:cs="Times New Roman"/>
      <w:sz w:val="20"/>
      <w:szCs w:val="20"/>
    </w:rPr>
  </w:style>
  <w:style w:type="table" w:styleId="TableGrid">
    <w:name w:val="Table Grid"/>
    <w:basedOn w:val="TableNormal"/>
    <w:uiPriority w:val="59"/>
    <w:rsid w:val="00AE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E13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8554E"/>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AA14FE"/>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A14FE"/>
    <w:rPr>
      <w:rFonts w:ascii="Calibri" w:eastAsia="Calibri" w:hAnsi="Calibri" w:cs="Times New Roman"/>
      <w:b/>
      <w:bCs/>
      <w:sz w:val="20"/>
      <w:szCs w:val="20"/>
    </w:rPr>
  </w:style>
  <w:style w:type="paragraph" w:styleId="Header">
    <w:name w:val="header"/>
    <w:basedOn w:val="Normal"/>
    <w:link w:val="HeaderChar"/>
    <w:uiPriority w:val="99"/>
    <w:unhideWhenUsed/>
    <w:rsid w:val="00CA6497"/>
    <w:pPr>
      <w:tabs>
        <w:tab w:val="center" w:pos="4680"/>
        <w:tab w:val="right" w:pos="9360"/>
      </w:tabs>
    </w:pPr>
  </w:style>
  <w:style w:type="character" w:customStyle="1" w:styleId="HeaderChar">
    <w:name w:val="Header Char"/>
    <w:basedOn w:val="DefaultParagraphFont"/>
    <w:link w:val="Header"/>
    <w:uiPriority w:val="99"/>
    <w:rsid w:val="00CA6497"/>
  </w:style>
  <w:style w:type="paragraph" w:styleId="Footer">
    <w:name w:val="footer"/>
    <w:basedOn w:val="Normal"/>
    <w:link w:val="FooterChar"/>
    <w:uiPriority w:val="99"/>
    <w:unhideWhenUsed/>
    <w:rsid w:val="00CA6497"/>
    <w:pPr>
      <w:tabs>
        <w:tab w:val="center" w:pos="4680"/>
        <w:tab w:val="right" w:pos="9360"/>
      </w:tabs>
    </w:pPr>
  </w:style>
  <w:style w:type="character" w:customStyle="1" w:styleId="FooterChar">
    <w:name w:val="Footer Char"/>
    <w:basedOn w:val="DefaultParagraphFont"/>
    <w:link w:val="Footer"/>
    <w:uiPriority w:val="99"/>
    <w:rsid w:val="00CA6497"/>
  </w:style>
  <w:style w:type="paragraph" w:styleId="Revision">
    <w:name w:val="Revision"/>
    <w:hidden/>
    <w:uiPriority w:val="99"/>
    <w:semiHidden/>
    <w:rsid w:val="007571CF"/>
  </w:style>
  <w:style w:type="paragraph" w:customStyle="1" w:styleId="EndNoteBibliographyTitle">
    <w:name w:val="EndNote Bibliography Title"/>
    <w:basedOn w:val="Normal"/>
    <w:link w:val="EndNoteBibliographyTitleChar"/>
    <w:rsid w:val="00BA4E7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BA4E78"/>
    <w:rPr>
      <w:rFonts w:ascii="Cambria" w:hAnsi="Cambria"/>
      <w:noProof/>
    </w:rPr>
  </w:style>
  <w:style w:type="paragraph" w:customStyle="1" w:styleId="EndNoteBibliography">
    <w:name w:val="EndNote Bibliography"/>
    <w:basedOn w:val="Normal"/>
    <w:link w:val="EndNoteBibliographyChar"/>
    <w:rsid w:val="00BA4E78"/>
    <w:rPr>
      <w:rFonts w:ascii="Cambria" w:hAnsi="Cambria"/>
      <w:noProof/>
    </w:rPr>
  </w:style>
  <w:style w:type="character" w:customStyle="1" w:styleId="EndNoteBibliographyChar">
    <w:name w:val="EndNote Bibliography Char"/>
    <w:basedOn w:val="DefaultParagraphFont"/>
    <w:link w:val="EndNoteBibliography"/>
    <w:rsid w:val="00BA4E78"/>
    <w:rPr>
      <w:rFonts w:ascii="Cambria" w:hAnsi="Cambria"/>
      <w:noProof/>
    </w:rPr>
  </w:style>
  <w:style w:type="character" w:customStyle="1" w:styleId="highlight">
    <w:name w:val="highlight"/>
    <w:basedOn w:val="DefaultParagraphFont"/>
    <w:rsid w:val="00BA4E78"/>
  </w:style>
  <w:style w:type="character" w:customStyle="1" w:styleId="Mention">
    <w:name w:val="Mention"/>
    <w:basedOn w:val="DefaultParagraphFont"/>
    <w:uiPriority w:val="99"/>
    <w:semiHidden/>
    <w:unhideWhenUsed/>
    <w:rsid w:val="00F546A1"/>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C2"/>
  </w:style>
  <w:style w:type="paragraph" w:styleId="Heading1">
    <w:name w:val="heading 1"/>
    <w:basedOn w:val="Normal"/>
    <w:next w:val="Normal"/>
    <w:link w:val="Heading1Char"/>
    <w:uiPriority w:val="9"/>
    <w:qFormat/>
    <w:rsid w:val="004D39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70"/>
    <w:rPr>
      <w:rFonts w:ascii="Lucida Grande" w:hAnsi="Lucida Grande" w:cs="Lucida Grande"/>
      <w:sz w:val="18"/>
      <w:szCs w:val="18"/>
    </w:rPr>
  </w:style>
  <w:style w:type="paragraph" w:styleId="NormalWeb">
    <w:name w:val="Normal (Web)"/>
    <w:basedOn w:val="Normal"/>
    <w:uiPriority w:val="99"/>
    <w:semiHidden/>
    <w:unhideWhenUsed/>
    <w:rsid w:val="00CC66F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66FF"/>
    <w:rPr>
      <w:b/>
      <w:bCs/>
    </w:rPr>
  </w:style>
  <w:style w:type="character" w:customStyle="1" w:styleId="apple-converted-space">
    <w:name w:val="apple-converted-space"/>
    <w:basedOn w:val="DefaultParagraphFont"/>
    <w:rsid w:val="00CC66FF"/>
  </w:style>
  <w:style w:type="character" w:styleId="Hyperlink">
    <w:name w:val="Hyperlink"/>
    <w:basedOn w:val="DefaultParagraphFont"/>
    <w:unhideWhenUsed/>
    <w:rsid w:val="00CC66FF"/>
    <w:rPr>
      <w:color w:val="0000FF"/>
      <w:u w:val="single"/>
    </w:rPr>
  </w:style>
  <w:style w:type="paragraph" w:styleId="ListParagraph">
    <w:name w:val="List Paragraph"/>
    <w:basedOn w:val="Normal"/>
    <w:uiPriority w:val="34"/>
    <w:qFormat/>
    <w:rsid w:val="00CC66FF"/>
    <w:pPr>
      <w:ind w:left="720"/>
      <w:contextualSpacing/>
    </w:pPr>
  </w:style>
  <w:style w:type="character" w:customStyle="1" w:styleId="Heading1Char">
    <w:name w:val="Heading 1 Char"/>
    <w:basedOn w:val="DefaultParagraphFont"/>
    <w:link w:val="Heading1"/>
    <w:uiPriority w:val="9"/>
    <w:rsid w:val="004D393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nhideWhenUsed/>
    <w:rsid w:val="00E27AEA"/>
    <w:rPr>
      <w:sz w:val="16"/>
      <w:szCs w:val="16"/>
    </w:rPr>
  </w:style>
  <w:style w:type="paragraph" w:styleId="CommentText">
    <w:name w:val="annotation text"/>
    <w:basedOn w:val="Normal"/>
    <w:link w:val="CommentTextChar"/>
    <w:unhideWhenUsed/>
    <w:qFormat/>
    <w:rsid w:val="00E27AEA"/>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E27AEA"/>
    <w:rPr>
      <w:rFonts w:ascii="Calibri" w:eastAsia="Calibri" w:hAnsi="Calibri" w:cs="Times New Roman"/>
      <w:sz w:val="20"/>
      <w:szCs w:val="20"/>
    </w:rPr>
  </w:style>
  <w:style w:type="table" w:styleId="TableGrid">
    <w:name w:val="Table Grid"/>
    <w:basedOn w:val="TableNormal"/>
    <w:uiPriority w:val="59"/>
    <w:rsid w:val="00AE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E13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8554E"/>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AA14FE"/>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A14FE"/>
    <w:rPr>
      <w:rFonts w:ascii="Calibri" w:eastAsia="Calibri" w:hAnsi="Calibri" w:cs="Times New Roman"/>
      <w:b/>
      <w:bCs/>
      <w:sz w:val="20"/>
      <w:szCs w:val="20"/>
    </w:rPr>
  </w:style>
  <w:style w:type="paragraph" w:styleId="Header">
    <w:name w:val="header"/>
    <w:basedOn w:val="Normal"/>
    <w:link w:val="HeaderChar"/>
    <w:uiPriority w:val="99"/>
    <w:unhideWhenUsed/>
    <w:rsid w:val="00CA6497"/>
    <w:pPr>
      <w:tabs>
        <w:tab w:val="center" w:pos="4680"/>
        <w:tab w:val="right" w:pos="9360"/>
      </w:tabs>
    </w:pPr>
  </w:style>
  <w:style w:type="character" w:customStyle="1" w:styleId="HeaderChar">
    <w:name w:val="Header Char"/>
    <w:basedOn w:val="DefaultParagraphFont"/>
    <w:link w:val="Header"/>
    <w:uiPriority w:val="99"/>
    <w:rsid w:val="00CA6497"/>
  </w:style>
  <w:style w:type="paragraph" w:styleId="Footer">
    <w:name w:val="footer"/>
    <w:basedOn w:val="Normal"/>
    <w:link w:val="FooterChar"/>
    <w:uiPriority w:val="99"/>
    <w:unhideWhenUsed/>
    <w:rsid w:val="00CA6497"/>
    <w:pPr>
      <w:tabs>
        <w:tab w:val="center" w:pos="4680"/>
        <w:tab w:val="right" w:pos="9360"/>
      </w:tabs>
    </w:pPr>
  </w:style>
  <w:style w:type="character" w:customStyle="1" w:styleId="FooterChar">
    <w:name w:val="Footer Char"/>
    <w:basedOn w:val="DefaultParagraphFont"/>
    <w:link w:val="Footer"/>
    <w:uiPriority w:val="99"/>
    <w:rsid w:val="00CA6497"/>
  </w:style>
  <w:style w:type="paragraph" w:styleId="Revision">
    <w:name w:val="Revision"/>
    <w:hidden/>
    <w:uiPriority w:val="99"/>
    <w:semiHidden/>
    <w:rsid w:val="007571CF"/>
  </w:style>
  <w:style w:type="paragraph" w:customStyle="1" w:styleId="EndNoteBibliographyTitle">
    <w:name w:val="EndNote Bibliography Title"/>
    <w:basedOn w:val="Normal"/>
    <w:link w:val="EndNoteBibliographyTitleChar"/>
    <w:rsid w:val="00BA4E7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BA4E78"/>
    <w:rPr>
      <w:rFonts w:ascii="Cambria" w:hAnsi="Cambria"/>
      <w:noProof/>
    </w:rPr>
  </w:style>
  <w:style w:type="paragraph" w:customStyle="1" w:styleId="EndNoteBibliography">
    <w:name w:val="EndNote Bibliography"/>
    <w:basedOn w:val="Normal"/>
    <w:link w:val="EndNoteBibliographyChar"/>
    <w:rsid w:val="00BA4E78"/>
    <w:rPr>
      <w:rFonts w:ascii="Cambria" w:hAnsi="Cambria"/>
      <w:noProof/>
    </w:rPr>
  </w:style>
  <w:style w:type="character" w:customStyle="1" w:styleId="EndNoteBibliographyChar">
    <w:name w:val="EndNote Bibliography Char"/>
    <w:basedOn w:val="DefaultParagraphFont"/>
    <w:link w:val="EndNoteBibliography"/>
    <w:rsid w:val="00BA4E78"/>
    <w:rPr>
      <w:rFonts w:ascii="Cambria" w:hAnsi="Cambria"/>
      <w:noProof/>
    </w:rPr>
  </w:style>
  <w:style w:type="character" w:customStyle="1" w:styleId="highlight">
    <w:name w:val="highlight"/>
    <w:basedOn w:val="DefaultParagraphFont"/>
    <w:rsid w:val="00BA4E78"/>
  </w:style>
  <w:style w:type="character" w:customStyle="1" w:styleId="Mention">
    <w:name w:val="Mention"/>
    <w:basedOn w:val="DefaultParagraphFont"/>
    <w:uiPriority w:val="99"/>
    <w:semiHidden/>
    <w:unhideWhenUsed/>
    <w:rsid w:val="00F546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6795">
      <w:bodyDiv w:val="1"/>
      <w:marLeft w:val="0"/>
      <w:marRight w:val="0"/>
      <w:marTop w:val="0"/>
      <w:marBottom w:val="0"/>
      <w:divBdr>
        <w:top w:val="none" w:sz="0" w:space="0" w:color="auto"/>
        <w:left w:val="none" w:sz="0" w:space="0" w:color="auto"/>
        <w:bottom w:val="none" w:sz="0" w:space="0" w:color="auto"/>
        <w:right w:val="none" w:sz="0" w:space="0" w:color="auto"/>
      </w:divBdr>
    </w:div>
    <w:div w:id="147602044">
      <w:bodyDiv w:val="1"/>
      <w:marLeft w:val="0"/>
      <w:marRight w:val="0"/>
      <w:marTop w:val="0"/>
      <w:marBottom w:val="0"/>
      <w:divBdr>
        <w:top w:val="none" w:sz="0" w:space="0" w:color="auto"/>
        <w:left w:val="none" w:sz="0" w:space="0" w:color="auto"/>
        <w:bottom w:val="none" w:sz="0" w:space="0" w:color="auto"/>
        <w:right w:val="none" w:sz="0" w:space="0" w:color="auto"/>
      </w:divBdr>
    </w:div>
    <w:div w:id="253562278">
      <w:bodyDiv w:val="1"/>
      <w:marLeft w:val="0"/>
      <w:marRight w:val="0"/>
      <w:marTop w:val="0"/>
      <w:marBottom w:val="0"/>
      <w:divBdr>
        <w:top w:val="none" w:sz="0" w:space="0" w:color="auto"/>
        <w:left w:val="none" w:sz="0" w:space="0" w:color="auto"/>
        <w:bottom w:val="none" w:sz="0" w:space="0" w:color="auto"/>
        <w:right w:val="none" w:sz="0" w:space="0" w:color="auto"/>
      </w:divBdr>
    </w:div>
    <w:div w:id="289673366">
      <w:bodyDiv w:val="1"/>
      <w:marLeft w:val="0"/>
      <w:marRight w:val="0"/>
      <w:marTop w:val="0"/>
      <w:marBottom w:val="0"/>
      <w:divBdr>
        <w:top w:val="none" w:sz="0" w:space="0" w:color="auto"/>
        <w:left w:val="none" w:sz="0" w:space="0" w:color="auto"/>
        <w:bottom w:val="none" w:sz="0" w:space="0" w:color="auto"/>
        <w:right w:val="none" w:sz="0" w:space="0" w:color="auto"/>
      </w:divBdr>
    </w:div>
    <w:div w:id="370421994">
      <w:bodyDiv w:val="1"/>
      <w:marLeft w:val="0"/>
      <w:marRight w:val="0"/>
      <w:marTop w:val="0"/>
      <w:marBottom w:val="0"/>
      <w:divBdr>
        <w:top w:val="none" w:sz="0" w:space="0" w:color="auto"/>
        <w:left w:val="none" w:sz="0" w:space="0" w:color="auto"/>
        <w:bottom w:val="none" w:sz="0" w:space="0" w:color="auto"/>
        <w:right w:val="none" w:sz="0" w:space="0" w:color="auto"/>
      </w:divBdr>
    </w:div>
    <w:div w:id="489516377">
      <w:bodyDiv w:val="1"/>
      <w:marLeft w:val="0"/>
      <w:marRight w:val="0"/>
      <w:marTop w:val="0"/>
      <w:marBottom w:val="0"/>
      <w:divBdr>
        <w:top w:val="none" w:sz="0" w:space="0" w:color="auto"/>
        <w:left w:val="none" w:sz="0" w:space="0" w:color="auto"/>
        <w:bottom w:val="none" w:sz="0" w:space="0" w:color="auto"/>
        <w:right w:val="none" w:sz="0" w:space="0" w:color="auto"/>
      </w:divBdr>
    </w:div>
    <w:div w:id="747847748">
      <w:bodyDiv w:val="1"/>
      <w:marLeft w:val="0"/>
      <w:marRight w:val="0"/>
      <w:marTop w:val="0"/>
      <w:marBottom w:val="0"/>
      <w:divBdr>
        <w:top w:val="none" w:sz="0" w:space="0" w:color="auto"/>
        <w:left w:val="none" w:sz="0" w:space="0" w:color="auto"/>
        <w:bottom w:val="none" w:sz="0" w:space="0" w:color="auto"/>
        <w:right w:val="none" w:sz="0" w:space="0" w:color="auto"/>
      </w:divBdr>
    </w:div>
    <w:div w:id="806508722">
      <w:bodyDiv w:val="1"/>
      <w:marLeft w:val="0"/>
      <w:marRight w:val="0"/>
      <w:marTop w:val="0"/>
      <w:marBottom w:val="0"/>
      <w:divBdr>
        <w:top w:val="none" w:sz="0" w:space="0" w:color="auto"/>
        <w:left w:val="none" w:sz="0" w:space="0" w:color="auto"/>
        <w:bottom w:val="none" w:sz="0" w:space="0" w:color="auto"/>
        <w:right w:val="none" w:sz="0" w:space="0" w:color="auto"/>
      </w:divBdr>
    </w:div>
    <w:div w:id="865020947">
      <w:bodyDiv w:val="1"/>
      <w:marLeft w:val="0"/>
      <w:marRight w:val="0"/>
      <w:marTop w:val="0"/>
      <w:marBottom w:val="0"/>
      <w:divBdr>
        <w:top w:val="none" w:sz="0" w:space="0" w:color="auto"/>
        <w:left w:val="none" w:sz="0" w:space="0" w:color="auto"/>
        <w:bottom w:val="none" w:sz="0" w:space="0" w:color="auto"/>
        <w:right w:val="none" w:sz="0" w:space="0" w:color="auto"/>
      </w:divBdr>
    </w:div>
    <w:div w:id="946042811">
      <w:bodyDiv w:val="1"/>
      <w:marLeft w:val="0"/>
      <w:marRight w:val="0"/>
      <w:marTop w:val="0"/>
      <w:marBottom w:val="0"/>
      <w:divBdr>
        <w:top w:val="none" w:sz="0" w:space="0" w:color="auto"/>
        <w:left w:val="none" w:sz="0" w:space="0" w:color="auto"/>
        <w:bottom w:val="none" w:sz="0" w:space="0" w:color="auto"/>
        <w:right w:val="none" w:sz="0" w:space="0" w:color="auto"/>
      </w:divBdr>
    </w:div>
    <w:div w:id="1167600982">
      <w:bodyDiv w:val="1"/>
      <w:marLeft w:val="0"/>
      <w:marRight w:val="0"/>
      <w:marTop w:val="0"/>
      <w:marBottom w:val="0"/>
      <w:divBdr>
        <w:top w:val="none" w:sz="0" w:space="0" w:color="auto"/>
        <w:left w:val="none" w:sz="0" w:space="0" w:color="auto"/>
        <w:bottom w:val="none" w:sz="0" w:space="0" w:color="auto"/>
        <w:right w:val="none" w:sz="0" w:space="0" w:color="auto"/>
      </w:divBdr>
    </w:div>
    <w:div w:id="1200629504">
      <w:bodyDiv w:val="1"/>
      <w:marLeft w:val="0"/>
      <w:marRight w:val="0"/>
      <w:marTop w:val="0"/>
      <w:marBottom w:val="0"/>
      <w:divBdr>
        <w:top w:val="none" w:sz="0" w:space="0" w:color="auto"/>
        <w:left w:val="none" w:sz="0" w:space="0" w:color="auto"/>
        <w:bottom w:val="none" w:sz="0" w:space="0" w:color="auto"/>
        <w:right w:val="none" w:sz="0" w:space="0" w:color="auto"/>
      </w:divBdr>
    </w:div>
    <w:div w:id="1250233747">
      <w:bodyDiv w:val="1"/>
      <w:marLeft w:val="0"/>
      <w:marRight w:val="0"/>
      <w:marTop w:val="0"/>
      <w:marBottom w:val="0"/>
      <w:divBdr>
        <w:top w:val="none" w:sz="0" w:space="0" w:color="auto"/>
        <w:left w:val="none" w:sz="0" w:space="0" w:color="auto"/>
        <w:bottom w:val="none" w:sz="0" w:space="0" w:color="auto"/>
        <w:right w:val="none" w:sz="0" w:space="0" w:color="auto"/>
      </w:divBdr>
    </w:div>
    <w:div w:id="1433085018">
      <w:bodyDiv w:val="1"/>
      <w:marLeft w:val="0"/>
      <w:marRight w:val="0"/>
      <w:marTop w:val="0"/>
      <w:marBottom w:val="0"/>
      <w:divBdr>
        <w:top w:val="none" w:sz="0" w:space="0" w:color="auto"/>
        <w:left w:val="none" w:sz="0" w:space="0" w:color="auto"/>
        <w:bottom w:val="none" w:sz="0" w:space="0" w:color="auto"/>
        <w:right w:val="none" w:sz="0" w:space="0" w:color="auto"/>
      </w:divBdr>
    </w:div>
    <w:div w:id="1451628249">
      <w:bodyDiv w:val="1"/>
      <w:marLeft w:val="0"/>
      <w:marRight w:val="0"/>
      <w:marTop w:val="0"/>
      <w:marBottom w:val="0"/>
      <w:divBdr>
        <w:top w:val="none" w:sz="0" w:space="0" w:color="auto"/>
        <w:left w:val="none" w:sz="0" w:space="0" w:color="auto"/>
        <w:bottom w:val="none" w:sz="0" w:space="0" w:color="auto"/>
        <w:right w:val="none" w:sz="0" w:space="0" w:color="auto"/>
      </w:divBdr>
    </w:div>
    <w:div w:id="1504979085">
      <w:bodyDiv w:val="1"/>
      <w:marLeft w:val="0"/>
      <w:marRight w:val="0"/>
      <w:marTop w:val="0"/>
      <w:marBottom w:val="0"/>
      <w:divBdr>
        <w:top w:val="none" w:sz="0" w:space="0" w:color="auto"/>
        <w:left w:val="none" w:sz="0" w:space="0" w:color="auto"/>
        <w:bottom w:val="none" w:sz="0" w:space="0" w:color="auto"/>
        <w:right w:val="none" w:sz="0" w:space="0" w:color="auto"/>
      </w:divBdr>
    </w:div>
    <w:div w:id="1519734841">
      <w:bodyDiv w:val="1"/>
      <w:marLeft w:val="0"/>
      <w:marRight w:val="0"/>
      <w:marTop w:val="0"/>
      <w:marBottom w:val="0"/>
      <w:divBdr>
        <w:top w:val="none" w:sz="0" w:space="0" w:color="auto"/>
        <w:left w:val="none" w:sz="0" w:space="0" w:color="auto"/>
        <w:bottom w:val="none" w:sz="0" w:space="0" w:color="auto"/>
        <w:right w:val="none" w:sz="0" w:space="0" w:color="auto"/>
      </w:divBdr>
    </w:div>
    <w:div w:id="1595934601">
      <w:bodyDiv w:val="1"/>
      <w:marLeft w:val="0"/>
      <w:marRight w:val="0"/>
      <w:marTop w:val="0"/>
      <w:marBottom w:val="0"/>
      <w:divBdr>
        <w:top w:val="none" w:sz="0" w:space="0" w:color="auto"/>
        <w:left w:val="none" w:sz="0" w:space="0" w:color="auto"/>
        <w:bottom w:val="none" w:sz="0" w:space="0" w:color="auto"/>
        <w:right w:val="none" w:sz="0" w:space="0" w:color="auto"/>
      </w:divBdr>
    </w:div>
    <w:div w:id="1786731077">
      <w:bodyDiv w:val="1"/>
      <w:marLeft w:val="0"/>
      <w:marRight w:val="0"/>
      <w:marTop w:val="0"/>
      <w:marBottom w:val="0"/>
      <w:divBdr>
        <w:top w:val="none" w:sz="0" w:space="0" w:color="auto"/>
        <w:left w:val="none" w:sz="0" w:space="0" w:color="auto"/>
        <w:bottom w:val="none" w:sz="0" w:space="0" w:color="auto"/>
        <w:right w:val="none" w:sz="0" w:space="0" w:color="auto"/>
      </w:divBdr>
    </w:div>
    <w:div w:id="1805346221">
      <w:bodyDiv w:val="1"/>
      <w:marLeft w:val="0"/>
      <w:marRight w:val="0"/>
      <w:marTop w:val="0"/>
      <w:marBottom w:val="0"/>
      <w:divBdr>
        <w:top w:val="none" w:sz="0" w:space="0" w:color="auto"/>
        <w:left w:val="none" w:sz="0" w:space="0" w:color="auto"/>
        <w:bottom w:val="none" w:sz="0" w:space="0" w:color="auto"/>
        <w:right w:val="none" w:sz="0" w:space="0" w:color="auto"/>
      </w:divBdr>
    </w:div>
    <w:div w:id="1922640678">
      <w:bodyDiv w:val="1"/>
      <w:marLeft w:val="0"/>
      <w:marRight w:val="0"/>
      <w:marTop w:val="0"/>
      <w:marBottom w:val="0"/>
      <w:divBdr>
        <w:top w:val="none" w:sz="0" w:space="0" w:color="auto"/>
        <w:left w:val="none" w:sz="0" w:space="0" w:color="auto"/>
        <w:bottom w:val="none" w:sz="0" w:space="0" w:color="auto"/>
        <w:right w:val="none" w:sz="0" w:space="0" w:color="auto"/>
      </w:divBdr>
    </w:div>
    <w:div w:id="212607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 TargetMode="External"/><Relationship Id="rId12" Type="http://schemas.openxmlformats.org/officeDocument/2006/relationships/hyperlink" Target="https://www.elsevier.com/solutions/embase-biomedical-research" TargetMode="External"/><Relationship Id="rId13" Type="http://schemas.openxmlformats.org/officeDocument/2006/relationships/hyperlink" Target="http://www.who.int/ictrp/en" TargetMode="Externa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rcid.org/0000-0001-8304-4479" TargetMode="External"/><Relationship Id="rId10" Type="http://schemas.openxmlformats.org/officeDocument/2006/relationships/hyperlink" Target="https://orcid.org/0000-0002-4200-3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B03F-7E24-4C4D-8641-5F5BDE18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47856</Words>
  <Characters>272782</Characters>
  <Application>Microsoft Macintosh Word</Application>
  <DocSecurity>0</DocSecurity>
  <Lines>2273</Lines>
  <Paragraphs>639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Lieber</dc:creator>
  <cp:keywords/>
  <dc:description/>
  <cp:lastModifiedBy>Na Ma</cp:lastModifiedBy>
  <cp:revision>2</cp:revision>
  <cp:lastPrinted>2017-04-17T18:04:00Z</cp:lastPrinted>
  <dcterms:created xsi:type="dcterms:W3CDTF">2018-04-01T19:23:00Z</dcterms:created>
  <dcterms:modified xsi:type="dcterms:W3CDTF">2018-04-01T19:23:00Z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Unique User Id_1">
    <vt:lpwstr>d6313af9-35f9-3c6c-9e88-064c24cd05ba</vt:lpwstr>
  </property>
  <property fmtid="{D5CDD505-2E9C-101B-9397-08002B2CF9AE}" pid="24" name="Mendeley Citation Style_1">
    <vt:lpwstr>http://www.zotero.org/styles/world-journal-of-gastroenterology</vt:lpwstr>
  </property>
</Properties>
</file>