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65" w:rsidRPr="00772AC6" w:rsidRDefault="00AF4A65" w:rsidP="005A4D61">
      <w:pPr>
        <w:pStyle w:val="Default"/>
        <w:snapToGrid w:val="0"/>
        <w:spacing w:line="360" w:lineRule="auto"/>
        <w:jc w:val="both"/>
        <w:rPr>
          <w:rFonts w:eastAsia="SimSun" w:cstheme="majorHAnsi"/>
          <w:i/>
          <w:iCs/>
          <w:color w:val="auto"/>
          <w:lang w:eastAsia="zh-CN"/>
        </w:rPr>
      </w:pPr>
      <w:r w:rsidRPr="00772AC6">
        <w:rPr>
          <w:rFonts w:cstheme="majorHAnsi"/>
          <w:b/>
          <w:bCs/>
          <w:color w:val="auto"/>
        </w:rPr>
        <w:t xml:space="preserve">Name of </w:t>
      </w:r>
      <w:r w:rsidR="00107E3B" w:rsidRPr="00772AC6">
        <w:rPr>
          <w:rFonts w:cstheme="majorHAnsi"/>
          <w:b/>
          <w:bCs/>
          <w:color w:val="auto"/>
        </w:rPr>
        <w:t>J</w:t>
      </w:r>
      <w:r w:rsidRPr="00772AC6">
        <w:rPr>
          <w:rFonts w:cstheme="majorHAnsi"/>
          <w:b/>
          <w:bCs/>
          <w:color w:val="auto"/>
        </w:rPr>
        <w:t xml:space="preserve">ournal: </w:t>
      </w:r>
      <w:r w:rsidRPr="00772AC6">
        <w:rPr>
          <w:rFonts w:cstheme="majorHAnsi"/>
          <w:b/>
          <w:i/>
          <w:iCs/>
          <w:color w:val="auto"/>
        </w:rPr>
        <w:t xml:space="preserve">World Journal of Gastroenterology </w:t>
      </w:r>
    </w:p>
    <w:p w:rsidR="00307FBC" w:rsidRPr="00772AC6" w:rsidRDefault="00307FBC" w:rsidP="005A4D61">
      <w:pPr>
        <w:adjustRightInd w:val="0"/>
        <w:snapToGrid w:val="0"/>
        <w:spacing w:line="360" w:lineRule="auto"/>
        <w:rPr>
          <w:rFonts w:ascii="Book Antiqua" w:eastAsia="SimSun" w:hAnsi="Book Antiqua" w:cs="Arial"/>
          <w:b/>
          <w:sz w:val="24"/>
          <w:szCs w:val="24"/>
          <w:lang w:eastAsia="zh-CN"/>
        </w:rPr>
      </w:pPr>
      <w:r w:rsidRPr="00772AC6">
        <w:rPr>
          <w:rFonts w:ascii="Book Antiqua" w:eastAsia="Times New Roman" w:hAnsi="Book Antiqua"/>
          <w:b/>
          <w:bCs/>
          <w:sz w:val="24"/>
          <w:szCs w:val="24"/>
        </w:rPr>
        <w:t>Manuscript NO</w:t>
      </w:r>
      <w:r w:rsidRPr="00772AC6">
        <w:rPr>
          <w:rFonts w:ascii="Book Antiqua" w:hAnsi="Book Antiqua" w:cs="Arial"/>
          <w:b/>
          <w:sz w:val="24"/>
          <w:szCs w:val="24"/>
        </w:rPr>
        <w:t xml:space="preserve">: </w:t>
      </w:r>
      <w:r w:rsidRPr="00772AC6">
        <w:rPr>
          <w:rFonts w:ascii="Book Antiqua" w:eastAsia="SimSun" w:hAnsi="Book Antiqua" w:cs="Arial"/>
          <w:b/>
          <w:sz w:val="24"/>
          <w:szCs w:val="24"/>
          <w:lang w:eastAsia="zh-CN"/>
        </w:rPr>
        <w:t>37927</w:t>
      </w:r>
    </w:p>
    <w:p w:rsidR="00307FBC" w:rsidRPr="00772AC6" w:rsidRDefault="00AF4A65" w:rsidP="005A4D61">
      <w:pPr>
        <w:adjustRightInd w:val="0"/>
        <w:snapToGrid w:val="0"/>
        <w:spacing w:line="360" w:lineRule="auto"/>
        <w:rPr>
          <w:rFonts w:ascii="Book Antiqua" w:eastAsia="SimSun" w:hAnsi="Book Antiqua" w:cstheme="majorHAnsi"/>
          <w:bCs/>
          <w:sz w:val="24"/>
          <w:szCs w:val="24"/>
          <w:lang w:eastAsia="zh-CN"/>
        </w:rPr>
      </w:pPr>
      <w:r w:rsidRPr="00772AC6">
        <w:rPr>
          <w:rFonts w:ascii="Book Antiqua" w:hAnsi="Book Antiqua" w:cstheme="majorHAnsi"/>
          <w:b/>
          <w:bCs/>
          <w:sz w:val="24"/>
          <w:szCs w:val="24"/>
        </w:rPr>
        <w:t xml:space="preserve">Manuscript </w:t>
      </w:r>
      <w:r w:rsidR="00107E3B" w:rsidRPr="00772AC6">
        <w:rPr>
          <w:rFonts w:ascii="Book Antiqua" w:hAnsi="Book Antiqua" w:cstheme="majorHAnsi"/>
          <w:b/>
          <w:bCs/>
          <w:sz w:val="24"/>
          <w:szCs w:val="24"/>
        </w:rPr>
        <w:t>T</w:t>
      </w:r>
      <w:r w:rsidRPr="00772AC6">
        <w:rPr>
          <w:rFonts w:ascii="Book Antiqua" w:hAnsi="Book Antiqua" w:cstheme="majorHAnsi"/>
          <w:b/>
          <w:bCs/>
          <w:sz w:val="24"/>
          <w:szCs w:val="24"/>
        </w:rPr>
        <w:t>ype:</w:t>
      </w:r>
      <w:r w:rsidRPr="00772AC6">
        <w:rPr>
          <w:rFonts w:ascii="Book Antiqua" w:hAnsi="Book Antiqua" w:cstheme="majorHAnsi"/>
          <w:bCs/>
          <w:sz w:val="24"/>
          <w:szCs w:val="24"/>
        </w:rPr>
        <w:t xml:space="preserve"> </w:t>
      </w:r>
      <w:bookmarkStart w:id="0" w:name="OLE_LINK253"/>
      <w:bookmarkStart w:id="1" w:name="OLE_LINK301"/>
      <w:bookmarkStart w:id="2" w:name="OLE_LINK632"/>
      <w:bookmarkStart w:id="3" w:name="OLE_LINK703"/>
      <w:bookmarkStart w:id="4" w:name="OLE_LINK708"/>
      <w:bookmarkStart w:id="5" w:name="OLE_LINK808"/>
      <w:bookmarkStart w:id="6" w:name="OLE_LINK871"/>
      <w:bookmarkStart w:id="7" w:name="OLE_LINK872"/>
      <w:bookmarkStart w:id="8" w:name="OLE_LINK873"/>
      <w:bookmarkStart w:id="9" w:name="OLE_LINK874"/>
      <w:bookmarkStart w:id="10" w:name="OLE_LINK875"/>
      <w:bookmarkStart w:id="11" w:name="OLE_LINK1051"/>
      <w:r w:rsidR="00307FBC" w:rsidRPr="00772AC6">
        <w:rPr>
          <w:rFonts w:ascii="Book Antiqua" w:hAnsi="Book Antiqua"/>
          <w:b/>
          <w:sz w:val="24"/>
          <w:szCs w:val="24"/>
        </w:rPr>
        <w:t>ORIGINAL ARTICLE</w:t>
      </w:r>
      <w:bookmarkEnd w:id="0"/>
      <w:bookmarkEnd w:id="1"/>
      <w:bookmarkEnd w:id="2"/>
      <w:bookmarkEnd w:id="3"/>
      <w:bookmarkEnd w:id="4"/>
      <w:bookmarkEnd w:id="5"/>
      <w:bookmarkEnd w:id="6"/>
      <w:bookmarkEnd w:id="7"/>
      <w:bookmarkEnd w:id="8"/>
      <w:bookmarkEnd w:id="9"/>
      <w:bookmarkEnd w:id="10"/>
      <w:bookmarkEnd w:id="11"/>
      <w:r w:rsidR="00307FBC" w:rsidRPr="00772AC6">
        <w:rPr>
          <w:rFonts w:ascii="Book Antiqua" w:hAnsi="Book Antiqua" w:cstheme="majorHAnsi"/>
          <w:bCs/>
          <w:sz w:val="24"/>
          <w:szCs w:val="24"/>
        </w:rPr>
        <w:t xml:space="preserve"> </w:t>
      </w:r>
    </w:p>
    <w:p w:rsidR="00307FBC" w:rsidRPr="00772AC6" w:rsidRDefault="00307FBC" w:rsidP="005A4D61">
      <w:pPr>
        <w:adjustRightInd w:val="0"/>
        <w:snapToGrid w:val="0"/>
        <w:spacing w:line="360" w:lineRule="auto"/>
        <w:rPr>
          <w:rFonts w:ascii="Book Antiqua" w:eastAsia="SimSun" w:hAnsi="Book Antiqua" w:cstheme="majorHAnsi"/>
          <w:bCs/>
          <w:sz w:val="24"/>
          <w:szCs w:val="24"/>
          <w:lang w:eastAsia="zh-CN"/>
        </w:rPr>
      </w:pPr>
    </w:p>
    <w:p w:rsidR="001859B4" w:rsidRPr="00772AC6" w:rsidRDefault="009328E4" w:rsidP="005A4D61">
      <w:pPr>
        <w:adjustRightInd w:val="0"/>
        <w:snapToGrid w:val="0"/>
        <w:spacing w:line="360" w:lineRule="auto"/>
        <w:rPr>
          <w:rFonts w:ascii="Book Antiqua" w:hAnsi="Book Antiqua" w:cstheme="majorHAnsi"/>
          <w:b/>
          <w:bCs/>
          <w:i/>
          <w:sz w:val="24"/>
          <w:szCs w:val="24"/>
        </w:rPr>
      </w:pPr>
      <w:r w:rsidRPr="00772AC6">
        <w:rPr>
          <w:rFonts w:ascii="Book Antiqua" w:hAnsi="Book Antiqua" w:cstheme="majorHAnsi"/>
          <w:b/>
          <w:bCs/>
          <w:i/>
          <w:sz w:val="24"/>
          <w:szCs w:val="24"/>
        </w:rPr>
        <w:t>Retrospective study</w:t>
      </w:r>
    </w:p>
    <w:p w:rsidR="004C309C" w:rsidRPr="00772AC6" w:rsidRDefault="001E35EA" w:rsidP="005A4D61">
      <w:pPr>
        <w:adjustRightInd w:val="0"/>
        <w:snapToGrid w:val="0"/>
        <w:spacing w:line="360" w:lineRule="auto"/>
        <w:rPr>
          <w:rFonts w:ascii="Book Antiqua" w:hAnsi="Book Antiqua" w:cstheme="majorHAnsi"/>
          <w:b/>
          <w:sz w:val="24"/>
          <w:szCs w:val="24"/>
        </w:rPr>
      </w:pPr>
      <w:bookmarkStart w:id="12" w:name="_Hlk503605024"/>
      <w:r w:rsidRPr="00772AC6">
        <w:rPr>
          <w:rFonts w:ascii="Book Antiqua" w:hAnsi="Book Antiqua" w:cstheme="majorHAnsi"/>
          <w:b/>
          <w:sz w:val="24"/>
          <w:szCs w:val="24"/>
        </w:rPr>
        <w:t xml:space="preserve">Serum </w:t>
      </w:r>
      <w:r w:rsidR="00F728F8" w:rsidRPr="00772AC6">
        <w:rPr>
          <w:rFonts w:ascii="Book Antiqua" w:hAnsi="Book Antiqua" w:cstheme="majorHAnsi"/>
          <w:b/>
          <w:sz w:val="24"/>
          <w:szCs w:val="24"/>
        </w:rPr>
        <w:t>autotaxin levels are correlated with hepatic fibrosis and ballooning in patients with non-alcoholic fatty liver disease</w:t>
      </w:r>
    </w:p>
    <w:bookmarkEnd w:id="12"/>
    <w:p w:rsidR="00060043" w:rsidRPr="00772AC6" w:rsidRDefault="00060043" w:rsidP="005A4D61">
      <w:pPr>
        <w:adjustRightInd w:val="0"/>
        <w:snapToGrid w:val="0"/>
        <w:spacing w:line="360" w:lineRule="auto"/>
        <w:rPr>
          <w:rFonts w:ascii="Book Antiqua" w:hAnsi="Book Antiqua" w:cstheme="majorHAnsi"/>
          <w:sz w:val="24"/>
          <w:szCs w:val="24"/>
        </w:rPr>
      </w:pPr>
    </w:p>
    <w:p w:rsidR="00AF4A65" w:rsidRPr="00772AC6" w:rsidRDefault="00AF4A65"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t xml:space="preserve">Fujimori N </w:t>
      </w:r>
      <w:r w:rsidR="002422B3" w:rsidRPr="00772AC6">
        <w:rPr>
          <w:rFonts w:ascii="Book Antiqua" w:hAnsi="Book Antiqua" w:cstheme="majorHAnsi"/>
          <w:i/>
          <w:iCs/>
          <w:sz w:val="24"/>
          <w:szCs w:val="24"/>
        </w:rPr>
        <w:t>et al</w:t>
      </w:r>
      <w:r w:rsidRPr="00772AC6">
        <w:rPr>
          <w:rFonts w:ascii="Book Antiqua" w:hAnsi="Book Antiqua" w:cstheme="majorHAnsi"/>
          <w:sz w:val="24"/>
          <w:szCs w:val="24"/>
        </w:rPr>
        <w:t>. Autotaxin in non-alcoholic fatty liver disease</w:t>
      </w:r>
    </w:p>
    <w:p w:rsidR="00AF4A65" w:rsidRPr="00772AC6" w:rsidRDefault="00AF4A65" w:rsidP="005A4D61">
      <w:pPr>
        <w:adjustRightInd w:val="0"/>
        <w:snapToGrid w:val="0"/>
        <w:spacing w:line="360" w:lineRule="auto"/>
        <w:rPr>
          <w:rFonts w:ascii="Book Antiqua" w:hAnsi="Book Antiqua" w:cstheme="majorHAnsi"/>
          <w:b/>
          <w:sz w:val="24"/>
          <w:szCs w:val="24"/>
        </w:rPr>
      </w:pPr>
    </w:p>
    <w:p w:rsidR="00187760" w:rsidRPr="002B5102" w:rsidRDefault="00511266" w:rsidP="005A4D61">
      <w:pPr>
        <w:adjustRightInd w:val="0"/>
        <w:snapToGrid w:val="0"/>
        <w:spacing w:line="360" w:lineRule="auto"/>
        <w:rPr>
          <w:rFonts w:ascii="Book Antiqua" w:hAnsi="Book Antiqua" w:cstheme="majorHAnsi"/>
          <w:sz w:val="24"/>
          <w:szCs w:val="24"/>
        </w:rPr>
      </w:pPr>
      <w:bookmarkStart w:id="13" w:name="_Hlk503889808"/>
      <w:r w:rsidRPr="002B5102">
        <w:rPr>
          <w:rFonts w:ascii="Book Antiqua" w:hAnsi="Book Antiqua" w:cstheme="majorHAnsi"/>
          <w:sz w:val="24"/>
          <w:szCs w:val="24"/>
        </w:rPr>
        <w:t>Naoyuki Fujimori</w:t>
      </w:r>
      <w:r w:rsidR="00436EB2" w:rsidRPr="002B5102">
        <w:rPr>
          <w:rFonts w:ascii="Book Antiqua" w:hAnsi="Book Antiqua" w:cstheme="majorHAnsi"/>
          <w:sz w:val="24"/>
          <w:szCs w:val="24"/>
        </w:rPr>
        <w:t xml:space="preserve">, </w:t>
      </w:r>
      <w:r w:rsidR="00314017" w:rsidRPr="002B5102">
        <w:rPr>
          <w:rFonts w:ascii="Book Antiqua" w:hAnsi="Book Antiqua" w:cstheme="majorHAnsi"/>
          <w:sz w:val="24"/>
          <w:szCs w:val="24"/>
        </w:rPr>
        <w:t xml:space="preserve">Takeji Umemura, </w:t>
      </w:r>
      <w:r w:rsidR="00AF2A2E" w:rsidRPr="002B5102">
        <w:rPr>
          <w:rFonts w:ascii="Book Antiqua" w:hAnsi="Book Antiqua" w:cstheme="majorHAnsi"/>
          <w:sz w:val="24"/>
          <w:szCs w:val="24"/>
        </w:rPr>
        <w:t xml:space="preserve">Takefumi Kimura, </w:t>
      </w:r>
      <w:r w:rsidR="000E413B" w:rsidRPr="002B5102">
        <w:rPr>
          <w:rFonts w:ascii="Book Antiqua" w:hAnsi="Book Antiqua" w:cstheme="majorHAnsi"/>
          <w:sz w:val="24"/>
          <w:szCs w:val="24"/>
        </w:rPr>
        <w:t xml:space="preserve">Naoki Tanaka, </w:t>
      </w:r>
      <w:r w:rsidR="001E35EA" w:rsidRPr="002B5102">
        <w:rPr>
          <w:rFonts w:ascii="Book Antiqua" w:hAnsi="Book Antiqua" w:cstheme="majorHAnsi"/>
          <w:sz w:val="24"/>
          <w:szCs w:val="24"/>
        </w:rPr>
        <w:t>Ayumi Sugiura</w:t>
      </w:r>
      <w:r w:rsidR="004F2A96" w:rsidRPr="002B5102">
        <w:rPr>
          <w:rFonts w:ascii="Book Antiqua" w:hAnsi="Book Antiqua" w:cstheme="majorHAnsi"/>
          <w:sz w:val="24"/>
          <w:szCs w:val="24"/>
        </w:rPr>
        <w:t xml:space="preserve">, </w:t>
      </w:r>
      <w:r w:rsidR="00D07B68" w:rsidRPr="002B5102">
        <w:rPr>
          <w:rFonts w:ascii="Book Antiqua" w:hAnsi="Book Antiqua" w:cstheme="majorHAnsi"/>
          <w:sz w:val="24"/>
          <w:szCs w:val="24"/>
        </w:rPr>
        <w:t>Tomoo Yamazaki,</w:t>
      </w:r>
      <w:r w:rsidR="00F53909" w:rsidRPr="002B5102">
        <w:rPr>
          <w:rFonts w:ascii="Book Antiqua" w:hAnsi="Book Antiqua" w:cstheme="majorHAnsi"/>
          <w:sz w:val="24"/>
          <w:szCs w:val="24"/>
        </w:rPr>
        <w:t xml:space="preserve"> </w:t>
      </w:r>
      <w:r w:rsidR="00DA315B" w:rsidRPr="002B5102">
        <w:rPr>
          <w:rFonts w:ascii="Book Antiqua" w:hAnsi="Book Antiqua" w:cstheme="majorHAnsi"/>
          <w:sz w:val="24"/>
          <w:szCs w:val="24"/>
        </w:rPr>
        <w:t xml:space="preserve">Satoru Joshita, </w:t>
      </w:r>
      <w:r w:rsidRPr="002B5102">
        <w:rPr>
          <w:rFonts w:ascii="Book Antiqua" w:hAnsi="Book Antiqua" w:cstheme="majorHAnsi"/>
          <w:sz w:val="24"/>
          <w:szCs w:val="24"/>
        </w:rPr>
        <w:t>Michiharu Komatsu</w:t>
      </w:r>
      <w:r w:rsidR="003E4C2A" w:rsidRPr="002B5102">
        <w:rPr>
          <w:rFonts w:ascii="Book Antiqua" w:hAnsi="Book Antiqua" w:cstheme="majorHAnsi"/>
          <w:sz w:val="24"/>
          <w:szCs w:val="24"/>
        </w:rPr>
        <w:t xml:space="preserve">, </w:t>
      </w:r>
      <w:r w:rsidR="009800C2" w:rsidRPr="002B5102">
        <w:rPr>
          <w:rFonts w:ascii="Book Antiqua" w:hAnsi="Book Antiqua" w:cstheme="majorHAnsi"/>
          <w:sz w:val="24"/>
          <w:szCs w:val="24"/>
        </w:rPr>
        <w:t xml:space="preserve">Yoko Usami, </w:t>
      </w:r>
      <w:r w:rsidR="001E35EA" w:rsidRPr="002B5102">
        <w:rPr>
          <w:rFonts w:ascii="Book Antiqua" w:hAnsi="Book Antiqua" w:cstheme="majorHAnsi"/>
          <w:sz w:val="24"/>
          <w:szCs w:val="24"/>
        </w:rPr>
        <w:t>Kenji Sano, Ko</w:t>
      </w:r>
      <w:r w:rsidR="00B04E6D" w:rsidRPr="002B5102">
        <w:rPr>
          <w:rFonts w:ascii="Book Antiqua" w:hAnsi="Book Antiqua" w:cstheme="majorHAnsi"/>
          <w:sz w:val="24"/>
          <w:szCs w:val="24"/>
        </w:rPr>
        <w:t>ji</w:t>
      </w:r>
      <w:r w:rsidR="001E35EA" w:rsidRPr="002B5102">
        <w:rPr>
          <w:rFonts w:ascii="Book Antiqua" w:hAnsi="Book Antiqua" w:cstheme="majorHAnsi"/>
          <w:sz w:val="24"/>
          <w:szCs w:val="24"/>
        </w:rPr>
        <w:t xml:space="preserve"> Igarashi, </w:t>
      </w:r>
      <w:r w:rsidR="00057714" w:rsidRPr="002B5102">
        <w:rPr>
          <w:rFonts w:ascii="Book Antiqua" w:hAnsi="Book Antiqua" w:cstheme="majorHAnsi"/>
          <w:sz w:val="24"/>
          <w:szCs w:val="24"/>
        </w:rPr>
        <w:t>Akihiro Matsumoto</w:t>
      </w:r>
      <w:r w:rsidR="00FC4703" w:rsidRPr="002B5102">
        <w:rPr>
          <w:rFonts w:ascii="Book Antiqua" w:hAnsi="Book Antiqua" w:cstheme="majorHAnsi"/>
          <w:sz w:val="24"/>
          <w:szCs w:val="24"/>
        </w:rPr>
        <w:t xml:space="preserve">, </w:t>
      </w:r>
      <w:r w:rsidR="00AF4A65" w:rsidRPr="002B5102">
        <w:rPr>
          <w:rFonts w:ascii="Book Antiqua" w:hAnsi="Book Antiqua" w:cstheme="majorHAnsi"/>
          <w:sz w:val="24"/>
          <w:szCs w:val="24"/>
        </w:rPr>
        <w:t>E</w:t>
      </w:r>
      <w:r w:rsidR="00187760" w:rsidRPr="002B5102">
        <w:rPr>
          <w:rFonts w:ascii="Book Antiqua" w:hAnsi="Book Antiqua" w:cstheme="majorHAnsi"/>
          <w:sz w:val="24"/>
          <w:szCs w:val="24"/>
        </w:rPr>
        <w:t>iji Tanaka</w:t>
      </w:r>
    </w:p>
    <w:bookmarkEnd w:id="13"/>
    <w:p w:rsidR="00307FBC" w:rsidRPr="00772AC6" w:rsidRDefault="00307FBC" w:rsidP="005A4D61">
      <w:pPr>
        <w:adjustRightInd w:val="0"/>
        <w:snapToGrid w:val="0"/>
        <w:spacing w:line="360" w:lineRule="auto"/>
        <w:rPr>
          <w:rFonts w:ascii="Book Antiqua" w:hAnsi="Book Antiqua" w:cstheme="majorHAnsi"/>
          <w:b/>
          <w:sz w:val="24"/>
          <w:szCs w:val="24"/>
        </w:rPr>
      </w:pPr>
    </w:p>
    <w:p w:rsidR="008E0E31" w:rsidRPr="00772AC6" w:rsidRDefault="008E0E31"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 xml:space="preserve">Naoyuki Fujimori, </w:t>
      </w:r>
      <w:r w:rsidR="00314017" w:rsidRPr="00772AC6">
        <w:rPr>
          <w:rFonts w:ascii="Book Antiqua" w:hAnsi="Book Antiqua" w:cstheme="majorHAnsi"/>
          <w:b/>
          <w:sz w:val="24"/>
          <w:szCs w:val="24"/>
        </w:rPr>
        <w:t xml:space="preserve">Takeji Umemura, </w:t>
      </w:r>
      <w:r w:rsidR="00AF2A2E" w:rsidRPr="00772AC6">
        <w:rPr>
          <w:rFonts w:ascii="Book Antiqua" w:hAnsi="Book Antiqua" w:cstheme="majorHAnsi"/>
          <w:b/>
          <w:sz w:val="24"/>
          <w:szCs w:val="24"/>
        </w:rPr>
        <w:t xml:space="preserve">Takefumi Kimura, </w:t>
      </w:r>
      <w:r w:rsidRPr="00772AC6">
        <w:rPr>
          <w:rFonts w:ascii="Book Antiqua" w:hAnsi="Book Antiqua" w:cstheme="majorHAnsi"/>
          <w:b/>
          <w:sz w:val="24"/>
          <w:szCs w:val="24"/>
        </w:rPr>
        <w:t xml:space="preserve">Ayumi Sugiura, Tomoo Yamazaki, Satoru Joshita, Michiharu Komatsu, Akihiro Matsumoto, Eiji Tanaka, </w:t>
      </w:r>
      <w:r w:rsidR="00FC4703" w:rsidRPr="00772AC6">
        <w:rPr>
          <w:rFonts w:ascii="Book Antiqua" w:hAnsi="Book Antiqua" w:cstheme="majorHAnsi"/>
          <w:sz w:val="24"/>
          <w:szCs w:val="24"/>
        </w:rPr>
        <w:t xml:space="preserve">Department of Internal Medicine, Division of Gastroenterology, </w:t>
      </w:r>
      <w:r w:rsidR="00187760" w:rsidRPr="00772AC6">
        <w:rPr>
          <w:rFonts w:ascii="Book Antiqua" w:hAnsi="Book Antiqua" w:cstheme="majorHAnsi"/>
          <w:sz w:val="24"/>
          <w:szCs w:val="24"/>
        </w:rPr>
        <w:t>Shinshu University School of Medicine, Matsumoto</w:t>
      </w:r>
      <w:r w:rsidR="00DC7EDB" w:rsidRPr="00772AC6">
        <w:rPr>
          <w:rFonts w:ascii="Book Antiqua" w:hAnsi="Book Antiqua" w:cstheme="majorHAnsi"/>
          <w:sz w:val="24"/>
          <w:szCs w:val="24"/>
        </w:rPr>
        <w:t xml:space="preserve"> 390-8621</w:t>
      </w:r>
      <w:r w:rsidR="00187760" w:rsidRPr="00772AC6">
        <w:rPr>
          <w:rFonts w:ascii="Book Antiqua" w:hAnsi="Book Antiqua" w:cstheme="majorHAnsi"/>
          <w:sz w:val="24"/>
          <w:szCs w:val="24"/>
        </w:rPr>
        <w:t>, Japan</w:t>
      </w:r>
    </w:p>
    <w:p w:rsidR="00060043" w:rsidRPr="00772AC6" w:rsidRDefault="00060043" w:rsidP="005A4D61">
      <w:pPr>
        <w:adjustRightInd w:val="0"/>
        <w:snapToGrid w:val="0"/>
        <w:spacing w:line="360" w:lineRule="auto"/>
        <w:rPr>
          <w:rFonts w:ascii="Book Antiqua" w:hAnsi="Book Antiqua" w:cstheme="majorHAnsi"/>
          <w:sz w:val="24"/>
          <w:szCs w:val="24"/>
        </w:rPr>
      </w:pPr>
    </w:p>
    <w:p w:rsidR="00FC4703" w:rsidRPr="00772AC6" w:rsidRDefault="008E0E31"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 xml:space="preserve">Naoki Tanaka, </w:t>
      </w:r>
      <w:r w:rsidR="00A370DF" w:rsidRPr="00772AC6">
        <w:rPr>
          <w:rFonts w:ascii="Book Antiqua" w:hAnsi="Book Antiqua" w:cstheme="majorHAnsi"/>
          <w:sz w:val="24"/>
          <w:szCs w:val="24"/>
        </w:rPr>
        <w:t xml:space="preserve">Department of Metabolic Regulation, Shinshu University Graduate School of Medicine, </w:t>
      </w:r>
      <w:r w:rsidR="00482B7E" w:rsidRPr="00772AC6">
        <w:rPr>
          <w:rFonts w:ascii="Book Antiqua" w:hAnsi="Book Antiqua" w:cstheme="majorHAnsi"/>
          <w:sz w:val="24"/>
          <w:szCs w:val="24"/>
        </w:rPr>
        <w:t>Matsumoto</w:t>
      </w:r>
      <w:r w:rsidR="00DC7EDB" w:rsidRPr="00772AC6">
        <w:rPr>
          <w:rFonts w:ascii="Book Antiqua" w:hAnsi="Book Antiqua" w:cstheme="majorHAnsi"/>
          <w:sz w:val="24"/>
          <w:szCs w:val="24"/>
        </w:rPr>
        <w:t xml:space="preserve"> 390-8621</w:t>
      </w:r>
      <w:r w:rsidR="00482B7E" w:rsidRPr="00772AC6">
        <w:rPr>
          <w:rFonts w:ascii="Book Antiqua" w:hAnsi="Book Antiqua" w:cstheme="majorHAnsi"/>
          <w:sz w:val="24"/>
          <w:szCs w:val="24"/>
        </w:rPr>
        <w:t>, Japan</w:t>
      </w:r>
    </w:p>
    <w:p w:rsidR="00060043" w:rsidRPr="00772AC6" w:rsidRDefault="00060043" w:rsidP="005A4D61">
      <w:pPr>
        <w:adjustRightInd w:val="0"/>
        <w:snapToGrid w:val="0"/>
        <w:spacing w:line="360" w:lineRule="auto"/>
        <w:rPr>
          <w:rFonts w:ascii="Book Antiqua" w:hAnsi="Book Antiqua" w:cstheme="majorHAnsi"/>
          <w:sz w:val="24"/>
          <w:szCs w:val="24"/>
        </w:rPr>
      </w:pPr>
    </w:p>
    <w:p w:rsidR="00FC4703" w:rsidRPr="00772AC6" w:rsidRDefault="008E0E31"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 xml:space="preserve">Yoko Usami, Kenji Sano, </w:t>
      </w:r>
      <w:r w:rsidR="00A370DF" w:rsidRPr="00772AC6">
        <w:rPr>
          <w:rFonts w:ascii="Book Antiqua" w:hAnsi="Book Antiqua" w:cstheme="majorHAnsi"/>
          <w:sz w:val="24"/>
          <w:szCs w:val="24"/>
        </w:rPr>
        <w:t xml:space="preserve">Department of Laboratory Medicine, Shinshu University Hospital, </w:t>
      </w:r>
      <w:r w:rsidR="00482B7E" w:rsidRPr="00772AC6">
        <w:rPr>
          <w:rFonts w:ascii="Book Antiqua" w:hAnsi="Book Antiqua" w:cstheme="majorHAnsi"/>
          <w:sz w:val="24"/>
          <w:szCs w:val="24"/>
        </w:rPr>
        <w:t>Matsumoto</w:t>
      </w:r>
      <w:r w:rsidR="00DC7EDB" w:rsidRPr="00772AC6">
        <w:rPr>
          <w:rFonts w:ascii="Book Antiqua" w:hAnsi="Book Antiqua" w:cstheme="majorHAnsi"/>
          <w:sz w:val="24"/>
          <w:szCs w:val="24"/>
        </w:rPr>
        <w:t xml:space="preserve"> 390-8621</w:t>
      </w:r>
      <w:r w:rsidR="00482B7E" w:rsidRPr="00772AC6">
        <w:rPr>
          <w:rFonts w:ascii="Book Antiqua" w:hAnsi="Book Antiqua" w:cstheme="majorHAnsi"/>
          <w:sz w:val="24"/>
          <w:szCs w:val="24"/>
        </w:rPr>
        <w:t>, Japan</w:t>
      </w:r>
    </w:p>
    <w:p w:rsidR="00060043" w:rsidRPr="00772AC6" w:rsidRDefault="00060043" w:rsidP="005A4D61">
      <w:pPr>
        <w:adjustRightInd w:val="0"/>
        <w:snapToGrid w:val="0"/>
        <w:spacing w:line="360" w:lineRule="auto"/>
        <w:rPr>
          <w:rFonts w:ascii="Book Antiqua" w:hAnsi="Book Antiqua" w:cstheme="majorHAnsi"/>
          <w:sz w:val="24"/>
          <w:szCs w:val="24"/>
        </w:rPr>
      </w:pPr>
    </w:p>
    <w:p w:rsidR="001E35EA" w:rsidRPr="00772AC6" w:rsidRDefault="008E0E31" w:rsidP="005A4D61">
      <w:pPr>
        <w:adjustRightInd w:val="0"/>
        <w:snapToGrid w:val="0"/>
        <w:spacing w:line="360" w:lineRule="auto"/>
        <w:rPr>
          <w:rFonts w:ascii="Book Antiqua" w:hAnsi="Book Antiqua" w:cstheme="majorHAnsi"/>
          <w:kern w:val="0"/>
          <w:sz w:val="24"/>
          <w:szCs w:val="24"/>
        </w:rPr>
      </w:pPr>
      <w:r w:rsidRPr="00772AC6">
        <w:rPr>
          <w:rFonts w:ascii="Book Antiqua" w:hAnsi="Book Antiqua" w:cstheme="majorHAnsi"/>
          <w:b/>
          <w:sz w:val="24"/>
          <w:szCs w:val="24"/>
        </w:rPr>
        <w:t>Ko</w:t>
      </w:r>
      <w:r w:rsidR="00B04E6D" w:rsidRPr="00772AC6">
        <w:rPr>
          <w:rFonts w:ascii="Book Antiqua" w:hAnsi="Book Antiqua" w:cstheme="majorHAnsi"/>
          <w:b/>
          <w:sz w:val="24"/>
          <w:szCs w:val="24"/>
        </w:rPr>
        <w:t>ji</w:t>
      </w:r>
      <w:r w:rsidRPr="00772AC6">
        <w:rPr>
          <w:rFonts w:ascii="Book Antiqua" w:hAnsi="Book Antiqua" w:cstheme="majorHAnsi"/>
          <w:b/>
          <w:sz w:val="24"/>
          <w:szCs w:val="24"/>
        </w:rPr>
        <w:t xml:space="preserve"> Igarashi, </w:t>
      </w:r>
      <w:r w:rsidR="001E35EA" w:rsidRPr="00772AC6">
        <w:rPr>
          <w:rFonts w:ascii="Book Antiqua" w:hAnsi="Book Antiqua" w:cstheme="majorHAnsi"/>
          <w:kern w:val="0"/>
          <w:sz w:val="24"/>
          <w:szCs w:val="24"/>
        </w:rPr>
        <w:t xml:space="preserve">Bioscience Division, TOSOH Corporation, </w:t>
      </w:r>
      <w:r w:rsidR="00482B7E" w:rsidRPr="00772AC6">
        <w:rPr>
          <w:rFonts w:ascii="Book Antiqua" w:hAnsi="Book Antiqua" w:cstheme="majorHAnsi"/>
          <w:kern w:val="0"/>
          <w:sz w:val="24"/>
          <w:szCs w:val="24"/>
        </w:rPr>
        <w:t>Kanagawa</w:t>
      </w:r>
      <w:r w:rsidR="00DC7EDB" w:rsidRPr="00772AC6">
        <w:rPr>
          <w:rFonts w:ascii="Book Antiqua" w:hAnsi="Book Antiqua" w:cstheme="majorHAnsi"/>
          <w:kern w:val="0"/>
          <w:sz w:val="24"/>
          <w:szCs w:val="24"/>
        </w:rPr>
        <w:t xml:space="preserve"> 252-1123</w:t>
      </w:r>
      <w:r w:rsidR="00482B7E" w:rsidRPr="00772AC6">
        <w:rPr>
          <w:rFonts w:ascii="Book Antiqua" w:hAnsi="Book Antiqua" w:cstheme="majorHAnsi"/>
          <w:kern w:val="0"/>
          <w:sz w:val="24"/>
          <w:szCs w:val="24"/>
        </w:rPr>
        <w:t>, Japan</w:t>
      </w:r>
    </w:p>
    <w:p w:rsidR="008E0E31" w:rsidRPr="00772AC6" w:rsidRDefault="008E0E31" w:rsidP="005A4D61">
      <w:pPr>
        <w:pStyle w:val="Default"/>
        <w:snapToGrid w:val="0"/>
        <w:spacing w:line="360" w:lineRule="auto"/>
        <w:jc w:val="both"/>
        <w:rPr>
          <w:rFonts w:eastAsia="SimSun" w:cstheme="majorHAnsi"/>
          <w:color w:val="auto"/>
          <w:lang w:eastAsia="zh-CN"/>
        </w:rPr>
      </w:pPr>
    </w:p>
    <w:p w:rsidR="00307FBC" w:rsidRPr="00772AC6" w:rsidRDefault="00307FBC" w:rsidP="005A4D61">
      <w:pPr>
        <w:pStyle w:val="Default"/>
        <w:snapToGrid w:val="0"/>
        <w:spacing w:line="360" w:lineRule="auto"/>
        <w:jc w:val="both"/>
        <w:rPr>
          <w:rFonts w:eastAsia="SimSun"/>
          <w:b/>
          <w:color w:val="auto"/>
          <w:lang w:val="en-GB" w:eastAsia="zh-CN"/>
        </w:rPr>
      </w:pPr>
      <w:r w:rsidRPr="00772AC6">
        <w:rPr>
          <w:b/>
          <w:color w:val="auto"/>
          <w:shd w:val="clear" w:color="auto" w:fill="FFFFFF"/>
        </w:rPr>
        <w:t>ORCID number</w:t>
      </w:r>
      <w:r w:rsidRPr="00772AC6">
        <w:rPr>
          <w:b/>
          <w:color w:val="auto"/>
          <w:lang w:val="en-GB"/>
        </w:rPr>
        <w:t>:</w:t>
      </w:r>
      <w:r w:rsidR="005A4D61" w:rsidRPr="00772AC6">
        <w:rPr>
          <w:rFonts w:eastAsia="SimSun"/>
          <w:b/>
          <w:color w:val="auto"/>
          <w:lang w:val="en-GB" w:eastAsia="zh-CN"/>
        </w:rPr>
        <w:t xml:space="preserve"> </w:t>
      </w:r>
      <w:r w:rsidR="001109C4" w:rsidRPr="00772AC6">
        <w:rPr>
          <w:rFonts w:cstheme="majorHAnsi"/>
          <w:color w:val="auto"/>
        </w:rPr>
        <w:t>Naoyuki Fujimori (</w:t>
      </w:r>
      <w:r w:rsidR="0096440E" w:rsidRPr="00772AC6">
        <w:rPr>
          <w:rFonts w:cstheme="majorHAnsi"/>
          <w:color w:val="auto"/>
        </w:rPr>
        <w:t>0000-0001-8744-8139</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Takeji Umemura (</w:t>
      </w:r>
      <w:r w:rsidR="0096440E" w:rsidRPr="00772AC6">
        <w:rPr>
          <w:rFonts w:cstheme="majorHAnsi"/>
          <w:color w:val="auto"/>
        </w:rPr>
        <w:t>0000-0001-7985-919X</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Takefumi Kimura (</w:t>
      </w:r>
      <w:r w:rsidR="0096440E" w:rsidRPr="00772AC6">
        <w:rPr>
          <w:rFonts w:cstheme="majorHAnsi"/>
          <w:color w:val="auto"/>
        </w:rPr>
        <w:t>0000-0002-1481-1029</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Naoki Tanaka </w:t>
      </w:r>
      <w:r w:rsidR="001109C4" w:rsidRPr="00772AC6">
        <w:rPr>
          <w:rFonts w:cstheme="majorHAnsi"/>
          <w:color w:val="auto"/>
        </w:rPr>
        <w:lastRenderedPageBreak/>
        <w:t>(</w:t>
      </w:r>
      <w:r w:rsidR="009B6CFD" w:rsidRPr="00772AC6">
        <w:rPr>
          <w:rFonts w:cstheme="majorHAnsi"/>
          <w:color w:val="auto"/>
        </w:rPr>
        <w:t>0000-0002-0606-2101</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Ayumi Sugiura (</w:t>
      </w:r>
      <w:r w:rsidR="009B6CFD" w:rsidRPr="00772AC6">
        <w:rPr>
          <w:rFonts w:cstheme="majorHAnsi"/>
          <w:color w:val="auto"/>
        </w:rPr>
        <w:t>0000-0001-5427-7628</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Tomoo Yamazaki (</w:t>
      </w:r>
      <w:r w:rsidR="009B6CFD" w:rsidRPr="00772AC6">
        <w:rPr>
          <w:rFonts w:cstheme="majorHAnsi"/>
          <w:color w:val="auto"/>
        </w:rPr>
        <w:t>0000-0001-6958-1366</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Satoru Joshita (</w:t>
      </w:r>
      <w:r w:rsidR="009B6CFD" w:rsidRPr="00772AC6">
        <w:rPr>
          <w:rFonts w:cstheme="majorHAnsi"/>
          <w:color w:val="auto"/>
        </w:rPr>
        <w:t>0000-0002-6364-9654</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Michiharu Komatsu (</w:t>
      </w:r>
      <w:r w:rsidR="009B6CFD" w:rsidRPr="00772AC6">
        <w:rPr>
          <w:rFonts w:cstheme="majorHAnsi"/>
          <w:color w:val="auto"/>
        </w:rPr>
        <w:t>0000-0002-7860-2816</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Yoko Usami (</w:t>
      </w:r>
      <w:r w:rsidR="009B6CFD" w:rsidRPr="00772AC6">
        <w:rPr>
          <w:rFonts w:cstheme="majorHAnsi"/>
          <w:color w:val="auto"/>
        </w:rPr>
        <w:t>0000-0003-2230-5457</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Kenji Sano (</w:t>
      </w:r>
      <w:r w:rsidR="009B6CFD" w:rsidRPr="00772AC6">
        <w:rPr>
          <w:rFonts w:cstheme="majorHAnsi"/>
          <w:color w:val="auto"/>
        </w:rPr>
        <w:t>0000-0003-4312-2780</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Koji Igarashi (</w:t>
      </w:r>
      <w:r w:rsidR="00ED7170" w:rsidRPr="00772AC6">
        <w:rPr>
          <w:rFonts w:cstheme="majorHAnsi"/>
          <w:color w:val="auto"/>
        </w:rPr>
        <w:t>0000-0002-5007-7079</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Akihiro Matsumoto (</w:t>
      </w:r>
      <w:r w:rsidR="009B6CFD" w:rsidRPr="00772AC6">
        <w:rPr>
          <w:rFonts w:cstheme="majorHAnsi"/>
          <w:color w:val="auto"/>
        </w:rPr>
        <w:t>0000-0001-6453-8529</w:t>
      </w:r>
      <w:r w:rsidR="001109C4" w:rsidRPr="00772AC6">
        <w:rPr>
          <w:rFonts w:cstheme="majorHAnsi"/>
          <w:color w:val="auto"/>
        </w:rPr>
        <w:t>)</w:t>
      </w:r>
      <w:r w:rsidR="005A4D61" w:rsidRPr="00772AC6">
        <w:rPr>
          <w:rFonts w:eastAsia="SimSun" w:cstheme="majorHAnsi"/>
          <w:color w:val="auto"/>
          <w:lang w:eastAsia="zh-CN"/>
        </w:rPr>
        <w:t>;</w:t>
      </w:r>
      <w:r w:rsidR="001109C4" w:rsidRPr="00772AC6">
        <w:rPr>
          <w:rFonts w:cstheme="majorHAnsi"/>
          <w:color w:val="auto"/>
        </w:rPr>
        <w:t xml:space="preserve"> Eiji Tanaka (</w:t>
      </w:r>
      <w:r w:rsidR="009B6CFD" w:rsidRPr="00772AC6">
        <w:rPr>
          <w:rFonts w:cstheme="majorHAnsi"/>
          <w:color w:val="auto"/>
        </w:rPr>
        <w:t>0000-0002-0724-2104</w:t>
      </w:r>
      <w:r w:rsidR="001109C4" w:rsidRPr="00772AC6">
        <w:rPr>
          <w:rFonts w:cstheme="majorHAnsi"/>
          <w:color w:val="auto"/>
        </w:rPr>
        <w:t>)</w:t>
      </w:r>
      <w:r w:rsidR="005A4D61" w:rsidRPr="00772AC6">
        <w:rPr>
          <w:rFonts w:eastAsia="SimSun" w:cstheme="majorHAnsi"/>
          <w:color w:val="auto"/>
          <w:lang w:eastAsia="zh-CN"/>
        </w:rPr>
        <w:t>.</w:t>
      </w:r>
    </w:p>
    <w:p w:rsidR="001109C4" w:rsidRPr="00772AC6" w:rsidRDefault="001109C4" w:rsidP="005A4D61">
      <w:pPr>
        <w:pStyle w:val="Default"/>
        <w:snapToGrid w:val="0"/>
        <w:spacing w:line="360" w:lineRule="auto"/>
        <w:jc w:val="both"/>
        <w:rPr>
          <w:rFonts w:cstheme="majorHAnsi"/>
          <w:color w:val="auto"/>
        </w:rPr>
      </w:pPr>
    </w:p>
    <w:p w:rsidR="008E0E31" w:rsidRPr="00772AC6" w:rsidRDefault="008E0E31"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bCs/>
          <w:sz w:val="24"/>
          <w:szCs w:val="24"/>
        </w:rPr>
        <w:t>Author contributions:</w:t>
      </w:r>
      <w:r w:rsidR="00314017" w:rsidRPr="00772AC6">
        <w:rPr>
          <w:rFonts w:ascii="Book Antiqua" w:hAnsi="Book Antiqua" w:cstheme="majorHAnsi"/>
          <w:bCs/>
          <w:sz w:val="24"/>
          <w:szCs w:val="24"/>
        </w:rPr>
        <w:t xml:space="preserve"> </w:t>
      </w:r>
      <w:r w:rsidR="00314017" w:rsidRPr="00772AC6">
        <w:rPr>
          <w:rFonts w:ascii="Book Antiqua" w:hAnsi="Book Antiqua" w:cstheme="majorHAnsi"/>
          <w:sz w:val="24"/>
          <w:szCs w:val="24"/>
        </w:rPr>
        <w:t>Umemura T</w:t>
      </w:r>
      <w:r w:rsidR="00BF474D" w:rsidRPr="00772AC6">
        <w:rPr>
          <w:rFonts w:ascii="Book Antiqua" w:hAnsi="Book Antiqua" w:cstheme="majorHAnsi"/>
          <w:sz w:val="24"/>
          <w:szCs w:val="24"/>
        </w:rPr>
        <w:t xml:space="preserve"> </w:t>
      </w:r>
      <w:r w:rsidRPr="00772AC6">
        <w:rPr>
          <w:rFonts w:ascii="Book Antiqua" w:hAnsi="Book Antiqua" w:cstheme="majorHAnsi"/>
          <w:sz w:val="24"/>
          <w:szCs w:val="24"/>
        </w:rPr>
        <w:t xml:space="preserve">designed </w:t>
      </w:r>
      <w:r w:rsidR="009A4013" w:rsidRPr="00772AC6">
        <w:rPr>
          <w:rFonts w:ascii="Book Antiqua" w:hAnsi="Book Antiqua" w:cstheme="majorHAnsi"/>
          <w:sz w:val="24"/>
          <w:szCs w:val="24"/>
        </w:rPr>
        <w:t xml:space="preserve">the </w:t>
      </w:r>
      <w:r w:rsidRPr="00772AC6">
        <w:rPr>
          <w:rFonts w:ascii="Book Antiqua" w:hAnsi="Book Antiqua" w:cstheme="majorHAnsi"/>
          <w:sz w:val="24"/>
          <w:szCs w:val="24"/>
        </w:rPr>
        <w:t>research;</w:t>
      </w:r>
      <w:r w:rsidR="00BF474D" w:rsidRPr="00772AC6">
        <w:rPr>
          <w:rFonts w:ascii="Book Antiqua" w:hAnsi="Book Antiqua" w:cstheme="majorHAnsi"/>
          <w:sz w:val="24"/>
          <w:szCs w:val="24"/>
        </w:rPr>
        <w:t xml:space="preserve"> </w:t>
      </w:r>
      <w:r w:rsidR="00AF2A2E" w:rsidRPr="00772AC6">
        <w:rPr>
          <w:rFonts w:ascii="Book Antiqua" w:hAnsi="Book Antiqua" w:cstheme="majorHAnsi"/>
          <w:sz w:val="24"/>
          <w:szCs w:val="24"/>
        </w:rPr>
        <w:t xml:space="preserve">Kimura T, </w:t>
      </w:r>
      <w:r w:rsidR="00BF474D" w:rsidRPr="00772AC6">
        <w:rPr>
          <w:rFonts w:ascii="Book Antiqua" w:hAnsi="Book Antiqua" w:cstheme="majorHAnsi"/>
          <w:sz w:val="24"/>
          <w:szCs w:val="24"/>
        </w:rPr>
        <w:t>Sugiura A, Yamazaki T, Joshita S, Komatsu M</w:t>
      </w:r>
      <w:r w:rsidR="00772AC6" w:rsidRPr="00772AC6">
        <w:rPr>
          <w:rFonts w:ascii="Book Antiqua" w:eastAsia="SimSun" w:hAnsi="Book Antiqua" w:cstheme="majorHAnsi"/>
          <w:sz w:val="24"/>
          <w:szCs w:val="24"/>
          <w:lang w:eastAsia="zh-CN"/>
        </w:rPr>
        <w:t xml:space="preserve"> </w:t>
      </w:r>
      <w:r w:rsidR="009A4013" w:rsidRPr="00772AC6">
        <w:rPr>
          <w:rFonts w:ascii="Book Antiqua" w:hAnsi="Book Antiqua" w:cstheme="majorHAnsi"/>
          <w:sz w:val="24"/>
          <w:szCs w:val="24"/>
        </w:rPr>
        <w:t xml:space="preserve">and </w:t>
      </w:r>
      <w:r w:rsidR="00BF474D" w:rsidRPr="00772AC6">
        <w:rPr>
          <w:rFonts w:ascii="Book Antiqua" w:hAnsi="Book Antiqua" w:cstheme="majorHAnsi"/>
          <w:sz w:val="24"/>
          <w:szCs w:val="24"/>
        </w:rPr>
        <w:t>Matsumoto A</w:t>
      </w:r>
      <w:r w:rsidRPr="00772AC6">
        <w:rPr>
          <w:rFonts w:ascii="Book Antiqua" w:hAnsi="Book Antiqua" w:cstheme="majorHAnsi"/>
          <w:sz w:val="24"/>
          <w:szCs w:val="24"/>
        </w:rPr>
        <w:t xml:space="preserve"> treated </w:t>
      </w:r>
      <w:r w:rsidR="009A4013" w:rsidRPr="00772AC6">
        <w:rPr>
          <w:rFonts w:ascii="Book Antiqua" w:hAnsi="Book Antiqua" w:cstheme="majorHAnsi"/>
          <w:sz w:val="24"/>
          <w:szCs w:val="24"/>
        </w:rPr>
        <w:t xml:space="preserve">the </w:t>
      </w:r>
      <w:r w:rsidRPr="00772AC6">
        <w:rPr>
          <w:rFonts w:ascii="Book Antiqua" w:hAnsi="Book Antiqua" w:cstheme="majorHAnsi"/>
          <w:sz w:val="24"/>
          <w:szCs w:val="24"/>
        </w:rPr>
        <w:t>patients and collected material</w:t>
      </w:r>
      <w:r w:rsidR="009A4013" w:rsidRPr="00772AC6">
        <w:rPr>
          <w:rFonts w:ascii="Book Antiqua" w:hAnsi="Book Antiqua" w:cstheme="majorHAnsi"/>
          <w:sz w:val="24"/>
          <w:szCs w:val="24"/>
        </w:rPr>
        <w:t>s</w:t>
      </w:r>
      <w:r w:rsidRPr="00772AC6">
        <w:rPr>
          <w:rFonts w:ascii="Book Antiqua" w:hAnsi="Book Antiqua" w:cstheme="majorHAnsi"/>
          <w:sz w:val="24"/>
          <w:szCs w:val="24"/>
        </w:rPr>
        <w:t xml:space="preserve"> and clinical data from patients; </w:t>
      </w:r>
      <w:r w:rsidR="00BF474D" w:rsidRPr="00772AC6">
        <w:rPr>
          <w:rFonts w:ascii="Book Antiqua" w:hAnsi="Book Antiqua" w:cstheme="majorHAnsi"/>
          <w:sz w:val="24"/>
          <w:szCs w:val="24"/>
        </w:rPr>
        <w:t xml:space="preserve">Usami Y and Igarashi K </w:t>
      </w:r>
      <w:r w:rsidRPr="00772AC6">
        <w:rPr>
          <w:rFonts w:ascii="Book Antiqua" w:hAnsi="Book Antiqua" w:cstheme="majorHAnsi"/>
          <w:sz w:val="24"/>
          <w:szCs w:val="24"/>
        </w:rPr>
        <w:t xml:space="preserve">performed the assays; </w:t>
      </w:r>
      <w:r w:rsidR="00BF474D" w:rsidRPr="00772AC6">
        <w:rPr>
          <w:rFonts w:ascii="Book Antiqua" w:hAnsi="Book Antiqua" w:cstheme="majorHAnsi"/>
          <w:sz w:val="24"/>
          <w:szCs w:val="24"/>
        </w:rPr>
        <w:t xml:space="preserve">Sano K </w:t>
      </w:r>
      <w:r w:rsidR="004D1056" w:rsidRPr="00772AC6">
        <w:rPr>
          <w:rFonts w:ascii="Book Antiqua" w:hAnsi="Book Antiqua" w:cstheme="majorHAnsi"/>
          <w:sz w:val="24"/>
          <w:szCs w:val="24"/>
        </w:rPr>
        <w:t xml:space="preserve">evaluated </w:t>
      </w:r>
      <w:r w:rsidR="009A4013" w:rsidRPr="00772AC6">
        <w:rPr>
          <w:rFonts w:ascii="Book Antiqua" w:hAnsi="Book Antiqua" w:cstheme="majorHAnsi"/>
          <w:sz w:val="24"/>
          <w:szCs w:val="24"/>
        </w:rPr>
        <w:t xml:space="preserve">the </w:t>
      </w:r>
      <w:r w:rsidR="00BF474D" w:rsidRPr="00772AC6">
        <w:rPr>
          <w:rFonts w:ascii="Book Antiqua" w:hAnsi="Book Antiqua" w:cstheme="majorHAnsi"/>
          <w:sz w:val="24"/>
          <w:szCs w:val="24"/>
        </w:rPr>
        <w:t xml:space="preserve">histological findings, Fujimori N </w:t>
      </w:r>
      <w:r w:rsidR="00AF2A2E" w:rsidRPr="00772AC6">
        <w:rPr>
          <w:rFonts w:ascii="Book Antiqua" w:hAnsi="Book Antiqua" w:cstheme="majorHAnsi"/>
          <w:sz w:val="24"/>
          <w:szCs w:val="24"/>
        </w:rPr>
        <w:t xml:space="preserve">and Kimura T </w:t>
      </w:r>
      <w:r w:rsidR="00BF474D" w:rsidRPr="00772AC6">
        <w:rPr>
          <w:rFonts w:ascii="Book Antiqua" w:hAnsi="Book Antiqua" w:cstheme="majorHAnsi"/>
          <w:sz w:val="24"/>
          <w:szCs w:val="24"/>
        </w:rPr>
        <w:t>analy</w:t>
      </w:r>
      <w:r w:rsidR="009A4013" w:rsidRPr="00772AC6">
        <w:rPr>
          <w:rFonts w:ascii="Book Antiqua" w:hAnsi="Book Antiqua" w:cstheme="majorHAnsi"/>
          <w:sz w:val="24"/>
          <w:szCs w:val="24"/>
        </w:rPr>
        <w:t>z</w:t>
      </w:r>
      <w:r w:rsidR="00BF474D" w:rsidRPr="00772AC6">
        <w:rPr>
          <w:rFonts w:ascii="Book Antiqua" w:hAnsi="Book Antiqua" w:cstheme="majorHAnsi"/>
          <w:sz w:val="24"/>
          <w:szCs w:val="24"/>
        </w:rPr>
        <w:t xml:space="preserve">ed </w:t>
      </w:r>
      <w:r w:rsidR="009A4013" w:rsidRPr="00772AC6">
        <w:rPr>
          <w:rFonts w:ascii="Book Antiqua" w:hAnsi="Book Antiqua" w:cstheme="majorHAnsi"/>
          <w:sz w:val="24"/>
          <w:szCs w:val="24"/>
        </w:rPr>
        <w:t xml:space="preserve">the </w:t>
      </w:r>
      <w:r w:rsidR="00BF474D" w:rsidRPr="00772AC6">
        <w:rPr>
          <w:rFonts w:ascii="Book Antiqua" w:hAnsi="Book Antiqua" w:cstheme="majorHAnsi"/>
          <w:sz w:val="24"/>
          <w:szCs w:val="24"/>
        </w:rPr>
        <w:t>data; Fujimori N</w:t>
      </w:r>
      <w:r w:rsidR="00AF2A2E" w:rsidRPr="00772AC6">
        <w:rPr>
          <w:rFonts w:ascii="Book Antiqua" w:hAnsi="Book Antiqua" w:cstheme="majorHAnsi"/>
          <w:sz w:val="24"/>
          <w:szCs w:val="24"/>
        </w:rPr>
        <w:t xml:space="preserve">, </w:t>
      </w:r>
      <w:r w:rsidR="00314017" w:rsidRPr="00772AC6">
        <w:rPr>
          <w:rFonts w:ascii="Book Antiqua" w:hAnsi="Book Antiqua" w:cstheme="majorHAnsi"/>
          <w:sz w:val="24"/>
          <w:szCs w:val="24"/>
        </w:rPr>
        <w:t>Kimura T</w:t>
      </w:r>
      <w:r w:rsidR="00772AC6" w:rsidRPr="00772AC6">
        <w:rPr>
          <w:rFonts w:ascii="Book Antiqua" w:eastAsia="SimSun" w:hAnsi="Book Antiqua" w:cstheme="majorHAnsi"/>
          <w:sz w:val="24"/>
          <w:szCs w:val="24"/>
          <w:lang w:eastAsia="zh-CN"/>
        </w:rPr>
        <w:t xml:space="preserve"> </w:t>
      </w:r>
      <w:r w:rsidR="00BF474D" w:rsidRPr="00772AC6">
        <w:rPr>
          <w:rFonts w:ascii="Book Antiqua" w:hAnsi="Book Antiqua" w:cstheme="majorHAnsi"/>
          <w:sz w:val="24"/>
          <w:szCs w:val="24"/>
        </w:rPr>
        <w:t>and Tanaka N</w:t>
      </w:r>
      <w:r w:rsidRPr="00772AC6">
        <w:rPr>
          <w:rFonts w:ascii="Book Antiqua" w:hAnsi="Book Antiqua" w:cstheme="majorHAnsi"/>
          <w:sz w:val="24"/>
          <w:szCs w:val="24"/>
        </w:rPr>
        <w:t xml:space="preserve"> wrote the paper</w:t>
      </w:r>
      <w:r w:rsidR="00DF5D24" w:rsidRPr="00772AC6">
        <w:rPr>
          <w:rFonts w:ascii="Book Antiqua" w:hAnsi="Book Antiqua" w:cstheme="majorHAnsi"/>
          <w:sz w:val="24"/>
          <w:szCs w:val="24"/>
        </w:rPr>
        <w:t>; T</w:t>
      </w:r>
      <w:r w:rsidR="00AF2A2E" w:rsidRPr="00772AC6">
        <w:rPr>
          <w:rFonts w:ascii="Book Antiqua" w:hAnsi="Book Antiqua" w:cstheme="majorHAnsi"/>
          <w:sz w:val="24"/>
          <w:szCs w:val="24"/>
        </w:rPr>
        <w:t>anaka E supervised</w:t>
      </w:r>
      <w:r w:rsidR="00772AC6" w:rsidRPr="00772AC6">
        <w:rPr>
          <w:rFonts w:ascii="Book Antiqua" w:eastAsia="SimSun" w:hAnsi="Book Antiqua" w:cstheme="majorHAnsi"/>
          <w:sz w:val="24"/>
          <w:szCs w:val="24"/>
          <w:lang w:eastAsia="zh-CN"/>
        </w:rPr>
        <w:t xml:space="preserve"> it</w:t>
      </w:r>
      <w:r w:rsidR="00AF2A2E" w:rsidRPr="00772AC6">
        <w:rPr>
          <w:rFonts w:ascii="Book Antiqua" w:hAnsi="Book Antiqua" w:cstheme="majorHAnsi"/>
          <w:sz w:val="24"/>
          <w:szCs w:val="24"/>
        </w:rPr>
        <w:t>.</w:t>
      </w:r>
    </w:p>
    <w:p w:rsidR="00CE0398" w:rsidRPr="00772AC6" w:rsidRDefault="00CE0398" w:rsidP="005A4D61">
      <w:pPr>
        <w:adjustRightInd w:val="0"/>
        <w:snapToGrid w:val="0"/>
        <w:spacing w:line="360" w:lineRule="auto"/>
        <w:rPr>
          <w:rFonts w:ascii="Book Antiqua" w:hAnsi="Book Antiqua" w:cstheme="majorHAnsi"/>
          <w:sz w:val="24"/>
          <w:szCs w:val="24"/>
        </w:rPr>
      </w:pPr>
    </w:p>
    <w:p w:rsidR="00CE0398" w:rsidRPr="00772AC6" w:rsidRDefault="00CE0398" w:rsidP="005A4D61">
      <w:pPr>
        <w:pStyle w:val="Default"/>
        <w:snapToGrid w:val="0"/>
        <w:spacing w:line="360" w:lineRule="auto"/>
        <w:jc w:val="both"/>
        <w:rPr>
          <w:rFonts w:cs="Arial"/>
          <w:b/>
          <w:color w:val="auto"/>
        </w:rPr>
      </w:pPr>
      <w:r w:rsidRPr="00772AC6">
        <w:rPr>
          <w:rFonts w:cs="Arial"/>
          <w:b/>
          <w:color w:val="auto"/>
        </w:rPr>
        <w:t>Institutional review board statement:</w:t>
      </w:r>
      <w:r w:rsidR="00A36729" w:rsidRPr="00772AC6">
        <w:rPr>
          <w:rFonts w:cs="Arial"/>
          <w:b/>
          <w:color w:val="auto"/>
        </w:rPr>
        <w:t xml:space="preserve"> </w:t>
      </w:r>
      <w:r w:rsidR="00A36729" w:rsidRPr="00772AC6">
        <w:rPr>
          <w:rFonts w:cs="Arial"/>
          <w:color w:val="auto"/>
        </w:rPr>
        <w:t>The study was reviewed and approved by the Committee for Medical Ethics of Shinshu University School of Medicine Institutional Review Board.</w:t>
      </w:r>
    </w:p>
    <w:p w:rsidR="00CE0398" w:rsidRPr="00772AC6" w:rsidRDefault="00CE0398" w:rsidP="005A4D61">
      <w:pPr>
        <w:pStyle w:val="Default"/>
        <w:snapToGrid w:val="0"/>
        <w:spacing w:line="360" w:lineRule="auto"/>
        <w:jc w:val="both"/>
        <w:rPr>
          <w:rFonts w:cstheme="majorHAnsi"/>
          <w:color w:val="auto"/>
        </w:rPr>
      </w:pPr>
    </w:p>
    <w:p w:rsidR="00095582" w:rsidRPr="00772AC6" w:rsidRDefault="00095582" w:rsidP="005A4D61">
      <w:pPr>
        <w:pStyle w:val="Default"/>
        <w:snapToGrid w:val="0"/>
        <w:spacing w:line="360" w:lineRule="auto"/>
        <w:jc w:val="both"/>
        <w:rPr>
          <w:rFonts w:cstheme="majorHAnsi"/>
          <w:bCs/>
          <w:color w:val="auto"/>
        </w:rPr>
      </w:pPr>
      <w:r w:rsidRPr="00772AC6">
        <w:rPr>
          <w:rFonts w:cstheme="majorHAnsi"/>
          <w:b/>
          <w:bCs/>
          <w:color w:val="auto"/>
        </w:rPr>
        <w:t>Informed consent statement:</w:t>
      </w:r>
      <w:r w:rsidRPr="00772AC6">
        <w:rPr>
          <w:rFonts w:cstheme="majorHAnsi"/>
          <w:bCs/>
          <w:color w:val="auto"/>
        </w:rPr>
        <w:t xml:space="preserve"> </w:t>
      </w:r>
      <w:r w:rsidR="00060043" w:rsidRPr="00772AC6">
        <w:rPr>
          <w:rFonts w:cstheme="majorHAnsi"/>
          <w:bCs/>
          <w:color w:val="auto"/>
        </w:rPr>
        <w:t>Written i</w:t>
      </w:r>
      <w:r w:rsidR="00A36729" w:rsidRPr="00772AC6">
        <w:rPr>
          <w:rFonts w:cstheme="majorHAnsi"/>
          <w:bCs/>
          <w:color w:val="auto"/>
        </w:rPr>
        <w:t>nformed consent was obtained from all patients.</w:t>
      </w:r>
    </w:p>
    <w:p w:rsidR="00095582" w:rsidRPr="00772AC6" w:rsidRDefault="00095582" w:rsidP="005A4D61">
      <w:pPr>
        <w:pStyle w:val="Default"/>
        <w:snapToGrid w:val="0"/>
        <w:spacing w:line="360" w:lineRule="auto"/>
        <w:jc w:val="both"/>
        <w:rPr>
          <w:rFonts w:cstheme="majorHAnsi"/>
          <w:color w:val="auto"/>
        </w:rPr>
      </w:pPr>
    </w:p>
    <w:p w:rsidR="00095582" w:rsidRPr="00772AC6" w:rsidRDefault="00772AC6" w:rsidP="005A4D61">
      <w:pPr>
        <w:pStyle w:val="Default"/>
        <w:snapToGrid w:val="0"/>
        <w:spacing w:line="360" w:lineRule="auto"/>
        <w:jc w:val="both"/>
        <w:rPr>
          <w:rFonts w:eastAsia="SimSun" w:cs="Arial"/>
          <w:color w:val="auto"/>
          <w:lang w:eastAsia="zh-CN"/>
        </w:rPr>
      </w:pPr>
      <w:r w:rsidRPr="00772AC6">
        <w:rPr>
          <w:rFonts w:eastAsia="SimSun" w:cs="Times New Roman"/>
          <w:b/>
          <w:kern w:val="2"/>
          <w:lang w:eastAsia="zh-CN"/>
        </w:rPr>
        <w:t>Conflict-of-interest statement:</w:t>
      </w:r>
      <w:r w:rsidRPr="00772AC6">
        <w:rPr>
          <w:rFonts w:eastAsia="SimSun" w:cs="Times New Roman"/>
          <w:kern w:val="2"/>
          <w:lang w:eastAsia="zh-CN"/>
        </w:rPr>
        <w:t xml:space="preserve"> </w:t>
      </w:r>
      <w:r w:rsidR="00CE0398" w:rsidRPr="00772AC6">
        <w:rPr>
          <w:rFonts w:cs="Arial"/>
          <w:color w:val="auto"/>
        </w:rPr>
        <w:t>The authors declare that no conflict of interest exists.</w:t>
      </w:r>
    </w:p>
    <w:p w:rsidR="005A4D61" w:rsidRPr="00772AC6" w:rsidRDefault="005A4D61" w:rsidP="005A4D61">
      <w:pPr>
        <w:pStyle w:val="Default"/>
        <w:snapToGrid w:val="0"/>
        <w:spacing w:line="360" w:lineRule="auto"/>
        <w:jc w:val="both"/>
        <w:rPr>
          <w:rFonts w:eastAsia="SimSun" w:cstheme="majorHAnsi"/>
          <w:b/>
          <w:bCs/>
          <w:color w:val="auto"/>
          <w:lang w:eastAsia="zh-CN"/>
        </w:rPr>
      </w:pPr>
    </w:p>
    <w:p w:rsidR="00095582" w:rsidRPr="00772AC6" w:rsidRDefault="00095582" w:rsidP="005A4D61">
      <w:pPr>
        <w:adjustRightInd w:val="0"/>
        <w:snapToGrid w:val="0"/>
        <w:spacing w:line="360" w:lineRule="auto"/>
        <w:rPr>
          <w:rFonts w:ascii="Book Antiqua" w:hAnsi="Book Antiqua" w:cstheme="majorHAnsi"/>
          <w:bCs/>
          <w:sz w:val="24"/>
          <w:szCs w:val="24"/>
        </w:rPr>
      </w:pPr>
      <w:r w:rsidRPr="00772AC6">
        <w:rPr>
          <w:rFonts w:ascii="Book Antiqua" w:hAnsi="Book Antiqua" w:cstheme="majorHAnsi"/>
          <w:b/>
          <w:bCs/>
          <w:sz w:val="24"/>
          <w:szCs w:val="24"/>
        </w:rPr>
        <w:t>Data sharing statement:</w:t>
      </w:r>
      <w:r w:rsidR="00A36729" w:rsidRPr="00772AC6">
        <w:rPr>
          <w:rFonts w:ascii="Book Antiqua" w:hAnsi="Book Antiqua" w:cstheme="majorHAnsi"/>
          <w:b/>
          <w:bCs/>
          <w:sz w:val="24"/>
          <w:szCs w:val="24"/>
        </w:rPr>
        <w:t xml:space="preserve"> </w:t>
      </w:r>
      <w:r w:rsidR="00A36729" w:rsidRPr="00772AC6">
        <w:rPr>
          <w:rFonts w:ascii="Book Antiqua" w:hAnsi="Book Antiqua" w:cstheme="majorHAnsi"/>
          <w:bCs/>
          <w:sz w:val="24"/>
          <w:szCs w:val="24"/>
        </w:rPr>
        <w:t>No additional data are available.</w:t>
      </w:r>
    </w:p>
    <w:p w:rsidR="004D1056" w:rsidRPr="00772AC6" w:rsidRDefault="004D1056" w:rsidP="005A4D61">
      <w:pPr>
        <w:adjustRightInd w:val="0"/>
        <w:snapToGrid w:val="0"/>
        <w:spacing w:line="360" w:lineRule="auto"/>
        <w:rPr>
          <w:rFonts w:ascii="Book Antiqua" w:eastAsia="SimSun" w:hAnsi="Book Antiqua" w:cstheme="majorHAnsi"/>
          <w:sz w:val="24"/>
          <w:szCs w:val="24"/>
          <w:lang w:eastAsia="zh-CN"/>
        </w:rPr>
      </w:pPr>
    </w:p>
    <w:p w:rsidR="005A4D61" w:rsidRPr="00772AC6" w:rsidRDefault="005A4D61" w:rsidP="005A4D61">
      <w:pPr>
        <w:widowControl/>
        <w:adjustRightInd w:val="0"/>
        <w:snapToGrid w:val="0"/>
        <w:spacing w:line="360" w:lineRule="auto"/>
        <w:rPr>
          <w:rFonts w:ascii="Book Antiqua" w:eastAsia="SimSun" w:hAnsi="Book Antiqua"/>
          <w:bCs/>
          <w:kern w:val="0"/>
          <w:sz w:val="24"/>
          <w:szCs w:val="24"/>
          <w:lang w:eastAsia="zh-CN"/>
        </w:rPr>
      </w:pPr>
      <w:r w:rsidRPr="00772AC6">
        <w:rPr>
          <w:rFonts w:ascii="Book Antiqua" w:eastAsia="MS PMincho" w:hAnsi="Book Antiqua"/>
          <w:b/>
          <w:bCs/>
          <w:kern w:val="0"/>
          <w:sz w:val="24"/>
          <w:szCs w:val="24"/>
        </w:rPr>
        <w:t xml:space="preserve">Open-Access: </w:t>
      </w:r>
      <w:r w:rsidRPr="00772AC6">
        <w:rPr>
          <w:rFonts w:ascii="Book Antiqua" w:eastAsia="MS PMincho" w:hAnsi="Book Antiqua"/>
          <w:bCs/>
          <w:kern w:val="0"/>
          <w:sz w:val="24"/>
          <w:szCs w:val="24"/>
        </w:rPr>
        <w:t xml:space="preserve">This is an </w:t>
      </w:r>
      <w:r w:rsidRPr="00772AC6">
        <w:rPr>
          <w:rFonts w:ascii="Book Antiqua" w:eastAsia="MS PMincho" w:hAnsi="Book Antiqua" w:cs="SimSun"/>
          <w:bCs/>
          <w:kern w:val="0"/>
          <w:sz w:val="24"/>
          <w:szCs w:val="24"/>
        </w:rPr>
        <w:t xml:space="preserve">open-access article that was </w:t>
      </w:r>
      <w:r w:rsidRPr="00772AC6">
        <w:rPr>
          <w:rFonts w:ascii="Book Antiqua" w:eastAsia="MS PMincho" w:hAnsi="Book Antiqua"/>
          <w:bCs/>
          <w:kern w:val="0"/>
          <w:sz w:val="24"/>
          <w:szCs w:val="24"/>
        </w:rPr>
        <w:t xml:space="preserve">selected by an in-house editor and fully peer-reviewed by external reviewers. It is </w:t>
      </w:r>
      <w:r w:rsidRPr="00772AC6">
        <w:rPr>
          <w:rFonts w:ascii="Book Antiqua" w:eastAsia="MS PMincho" w:hAnsi="Book Antiqua" w:cs="SimSun"/>
          <w:bCs/>
          <w:kern w:val="0"/>
          <w:sz w:val="24"/>
          <w:szCs w:val="24"/>
        </w:rPr>
        <w:t xml:space="preserve">distributed in accordance with </w:t>
      </w:r>
      <w:r w:rsidRPr="00772AC6">
        <w:rPr>
          <w:rFonts w:ascii="Book Antiqua" w:eastAsia="MS PMincho" w:hAnsi="Book Antiqua"/>
          <w:bCs/>
          <w:kern w:val="0"/>
          <w:sz w:val="24"/>
          <w:szCs w:val="24"/>
        </w:rPr>
        <w:t xml:space="preserve">the Creative Commons Attribution Non Commercial (CC BY-NC 4.0) license, which permits others to distribute, remix, adapt, build upon </w:t>
      </w:r>
      <w:r w:rsidRPr="00772AC6">
        <w:rPr>
          <w:rFonts w:ascii="Book Antiqua" w:eastAsia="MS PMincho" w:hAnsi="Book Antiqua"/>
          <w:bCs/>
          <w:kern w:val="0"/>
          <w:sz w:val="24"/>
          <w:szCs w:val="24"/>
        </w:rPr>
        <w:lastRenderedPageBreak/>
        <w:t xml:space="preserve">this work non-commercially, and license their derivative works on different terms, provided the original work is properly cited and the use is non-commercial. See: </w:t>
      </w:r>
      <w:hyperlink r:id="rId8" w:history="1">
        <w:r w:rsidRPr="00772AC6">
          <w:rPr>
            <w:rStyle w:val="Hyperlink"/>
            <w:rFonts w:ascii="Book Antiqua" w:eastAsia="MS PMincho" w:hAnsi="Book Antiqua"/>
            <w:bCs/>
            <w:color w:val="auto"/>
            <w:kern w:val="0"/>
            <w:sz w:val="24"/>
            <w:szCs w:val="24"/>
            <w:u w:val="none"/>
          </w:rPr>
          <w:t>http://creativecommons.org/licenses/by-nc/4.0/</w:t>
        </w:r>
      </w:hyperlink>
    </w:p>
    <w:p w:rsidR="005A4D61" w:rsidRPr="00772AC6" w:rsidRDefault="005A4D61" w:rsidP="005A4D61">
      <w:pPr>
        <w:widowControl/>
        <w:adjustRightInd w:val="0"/>
        <w:snapToGrid w:val="0"/>
        <w:spacing w:line="360" w:lineRule="auto"/>
        <w:rPr>
          <w:rFonts w:ascii="Book Antiqua" w:eastAsia="SimSun" w:hAnsi="Book Antiqua"/>
          <w:bCs/>
          <w:kern w:val="0"/>
          <w:sz w:val="24"/>
          <w:szCs w:val="24"/>
          <w:lang w:eastAsia="zh-CN"/>
        </w:rPr>
      </w:pPr>
    </w:p>
    <w:p w:rsidR="005A4D61" w:rsidRPr="00772AC6" w:rsidRDefault="005A4D61" w:rsidP="005A4D61">
      <w:pPr>
        <w:spacing w:line="360" w:lineRule="auto"/>
        <w:rPr>
          <w:rFonts w:ascii="Book Antiqua" w:eastAsia="SimSun" w:hAnsi="Book Antiqua" w:cs="Arial Unicode MS"/>
          <w:sz w:val="24"/>
          <w:szCs w:val="24"/>
          <w:lang w:eastAsia="zh-CN"/>
        </w:rPr>
      </w:pPr>
      <w:bookmarkStart w:id="14" w:name="OLE_LINK918"/>
      <w:bookmarkStart w:id="15" w:name="OLE_LINK919"/>
      <w:bookmarkStart w:id="16" w:name="OLE_LINK1029"/>
      <w:bookmarkStart w:id="17" w:name="OLE_LINK144"/>
      <w:bookmarkStart w:id="18" w:name="OLE_LINK145"/>
      <w:bookmarkStart w:id="19" w:name="OLE_LINK465"/>
      <w:bookmarkStart w:id="20" w:name="OLE_LINK470"/>
      <w:bookmarkStart w:id="21" w:name="OLE_LINK483"/>
      <w:bookmarkStart w:id="22" w:name="OLE_LINK561"/>
      <w:bookmarkStart w:id="23" w:name="OLE_LINK688"/>
      <w:bookmarkStart w:id="24" w:name="OLE_LINK717"/>
      <w:bookmarkStart w:id="25" w:name="OLE_LINK795"/>
      <w:bookmarkStart w:id="26" w:name="OLE_LINK796"/>
      <w:bookmarkStart w:id="27" w:name="OLE_LINK797"/>
      <w:bookmarkStart w:id="28" w:name="OLE_LINK798"/>
      <w:bookmarkStart w:id="29" w:name="OLE_LINK799"/>
      <w:bookmarkStart w:id="30" w:name="OLE_LINK813"/>
      <w:bookmarkStart w:id="31" w:name="OLE_LINK814"/>
      <w:r w:rsidRPr="00772AC6">
        <w:rPr>
          <w:rFonts w:ascii="Book Antiqua" w:hAnsi="Book Antiqua" w:cs="Arial Unicode MS"/>
          <w:b/>
          <w:sz w:val="24"/>
          <w:szCs w:val="24"/>
        </w:rPr>
        <w:t>Manuscript source:</w:t>
      </w:r>
      <w:r w:rsidRPr="00772AC6">
        <w:rPr>
          <w:rFonts w:ascii="Book Antiqua" w:hAnsi="Book Antiqua" w:cs="Arial Unicode MS"/>
          <w:sz w:val="24"/>
          <w:szCs w:val="24"/>
        </w:rPr>
        <w:t xml:space="preserve"> Invited manuscript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07FBC" w:rsidRPr="00772AC6" w:rsidRDefault="00307FBC" w:rsidP="005A4D61">
      <w:pPr>
        <w:adjustRightInd w:val="0"/>
        <w:snapToGrid w:val="0"/>
        <w:spacing w:line="360" w:lineRule="auto"/>
        <w:rPr>
          <w:rFonts w:ascii="Book Antiqua" w:eastAsia="SimSun" w:hAnsi="Book Antiqua" w:cstheme="majorHAnsi"/>
          <w:sz w:val="24"/>
          <w:szCs w:val="24"/>
          <w:lang w:eastAsia="zh-CN"/>
        </w:rPr>
      </w:pPr>
    </w:p>
    <w:p w:rsidR="00187760" w:rsidRPr="00772AC6" w:rsidRDefault="00C345B0"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Correspondence</w:t>
      </w:r>
      <w:r w:rsidR="00095582" w:rsidRPr="00772AC6">
        <w:rPr>
          <w:rFonts w:ascii="Book Antiqua" w:hAnsi="Book Antiqua" w:cstheme="majorHAnsi"/>
          <w:b/>
          <w:sz w:val="24"/>
          <w:szCs w:val="24"/>
        </w:rPr>
        <w:t xml:space="preserve"> to</w:t>
      </w:r>
      <w:r w:rsidR="00187760" w:rsidRPr="00772AC6">
        <w:rPr>
          <w:rFonts w:ascii="Book Antiqua" w:hAnsi="Book Antiqua" w:cstheme="majorHAnsi"/>
          <w:b/>
          <w:sz w:val="24"/>
          <w:szCs w:val="24"/>
        </w:rPr>
        <w:t>:</w:t>
      </w:r>
      <w:r w:rsidR="00187760" w:rsidRPr="00772AC6">
        <w:rPr>
          <w:rFonts w:ascii="Book Antiqua" w:hAnsi="Book Antiqua" w:cstheme="majorHAnsi"/>
          <w:sz w:val="24"/>
          <w:szCs w:val="24"/>
        </w:rPr>
        <w:t xml:space="preserve"> </w:t>
      </w:r>
      <w:r w:rsidR="00DA08E5" w:rsidRPr="00772AC6">
        <w:rPr>
          <w:rFonts w:ascii="Book Antiqua" w:hAnsi="Book Antiqua" w:cstheme="majorHAnsi"/>
          <w:b/>
          <w:sz w:val="24"/>
          <w:szCs w:val="24"/>
        </w:rPr>
        <w:t>Takefumi</w:t>
      </w:r>
      <w:r w:rsidR="009800C2" w:rsidRPr="00772AC6">
        <w:rPr>
          <w:rFonts w:ascii="Book Antiqua" w:hAnsi="Book Antiqua" w:cstheme="majorHAnsi"/>
          <w:b/>
          <w:sz w:val="24"/>
          <w:szCs w:val="24"/>
        </w:rPr>
        <w:t xml:space="preserve"> </w:t>
      </w:r>
      <w:r w:rsidR="00DA08E5" w:rsidRPr="00772AC6">
        <w:rPr>
          <w:rFonts w:ascii="Book Antiqua" w:hAnsi="Book Antiqua" w:cstheme="majorHAnsi"/>
          <w:b/>
          <w:sz w:val="24"/>
          <w:szCs w:val="24"/>
        </w:rPr>
        <w:t>Kimura</w:t>
      </w:r>
      <w:r w:rsidRPr="00772AC6">
        <w:rPr>
          <w:rFonts w:ascii="Book Antiqua" w:hAnsi="Book Antiqua" w:cstheme="majorHAnsi"/>
          <w:b/>
          <w:sz w:val="24"/>
          <w:szCs w:val="24"/>
        </w:rPr>
        <w:t>, M</w:t>
      </w:r>
      <w:r w:rsidR="005A4D61" w:rsidRPr="00772AC6">
        <w:rPr>
          <w:rFonts w:ascii="Book Antiqua" w:hAnsi="Book Antiqua" w:cstheme="majorHAnsi"/>
          <w:b/>
          <w:sz w:val="24"/>
          <w:szCs w:val="24"/>
        </w:rPr>
        <w:t>D</w:t>
      </w:r>
      <w:r w:rsidRPr="00772AC6">
        <w:rPr>
          <w:rFonts w:ascii="Book Antiqua" w:hAnsi="Book Antiqua" w:cstheme="majorHAnsi"/>
          <w:b/>
          <w:sz w:val="24"/>
          <w:szCs w:val="24"/>
        </w:rPr>
        <w:t>, PhD</w:t>
      </w:r>
      <w:r w:rsidR="005A4D61" w:rsidRPr="00772AC6">
        <w:rPr>
          <w:rFonts w:ascii="Book Antiqua" w:eastAsia="SimSun" w:hAnsi="Book Antiqua" w:cstheme="majorHAnsi"/>
          <w:b/>
          <w:sz w:val="24"/>
          <w:szCs w:val="24"/>
          <w:lang w:eastAsia="zh-CN"/>
        </w:rPr>
        <w:t>, Doctor,</w:t>
      </w:r>
      <w:r w:rsidR="009800C2" w:rsidRPr="00772AC6">
        <w:rPr>
          <w:rFonts w:ascii="Book Antiqua" w:hAnsi="Book Antiqua" w:cstheme="majorHAnsi"/>
          <w:sz w:val="24"/>
          <w:szCs w:val="24"/>
        </w:rPr>
        <w:t xml:space="preserve"> Department of Internal Medicine, Division of Gastroenterology, Shinshu University School of Medicine</w:t>
      </w:r>
      <w:r w:rsidR="00FC4703" w:rsidRPr="00772AC6">
        <w:rPr>
          <w:rFonts w:ascii="Book Antiqua" w:hAnsi="Book Antiqua" w:cstheme="majorHAnsi"/>
          <w:sz w:val="24"/>
          <w:szCs w:val="24"/>
        </w:rPr>
        <w:t xml:space="preserve">, </w:t>
      </w:r>
      <w:bookmarkStart w:id="32" w:name="_Hlk503890028"/>
      <w:r w:rsidR="00FC4703" w:rsidRPr="00772AC6">
        <w:rPr>
          <w:rFonts w:ascii="Book Antiqua" w:hAnsi="Book Antiqua" w:cstheme="majorHAnsi"/>
          <w:sz w:val="24"/>
          <w:szCs w:val="24"/>
        </w:rPr>
        <w:t xml:space="preserve">Asahi 3-1-1, </w:t>
      </w:r>
      <w:r w:rsidR="005A4D61" w:rsidRPr="00772AC6">
        <w:rPr>
          <w:rFonts w:ascii="Book Antiqua" w:hAnsi="Book Antiqua" w:cstheme="majorHAnsi"/>
          <w:sz w:val="24"/>
          <w:szCs w:val="24"/>
        </w:rPr>
        <w:t>Nagano</w:t>
      </w:r>
      <w:r w:rsidR="005A4D61" w:rsidRPr="00772AC6">
        <w:rPr>
          <w:rFonts w:ascii="Book Antiqua" w:eastAsia="SimSun" w:hAnsi="Book Antiqua" w:cstheme="majorHAnsi"/>
          <w:sz w:val="24"/>
          <w:szCs w:val="24"/>
          <w:lang w:eastAsia="zh-CN"/>
        </w:rPr>
        <w:t>,</w:t>
      </w:r>
      <w:r w:rsidR="005A4D61" w:rsidRPr="00772AC6">
        <w:rPr>
          <w:rFonts w:ascii="Book Antiqua" w:hAnsi="Book Antiqua" w:cstheme="majorHAnsi"/>
          <w:sz w:val="24"/>
          <w:szCs w:val="24"/>
        </w:rPr>
        <w:t xml:space="preserve"> </w:t>
      </w:r>
      <w:r w:rsidR="00FC4703" w:rsidRPr="00772AC6">
        <w:rPr>
          <w:rFonts w:ascii="Book Antiqua" w:hAnsi="Book Antiqua" w:cstheme="majorHAnsi"/>
          <w:sz w:val="24"/>
          <w:szCs w:val="24"/>
        </w:rPr>
        <w:t>Matsumoto</w:t>
      </w:r>
      <w:r w:rsidR="005A4D61" w:rsidRPr="00772AC6">
        <w:rPr>
          <w:rFonts w:ascii="Book Antiqua" w:eastAsia="SimSun" w:hAnsi="Book Antiqua" w:cstheme="majorHAnsi"/>
          <w:sz w:val="24"/>
          <w:szCs w:val="24"/>
          <w:lang w:eastAsia="zh-CN"/>
        </w:rPr>
        <w:t xml:space="preserve"> </w:t>
      </w:r>
      <w:r w:rsidR="00FC4703" w:rsidRPr="00772AC6">
        <w:rPr>
          <w:rFonts w:ascii="Book Antiqua" w:hAnsi="Book Antiqua" w:cstheme="majorHAnsi"/>
          <w:sz w:val="24"/>
          <w:szCs w:val="24"/>
        </w:rPr>
        <w:t>390-8621, Japan</w:t>
      </w:r>
      <w:r w:rsidR="00095582" w:rsidRPr="00772AC6">
        <w:rPr>
          <w:rFonts w:ascii="Book Antiqua" w:hAnsi="Book Antiqua" w:cstheme="majorHAnsi"/>
          <w:sz w:val="24"/>
          <w:szCs w:val="24"/>
        </w:rPr>
        <w:t xml:space="preserve">. </w:t>
      </w:r>
      <w:hyperlink r:id="rId9" w:history="1">
        <w:r w:rsidR="007C7939" w:rsidRPr="00772AC6">
          <w:rPr>
            <w:rStyle w:val="Hyperlink"/>
            <w:rFonts w:ascii="Book Antiqua" w:hAnsi="Book Antiqua" w:cstheme="majorHAnsi"/>
            <w:color w:val="auto"/>
            <w:sz w:val="24"/>
            <w:szCs w:val="24"/>
            <w:u w:val="none"/>
            <w:lang w:val="en-CA"/>
          </w:rPr>
          <w:t>t_kimura@shinshu-u.ac.jp</w:t>
        </w:r>
      </w:hyperlink>
    </w:p>
    <w:p w:rsidR="00D52349" w:rsidRPr="00772AC6" w:rsidRDefault="00D52349"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Tel</w:t>
      </w:r>
      <w:r w:rsidR="00095582" w:rsidRPr="00772AC6">
        <w:rPr>
          <w:rFonts w:ascii="Book Antiqua" w:hAnsi="Book Antiqua" w:cstheme="majorHAnsi"/>
          <w:b/>
          <w:sz w:val="24"/>
          <w:szCs w:val="24"/>
        </w:rPr>
        <w:t>ephone</w:t>
      </w:r>
      <w:r w:rsidRPr="00772AC6">
        <w:rPr>
          <w:rFonts w:ascii="Book Antiqua" w:hAnsi="Book Antiqua" w:cstheme="majorHAnsi"/>
          <w:b/>
          <w:sz w:val="24"/>
          <w:szCs w:val="24"/>
        </w:rPr>
        <w:t xml:space="preserve">: </w:t>
      </w:r>
      <w:r w:rsidRPr="00772AC6">
        <w:rPr>
          <w:rFonts w:ascii="Book Antiqua" w:hAnsi="Book Antiqua" w:cstheme="majorHAnsi"/>
          <w:sz w:val="24"/>
          <w:szCs w:val="24"/>
        </w:rPr>
        <w:t>+81-263-372634</w:t>
      </w:r>
    </w:p>
    <w:p w:rsidR="00F02DBF" w:rsidRPr="00772AC6" w:rsidRDefault="00D52349" w:rsidP="005A4D61">
      <w:pPr>
        <w:adjustRightInd w:val="0"/>
        <w:snapToGrid w:val="0"/>
        <w:spacing w:line="360" w:lineRule="auto"/>
        <w:rPr>
          <w:rFonts w:ascii="Book Antiqua" w:eastAsia="SimSun" w:hAnsi="Book Antiqua" w:cstheme="majorHAnsi"/>
          <w:sz w:val="24"/>
          <w:szCs w:val="24"/>
          <w:lang w:eastAsia="zh-CN"/>
        </w:rPr>
      </w:pPr>
      <w:r w:rsidRPr="00772AC6">
        <w:rPr>
          <w:rFonts w:ascii="Book Antiqua" w:hAnsi="Book Antiqua" w:cstheme="majorHAnsi"/>
          <w:b/>
          <w:sz w:val="24"/>
          <w:szCs w:val="24"/>
        </w:rPr>
        <w:t>Fax:</w:t>
      </w:r>
      <w:r w:rsidRPr="00772AC6">
        <w:rPr>
          <w:rFonts w:ascii="Book Antiqua" w:hAnsi="Book Antiqua" w:cstheme="majorHAnsi"/>
          <w:sz w:val="24"/>
          <w:szCs w:val="24"/>
        </w:rPr>
        <w:t xml:space="preserve"> +81-263-329412</w:t>
      </w:r>
    </w:p>
    <w:p w:rsidR="005A4D61" w:rsidRPr="00772AC6" w:rsidRDefault="005A4D61" w:rsidP="005A4D61">
      <w:pPr>
        <w:adjustRightInd w:val="0"/>
        <w:snapToGrid w:val="0"/>
        <w:spacing w:line="360" w:lineRule="auto"/>
        <w:rPr>
          <w:rFonts w:ascii="Book Antiqua" w:eastAsia="SimSun" w:hAnsi="Book Antiqua" w:cstheme="majorHAnsi"/>
          <w:sz w:val="24"/>
          <w:szCs w:val="24"/>
          <w:lang w:eastAsia="zh-CN"/>
        </w:rPr>
      </w:pPr>
    </w:p>
    <w:p w:rsidR="005A4D61" w:rsidRPr="00772AC6" w:rsidRDefault="005A4D61" w:rsidP="005A4D61">
      <w:pPr>
        <w:widowControl/>
        <w:adjustRightInd w:val="0"/>
        <w:snapToGrid w:val="0"/>
        <w:spacing w:line="360" w:lineRule="auto"/>
        <w:rPr>
          <w:rFonts w:ascii="Book Antiqua" w:eastAsia="SimSun" w:hAnsi="Book Antiqua"/>
          <w:b/>
          <w:sz w:val="24"/>
          <w:szCs w:val="24"/>
        </w:rPr>
      </w:pPr>
      <w:r w:rsidRPr="00772AC6">
        <w:rPr>
          <w:rFonts w:ascii="Book Antiqua" w:hAnsi="Book Antiqua"/>
          <w:b/>
          <w:sz w:val="24"/>
          <w:szCs w:val="24"/>
        </w:rPr>
        <w:t xml:space="preserve">Received: </w:t>
      </w:r>
      <w:r w:rsidRPr="00772AC6">
        <w:rPr>
          <w:rFonts w:ascii="Book Antiqua" w:hAnsi="Book Antiqua"/>
          <w:sz w:val="24"/>
          <w:szCs w:val="24"/>
        </w:rPr>
        <w:t>January</w:t>
      </w:r>
      <w:r w:rsidRPr="00772AC6">
        <w:rPr>
          <w:rFonts w:ascii="Book Antiqua" w:hAnsi="Book Antiqua"/>
          <w:sz w:val="24"/>
          <w:szCs w:val="24"/>
          <w:lang w:eastAsia="zh-CN"/>
        </w:rPr>
        <w:t xml:space="preserve"> 1</w:t>
      </w:r>
      <w:r w:rsidRPr="00772AC6">
        <w:rPr>
          <w:rFonts w:ascii="Book Antiqua" w:eastAsia="SimSun" w:hAnsi="Book Antiqua"/>
          <w:sz w:val="24"/>
          <w:szCs w:val="24"/>
          <w:lang w:eastAsia="zh-CN"/>
        </w:rPr>
        <w:t>7</w:t>
      </w:r>
      <w:r w:rsidRPr="00772AC6">
        <w:rPr>
          <w:rFonts w:ascii="Book Antiqua" w:hAnsi="Book Antiqua"/>
          <w:sz w:val="24"/>
          <w:szCs w:val="24"/>
          <w:lang w:eastAsia="zh-CN"/>
        </w:rPr>
        <w:t>, 201</w:t>
      </w:r>
      <w:r w:rsidRPr="00772AC6">
        <w:rPr>
          <w:rFonts w:ascii="Book Antiqua" w:eastAsia="SimSun" w:hAnsi="Book Antiqua"/>
          <w:sz w:val="24"/>
          <w:szCs w:val="24"/>
          <w:lang w:eastAsia="zh-CN"/>
        </w:rPr>
        <w:t>8</w:t>
      </w:r>
    </w:p>
    <w:p w:rsidR="005A4D61" w:rsidRPr="00772AC6" w:rsidRDefault="005A4D61" w:rsidP="005A4D61">
      <w:pPr>
        <w:widowControl/>
        <w:adjustRightInd w:val="0"/>
        <w:snapToGrid w:val="0"/>
        <w:spacing w:line="360" w:lineRule="auto"/>
        <w:rPr>
          <w:rFonts w:ascii="Book Antiqua" w:hAnsi="Book Antiqua"/>
          <w:b/>
          <w:sz w:val="24"/>
          <w:szCs w:val="24"/>
          <w:lang w:eastAsia="zh-CN"/>
        </w:rPr>
      </w:pPr>
      <w:r w:rsidRPr="00772AC6">
        <w:rPr>
          <w:rFonts w:ascii="Book Antiqua" w:hAnsi="Book Antiqua"/>
          <w:b/>
          <w:sz w:val="24"/>
          <w:szCs w:val="24"/>
        </w:rPr>
        <w:t>Peer-review started:</w:t>
      </w:r>
      <w:r w:rsidRPr="00772AC6">
        <w:rPr>
          <w:rFonts w:ascii="Book Antiqua" w:hAnsi="Book Antiqua"/>
          <w:b/>
          <w:sz w:val="24"/>
          <w:szCs w:val="24"/>
          <w:lang w:eastAsia="zh-CN"/>
        </w:rPr>
        <w:t xml:space="preserve"> </w:t>
      </w:r>
      <w:r w:rsidRPr="00772AC6">
        <w:rPr>
          <w:rFonts w:ascii="Book Antiqua" w:hAnsi="Book Antiqua"/>
          <w:sz w:val="24"/>
          <w:szCs w:val="24"/>
        </w:rPr>
        <w:t>January</w:t>
      </w:r>
      <w:r w:rsidRPr="00772AC6">
        <w:rPr>
          <w:rFonts w:ascii="Book Antiqua" w:hAnsi="Book Antiqua"/>
          <w:sz w:val="24"/>
          <w:szCs w:val="24"/>
          <w:lang w:eastAsia="zh-CN"/>
        </w:rPr>
        <w:t xml:space="preserve"> 1</w:t>
      </w:r>
      <w:r w:rsidRPr="00772AC6">
        <w:rPr>
          <w:rFonts w:ascii="Book Antiqua" w:eastAsia="SimSun" w:hAnsi="Book Antiqua"/>
          <w:sz w:val="24"/>
          <w:szCs w:val="24"/>
          <w:lang w:eastAsia="zh-CN"/>
        </w:rPr>
        <w:t>7</w:t>
      </w:r>
      <w:r w:rsidRPr="00772AC6">
        <w:rPr>
          <w:rFonts w:ascii="Book Antiqua" w:hAnsi="Book Antiqua"/>
          <w:sz w:val="24"/>
          <w:szCs w:val="24"/>
          <w:lang w:eastAsia="zh-CN"/>
        </w:rPr>
        <w:t>, 201</w:t>
      </w:r>
      <w:r w:rsidRPr="00772AC6">
        <w:rPr>
          <w:rFonts w:ascii="Book Antiqua" w:eastAsia="SimSun" w:hAnsi="Book Antiqua"/>
          <w:sz w:val="24"/>
          <w:szCs w:val="24"/>
          <w:lang w:eastAsia="zh-CN"/>
        </w:rPr>
        <w:t>8</w:t>
      </w:r>
    </w:p>
    <w:p w:rsidR="005A4D61" w:rsidRPr="00772AC6" w:rsidRDefault="005A4D61" w:rsidP="005A4D61">
      <w:pPr>
        <w:widowControl/>
        <w:adjustRightInd w:val="0"/>
        <w:snapToGrid w:val="0"/>
        <w:spacing w:line="360" w:lineRule="auto"/>
        <w:rPr>
          <w:rFonts w:ascii="Book Antiqua" w:hAnsi="Book Antiqua"/>
          <w:b/>
          <w:sz w:val="24"/>
          <w:szCs w:val="24"/>
          <w:lang w:eastAsia="zh-CN"/>
        </w:rPr>
      </w:pPr>
      <w:r w:rsidRPr="00772AC6">
        <w:rPr>
          <w:rFonts w:ascii="Book Antiqua" w:hAnsi="Book Antiqua"/>
          <w:b/>
          <w:sz w:val="24"/>
          <w:szCs w:val="24"/>
        </w:rPr>
        <w:t>First decision:</w:t>
      </w:r>
      <w:r w:rsidRPr="00772AC6">
        <w:rPr>
          <w:rFonts w:ascii="Book Antiqua" w:hAnsi="Book Antiqua"/>
          <w:b/>
          <w:sz w:val="24"/>
          <w:szCs w:val="24"/>
          <w:lang w:eastAsia="zh-CN"/>
        </w:rPr>
        <w:t xml:space="preserve"> </w:t>
      </w:r>
      <w:r w:rsidRPr="00772AC6">
        <w:rPr>
          <w:rFonts w:ascii="Book Antiqua" w:hAnsi="Book Antiqua"/>
          <w:sz w:val="24"/>
          <w:szCs w:val="24"/>
        </w:rPr>
        <w:t>January</w:t>
      </w:r>
      <w:r w:rsidRPr="00772AC6">
        <w:rPr>
          <w:rFonts w:ascii="Book Antiqua" w:hAnsi="Book Antiqua"/>
          <w:sz w:val="24"/>
          <w:szCs w:val="24"/>
          <w:lang w:eastAsia="zh-CN"/>
        </w:rPr>
        <w:t xml:space="preserve"> </w:t>
      </w:r>
      <w:r w:rsidRPr="00772AC6">
        <w:rPr>
          <w:rFonts w:ascii="Book Antiqua" w:eastAsia="SimSun" w:hAnsi="Book Antiqua"/>
          <w:sz w:val="24"/>
          <w:szCs w:val="24"/>
          <w:lang w:eastAsia="zh-CN"/>
        </w:rPr>
        <w:t>25</w:t>
      </w:r>
      <w:r w:rsidRPr="00772AC6">
        <w:rPr>
          <w:rFonts w:ascii="Book Antiqua" w:hAnsi="Book Antiqua"/>
          <w:sz w:val="24"/>
          <w:szCs w:val="24"/>
          <w:lang w:eastAsia="zh-CN"/>
        </w:rPr>
        <w:t>, 201</w:t>
      </w:r>
      <w:r w:rsidRPr="00772AC6">
        <w:rPr>
          <w:rFonts w:ascii="Book Antiqua" w:eastAsia="SimSun" w:hAnsi="Book Antiqua"/>
          <w:sz w:val="24"/>
          <w:szCs w:val="24"/>
          <w:lang w:eastAsia="zh-CN"/>
        </w:rPr>
        <w:t>8</w:t>
      </w:r>
    </w:p>
    <w:p w:rsidR="005A4D61" w:rsidRPr="00772AC6" w:rsidRDefault="005A4D61" w:rsidP="005A4D61">
      <w:pPr>
        <w:widowControl/>
        <w:adjustRightInd w:val="0"/>
        <w:snapToGrid w:val="0"/>
        <w:spacing w:line="360" w:lineRule="auto"/>
        <w:rPr>
          <w:rFonts w:ascii="Book Antiqua" w:hAnsi="Book Antiqua"/>
          <w:b/>
          <w:sz w:val="24"/>
          <w:szCs w:val="24"/>
        </w:rPr>
      </w:pPr>
      <w:r w:rsidRPr="00772AC6">
        <w:rPr>
          <w:rFonts w:ascii="Book Antiqua" w:hAnsi="Book Antiqua"/>
          <w:b/>
          <w:sz w:val="24"/>
          <w:szCs w:val="24"/>
        </w:rPr>
        <w:t xml:space="preserve">Revised: </w:t>
      </w:r>
      <w:r w:rsidRPr="00772AC6">
        <w:rPr>
          <w:rFonts w:ascii="Book Antiqua" w:eastAsia="SimSun" w:hAnsi="Book Antiqua"/>
          <w:sz w:val="24"/>
          <w:szCs w:val="24"/>
          <w:lang w:eastAsia="zh-CN"/>
        </w:rPr>
        <w:t>February</w:t>
      </w:r>
      <w:r w:rsidRPr="00772AC6">
        <w:rPr>
          <w:rFonts w:ascii="Book Antiqua" w:hAnsi="Book Antiqua"/>
          <w:sz w:val="24"/>
          <w:szCs w:val="24"/>
          <w:lang w:eastAsia="zh-CN"/>
        </w:rPr>
        <w:t xml:space="preserve"> 1</w:t>
      </w:r>
      <w:r w:rsidRPr="00772AC6">
        <w:rPr>
          <w:rFonts w:ascii="Book Antiqua" w:eastAsia="SimSun" w:hAnsi="Book Antiqua"/>
          <w:sz w:val="24"/>
          <w:szCs w:val="24"/>
          <w:lang w:eastAsia="zh-CN"/>
        </w:rPr>
        <w:t>0</w:t>
      </w:r>
      <w:r w:rsidRPr="00772AC6">
        <w:rPr>
          <w:rFonts w:ascii="Book Antiqua" w:hAnsi="Book Antiqua"/>
          <w:sz w:val="24"/>
          <w:szCs w:val="24"/>
          <w:lang w:eastAsia="zh-CN"/>
        </w:rPr>
        <w:t>, 201</w:t>
      </w:r>
      <w:r w:rsidRPr="00772AC6">
        <w:rPr>
          <w:rFonts w:ascii="Book Antiqua" w:eastAsia="SimSun" w:hAnsi="Book Antiqua"/>
          <w:sz w:val="24"/>
          <w:szCs w:val="24"/>
          <w:lang w:eastAsia="zh-CN"/>
        </w:rPr>
        <w:t>8</w:t>
      </w:r>
    </w:p>
    <w:p w:rsidR="005A4D61" w:rsidRPr="00772AC6" w:rsidRDefault="005A4D61" w:rsidP="005A4D61">
      <w:pPr>
        <w:widowControl/>
        <w:adjustRightInd w:val="0"/>
        <w:snapToGrid w:val="0"/>
        <w:spacing w:line="360" w:lineRule="auto"/>
        <w:rPr>
          <w:rFonts w:ascii="Book Antiqua" w:hAnsi="Book Antiqua"/>
          <w:b/>
          <w:sz w:val="24"/>
          <w:szCs w:val="24"/>
        </w:rPr>
      </w:pPr>
      <w:r w:rsidRPr="00772AC6">
        <w:rPr>
          <w:rFonts w:ascii="Book Antiqua" w:hAnsi="Book Antiqua"/>
          <w:b/>
          <w:sz w:val="24"/>
          <w:szCs w:val="24"/>
        </w:rPr>
        <w:t>Accepted:</w:t>
      </w:r>
      <w:r w:rsidR="001A5D71" w:rsidRPr="001A5D71">
        <w:t xml:space="preserve"> </w:t>
      </w:r>
      <w:r w:rsidR="001A5D71" w:rsidRPr="001A5D71">
        <w:rPr>
          <w:rFonts w:ascii="Book Antiqua" w:hAnsi="Book Antiqua"/>
          <w:sz w:val="24"/>
          <w:szCs w:val="24"/>
        </w:rPr>
        <w:t>March 3, 2018</w:t>
      </w:r>
      <w:r w:rsidRPr="00772AC6">
        <w:rPr>
          <w:rFonts w:ascii="Book Antiqua" w:hAnsi="Book Antiqua"/>
          <w:b/>
          <w:sz w:val="24"/>
          <w:szCs w:val="24"/>
        </w:rPr>
        <w:t xml:space="preserve"> </w:t>
      </w:r>
    </w:p>
    <w:p w:rsidR="005A4D61" w:rsidRPr="00772AC6" w:rsidRDefault="005A4D61" w:rsidP="005A4D61">
      <w:pPr>
        <w:widowControl/>
        <w:adjustRightInd w:val="0"/>
        <w:snapToGrid w:val="0"/>
        <w:spacing w:line="360" w:lineRule="auto"/>
        <w:rPr>
          <w:rFonts w:ascii="Book Antiqua" w:hAnsi="Book Antiqua"/>
          <w:b/>
          <w:sz w:val="24"/>
          <w:szCs w:val="24"/>
        </w:rPr>
      </w:pPr>
      <w:r w:rsidRPr="00772AC6">
        <w:rPr>
          <w:rFonts w:ascii="Book Antiqua" w:hAnsi="Book Antiqua"/>
          <w:b/>
          <w:sz w:val="24"/>
          <w:szCs w:val="24"/>
        </w:rPr>
        <w:t>Article in press:</w:t>
      </w:r>
    </w:p>
    <w:p w:rsidR="005A4D61" w:rsidRPr="00772AC6" w:rsidRDefault="005A4D61" w:rsidP="005A4D61">
      <w:pPr>
        <w:widowControl/>
        <w:adjustRightInd w:val="0"/>
        <w:snapToGrid w:val="0"/>
        <w:spacing w:line="360" w:lineRule="auto"/>
        <w:rPr>
          <w:rFonts w:ascii="Book Antiqua" w:hAnsi="Book Antiqua"/>
          <w:b/>
          <w:sz w:val="24"/>
          <w:szCs w:val="24"/>
        </w:rPr>
      </w:pPr>
      <w:r w:rsidRPr="00772AC6">
        <w:rPr>
          <w:rFonts w:ascii="Book Antiqua" w:hAnsi="Book Antiqua"/>
          <w:b/>
          <w:sz w:val="24"/>
          <w:szCs w:val="24"/>
        </w:rPr>
        <w:t>Published online:</w:t>
      </w:r>
    </w:p>
    <w:p w:rsidR="005A4D61" w:rsidRPr="00772AC6" w:rsidRDefault="005A4D61" w:rsidP="005A4D61">
      <w:pPr>
        <w:adjustRightInd w:val="0"/>
        <w:snapToGrid w:val="0"/>
        <w:spacing w:line="360" w:lineRule="auto"/>
        <w:rPr>
          <w:rFonts w:ascii="Book Antiqua" w:eastAsia="SimSun" w:hAnsi="Book Antiqua" w:cstheme="majorHAnsi"/>
          <w:sz w:val="24"/>
          <w:szCs w:val="24"/>
          <w:lang w:eastAsia="zh-CN"/>
        </w:rPr>
      </w:pPr>
    </w:p>
    <w:bookmarkEnd w:id="32"/>
    <w:p w:rsidR="001303A0" w:rsidRPr="00772AC6" w:rsidRDefault="00F02DBF" w:rsidP="005A4D61">
      <w:pPr>
        <w:widowControl/>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br w:type="page"/>
      </w:r>
      <w:r w:rsidR="001303A0" w:rsidRPr="00772AC6">
        <w:rPr>
          <w:rFonts w:ascii="Book Antiqua" w:hAnsi="Book Antiqua" w:cstheme="majorHAnsi"/>
          <w:b/>
          <w:sz w:val="24"/>
          <w:szCs w:val="24"/>
        </w:rPr>
        <w:lastRenderedPageBreak/>
        <w:t>Abstract</w:t>
      </w:r>
      <w:r w:rsidR="000C7EB8" w:rsidRPr="00772AC6">
        <w:rPr>
          <w:rFonts w:ascii="Book Antiqua" w:hAnsi="Book Antiqua"/>
          <w:sz w:val="24"/>
          <w:szCs w:val="24"/>
        </w:rPr>
        <w:t xml:space="preserve"> </w:t>
      </w:r>
    </w:p>
    <w:p w:rsidR="00C85A53" w:rsidRPr="00772AC6" w:rsidRDefault="00925118" w:rsidP="005A4D61">
      <w:pPr>
        <w:pStyle w:val="15"/>
        <w:adjustRightInd w:val="0"/>
        <w:snapToGrid w:val="0"/>
        <w:rPr>
          <w:rFonts w:ascii="Book Antiqua" w:hAnsi="Book Antiqua"/>
          <w:sz w:val="24"/>
          <w:szCs w:val="24"/>
        </w:rPr>
      </w:pPr>
      <w:r w:rsidRPr="00772AC6">
        <w:rPr>
          <w:rFonts w:ascii="Book Antiqua" w:hAnsi="Book Antiqua" w:cstheme="majorHAnsi"/>
          <w:b/>
          <w:i/>
          <w:sz w:val="24"/>
          <w:szCs w:val="24"/>
        </w:rPr>
        <w:t>A</w:t>
      </w:r>
      <w:r w:rsidR="00F02DBF" w:rsidRPr="00772AC6">
        <w:rPr>
          <w:rFonts w:ascii="Book Antiqua" w:hAnsi="Book Antiqua" w:cstheme="majorHAnsi"/>
          <w:b/>
          <w:i/>
          <w:sz w:val="24"/>
          <w:szCs w:val="24"/>
        </w:rPr>
        <w:t>IM</w:t>
      </w:r>
    </w:p>
    <w:p w:rsidR="00C85A53" w:rsidRPr="00772AC6" w:rsidRDefault="00C85A53" w:rsidP="005A4D61">
      <w:pPr>
        <w:pStyle w:val="15"/>
        <w:adjustRightInd w:val="0"/>
        <w:snapToGrid w:val="0"/>
        <w:rPr>
          <w:rFonts w:ascii="Book Antiqua" w:eastAsia="MS PGothic" w:hAnsi="Book Antiqua" w:cstheme="majorHAnsi"/>
          <w:sz w:val="24"/>
          <w:szCs w:val="24"/>
        </w:rPr>
      </w:pPr>
      <w:r w:rsidRPr="00772AC6">
        <w:rPr>
          <w:rFonts w:ascii="Book Antiqua" w:hAnsi="Book Antiqua" w:cstheme="majorHAnsi"/>
          <w:sz w:val="24"/>
          <w:szCs w:val="24"/>
        </w:rPr>
        <w:t xml:space="preserve">To examine the relationship between serum </w:t>
      </w:r>
      <w:r w:rsidRPr="00772AC6">
        <w:rPr>
          <w:rFonts w:ascii="Book Antiqua" w:eastAsia="MS PGothic" w:hAnsi="Book Antiqua" w:cstheme="majorHAnsi"/>
          <w:sz w:val="24"/>
          <w:szCs w:val="24"/>
        </w:rPr>
        <w:t>autotaxin (ATX)</w:t>
      </w:r>
      <w:r w:rsidRPr="00772AC6">
        <w:rPr>
          <w:rFonts w:ascii="Book Antiqua" w:hAnsi="Book Antiqua" w:cstheme="majorHAnsi"/>
          <w:sz w:val="24"/>
          <w:szCs w:val="24"/>
        </w:rPr>
        <w:t xml:space="preserve"> concentrations and clinicopathological findings in non-alcoholic fatty liver disease (NAFLD) patients.</w:t>
      </w:r>
    </w:p>
    <w:p w:rsidR="00F02DBF" w:rsidRPr="00772AC6" w:rsidRDefault="00F02DBF" w:rsidP="005A4D61">
      <w:pPr>
        <w:pStyle w:val="15"/>
        <w:adjustRightInd w:val="0"/>
        <w:snapToGrid w:val="0"/>
        <w:rPr>
          <w:rFonts w:ascii="Book Antiqua" w:hAnsi="Book Antiqua" w:cstheme="majorHAnsi"/>
          <w:sz w:val="24"/>
          <w:szCs w:val="24"/>
        </w:rPr>
      </w:pPr>
    </w:p>
    <w:p w:rsidR="00665987" w:rsidRPr="00772AC6" w:rsidRDefault="001303A0" w:rsidP="005A4D61">
      <w:pPr>
        <w:pStyle w:val="15"/>
        <w:adjustRightInd w:val="0"/>
        <w:snapToGrid w:val="0"/>
        <w:rPr>
          <w:rFonts w:ascii="Book Antiqua" w:hAnsi="Book Antiqua" w:cstheme="majorHAnsi"/>
          <w:b/>
          <w:i/>
          <w:sz w:val="24"/>
          <w:szCs w:val="24"/>
        </w:rPr>
      </w:pPr>
      <w:r w:rsidRPr="00772AC6">
        <w:rPr>
          <w:rFonts w:ascii="Book Antiqua" w:hAnsi="Book Antiqua" w:cstheme="majorHAnsi"/>
          <w:b/>
          <w:i/>
          <w:sz w:val="24"/>
          <w:szCs w:val="24"/>
        </w:rPr>
        <w:t>M</w:t>
      </w:r>
      <w:r w:rsidR="00F02DBF" w:rsidRPr="00772AC6">
        <w:rPr>
          <w:rFonts w:ascii="Book Antiqua" w:hAnsi="Book Antiqua" w:cstheme="majorHAnsi"/>
          <w:b/>
          <w:i/>
          <w:sz w:val="24"/>
          <w:szCs w:val="24"/>
        </w:rPr>
        <w:t>ETHODS</w:t>
      </w:r>
    </w:p>
    <w:p w:rsidR="00F02DBF" w:rsidRPr="00772AC6" w:rsidRDefault="009354D4" w:rsidP="005A4D61">
      <w:pPr>
        <w:pStyle w:val="15"/>
        <w:adjustRightInd w:val="0"/>
        <w:snapToGrid w:val="0"/>
        <w:rPr>
          <w:rFonts w:ascii="Book Antiqua" w:hAnsi="Book Antiqua" w:cstheme="majorHAnsi"/>
          <w:sz w:val="24"/>
          <w:szCs w:val="24"/>
        </w:rPr>
      </w:pPr>
      <w:r w:rsidRPr="00772AC6">
        <w:rPr>
          <w:rFonts w:ascii="Book Antiqua" w:hAnsi="Book Antiqua" w:cstheme="majorHAnsi"/>
          <w:sz w:val="24"/>
          <w:szCs w:val="24"/>
        </w:rPr>
        <w:t>One</w:t>
      </w:r>
      <w:r w:rsidR="009A4013" w:rsidRPr="00772AC6">
        <w:rPr>
          <w:rFonts w:ascii="Book Antiqua" w:hAnsi="Book Antiqua" w:cstheme="majorHAnsi"/>
          <w:sz w:val="24"/>
          <w:szCs w:val="24"/>
        </w:rPr>
        <w:t xml:space="preserve"> </w:t>
      </w:r>
      <w:r w:rsidRPr="00772AC6">
        <w:rPr>
          <w:rFonts w:ascii="Book Antiqua" w:hAnsi="Book Antiqua" w:cstheme="majorHAnsi"/>
          <w:sz w:val="24"/>
          <w:szCs w:val="24"/>
        </w:rPr>
        <w:t xml:space="preserve">hundred eighty-six NAFLD patients </w:t>
      </w:r>
      <w:r w:rsidR="009A4013" w:rsidRPr="00772AC6">
        <w:rPr>
          <w:rFonts w:ascii="Book Antiqua" w:hAnsi="Book Antiqua" w:cstheme="majorHAnsi"/>
          <w:sz w:val="24"/>
          <w:szCs w:val="24"/>
        </w:rPr>
        <w:t xml:space="preserve">who had undergone </w:t>
      </w:r>
      <w:r w:rsidRPr="00772AC6">
        <w:rPr>
          <w:rFonts w:ascii="Book Antiqua" w:hAnsi="Book Antiqua" w:cstheme="majorHAnsi"/>
          <w:sz w:val="24"/>
          <w:szCs w:val="24"/>
        </w:rPr>
        <w:t xml:space="preserve">liver biopsy </w:t>
      </w:r>
      <w:r w:rsidR="009A4013" w:rsidRPr="00772AC6">
        <w:rPr>
          <w:rFonts w:ascii="Book Antiqua" w:hAnsi="Book Antiqua" w:cstheme="majorHAnsi"/>
          <w:sz w:val="24"/>
          <w:szCs w:val="24"/>
        </w:rPr>
        <w:t xml:space="preserve">between </w:t>
      </w:r>
      <w:r w:rsidR="00C85A53" w:rsidRPr="00772AC6">
        <w:rPr>
          <w:rFonts w:ascii="Book Antiqua" w:hAnsi="Book Antiqua" w:cstheme="majorHAnsi"/>
          <w:sz w:val="24"/>
          <w:szCs w:val="24"/>
        </w:rPr>
        <w:t>2008</w:t>
      </w:r>
      <w:r w:rsidR="00200A33" w:rsidRPr="00772AC6">
        <w:rPr>
          <w:rFonts w:ascii="Book Antiqua" w:hAnsi="Book Antiqua" w:cstheme="majorHAnsi"/>
          <w:sz w:val="24"/>
          <w:szCs w:val="24"/>
        </w:rPr>
        <w:t xml:space="preserve"> </w:t>
      </w:r>
      <w:r w:rsidR="009A4013" w:rsidRPr="00772AC6">
        <w:rPr>
          <w:rFonts w:ascii="Book Antiqua" w:hAnsi="Book Antiqua" w:cstheme="majorHAnsi"/>
          <w:sz w:val="24"/>
          <w:szCs w:val="24"/>
        </w:rPr>
        <w:t xml:space="preserve">and </w:t>
      </w:r>
      <w:r w:rsidR="00200A33" w:rsidRPr="00772AC6">
        <w:rPr>
          <w:rFonts w:ascii="Book Antiqua" w:hAnsi="Book Antiqua" w:cstheme="majorHAnsi"/>
          <w:sz w:val="24"/>
          <w:szCs w:val="24"/>
        </w:rPr>
        <w:t>2017</w:t>
      </w:r>
      <w:r w:rsidRPr="00772AC6">
        <w:rPr>
          <w:rFonts w:ascii="Book Antiqua" w:hAnsi="Book Antiqua" w:cstheme="majorHAnsi"/>
          <w:sz w:val="24"/>
          <w:szCs w:val="24"/>
        </w:rPr>
        <w:t xml:space="preserve"> were </w:t>
      </w:r>
      <w:r w:rsidR="00657D1C" w:rsidRPr="00772AC6">
        <w:rPr>
          <w:rFonts w:ascii="Book Antiqua" w:hAnsi="Book Antiqua" w:cstheme="majorHAnsi"/>
          <w:sz w:val="24"/>
          <w:szCs w:val="24"/>
        </w:rPr>
        <w:t xml:space="preserve">retrospectively </w:t>
      </w:r>
      <w:r w:rsidRPr="00772AC6">
        <w:rPr>
          <w:rFonts w:ascii="Book Antiqua" w:hAnsi="Book Antiqua" w:cstheme="majorHAnsi"/>
          <w:sz w:val="24"/>
          <w:szCs w:val="24"/>
        </w:rPr>
        <w:t xml:space="preserve">enrolled. </w:t>
      </w:r>
      <w:r w:rsidR="004F3FEB" w:rsidRPr="00772AC6">
        <w:rPr>
          <w:rFonts w:ascii="Book Antiqua" w:hAnsi="Book Antiqua" w:cstheme="majorHAnsi"/>
          <w:sz w:val="24"/>
          <w:szCs w:val="24"/>
        </w:rPr>
        <w:t>Ser</w:t>
      </w:r>
      <w:r w:rsidR="009A4013" w:rsidRPr="00772AC6">
        <w:rPr>
          <w:rFonts w:ascii="Book Antiqua" w:hAnsi="Book Antiqua" w:cstheme="majorHAnsi"/>
          <w:sz w:val="24"/>
          <w:szCs w:val="24"/>
        </w:rPr>
        <w:t xml:space="preserve">um samples </w:t>
      </w:r>
      <w:r w:rsidR="004F3FEB" w:rsidRPr="00772AC6">
        <w:rPr>
          <w:rFonts w:ascii="Book Antiqua" w:hAnsi="Book Antiqua" w:cstheme="majorHAnsi"/>
          <w:sz w:val="24"/>
          <w:szCs w:val="24"/>
        </w:rPr>
        <w:t xml:space="preserve">were collected at the time of biopsy and </w:t>
      </w:r>
      <w:r w:rsidR="006A1D5C" w:rsidRPr="00772AC6">
        <w:rPr>
          <w:rFonts w:ascii="Book Antiqua" w:hAnsi="Book Antiqua" w:cstheme="majorHAnsi"/>
          <w:sz w:val="24"/>
          <w:szCs w:val="24"/>
        </w:rPr>
        <w:t>ATX was measured</w:t>
      </w:r>
      <w:r w:rsidR="00B8746D" w:rsidRPr="00772AC6">
        <w:rPr>
          <w:rFonts w:ascii="Book Antiqua" w:hAnsi="Book Antiqua" w:cstheme="majorHAnsi"/>
          <w:sz w:val="24"/>
          <w:szCs w:val="24"/>
        </w:rPr>
        <w:t xml:space="preserve"> by</w:t>
      </w:r>
      <w:r w:rsidR="00C20425" w:rsidRPr="00772AC6">
        <w:rPr>
          <w:rFonts w:ascii="Book Antiqua" w:hAnsi="Book Antiqua" w:cstheme="majorHAnsi"/>
          <w:sz w:val="24"/>
          <w:szCs w:val="24"/>
        </w:rPr>
        <w:t xml:space="preserve"> enzyme immunoassay</w:t>
      </w:r>
      <w:r w:rsidR="009A4013" w:rsidRPr="00772AC6">
        <w:rPr>
          <w:rFonts w:ascii="Book Antiqua" w:hAnsi="Book Antiqua" w:cstheme="majorHAnsi"/>
          <w:sz w:val="24"/>
          <w:szCs w:val="24"/>
        </w:rPr>
        <w:t>s</w:t>
      </w:r>
      <w:r w:rsidR="004F3FEB" w:rsidRPr="00772AC6">
        <w:rPr>
          <w:rFonts w:ascii="Book Antiqua" w:hAnsi="Book Antiqua" w:cstheme="majorHAnsi"/>
          <w:sz w:val="24"/>
          <w:szCs w:val="24"/>
        </w:rPr>
        <w:t xml:space="preserve">. </w:t>
      </w:r>
      <w:r w:rsidR="00920580" w:rsidRPr="00772AC6">
        <w:rPr>
          <w:rFonts w:ascii="Book Antiqua" w:hAnsi="Book Antiqua" w:cstheme="majorHAnsi"/>
          <w:sz w:val="24"/>
          <w:szCs w:val="24"/>
        </w:rPr>
        <w:t xml:space="preserve">Sera obtained from </w:t>
      </w:r>
      <w:r w:rsidR="009A4013" w:rsidRPr="00772AC6">
        <w:rPr>
          <w:rFonts w:ascii="Book Antiqua" w:hAnsi="Book Antiqua" w:cstheme="majorHAnsi"/>
          <w:sz w:val="24"/>
          <w:szCs w:val="24"/>
        </w:rPr>
        <w:t xml:space="preserve">160 healthy, </w:t>
      </w:r>
      <w:r w:rsidR="00920580" w:rsidRPr="00772AC6">
        <w:rPr>
          <w:rFonts w:ascii="Book Antiqua" w:hAnsi="Book Antiqua" w:cstheme="majorHAnsi"/>
          <w:sz w:val="24"/>
          <w:szCs w:val="24"/>
        </w:rPr>
        <w:t xml:space="preserve">non-obese individuals were used as controls. Histological findings were graded according to </w:t>
      </w:r>
      <w:r w:rsidR="00657D1C" w:rsidRPr="00772AC6">
        <w:rPr>
          <w:rFonts w:ascii="Book Antiqua" w:hAnsi="Book Antiqua" w:cstheme="majorHAnsi"/>
          <w:sz w:val="24"/>
          <w:szCs w:val="24"/>
        </w:rPr>
        <w:t xml:space="preserve">an </w:t>
      </w:r>
      <w:r w:rsidR="00920580" w:rsidRPr="00772AC6">
        <w:rPr>
          <w:rFonts w:ascii="Book Antiqua" w:hAnsi="Book Antiqua" w:cstheme="majorHAnsi"/>
          <w:sz w:val="24"/>
          <w:szCs w:val="24"/>
        </w:rPr>
        <w:t>NAFLD scoring system and correlation</w:t>
      </w:r>
      <w:r w:rsidR="009A4013" w:rsidRPr="00772AC6">
        <w:rPr>
          <w:rFonts w:ascii="Book Antiqua" w:hAnsi="Book Antiqua" w:cstheme="majorHAnsi"/>
          <w:sz w:val="24"/>
          <w:szCs w:val="24"/>
        </w:rPr>
        <w:t>s</w:t>
      </w:r>
      <w:r w:rsidR="00920580" w:rsidRPr="00772AC6">
        <w:rPr>
          <w:rFonts w:ascii="Book Antiqua" w:hAnsi="Book Antiqua" w:cstheme="majorHAnsi"/>
          <w:sz w:val="24"/>
          <w:szCs w:val="24"/>
        </w:rPr>
        <w:t xml:space="preserve"> with seru</w:t>
      </w:r>
      <w:r w:rsidR="00300594" w:rsidRPr="00772AC6">
        <w:rPr>
          <w:rFonts w:ascii="Book Antiqua" w:hAnsi="Book Antiqua" w:cstheme="majorHAnsi"/>
          <w:sz w:val="24"/>
          <w:szCs w:val="24"/>
        </w:rPr>
        <w:t xml:space="preserve">m ATX </w:t>
      </w:r>
      <w:r w:rsidR="009A4013" w:rsidRPr="00772AC6">
        <w:rPr>
          <w:rFonts w:ascii="Book Antiqua" w:hAnsi="Book Antiqua" w:cstheme="majorHAnsi"/>
          <w:sz w:val="24"/>
          <w:szCs w:val="24"/>
        </w:rPr>
        <w:t xml:space="preserve">were </w:t>
      </w:r>
      <w:r w:rsidR="00300594" w:rsidRPr="00772AC6">
        <w:rPr>
          <w:rFonts w:ascii="Book Antiqua" w:hAnsi="Book Antiqua" w:cstheme="majorHAnsi"/>
          <w:sz w:val="24"/>
          <w:szCs w:val="24"/>
        </w:rPr>
        <w:t>calculated by Spe</w:t>
      </w:r>
      <w:r w:rsidR="006B41D5" w:rsidRPr="00772AC6">
        <w:rPr>
          <w:rFonts w:ascii="Book Antiqua" w:hAnsi="Book Antiqua" w:cstheme="majorHAnsi"/>
          <w:sz w:val="24"/>
          <w:szCs w:val="24"/>
        </w:rPr>
        <w:t>a</w:t>
      </w:r>
      <w:r w:rsidR="00300594" w:rsidRPr="00772AC6">
        <w:rPr>
          <w:rFonts w:ascii="Book Antiqua" w:hAnsi="Book Antiqua" w:cstheme="majorHAnsi"/>
          <w:sz w:val="24"/>
          <w:szCs w:val="24"/>
        </w:rPr>
        <w:t>rman’s</w:t>
      </w:r>
      <w:r w:rsidR="00920580" w:rsidRPr="00772AC6">
        <w:rPr>
          <w:rFonts w:ascii="Book Antiqua" w:hAnsi="Book Antiqua" w:cstheme="majorHAnsi"/>
          <w:sz w:val="24"/>
          <w:szCs w:val="24"/>
        </w:rPr>
        <w:t xml:space="preserve"> test.</w:t>
      </w:r>
      <w:r w:rsidR="00C85A53" w:rsidRPr="00772AC6">
        <w:rPr>
          <w:rFonts w:ascii="Book Antiqua" w:hAnsi="Book Antiqua" w:cstheme="majorHAnsi"/>
          <w:sz w:val="24"/>
          <w:szCs w:val="24"/>
        </w:rPr>
        <w:t xml:space="preserve"> </w:t>
      </w:r>
      <w:r w:rsidR="00C85A53" w:rsidRPr="00772AC6">
        <w:rPr>
          <w:rFonts w:ascii="Book Antiqua" w:hAnsi="Book Antiqua" w:cs="Arial"/>
          <w:sz w:val="24"/>
          <w:szCs w:val="24"/>
        </w:rPr>
        <w:t>Diagnostic accuracy was evaluated using the area under the receiver operating characteristic curve (AUC). Cut-off values were identified by the Youden index, and the nearest clinically applicable value to the cutoff was considered the optimal threshold for clinical convenience.</w:t>
      </w:r>
    </w:p>
    <w:p w:rsidR="00F02DBF" w:rsidRPr="00772AC6" w:rsidRDefault="00F02DBF" w:rsidP="005A4D61">
      <w:pPr>
        <w:pStyle w:val="15"/>
        <w:adjustRightInd w:val="0"/>
        <w:snapToGrid w:val="0"/>
        <w:rPr>
          <w:rFonts w:ascii="Book Antiqua" w:hAnsi="Book Antiqua" w:cstheme="majorHAnsi"/>
          <w:sz w:val="24"/>
          <w:szCs w:val="24"/>
        </w:rPr>
      </w:pPr>
    </w:p>
    <w:p w:rsidR="00665987" w:rsidRPr="00772AC6" w:rsidRDefault="001303A0" w:rsidP="005A4D61">
      <w:pPr>
        <w:pStyle w:val="15"/>
        <w:adjustRightInd w:val="0"/>
        <w:snapToGrid w:val="0"/>
        <w:rPr>
          <w:rFonts w:ascii="Book Antiqua" w:hAnsi="Book Antiqua"/>
          <w:sz w:val="24"/>
          <w:szCs w:val="24"/>
        </w:rPr>
      </w:pPr>
      <w:r w:rsidRPr="00772AC6">
        <w:rPr>
          <w:rFonts w:ascii="Book Antiqua" w:hAnsi="Book Antiqua" w:cstheme="majorHAnsi"/>
          <w:b/>
          <w:i/>
          <w:sz w:val="24"/>
          <w:szCs w:val="24"/>
        </w:rPr>
        <w:t>R</w:t>
      </w:r>
      <w:r w:rsidR="00F02DBF" w:rsidRPr="00772AC6">
        <w:rPr>
          <w:rFonts w:ascii="Book Antiqua" w:hAnsi="Book Antiqua" w:cstheme="majorHAnsi"/>
          <w:b/>
          <w:i/>
          <w:sz w:val="24"/>
          <w:szCs w:val="24"/>
        </w:rPr>
        <w:t>ESULTS</w:t>
      </w:r>
      <w:r w:rsidR="000C7EB8" w:rsidRPr="00772AC6">
        <w:rPr>
          <w:rFonts w:ascii="Book Antiqua" w:hAnsi="Book Antiqua"/>
          <w:sz w:val="24"/>
          <w:szCs w:val="24"/>
        </w:rPr>
        <w:t xml:space="preserve"> </w:t>
      </w:r>
    </w:p>
    <w:p w:rsidR="00665987" w:rsidRPr="00772AC6" w:rsidRDefault="00920580" w:rsidP="005A4D61">
      <w:pPr>
        <w:pStyle w:val="15"/>
        <w:adjustRightInd w:val="0"/>
        <w:snapToGrid w:val="0"/>
        <w:rPr>
          <w:rFonts w:ascii="Book Antiqua" w:hAnsi="Book Antiqua" w:cs="Arial"/>
          <w:sz w:val="24"/>
          <w:szCs w:val="24"/>
        </w:rPr>
      </w:pPr>
      <w:r w:rsidRPr="00772AC6">
        <w:rPr>
          <w:rFonts w:ascii="Book Antiqua" w:hAnsi="Book Antiqua" w:cstheme="majorHAnsi"/>
          <w:sz w:val="24"/>
          <w:szCs w:val="24"/>
        </w:rPr>
        <w:t xml:space="preserve">Serum </w:t>
      </w:r>
      <w:r w:rsidR="005D6F8C" w:rsidRPr="00772AC6">
        <w:rPr>
          <w:rFonts w:ascii="Book Antiqua" w:hAnsi="Book Antiqua" w:cstheme="majorHAnsi"/>
          <w:sz w:val="24"/>
          <w:szCs w:val="24"/>
        </w:rPr>
        <w:t xml:space="preserve">ATX levels were </w:t>
      </w:r>
      <w:r w:rsidR="00BE72B2" w:rsidRPr="00772AC6">
        <w:rPr>
          <w:rFonts w:ascii="Book Antiqua" w:hAnsi="Book Antiqua" w:cstheme="majorHAnsi"/>
          <w:sz w:val="24"/>
          <w:szCs w:val="24"/>
        </w:rPr>
        <w:t xml:space="preserve">significantly </w:t>
      </w:r>
      <w:r w:rsidR="005D6F8C" w:rsidRPr="00772AC6">
        <w:rPr>
          <w:rFonts w:ascii="Book Antiqua" w:hAnsi="Book Antiqua" w:cstheme="majorHAnsi"/>
          <w:sz w:val="24"/>
          <w:szCs w:val="24"/>
        </w:rPr>
        <w:t xml:space="preserve">higher in NAFLD patients </w:t>
      </w:r>
      <w:r w:rsidR="00265CCE" w:rsidRPr="00772AC6">
        <w:rPr>
          <w:rFonts w:ascii="Book Antiqua" w:hAnsi="Book Antiqua" w:cstheme="majorHAnsi"/>
          <w:sz w:val="24"/>
          <w:szCs w:val="24"/>
        </w:rPr>
        <w:t xml:space="preserve">than in </w:t>
      </w:r>
      <w:r w:rsidR="005D6F8C" w:rsidRPr="00772AC6">
        <w:rPr>
          <w:rFonts w:ascii="Book Antiqua" w:hAnsi="Book Antiqua" w:cstheme="majorHAnsi"/>
          <w:sz w:val="24"/>
          <w:szCs w:val="24"/>
        </w:rPr>
        <w:t xml:space="preserve">controls </w:t>
      </w:r>
      <w:r w:rsidR="00BD55BA" w:rsidRPr="00772AC6">
        <w:rPr>
          <w:rFonts w:ascii="Book Antiqua" w:hAnsi="Book Antiqua" w:cstheme="majorHAnsi"/>
          <w:sz w:val="24"/>
          <w:szCs w:val="24"/>
        </w:rPr>
        <w:t>(</w:t>
      </w:r>
      <w:r w:rsidRPr="00772AC6">
        <w:rPr>
          <w:rFonts w:ascii="Book Antiqua" w:hAnsi="Book Antiqua" w:cstheme="majorHAnsi"/>
          <w:sz w:val="24"/>
          <w:szCs w:val="24"/>
        </w:rPr>
        <w:t>0.86</w:t>
      </w:r>
      <w:r w:rsidR="00E20C21" w:rsidRPr="00772AC6">
        <w:rPr>
          <w:rFonts w:ascii="Book Antiqua" w:hAnsi="Book Antiqua" w:cstheme="majorHAnsi"/>
          <w:sz w:val="24"/>
          <w:szCs w:val="24"/>
        </w:rPr>
        <w:t xml:space="preserve"> mg/L</w:t>
      </w:r>
      <w:r w:rsidRPr="00772AC6">
        <w:rPr>
          <w:rFonts w:ascii="Book Antiqua" w:hAnsi="Book Antiqua" w:cstheme="majorHAnsi"/>
          <w:sz w:val="24"/>
          <w:szCs w:val="24"/>
        </w:rPr>
        <w:t xml:space="preserve"> </w:t>
      </w:r>
      <w:r w:rsidR="002422B3" w:rsidRPr="00772AC6">
        <w:rPr>
          <w:rFonts w:ascii="Book Antiqua" w:hAnsi="Book Antiqua" w:cstheme="majorHAnsi"/>
          <w:i/>
          <w:sz w:val="24"/>
          <w:szCs w:val="24"/>
        </w:rPr>
        <w:t>vs</w:t>
      </w:r>
      <w:r w:rsidR="00E20C21" w:rsidRPr="00772AC6">
        <w:rPr>
          <w:rFonts w:ascii="Book Antiqua" w:eastAsia="SimSun" w:hAnsi="Book Antiqua" w:cstheme="majorHAnsi"/>
          <w:i/>
          <w:sz w:val="24"/>
          <w:szCs w:val="24"/>
          <w:lang w:eastAsia="zh-CN"/>
        </w:rPr>
        <w:t xml:space="preserve"> </w:t>
      </w:r>
      <w:r w:rsidR="00BD55BA" w:rsidRPr="00772AC6">
        <w:rPr>
          <w:rFonts w:ascii="Book Antiqua" w:hAnsi="Book Antiqua" w:cstheme="majorHAnsi"/>
          <w:sz w:val="24"/>
          <w:szCs w:val="24"/>
        </w:rPr>
        <w:t xml:space="preserve">0.76 </w:t>
      </w:r>
      <w:r w:rsidR="00F0596A" w:rsidRPr="00772AC6">
        <w:rPr>
          <w:rFonts w:ascii="Book Antiqua" w:hAnsi="Book Antiqua" w:cstheme="majorHAnsi"/>
          <w:sz w:val="24"/>
          <w:szCs w:val="24"/>
        </w:rPr>
        <w:t>mg/L</w:t>
      </w:r>
      <w:r w:rsidR="00BD55BA" w:rsidRPr="00772AC6">
        <w:rPr>
          <w:rFonts w:ascii="Book Antiqua" w:hAnsi="Book Antiqua" w:cstheme="majorHAnsi"/>
          <w:sz w:val="24"/>
          <w:szCs w:val="24"/>
        </w:rPr>
        <w:t xml:space="preserve">, </w:t>
      </w:r>
      <w:r w:rsidR="00E20C21" w:rsidRPr="00772AC6">
        <w:rPr>
          <w:rFonts w:ascii="Book Antiqua" w:hAnsi="Book Antiqua" w:cstheme="majorHAnsi"/>
          <w:i/>
          <w:sz w:val="24"/>
          <w:szCs w:val="24"/>
        </w:rPr>
        <w:t xml:space="preserve">P &lt; </w:t>
      </w:r>
      <w:r w:rsidR="00BD55BA" w:rsidRPr="00772AC6">
        <w:rPr>
          <w:rFonts w:ascii="Book Antiqua" w:hAnsi="Book Antiqua" w:cstheme="majorHAnsi"/>
          <w:sz w:val="24"/>
          <w:szCs w:val="24"/>
        </w:rPr>
        <w:t>0.001)</w:t>
      </w:r>
      <w:r w:rsidRPr="00772AC6">
        <w:rPr>
          <w:rFonts w:ascii="Book Antiqua" w:hAnsi="Book Antiqua" w:cstheme="majorHAnsi"/>
          <w:sz w:val="24"/>
          <w:szCs w:val="24"/>
        </w:rPr>
        <w:t xml:space="preserve"> </w:t>
      </w:r>
      <w:r w:rsidR="00AE34CE" w:rsidRPr="00772AC6">
        <w:rPr>
          <w:rFonts w:ascii="Book Antiqua" w:hAnsi="Book Antiqua" w:cstheme="majorHAnsi"/>
          <w:sz w:val="24"/>
          <w:szCs w:val="24"/>
        </w:rPr>
        <w:t xml:space="preserve">and </w:t>
      </w:r>
      <w:r w:rsidRPr="00772AC6">
        <w:rPr>
          <w:rFonts w:ascii="Book Antiqua" w:hAnsi="Book Antiqua" w:cstheme="majorHAnsi"/>
          <w:sz w:val="24"/>
          <w:szCs w:val="24"/>
        </w:rPr>
        <w:t xml:space="preserve">correlated </w:t>
      </w:r>
      <w:r w:rsidR="00265CCE" w:rsidRPr="00772AC6">
        <w:rPr>
          <w:rFonts w:ascii="Book Antiqua" w:hAnsi="Book Antiqua" w:cstheme="majorHAnsi"/>
          <w:sz w:val="24"/>
          <w:szCs w:val="24"/>
        </w:rPr>
        <w:t xml:space="preserve">significantly </w:t>
      </w:r>
      <w:r w:rsidRPr="00772AC6">
        <w:rPr>
          <w:rFonts w:ascii="Book Antiqua" w:hAnsi="Book Antiqua" w:cstheme="majorHAnsi"/>
          <w:sz w:val="24"/>
          <w:szCs w:val="24"/>
        </w:rPr>
        <w:t xml:space="preserve">with </w:t>
      </w:r>
      <w:r w:rsidR="00AE34CE" w:rsidRPr="00772AC6">
        <w:rPr>
          <w:rFonts w:ascii="Book Antiqua" w:hAnsi="Book Antiqua" w:cstheme="majorHAnsi"/>
          <w:sz w:val="24"/>
          <w:szCs w:val="24"/>
        </w:rPr>
        <w:t>b</w:t>
      </w:r>
      <w:r w:rsidR="00040243" w:rsidRPr="00772AC6">
        <w:rPr>
          <w:rFonts w:ascii="Book Antiqua" w:hAnsi="Book Antiqua" w:cstheme="majorHAnsi"/>
          <w:sz w:val="24"/>
          <w:szCs w:val="24"/>
        </w:rPr>
        <w:t xml:space="preserve">allooning </w:t>
      </w:r>
      <w:r w:rsidRPr="00772AC6">
        <w:rPr>
          <w:rFonts w:ascii="Book Antiqua" w:hAnsi="Book Antiqua" w:cstheme="majorHAnsi"/>
          <w:sz w:val="24"/>
          <w:szCs w:val="24"/>
        </w:rPr>
        <w:t xml:space="preserve">score </w:t>
      </w:r>
      <w:r w:rsidR="00040243" w:rsidRPr="00772AC6">
        <w:rPr>
          <w:rFonts w:ascii="Book Antiqua" w:hAnsi="Book Antiqua" w:cstheme="majorHAnsi"/>
          <w:sz w:val="24"/>
          <w:szCs w:val="24"/>
        </w:rPr>
        <w:t xml:space="preserve">and fibrosis </w:t>
      </w:r>
      <w:r w:rsidRPr="00772AC6">
        <w:rPr>
          <w:rFonts w:ascii="Book Antiqua" w:hAnsi="Book Antiqua" w:cstheme="majorHAnsi"/>
          <w:sz w:val="24"/>
          <w:szCs w:val="24"/>
        </w:rPr>
        <w:t>stage</w:t>
      </w:r>
      <w:r w:rsidR="00E77CE8" w:rsidRPr="00772AC6">
        <w:rPr>
          <w:rFonts w:ascii="Book Antiqua" w:hAnsi="Book Antiqua" w:cstheme="majorHAnsi"/>
          <w:sz w:val="24"/>
          <w:szCs w:val="24"/>
        </w:rPr>
        <w:t xml:space="preserve"> (</w:t>
      </w:r>
      <w:r w:rsidR="00E20C21" w:rsidRPr="00772AC6">
        <w:rPr>
          <w:rFonts w:ascii="Book Antiqua" w:hAnsi="Book Antiqua" w:cstheme="majorHAnsi"/>
          <w:i/>
          <w:sz w:val="24"/>
          <w:szCs w:val="24"/>
        </w:rPr>
        <w:t xml:space="preserve">r = </w:t>
      </w:r>
      <w:r w:rsidR="00E77CE8" w:rsidRPr="00772AC6">
        <w:rPr>
          <w:rFonts w:ascii="Book Antiqua" w:hAnsi="Book Antiqua" w:cstheme="majorHAnsi"/>
          <w:sz w:val="24"/>
          <w:szCs w:val="24"/>
        </w:rPr>
        <w:t xml:space="preserve">0.36, </w:t>
      </w:r>
      <w:r w:rsidR="00E20C21" w:rsidRPr="00772AC6">
        <w:rPr>
          <w:rFonts w:ascii="Book Antiqua" w:hAnsi="Book Antiqua" w:cstheme="majorHAnsi"/>
          <w:i/>
          <w:sz w:val="24"/>
          <w:szCs w:val="24"/>
        </w:rPr>
        <w:t xml:space="preserve">P &lt; </w:t>
      </w:r>
      <w:r w:rsidR="00E77CE8" w:rsidRPr="00772AC6">
        <w:rPr>
          <w:rFonts w:ascii="Book Antiqua" w:hAnsi="Book Antiqua" w:cstheme="majorHAnsi"/>
          <w:sz w:val="24"/>
          <w:szCs w:val="24"/>
        </w:rPr>
        <w:t xml:space="preserve">0.001 and </w:t>
      </w:r>
      <w:r w:rsidR="00E20C21" w:rsidRPr="00772AC6">
        <w:rPr>
          <w:rFonts w:ascii="Book Antiqua" w:hAnsi="Book Antiqua" w:cstheme="majorHAnsi"/>
          <w:i/>
          <w:sz w:val="24"/>
          <w:szCs w:val="24"/>
        </w:rPr>
        <w:t xml:space="preserve">r = </w:t>
      </w:r>
      <w:r w:rsidR="00E77CE8" w:rsidRPr="00772AC6">
        <w:rPr>
          <w:rFonts w:ascii="Book Antiqua" w:hAnsi="Book Antiqua" w:cstheme="majorHAnsi"/>
          <w:sz w:val="24"/>
          <w:szCs w:val="24"/>
        </w:rPr>
        <w:t xml:space="preserve">0.45, </w:t>
      </w:r>
      <w:r w:rsidR="00E20C21" w:rsidRPr="00772AC6">
        <w:rPr>
          <w:rFonts w:ascii="Book Antiqua" w:hAnsi="Book Antiqua" w:cstheme="majorHAnsi"/>
          <w:i/>
          <w:sz w:val="24"/>
          <w:szCs w:val="24"/>
        </w:rPr>
        <w:t xml:space="preserve">P &lt; </w:t>
      </w:r>
      <w:r w:rsidR="00E77CE8" w:rsidRPr="00772AC6">
        <w:rPr>
          <w:rFonts w:ascii="Book Antiqua" w:hAnsi="Book Antiqua" w:cstheme="majorHAnsi"/>
          <w:sz w:val="24"/>
          <w:szCs w:val="24"/>
        </w:rPr>
        <w:t>0.001, respectively)</w:t>
      </w:r>
      <w:r w:rsidR="001B00B3" w:rsidRPr="00772AC6">
        <w:rPr>
          <w:rFonts w:ascii="Book Antiqua" w:hAnsi="Book Antiqua" w:cstheme="majorHAnsi"/>
          <w:sz w:val="24"/>
          <w:szCs w:val="24"/>
        </w:rPr>
        <w:t xml:space="preserve">. </w:t>
      </w:r>
      <w:r w:rsidR="00ED150B" w:rsidRPr="00772AC6">
        <w:rPr>
          <w:rFonts w:ascii="Book Antiqua" w:hAnsi="Book Antiqua" w:cstheme="majorHAnsi"/>
          <w:sz w:val="24"/>
          <w:szCs w:val="24"/>
        </w:rPr>
        <w:t xml:space="preserve">Such tendencies were </w:t>
      </w:r>
      <w:r w:rsidR="00265CCE" w:rsidRPr="00772AC6">
        <w:rPr>
          <w:rFonts w:ascii="Book Antiqua" w:hAnsi="Book Antiqua" w:cstheme="majorHAnsi"/>
          <w:sz w:val="24"/>
          <w:szCs w:val="24"/>
        </w:rPr>
        <w:t xml:space="preserve">stronger </w:t>
      </w:r>
      <w:r w:rsidR="001B00B3" w:rsidRPr="00772AC6">
        <w:rPr>
          <w:rFonts w:ascii="Book Antiqua" w:hAnsi="Book Antiqua" w:cstheme="majorHAnsi"/>
          <w:sz w:val="24"/>
          <w:szCs w:val="24"/>
        </w:rPr>
        <w:t xml:space="preserve">in female patients. There were no </w:t>
      </w:r>
      <w:r w:rsidR="00265CCE" w:rsidRPr="00772AC6">
        <w:rPr>
          <w:rFonts w:ascii="Book Antiqua" w:hAnsi="Book Antiqua" w:cstheme="majorHAnsi"/>
          <w:sz w:val="24"/>
          <w:szCs w:val="24"/>
        </w:rPr>
        <w:t xml:space="preserve">remarkable </w:t>
      </w:r>
      <w:r w:rsidR="001B00B3" w:rsidRPr="00772AC6">
        <w:rPr>
          <w:rFonts w:ascii="Book Antiqua" w:hAnsi="Book Antiqua" w:cstheme="majorHAnsi"/>
          <w:sz w:val="24"/>
          <w:szCs w:val="24"/>
        </w:rPr>
        <w:t xml:space="preserve">relationships </w:t>
      </w:r>
      <w:r w:rsidR="00101E3A" w:rsidRPr="00772AC6">
        <w:rPr>
          <w:rFonts w:ascii="Book Antiqua" w:hAnsi="Book Antiqua" w:cstheme="majorHAnsi"/>
          <w:sz w:val="24"/>
          <w:szCs w:val="24"/>
        </w:rPr>
        <w:t xml:space="preserve">between ATX and </w:t>
      </w:r>
      <w:r w:rsidR="00534089" w:rsidRPr="00772AC6">
        <w:rPr>
          <w:rFonts w:ascii="Book Antiqua" w:hAnsi="Book Antiqua" w:cstheme="majorHAnsi"/>
          <w:sz w:val="24"/>
          <w:szCs w:val="24"/>
        </w:rPr>
        <w:t>serum alanine aminotransferase</w:t>
      </w:r>
      <w:r w:rsidR="00D15790" w:rsidRPr="00772AC6">
        <w:rPr>
          <w:rFonts w:ascii="Book Antiqua" w:hAnsi="Book Antiqua" w:cstheme="majorHAnsi"/>
          <w:sz w:val="24"/>
          <w:szCs w:val="24"/>
        </w:rPr>
        <w:t>,</w:t>
      </w:r>
      <w:r w:rsidR="00534089" w:rsidRPr="00772AC6">
        <w:rPr>
          <w:rFonts w:ascii="Book Antiqua" w:hAnsi="Book Antiqua" w:cstheme="majorHAnsi"/>
          <w:sz w:val="24"/>
          <w:szCs w:val="24"/>
        </w:rPr>
        <w:t xml:space="preserve"> </w:t>
      </w:r>
      <w:r w:rsidR="008D163C" w:rsidRPr="00772AC6">
        <w:rPr>
          <w:rFonts w:ascii="Book Antiqua" w:hAnsi="Book Antiqua" w:cstheme="majorHAnsi"/>
          <w:sz w:val="24"/>
          <w:szCs w:val="24"/>
        </w:rPr>
        <w:t>lipid profiles</w:t>
      </w:r>
      <w:r w:rsidR="00D15790" w:rsidRPr="00772AC6">
        <w:rPr>
          <w:rFonts w:ascii="Book Antiqua" w:hAnsi="Book Antiqua" w:cstheme="majorHAnsi"/>
          <w:sz w:val="24"/>
          <w:szCs w:val="24"/>
        </w:rPr>
        <w:t xml:space="preserve">, </w:t>
      </w:r>
      <w:r w:rsidR="009A4013" w:rsidRPr="00772AC6">
        <w:rPr>
          <w:rFonts w:ascii="Book Antiqua" w:hAnsi="Book Antiqua" w:cstheme="majorHAnsi"/>
          <w:sz w:val="24"/>
          <w:szCs w:val="24"/>
        </w:rPr>
        <w:t xml:space="preserve">or </w:t>
      </w:r>
      <w:r w:rsidR="008D163C" w:rsidRPr="00772AC6">
        <w:rPr>
          <w:rFonts w:ascii="Book Antiqua" w:hAnsi="Book Antiqua" w:cstheme="majorHAnsi"/>
          <w:sz w:val="24"/>
          <w:szCs w:val="24"/>
        </w:rPr>
        <w:t>steatosis</w:t>
      </w:r>
      <w:r w:rsidR="009A4013" w:rsidRPr="00772AC6">
        <w:rPr>
          <w:rFonts w:ascii="Book Antiqua" w:hAnsi="Book Antiqua" w:cstheme="majorHAnsi"/>
          <w:sz w:val="24"/>
          <w:szCs w:val="24"/>
        </w:rPr>
        <w:t xml:space="preserve"> scores</w:t>
      </w:r>
      <w:r w:rsidR="008D163C" w:rsidRPr="00772AC6">
        <w:rPr>
          <w:rFonts w:ascii="Book Antiqua" w:hAnsi="Book Antiqua" w:cstheme="majorHAnsi"/>
          <w:sz w:val="24"/>
          <w:szCs w:val="24"/>
        </w:rPr>
        <w:t xml:space="preserve">. </w:t>
      </w:r>
      <w:bookmarkStart w:id="33" w:name="_Hlk505720951"/>
      <w:r w:rsidR="009A4013" w:rsidRPr="00772AC6">
        <w:rPr>
          <w:rFonts w:ascii="Book Antiqua" w:hAnsi="Book Antiqua" w:cstheme="majorHAnsi"/>
          <w:sz w:val="24"/>
          <w:szCs w:val="24"/>
        </w:rPr>
        <w:t xml:space="preserve">The </w:t>
      </w:r>
      <w:r w:rsidR="00733CAF" w:rsidRPr="00772AC6">
        <w:rPr>
          <w:rFonts w:ascii="Book Antiqua" w:hAnsi="Book Antiqua" w:cstheme="majorHAnsi"/>
          <w:sz w:val="24"/>
          <w:szCs w:val="24"/>
        </w:rPr>
        <w:t>AU</w:t>
      </w:r>
      <w:r w:rsidR="009911A4" w:rsidRPr="00772AC6">
        <w:rPr>
          <w:rFonts w:ascii="Book Antiqua" w:hAnsi="Book Antiqua" w:cs="Arial"/>
          <w:sz w:val="24"/>
          <w:szCs w:val="24"/>
        </w:rPr>
        <w:t xml:space="preserve">C values of ATX for predicting </w:t>
      </w:r>
      <w:r w:rsidR="009A4013" w:rsidRPr="00772AC6">
        <w:rPr>
          <w:rFonts w:ascii="Book Antiqua" w:hAnsi="Book Antiqua" w:cs="Arial"/>
          <w:sz w:val="24"/>
          <w:szCs w:val="24"/>
        </w:rPr>
        <w:t xml:space="preserve">the </w:t>
      </w:r>
      <w:r w:rsidR="00265CCE" w:rsidRPr="00772AC6">
        <w:rPr>
          <w:rFonts w:ascii="Book Antiqua" w:hAnsi="Book Antiqua" w:cs="Arial"/>
          <w:sz w:val="24"/>
          <w:szCs w:val="24"/>
        </w:rPr>
        <w:t xml:space="preserve">presence </w:t>
      </w:r>
      <w:r w:rsidR="009911A4" w:rsidRPr="00772AC6">
        <w:rPr>
          <w:rFonts w:ascii="Book Antiqua" w:hAnsi="Book Antiqua" w:cs="Arial"/>
          <w:sz w:val="24"/>
          <w:szCs w:val="24"/>
        </w:rPr>
        <w:t>of fibrosis (</w:t>
      </w:r>
      <w:r w:rsidR="00E20C21" w:rsidRPr="00772AC6">
        <w:rPr>
          <w:rFonts w:ascii="Book Antiqua" w:eastAsia="SimSun" w:hAnsi="Book Antiqua" w:cs="SimSun"/>
          <w:sz w:val="24"/>
          <w:szCs w:val="24"/>
        </w:rPr>
        <w:t>≥</w:t>
      </w:r>
      <w:r w:rsidR="00E20C21" w:rsidRPr="00772AC6">
        <w:rPr>
          <w:rFonts w:ascii="Book Antiqua" w:eastAsia="SimSun" w:hAnsi="Book Antiqua" w:cs="SimSun"/>
          <w:sz w:val="24"/>
          <w:szCs w:val="24"/>
          <w:lang w:eastAsia="zh-CN"/>
        </w:rPr>
        <w:t xml:space="preserve"> </w:t>
      </w:r>
      <w:r w:rsidR="009911A4" w:rsidRPr="00772AC6">
        <w:rPr>
          <w:rFonts w:ascii="Book Antiqua" w:hAnsi="Book Antiqua" w:cs="Arial"/>
          <w:sz w:val="24"/>
          <w:szCs w:val="24"/>
        </w:rPr>
        <w:t>F1), significant fibrosis (</w:t>
      </w:r>
      <w:r w:rsidR="00E20C21" w:rsidRPr="00772AC6">
        <w:rPr>
          <w:rFonts w:ascii="Book Antiqua" w:eastAsia="SimSun" w:hAnsi="Book Antiqua" w:cs="SimSun"/>
          <w:sz w:val="24"/>
          <w:szCs w:val="24"/>
        </w:rPr>
        <w:t xml:space="preserve">≥ </w:t>
      </w:r>
      <w:r w:rsidR="009911A4" w:rsidRPr="00772AC6">
        <w:rPr>
          <w:rFonts w:ascii="Book Antiqua" w:hAnsi="Book Antiqua" w:cs="Arial"/>
          <w:sz w:val="24"/>
          <w:szCs w:val="24"/>
        </w:rPr>
        <w:t>F2), severe fibrosis (</w:t>
      </w:r>
      <w:r w:rsidR="00E20C21" w:rsidRPr="00772AC6">
        <w:rPr>
          <w:rFonts w:ascii="Book Antiqua" w:eastAsia="SimSun" w:hAnsi="Book Antiqua" w:cs="SimSun"/>
          <w:sz w:val="24"/>
          <w:szCs w:val="24"/>
        </w:rPr>
        <w:t xml:space="preserve">≥ </w:t>
      </w:r>
      <w:r w:rsidR="009911A4" w:rsidRPr="00772AC6">
        <w:rPr>
          <w:rFonts w:ascii="Book Antiqua" w:hAnsi="Book Antiqua" w:cs="Arial"/>
          <w:sz w:val="24"/>
          <w:szCs w:val="24"/>
        </w:rPr>
        <w:t xml:space="preserve">F3), and cirrhosis (F4), were </w:t>
      </w:r>
      <w:r w:rsidR="009A4013" w:rsidRPr="00772AC6">
        <w:rPr>
          <w:rFonts w:ascii="Book Antiqua" w:hAnsi="Book Antiqua" w:cs="Arial"/>
          <w:sz w:val="24"/>
          <w:szCs w:val="24"/>
        </w:rPr>
        <w:t xml:space="preserve">all </w:t>
      </w:r>
      <w:r w:rsidR="009911A4" w:rsidRPr="00772AC6">
        <w:rPr>
          <w:rFonts w:ascii="Book Antiqua" w:hAnsi="Book Antiqua" w:cs="Arial"/>
          <w:sz w:val="24"/>
          <w:szCs w:val="24"/>
        </w:rPr>
        <w:t>more than 0.70 in respective analyses</w:t>
      </w:r>
      <w:r w:rsidR="009D5F73" w:rsidRPr="00772AC6">
        <w:rPr>
          <w:rFonts w:ascii="Book Antiqua" w:hAnsi="Book Antiqua" w:cs="Arial"/>
          <w:sz w:val="24"/>
          <w:szCs w:val="24"/>
        </w:rPr>
        <w:t>.</w:t>
      </w:r>
      <w:r w:rsidR="009911A4" w:rsidRPr="00772AC6">
        <w:rPr>
          <w:rFonts w:ascii="Book Antiqua" w:hAnsi="Book Antiqua" w:cs="Arial"/>
          <w:sz w:val="24"/>
          <w:szCs w:val="24"/>
        </w:rPr>
        <w:t xml:space="preserve"> </w:t>
      </w:r>
    </w:p>
    <w:bookmarkEnd w:id="33"/>
    <w:p w:rsidR="00F02DBF" w:rsidRPr="00772AC6" w:rsidRDefault="00F02DBF" w:rsidP="005A4D61">
      <w:pPr>
        <w:pStyle w:val="15"/>
        <w:adjustRightInd w:val="0"/>
        <w:snapToGrid w:val="0"/>
        <w:rPr>
          <w:rFonts w:ascii="Book Antiqua" w:hAnsi="Book Antiqua" w:cstheme="majorHAnsi"/>
          <w:sz w:val="24"/>
          <w:szCs w:val="24"/>
        </w:rPr>
      </w:pPr>
    </w:p>
    <w:p w:rsidR="00B04E6D" w:rsidRPr="00772AC6" w:rsidRDefault="001303A0" w:rsidP="005A4D61">
      <w:pPr>
        <w:pStyle w:val="15"/>
        <w:adjustRightInd w:val="0"/>
        <w:snapToGrid w:val="0"/>
        <w:rPr>
          <w:rFonts w:ascii="Book Antiqua" w:hAnsi="Book Antiqua" w:cstheme="majorHAnsi"/>
          <w:i/>
          <w:sz w:val="24"/>
          <w:szCs w:val="24"/>
        </w:rPr>
      </w:pPr>
      <w:r w:rsidRPr="00772AC6">
        <w:rPr>
          <w:rFonts w:ascii="Book Antiqua" w:hAnsi="Book Antiqua" w:cstheme="majorHAnsi"/>
          <w:b/>
          <w:i/>
          <w:sz w:val="24"/>
          <w:szCs w:val="24"/>
        </w:rPr>
        <w:t>C</w:t>
      </w:r>
      <w:r w:rsidR="00F02DBF" w:rsidRPr="00772AC6">
        <w:rPr>
          <w:rFonts w:ascii="Book Antiqua" w:hAnsi="Book Antiqua" w:cstheme="majorHAnsi"/>
          <w:b/>
          <w:i/>
          <w:sz w:val="24"/>
          <w:szCs w:val="24"/>
        </w:rPr>
        <w:t>ONCLUSION</w:t>
      </w:r>
    </w:p>
    <w:p w:rsidR="00680F85" w:rsidRPr="00772AC6" w:rsidRDefault="00043DE0" w:rsidP="005A4D61">
      <w:pPr>
        <w:pStyle w:val="15"/>
        <w:adjustRightInd w:val="0"/>
        <w:snapToGrid w:val="0"/>
        <w:rPr>
          <w:rFonts w:ascii="Book Antiqua" w:hAnsi="Book Antiqua" w:cstheme="majorHAnsi"/>
          <w:sz w:val="24"/>
          <w:szCs w:val="24"/>
        </w:rPr>
      </w:pPr>
      <w:r w:rsidRPr="00772AC6">
        <w:rPr>
          <w:rFonts w:ascii="Book Antiqua" w:hAnsi="Book Antiqua" w:cstheme="majorHAnsi"/>
          <w:sz w:val="24"/>
          <w:szCs w:val="24"/>
        </w:rPr>
        <w:lastRenderedPageBreak/>
        <w:t>S</w:t>
      </w:r>
      <w:r w:rsidR="00244A12" w:rsidRPr="00772AC6">
        <w:rPr>
          <w:rFonts w:ascii="Book Antiqua" w:hAnsi="Book Antiqua" w:cstheme="majorHAnsi"/>
          <w:sz w:val="24"/>
          <w:szCs w:val="24"/>
        </w:rPr>
        <w:t xml:space="preserve">erum ATX </w:t>
      </w:r>
      <w:r w:rsidR="00101E3A" w:rsidRPr="00772AC6">
        <w:rPr>
          <w:rFonts w:ascii="Book Antiqua" w:hAnsi="Book Antiqua" w:cstheme="majorHAnsi"/>
          <w:sz w:val="24"/>
          <w:szCs w:val="24"/>
        </w:rPr>
        <w:t xml:space="preserve">levels </w:t>
      </w:r>
      <w:r w:rsidRPr="00772AC6">
        <w:rPr>
          <w:rFonts w:ascii="Book Antiqua" w:hAnsi="Book Antiqua" w:cstheme="majorHAnsi"/>
          <w:sz w:val="24"/>
          <w:szCs w:val="24"/>
        </w:rPr>
        <w:t xml:space="preserve">may at least </w:t>
      </w:r>
      <w:r w:rsidR="009D5F73" w:rsidRPr="00772AC6">
        <w:rPr>
          <w:rFonts w:ascii="Book Antiqua" w:hAnsi="Book Antiqua" w:cstheme="majorHAnsi"/>
          <w:sz w:val="24"/>
          <w:szCs w:val="24"/>
        </w:rPr>
        <w:t xml:space="preserve">partially </w:t>
      </w:r>
      <w:r w:rsidR="003430A0" w:rsidRPr="00772AC6">
        <w:rPr>
          <w:rFonts w:ascii="Book Antiqua" w:hAnsi="Book Antiqua" w:cstheme="majorHAnsi"/>
          <w:sz w:val="24"/>
          <w:szCs w:val="24"/>
        </w:rPr>
        <w:t xml:space="preserve">reflect </w:t>
      </w:r>
      <w:r w:rsidR="00DF769C" w:rsidRPr="00772AC6">
        <w:rPr>
          <w:rFonts w:ascii="Book Antiqua" w:hAnsi="Book Antiqua" w:cstheme="majorHAnsi"/>
          <w:sz w:val="24"/>
          <w:szCs w:val="24"/>
        </w:rPr>
        <w:t xml:space="preserve">histological severity </w:t>
      </w:r>
      <w:r w:rsidRPr="00772AC6">
        <w:rPr>
          <w:rFonts w:ascii="Book Antiqua" w:hAnsi="Book Antiqua" w:cstheme="majorHAnsi"/>
          <w:sz w:val="24"/>
          <w:szCs w:val="24"/>
        </w:rPr>
        <w:t xml:space="preserve">in </w:t>
      </w:r>
      <w:r w:rsidR="00244A12" w:rsidRPr="00772AC6">
        <w:rPr>
          <w:rFonts w:ascii="Book Antiqua" w:hAnsi="Book Antiqua" w:cstheme="majorHAnsi"/>
          <w:sz w:val="24"/>
          <w:szCs w:val="24"/>
        </w:rPr>
        <w:t>NAFLD</w:t>
      </w:r>
      <w:r w:rsidR="00101E3A" w:rsidRPr="00772AC6">
        <w:rPr>
          <w:rFonts w:ascii="Book Antiqua" w:hAnsi="Book Antiqua" w:cstheme="majorHAnsi"/>
          <w:sz w:val="24"/>
          <w:szCs w:val="24"/>
        </w:rPr>
        <w:t xml:space="preserve">. </w:t>
      </w:r>
    </w:p>
    <w:p w:rsidR="00F02DBF" w:rsidRPr="00772AC6" w:rsidRDefault="00F02DBF" w:rsidP="005A4D61">
      <w:pPr>
        <w:pStyle w:val="15"/>
        <w:adjustRightInd w:val="0"/>
        <w:snapToGrid w:val="0"/>
        <w:rPr>
          <w:rFonts w:ascii="Book Antiqua" w:hAnsi="Book Antiqua" w:cstheme="majorHAnsi"/>
          <w:sz w:val="24"/>
          <w:szCs w:val="24"/>
        </w:rPr>
      </w:pPr>
    </w:p>
    <w:p w:rsidR="00F02DBF" w:rsidRPr="00772AC6" w:rsidRDefault="00F02DBF"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b/>
          <w:sz w:val="24"/>
          <w:szCs w:val="24"/>
        </w:rPr>
        <w:t>Key words:</w:t>
      </w:r>
      <w:r w:rsidRPr="00772AC6">
        <w:rPr>
          <w:rFonts w:ascii="Book Antiqua" w:hAnsi="Book Antiqua" w:cstheme="majorHAnsi"/>
          <w:sz w:val="24"/>
          <w:szCs w:val="24"/>
        </w:rPr>
        <w:t xml:space="preserve"> </w:t>
      </w:r>
      <w:r w:rsidR="00E20C21" w:rsidRPr="00772AC6">
        <w:rPr>
          <w:rFonts w:ascii="Book Antiqua" w:hAnsi="Book Antiqua" w:cstheme="majorHAnsi"/>
          <w:sz w:val="24"/>
          <w:szCs w:val="24"/>
        </w:rPr>
        <w:t>A</w:t>
      </w:r>
      <w:r w:rsidRPr="00772AC6">
        <w:rPr>
          <w:rFonts w:ascii="Book Antiqua" w:hAnsi="Book Antiqua" w:cstheme="majorHAnsi"/>
          <w:sz w:val="24"/>
          <w:szCs w:val="24"/>
        </w:rPr>
        <w:t xml:space="preserve">utotaxin; </w:t>
      </w:r>
      <w:r w:rsidR="00E20C21" w:rsidRPr="00772AC6">
        <w:rPr>
          <w:rFonts w:ascii="Book Antiqua" w:hAnsi="Book Antiqua" w:cstheme="majorHAnsi"/>
          <w:sz w:val="24"/>
          <w:szCs w:val="24"/>
        </w:rPr>
        <w:t>N</w:t>
      </w:r>
      <w:r w:rsidRPr="00772AC6">
        <w:rPr>
          <w:rFonts w:ascii="Book Antiqua" w:hAnsi="Book Antiqua" w:cstheme="majorHAnsi"/>
          <w:sz w:val="24"/>
          <w:szCs w:val="24"/>
        </w:rPr>
        <w:t xml:space="preserve">on-alcoholic fatty liver disease; </w:t>
      </w:r>
      <w:r w:rsidR="00E20C21" w:rsidRPr="00772AC6">
        <w:rPr>
          <w:rFonts w:ascii="Book Antiqua" w:hAnsi="Book Antiqua" w:cstheme="majorHAnsi"/>
          <w:sz w:val="24"/>
          <w:szCs w:val="24"/>
        </w:rPr>
        <w:t>F</w:t>
      </w:r>
      <w:r w:rsidRPr="00772AC6">
        <w:rPr>
          <w:rFonts w:ascii="Book Antiqua" w:hAnsi="Book Antiqua" w:cstheme="majorHAnsi"/>
          <w:sz w:val="24"/>
          <w:szCs w:val="24"/>
        </w:rPr>
        <w:t xml:space="preserve">ibrosis; </w:t>
      </w:r>
      <w:r w:rsidR="00E20C21" w:rsidRPr="00772AC6">
        <w:rPr>
          <w:rFonts w:ascii="Book Antiqua" w:hAnsi="Book Antiqua" w:cstheme="majorHAnsi"/>
          <w:sz w:val="24"/>
          <w:szCs w:val="24"/>
        </w:rPr>
        <w:t>B</w:t>
      </w:r>
      <w:r w:rsidRPr="00772AC6">
        <w:rPr>
          <w:rFonts w:ascii="Book Antiqua" w:hAnsi="Book Antiqua" w:cstheme="majorHAnsi"/>
          <w:sz w:val="24"/>
          <w:szCs w:val="24"/>
        </w:rPr>
        <w:t>allooning</w:t>
      </w:r>
    </w:p>
    <w:p w:rsidR="00F02DBF" w:rsidRPr="00772AC6" w:rsidRDefault="00F02DBF" w:rsidP="005A4D61">
      <w:pPr>
        <w:pStyle w:val="15"/>
        <w:adjustRightInd w:val="0"/>
        <w:snapToGrid w:val="0"/>
        <w:rPr>
          <w:rFonts w:ascii="Book Antiqua" w:eastAsia="SimSun" w:hAnsi="Book Antiqua" w:cstheme="majorHAnsi"/>
          <w:b/>
          <w:sz w:val="24"/>
          <w:szCs w:val="24"/>
          <w:lang w:eastAsia="zh-CN"/>
        </w:rPr>
      </w:pPr>
    </w:p>
    <w:p w:rsidR="00E20C21" w:rsidRPr="00772AC6" w:rsidRDefault="00E20C21" w:rsidP="00E20C21">
      <w:pPr>
        <w:adjustRightInd w:val="0"/>
        <w:snapToGrid w:val="0"/>
        <w:spacing w:line="360" w:lineRule="auto"/>
        <w:rPr>
          <w:rFonts w:ascii="Book Antiqua" w:hAnsi="Book Antiqua"/>
          <w:sz w:val="24"/>
          <w:szCs w:val="24"/>
        </w:rPr>
      </w:pPr>
      <w:r w:rsidRPr="00772AC6">
        <w:rPr>
          <w:rFonts w:ascii="Book Antiqua" w:hAnsi="Book Antiqua"/>
          <w:b/>
          <w:sz w:val="24"/>
          <w:szCs w:val="24"/>
        </w:rPr>
        <w:t>© The Author(s) 201</w:t>
      </w:r>
      <w:r w:rsidRPr="00772AC6">
        <w:rPr>
          <w:rFonts w:ascii="Book Antiqua" w:eastAsia="SimSun" w:hAnsi="Book Antiqua"/>
          <w:b/>
          <w:sz w:val="24"/>
          <w:szCs w:val="24"/>
          <w:lang w:eastAsia="zh-CN"/>
        </w:rPr>
        <w:t>8</w:t>
      </w:r>
      <w:r w:rsidRPr="00772AC6">
        <w:rPr>
          <w:rFonts w:ascii="Book Antiqua" w:hAnsi="Book Antiqua"/>
          <w:b/>
          <w:sz w:val="24"/>
          <w:szCs w:val="24"/>
        </w:rPr>
        <w:t xml:space="preserve">. </w:t>
      </w:r>
      <w:r w:rsidRPr="00772AC6">
        <w:rPr>
          <w:rFonts w:ascii="Book Antiqua" w:hAnsi="Book Antiqua"/>
          <w:sz w:val="24"/>
          <w:szCs w:val="24"/>
        </w:rPr>
        <w:t>Published by Baishideng Publishing Group Inc. All rights reserved.</w:t>
      </w:r>
    </w:p>
    <w:p w:rsidR="00E20C21" w:rsidRPr="00772AC6" w:rsidRDefault="00E20C21" w:rsidP="005A4D61">
      <w:pPr>
        <w:pStyle w:val="15"/>
        <w:adjustRightInd w:val="0"/>
        <w:snapToGrid w:val="0"/>
        <w:rPr>
          <w:rFonts w:ascii="Book Antiqua" w:eastAsia="SimSun" w:hAnsi="Book Antiqua" w:cstheme="majorHAnsi"/>
          <w:b/>
          <w:sz w:val="24"/>
          <w:szCs w:val="24"/>
          <w:lang w:eastAsia="zh-CN"/>
        </w:rPr>
      </w:pPr>
    </w:p>
    <w:p w:rsidR="00F02DBF" w:rsidRPr="00772AC6" w:rsidRDefault="00F02DBF" w:rsidP="005A4D61">
      <w:pPr>
        <w:pStyle w:val="15"/>
        <w:adjustRightInd w:val="0"/>
        <w:snapToGrid w:val="0"/>
        <w:rPr>
          <w:rFonts w:ascii="Book Antiqua" w:eastAsia="SimSun" w:hAnsi="Book Antiqua" w:cstheme="majorHAnsi"/>
          <w:sz w:val="24"/>
          <w:szCs w:val="24"/>
          <w:lang w:eastAsia="zh-CN"/>
        </w:rPr>
      </w:pPr>
      <w:r w:rsidRPr="00772AC6">
        <w:rPr>
          <w:rFonts w:ascii="Book Antiqua" w:hAnsi="Book Antiqua" w:cstheme="majorHAnsi"/>
          <w:b/>
          <w:bCs/>
          <w:sz w:val="24"/>
          <w:szCs w:val="24"/>
        </w:rPr>
        <w:t>Core tip:</w:t>
      </w:r>
      <w:r w:rsidR="00301827" w:rsidRPr="00772AC6">
        <w:rPr>
          <w:rFonts w:ascii="Book Antiqua" w:hAnsi="Book Antiqua" w:cstheme="majorHAnsi"/>
          <w:b/>
          <w:bCs/>
          <w:sz w:val="24"/>
          <w:szCs w:val="24"/>
        </w:rPr>
        <w:t xml:space="preserve"> </w:t>
      </w:r>
      <w:r w:rsidR="002D3505" w:rsidRPr="00772AC6">
        <w:rPr>
          <w:rFonts w:ascii="Book Antiqua" w:hAnsi="Book Antiqua" w:cstheme="majorHAnsi"/>
          <w:bCs/>
          <w:sz w:val="24"/>
          <w:szCs w:val="24"/>
        </w:rPr>
        <w:t xml:space="preserve">Patients with </w:t>
      </w:r>
      <w:r w:rsidR="002D3505" w:rsidRPr="00772AC6">
        <w:rPr>
          <w:rFonts w:ascii="Book Antiqua" w:hAnsi="Book Antiqua" w:cstheme="majorHAnsi"/>
          <w:sz w:val="24"/>
          <w:szCs w:val="24"/>
        </w:rPr>
        <w:t xml:space="preserve">non-alcoholic fatty liver disease (NAFLD) </w:t>
      </w:r>
      <w:r w:rsidR="00043DE0" w:rsidRPr="00772AC6">
        <w:rPr>
          <w:rFonts w:ascii="Book Antiqua" w:hAnsi="Book Antiqua" w:cstheme="majorHAnsi"/>
          <w:sz w:val="24"/>
          <w:szCs w:val="24"/>
        </w:rPr>
        <w:t xml:space="preserve">exhibited </w:t>
      </w:r>
      <w:r w:rsidR="002D3505" w:rsidRPr="00772AC6">
        <w:rPr>
          <w:rFonts w:ascii="Book Antiqua" w:hAnsi="Book Antiqua" w:cstheme="majorHAnsi"/>
          <w:sz w:val="24"/>
          <w:szCs w:val="24"/>
        </w:rPr>
        <w:t>significantly higher serum levels of autot</w:t>
      </w:r>
      <w:r w:rsidR="00043DE0" w:rsidRPr="00772AC6">
        <w:rPr>
          <w:rFonts w:ascii="Book Antiqua" w:hAnsi="Book Antiqua" w:cstheme="majorHAnsi"/>
          <w:sz w:val="24"/>
          <w:szCs w:val="24"/>
        </w:rPr>
        <w:t>a</w:t>
      </w:r>
      <w:r w:rsidR="002D3505" w:rsidRPr="00772AC6">
        <w:rPr>
          <w:rFonts w:ascii="Book Antiqua" w:hAnsi="Book Antiqua" w:cstheme="majorHAnsi"/>
          <w:sz w:val="24"/>
          <w:szCs w:val="24"/>
        </w:rPr>
        <w:t xml:space="preserve">xin (ATX) </w:t>
      </w:r>
      <w:r w:rsidR="00043DE0" w:rsidRPr="00772AC6">
        <w:rPr>
          <w:rFonts w:ascii="Book Antiqua" w:hAnsi="Book Antiqua" w:cstheme="majorHAnsi"/>
          <w:sz w:val="24"/>
          <w:szCs w:val="24"/>
        </w:rPr>
        <w:t xml:space="preserve">than did </w:t>
      </w:r>
      <w:r w:rsidR="003D20D9" w:rsidRPr="00772AC6">
        <w:rPr>
          <w:rFonts w:ascii="Book Antiqua" w:hAnsi="Book Antiqua" w:cstheme="majorHAnsi"/>
          <w:sz w:val="24"/>
          <w:szCs w:val="24"/>
        </w:rPr>
        <w:t>healthy subjects</w:t>
      </w:r>
      <w:r w:rsidR="002D3505" w:rsidRPr="00772AC6">
        <w:rPr>
          <w:rFonts w:ascii="Book Antiqua" w:hAnsi="Book Antiqua" w:cstheme="majorHAnsi"/>
          <w:sz w:val="24"/>
          <w:szCs w:val="24"/>
        </w:rPr>
        <w:t>.</w:t>
      </w:r>
      <w:r w:rsidR="00043DE0" w:rsidRPr="00772AC6">
        <w:rPr>
          <w:rFonts w:ascii="Book Antiqua" w:hAnsi="Book Antiqua" w:cstheme="majorHAnsi"/>
          <w:sz w:val="24"/>
          <w:szCs w:val="24"/>
        </w:rPr>
        <w:t xml:space="preserve"> S</w:t>
      </w:r>
      <w:r w:rsidR="003D20D9" w:rsidRPr="00772AC6">
        <w:rPr>
          <w:rFonts w:ascii="Book Antiqua" w:hAnsi="Book Antiqua" w:cstheme="majorHAnsi"/>
          <w:sz w:val="24"/>
          <w:szCs w:val="24"/>
        </w:rPr>
        <w:t xml:space="preserve">erum ATX levels correlated </w:t>
      </w:r>
      <w:r w:rsidR="00043DE0" w:rsidRPr="00772AC6">
        <w:rPr>
          <w:rFonts w:ascii="Book Antiqua" w:hAnsi="Book Antiqua" w:cstheme="majorHAnsi"/>
          <w:sz w:val="24"/>
          <w:szCs w:val="24"/>
        </w:rPr>
        <w:t xml:space="preserve">significantly </w:t>
      </w:r>
      <w:r w:rsidR="003D20D9" w:rsidRPr="00772AC6">
        <w:rPr>
          <w:rFonts w:ascii="Book Antiqua" w:hAnsi="Book Antiqua" w:cstheme="majorHAnsi"/>
          <w:sz w:val="24"/>
          <w:szCs w:val="24"/>
        </w:rPr>
        <w:t>with ballooning score and fibrosis stage</w:t>
      </w:r>
      <w:r w:rsidR="00043DE0" w:rsidRPr="00772AC6">
        <w:rPr>
          <w:rFonts w:ascii="Book Antiqua" w:hAnsi="Book Antiqua" w:cstheme="majorHAnsi"/>
          <w:sz w:val="24"/>
          <w:szCs w:val="24"/>
        </w:rPr>
        <w:t xml:space="preserve"> in NA</w:t>
      </w:r>
      <w:r w:rsidR="00E32916" w:rsidRPr="00772AC6">
        <w:rPr>
          <w:rFonts w:ascii="Book Antiqua" w:hAnsi="Book Antiqua" w:cstheme="majorHAnsi"/>
          <w:sz w:val="24"/>
          <w:szCs w:val="24"/>
        </w:rPr>
        <w:t>F</w:t>
      </w:r>
      <w:r w:rsidR="00043DE0" w:rsidRPr="00772AC6">
        <w:rPr>
          <w:rFonts w:ascii="Book Antiqua" w:hAnsi="Book Antiqua" w:cstheme="majorHAnsi"/>
          <w:sz w:val="24"/>
          <w:szCs w:val="24"/>
        </w:rPr>
        <w:t>LD patients</w:t>
      </w:r>
      <w:r w:rsidR="00043DE0" w:rsidRPr="00772AC6" w:rsidDel="00043DE0">
        <w:rPr>
          <w:rFonts w:ascii="Book Antiqua" w:hAnsi="Book Antiqua" w:cstheme="majorHAnsi"/>
          <w:sz w:val="24"/>
          <w:szCs w:val="24"/>
        </w:rPr>
        <w:t xml:space="preserve"> </w:t>
      </w:r>
      <w:r w:rsidR="00043DE0" w:rsidRPr="00772AC6">
        <w:rPr>
          <w:rFonts w:ascii="Book Antiqua" w:hAnsi="Book Antiqua" w:cstheme="majorHAnsi"/>
          <w:sz w:val="24"/>
          <w:szCs w:val="24"/>
        </w:rPr>
        <w:t xml:space="preserve">and may therefore </w:t>
      </w:r>
      <w:r w:rsidR="00687176" w:rsidRPr="00772AC6">
        <w:rPr>
          <w:rFonts w:ascii="Book Antiqua" w:hAnsi="Book Antiqua" w:cstheme="majorHAnsi"/>
          <w:sz w:val="24"/>
          <w:szCs w:val="24"/>
        </w:rPr>
        <w:t xml:space="preserve">reflect histological severity </w:t>
      </w:r>
      <w:r w:rsidR="00043DE0" w:rsidRPr="00772AC6">
        <w:rPr>
          <w:rFonts w:ascii="Book Antiqua" w:hAnsi="Book Antiqua" w:cstheme="majorHAnsi"/>
          <w:sz w:val="24"/>
          <w:szCs w:val="24"/>
        </w:rPr>
        <w:t xml:space="preserve">in </w:t>
      </w:r>
      <w:r w:rsidR="00687176" w:rsidRPr="00772AC6">
        <w:rPr>
          <w:rFonts w:ascii="Book Antiqua" w:hAnsi="Book Antiqua" w:cstheme="majorHAnsi"/>
          <w:sz w:val="24"/>
          <w:szCs w:val="24"/>
        </w:rPr>
        <w:t>NAFLD.</w:t>
      </w:r>
    </w:p>
    <w:p w:rsidR="00E20C21" w:rsidRPr="00772AC6" w:rsidRDefault="00E20C21" w:rsidP="005A4D61">
      <w:pPr>
        <w:pStyle w:val="15"/>
        <w:adjustRightInd w:val="0"/>
        <w:snapToGrid w:val="0"/>
        <w:rPr>
          <w:rFonts w:ascii="Book Antiqua" w:eastAsia="SimSun" w:hAnsi="Book Antiqua" w:cs="Times New Roman"/>
          <w:b/>
          <w:sz w:val="24"/>
          <w:szCs w:val="24"/>
          <w:lang w:val="pl-PL" w:eastAsia="zh-CN"/>
        </w:rPr>
      </w:pPr>
    </w:p>
    <w:p w:rsidR="00687176" w:rsidRPr="00772AC6" w:rsidRDefault="00687176" w:rsidP="005A4D61">
      <w:pPr>
        <w:pStyle w:val="15"/>
        <w:adjustRightInd w:val="0"/>
        <w:snapToGrid w:val="0"/>
        <w:rPr>
          <w:rFonts w:ascii="Book Antiqua" w:eastAsia="SimSun" w:hAnsi="Book Antiqua" w:cstheme="majorHAnsi"/>
          <w:sz w:val="24"/>
          <w:szCs w:val="24"/>
          <w:lang w:eastAsia="zh-CN"/>
        </w:rPr>
      </w:pPr>
      <w:r w:rsidRPr="00772AC6">
        <w:rPr>
          <w:rFonts w:ascii="Book Antiqua" w:hAnsi="Book Antiqua" w:cstheme="majorHAnsi"/>
          <w:sz w:val="24"/>
          <w:szCs w:val="24"/>
        </w:rPr>
        <w:t xml:space="preserve">Fujimori N, </w:t>
      </w:r>
      <w:r w:rsidR="00B14E8F" w:rsidRPr="00772AC6">
        <w:rPr>
          <w:rFonts w:ascii="Book Antiqua" w:hAnsi="Book Antiqua" w:cstheme="majorHAnsi"/>
          <w:sz w:val="24"/>
          <w:szCs w:val="24"/>
        </w:rPr>
        <w:t xml:space="preserve">Umemura T, </w:t>
      </w:r>
      <w:r w:rsidRPr="00772AC6">
        <w:rPr>
          <w:rFonts w:ascii="Book Antiqua" w:hAnsi="Book Antiqua" w:cstheme="majorHAnsi"/>
          <w:sz w:val="24"/>
          <w:szCs w:val="24"/>
        </w:rPr>
        <w:t>Kimura T, Tanaka N, Sugiura A, Yamazaki T, Joshita S, Komatsu M, Usami Y, Sano K, Igarashi K, Matsumoto A, Tanaka E. Serum autotaxin levels are correlated with hepatic fibrosis and ballooning in patients with non-alcoholic fatty liver disease.</w:t>
      </w:r>
      <w:r w:rsidR="00E20C21" w:rsidRPr="00772AC6">
        <w:rPr>
          <w:rFonts w:ascii="Book Antiqua" w:eastAsia="SimSun" w:hAnsi="Book Antiqua" w:cstheme="majorHAnsi"/>
          <w:sz w:val="24"/>
          <w:szCs w:val="24"/>
          <w:lang w:eastAsia="zh-CN"/>
        </w:rPr>
        <w:t xml:space="preserve"> </w:t>
      </w:r>
      <w:r w:rsidR="00E20C21" w:rsidRPr="00772AC6">
        <w:rPr>
          <w:rFonts w:ascii="Book Antiqua" w:hAnsi="Book Antiqua"/>
          <w:i/>
          <w:sz w:val="24"/>
          <w:szCs w:val="24"/>
          <w:lang w:eastAsia="zh-CN"/>
        </w:rPr>
        <w:t>World J Gastroenterol</w:t>
      </w:r>
      <w:r w:rsidR="00E20C21" w:rsidRPr="00772AC6">
        <w:rPr>
          <w:rFonts w:ascii="Book Antiqua" w:hAnsi="Book Antiqua"/>
          <w:sz w:val="24"/>
          <w:szCs w:val="24"/>
          <w:lang w:eastAsia="zh-CN"/>
        </w:rPr>
        <w:t xml:space="preserve"> 201</w:t>
      </w:r>
      <w:r w:rsidR="00E20C21" w:rsidRPr="00772AC6">
        <w:rPr>
          <w:rFonts w:ascii="Book Antiqua" w:eastAsia="SimSun" w:hAnsi="Book Antiqua"/>
          <w:sz w:val="24"/>
          <w:szCs w:val="24"/>
          <w:lang w:eastAsia="zh-CN"/>
        </w:rPr>
        <w:t>8</w:t>
      </w:r>
      <w:r w:rsidR="00E20C21" w:rsidRPr="00772AC6">
        <w:rPr>
          <w:rFonts w:ascii="Book Antiqua" w:hAnsi="Book Antiqua"/>
          <w:sz w:val="24"/>
          <w:szCs w:val="24"/>
          <w:lang w:eastAsia="zh-CN"/>
        </w:rPr>
        <w:t>; In press</w:t>
      </w:r>
    </w:p>
    <w:p w:rsidR="00194AF4" w:rsidRPr="00772AC6" w:rsidRDefault="0032478B" w:rsidP="005A4D61">
      <w:pPr>
        <w:pStyle w:val="15"/>
        <w:tabs>
          <w:tab w:val="left" w:pos="5002"/>
        </w:tabs>
        <w:adjustRightInd w:val="0"/>
        <w:snapToGrid w:val="0"/>
        <w:rPr>
          <w:rFonts w:ascii="Book Antiqua" w:hAnsi="Book Antiqua" w:cs="Arial"/>
          <w:sz w:val="24"/>
          <w:szCs w:val="24"/>
        </w:rPr>
      </w:pPr>
      <w:bookmarkStart w:id="34" w:name="_GoBack"/>
      <w:bookmarkEnd w:id="34"/>
      <w:r w:rsidRPr="00772AC6">
        <w:rPr>
          <w:rFonts w:ascii="Book Antiqua" w:hAnsi="Book Antiqua" w:cs="Arial"/>
          <w:b/>
          <w:sz w:val="24"/>
          <w:szCs w:val="24"/>
        </w:rPr>
        <w:br w:type="page"/>
      </w:r>
      <w:r w:rsidR="00FE0CDA" w:rsidRPr="00772AC6">
        <w:rPr>
          <w:rFonts w:ascii="Book Antiqua" w:hAnsi="Book Antiqua" w:cs="Arial"/>
          <w:b/>
          <w:sz w:val="24"/>
          <w:szCs w:val="24"/>
        </w:rPr>
        <w:lastRenderedPageBreak/>
        <w:t>I</w:t>
      </w:r>
      <w:r w:rsidR="003320C3" w:rsidRPr="00772AC6">
        <w:rPr>
          <w:rFonts w:ascii="Book Antiqua" w:hAnsi="Book Antiqua" w:cs="Arial"/>
          <w:b/>
          <w:sz w:val="24"/>
          <w:szCs w:val="24"/>
        </w:rPr>
        <w:t>NTRODUCTION</w:t>
      </w:r>
    </w:p>
    <w:p w:rsidR="00471C20" w:rsidRPr="00772AC6" w:rsidRDefault="00471C20" w:rsidP="005A4D61">
      <w:pPr>
        <w:pStyle w:val="15"/>
        <w:adjustRightInd w:val="0"/>
        <w:snapToGrid w:val="0"/>
        <w:rPr>
          <w:rFonts w:ascii="Book Antiqua" w:hAnsi="Book Antiqua" w:cs="Arial"/>
          <w:sz w:val="24"/>
          <w:szCs w:val="24"/>
        </w:rPr>
      </w:pPr>
      <w:r w:rsidRPr="00772AC6">
        <w:rPr>
          <w:rFonts w:ascii="Book Antiqua" w:hAnsi="Book Antiqua" w:cs="Arial"/>
          <w:sz w:val="24"/>
          <w:szCs w:val="24"/>
        </w:rPr>
        <w:t>The prevalence of non</w:t>
      </w:r>
      <w:r w:rsidR="00DE27CB" w:rsidRPr="00772AC6">
        <w:rPr>
          <w:rFonts w:ascii="Book Antiqua" w:hAnsi="Book Antiqua" w:cs="Arial"/>
          <w:sz w:val="24"/>
          <w:szCs w:val="24"/>
        </w:rPr>
        <w:t>-</w:t>
      </w:r>
      <w:r w:rsidRPr="00772AC6">
        <w:rPr>
          <w:rFonts w:ascii="Book Antiqua" w:hAnsi="Book Antiqua" w:cs="Arial"/>
          <w:sz w:val="24"/>
          <w:szCs w:val="24"/>
        </w:rPr>
        <w:t xml:space="preserve">alcoholic fatty liver disease (NAFLD) </w:t>
      </w:r>
      <w:r w:rsidR="006B7DF8" w:rsidRPr="00772AC6">
        <w:rPr>
          <w:rFonts w:ascii="Book Antiqua" w:hAnsi="Book Antiqua" w:cs="Arial"/>
          <w:sz w:val="24"/>
          <w:szCs w:val="24"/>
        </w:rPr>
        <w:t xml:space="preserve">is </w:t>
      </w:r>
      <w:r w:rsidRPr="00772AC6">
        <w:rPr>
          <w:rFonts w:ascii="Book Antiqua" w:hAnsi="Book Antiqua" w:cs="Arial"/>
          <w:sz w:val="24"/>
          <w:szCs w:val="24"/>
        </w:rPr>
        <w:t>increasing worldwide</w:t>
      </w:r>
      <w:r w:rsidR="007E3FA3" w:rsidRPr="00772AC6">
        <w:rPr>
          <w:rFonts w:ascii="Book Antiqua" w:hAnsi="Book Antiqua" w:cs="Arial"/>
          <w:sz w:val="24"/>
          <w:szCs w:val="24"/>
          <w:vertAlign w:val="superscript"/>
        </w:rPr>
        <w:t>[1,2]</w:t>
      </w:r>
      <w:r w:rsidRPr="00772AC6">
        <w:rPr>
          <w:rFonts w:ascii="Book Antiqua" w:hAnsi="Book Antiqua" w:cs="Arial"/>
          <w:sz w:val="24"/>
          <w:szCs w:val="24"/>
        </w:rPr>
        <w:t xml:space="preserve">. NAFLD </w:t>
      </w:r>
      <w:r w:rsidR="008654E5" w:rsidRPr="00772AC6">
        <w:rPr>
          <w:rFonts w:ascii="Book Antiqua" w:hAnsi="Book Antiqua" w:cs="Arial"/>
          <w:sz w:val="24"/>
          <w:szCs w:val="24"/>
        </w:rPr>
        <w:t xml:space="preserve">exhibits </w:t>
      </w:r>
      <w:r w:rsidRPr="00772AC6">
        <w:rPr>
          <w:rFonts w:ascii="Book Antiqua" w:hAnsi="Book Antiqua" w:cs="Arial"/>
          <w:sz w:val="24"/>
          <w:szCs w:val="24"/>
        </w:rPr>
        <w:t>a wide spectrum</w:t>
      </w:r>
      <w:r w:rsidR="006B7DF8" w:rsidRPr="00772AC6">
        <w:rPr>
          <w:rFonts w:ascii="Book Antiqua" w:hAnsi="Book Antiqua" w:cs="Arial"/>
          <w:sz w:val="24"/>
          <w:szCs w:val="24"/>
        </w:rPr>
        <w:t>,</w:t>
      </w:r>
      <w:r w:rsidRPr="00772AC6">
        <w:rPr>
          <w:rFonts w:ascii="Book Antiqua" w:hAnsi="Book Antiqua" w:cs="Arial"/>
          <w:sz w:val="24"/>
          <w:szCs w:val="24"/>
        </w:rPr>
        <w:t xml:space="preserve"> rangin</w:t>
      </w:r>
      <w:r w:rsidR="004B78A3" w:rsidRPr="00772AC6">
        <w:rPr>
          <w:rFonts w:ascii="Book Antiqua" w:hAnsi="Book Antiqua" w:cs="Arial"/>
          <w:sz w:val="24"/>
          <w:szCs w:val="24"/>
        </w:rPr>
        <w:t>g from non</w:t>
      </w:r>
      <w:r w:rsidR="006C1ACF" w:rsidRPr="00772AC6">
        <w:rPr>
          <w:rFonts w:ascii="Book Antiqua" w:hAnsi="Book Antiqua" w:cs="Arial"/>
          <w:sz w:val="24"/>
          <w:szCs w:val="24"/>
        </w:rPr>
        <w:t>-</w:t>
      </w:r>
      <w:r w:rsidR="004B78A3" w:rsidRPr="00772AC6">
        <w:rPr>
          <w:rFonts w:ascii="Book Antiqua" w:hAnsi="Book Antiqua" w:cs="Arial"/>
          <w:sz w:val="24"/>
          <w:szCs w:val="24"/>
        </w:rPr>
        <w:t>alcoholic fatty liver</w:t>
      </w:r>
      <w:r w:rsidR="00F85C5E" w:rsidRPr="00772AC6">
        <w:rPr>
          <w:rFonts w:ascii="Book Antiqua" w:hAnsi="Book Antiqua" w:cs="Arial"/>
          <w:sz w:val="24"/>
          <w:szCs w:val="24"/>
        </w:rPr>
        <w:t xml:space="preserve"> </w:t>
      </w:r>
      <w:r w:rsidRPr="00772AC6">
        <w:rPr>
          <w:rFonts w:ascii="Book Antiqua" w:hAnsi="Book Antiqua" w:cs="Arial"/>
          <w:sz w:val="24"/>
          <w:szCs w:val="24"/>
        </w:rPr>
        <w:t>to non</w:t>
      </w:r>
      <w:r w:rsidR="00C702DA" w:rsidRPr="00772AC6">
        <w:rPr>
          <w:rFonts w:ascii="Book Antiqua" w:hAnsi="Book Antiqua" w:cs="Arial"/>
          <w:sz w:val="24"/>
          <w:szCs w:val="24"/>
        </w:rPr>
        <w:t>-</w:t>
      </w:r>
      <w:r w:rsidRPr="00772AC6">
        <w:rPr>
          <w:rFonts w:ascii="Book Antiqua" w:hAnsi="Book Antiqua" w:cs="Arial"/>
          <w:sz w:val="24"/>
          <w:szCs w:val="24"/>
        </w:rPr>
        <w:t>alcoholic steatohepatitis (NASH)</w:t>
      </w:r>
      <w:r w:rsidR="00F85C5E" w:rsidRPr="00772AC6">
        <w:rPr>
          <w:rFonts w:ascii="Book Antiqua" w:hAnsi="Book Antiqua" w:cs="Arial"/>
          <w:sz w:val="24"/>
          <w:szCs w:val="24"/>
        </w:rPr>
        <w:t xml:space="preserve"> and ensuing cirrhosis</w:t>
      </w:r>
      <w:r w:rsidRPr="00772AC6">
        <w:rPr>
          <w:rFonts w:ascii="Book Antiqua" w:hAnsi="Book Antiqua" w:cs="Arial"/>
          <w:sz w:val="24"/>
          <w:szCs w:val="24"/>
        </w:rPr>
        <w:t xml:space="preserve"> and hepatocellular carcinoma</w:t>
      </w:r>
      <w:r w:rsidR="00DD7D9D" w:rsidRPr="00772AC6">
        <w:rPr>
          <w:rFonts w:ascii="Book Antiqua" w:hAnsi="Book Antiqua" w:cs="Arial"/>
          <w:sz w:val="24"/>
          <w:szCs w:val="24"/>
          <w:vertAlign w:val="superscript"/>
        </w:rPr>
        <w:t>[1-3]</w:t>
      </w:r>
      <w:r w:rsidRPr="00772AC6">
        <w:rPr>
          <w:rFonts w:ascii="Book Antiqua" w:hAnsi="Book Antiqua" w:cs="Arial"/>
          <w:sz w:val="24"/>
          <w:szCs w:val="24"/>
        </w:rPr>
        <w:t xml:space="preserve">. </w:t>
      </w:r>
      <w:r w:rsidR="00351B98" w:rsidRPr="00772AC6">
        <w:rPr>
          <w:rFonts w:ascii="Book Antiqua" w:hAnsi="Book Antiqua" w:cs="Arial"/>
          <w:sz w:val="24"/>
          <w:szCs w:val="24"/>
        </w:rPr>
        <w:t xml:space="preserve">Since the concept of NASH </w:t>
      </w:r>
      <w:r w:rsidR="006B7DF8" w:rsidRPr="00772AC6">
        <w:rPr>
          <w:rFonts w:ascii="Book Antiqua" w:hAnsi="Book Antiqua" w:cs="Arial"/>
          <w:sz w:val="24"/>
          <w:szCs w:val="24"/>
        </w:rPr>
        <w:t>w</w:t>
      </w:r>
      <w:r w:rsidR="00351B98" w:rsidRPr="00772AC6">
        <w:rPr>
          <w:rFonts w:ascii="Book Antiqua" w:hAnsi="Book Antiqua" w:cs="Arial"/>
          <w:sz w:val="24"/>
          <w:szCs w:val="24"/>
        </w:rPr>
        <w:t xml:space="preserve">as developed </w:t>
      </w:r>
      <w:r w:rsidR="008654E5" w:rsidRPr="00772AC6">
        <w:rPr>
          <w:rFonts w:ascii="Book Antiqua" w:hAnsi="Book Antiqua" w:cs="Arial"/>
          <w:sz w:val="24"/>
          <w:szCs w:val="24"/>
        </w:rPr>
        <w:t xml:space="preserve">using </w:t>
      </w:r>
      <w:r w:rsidR="00351B98" w:rsidRPr="00772AC6">
        <w:rPr>
          <w:rFonts w:ascii="Book Antiqua" w:hAnsi="Book Antiqua" w:cs="Arial"/>
          <w:sz w:val="24"/>
          <w:szCs w:val="24"/>
        </w:rPr>
        <w:t xml:space="preserve">pathological </w:t>
      </w:r>
      <w:r w:rsidR="00025CAD" w:rsidRPr="00772AC6">
        <w:rPr>
          <w:rFonts w:ascii="Book Antiqua" w:hAnsi="Book Antiqua" w:cs="Arial"/>
          <w:sz w:val="24"/>
          <w:szCs w:val="24"/>
        </w:rPr>
        <w:t>characteristics</w:t>
      </w:r>
      <w:r w:rsidR="00351B98" w:rsidRPr="00772AC6">
        <w:rPr>
          <w:rFonts w:ascii="Book Antiqua" w:hAnsi="Book Antiqua" w:cs="Arial"/>
          <w:sz w:val="24"/>
          <w:szCs w:val="24"/>
        </w:rPr>
        <w:t xml:space="preserve">, </w:t>
      </w:r>
      <w:r w:rsidR="008654E5" w:rsidRPr="00772AC6">
        <w:rPr>
          <w:rFonts w:ascii="Book Antiqua" w:hAnsi="Book Antiqua" w:cs="Arial"/>
          <w:i/>
          <w:sz w:val="24"/>
          <w:szCs w:val="24"/>
        </w:rPr>
        <w:t>i.e.</w:t>
      </w:r>
      <w:r w:rsidR="008654E5" w:rsidRPr="00772AC6">
        <w:rPr>
          <w:rFonts w:ascii="Book Antiqua" w:hAnsi="Book Antiqua" w:cs="Arial"/>
          <w:sz w:val="24"/>
          <w:szCs w:val="24"/>
        </w:rPr>
        <w:t xml:space="preserve">, </w:t>
      </w:r>
      <w:r w:rsidR="00351B98" w:rsidRPr="00772AC6">
        <w:rPr>
          <w:rFonts w:ascii="Book Antiqua" w:hAnsi="Book Antiqua" w:cs="Arial"/>
          <w:sz w:val="24"/>
          <w:szCs w:val="24"/>
        </w:rPr>
        <w:t>the presence of hepatocyte ballooning and lobular inflammation in addition to macrovesicular steatosis, l</w:t>
      </w:r>
      <w:r w:rsidR="006C1ACF" w:rsidRPr="00772AC6">
        <w:rPr>
          <w:rFonts w:ascii="Book Antiqua" w:hAnsi="Book Antiqua" w:cs="Arial"/>
          <w:sz w:val="24"/>
          <w:szCs w:val="24"/>
        </w:rPr>
        <w:t xml:space="preserve">iver biopsy is </w:t>
      </w:r>
      <w:r w:rsidR="006B7DF8" w:rsidRPr="00772AC6">
        <w:rPr>
          <w:rFonts w:ascii="Book Antiqua" w:hAnsi="Book Antiqua" w:cs="Arial"/>
          <w:sz w:val="24"/>
          <w:szCs w:val="24"/>
        </w:rPr>
        <w:t xml:space="preserve">currently </w:t>
      </w:r>
      <w:r w:rsidR="006C1ACF" w:rsidRPr="00772AC6">
        <w:rPr>
          <w:rFonts w:ascii="Book Antiqua" w:hAnsi="Book Antiqua" w:cs="Arial"/>
          <w:sz w:val="24"/>
          <w:szCs w:val="24"/>
        </w:rPr>
        <w:t>considered the gold standard for evaluating NAFLD/NASH activity</w:t>
      </w:r>
      <w:r w:rsidR="00351B98" w:rsidRPr="00772AC6">
        <w:rPr>
          <w:rFonts w:ascii="Book Antiqua" w:hAnsi="Book Antiqua" w:cs="Arial"/>
          <w:sz w:val="24"/>
          <w:szCs w:val="24"/>
        </w:rPr>
        <w:t>. However,</w:t>
      </w:r>
      <w:r w:rsidR="00097F23" w:rsidRPr="00772AC6">
        <w:rPr>
          <w:rFonts w:ascii="Book Antiqua" w:hAnsi="Book Antiqua" w:cs="Arial"/>
          <w:sz w:val="24"/>
          <w:szCs w:val="24"/>
        </w:rPr>
        <w:t xml:space="preserve"> </w:t>
      </w:r>
      <w:r w:rsidR="00097F23" w:rsidRPr="00772AC6">
        <w:rPr>
          <w:rFonts w:ascii="Book Antiqua" w:hAnsi="Book Antiqua"/>
          <w:bCs/>
          <w:sz w:val="24"/>
          <w:szCs w:val="24"/>
        </w:rPr>
        <w:t>general limitations of liver biopsy are the costs</w:t>
      </w:r>
      <w:r w:rsidR="0041515E" w:rsidRPr="00772AC6">
        <w:rPr>
          <w:rFonts w:ascii="Book Antiqua" w:hAnsi="Book Antiqua"/>
          <w:bCs/>
          <w:sz w:val="24"/>
          <w:szCs w:val="24"/>
        </w:rPr>
        <w:t xml:space="preserve"> and invasiveness, </w:t>
      </w:r>
      <w:r w:rsidR="00097F23" w:rsidRPr="00772AC6">
        <w:rPr>
          <w:rFonts w:ascii="Book Antiqua" w:hAnsi="Book Antiqua"/>
          <w:bCs/>
          <w:sz w:val="24"/>
          <w:szCs w:val="24"/>
        </w:rPr>
        <w:t>but also sampling error and inter- and intra-observer variability</w:t>
      </w:r>
      <w:r w:rsidR="00097F23" w:rsidRPr="00772AC6">
        <w:rPr>
          <w:rFonts w:ascii="Book Antiqua" w:hAnsi="Book Antiqua"/>
          <w:bCs/>
          <w:sz w:val="24"/>
          <w:szCs w:val="24"/>
          <w:vertAlign w:val="superscript"/>
        </w:rPr>
        <w:t>[</w:t>
      </w:r>
      <w:r w:rsidR="008B2720" w:rsidRPr="00772AC6">
        <w:rPr>
          <w:rFonts w:ascii="Book Antiqua" w:hAnsi="Book Antiqua"/>
          <w:bCs/>
          <w:sz w:val="24"/>
          <w:szCs w:val="24"/>
          <w:vertAlign w:val="superscript"/>
        </w:rPr>
        <w:t>4</w:t>
      </w:r>
      <w:r w:rsidR="00097F23" w:rsidRPr="00772AC6">
        <w:rPr>
          <w:rFonts w:ascii="Book Antiqua" w:hAnsi="Book Antiqua"/>
          <w:bCs/>
          <w:sz w:val="24"/>
          <w:szCs w:val="24"/>
          <w:vertAlign w:val="superscript"/>
        </w:rPr>
        <w:t>]</w:t>
      </w:r>
      <w:r w:rsidR="00097F23" w:rsidRPr="00772AC6">
        <w:rPr>
          <w:rFonts w:ascii="Book Antiqua" w:hAnsi="Book Antiqua" w:cs="Arial"/>
          <w:sz w:val="24"/>
          <w:szCs w:val="24"/>
        </w:rPr>
        <w:t>.</w:t>
      </w:r>
      <w:r w:rsidR="006B7DF8" w:rsidRPr="00772AC6">
        <w:rPr>
          <w:rFonts w:ascii="Book Antiqua" w:hAnsi="Book Antiqua" w:cs="Arial"/>
          <w:sz w:val="24"/>
          <w:szCs w:val="24"/>
        </w:rPr>
        <w:t xml:space="preserve"> </w:t>
      </w:r>
      <w:r w:rsidR="00097F23" w:rsidRPr="00772AC6">
        <w:rPr>
          <w:rFonts w:ascii="Book Antiqua" w:hAnsi="Book Antiqua" w:cs="Arial"/>
          <w:sz w:val="24"/>
          <w:szCs w:val="24"/>
        </w:rPr>
        <w:t>So,</w:t>
      </w:r>
      <w:r w:rsidR="006B7DF8" w:rsidRPr="00772AC6">
        <w:rPr>
          <w:rFonts w:ascii="Book Antiqua" w:hAnsi="Book Antiqua" w:cs="Arial"/>
          <w:sz w:val="24"/>
          <w:szCs w:val="24"/>
        </w:rPr>
        <w:t xml:space="preserve"> </w:t>
      </w:r>
      <w:r w:rsidRPr="00772AC6">
        <w:rPr>
          <w:rFonts w:ascii="Book Antiqua" w:hAnsi="Book Antiqua" w:cs="Arial"/>
          <w:sz w:val="24"/>
          <w:szCs w:val="24"/>
        </w:rPr>
        <w:t xml:space="preserve">simple, </w:t>
      </w:r>
      <w:r w:rsidR="006B7DF8" w:rsidRPr="00772AC6">
        <w:rPr>
          <w:rFonts w:ascii="Book Antiqua" w:hAnsi="Book Antiqua" w:cs="Arial"/>
          <w:sz w:val="24"/>
          <w:szCs w:val="24"/>
        </w:rPr>
        <w:t xml:space="preserve">accurate, </w:t>
      </w:r>
      <w:r w:rsidRPr="00772AC6">
        <w:rPr>
          <w:rFonts w:ascii="Book Antiqua" w:hAnsi="Book Antiqua" w:cs="Arial"/>
          <w:sz w:val="24"/>
          <w:szCs w:val="24"/>
        </w:rPr>
        <w:t xml:space="preserve">non-invasive, quantitative </w:t>
      </w:r>
      <w:r w:rsidR="006B7DF8" w:rsidRPr="00772AC6">
        <w:rPr>
          <w:rFonts w:ascii="Book Antiqua" w:hAnsi="Book Antiqua" w:cs="Arial"/>
          <w:sz w:val="24"/>
          <w:szCs w:val="24"/>
        </w:rPr>
        <w:t xml:space="preserve">alternatives are </w:t>
      </w:r>
      <w:r w:rsidR="00F85C5E" w:rsidRPr="00772AC6">
        <w:rPr>
          <w:rFonts w:ascii="Book Antiqua" w:hAnsi="Book Antiqua" w:cs="Arial"/>
          <w:sz w:val="24"/>
          <w:szCs w:val="24"/>
        </w:rPr>
        <w:t>needed</w:t>
      </w:r>
      <w:r w:rsidR="00690AD5" w:rsidRPr="00772AC6">
        <w:rPr>
          <w:rFonts w:ascii="Book Antiqua" w:hAnsi="Book Antiqua" w:cs="Arial"/>
          <w:sz w:val="24"/>
          <w:szCs w:val="24"/>
        </w:rPr>
        <w:t xml:space="preserve">. </w:t>
      </w:r>
      <w:r w:rsidR="006B7DF8" w:rsidRPr="00772AC6">
        <w:rPr>
          <w:rFonts w:ascii="Book Antiqua" w:hAnsi="Book Antiqua" w:cs="Arial"/>
          <w:sz w:val="24"/>
          <w:szCs w:val="24"/>
        </w:rPr>
        <w:t>S</w:t>
      </w:r>
      <w:r w:rsidR="006C1ACF" w:rsidRPr="00772AC6">
        <w:rPr>
          <w:rFonts w:ascii="Book Antiqua" w:hAnsi="Book Antiqua" w:cs="Arial"/>
          <w:sz w:val="24"/>
          <w:szCs w:val="24"/>
        </w:rPr>
        <w:t xml:space="preserve">everal </w:t>
      </w:r>
      <w:r w:rsidR="006B7DF8" w:rsidRPr="00772AC6">
        <w:rPr>
          <w:rFonts w:ascii="Book Antiqua" w:hAnsi="Book Antiqua" w:cs="Arial"/>
          <w:sz w:val="24"/>
          <w:szCs w:val="24"/>
        </w:rPr>
        <w:t xml:space="preserve">studies have </w:t>
      </w:r>
      <w:r w:rsidR="008654E5" w:rsidRPr="00772AC6">
        <w:rPr>
          <w:rFonts w:ascii="Book Antiqua" w:hAnsi="Book Antiqua" w:cs="Arial"/>
          <w:sz w:val="24"/>
          <w:szCs w:val="24"/>
        </w:rPr>
        <w:t xml:space="preserve">attempted </w:t>
      </w:r>
      <w:r w:rsidR="006C1ACF" w:rsidRPr="00772AC6">
        <w:rPr>
          <w:rFonts w:ascii="Book Antiqua" w:hAnsi="Book Antiqua" w:cs="Arial"/>
          <w:sz w:val="24"/>
          <w:szCs w:val="24"/>
        </w:rPr>
        <w:t xml:space="preserve">to </w:t>
      </w:r>
      <w:r w:rsidR="006B7DF8" w:rsidRPr="00772AC6">
        <w:rPr>
          <w:rFonts w:ascii="Book Antiqua" w:hAnsi="Book Antiqua" w:cs="Arial"/>
          <w:sz w:val="24"/>
          <w:szCs w:val="24"/>
        </w:rPr>
        <w:t xml:space="preserve">estimate </w:t>
      </w:r>
      <w:r w:rsidR="006C1ACF" w:rsidRPr="00772AC6">
        <w:rPr>
          <w:rFonts w:ascii="Book Antiqua" w:hAnsi="Book Antiqua" w:cs="Arial"/>
          <w:sz w:val="24"/>
          <w:szCs w:val="24"/>
        </w:rPr>
        <w:t xml:space="preserve">histological severity </w:t>
      </w:r>
      <w:r w:rsidR="006B7DF8" w:rsidRPr="00772AC6">
        <w:rPr>
          <w:rFonts w:ascii="Book Antiqua" w:hAnsi="Book Antiqua" w:cs="Arial"/>
          <w:sz w:val="24"/>
          <w:szCs w:val="24"/>
        </w:rPr>
        <w:t xml:space="preserve">in </w:t>
      </w:r>
      <w:r w:rsidR="006C1ACF" w:rsidRPr="00772AC6">
        <w:rPr>
          <w:rFonts w:ascii="Book Antiqua" w:hAnsi="Book Antiqua" w:cs="Arial"/>
          <w:sz w:val="24"/>
          <w:szCs w:val="24"/>
        </w:rPr>
        <w:t>NAFLD usi</w:t>
      </w:r>
      <w:r w:rsidR="00351B98" w:rsidRPr="00772AC6">
        <w:rPr>
          <w:rFonts w:ascii="Book Antiqua" w:hAnsi="Book Antiqua" w:cs="Arial"/>
          <w:sz w:val="24"/>
          <w:szCs w:val="24"/>
        </w:rPr>
        <w:t>ng various serum biomarkers</w:t>
      </w:r>
      <w:r w:rsidR="008B2720" w:rsidRPr="00772AC6">
        <w:rPr>
          <w:rFonts w:ascii="Book Antiqua" w:hAnsi="Book Antiqua" w:cs="Arial"/>
          <w:sz w:val="24"/>
          <w:szCs w:val="24"/>
          <w:vertAlign w:val="superscript"/>
        </w:rPr>
        <w:t>[5-8</w:t>
      </w:r>
      <w:r w:rsidR="00F94681" w:rsidRPr="00772AC6">
        <w:rPr>
          <w:rFonts w:ascii="Book Antiqua" w:hAnsi="Book Antiqua" w:cs="Arial"/>
          <w:sz w:val="24"/>
          <w:szCs w:val="24"/>
          <w:vertAlign w:val="superscript"/>
        </w:rPr>
        <w:t>]</w:t>
      </w:r>
      <w:r w:rsidR="00351B98" w:rsidRPr="00772AC6">
        <w:rPr>
          <w:rFonts w:ascii="Book Antiqua" w:hAnsi="Book Antiqua" w:cs="Arial"/>
          <w:sz w:val="24"/>
          <w:szCs w:val="24"/>
        </w:rPr>
        <w:t xml:space="preserve">, </w:t>
      </w:r>
      <w:r w:rsidR="006C1ACF" w:rsidRPr="00772AC6">
        <w:rPr>
          <w:rFonts w:ascii="Book Antiqua" w:hAnsi="Book Antiqua" w:cs="Arial"/>
          <w:sz w:val="24"/>
          <w:szCs w:val="24"/>
        </w:rPr>
        <w:t xml:space="preserve">but the accuracy </w:t>
      </w:r>
      <w:r w:rsidR="006B7DF8" w:rsidRPr="00772AC6">
        <w:rPr>
          <w:rFonts w:ascii="Book Antiqua" w:hAnsi="Book Antiqua" w:cs="Arial"/>
          <w:sz w:val="24"/>
          <w:szCs w:val="24"/>
        </w:rPr>
        <w:t xml:space="preserve">of these techniques remains </w:t>
      </w:r>
      <w:r w:rsidR="006C1ACF" w:rsidRPr="00772AC6">
        <w:rPr>
          <w:rFonts w:ascii="Book Antiqua" w:hAnsi="Book Antiqua" w:cs="Arial"/>
          <w:sz w:val="24"/>
          <w:szCs w:val="24"/>
        </w:rPr>
        <w:t>unsatisfactory.</w:t>
      </w:r>
      <w:r w:rsidR="00851298" w:rsidRPr="00772AC6">
        <w:rPr>
          <w:rFonts w:ascii="Book Antiqua" w:hAnsi="Book Antiqua" w:cs="Arial"/>
          <w:sz w:val="24"/>
          <w:szCs w:val="24"/>
        </w:rPr>
        <w:t xml:space="preserve"> </w:t>
      </w:r>
    </w:p>
    <w:p w:rsidR="00EA0EE4" w:rsidRPr="00772AC6" w:rsidRDefault="00FF1C31" w:rsidP="008F65BE">
      <w:pPr>
        <w:pStyle w:val="15"/>
        <w:adjustRightInd w:val="0"/>
        <w:snapToGrid w:val="0"/>
        <w:ind w:firstLineChars="100" w:firstLine="240"/>
        <w:rPr>
          <w:rFonts w:ascii="Book Antiqua" w:hAnsi="Book Antiqua" w:cs="Arial"/>
          <w:sz w:val="24"/>
          <w:szCs w:val="24"/>
        </w:rPr>
      </w:pPr>
      <w:r w:rsidRPr="00772AC6">
        <w:rPr>
          <w:rFonts w:ascii="Book Antiqua" w:hAnsi="Book Antiqua" w:cs="Arial"/>
          <w:sz w:val="24"/>
          <w:szCs w:val="24"/>
        </w:rPr>
        <w:t>Autotaxin</w:t>
      </w:r>
      <w:r w:rsidR="002A3EB4" w:rsidRPr="00772AC6">
        <w:rPr>
          <w:rFonts w:ascii="Book Antiqua" w:hAnsi="Book Antiqua" w:cs="Arial"/>
          <w:sz w:val="24"/>
          <w:szCs w:val="24"/>
        </w:rPr>
        <w:t xml:space="preserve"> (ATX) </w:t>
      </w:r>
      <w:r w:rsidR="00C070B3" w:rsidRPr="00772AC6">
        <w:rPr>
          <w:rFonts w:ascii="Book Antiqua" w:hAnsi="Book Antiqua" w:cs="Arial"/>
          <w:sz w:val="24"/>
          <w:szCs w:val="24"/>
        </w:rPr>
        <w:t>was</w:t>
      </w:r>
      <w:r w:rsidR="00811D5F" w:rsidRPr="00772AC6">
        <w:rPr>
          <w:rFonts w:ascii="Book Antiqua" w:hAnsi="Book Antiqua" w:cs="Arial"/>
          <w:sz w:val="24"/>
          <w:szCs w:val="24"/>
        </w:rPr>
        <w:t xml:space="preserve"> </w:t>
      </w:r>
      <w:r w:rsidR="00E875F3" w:rsidRPr="00772AC6">
        <w:rPr>
          <w:rFonts w:ascii="Book Antiqua" w:hAnsi="Book Antiqua" w:cs="Arial"/>
          <w:sz w:val="24"/>
          <w:szCs w:val="24"/>
        </w:rPr>
        <w:t>originally</w:t>
      </w:r>
      <w:r w:rsidR="00C13BA9" w:rsidRPr="00772AC6">
        <w:rPr>
          <w:rFonts w:ascii="Book Antiqua" w:hAnsi="Book Antiqua" w:cs="Arial"/>
          <w:sz w:val="24"/>
          <w:szCs w:val="24"/>
        </w:rPr>
        <w:t xml:space="preserve"> discovered in conditioned medium from human melanoma cell cultures</w:t>
      </w:r>
      <w:r w:rsidR="008B2720" w:rsidRPr="00772AC6">
        <w:rPr>
          <w:rFonts w:ascii="Book Antiqua" w:hAnsi="Book Antiqua" w:cs="Arial"/>
          <w:sz w:val="24"/>
          <w:szCs w:val="24"/>
          <w:vertAlign w:val="superscript"/>
        </w:rPr>
        <w:t>[9</w:t>
      </w:r>
      <w:r w:rsidR="00F94681" w:rsidRPr="00772AC6">
        <w:rPr>
          <w:rFonts w:ascii="Book Antiqua" w:hAnsi="Book Antiqua" w:cs="Arial"/>
          <w:sz w:val="24"/>
          <w:szCs w:val="24"/>
          <w:vertAlign w:val="superscript"/>
        </w:rPr>
        <w:t>]</w:t>
      </w:r>
      <w:r w:rsidR="00C13BA9" w:rsidRPr="00772AC6">
        <w:rPr>
          <w:rFonts w:ascii="Book Antiqua" w:hAnsi="Book Antiqua" w:cs="Arial"/>
          <w:sz w:val="24"/>
          <w:szCs w:val="24"/>
        </w:rPr>
        <w:t xml:space="preserve">. </w:t>
      </w:r>
      <w:r w:rsidR="006B7DF8" w:rsidRPr="00772AC6">
        <w:rPr>
          <w:rFonts w:ascii="Book Antiqua" w:hAnsi="Book Antiqua" w:cs="Arial"/>
          <w:sz w:val="24"/>
          <w:szCs w:val="24"/>
        </w:rPr>
        <w:t xml:space="preserve">The protein </w:t>
      </w:r>
      <w:r w:rsidR="001B694D" w:rsidRPr="00772AC6">
        <w:rPr>
          <w:rFonts w:ascii="Book Antiqua" w:hAnsi="Book Antiqua" w:cs="Arial"/>
          <w:sz w:val="24"/>
          <w:szCs w:val="24"/>
        </w:rPr>
        <w:t xml:space="preserve">is </w:t>
      </w:r>
      <w:r w:rsidR="00811D5F" w:rsidRPr="00772AC6">
        <w:rPr>
          <w:rFonts w:ascii="Book Antiqua" w:hAnsi="Book Antiqua" w:cs="Arial"/>
          <w:sz w:val="24"/>
          <w:szCs w:val="24"/>
        </w:rPr>
        <w:t xml:space="preserve">encoded by ectonucleotide pyrophosphatase/phosphodiesterase family member </w:t>
      </w:r>
      <w:r w:rsidR="001B694D" w:rsidRPr="00772AC6">
        <w:rPr>
          <w:rFonts w:ascii="Book Antiqua" w:hAnsi="Book Antiqua" w:cs="Arial"/>
          <w:sz w:val="24"/>
          <w:szCs w:val="24"/>
        </w:rPr>
        <w:t>2 gene</w:t>
      </w:r>
      <w:r w:rsidR="00811D5F" w:rsidRPr="00772AC6">
        <w:rPr>
          <w:rFonts w:ascii="Book Antiqua" w:hAnsi="Book Antiqua" w:cs="Arial"/>
          <w:sz w:val="24"/>
          <w:szCs w:val="24"/>
        </w:rPr>
        <w:t xml:space="preserve"> (</w:t>
      </w:r>
      <w:r w:rsidR="006A209E" w:rsidRPr="00772AC6">
        <w:rPr>
          <w:rFonts w:ascii="Book Antiqua" w:hAnsi="Book Antiqua" w:cs="Arial"/>
          <w:i/>
          <w:sz w:val="24"/>
          <w:szCs w:val="24"/>
        </w:rPr>
        <w:t>ENPP</w:t>
      </w:r>
      <w:r w:rsidR="00811D5F" w:rsidRPr="00772AC6">
        <w:rPr>
          <w:rFonts w:ascii="Book Antiqua" w:hAnsi="Book Antiqua" w:cs="Arial"/>
          <w:i/>
          <w:sz w:val="24"/>
          <w:szCs w:val="24"/>
        </w:rPr>
        <w:t>2</w:t>
      </w:r>
      <w:r w:rsidR="00C43A08" w:rsidRPr="00772AC6">
        <w:rPr>
          <w:rFonts w:ascii="Book Antiqua" w:hAnsi="Book Antiqua" w:cs="Arial"/>
          <w:sz w:val="24"/>
          <w:szCs w:val="24"/>
        </w:rPr>
        <w:t xml:space="preserve">) and </w:t>
      </w:r>
      <w:r w:rsidR="00C13BA9" w:rsidRPr="00772AC6">
        <w:rPr>
          <w:rFonts w:ascii="Book Antiqua" w:hAnsi="Book Antiqua" w:cs="Arial"/>
          <w:sz w:val="24"/>
          <w:szCs w:val="24"/>
        </w:rPr>
        <w:t>catalyze</w:t>
      </w:r>
      <w:r w:rsidR="00811D5F" w:rsidRPr="00772AC6">
        <w:rPr>
          <w:rFonts w:ascii="Book Antiqua" w:hAnsi="Book Antiqua" w:cs="Arial"/>
          <w:sz w:val="24"/>
          <w:szCs w:val="24"/>
        </w:rPr>
        <w:t>s</w:t>
      </w:r>
      <w:r w:rsidR="001351E6" w:rsidRPr="00772AC6">
        <w:rPr>
          <w:rFonts w:ascii="Book Antiqua" w:hAnsi="Book Antiqua" w:cs="Arial"/>
          <w:sz w:val="24"/>
          <w:szCs w:val="24"/>
        </w:rPr>
        <w:t xml:space="preserve"> the hydrolysis of lysophosphatidylcholine (LPC) to lysophosphatidic acid (LPA</w:t>
      </w:r>
      <w:r w:rsidR="00765246" w:rsidRPr="00772AC6">
        <w:rPr>
          <w:rFonts w:ascii="Book Antiqua" w:hAnsi="Book Antiqua" w:cs="Arial"/>
          <w:sz w:val="24"/>
          <w:szCs w:val="24"/>
        </w:rPr>
        <w:t>)</w:t>
      </w:r>
      <w:r w:rsidR="00C43A08" w:rsidRPr="00772AC6">
        <w:rPr>
          <w:rFonts w:ascii="Book Antiqua" w:hAnsi="Book Antiqua" w:cs="Arial"/>
          <w:sz w:val="24"/>
          <w:szCs w:val="24"/>
        </w:rPr>
        <w:t xml:space="preserve">, </w:t>
      </w:r>
      <w:r w:rsidR="006B7DF8" w:rsidRPr="00772AC6">
        <w:rPr>
          <w:rFonts w:ascii="Book Antiqua" w:hAnsi="Book Antiqua" w:cs="Arial"/>
          <w:sz w:val="24"/>
          <w:szCs w:val="24"/>
        </w:rPr>
        <w:t xml:space="preserve">which </w:t>
      </w:r>
      <w:r w:rsidR="00C43A08" w:rsidRPr="00772AC6">
        <w:rPr>
          <w:rFonts w:ascii="Book Antiqua" w:hAnsi="Book Antiqua" w:cs="Arial"/>
          <w:sz w:val="24"/>
          <w:szCs w:val="24"/>
        </w:rPr>
        <w:t>function</w:t>
      </w:r>
      <w:r w:rsidR="006B7DF8" w:rsidRPr="00772AC6">
        <w:rPr>
          <w:rFonts w:ascii="Book Antiqua" w:hAnsi="Book Antiqua" w:cs="Arial"/>
          <w:sz w:val="24"/>
          <w:szCs w:val="24"/>
        </w:rPr>
        <w:t>s</w:t>
      </w:r>
      <w:r w:rsidR="00C43A08" w:rsidRPr="00772AC6">
        <w:rPr>
          <w:rFonts w:ascii="Book Antiqua" w:hAnsi="Book Antiqua" w:cs="Arial"/>
          <w:sz w:val="24"/>
          <w:szCs w:val="24"/>
        </w:rPr>
        <w:t xml:space="preserve"> as </w:t>
      </w:r>
      <w:r w:rsidR="006B7DF8" w:rsidRPr="00772AC6">
        <w:rPr>
          <w:rFonts w:ascii="Book Antiqua" w:hAnsi="Book Antiqua" w:cs="Arial"/>
          <w:sz w:val="24"/>
          <w:szCs w:val="24"/>
        </w:rPr>
        <w:t xml:space="preserve">a </w:t>
      </w:r>
      <w:r w:rsidR="00C43A08" w:rsidRPr="00772AC6">
        <w:rPr>
          <w:rFonts w:ascii="Book Antiqua" w:hAnsi="Book Antiqua" w:cs="Arial"/>
          <w:sz w:val="24"/>
          <w:szCs w:val="24"/>
        </w:rPr>
        <w:t>phospholipase</w:t>
      </w:r>
      <w:r w:rsidR="008B2720" w:rsidRPr="00772AC6">
        <w:rPr>
          <w:rFonts w:ascii="Book Antiqua" w:hAnsi="Book Antiqua" w:cs="Arial"/>
          <w:sz w:val="24"/>
          <w:szCs w:val="24"/>
          <w:vertAlign w:val="superscript"/>
        </w:rPr>
        <w:t>[</w:t>
      </w:r>
      <w:r w:rsidR="00DD3ACA" w:rsidRPr="00772AC6">
        <w:rPr>
          <w:rFonts w:ascii="Book Antiqua" w:hAnsi="Book Antiqua" w:cs="Arial"/>
          <w:sz w:val="24"/>
          <w:szCs w:val="24"/>
          <w:vertAlign w:val="superscript"/>
        </w:rPr>
        <w:t>10</w:t>
      </w:r>
      <w:r w:rsidR="008B2720" w:rsidRPr="00772AC6">
        <w:rPr>
          <w:rFonts w:ascii="Book Antiqua" w:hAnsi="Book Antiqua" w:cs="Arial"/>
          <w:sz w:val="24"/>
          <w:szCs w:val="24"/>
          <w:vertAlign w:val="superscript"/>
        </w:rPr>
        <w:t>,11</w:t>
      </w:r>
      <w:r w:rsidR="00DD3ACA" w:rsidRPr="00772AC6">
        <w:rPr>
          <w:rFonts w:ascii="Book Antiqua" w:hAnsi="Book Antiqua" w:cs="Arial"/>
          <w:sz w:val="24"/>
          <w:szCs w:val="24"/>
          <w:vertAlign w:val="superscript"/>
        </w:rPr>
        <w:t>]</w:t>
      </w:r>
      <w:r w:rsidR="00555260" w:rsidRPr="00772AC6">
        <w:rPr>
          <w:rFonts w:ascii="Book Antiqua" w:hAnsi="Book Antiqua" w:cs="Arial"/>
          <w:sz w:val="24"/>
          <w:szCs w:val="24"/>
        </w:rPr>
        <w:t>.</w:t>
      </w:r>
      <w:r w:rsidR="00811D5F" w:rsidRPr="00772AC6">
        <w:rPr>
          <w:rFonts w:ascii="Book Antiqua" w:hAnsi="Book Antiqua" w:cs="Arial"/>
          <w:sz w:val="24"/>
          <w:szCs w:val="24"/>
        </w:rPr>
        <w:t xml:space="preserve"> </w:t>
      </w:r>
      <w:r w:rsidR="006B7DF8" w:rsidRPr="00772AC6">
        <w:rPr>
          <w:rFonts w:ascii="Book Antiqua" w:hAnsi="Book Antiqua" w:cs="Arial"/>
          <w:sz w:val="24"/>
          <w:szCs w:val="24"/>
        </w:rPr>
        <w:t>S</w:t>
      </w:r>
      <w:r w:rsidR="00EC46CC" w:rsidRPr="00772AC6">
        <w:rPr>
          <w:rFonts w:ascii="Book Antiqua" w:hAnsi="Book Antiqua" w:cs="Arial"/>
          <w:sz w:val="24"/>
          <w:szCs w:val="24"/>
        </w:rPr>
        <w:t>ignal</w:t>
      </w:r>
      <w:r w:rsidR="006B7DF8" w:rsidRPr="00772AC6">
        <w:rPr>
          <w:rFonts w:ascii="Book Antiqua" w:hAnsi="Book Antiqua" w:cs="Arial"/>
          <w:sz w:val="24"/>
          <w:szCs w:val="24"/>
        </w:rPr>
        <w:t xml:space="preserve">ing </w:t>
      </w:r>
      <w:r w:rsidR="006B7DF8" w:rsidRPr="00434EFD">
        <w:rPr>
          <w:rFonts w:ascii="Book Antiqua" w:hAnsi="Book Antiqua" w:cs="Arial"/>
          <w:i/>
          <w:sz w:val="24"/>
          <w:szCs w:val="24"/>
        </w:rPr>
        <w:t>via</w:t>
      </w:r>
      <w:r w:rsidR="006B7DF8" w:rsidRPr="00772AC6">
        <w:rPr>
          <w:rFonts w:ascii="Book Antiqua" w:hAnsi="Book Antiqua" w:cs="Arial"/>
          <w:sz w:val="24"/>
          <w:szCs w:val="24"/>
        </w:rPr>
        <w:t xml:space="preserve"> </w:t>
      </w:r>
      <w:r w:rsidR="00EC46CC" w:rsidRPr="00772AC6">
        <w:rPr>
          <w:rFonts w:ascii="Book Antiqua" w:hAnsi="Book Antiqua" w:cs="Arial"/>
          <w:sz w:val="24"/>
          <w:szCs w:val="24"/>
        </w:rPr>
        <w:t>a family of six G-protein</w:t>
      </w:r>
      <w:r w:rsidR="006B7DF8" w:rsidRPr="00772AC6">
        <w:rPr>
          <w:rFonts w:ascii="Book Antiqua" w:hAnsi="Book Antiqua" w:cs="Arial"/>
          <w:sz w:val="24"/>
          <w:szCs w:val="24"/>
        </w:rPr>
        <w:t>-</w:t>
      </w:r>
      <w:r w:rsidR="00EC46CC" w:rsidRPr="00772AC6">
        <w:rPr>
          <w:rFonts w:ascii="Book Antiqua" w:hAnsi="Book Antiqua" w:cs="Arial"/>
          <w:sz w:val="24"/>
          <w:szCs w:val="24"/>
        </w:rPr>
        <w:t>coupled receptors (LPA</w:t>
      </w:r>
      <w:r w:rsidR="00EC46CC" w:rsidRPr="00772AC6">
        <w:rPr>
          <w:rFonts w:ascii="Book Antiqua" w:hAnsi="Book Antiqua" w:cs="Arial"/>
          <w:sz w:val="24"/>
          <w:szCs w:val="24"/>
          <w:vertAlign w:val="subscript"/>
        </w:rPr>
        <w:t>1-6</w:t>
      </w:r>
      <w:r w:rsidR="00EC46CC" w:rsidRPr="00772AC6">
        <w:rPr>
          <w:rFonts w:ascii="Book Antiqua" w:hAnsi="Book Antiqua" w:cs="Arial"/>
          <w:sz w:val="24"/>
          <w:szCs w:val="24"/>
        </w:rPr>
        <w:t>) regulate</w:t>
      </w:r>
      <w:r w:rsidR="006B7DF8" w:rsidRPr="00772AC6">
        <w:rPr>
          <w:rFonts w:ascii="Book Antiqua" w:hAnsi="Book Antiqua" w:cs="Arial"/>
          <w:sz w:val="24"/>
          <w:szCs w:val="24"/>
        </w:rPr>
        <w:t>s the</w:t>
      </w:r>
      <w:r w:rsidR="00EC46CC" w:rsidRPr="00772AC6">
        <w:rPr>
          <w:rFonts w:ascii="Book Antiqua" w:hAnsi="Book Antiqua" w:cs="Arial"/>
          <w:sz w:val="24"/>
          <w:szCs w:val="24"/>
        </w:rPr>
        <w:t xml:space="preserve"> diver</w:t>
      </w:r>
      <w:r w:rsidR="009C4F8E" w:rsidRPr="00772AC6">
        <w:rPr>
          <w:rFonts w:ascii="Book Antiqua" w:hAnsi="Book Antiqua" w:cs="Arial"/>
          <w:sz w:val="24"/>
          <w:szCs w:val="24"/>
        </w:rPr>
        <w:t>se cellular processes</w:t>
      </w:r>
      <w:r w:rsidR="006B7DF8" w:rsidRPr="00772AC6">
        <w:rPr>
          <w:rFonts w:ascii="Book Antiqua" w:hAnsi="Book Antiqua" w:cs="Arial"/>
          <w:sz w:val="24"/>
          <w:szCs w:val="24"/>
        </w:rPr>
        <w:t xml:space="preserve"> of ATX</w:t>
      </w:r>
      <w:r w:rsidR="009C4F8E" w:rsidRPr="00772AC6">
        <w:rPr>
          <w:rFonts w:ascii="Book Antiqua" w:hAnsi="Book Antiqua" w:cs="Arial"/>
          <w:sz w:val="24"/>
          <w:szCs w:val="24"/>
        </w:rPr>
        <w:t xml:space="preserve">, </w:t>
      </w:r>
      <w:r w:rsidR="00AC3177" w:rsidRPr="00772AC6">
        <w:rPr>
          <w:rFonts w:ascii="Book Antiqua" w:hAnsi="Book Antiqua" w:cs="Arial"/>
          <w:sz w:val="24"/>
          <w:szCs w:val="24"/>
        </w:rPr>
        <w:t xml:space="preserve">including </w:t>
      </w:r>
      <w:r w:rsidR="00E50B48" w:rsidRPr="00772AC6">
        <w:rPr>
          <w:rFonts w:ascii="Book Antiqua" w:hAnsi="Book Antiqua" w:cs="Arial"/>
          <w:sz w:val="24"/>
          <w:szCs w:val="24"/>
        </w:rPr>
        <w:t xml:space="preserve">proliferation, </w:t>
      </w:r>
      <w:r w:rsidR="00AC3177" w:rsidRPr="00772AC6">
        <w:rPr>
          <w:rFonts w:ascii="Book Antiqua" w:hAnsi="Book Antiqua" w:cs="Arial"/>
          <w:sz w:val="24"/>
          <w:szCs w:val="24"/>
        </w:rPr>
        <w:t xml:space="preserve">migration, neurogenesis, angiogenesis, </w:t>
      </w:r>
      <w:r w:rsidR="00BA0B16" w:rsidRPr="00772AC6">
        <w:rPr>
          <w:rFonts w:ascii="Book Antiqua" w:hAnsi="Book Antiqua" w:cs="Arial"/>
          <w:sz w:val="24"/>
          <w:szCs w:val="24"/>
        </w:rPr>
        <w:t>fibrogenesis</w:t>
      </w:r>
      <w:r w:rsidR="00AC3177" w:rsidRPr="00772AC6">
        <w:rPr>
          <w:rFonts w:ascii="Book Antiqua" w:hAnsi="Book Antiqua" w:cs="Arial"/>
          <w:sz w:val="24"/>
          <w:szCs w:val="24"/>
        </w:rPr>
        <w:t xml:space="preserve">, </w:t>
      </w:r>
      <w:r w:rsidR="00D778A7" w:rsidRPr="00772AC6">
        <w:rPr>
          <w:rFonts w:ascii="Book Antiqua" w:hAnsi="Book Antiqua" w:cs="Arial"/>
          <w:sz w:val="24"/>
          <w:szCs w:val="24"/>
        </w:rPr>
        <w:t xml:space="preserve">glucose homeostasis, insulin action, </w:t>
      </w:r>
      <w:r w:rsidR="00AC3177" w:rsidRPr="00772AC6">
        <w:rPr>
          <w:rFonts w:ascii="Book Antiqua" w:hAnsi="Book Antiqua" w:cs="Arial"/>
          <w:sz w:val="24"/>
          <w:szCs w:val="24"/>
        </w:rPr>
        <w:t>and</w:t>
      </w:r>
      <w:r w:rsidR="00BA0B16" w:rsidRPr="00772AC6">
        <w:rPr>
          <w:rFonts w:ascii="Book Antiqua" w:hAnsi="Book Antiqua" w:cs="Arial"/>
          <w:sz w:val="24"/>
          <w:szCs w:val="24"/>
        </w:rPr>
        <w:t xml:space="preserve"> cancer progression</w:t>
      </w:r>
      <w:r w:rsidR="00DD3ACA" w:rsidRPr="00772AC6">
        <w:rPr>
          <w:rFonts w:ascii="Book Antiqua" w:hAnsi="Book Antiqua" w:cs="Arial"/>
          <w:sz w:val="24"/>
          <w:szCs w:val="24"/>
          <w:vertAlign w:val="superscript"/>
        </w:rPr>
        <w:t>[</w:t>
      </w:r>
      <w:r w:rsidR="00B87BEA" w:rsidRPr="00772AC6">
        <w:rPr>
          <w:rFonts w:ascii="Book Antiqua" w:hAnsi="Book Antiqua" w:cs="Arial"/>
          <w:sz w:val="24"/>
          <w:szCs w:val="24"/>
          <w:vertAlign w:val="superscript"/>
        </w:rPr>
        <w:t>1</w:t>
      </w:r>
      <w:r w:rsidR="008B2720" w:rsidRPr="00772AC6">
        <w:rPr>
          <w:rFonts w:ascii="Book Antiqua" w:hAnsi="Book Antiqua" w:cs="Arial"/>
          <w:sz w:val="24"/>
          <w:szCs w:val="24"/>
          <w:vertAlign w:val="superscript"/>
        </w:rPr>
        <w:t>2</w:t>
      </w:r>
      <w:r w:rsidR="001B77E8" w:rsidRPr="00772AC6">
        <w:rPr>
          <w:rFonts w:ascii="Book Antiqua" w:hAnsi="Book Antiqua" w:cs="Arial"/>
          <w:sz w:val="24"/>
          <w:szCs w:val="24"/>
          <w:vertAlign w:val="superscript"/>
        </w:rPr>
        <w:t>-1</w:t>
      </w:r>
      <w:r w:rsidR="008B2720" w:rsidRPr="00772AC6">
        <w:rPr>
          <w:rFonts w:ascii="Book Antiqua" w:hAnsi="Book Antiqua" w:cs="Arial"/>
          <w:sz w:val="24"/>
          <w:szCs w:val="24"/>
          <w:vertAlign w:val="superscript"/>
        </w:rPr>
        <w:t>8</w:t>
      </w:r>
      <w:r w:rsidR="00DD3ACA" w:rsidRPr="00772AC6">
        <w:rPr>
          <w:rFonts w:ascii="Book Antiqua" w:hAnsi="Book Antiqua" w:cs="Arial"/>
          <w:sz w:val="24"/>
          <w:szCs w:val="24"/>
          <w:vertAlign w:val="superscript"/>
        </w:rPr>
        <w:t>]</w:t>
      </w:r>
      <w:r w:rsidR="006B7DF8" w:rsidRPr="00772AC6">
        <w:rPr>
          <w:rFonts w:ascii="Book Antiqua" w:hAnsi="Book Antiqua" w:cs="Arial"/>
          <w:sz w:val="24"/>
          <w:szCs w:val="24"/>
        </w:rPr>
        <w:t>. D</w:t>
      </w:r>
      <w:r w:rsidR="005C7BA2" w:rsidRPr="00772AC6">
        <w:rPr>
          <w:rFonts w:ascii="Book Antiqua" w:hAnsi="Book Antiqua" w:cs="Arial"/>
          <w:sz w:val="24"/>
          <w:szCs w:val="24"/>
        </w:rPr>
        <w:t xml:space="preserve">isrupted LPC metabolism </w:t>
      </w:r>
      <w:r w:rsidR="006B7DF8" w:rsidRPr="00772AC6">
        <w:rPr>
          <w:rFonts w:ascii="Book Antiqua" w:hAnsi="Book Antiqua" w:cs="Arial"/>
          <w:sz w:val="24"/>
          <w:szCs w:val="24"/>
        </w:rPr>
        <w:t xml:space="preserve">has been </w:t>
      </w:r>
      <w:r w:rsidR="005C7BA2" w:rsidRPr="00772AC6">
        <w:rPr>
          <w:rFonts w:ascii="Book Antiqua" w:hAnsi="Book Antiqua" w:cs="Arial"/>
          <w:sz w:val="24"/>
          <w:szCs w:val="24"/>
        </w:rPr>
        <w:t xml:space="preserve">reported in </w:t>
      </w:r>
      <w:r w:rsidR="006B7DF8" w:rsidRPr="00772AC6">
        <w:rPr>
          <w:rFonts w:ascii="Book Antiqua" w:hAnsi="Book Antiqua" w:cs="Arial"/>
          <w:sz w:val="24"/>
          <w:szCs w:val="24"/>
        </w:rPr>
        <w:t>murine</w:t>
      </w:r>
      <w:r w:rsidR="005C7BA2" w:rsidRPr="00772AC6">
        <w:rPr>
          <w:rFonts w:ascii="Book Antiqua" w:hAnsi="Book Antiqua" w:cs="Arial"/>
          <w:sz w:val="24"/>
          <w:szCs w:val="24"/>
        </w:rPr>
        <w:t xml:space="preserve"> NASH models</w:t>
      </w:r>
      <w:r w:rsidR="008B2720" w:rsidRPr="00772AC6">
        <w:rPr>
          <w:rFonts w:ascii="Book Antiqua" w:hAnsi="Book Antiqua" w:cs="Arial"/>
          <w:sz w:val="24"/>
          <w:szCs w:val="24"/>
          <w:vertAlign w:val="superscript"/>
        </w:rPr>
        <w:t>[</w:t>
      </w:r>
      <w:r w:rsidR="00DD3ACA" w:rsidRPr="00772AC6">
        <w:rPr>
          <w:rFonts w:ascii="Book Antiqua" w:hAnsi="Book Antiqua" w:cs="Arial"/>
          <w:sz w:val="24"/>
          <w:szCs w:val="24"/>
          <w:vertAlign w:val="superscript"/>
        </w:rPr>
        <w:t>19</w:t>
      </w:r>
      <w:r w:rsidR="008B2720" w:rsidRPr="00772AC6">
        <w:rPr>
          <w:rFonts w:ascii="Book Antiqua" w:hAnsi="Book Antiqua" w:cs="Arial"/>
          <w:sz w:val="24"/>
          <w:szCs w:val="24"/>
          <w:vertAlign w:val="superscript"/>
        </w:rPr>
        <w:t>,20</w:t>
      </w:r>
      <w:r w:rsidR="00DD3ACA" w:rsidRPr="00772AC6">
        <w:rPr>
          <w:rFonts w:ascii="Book Antiqua" w:hAnsi="Book Antiqua" w:cs="Arial"/>
          <w:sz w:val="24"/>
          <w:szCs w:val="24"/>
          <w:vertAlign w:val="superscript"/>
        </w:rPr>
        <w:t>]</w:t>
      </w:r>
      <w:r w:rsidR="005C7BA2" w:rsidRPr="00772AC6">
        <w:rPr>
          <w:rFonts w:ascii="Book Antiqua" w:hAnsi="Book Antiqua" w:cs="Arial"/>
          <w:sz w:val="24"/>
          <w:szCs w:val="24"/>
        </w:rPr>
        <w:t xml:space="preserve">. </w:t>
      </w:r>
    </w:p>
    <w:p w:rsidR="008654E5" w:rsidRPr="00772AC6" w:rsidRDefault="00C070B3" w:rsidP="008F65BE">
      <w:pPr>
        <w:pStyle w:val="15"/>
        <w:adjustRightInd w:val="0"/>
        <w:snapToGrid w:val="0"/>
        <w:ind w:firstLineChars="100" w:firstLine="240"/>
        <w:rPr>
          <w:rFonts w:ascii="Book Antiqua" w:hAnsi="Book Antiqua" w:cs="Arial"/>
          <w:sz w:val="24"/>
          <w:szCs w:val="24"/>
          <w:lang w:val="en-CA"/>
        </w:rPr>
      </w:pPr>
      <w:r w:rsidRPr="00772AC6">
        <w:rPr>
          <w:rFonts w:ascii="Book Antiqua" w:hAnsi="Book Antiqua" w:cs="Arial"/>
          <w:sz w:val="24"/>
          <w:szCs w:val="24"/>
        </w:rPr>
        <w:t>ATX is synthesized by a vari</w:t>
      </w:r>
      <w:r w:rsidR="00EA0EE4" w:rsidRPr="00772AC6">
        <w:rPr>
          <w:rFonts w:ascii="Book Antiqua" w:hAnsi="Book Antiqua" w:cs="Arial"/>
          <w:sz w:val="24"/>
          <w:szCs w:val="24"/>
        </w:rPr>
        <w:t xml:space="preserve">ety of normal cells and tissues, secreted into the circulation as a glycoprotein, </w:t>
      </w:r>
      <w:r w:rsidRPr="00772AC6">
        <w:rPr>
          <w:rFonts w:ascii="Book Antiqua" w:hAnsi="Book Antiqua" w:cs="Arial"/>
          <w:sz w:val="24"/>
          <w:szCs w:val="24"/>
        </w:rPr>
        <w:t xml:space="preserve">and </w:t>
      </w:r>
      <w:r w:rsidR="006B7DF8" w:rsidRPr="00772AC6">
        <w:rPr>
          <w:rFonts w:ascii="Book Antiqua" w:hAnsi="Book Antiqua" w:cs="Arial"/>
          <w:sz w:val="24"/>
          <w:szCs w:val="24"/>
        </w:rPr>
        <w:t xml:space="preserve">later </w:t>
      </w:r>
      <w:r w:rsidR="002D3B96" w:rsidRPr="00772AC6">
        <w:rPr>
          <w:rFonts w:ascii="Book Antiqua" w:hAnsi="Book Antiqua" w:cs="Arial"/>
          <w:sz w:val="24"/>
          <w:szCs w:val="24"/>
        </w:rPr>
        <w:t>degrad</w:t>
      </w:r>
      <w:r w:rsidR="00EA0EE4" w:rsidRPr="00772AC6">
        <w:rPr>
          <w:rFonts w:ascii="Book Antiqua" w:hAnsi="Book Antiqua" w:cs="Arial"/>
          <w:sz w:val="24"/>
          <w:szCs w:val="24"/>
        </w:rPr>
        <w:t>ed</w:t>
      </w:r>
      <w:r w:rsidR="004918A4" w:rsidRPr="00772AC6">
        <w:rPr>
          <w:rFonts w:ascii="Book Antiqua" w:hAnsi="Book Antiqua" w:cs="Arial"/>
          <w:sz w:val="24"/>
          <w:szCs w:val="24"/>
        </w:rPr>
        <w:t xml:space="preserve"> </w:t>
      </w:r>
      <w:r w:rsidRPr="00772AC6">
        <w:rPr>
          <w:rFonts w:ascii="Book Antiqua" w:hAnsi="Book Antiqua" w:cs="Arial"/>
          <w:sz w:val="24"/>
          <w:szCs w:val="24"/>
        </w:rPr>
        <w:t xml:space="preserve">by liver sinusoidal endothelial </w:t>
      </w:r>
      <w:r w:rsidR="000813C9" w:rsidRPr="00772AC6">
        <w:rPr>
          <w:rFonts w:ascii="Book Antiqua" w:hAnsi="Book Antiqua" w:cs="Arial"/>
          <w:sz w:val="24"/>
          <w:szCs w:val="24"/>
        </w:rPr>
        <w:t>cells</w:t>
      </w:r>
      <w:r w:rsidR="008B2720" w:rsidRPr="00772AC6">
        <w:rPr>
          <w:rFonts w:ascii="Book Antiqua" w:hAnsi="Book Antiqua" w:cs="Arial"/>
          <w:sz w:val="24"/>
          <w:szCs w:val="24"/>
          <w:vertAlign w:val="superscript"/>
        </w:rPr>
        <w:t>[21</w:t>
      </w:r>
      <w:r w:rsidR="000813C9" w:rsidRPr="00772AC6">
        <w:rPr>
          <w:rFonts w:ascii="Book Antiqua" w:hAnsi="Book Antiqua" w:cs="Arial"/>
          <w:sz w:val="24"/>
          <w:szCs w:val="24"/>
          <w:vertAlign w:val="superscript"/>
        </w:rPr>
        <w:t>]</w:t>
      </w:r>
      <w:r w:rsidRPr="00772AC6">
        <w:rPr>
          <w:rFonts w:ascii="Book Antiqua" w:hAnsi="Book Antiqua" w:cs="Arial"/>
          <w:sz w:val="24"/>
          <w:szCs w:val="24"/>
        </w:rPr>
        <w:t xml:space="preserve">. Serum ATX </w:t>
      </w:r>
      <w:r w:rsidR="00772FC3" w:rsidRPr="00772AC6">
        <w:rPr>
          <w:rFonts w:ascii="Book Antiqua" w:hAnsi="Book Antiqua" w:cs="Arial"/>
          <w:sz w:val="24"/>
          <w:szCs w:val="24"/>
        </w:rPr>
        <w:t>level</w:t>
      </w:r>
      <w:r w:rsidR="00AF5AAB" w:rsidRPr="00772AC6">
        <w:rPr>
          <w:rFonts w:ascii="Book Antiqua" w:hAnsi="Book Antiqua" w:cs="Arial"/>
          <w:sz w:val="24"/>
          <w:szCs w:val="24"/>
        </w:rPr>
        <w:t>s</w:t>
      </w:r>
      <w:r w:rsidR="00772FC3" w:rsidRPr="00772AC6">
        <w:rPr>
          <w:rFonts w:ascii="Book Antiqua" w:hAnsi="Book Antiqua" w:cs="Arial"/>
          <w:sz w:val="24"/>
          <w:szCs w:val="24"/>
        </w:rPr>
        <w:t xml:space="preserve"> </w:t>
      </w:r>
      <w:r w:rsidR="00AF5AAB" w:rsidRPr="00772AC6">
        <w:rPr>
          <w:rFonts w:ascii="Book Antiqua" w:hAnsi="Book Antiqua" w:cs="Arial"/>
          <w:sz w:val="24"/>
          <w:szCs w:val="24"/>
        </w:rPr>
        <w:t>are</w:t>
      </w:r>
      <w:r w:rsidRPr="00772AC6">
        <w:rPr>
          <w:rFonts w:ascii="Book Antiqua" w:hAnsi="Book Antiqua" w:cs="Arial"/>
          <w:sz w:val="24"/>
          <w:szCs w:val="24"/>
        </w:rPr>
        <w:t xml:space="preserve"> reportedly increased </w:t>
      </w:r>
      <w:r w:rsidR="006B7DF8" w:rsidRPr="00772AC6">
        <w:rPr>
          <w:rFonts w:ascii="Book Antiqua" w:hAnsi="Book Antiqua" w:cs="Arial"/>
          <w:sz w:val="24"/>
          <w:szCs w:val="24"/>
        </w:rPr>
        <w:t xml:space="preserve">during </w:t>
      </w:r>
      <w:r w:rsidR="00772FC3" w:rsidRPr="00772AC6">
        <w:rPr>
          <w:rFonts w:ascii="Book Antiqua" w:hAnsi="Book Antiqua" w:cs="Arial"/>
          <w:sz w:val="24"/>
          <w:szCs w:val="24"/>
        </w:rPr>
        <w:t>the progression of pregnancy</w:t>
      </w:r>
      <w:r w:rsidR="000813C9" w:rsidRPr="00772AC6">
        <w:rPr>
          <w:rFonts w:ascii="Book Antiqua" w:hAnsi="Book Antiqua" w:cs="Arial"/>
          <w:sz w:val="24"/>
          <w:szCs w:val="24"/>
          <w:vertAlign w:val="superscript"/>
        </w:rPr>
        <w:t>[</w:t>
      </w:r>
      <w:r w:rsidR="00555260" w:rsidRPr="00772AC6">
        <w:rPr>
          <w:rFonts w:ascii="Book Antiqua" w:hAnsi="Book Antiqua" w:cs="Arial"/>
          <w:sz w:val="24"/>
          <w:szCs w:val="24"/>
          <w:vertAlign w:val="superscript"/>
        </w:rPr>
        <w:t>2</w:t>
      </w:r>
      <w:r w:rsidR="008B2720" w:rsidRPr="00772AC6">
        <w:rPr>
          <w:rFonts w:ascii="Book Antiqua" w:hAnsi="Book Antiqua" w:cs="Arial"/>
          <w:sz w:val="24"/>
          <w:szCs w:val="24"/>
          <w:vertAlign w:val="superscript"/>
        </w:rPr>
        <w:t>2</w:t>
      </w:r>
      <w:r w:rsidR="000813C9" w:rsidRPr="00772AC6">
        <w:rPr>
          <w:rFonts w:ascii="Book Antiqua" w:hAnsi="Book Antiqua" w:cs="Arial"/>
          <w:sz w:val="24"/>
          <w:szCs w:val="24"/>
          <w:vertAlign w:val="superscript"/>
        </w:rPr>
        <w:t>]</w:t>
      </w:r>
      <w:r w:rsidR="006D24E6" w:rsidRPr="00772AC6">
        <w:rPr>
          <w:rFonts w:ascii="Book Antiqua" w:hAnsi="Book Antiqua" w:cs="Arial"/>
          <w:sz w:val="24"/>
          <w:szCs w:val="24"/>
        </w:rPr>
        <w:t xml:space="preserve"> and </w:t>
      </w:r>
      <w:r w:rsidR="00772FC3" w:rsidRPr="00772AC6">
        <w:rPr>
          <w:rFonts w:ascii="Book Antiqua" w:hAnsi="Book Antiqua" w:cs="Arial"/>
          <w:sz w:val="24"/>
          <w:szCs w:val="24"/>
        </w:rPr>
        <w:t xml:space="preserve">in </w:t>
      </w:r>
      <w:r w:rsidR="00317032" w:rsidRPr="00772AC6">
        <w:rPr>
          <w:rFonts w:ascii="Book Antiqua" w:hAnsi="Book Antiqua" w:cs="Arial"/>
          <w:sz w:val="24"/>
          <w:szCs w:val="24"/>
        </w:rPr>
        <w:t>patients with idiopathic pulmonary fibrosis</w:t>
      </w:r>
      <w:r w:rsidR="00772FC3" w:rsidRPr="00772AC6">
        <w:rPr>
          <w:rFonts w:ascii="Book Antiqua" w:hAnsi="Book Antiqua" w:cs="Arial"/>
          <w:sz w:val="24"/>
          <w:szCs w:val="24"/>
        </w:rPr>
        <w:t xml:space="preserve"> </w:t>
      </w:r>
      <w:r w:rsidR="006B7DF8" w:rsidRPr="00772AC6">
        <w:rPr>
          <w:rFonts w:ascii="Book Antiqua" w:hAnsi="Book Antiqua" w:cs="Arial"/>
          <w:sz w:val="24"/>
          <w:szCs w:val="24"/>
        </w:rPr>
        <w:t xml:space="preserve">or </w:t>
      </w:r>
      <w:r w:rsidR="00772FC3" w:rsidRPr="00772AC6">
        <w:rPr>
          <w:rFonts w:ascii="Book Antiqua" w:hAnsi="Book Antiqua" w:cs="Arial"/>
          <w:sz w:val="24"/>
          <w:szCs w:val="24"/>
        </w:rPr>
        <w:t xml:space="preserve">some </w:t>
      </w:r>
      <w:r w:rsidR="00AF5AAB" w:rsidRPr="00772AC6">
        <w:rPr>
          <w:rFonts w:ascii="Book Antiqua" w:hAnsi="Book Antiqua" w:cs="Arial"/>
          <w:sz w:val="24"/>
          <w:szCs w:val="24"/>
        </w:rPr>
        <w:t xml:space="preserve">kinds of </w:t>
      </w:r>
      <w:r w:rsidR="00772FC3" w:rsidRPr="00772AC6">
        <w:rPr>
          <w:rFonts w:ascii="Book Antiqua" w:hAnsi="Book Antiqua" w:cs="Arial"/>
          <w:sz w:val="24"/>
          <w:szCs w:val="24"/>
        </w:rPr>
        <w:t>cancers</w:t>
      </w:r>
      <w:r w:rsidR="008B2720" w:rsidRPr="00772AC6">
        <w:rPr>
          <w:rFonts w:ascii="Book Antiqua" w:hAnsi="Book Antiqua" w:cs="Arial"/>
          <w:sz w:val="24"/>
          <w:szCs w:val="24"/>
          <w:vertAlign w:val="superscript"/>
        </w:rPr>
        <w:t>[23-25</w:t>
      </w:r>
      <w:r w:rsidR="000813C9" w:rsidRPr="00772AC6">
        <w:rPr>
          <w:rFonts w:ascii="Book Antiqua" w:hAnsi="Book Antiqua" w:cs="Arial"/>
          <w:sz w:val="24"/>
          <w:szCs w:val="24"/>
          <w:vertAlign w:val="superscript"/>
        </w:rPr>
        <w:t>]</w:t>
      </w:r>
      <w:r w:rsidR="00317032" w:rsidRPr="00772AC6">
        <w:rPr>
          <w:rFonts w:ascii="Book Antiqua" w:hAnsi="Book Antiqua" w:cs="Arial"/>
          <w:sz w:val="24"/>
          <w:szCs w:val="24"/>
        </w:rPr>
        <w:t xml:space="preserve">. </w:t>
      </w:r>
      <w:r w:rsidRPr="00772AC6">
        <w:rPr>
          <w:rFonts w:ascii="Book Antiqua" w:hAnsi="Book Antiqua" w:cs="Arial"/>
          <w:sz w:val="24"/>
          <w:szCs w:val="24"/>
        </w:rPr>
        <w:t>R</w:t>
      </w:r>
      <w:r w:rsidR="00E50B48" w:rsidRPr="00772AC6">
        <w:rPr>
          <w:rFonts w:ascii="Book Antiqua" w:hAnsi="Book Antiqua" w:cs="Arial"/>
          <w:sz w:val="24"/>
          <w:szCs w:val="24"/>
        </w:rPr>
        <w:t xml:space="preserve">ecently, </w:t>
      </w:r>
      <w:r w:rsidR="006B7DF8" w:rsidRPr="00772AC6">
        <w:rPr>
          <w:rFonts w:ascii="Book Antiqua" w:hAnsi="Book Antiqua" w:cs="Arial"/>
          <w:sz w:val="24"/>
          <w:szCs w:val="24"/>
        </w:rPr>
        <w:t xml:space="preserve">elevated </w:t>
      </w:r>
      <w:r w:rsidR="00E50B48" w:rsidRPr="00772AC6">
        <w:rPr>
          <w:rFonts w:ascii="Book Antiqua" w:hAnsi="Book Antiqua" w:cs="Arial"/>
          <w:sz w:val="24"/>
          <w:szCs w:val="24"/>
        </w:rPr>
        <w:t>ser</w:t>
      </w:r>
      <w:r w:rsidR="00471C20" w:rsidRPr="00772AC6">
        <w:rPr>
          <w:rFonts w:ascii="Book Antiqua" w:hAnsi="Book Antiqua" w:cs="Arial"/>
          <w:sz w:val="24"/>
          <w:szCs w:val="24"/>
        </w:rPr>
        <w:t xml:space="preserve">um ATX has </w:t>
      </w:r>
      <w:r w:rsidR="00AF5AAB" w:rsidRPr="00772AC6">
        <w:rPr>
          <w:rFonts w:ascii="Book Antiqua" w:hAnsi="Book Antiqua" w:cs="Arial"/>
          <w:sz w:val="24"/>
          <w:szCs w:val="24"/>
        </w:rPr>
        <w:t xml:space="preserve">also </w:t>
      </w:r>
      <w:r w:rsidR="00471C20" w:rsidRPr="00772AC6">
        <w:rPr>
          <w:rFonts w:ascii="Book Antiqua" w:hAnsi="Book Antiqua" w:cs="Arial"/>
          <w:sz w:val="24"/>
          <w:szCs w:val="24"/>
        </w:rPr>
        <w:t xml:space="preserve">been </w:t>
      </w:r>
      <w:r w:rsidR="006B7DF8" w:rsidRPr="00772AC6">
        <w:rPr>
          <w:rFonts w:ascii="Book Antiqua" w:hAnsi="Book Antiqua" w:cs="Arial"/>
          <w:sz w:val="24"/>
          <w:szCs w:val="24"/>
        </w:rPr>
        <w:t xml:space="preserve">implicated in </w:t>
      </w:r>
      <w:r w:rsidRPr="00772AC6">
        <w:rPr>
          <w:rFonts w:ascii="Book Antiqua" w:hAnsi="Book Antiqua" w:cs="Arial"/>
          <w:sz w:val="24"/>
          <w:szCs w:val="24"/>
        </w:rPr>
        <w:t xml:space="preserve">fibrosis progression in </w:t>
      </w:r>
      <w:r w:rsidR="00356E0E" w:rsidRPr="00772AC6">
        <w:rPr>
          <w:rFonts w:ascii="Book Antiqua" w:hAnsi="Book Antiqua" w:cs="Arial"/>
          <w:sz w:val="24"/>
          <w:szCs w:val="24"/>
        </w:rPr>
        <w:t>chronic hepatitis C</w:t>
      </w:r>
      <w:r w:rsidR="008B2720" w:rsidRPr="00772AC6">
        <w:rPr>
          <w:rFonts w:ascii="Book Antiqua" w:hAnsi="Book Antiqua" w:cs="Arial"/>
          <w:sz w:val="24"/>
          <w:szCs w:val="24"/>
          <w:vertAlign w:val="superscript"/>
        </w:rPr>
        <w:t>[</w:t>
      </w:r>
      <w:r w:rsidR="00450F24" w:rsidRPr="00772AC6">
        <w:rPr>
          <w:rFonts w:ascii="Book Antiqua" w:hAnsi="Book Antiqua" w:cs="Arial"/>
          <w:sz w:val="24"/>
          <w:szCs w:val="24"/>
          <w:vertAlign w:val="superscript"/>
        </w:rPr>
        <w:t>26</w:t>
      </w:r>
      <w:r w:rsidR="008B2720" w:rsidRPr="00772AC6">
        <w:rPr>
          <w:rFonts w:ascii="Book Antiqua" w:hAnsi="Book Antiqua" w:cs="Arial"/>
          <w:sz w:val="24"/>
          <w:szCs w:val="24"/>
          <w:vertAlign w:val="superscript"/>
        </w:rPr>
        <w:t>,27</w:t>
      </w:r>
      <w:r w:rsidR="00450F24" w:rsidRPr="00772AC6">
        <w:rPr>
          <w:rFonts w:ascii="Book Antiqua" w:hAnsi="Book Antiqua" w:cs="Arial"/>
          <w:sz w:val="24"/>
          <w:szCs w:val="24"/>
          <w:vertAlign w:val="superscript"/>
        </w:rPr>
        <w:t>]</w:t>
      </w:r>
      <w:r w:rsidR="0069786F" w:rsidRPr="00772AC6">
        <w:rPr>
          <w:rFonts w:ascii="Book Antiqua" w:hAnsi="Book Antiqua" w:cs="Arial"/>
          <w:sz w:val="24"/>
          <w:szCs w:val="24"/>
        </w:rPr>
        <w:t>,</w:t>
      </w:r>
      <w:r w:rsidR="00356E0E" w:rsidRPr="00772AC6">
        <w:rPr>
          <w:rFonts w:ascii="Book Antiqua" w:hAnsi="Book Antiqua" w:cs="Arial"/>
          <w:sz w:val="24"/>
          <w:szCs w:val="24"/>
        </w:rPr>
        <w:t xml:space="preserve"> </w:t>
      </w:r>
      <w:r w:rsidR="006B7DF8" w:rsidRPr="00772AC6">
        <w:rPr>
          <w:rFonts w:ascii="Book Antiqua" w:hAnsi="Book Antiqua" w:cs="Arial"/>
          <w:sz w:val="24"/>
          <w:szCs w:val="24"/>
        </w:rPr>
        <w:t xml:space="preserve">for which the </w:t>
      </w:r>
      <w:r w:rsidR="002A043A" w:rsidRPr="00772AC6">
        <w:rPr>
          <w:rFonts w:ascii="Book Antiqua" w:hAnsi="Book Antiqua" w:cs="Arial"/>
          <w:sz w:val="24"/>
          <w:szCs w:val="24"/>
        </w:rPr>
        <w:t xml:space="preserve">retarded </w:t>
      </w:r>
      <w:r w:rsidR="007A282D" w:rsidRPr="00772AC6">
        <w:rPr>
          <w:rFonts w:ascii="Book Antiqua" w:hAnsi="Book Antiqua" w:cs="Arial"/>
          <w:sz w:val="24"/>
          <w:szCs w:val="24"/>
        </w:rPr>
        <w:t xml:space="preserve">degradation </w:t>
      </w:r>
      <w:r w:rsidR="002A043A" w:rsidRPr="00772AC6">
        <w:rPr>
          <w:rFonts w:ascii="Book Antiqua" w:hAnsi="Book Antiqua" w:cs="Arial"/>
          <w:sz w:val="24"/>
          <w:szCs w:val="24"/>
        </w:rPr>
        <w:t xml:space="preserve">of </w:t>
      </w:r>
      <w:r w:rsidR="00AF4AB8" w:rsidRPr="00772AC6">
        <w:rPr>
          <w:rFonts w:ascii="Book Antiqua" w:hAnsi="Book Antiqua" w:cs="Arial"/>
          <w:sz w:val="24"/>
          <w:szCs w:val="24"/>
        </w:rPr>
        <w:t>circulating</w:t>
      </w:r>
      <w:r w:rsidR="002A043A" w:rsidRPr="00772AC6">
        <w:rPr>
          <w:rFonts w:ascii="Book Antiqua" w:hAnsi="Book Antiqua" w:cs="Arial"/>
          <w:sz w:val="24"/>
          <w:szCs w:val="24"/>
        </w:rPr>
        <w:t xml:space="preserve"> ATX </w:t>
      </w:r>
      <w:r w:rsidR="007A282D" w:rsidRPr="00772AC6">
        <w:rPr>
          <w:rFonts w:ascii="Book Antiqua" w:hAnsi="Book Antiqua" w:cs="Arial"/>
          <w:sz w:val="24"/>
          <w:szCs w:val="24"/>
        </w:rPr>
        <w:t>due to</w:t>
      </w:r>
      <w:r w:rsidR="00AF4AB8" w:rsidRPr="00772AC6">
        <w:rPr>
          <w:rFonts w:ascii="Book Antiqua" w:hAnsi="Book Antiqua" w:cs="Arial"/>
          <w:sz w:val="24"/>
          <w:szCs w:val="24"/>
        </w:rPr>
        <w:t xml:space="preserve"> liver sinusoidal endothelial </w:t>
      </w:r>
      <w:r w:rsidR="006B7DF8" w:rsidRPr="00772AC6">
        <w:rPr>
          <w:rFonts w:ascii="Book Antiqua" w:hAnsi="Book Antiqua" w:cs="Arial"/>
          <w:sz w:val="24"/>
          <w:szCs w:val="24"/>
        </w:rPr>
        <w:t xml:space="preserve">cell </w:t>
      </w:r>
      <w:r w:rsidR="00AF4AB8" w:rsidRPr="00772AC6">
        <w:rPr>
          <w:rFonts w:ascii="Book Antiqua" w:hAnsi="Book Antiqua" w:cs="Arial"/>
          <w:sz w:val="24"/>
          <w:szCs w:val="24"/>
        </w:rPr>
        <w:lastRenderedPageBreak/>
        <w:t xml:space="preserve">dysfunction </w:t>
      </w:r>
      <w:r w:rsidR="006B7DF8" w:rsidRPr="00772AC6">
        <w:rPr>
          <w:rFonts w:ascii="Book Antiqua" w:hAnsi="Book Antiqua" w:cs="Arial"/>
          <w:sz w:val="24"/>
          <w:szCs w:val="24"/>
        </w:rPr>
        <w:t xml:space="preserve">from </w:t>
      </w:r>
      <w:r w:rsidR="00AF4AB8" w:rsidRPr="00772AC6">
        <w:rPr>
          <w:rFonts w:ascii="Book Antiqua" w:hAnsi="Book Antiqua" w:cs="Arial"/>
          <w:sz w:val="24"/>
          <w:szCs w:val="24"/>
        </w:rPr>
        <w:t>liver fibrosi</w:t>
      </w:r>
      <w:r w:rsidR="007A282D" w:rsidRPr="00772AC6">
        <w:rPr>
          <w:rFonts w:ascii="Book Antiqua" w:hAnsi="Book Antiqua" w:cs="Arial"/>
          <w:sz w:val="24"/>
          <w:szCs w:val="24"/>
        </w:rPr>
        <w:t xml:space="preserve">s </w:t>
      </w:r>
      <w:r w:rsidR="006B7DF8" w:rsidRPr="00772AC6">
        <w:rPr>
          <w:rFonts w:ascii="Book Antiqua" w:hAnsi="Book Antiqua" w:cs="Arial"/>
          <w:sz w:val="24"/>
          <w:szCs w:val="24"/>
        </w:rPr>
        <w:t xml:space="preserve">was </w:t>
      </w:r>
      <w:r w:rsidR="007A282D" w:rsidRPr="00772AC6">
        <w:rPr>
          <w:rFonts w:ascii="Book Antiqua" w:hAnsi="Book Antiqua" w:cs="Arial"/>
          <w:sz w:val="24"/>
          <w:szCs w:val="24"/>
        </w:rPr>
        <w:t xml:space="preserve">considered </w:t>
      </w:r>
      <w:r w:rsidR="006B7DF8" w:rsidRPr="00772AC6">
        <w:rPr>
          <w:rFonts w:ascii="Book Antiqua" w:hAnsi="Book Antiqua" w:cs="Arial"/>
          <w:sz w:val="24"/>
          <w:szCs w:val="24"/>
        </w:rPr>
        <w:t xml:space="preserve">a </w:t>
      </w:r>
      <w:r w:rsidR="007A282D" w:rsidRPr="00772AC6">
        <w:rPr>
          <w:rFonts w:ascii="Book Antiqua" w:hAnsi="Book Antiqua" w:cs="Arial"/>
          <w:sz w:val="24"/>
          <w:szCs w:val="24"/>
        </w:rPr>
        <w:t>main mechanism</w:t>
      </w:r>
      <w:r w:rsidR="00450F24" w:rsidRPr="00772AC6">
        <w:rPr>
          <w:rFonts w:ascii="Book Antiqua" w:hAnsi="Book Antiqua" w:cs="Arial"/>
          <w:sz w:val="24"/>
          <w:szCs w:val="24"/>
          <w:vertAlign w:val="superscript"/>
        </w:rPr>
        <w:t>[</w:t>
      </w:r>
      <w:r w:rsidR="008B2720" w:rsidRPr="00772AC6">
        <w:rPr>
          <w:rFonts w:ascii="Book Antiqua" w:hAnsi="Book Antiqua" w:cs="Arial"/>
          <w:sz w:val="24"/>
          <w:szCs w:val="24"/>
          <w:vertAlign w:val="superscript"/>
        </w:rPr>
        <w:t>28</w:t>
      </w:r>
      <w:r w:rsidR="00450F24" w:rsidRPr="00772AC6">
        <w:rPr>
          <w:rFonts w:ascii="Book Antiqua" w:hAnsi="Book Antiqua" w:cs="Arial"/>
          <w:sz w:val="24"/>
          <w:szCs w:val="24"/>
          <w:vertAlign w:val="superscript"/>
        </w:rPr>
        <w:t>]</w:t>
      </w:r>
      <w:r w:rsidR="007A282D" w:rsidRPr="00772AC6">
        <w:rPr>
          <w:rFonts w:ascii="Book Antiqua" w:hAnsi="Book Antiqua" w:cs="Arial"/>
          <w:sz w:val="24"/>
          <w:szCs w:val="24"/>
        </w:rPr>
        <w:t xml:space="preserve">. </w:t>
      </w:r>
      <w:r w:rsidR="001A59C2" w:rsidRPr="00772AC6">
        <w:rPr>
          <w:rFonts w:ascii="Book Antiqua" w:hAnsi="Book Antiqua" w:cs="Arial"/>
          <w:sz w:val="24"/>
          <w:szCs w:val="24"/>
        </w:rPr>
        <w:t>Perisinusoidal fi</w:t>
      </w:r>
      <w:r w:rsidR="005F24A7" w:rsidRPr="00772AC6">
        <w:rPr>
          <w:rFonts w:ascii="Book Antiqua" w:hAnsi="Book Antiqua" w:cs="Arial"/>
          <w:sz w:val="24"/>
          <w:szCs w:val="24"/>
        </w:rPr>
        <w:t xml:space="preserve">brosis is </w:t>
      </w:r>
      <w:r w:rsidR="006B7DF8" w:rsidRPr="00772AC6">
        <w:rPr>
          <w:rFonts w:ascii="Book Antiqua" w:hAnsi="Book Antiqua" w:cs="Arial"/>
          <w:sz w:val="24"/>
          <w:szCs w:val="24"/>
        </w:rPr>
        <w:t xml:space="preserve">more frequently </w:t>
      </w:r>
      <w:r w:rsidR="005F24A7" w:rsidRPr="00772AC6">
        <w:rPr>
          <w:rFonts w:ascii="Book Antiqua" w:hAnsi="Book Antiqua" w:cs="Arial"/>
          <w:sz w:val="24"/>
          <w:szCs w:val="24"/>
        </w:rPr>
        <w:t xml:space="preserve">detected in alcoholic and </w:t>
      </w:r>
      <w:r w:rsidR="001A59C2" w:rsidRPr="00772AC6">
        <w:rPr>
          <w:rFonts w:ascii="Book Antiqua" w:hAnsi="Book Antiqua" w:cs="Arial"/>
          <w:sz w:val="24"/>
          <w:szCs w:val="24"/>
        </w:rPr>
        <w:t xml:space="preserve">non-alcoholic steatohepatitis </w:t>
      </w:r>
      <w:r w:rsidR="006B7DF8" w:rsidRPr="00772AC6">
        <w:rPr>
          <w:rFonts w:ascii="Book Antiqua" w:hAnsi="Book Antiqua" w:cs="Arial"/>
          <w:sz w:val="24"/>
          <w:szCs w:val="24"/>
        </w:rPr>
        <w:t xml:space="preserve">than in </w:t>
      </w:r>
      <w:r w:rsidR="001A59C2" w:rsidRPr="00772AC6">
        <w:rPr>
          <w:rFonts w:ascii="Book Antiqua" w:hAnsi="Book Antiqua" w:cs="Arial"/>
          <w:sz w:val="24"/>
          <w:szCs w:val="24"/>
        </w:rPr>
        <w:t>viral hepatitis</w:t>
      </w:r>
      <w:r w:rsidR="005F24A7" w:rsidRPr="00772AC6">
        <w:rPr>
          <w:rFonts w:ascii="Book Antiqua" w:hAnsi="Book Antiqua" w:cs="Arial"/>
          <w:sz w:val="24"/>
          <w:szCs w:val="24"/>
        </w:rPr>
        <w:t xml:space="preserve">, </w:t>
      </w:r>
      <w:r w:rsidR="006B7DF8" w:rsidRPr="00772AC6">
        <w:rPr>
          <w:rFonts w:ascii="Book Antiqua" w:hAnsi="Book Antiqua" w:cs="Arial"/>
          <w:sz w:val="24"/>
          <w:szCs w:val="24"/>
        </w:rPr>
        <w:t xml:space="preserve">with </w:t>
      </w:r>
      <w:r w:rsidR="001A59C2" w:rsidRPr="00772AC6">
        <w:rPr>
          <w:rFonts w:ascii="Book Antiqua" w:hAnsi="Book Antiqua" w:cs="Arial"/>
          <w:sz w:val="24"/>
          <w:szCs w:val="24"/>
        </w:rPr>
        <w:t xml:space="preserve">sinusoidal endothelial dysfunction also </w:t>
      </w:r>
      <w:r w:rsidR="008654E5" w:rsidRPr="00772AC6">
        <w:rPr>
          <w:rFonts w:ascii="Book Antiqua" w:hAnsi="Book Antiqua" w:cs="Arial"/>
          <w:sz w:val="24"/>
          <w:szCs w:val="24"/>
        </w:rPr>
        <w:t xml:space="preserve">being </w:t>
      </w:r>
      <w:r w:rsidR="006B7DF8" w:rsidRPr="00772AC6">
        <w:rPr>
          <w:rFonts w:ascii="Book Antiqua" w:hAnsi="Book Antiqua" w:cs="Arial"/>
          <w:sz w:val="24"/>
          <w:szCs w:val="24"/>
        </w:rPr>
        <w:t xml:space="preserve">reported </w:t>
      </w:r>
      <w:r w:rsidR="001A59C2" w:rsidRPr="00772AC6">
        <w:rPr>
          <w:rFonts w:ascii="Book Antiqua" w:hAnsi="Book Antiqua" w:cs="Arial"/>
          <w:sz w:val="24"/>
          <w:szCs w:val="24"/>
        </w:rPr>
        <w:t>in NAFLD</w:t>
      </w:r>
      <w:r w:rsidR="008B2720" w:rsidRPr="00772AC6">
        <w:rPr>
          <w:rFonts w:ascii="Book Antiqua" w:hAnsi="Book Antiqua" w:cs="Arial"/>
          <w:sz w:val="24"/>
          <w:szCs w:val="24"/>
          <w:vertAlign w:val="superscript"/>
        </w:rPr>
        <w:t>[29</w:t>
      </w:r>
      <w:r w:rsidR="00450F24" w:rsidRPr="00772AC6">
        <w:rPr>
          <w:rFonts w:ascii="Book Antiqua" w:hAnsi="Book Antiqua" w:cs="Arial"/>
          <w:sz w:val="24"/>
          <w:szCs w:val="24"/>
          <w:vertAlign w:val="superscript"/>
        </w:rPr>
        <w:t>]</w:t>
      </w:r>
      <w:r w:rsidR="001A59C2" w:rsidRPr="00772AC6">
        <w:rPr>
          <w:rFonts w:ascii="Book Antiqua" w:hAnsi="Book Antiqua" w:cs="Arial"/>
          <w:sz w:val="24"/>
          <w:szCs w:val="24"/>
        </w:rPr>
        <w:t>.</w:t>
      </w:r>
    </w:p>
    <w:p w:rsidR="00480447" w:rsidRPr="00772AC6" w:rsidRDefault="0013171F" w:rsidP="006F4F8A">
      <w:pPr>
        <w:pStyle w:val="15"/>
        <w:adjustRightInd w:val="0"/>
        <w:snapToGrid w:val="0"/>
        <w:ind w:firstLineChars="100" w:firstLine="240"/>
        <w:rPr>
          <w:rFonts w:ascii="Book Antiqua" w:hAnsi="Book Antiqua" w:cs="Arial"/>
          <w:sz w:val="24"/>
          <w:szCs w:val="24"/>
        </w:rPr>
      </w:pPr>
      <w:r w:rsidRPr="00772AC6">
        <w:rPr>
          <w:rFonts w:ascii="Book Antiqua" w:hAnsi="Book Antiqua" w:cs="Arial"/>
          <w:sz w:val="24"/>
          <w:szCs w:val="24"/>
        </w:rPr>
        <w:t>Base</w:t>
      </w:r>
      <w:r w:rsidR="00D0484C" w:rsidRPr="00772AC6">
        <w:rPr>
          <w:rFonts w:ascii="Book Antiqua" w:hAnsi="Book Antiqua" w:cs="Arial"/>
          <w:sz w:val="24"/>
          <w:szCs w:val="24"/>
        </w:rPr>
        <w:t>d on the</w:t>
      </w:r>
      <w:r w:rsidR="008654E5" w:rsidRPr="00772AC6">
        <w:rPr>
          <w:rFonts w:ascii="Book Antiqua" w:hAnsi="Book Antiqua" w:cs="Arial"/>
          <w:sz w:val="24"/>
          <w:szCs w:val="24"/>
        </w:rPr>
        <w:t xml:space="preserve"> above reports</w:t>
      </w:r>
      <w:r w:rsidR="00387245" w:rsidRPr="00772AC6">
        <w:rPr>
          <w:rFonts w:ascii="Book Antiqua" w:hAnsi="Book Antiqua" w:cs="Arial"/>
          <w:sz w:val="24"/>
          <w:szCs w:val="24"/>
        </w:rPr>
        <w:t xml:space="preserve">, we </w:t>
      </w:r>
      <w:r w:rsidR="006B7DF8" w:rsidRPr="00772AC6">
        <w:rPr>
          <w:rFonts w:ascii="Book Antiqua" w:hAnsi="Book Antiqua" w:cs="Arial"/>
          <w:sz w:val="24"/>
          <w:szCs w:val="24"/>
        </w:rPr>
        <w:t xml:space="preserve">have </w:t>
      </w:r>
      <w:r w:rsidRPr="00772AC6">
        <w:rPr>
          <w:rFonts w:ascii="Book Antiqua" w:hAnsi="Book Antiqua" w:cs="Arial"/>
          <w:sz w:val="24"/>
          <w:szCs w:val="24"/>
        </w:rPr>
        <w:t xml:space="preserve">hypothesized that </w:t>
      </w:r>
      <w:r w:rsidR="003C1CC4" w:rsidRPr="00772AC6">
        <w:rPr>
          <w:rFonts w:ascii="Book Antiqua" w:hAnsi="Book Antiqua" w:cs="Arial"/>
          <w:sz w:val="24"/>
          <w:szCs w:val="24"/>
        </w:rPr>
        <w:t xml:space="preserve">serum ATX is increased in advanced stage NASH patients, but </w:t>
      </w:r>
      <w:r w:rsidR="006B7DF8" w:rsidRPr="00772AC6">
        <w:rPr>
          <w:rFonts w:ascii="Book Antiqua" w:hAnsi="Book Antiqua" w:cs="Arial"/>
          <w:sz w:val="24"/>
          <w:szCs w:val="24"/>
        </w:rPr>
        <w:t xml:space="preserve">evidence is scarce on </w:t>
      </w:r>
      <w:r w:rsidR="003C1CC4" w:rsidRPr="00772AC6">
        <w:rPr>
          <w:rFonts w:ascii="Book Antiqua" w:hAnsi="Book Antiqua" w:cs="Arial"/>
          <w:sz w:val="24"/>
          <w:szCs w:val="24"/>
        </w:rPr>
        <w:t xml:space="preserve">the relationship </w:t>
      </w:r>
      <w:r w:rsidR="00C914F0" w:rsidRPr="00772AC6">
        <w:rPr>
          <w:rFonts w:ascii="Book Antiqua" w:hAnsi="Book Antiqua" w:cs="Arial"/>
          <w:sz w:val="24"/>
          <w:szCs w:val="24"/>
        </w:rPr>
        <w:t xml:space="preserve">between </w:t>
      </w:r>
      <w:r w:rsidR="003C1CC4" w:rsidRPr="00772AC6">
        <w:rPr>
          <w:rFonts w:ascii="Book Antiqua" w:hAnsi="Book Antiqua" w:cs="Arial"/>
          <w:sz w:val="24"/>
          <w:szCs w:val="24"/>
        </w:rPr>
        <w:t xml:space="preserve">circulating ATX </w:t>
      </w:r>
      <w:r w:rsidR="00C914F0" w:rsidRPr="00772AC6">
        <w:rPr>
          <w:rFonts w:ascii="Book Antiqua" w:hAnsi="Book Antiqua" w:cs="Arial"/>
          <w:sz w:val="24"/>
          <w:szCs w:val="24"/>
        </w:rPr>
        <w:t>concentration</w:t>
      </w:r>
      <w:r w:rsidR="003C1CC4" w:rsidRPr="00772AC6">
        <w:rPr>
          <w:rFonts w:ascii="Book Antiqua" w:hAnsi="Book Antiqua" w:cs="Arial"/>
          <w:sz w:val="24"/>
          <w:szCs w:val="24"/>
        </w:rPr>
        <w:t xml:space="preserve"> and histological severity </w:t>
      </w:r>
      <w:r w:rsidR="006B7DF8" w:rsidRPr="00772AC6">
        <w:rPr>
          <w:rFonts w:ascii="Book Antiqua" w:hAnsi="Book Antiqua" w:cs="Arial"/>
          <w:sz w:val="24"/>
          <w:szCs w:val="24"/>
        </w:rPr>
        <w:t xml:space="preserve">in </w:t>
      </w:r>
      <w:r w:rsidR="00356E0E" w:rsidRPr="00772AC6">
        <w:rPr>
          <w:rFonts w:ascii="Book Antiqua" w:hAnsi="Book Antiqua" w:cs="Arial"/>
          <w:sz w:val="24"/>
          <w:szCs w:val="24"/>
        </w:rPr>
        <w:t>NAFLD</w:t>
      </w:r>
      <w:r w:rsidR="001D49FE" w:rsidRPr="00772AC6">
        <w:rPr>
          <w:rFonts w:ascii="Book Antiqua" w:hAnsi="Book Antiqua" w:cs="Arial"/>
          <w:sz w:val="24"/>
          <w:szCs w:val="24"/>
        </w:rPr>
        <w:t>.</w:t>
      </w:r>
      <w:r w:rsidR="008654E5" w:rsidRPr="00772AC6">
        <w:rPr>
          <w:rFonts w:ascii="Book Antiqua" w:hAnsi="Book Antiqua" w:cs="Arial"/>
          <w:sz w:val="24"/>
          <w:szCs w:val="24"/>
        </w:rPr>
        <w:t xml:space="preserve"> </w:t>
      </w:r>
      <w:r w:rsidR="006B7DF8" w:rsidRPr="00772AC6">
        <w:rPr>
          <w:rFonts w:ascii="Book Antiqua" w:hAnsi="Book Antiqua" w:cs="Arial"/>
          <w:sz w:val="24"/>
          <w:szCs w:val="24"/>
        </w:rPr>
        <w:t>Accordingly</w:t>
      </w:r>
      <w:r w:rsidR="00C914F0" w:rsidRPr="00772AC6">
        <w:rPr>
          <w:rFonts w:ascii="Book Antiqua" w:hAnsi="Book Antiqua" w:cs="Arial"/>
          <w:sz w:val="24"/>
          <w:szCs w:val="24"/>
        </w:rPr>
        <w:t xml:space="preserve">, </w:t>
      </w:r>
      <w:r w:rsidR="001D49FE" w:rsidRPr="00772AC6">
        <w:rPr>
          <w:rFonts w:ascii="Book Antiqua" w:hAnsi="Book Antiqua" w:cs="Arial"/>
          <w:sz w:val="24"/>
          <w:szCs w:val="24"/>
        </w:rPr>
        <w:t>we measured serum</w:t>
      </w:r>
      <w:r w:rsidR="000676E6" w:rsidRPr="00772AC6">
        <w:rPr>
          <w:rFonts w:ascii="Book Antiqua" w:hAnsi="Book Antiqua" w:cs="Arial"/>
          <w:sz w:val="24"/>
          <w:szCs w:val="24"/>
        </w:rPr>
        <w:t xml:space="preserve"> </w:t>
      </w:r>
      <w:r w:rsidR="00356E0E" w:rsidRPr="00772AC6">
        <w:rPr>
          <w:rFonts w:ascii="Book Antiqua" w:hAnsi="Book Antiqua" w:cs="Arial"/>
          <w:sz w:val="24"/>
          <w:szCs w:val="24"/>
        </w:rPr>
        <w:t xml:space="preserve">ATX </w:t>
      </w:r>
      <w:r w:rsidR="001D49FE" w:rsidRPr="00772AC6">
        <w:rPr>
          <w:rFonts w:ascii="Book Antiqua" w:hAnsi="Book Antiqua" w:cs="Arial"/>
          <w:sz w:val="24"/>
          <w:szCs w:val="24"/>
        </w:rPr>
        <w:t xml:space="preserve">levels in 186 NAFLD patients </w:t>
      </w:r>
      <w:r w:rsidR="006B7DF8" w:rsidRPr="00772AC6">
        <w:rPr>
          <w:rFonts w:ascii="Book Antiqua" w:hAnsi="Book Antiqua" w:cs="Arial"/>
          <w:sz w:val="24"/>
          <w:szCs w:val="24"/>
        </w:rPr>
        <w:t xml:space="preserve">who had </w:t>
      </w:r>
      <w:r w:rsidR="008654E5" w:rsidRPr="00772AC6">
        <w:rPr>
          <w:rFonts w:ascii="Book Antiqua" w:hAnsi="Book Antiqua" w:cs="Arial"/>
          <w:sz w:val="24"/>
          <w:szCs w:val="24"/>
        </w:rPr>
        <w:t xml:space="preserve">undergone </w:t>
      </w:r>
      <w:r w:rsidR="001D49FE" w:rsidRPr="00772AC6">
        <w:rPr>
          <w:rFonts w:ascii="Book Antiqua" w:hAnsi="Book Antiqua" w:cs="Arial"/>
          <w:sz w:val="24"/>
          <w:szCs w:val="24"/>
        </w:rPr>
        <w:t xml:space="preserve">liver biopsy and </w:t>
      </w:r>
      <w:r w:rsidR="00C914F0" w:rsidRPr="00772AC6">
        <w:rPr>
          <w:rFonts w:ascii="Book Antiqua" w:hAnsi="Book Antiqua" w:cs="Arial"/>
          <w:sz w:val="24"/>
          <w:szCs w:val="24"/>
        </w:rPr>
        <w:t xml:space="preserve">examined </w:t>
      </w:r>
      <w:r w:rsidR="006B7DF8" w:rsidRPr="00772AC6">
        <w:rPr>
          <w:rFonts w:ascii="Book Antiqua" w:hAnsi="Book Antiqua" w:cs="Arial"/>
          <w:sz w:val="24"/>
          <w:szCs w:val="24"/>
        </w:rPr>
        <w:t xml:space="preserve">for </w:t>
      </w:r>
      <w:r w:rsidR="00C914F0" w:rsidRPr="00772AC6">
        <w:rPr>
          <w:rFonts w:ascii="Book Antiqua" w:hAnsi="Book Antiqua" w:cs="Arial"/>
          <w:sz w:val="24"/>
          <w:szCs w:val="24"/>
        </w:rPr>
        <w:t>association</w:t>
      </w:r>
      <w:r w:rsidR="006B7DF8" w:rsidRPr="00772AC6">
        <w:rPr>
          <w:rFonts w:ascii="Book Antiqua" w:hAnsi="Book Antiqua" w:cs="Arial"/>
          <w:sz w:val="24"/>
          <w:szCs w:val="24"/>
        </w:rPr>
        <w:t>s</w:t>
      </w:r>
      <w:r w:rsidR="00C914F0" w:rsidRPr="00772AC6">
        <w:rPr>
          <w:rFonts w:ascii="Book Antiqua" w:hAnsi="Book Antiqua" w:cs="Arial"/>
          <w:sz w:val="24"/>
          <w:szCs w:val="24"/>
        </w:rPr>
        <w:t xml:space="preserve"> </w:t>
      </w:r>
      <w:r w:rsidR="001D49FE" w:rsidRPr="00772AC6">
        <w:rPr>
          <w:rFonts w:ascii="Book Antiqua" w:hAnsi="Book Antiqua" w:cs="Arial"/>
          <w:sz w:val="24"/>
          <w:szCs w:val="24"/>
        </w:rPr>
        <w:t>with clinico</w:t>
      </w:r>
      <w:r w:rsidR="00D914DD" w:rsidRPr="00772AC6">
        <w:rPr>
          <w:rFonts w:ascii="Book Antiqua" w:hAnsi="Book Antiqua" w:cs="Arial"/>
          <w:sz w:val="24"/>
          <w:szCs w:val="24"/>
        </w:rPr>
        <w:t>patho</w:t>
      </w:r>
      <w:r w:rsidR="001D49FE" w:rsidRPr="00772AC6">
        <w:rPr>
          <w:rFonts w:ascii="Book Antiqua" w:hAnsi="Book Antiqua" w:cs="Arial"/>
          <w:sz w:val="24"/>
          <w:szCs w:val="24"/>
        </w:rPr>
        <w:t>logical findings</w:t>
      </w:r>
      <w:r w:rsidR="00505823" w:rsidRPr="00772AC6">
        <w:rPr>
          <w:rFonts w:ascii="Book Antiqua" w:hAnsi="Book Antiqua" w:cs="Arial"/>
          <w:sz w:val="24"/>
          <w:szCs w:val="24"/>
        </w:rPr>
        <w:t xml:space="preserve">. </w:t>
      </w:r>
    </w:p>
    <w:p w:rsidR="00665987" w:rsidRPr="00772AC6" w:rsidRDefault="00665987" w:rsidP="005A4D61">
      <w:pPr>
        <w:pStyle w:val="15"/>
        <w:adjustRightInd w:val="0"/>
        <w:snapToGrid w:val="0"/>
        <w:rPr>
          <w:rFonts w:ascii="Book Antiqua" w:hAnsi="Book Antiqua" w:cs="Arial"/>
          <w:b/>
          <w:sz w:val="24"/>
          <w:szCs w:val="24"/>
        </w:rPr>
      </w:pPr>
    </w:p>
    <w:p w:rsidR="004D3153" w:rsidRPr="00772AC6" w:rsidRDefault="004D3153" w:rsidP="005A4D61">
      <w:pPr>
        <w:adjustRightInd w:val="0"/>
        <w:snapToGrid w:val="0"/>
        <w:spacing w:line="360" w:lineRule="auto"/>
        <w:rPr>
          <w:rFonts w:ascii="Book Antiqua" w:hAnsi="Book Antiqua"/>
          <w:b/>
          <w:sz w:val="24"/>
          <w:szCs w:val="24"/>
        </w:rPr>
      </w:pPr>
      <w:r w:rsidRPr="00772AC6">
        <w:rPr>
          <w:rFonts w:ascii="Book Antiqua" w:hAnsi="Book Antiqua"/>
          <w:b/>
          <w:sz w:val="24"/>
          <w:szCs w:val="24"/>
        </w:rPr>
        <w:t>MATERIALS AND METHODS</w:t>
      </w:r>
    </w:p>
    <w:p w:rsidR="006B5DB7" w:rsidRPr="00772AC6" w:rsidRDefault="006B5DB7" w:rsidP="005A4D61">
      <w:pPr>
        <w:adjustRightInd w:val="0"/>
        <w:snapToGrid w:val="0"/>
        <w:spacing w:line="360" w:lineRule="auto"/>
        <w:rPr>
          <w:rFonts w:ascii="Book Antiqua" w:hAnsi="Book Antiqua" w:cs="Arial"/>
          <w:b/>
          <w:i/>
          <w:sz w:val="24"/>
          <w:szCs w:val="24"/>
        </w:rPr>
      </w:pPr>
      <w:r w:rsidRPr="00772AC6">
        <w:rPr>
          <w:rFonts w:ascii="Book Antiqua" w:hAnsi="Book Antiqua" w:cs="Arial"/>
          <w:b/>
          <w:i/>
          <w:sz w:val="24"/>
          <w:szCs w:val="24"/>
        </w:rPr>
        <w:t>Patients</w:t>
      </w:r>
      <w:r w:rsidR="005932BD" w:rsidRPr="00772AC6">
        <w:rPr>
          <w:rFonts w:ascii="Book Antiqua" w:hAnsi="Book Antiqua" w:cs="Arial"/>
          <w:b/>
          <w:i/>
          <w:sz w:val="24"/>
          <w:szCs w:val="24"/>
        </w:rPr>
        <w:t xml:space="preserve"> and clinical examinations</w:t>
      </w:r>
    </w:p>
    <w:p w:rsidR="002B372C" w:rsidRPr="00772AC6" w:rsidRDefault="00C01CBC" w:rsidP="005A4D61">
      <w:pPr>
        <w:adjustRightInd w:val="0"/>
        <w:snapToGrid w:val="0"/>
        <w:spacing w:line="360" w:lineRule="auto"/>
        <w:rPr>
          <w:rFonts w:ascii="Book Antiqua" w:hAnsi="Book Antiqua" w:cs="Arial"/>
          <w:sz w:val="24"/>
          <w:szCs w:val="24"/>
        </w:rPr>
      </w:pPr>
      <w:r w:rsidRPr="00772AC6">
        <w:rPr>
          <w:rFonts w:ascii="Book Antiqua" w:hAnsi="Book Antiqua" w:cs="Arial"/>
          <w:sz w:val="24"/>
          <w:szCs w:val="24"/>
        </w:rPr>
        <w:t>This</w:t>
      </w:r>
      <w:r w:rsidR="001B54FB" w:rsidRPr="00772AC6">
        <w:rPr>
          <w:rFonts w:ascii="Book Antiqua" w:hAnsi="Book Antiqua" w:cs="Arial"/>
          <w:sz w:val="24"/>
          <w:szCs w:val="24"/>
        </w:rPr>
        <w:t xml:space="preserve"> </w:t>
      </w:r>
      <w:r w:rsidR="00657D1C" w:rsidRPr="00772AC6">
        <w:rPr>
          <w:rFonts w:ascii="Book Antiqua" w:hAnsi="Book Antiqua" w:cs="Arial"/>
          <w:sz w:val="24"/>
          <w:szCs w:val="24"/>
        </w:rPr>
        <w:t xml:space="preserve">retrospective, </w:t>
      </w:r>
      <w:r w:rsidR="000676E6" w:rsidRPr="00772AC6">
        <w:rPr>
          <w:rFonts w:ascii="Book Antiqua" w:hAnsi="Book Antiqua" w:cs="Arial"/>
          <w:sz w:val="24"/>
          <w:szCs w:val="24"/>
        </w:rPr>
        <w:t>cross-sectional</w:t>
      </w:r>
      <w:r w:rsidRPr="00772AC6">
        <w:rPr>
          <w:rFonts w:ascii="Book Antiqua" w:hAnsi="Book Antiqua" w:cs="Arial"/>
          <w:sz w:val="24"/>
          <w:szCs w:val="24"/>
        </w:rPr>
        <w:t xml:space="preserve"> study </w:t>
      </w:r>
      <w:r w:rsidR="001B54FB" w:rsidRPr="00772AC6">
        <w:rPr>
          <w:rFonts w:ascii="Book Antiqua" w:hAnsi="Book Antiqua" w:cs="Arial"/>
          <w:sz w:val="24"/>
          <w:szCs w:val="24"/>
        </w:rPr>
        <w:t xml:space="preserve">was approved by </w:t>
      </w:r>
      <w:r w:rsidR="00357853" w:rsidRPr="00772AC6">
        <w:rPr>
          <w:rFonts w:ascii="Book Antiqua" w:hAnsi="Book Antiqua" w:cs="Arial"/>
          <w:sz w:val="24"/>
          <w:szCs w:val="24"/>
        </w:rPr>
        <w:t>the Committee for Medical Ethics of Shinshu University School of Medicin</w:t>
      </w:r>
      <w:r w:rsidR="00D45DCA" w:rsidRPr="00772AC6">
        <w:rPr>
          <w:rFonts w:ascii="Book Antiqua" w:hAnsi="Book Antiqua" w:cs="Arial"/>
          <w:sz w:val="24"/>
          <w:szCs w:val="24"/>
        </w:rPr>
        <w:t>e</w:t>
      </w:r>
      <w:r w:rsidR="009654BD" w:rsidRPr="00772AC6">
        <w:rPr>
          <w:rFonts w:ascii="Book Antiqua" w:hAnsi="Book Antiqua" w:cs="Arial"/>
          <w:sz w:val="24"/>
          <w:szCs w:val="24"/>
        </w:rPr>
        <w:t xml:space="preserve"> (ID number</w:t>
      </w:r>
      <w:r w:rsidR="00657D1C" w:rsidRPr="00772AC6">
        <w:rPr>
          <w:rFonts w:ascii="Book Antiqua" w:hAnsi="Book Antiqua" w:cs="Arial"/>
          <w:sz w:val="24"/>
          <w:szCs w:val="24"/>
        </w:rPr>
        <w:t>:</w:t>
      </w:r>
      <w:r w:rsidR="009654BD" w:rsidRPr="00772AC6">
        <w:rPr>
          <w:rFonts w:ascii="Book Antiqua" w:hAnsi="Book Antiqua" w:cs="Arial"/>
          <w:sz w:val="24"/>
          <w:szCs w:val="24"/>
        </w:rPr>
        <w:t xml:space="preserve"> 3244</w:t>
      </w:r>
      <w:r w:rsidR="00744AEC" w:rsidRPr="00772AC6">
        <w:rPr>
          <w:rFonts w:ascii="Book Antiqua" w:hAnsi="Book Antiqua" w:cs="Arial"/>
          <w:sz w:val="24"/>
          <w:szCs w:val="24"/>
        </w:rPr>
        <w:t>)</w:t>
      </w:r>
      <w:r w:rsidR="00984A1D" w:rsidRPr="00772AC6">
        <w:rPr>
          <w:rFonts w:ascii="Book Antiqua" w:hAnsi="Book Antiqua" w:cs="Arial"/>
          <w:sz w:val="24"/>
          <w:szCs w:val="24"/>
        </w:rPr>
        <w:t xml:space="preserve"> and </w:t>
      </w:r>
      <w:r w:rsidR="00657D1C" w:rsidRPr="00772AC6">
        <w:rPr>
          <w:rFonts w:ascii="Book Antiqua" w:hAnsi="Book Antiqua" w:cs="Arial"/>
          <w:sz w:val="24"/>
          <w:szCs w:val="24"/>
        </w:rPr>
        <w:t xml:space="preserve">performed </w:t>
      </w:r>
      <w:r w:rsidR="00984A1D" w:rsidRPr="00772AC6">
        <w:rPr>
          <w:rFonts w:ascii="Book Antiqua" w:hAnsi="Book Antiqua" w:cs="Arial"/>
          <w:sz w:val="24"/>
          <w:szCs w:val="24"/>
        </w:rPr>
        <w:t>in accordance with the Helsinki declaration of 1975, 1983</w:t>
      </w:r>
      <w:r w:rsidR="00657D1C" w:rsidRPr="00772AC6">
        <w:rPr>
          <w:rFonts w:ascii="Book Antiqua" w:hAnsi="Book Antiqua" w:cs="Arial"/>
          <w:sz w:val="24"/>
          <w:szCs w:val="24"/>
        </w:rPr>
        <w:t xml:space="preserve"> revision</w:t>
      </w:r>
      <w:r w:rsidR="00984A1D" w:rsidRPr="00772AC6">
        <w:rPr>
          <w:rFonts w:ascii="Book Antiqua" w:hAnsi="Book Antiqua" w:cs="Arial"/>
          <w:sz w:val="24"/>
          <w:szCs w:val="24"/>
        </w:rPr>
        <w:t xml:space="preserve">. </w:t>
      </w:r>
      <w:r w:rsidR="001B54FB" w:rsidRPr="00772AC6">
        <w:rPr>
          <w:rFonts w:ascii="Book Antiqua" w:hAnsi="Book Antiqua" w:cs="Arial"/>
          <w:sz w:val="24"/>
          <w:szCs w:val="24"/>
        </w:rPr>
        <w:t>Informed consent</w:t>
      </w:r>
      <w:r w:rsidRPr="00772AC6">
        <w:rPr>
          <w:rFonts w:ascii="Book Antiqua" w:hAnsi="Book Antiqua" w:cs="Arial"/>
          <w:sz w:val="24"/>
          <w:szCs w:val="24"/>
        </w:rPr>
        <w:t xml:space="preserve"> was obtained from all patients. </w:t>
      </w:r>
      <w:r w:rsidR="00657D1C" w:rsidRPr="00772AC6">
        <w:rPr>
          <w:rFonts w:ascii="Book Antiqua" w:hAnsi="Book Antiqua" w:cs="Arial"/>
          <w:sz w:val="24"/>
          <w:szCs w:val="24"/>
        </w:rPr>
        <w:t xml:space="preserve">We enrolled </w:t>
      </w:r>
      <w:r w:rsidR="007E3FA3" w:rsidRPr="00772AC6">
        <w:rPr>
          <w:rFonts w:ascii="Book Antiqua" w:hAnsi="Book Antiqua" w:cs="Arial"/>
          <w:sz w:val="24"/>
          <w:szCs w:val="24"/>
        </w:rPr>
        <w:t xml:space="preserve">186 </w:t>
      </w:r>
      <w:r w:rsidR="00402C10" w:rsidRPr="00772AC6">
        <w:rPr>
          <w:rFonts w:ascii="Book Antiqua" w:hAnsi="Book Antiqua" w:cs="Arial"/>
          <w:sz w:val="24"/>
          <w:szCs w:val="24"/>
        </w:rPr>
        <w:t>biopsy</w:t>
      </w:r>
      <w:r w:rsidR="00A57442" w:rsidRPr="00772AC6">
        <w:rPr>
          <w:rFonts w:ascii="Book Antiqua" w:hAnsi="Book Antiqua" w:cs="Arial"/>
          <w:sz w:val="24"/>
          <w:szCs w:val="24"/>
        </w:rPr>
        <w:t>-</w:t>
      </w:r>
      <w:r w:rsidR="00402C10" w:rsidRPr="00772AC6">
        <w:rPr>
          <w:rFonts w:ascii="Book Antiqua" w:hAnsi="Book Antiqua" w:cs="Arial"/>
          <w:sz w:val="24"/>
          <w:szCs w:val="24"/>
        </w:rPr>
        <w:t xml:space="preserve">proven </w:t>
      </w:r>
      <w:r w:rsidR="00902306" w:rsidRPr="00772AC6">
        <w:rPr>
          <w:rFonts w:ascii="Book Antiqua" w:hAnsi="Book Antiqua" w:cs="Arial"/>
          <w:sz w:val="24"/>
          <w:szCs w:val="24"/>
        </w:rPr>
        <w:t xml:space="preserve">Japanese </w:t>
      </w:r>
      <w:r w:rsidR="00E01F44" w:rsidRPr="00772AC6">
        <w:rPr>
          <w:rFonts w:ascii="Book Antiqua" w:hAnsi="Book Antiqua" w:cs="Arial"/>
          <w:sz w:val="24"/>
          <w:szCs w:val="24"/>
        </w:rPr>
        <w:t xml:space="preserve">NAFLD patients who </w:t>
      </w:r>
      <w:r w:rsidR="00657D1C" w:rsidRPr="00772AC6">
        <w:rPr>
          <w:rFonts w:ascii="Book Antiqua" w:hAnsi="Book Antiqua" w:cs="Arial"/>
          <w:sz w:val="24"/>
          <w:szCs w:val="24"/>
        </w:rPr>
        <w:t xml:space="preserve">were </w:t>
      </w:r>
      <w:r w:rsidR="00E01F44" w:rsidRPr="00772AC6">
        <w:rPr>
          <w:rFonts w:ascii="Book Antiqua" w:hAnsi="Book Antiqua" w:cs="Arial"/>
          <w:sz w:val="24"/>
          <w:szCs w:val="24"/>
        </w:rPr>
        <w:t xml:space="preserve">admitted to Shinshu University Hospital </w:t>
      </w:r>
      <w:r w:rsidR="001157BD" w:rsidRPr="00772AC6">
        <w:rPr>
          <w:rFonts w:ascii="Book Antiqua" w:hAnsi="Book Antiqua" w:cs="Arial"/>
          <w:sz w:val="24"/>
          <w:szCs w:val="24"/>
        </w:rPr>
        <w:t xml:space="preserve">(Matsumoto, Japan) </w:t>
      </w:r>
      <w:r w:rsidR="00657D1C" w:rsidRPr="00772AC6">
        <w:rPr>
          <w:rFonts w:ascii="Book Antiqua" w:hAnsi="Book Antiqua" w:cs="Arial"/>
          <w:sz w:val="24"/>
          <w:szCs w:val="24"/>
        </w:rPr>
        <w:t xml:space="preserve">between </w:t>
      </w:r>
      <w:r w:rsidR="00C019C7" w:rsidRPr="00772AC6">
        <w:rPr>
          <w:rFonts w:ascii="Book Antiqua" w:hAnsi="Book Antiqua" w:cs="Arial"/>
          <w:sz w:val="24"/>
          <w:szCs w:val="24"/>
        </w:rPr>
        <w:t>November</w:t>
      </w:r>
      <w:r w:rsidR="000676E6" w:rsidRPr="00772AC6">
        <w:rPr>
          <w:rFonts w:ascii="Book Antiqua" w:hAnsi="Book Antiqua" w:cs="Arial"/>
          <w:sz w:val="24"/>
          <w:szCs w:val="24"/>
        </w:rPr>
        <w:t xml:space="preserve"> </w:t>
      </w:r>
      <w:r w:rsidR="00657D1C" w:rsidRPr="00772AC6">
        <w:rPr>
          <w:rFonts w:ascii="Book Antiqua" w:hAnsi="Book Antiqua" w:cs="Arial"/>
          <w:sz w:val="24"/>
          <w:szCs w:val="24"/>
        </w:rPr>
        <w:t xml:space="preserve">2008 </w:t>
      </w:r>
      <w:r w:rsidR="00C53586" w:rsidRPr="00772AC6">
        <w:rPr>
          <w:rFonts w:ascii="Book Antiqua" w:hAnsi="Book Antiqua" w:cs="Arial"/>
          <w:sz w:val="24"/>
          <w:szCs w:val="24"/>
        </w:rPr>
        <w:t xml:space="preserve">and </w:t>
      </w:r>
      <w:r w:rsidR="00C019C7" w:rsidRPr="00772AC6">
        <w:rPr>
          <w:rFonts w:ascii="Book Antiqua" w:hAnsi="Book Antiqua" w:cs="Arial"/>
          <w:sz w:val="24"/>
          <w:szCs w:val="24"/>
        </w:rPr>
        <w:t>May</w:t>
      </w:r>
      <w:r w:rsidR="007B6793" w:rsidRPr="00772AC6">
        <w:rPr>
          <w:rFonts w:ascii="Book Antiqua" w:hAnsi="Book Antiqua" w:cs="Arial"/>
          <w:sz w:val="24"/>
          <w:szCs w:val="24"/>
        </w:rPr>
        <w:t xml:space="preserve"> </w:t>
      </w:r>
      <w:r w:rsidR="00657D1C" w:rsidRPr="00772AC6">
        <w:rPr>
          <w:rFonts w:ascii="Book Antiqua" w:hAnsi="Book Antiqua" w:cs="Arial"/>
          <w:sz w:val="24"/>
          <w:szCs w:val="24"/>
        </w:rPr>
        <w:t>2017</w:t>
      </w:r>
      <w:r w:rsidR="00CA6778" w:rsidRPr="00772AC6">
        <w:rPr>
          <w:rFonts w:ascii="Book Antiqua" w:hAnsi="Book Antiqua" w:cs="Arial"/>
          <w:sz w:val="24"/>
          <w:szCs w:val="24"/>
        </w:rPr>
        <w:t xml:space="preserve">. </w:t>
      </w:r>
      <w:r w:rsidR="001B54FB" w:rsidRPr="00772AC6">
        <w:rPr>
          <w:rFonts w:ascii="Book Antiqua" w:hAnsi="Book Antiqua" w:cs="Arial"/>
          <w:sz w:val="24"/>
          <w:szCs w:val="24"/>
        </w:rPr>
        <w:t xml:space="preserve">NAFLD was </w:t>
      </w:r>
      <w:r w:rsidR="00657D1C" w:rsidRPr="00772AC6">
        <w:rPr>
          <w:rFonts w:ascii="Book Antiqua" w:hAnsi="Book Antiqua" w:cs="Arial"/>
          <w:sz w:val="24"/>
          <w:szCs w:val="24"/>
        </w:rPr>
        <w:t xml:space="preserve">suspected based on </w:t>
      </w:r>
      <w:r w:rsidR="001B54FB" w:rsidRPr="00772AC6">
        <w:rPr>
          <w:rFonts w:ascii="Book Antiqua" w:hAnsi="Book Antiqua" w:cs="Arial"/>
          <w:sz w:val="24"/>
          <w:szCs w:val="24"/>
        </w:rPr>
        <w:t xml:space="preserve">the following criteria: (1) the presence of hepatorenal contrast and increased hepatic echogenicity on abdominal </w:t>
      </w:r>
      <w:r w:rsidR="00E01F44" w:rsidRPr="00772AC6">
        <w:rPr>
          <w:rFonts w:ascii="Book Antiqua" w:hAnsi="Book Antiqua" w:cs="Arial"/>
          <w:sz w:val="24"/>
          <w:szCs w:val="24"/>
        </w:rPr>
        <w:t>ultrasonography</w:t>
      </w:r>
      <w:r w:rsidR="006F4F8A" w:rsidRPr="00772AC6">
        <w:rPr>
          <w:rFonts w:ascii="Book Antiqua" w:eastAsia="SimSun" w:hAnsi="Book Antiqua" w:cs="Arial"/>
          <w:sz w:val="24"/>
          <w:szCs w:val="24"/>
          <w:lang w:eastAsia="zh-CN"/>
        </w:rPr>
        <w:t>;</w:t>
      </w:r>
      <w:r w:rsidR="001B54FB" w:rsidRPr="00772AC6">
        <w:rPr>
          <w:rFonts w:ascii="Book Antiqua" w:hAnsi="Book Antiqua" w:cs="Arial"/>
          <w:sz w:val="24"/>
          <w:szCs w:val="24"/>
        </w:rPr>
        <w:t xml:space="preserve"> (2) </w:t>
      </w:r>
      <w:r w:rsidR="006F4F8A" w:rsidRPr="00772AC6">
        <w:rPr>
          <w:rFonts w:ascii="Book Antiqua" w:hAnsi="Book Antiqua" w:cs="Arial"/>
          <w:sz w:val="24"/>
          <w:szCs w:val="24"/>
        </w:rPr>
        <w:t>A</w:t>
      </w:r>
      <w:r w:rsidR="00A065D6" w:rsidRPr="00772AC6">
        <w:rPr>
          <w:rFonts w:ascii="Book Antiqua" w:hAnsi="Book Antiqua" w:cs="Arial"/>
          <w:sz w:val="24"/>
          <w:szCs w:val="24"/>
        </w:rPr>
        <w:t xml:space="preserve">n average daily </w:t>
      </w:r>
      <w:r w:rsidR="001B54FB" w:rsidRPr="00772AC6">
        <w:rPr>
          <w:rFonts w:ascii="Book Antiqua" w:hAnsi="Book Antiqua" w:cs="Arial"/>
          <w:sz w:val="24"/>
          <w:szCs w:val="24"/>
        </w:rPr>
        <w:t xml:space="preserve">consumption of </w:t>
      </w:r>
      <w:r w:rsidR="00A065D6" w:rsidRPr="00772AC6">
        <w:rPr>
          <w:rFonts w:ascii="Book Antiqua" w:hAnsi="Book Antiqua" w:cs="Arial"/>
          <w:sz w:val="24"/>
          <w:szCs w:val="24"/>
        </w:rPr>
        <w:t>&lt;</w:t>
      </w:r>
      <w:r w:rsidR="006F4F8A" w:rsidRPr="00772AC6">
        <w:rPr>
          <w:rFonts w:ascii="Book Antiqua" w:eastAsia="SimSun" w:hAnsi="Book Antiqua" w:cs="Arial"/>
          <w:sz w:val="24"/>
          <w:szCs w:val="24"/>
          <w:lang w:eastAsia="zh-CN"/>
        </w:rPr>
        <w:t xml:space="preserve"> </w:t>
      </w:r>
      <w:r w:rsidR="00A065D6" w:rsidRPr="00772AC6">
        <w:rPr>
          <w:rFonts w:ascii="Book Antiqua" w:hAnsi="Book Antiqua" w:cs="Arial"/>
          <w:sz w:val="24"/>
          <w:szCs w:val="24"/>
        </w:rPr>
        <w:t>20</w:t>
      </w:r>
      <w:r w:rsidR="00C040EF" w:rsidRPr="00772AC6">
        <w:rPr>
          <w:rFonts w:ascii="Book Antiqua" w:hAnsi="Book Antiqua" w:cs="Arial"/>
          <w:sz w:val="24"/>
          <w:szCs w:val="24"/>
        </w:rPr>
        <w:t xml:space="preserve"> </w:t>
      </w:r>
      <w:r w:rsidR="00A065D6" w:rsidRPr="00772AC6">
        <w:rPr>
          <w:rFonts w:ascii="Book Antiqua" w:hAnsi="Book Antiqua" w:cs="Arial"/>
          <w:sz w:val="24"/>
          <w:szCs w:val="24"/>
        </w:rPr>
        <w:t>g</w:t>
      </w:r>
      <w:r w:rsidR="00A57442" w:rsidRPr="00772AC6">
        <w:rPr>
          <w:rFonts w:ascii="Book Antiqua" w:hAnsi="Book Antiqua" w:cs="Arial"/>
          <w:sz w:val="24"/>
          <w:szCs w:val="24"/>
        </w:rPr>
        <w:t>/d</w:t>
      </w:r>
      <w:r w:rsidR="00A065D6" w:rsidRPr="00772AC6">
        <w:rPr>
          <w:rFonts w:ascii="Book Antiqua" w:hAnsi="Book Antiqua" w:cs="Arial"/>
          <w:sz w:val="24"/>
          <w:szCs w:val="24"/>
        </w:rPr>
        <w:t xml:space="preserve"> of ethanol</w:t>
      </w:r>
      <w:r w:rsidR="006F4F8A" w:rsidRPr="00772AC6">
        <w:rPr>
          <w:rFonts w:ascii="Book Antiqua" w:eastAsia="SimSun" w:hAnsi="Book Antiqua" w:cs="Arial"/>
          <w:sz w:val="24"/>
          <w:szCs w:val="24"/>
          <w:lang w:eastAsia="zh-CN"/>
        </w:rPr>
        <w:t>;</w:t>
      </w:r>
      <w:r w:rsidR="00AE562E" w:rsidRPr="00772AC6">
        <w:rPr>
          <w:rFonts w:ascii="Book Antiqua" w:hAnsi="Book Antiqua" w:cs="Arial"/>
          <w:sz w:val="24"/>
          <w:szCs w:val="24"/>
        </w:rPr>
        <w:t xml:space="preserve"> </w:t>
      </w:r>
      <w:r w:rsidR="006F4F8A" w:rsidRPr="00772AC6">
        <w:rPr>
          <w:rFonts w:ascii="Book Antiqua" w:hAnsi="Book Antiqua" w:cs="Arial"/>
          <w:sz w:val="24"/>
          <w:szCs w:val="24"/>
        </w:rPr>
        <w:t>A</w:t>
      </w:r>
      <w:r w:rsidR="00657D1C" w:rsidRPr="00772AC6">
        <w:rPr>
          <w:rFonts w:ascii="Book Antiqua" w:hAnsi="Book Antiqua" w:cs="Arial"/>
          <w:sz w:val="24"/>
          <w:szCs w:val="24"/>
        </w:rPr>
        <w:t xml:space="preserve">nd </w:t>
      </w:r>
      <w:r w:rsidR="001B54FB" w:rsidRPr="00772AC6">
        <w:rPr>
          <w:rFonts w:ascii="Book Antiqua" w:hAnsi="Book Antiqua" w:cs="Arial"/>
          <w:sz w:val="24"/>
          <w:szCs w:val="24"/>
        </w:rPr>
        <w:t>(</w:t>
      </w:r>
      <w:r w:rsidR="00AE562E" w:rsidRPr="00772AC6">
        <w:rPr>
          <w:rFonts w:ascii="Book Antiqua" w:hAnsi="Book Antiqua" w:cs="Arial"/>
          <w:sz w:val="24"/>
          <w:szCs w:val="24"/>
        </w:rPr>
        <w:t>3</w:t>
      </w:r>
      <w:r w:rsidR="001B54FB" w:rsidRPr="00772AC6">
        <w:rPr>
          <w:rFonts w:ascii="Book Antiqua" w:hAnsi="Book Antiqua" w:cs="Arial"/>
          <w:sz w:val="24"/>
          <w:szCs w:val="24"/>
        </w:rPr>
        <w:t>) the absence of ot</w:t>
      </w:r>
      <w:r w:rsidR="00E01F44" w:rsidRPr="00772AC6">
        <w:rPr>
          <w:rFonts w:ascii="Book Antiqua" w:hAnsi="Book Antiqua" w:cs="Arial"/>
          <w:sz w:val="24"/>
          <w:szCs w:val="24"/>
        </w:rPr>
        <w:t xml:space="preserve">her causes of liver dysfunction, </w:t>
      </w:r>
      <w:r w:rsidR="001B54FB" w:rsidRPr="00772AC6">
        <w:rPr>
          <w:rFonts w:ascii="Book Antiqua" w:hAnsi="Book Antiqua" w:cs="Arial"/>
          <w:sz w:val="24"/>
          <w:szCs w:val="24"/>
        </w:rPr>
        <w:t>such as viral hepatitis, drug-induced liver injury, autoimmune liver disease</w:t>
      </w:r>
      <w:r w:rsidR="00E01F44" w:rsidRPr="00772AC6">
        <w:rPr>
          <w:rFonts w:ascii="Book Antiqua" w:hAnsi="Book Antiqua" w:cs="Arial"/>
          <w:sz w:val="24"/>
          <w:szCs w:val="24"/>
        </w:rPr>
        <w:t xml:space="preserve">, </w:t>
      </w:r>
      <w:r w:rsidR="001B54FB" w:rsidRPr="00772AC6">
        <w:rPr>
          <w:rFonts w:ascii="Book Antiqua" w:hAnsi="Book Antiqua" w:cs="Arial"/>
          <w:sz w:val="24"/>
          <w:szCs w:val="24"/>
        </w:rPr>
        <w:t>primary sclerosing cholangitis, Wilson’s dise</w:t>
      </w:r>
      <w:r w:rsidR="00E01F44" w:rsidRPr="00772AC6">
        <w:rPr>
          <w:rFonts w:ascii="Book Antiqua" w:hAnsi="Book Antiqua" w:cs="Arial"/>
          <w:sz w:val="24"/>
          <w:szCs w:val="24"/>
        </w:rPr>
        <w:t xml:space="preserve">ase, hereditary hemochromatosis, </w:t>
      </w:r>
      <w:r w:rsidR="001B54FB" w:rsidRPr="00772AC6">
        <w:rPr>
          <w:rFonts w:ascii="Book Antiqua" w:hAnsi="Book Antiqua" w:cs="Arial"/>
          <w:sz w:val="24"/>
          <w:szCs w:val="24"/>
        </w:rPr>
        <w:t xml:space="preserve">and </w:t>
      </w:r>
      <w:r w:rsidR="00E01F44" w:rsidRPr="00772AC6">
        <w:rPr>
          <w:rFonts w:ascii="Book Antiqua" w:hAnsi="Book Antiqua" w:cs="Arial"/>
          <w:sz w:val="24"/>
          <w:szCs w:val="24"/>
        </w:rPr>
        <w:t xml:space="preserve">citrin </w:t>
      </w:r>
      <w:r w:rsidR="001B54FB" w:rsidRPr="00772AC6">
        <w:rPr>
          <w:rFonts w:ascii="Book Antiqua" w:hAnsi="Book Antiqua" w:cs="Arial"/>
          <w:sz w:val="24"/>
          <w:szCs w:val="24"/>
        </w:rPr>
        <w:t>deficiency</w:t>
      </w:r>
      <w:r w:rsidR="008B2720" w:rsidRPr="00772AC6">
        <w:rPr>
          <w:rFonts w:ascii="Book Antiqua" w:hAnsi="Book Antiqua" w:cs="Arial"/>
          <w:sz w:val="24"/>
          <w:szCs w:val="24"/>
          <w:vertAlign w:val="superscript"/>
        </w:rPr>
        <w:t>[</w:t>
      </w:r>
      <w:r w:rsidR="00450F24" w:rsidRPr="00772AC6">
        <w:rPr>
          <w:rFonts w:ascii="Book Antiqua" w:hAnsi="Book Antiqua" w:cs="Arial"/>
          <w:sz w:val="24"/>
          <w:szCs w:val="24"/>
          <w:vertAlign w:val="superscript"/>
        </w:rPr>
        <w:t>30</w:t>
      </w:r>
      <w:r w:rsidR="008B2720" w:rsidRPr="00772AC6">
        <w:rPr>
          <w:rFonts w:ascii="Book Antiqua" w:hAnsi="Book Antiqua" w:cs="Arial"/>
          <w:sz w:val="24"/>
          <w:szCs w:val="24"/>
          <w:vertAlign w:val="superscript"/>
        </w:rPr>
        <w:t>,31</w:t>
      </w:r>
      <w:r w:rsidR="00450F24" w:rsidRPr="00772AC6">
        <w:rPr>
          <w:rFonts w:ascii="Book Antiqua" w:hAnsi="Book Antiqua" w:cs="Arial"/>
          <w:sz w:val="24"/>
          <w:szCs w:val="24"/>
          <w:vertAlign w:val="superscript"/>
        </w:rPr>
        <w:t>]</w:t>
      </w:r>
      <w:r w:rsidR="002D2676" w:rsidRPr="00772AC6">
        <w:rPr>
          <w:rFonts w:ascii="Book Antiqua" w:hAnsi="Book Antiqua" w:cs="Arial"/>
          <w:sz w:val="24"/>
          <w:szCs w:val="24"/>
        </w:rPr>
        <w:t xml:space="preserve">. </w:t>
      </w:r>
      <w:r w:rsidRPr="00772AC6">
        <w:rPr>
          <w:rFonts w:ascii="Book Antiqua" w:hAnsi="Book Antiqua" w:cs="Arial"/>
          <w:sz w:val="24"/>
          <w:szCs w:val="24"/>
        </w:rPr>
        <w:t xml:space="preserve">The </w:t>
      </w:r>
      <w:r w:rsidR="003C2506" w:rsidRPr="00772AC6">
        <w:rPr>
          <w:rFonts w:ascii="Book Antiqua" w:hAnsi="Book Antiqua" w:cs="Arial"/>
          <w:sz w:val="24"/>
          <w:szCs w:val="24"/>
        </w:rPr>
        <w:t xml:space="preserve">diagnosis </w:t>
      </w:r>
      <w:r w:rsidR="00644C94" w:rsidRPr="00772AC6">
        <w:rPr>
          <w:rFonts w:ascii="Book Antiqua" w:hAnsi="Book Antiqua" w:cs="Arial"/>
          <w:sz w:val="24"/>
          <w:szCs w:val="24"/>
        </w:rPr>
        <w:t xml:space="preserve">of NAFLD/NASH was </w:t>
      </w:r>
      <w:r w:rsidRPr="00772AC6">
        <w:rPr>
          <w:rFonts w:ascii="Book Antiqua" w:hAnsi="Book Antiqua" w:cs="Arial"/>
          <w:sz w:val="24"/>
          <w:szCs w:val="24"/>
        </w:rPr>
        <w:t xml:space="preserve">confirmed </w:t>
      </w:r>
      <w:r w:rsidR="002772A4" w:rsidRPr="00772AC6">
        <w:rPr>
          <w:rFonts w:ascii="Book Antiqua" w:hAnsi="Book Antiqua" w:cs="Arial"/>
          <w:sz w:val="24"/>
          <w:szCs w:val="24"/>
        </w:rPr>
        <w:t xml:space="preserve">with the </w:t>
      </w:r>
      <w:r w:rsidR="00644C94" w:rsidRPr="00772AC6">
        <w:rPr>
          <w:rFonts w:ascii="Book Antiqua" w:hAnsi="Book Antiqua" w:cs="Arial"/>
          <w:sz w:val="24"/>
          <w:szCs w:val="24"/>
        </w:rPr>
        <w:t>histological findings of biopsied specimens</w:t>
      </w:r>
      <w:r w:rsidR="008D7C53" w:rsidRPr="00772AC6">
        <w:rPr>
          <w:rFonts w:ascii="Book Antiqua" w:hAnsi="Book Antiqua" w:cs="Arial"/>
          <w:sz w:val="24"/>
          <w:szCs w:val="24"/>
        </w:rPr>
        <w:t xml:space="preserve">. </w:t>
      </w:r>
      <w:r w:rsidRPr="00772AC6">
        <w:rPr>
          <w:rFonts w:ascii="Book Antiqua" w:hAnsi="Book Antiqua" w:cs="Arial"/>
          <w:sz w:val="24"/>
          <w:szCs w:val="24"/>
        </w:rPr>
        <w:t xml:space="preserve">Body weight and height </w:t>
      </w:r>
      <w:r w:rsidR="001B54FB" w:rsidRPr="00772AC6">
        <w:rPr>
          <w:rFonts w:ascii="Book Antiqua" w:hAnsi="Book Antiqua" w:cs="Arial"/>
          <w:sz w:val="24"/>
          <w:szCs w:val="24"/>
        </w:rPr>
        <w:t xml:space="preserve">were measured </w:t>
      </w:r>
      <w:r w:rsidR="00FC380E" w:rsidRPr="00772AC6">
        <w:rPr>
          <w:rFonts w:ascii="Book Antiqua" w:hAnsi="Book Antiqua" w:cs="Arial"/>
          <w:sz w:val="24"/>
          <w:szCs w:val="24"/>
        </w:rPr>
        <w:t xml:space="preserve">before liver biopsy </w:t>
      </w:r>
      <w:r w:rsidR="00BC5B67" w:rsidRPr="00772AC6">
        <w:rPr>
          <w:rFonts w:ascii="Book Antiqua" w:hAnsi="Book Antiqua" w:cs="Arial"/>
          <w:sz w:val="24"/>
          <w:szCs w:val="24"/>
        </w:rPr>
        <w:t xml:space="preserve">in </w:t>
      </w:r>
      <w:r w:rsidR="00657D1C" w:rsidRPr="00772AC6">
        <w:rPr>
          <w:rFonts w:ascii="Book Antiqua" w:hAnsi="Book Antiqua" w:cs="Arial"/>
          <w:sz w:val="24"/>
          <w:szCs w:val="24"/>
        </w:rPr>
        <w:t xml:space="preserve">a </w:t>
      </w:r>
      <w:r w:rsidR="00BC5B67" w:rsidRPr="00772AC6">
        <w:rPr>
          <w:rFonts w:ascii="Book Antiqua" w:hAnsi="Book Antiqua" w:cs="Arial"/>
          <w:sz w:val="24"/>
          <w:szCs w:val="24"/>
        </w:rPr>
        <w:t>fasting state</w:t>
      </w:r>
      <w:r w:rsidRPr="00772AC6">
        <w:rPr>
          <w:rFonts w:ascii="Book Antiqua" w:hAnsi="Book Antiqua" w:cs="Arial"/>
          <w:sz w:val="24"/>
          <w:szCs w:val="24"/>
        </w:rPr>
        <w:t xml:space="preserve">. </w:t>
      </w:r>
      <w:r w:rsidR="000D7507" w:rsidRPr="00772AC6">
        <w:rPr>
          <w:rFonts w:ascii="Book Antiqua" w:hAnsi="Book Antiqua" w:cs="Arial"/>
          <w:sz w:val="24"/>
          <w:szCs w:val="24"/>
        </w:rPr>
        <w:t xml:space="preserve">All laboratory data </w:t>
      </w:r>
      <w:r w:rsidRPr="00772AC6">
        <w:rPr>
          <w:rFonts w:ascii="Book Antiqua" w:hAnsi="Book Antiqua" w:cs="Arial"/>
          <w:sz w:val="24"/>
          <w:szCs w:val="24"/>
        </w:rPr>
        <w:t xml:space="preserve">were obtained </w:t>
      </w:r>
      <w:r w:rsidR="00657D1C" w:rsidRPr="00772AC6">
        <w:rPr>
          <w:rFonts w:ascii="Book Antiqua" w:hAnsi="Book Antiqua" w:cs="Arial"/>
          <w:sz w:val="24"/>
          <w:szCs w:val="24"/>
        </w:rPr>
        <w:t xml:space="preserve">in a fasting state on </w:t>
      </w:r>
      <w:r w:rsidR="00202038" w:rsidRPr="00772AC6">
        <w:rPr>
          <w:rFonts w:ascii="Book Antiqua" w:hAnsi="Book Antiqua" w:cs="Arial"/>
          <w:sz w:val="24"/>
          <w:szCs w:val="24"/>
        </w:rPr>
        <w:t xml:space="preserve">the </w:t>
      </w:r>
      <w:r w:rsidR="00657D1C" w:rsidRPr="00772AC6">
        <w:rPr>
          <w:rFonts w:ascii="Book Antiqua" w:hAnsi="Book Antiqua" w:cs="Arial"/>
          <w:sz w:val="24"/>
          <w:szCs w:val="24"/>
        </w:rPr>
        <w:t xml:space="preserve">day of </w:t>
      </w:r>
      <w:r w:rsidR="00BC5B67" w:rsidRPr="00772AC6">
        <w:rPr>
          <w:rFonts w:ascii="Book Antiqua" w:hAnsi="Book Antiqua" w:cs="Arial"/>
          <w:sz w:val="24"/>
          <w:szCs w:val="24"/>
        </w:rPr>
        <w:t>liver bi</w:t>
      </w:r>
      <w:r w:rsidR="00C926B5" w:rsidRPr="00772AC6">
        <w:rPr>
          <w:rFonts w:ascii="Book Antiqua" w:hAnsi="Book Antiqua" w:cs="Arial"/>
          <w:sz w:val="24"/>
          <w:szCs w:val="24"/>
        </w:rPr>
        <w:t>opsy</w:t>
      </w:r>
      <w:r w:rsidR="004E4DB6" w:rsidRPr="00772AC6">
        <w:rPr>
          <w:rFonts w:ascii="Book Antiqua" w:hAnsi="Book Antiqua" w:cs="Arial"/>
          <w:sz w:val="24"/>
          <w:szCs w:val="24"/>
        </w:rPr>
        <w:t xml:space="preserve">. </w:t>
      </w:r>
      <w:r w:rsidR="00D14827" w:rsidRPr="00772AC6">
        <w:rPr>
          <w:rFonts w:ascii="Book Antiqua" w:hAnsi="Book Antiqua" w:cs="Arial"/>
          <w:sz w:val="24"/>
          <w:szCs w:val="24"/>
        </w:rPr>
        <w:t xml:space="preserve">Homeostasis model </w:t>
      </w:r>
      <w:r w:rsidR="00D14827" w:rsidRPr="00772AC6">
        <w:rPr>
          <w:rFonts w:ascii="Book Antiqua" w:hAnsi="Book Antiqua" w:cs="Arial"/>
          <w:sz w:val="24"/>
          <w:szCs w:val="24"/>
        </w:rPr>
        <w:lastRenderedPageBreak/>
        <w:t xml:space="preserve">assessment </w:t>
      </w:r>
      <w:r w:rsidR="006275DD" w:rsidRPr="00772AC6">
        <w:rPr>
          <w:rFonts w:ascii="Book Antiqua" w:hAnsi="Book Antiqua" w:cs="Arial"/>
          <w:sz w:val="24"/>
          <w:szCs w:val="24"/>
        </w:rPr>
        <w:t>for</w:t>
      </w:r>
      <w:r w:rsidR="00D14827" w:rsidRPr="00772AC6">
        <w:rPr>
          <w:rFonts w:ascii="Book Antiqua" w:hAnsi="Book Antiqua" w:cs="Arial"/>
          <w:sz w:val="24"/>
          <w:szCs w:val="24"/>
        </w:rPr>
        <w:t xml:space="preserve"> insulin resistance (HOMA-IR), f</w:t>
      </w:r>
      <w:r w:rsidR="00133941" w:rsidRPr="00772AC6">
        <w:rPr>
          <w:rFonts w:ascii="Book Antiqua" w:hAnsi="Book Antiqua" w:cs="Arial"/>
          <w:sz w:val="24"/>
          <w:szCs w:val="24"/>
        </w:rPr>
        <w:t>ibrosis</w:t>
      </w:r>
      <w:r w:rsidR="009911A4" w:rsidRPr="00772AC6">
        <w:rPr>
          <w:rFonts w:ascii="Book Antiqua" w:hAnsi="Book Antiqua" w:cs="Arial"/>
          <w:sz w:val="24"/>
          <w:szCs w:val="24"/>
        </w:rPr>
        <w:t>-</w:t>
      </w:r>
      <w:r w:rsidR="00133941" w:rsidRPr="00772AC6">
        <w:rPr>
          <w:rFonts w:ascii="Book Antiqua" w:hAnsi="Book Antiqua" w:cs="Arial"/>
          <w:sz w:val="24"/>
          <w:szCs w:val="24"/>
        </w:rPr>
        <w:t>4 index (</w:t>
      </w:r>
      <w:r w:rsidR="005932BD" w:rsidRPr="00772AC6">
        <w:rPr>
          <w:rFonts w:ascii="Book Antiqua" w:hAnsi="Book Antiqua" w:cs="Arial"/>
          <w:sz w:val="24"/>
          <w:szCs w:val="24"/>
        </w:rPr>
        <w:t>FIB-4</w:t>
      </w:r>
      <w:r w:rsidR="00133941" w:rsidRPr="00772AC6">
        <w:rPr>
          <w:rFonts w:ascii="Book Antiqua" w:hAnsi="Book Antiqua" w:cs="Arial"/>
          <w:sz w:val="24"/>
          <w:szCs w:val="24"/>
        </w:rPr>
        <w:t>)</w:t>
      </w:r>
      <w:r w:rsidR="006275DD" w:rsidRPr="00772AC6">
        <w:rPr>
          <w:rFonts w:ascii="Book Antiqua" w:hAnsi="Book Antiqua" w:cs="Arial"/>
          <w:sz w:val="24"/>
          <w:szCs w:val="24"/>
        </w:rPr>
        <w:t xml:space="preserve">, </w:t>
      </w:r>
      <w:r w:rsidR="005932BD" w:rsidRPr="00772AC6">
        <w:rPr>
          <w:rFonts w:ascii="Book Antiqua" w:hAnsi="Book Antiqua" w:cs="Arial"/>
          <w:sz w:val="24"/>
          <w:szCs w:val="24"/>
        </w:rPr>
        <w:t xml:space="preserve">and </w:t>
      </w:r>
      <w:r w:rsidR="00D30E93" w:rsidRPr="00772AC6">
        <w:rPr>
          <w:rFonts w:ascii="Book Antiqua" w:hAnsi="Book Antiqua" w:cs="Arial"/>
          <w:sz w:val="24"/>
          <w:szCs w:val="24"/>
        </w:rPr>
        <w:t>aspartate aminotransferase (AST) to platelet ratio index (</w:t>
      </w:r>
      <w:r w:rsidR="005932BD" w:rsidRPr="00772AC6">
        <w:rPr>
          <w:rFonts w:ascii="Book Antiqua" w:hAnsi="Book Antiqua" w:cs="Arial"/>
          <w:sz w:val="24"/>
          <w:szCs w:val="24"/>
        </w:rPr>
        <w:t>APRI</w:t>
      </w:r>
      <w:r w:rsidR="00D30E93" w:rsidRPr="00772AC6">
        <w:rPr>
          <w:rFonts w:ascii="Book Antiqua" w:hAnsi="Book Antiqua" w:cs="Arial"/>
          <w:sz w:val="24"/>
          <w:szCs w:val="24"/>
        </w:rPr>
        <w:t>)</w:t>
      </w:r>
      <w:r w:rsidR="005932BD" w:rsidRPr="00772AC6">
        <w:rPr>
          <w:rFonts w:ascii="Book Antiqua" w:hAnsi="Book Antiqua" w:cs="Arial"/>
          <w:sz w:val="24"/>
          <w:szCs w:val="24"/>
        </w:rPr>
        <w:t xml:space="preserve"> </w:t>
      </w:r>
      <w:r w:rsidR="006275DD" w:rsidRPr="00772AC6">
        <w:rPr>
          <w:rFonts w:ascii="Book Antiqua" w:hAnsi="Book Antiqua" w:cs="Arial"/>
          <w:sz w:val="24"/>
          <w:szCs w:val="24"/>
        </w:rPr>
        <w:t xml:space="preserve">were calculated according to the following </w:t>
      </w:r>
      <w:r w:rsidR="005932BD" w:rsidRPr="00772AC6">
        <w:rPr>
          <w:rFonts w:ascii="Book Antiqua" w:hAnsi="Book Antiqua" w:cs="Arial"/>
          <w:sz w:val="24"/>
          <w:szCs w:val="24"/>
        </w:rPr>
        <w:t>formulae</w:t>
      </w:r>
      <w:r w:rsidR="006275DD" w:rsidRPr="00772AC6">
        <w:rPr>
          <w:rFonts w:ascii="Book Antiqua" w:hAnsi="Book Antiqua" w:cs="Arial"/>
          <w:sz w:val="24"/>
          <w:szCs w:val="24"/>
        </w:rPr>
        <w:t xml:space="preserve">: HOMA-IR = </w:t>
      </w:r>
      <w:r w:rsidR="006F4F8A" w:rsidRPr="00772AC6">
        <w:rPr>
          <w:rFonts w:ascii="Book Antiqua" w:eastAsia="SimSun" w:hAnsi="Book Antiqua" w:cs="Arial"/>
          <w:sz w:val="24"/>
          <w:szCs w:val="24"/>
          <w:lang w:eastAsia="zh-CN"/>
        </w:rPr>
        <w:t>[</w:t>
      </w:r>
      <w:r w:rsidR="003460DD" w:rsidRPr="00772AC6">
        <w:rPr>
          <w:rFonts w:ascii="Book Antiqua" w:hAnsi="Book Antiqua" w:cs="Arial"/>
          <w:sz w:val="24"/>
          <w:szCs w:val="24"/>
        </w:rPr>
        <w:t xml:space="preserve">fasting blood glucose </w:t>
      </w:r>
      <w:r w:rsidR="006F4F8A" w:rsidRPr="00772AC6">
        <w:rPr>
          <w:rFonts w:ascii="Book Antiqua" w:eastAsia="SimSun" w:hAnsi="Book Antiqua" w:cs="Arial"/>
          <w:sz w:val="24"/>
          <w:szCs w:val="24"/>
          <w:lang w:eastAsia="zh-CN"/>
        </w:rPr>
        <w:t>(</w:t>
      </w:r>
      <w:r w:rsidR="003460DD" w:rsidRPr="00772AC6">
        <w:rPr>
          <w:rFonts w:ascii="Book Antiqua" w:hAnsi="Book Antiqua" w:cs="Arial"/>
          <w:sz w:val="24"/>
          <w:szCs w:val="24"/>
        </w:rPr>
        <w:t>mg/dL</w:t>
      </w:r>
      <w:r w:rsidR="006F4F8A" w:rsidRPr="00772AC6">
        <w:rPr>
          <w:rFonts w:ascii="Book Antiqua" w:eastAsia="SimSun" w:hAnsi="Book Antiqua" w:cs="Arial"/>
          <w:sz w:val="24"/>
          <w:szCs w:val="24"/>
          <w:lang w:eastAsia="zh-CN"/>
        </w:rPr>
        <w:t>)</w:t>
      </w:r>
      <w:r w:rsidR="000503EA" w:rsidRPr="00772AC6">
        <w:rPr>
          <w:rFonts w:ascii="Book Antiqua" w:hAnsi="Book Antiqua" w:cs="Arial"/>
          <w:sz w:val="24"/>
          <w:szCs w:val="24"/>
        </w:rPr>
        <w:t xml:space="preserve"> </w:t>
      </w:r>
      <w:r w:rsidR="003460DD" w:rsidRPr="00772AC6">
        <w:rPr>
          <w:rFonts w:ascii="Book Antiqua" w:hAnsi="Book Antiqua" w:cs="Arial"/>
          <w:sz w:val="24"/>
          <w:szCs w:val="24"/>
        </w:rPr>
        <w:t>×</w:t>
      </w:r>
      <w:r w:rsidR="000503EA" w:rsidRPr="00772AC6">
        <w:rPr>
          <w:rFonts w:ascii="Book Antiqua" w:hAnsi="Book Antiqua" w:cs="Arial"/>
          <w:sz w:val="24"/>
          <w:szCs w:val="24"/>
        </w:rPr>
        <w:t xml:space="preserve"> </w:t>
      </w:r>
      <w:r w:rsidR="003460DD" w:rsidRPr="00772AC6">
        <w:rPr>
          <w:rFonts w:ascii="Book Antiqua" w:hAnsi="Book Antiqua" w:cs="Arial"/>
          <w:sz w:val="24"/>
          <w:szCs w:val="24"/>
        </w:rPr>
        <w:t xml:space="preserve">fasting insulin </w:t>
      </w:r>
      <w:r w:rsidR="006F4F8A" w:rsidRPr="00772AC6">
        <w:rPr>
          <w:rFonts w:ascii="Book Antiqua" w:eastAsia="SimSun" w:hAnsi="Book Antiqua" w:cs="Arial"/>
          <w:sz w:val="24"/>
          <w:szCs w:val="24"/>
          <w:lang w:eastAsia="zh-CN"/>
        </w:rPr>
        <w:t>(</w:t>
      </w:r>
      <w:r w:rsidR="003460DD" w:rsidRPr="00772AC6">
        <w:rPr>
          <w:rFonts w:ascii="Book Antiqua" w:hAnsi="Book Antiqua" w:cs="Arial"/>
          <w:sz w:val="24"/>
          <w:szCs w:val="24"/>
        </w:rPr>
        <w:t>μ</w:t>
      </w:r>
      <w:r w:rsidR="00B8746D" w:rsidRPr="00772AC6">
        <w:rPr>
          <w:rFonts w:ascii="Book Antiqua" w:hAnsi="Book Antiqua" w:cs="Arial"/>
          <w:sz w:val="24"/>
          <w:szCs w:val="24"/>
        </w:rPr>
        <w:t>U/mL</w:t>
      </w:r>
      <w:r w:rsidR="006F4F8A" w:rsidRPr="00772AC6">
        <w:rPr>
          <w:rFonts w:ascii="Book Antiqua" w:eastAsia="SimSun" w:hAnsi="Book Antiqua" w:cs="Arial"/>
          <w:sz w:val="24"/>
          <w:szCs w:val="24"/>
          <w:lang w:eastAsia="zh-CN"/>
        </w:rPr>
        <w:t>)]</w:t>
      </w:r>
      <w:r w:rsidR="003460DD" w:rsidRPr="00772AC6">
        <w:rPr>
          <w:rFonts w:ascii="Book Antiqua" w:hAnsi="Book Antiqua" w:cs="Arial"/>
          <w:sz w:val="24"/>
          <w:szCs w:val="24"/>
        </w:rPr>
        <w:t>/405</w:t>
      </w:r>
      <w:r w:rsidR="008B2720" w:rsidRPr="00772AC6">
        <w:rPr>
          <w:rFonts w:ascii="Book Antiqua" w:hAnsi="Book Antiqua" w:cs="Arial"/>
          <w:sz w:val="24"/>
          <w:szCs w:val="24"/>
          <w:vertAlign w:val="superscript"/>
        </w:rPr>
        <w:t>[</w:t>
      </w:r>
      <w:r w:rsidR="00450F24" w:rsidRPr="00772AC6">
        <w:rPr>
          <w:rFonts w:ascii="Book Antiqua" w:hAnsi="Book Antiqua" w:cs="Arial"/>
          <w:sz w:val="24"/>
          <w:szCs w:val="24"/>
          <w:vertAlign w:val="superscript"/>
        </w:rPr>
        <w:t>32</w:t>
      </w:r>
      <w:r w:rsidR="008B2720" w:rsidRPr="00772AC6">
        <w:rPr>
          <w:rFonts w:ascii="Book Antiqua" w:hAnsi="Book Antiqua" w:cs="Arial"/>
          <w:sz w:val="24"/>
          <w:szCs w:val="24"/>
          <w:vertAlign w:val="superscript"/>
        </w:rPr>
        <w:t>,33</w:t>
      </w:r>
      <w:r w:rsidR="00450F24" w:rsidRPr="00772AC6">
        <w:rPr>
          <w:rFonts w:ascii="Book Antiqua" w:hAnsi="Book Antiqua" w:cs="Arial"/>
          <w:sz w:val="24"/>
          <w:szCs w:val="24"/>
          <w:vertAlign w:val="superscript"/>
        </w:rPr>
        <w:t>]</w:t>
      </w:r>
      <w:r w:rsidR="003460DD" w:rsidRPr="00772AC6">
        <w:rPr>
          <w:rFonts w:ascii="Book Antiqua" w:hAnsi="Book Antiqua" w:cs="Arial"/>
          <w:sz w:val="24"/>
          <w:szCs w:val="24"/>
        </w:rPr>
        <w:t>,</w:t>
      </w:r>
      <w:r w:rsidR="006275DD" w:rsidRPr="00772AC6">
        <w:rPr>
          <w:rFonts w:ascii="Book Antiqua" w:hAnsi="Book Antiqua" w:cs="Arial"/>
          <w:sz w:val="24"/>
          <w:szCs w:val="24"/>
        </w:rPr>
        <w:t xml:space="preserve"> FIB-4 = </w:t>
      </w:r>
      <w:r w:rsidR="006F4F8A" w:rsidRPr="00772AC6">
        <w:rPr>
          <w:rFonts w:ascii="Book Antiqua" w:eastAsia="SimSun" w:hAnsi="Book Antiqua" w:cs="Arial"/>
          <w:sz w:val="24"/>
          <w:szCs w:val="24"/>
          <w:lang w:eastAsia="zh-CN"/>
        </w:rPr>
        <w:t>[</w:t>
      </w:r>
      <w:r w:rsidR="005932BD" w:rsidRPr="00772AC6">
        <w:rPr>
          <w:rFonts w:ascii="Book Antiqua" w:hAnsi="Book Antiqua" w:cs="Arial"/>
          <w:sz w:val="24"/>
          <w:szCs w:val="24"/>
        </w:rPr>
        <w:t xml:space="preserve">age </w:t>
      </w:r>
      <w:r w:rsidR="006F4F8A" w:rsidRPr="00772AC6">
        <w:rPr>
          <w:rFonts w:ascii="Book Antiqua" w:eastAsia="SimSun" w:hAnsi="Book Antiqua" w:cs="Arial"/>
          <w:sz w:val="24"/>
          <w:szCs w:val="24"/>
          <w:lang w:eastAsia="zh-CN"/>
        </w:rPr>
        <w:t>(</w:t>
      </w:r>
      <w:r w:rsidR="005932BD" w:rsidRPr="00772AC6">
        <w:rPr>
          <w:rFonts w:ascii="Book Antiqua" w:hAnsi="Book Antiqua" w:cs="Arial"/>
          <w:sz w:val="24"/>
          <w:szCs w:val="24"/>
        </w:rPr>
        <w:t>years</w:t>
      </w:r>
      <w:r w:rsidR="006F4F8A" w:rsidRPr="00772AC6">
        <w:rPr>
          <w:rFonts w:ascii="Book Antiqua" w:eastAsia="SimSun" w:hAnsi="Book Antiqua" w:cs="Arial"/>
          <w:sz w:val="24"/>
          <w:szCs w:val="24"/>
          <w:lang w:eastAsia="zh-CN"/>
        </w:rPr>
        <w:t>)</w:t>
      </w:r>
      <w:r w:rsidR="000503EA" w:rsidRPr="00772AC6">
        <w:rPr>
          <w:rFonts w:ascii="Book Antiqua" w:hAnsi="Book Antiqua" w:cs="Arial"/>
          <w:sz w:val="24"/>
          <w:szCs w:val="24"/>
        </w:rPr>
        <w:t xml:space="preserve"> </w:t>
      </w:r>
      <w:r w:rsidR="005932BD" w:rsidRPr="00772AC6">
        <w:rPr>
          <w:rFonts w:ascii="Book Antiqua" w:hAnsi="Book Antiqua" w:cs="Arial"/>
          <w:sz w:val="24"/>
          <w:szCs w:val="24"/>
        </w:rPr>
        <w:t>×</w:t>
      </w:r>
      <w:r w:rsidR="000503EA" w:rsidRPr="00772AC6">
        <w:rPr>
          <w:rFonts w:ascii="Book Antiqua" w:hAnsi="Book Antiqua" w:cs="Arial"/>
          <w:sz w:val="24"/>
          <w:szCs w:val="24"/>
        </w:rPr>
        <w:t xml:space="preserve"> </w:t>
      </w:r>
      <w:r w:rsidR="005932BD" w:rsidRPr="00772AC6">
        <w:rPr>
          <w:rFonts w:ascii="Book Antiqua" w:hAnsi="Book Antiqua" w:cs="Arial"/>
          <w:sz w:val="24"/>
          <w:szCs w:val="24"/>
        </w:rPr>
        <w:t xml:space="preserve">AST </w:t>
      </w:r>
      <w:r w:rsidR="006F4F8A" w:rsidRPr="00772AC6">
        <w:rPr>
          <w:rFonts w:ascii="Book Antiqua" w:eastAsia="SimSun" w:hAnsi="Book Antiqua" w:cs="Arial"/>
          <w:sz w:val="24"/>
          <w:szCs w:val="24"/>
          <w:lang w:eastAsia="zh-CN"/>
        </w:rPr>
        <w:t>(</w:t>
      </w:r>
      <w:r w:rsidR="005932BD" w:rsidRPr="00772AC6">
        <w:rPr>
          <w:rFonts w:ascii="Book Antiqua" w:hAnsi="Book Antiqua" w:cs="Arial"/>
          <w:sz w:val="24"/>
          <w:szCs w:val="24"/>
        </w:rPr>
        <w:t>IU/L</w:t>
      </w:r>
      <w:r w:rsidR="006F4F8A" w:rsidRPr="00772AC6">
        <w:rPr>
          <w:rFonts w:ascii="Book Antiqua" w:eastAsia="SimSun" w:hAnsi="Book Antiqua" w:cs="Arial"/>
          <w:sz w:val="24"/>
          <w:szCs w:val="24"/>
          <w:lang w:eastAsia="zh-CN"/>
        </w:rPr>
        <w:t>)]</w:t>
      </w:r>
      <w:r w:rsidR="00657D1C" w:rsidRPr="00772AC6">
        <w:rPr>
          <w:rFonts w:ascii="Book Antiqua" w:hAnsi="Book Antiqua" w:cs="Arial"/>
          <w:sz w:val="24"/>
          <w:szCs w:val="24"/>
        </w:rPr>
        <w:t xml:space="preserve"> </w:t>
      </w:r>
      <w:r w:rsidR="005932BD" w:rsidRPr="00772AC6">
        <w:rPr>
          <w:rFonts w:ascii="Book Antiqua" w:hAnsi="Book Antiqua" w:cs="Arial"/>
          <w:sz w:val="24"/>
          <w:szCs w:val="24"/>
        </w:rPr>
        <w:t>/</w:t>
      </w:r>
      <w:r w:rsidR="00657D1C" w:rsidRPr="00772AC6">
        <w:rPr>
          <w:rFonts w:ascii="Book Antiqua" w:hAnsi="Book Antiqua" w:cs="Arial"/>
          <w:sz w:val="24"/>
          <w:szCs w:val="24"/>
        </w:rPr>
        <w:t xml:space="preserve"> </w:t>
      </w:r>
      <w:r w:rsidR="006F4F8A" w:rsidRPr="00772AC6">
        <w:rPr>
          <w:rFonts w:ascii="Book Antiqua" w:eastAsia="SimSun" w:hAnsi="Book Antiqua" w:cs="Arial"/>
          <w:sz w:val="24"/>
          <w:szCs w:val="24"/>
          <w:lang w:eastAsia="zh-CN"/>
        </w:rPr>
        <w:t>[</w:t>
      </w:r>
      <w:r w:rsidR="005932BD" w:rsidRPr="00772AC6">
        <w:rPr>
          <w:rFonts w:ascii="Book Antiqua" w:hAnsi="Book Antiqua" w:cs="Arial"/>
          <w:sz w:val="24"/>
          <w:szCs w:val="24"/>
        </w:rPr>
        <w:t xml:space="preserve">platelet count </w:t>
      </w:r>
      <w:r w:rsidR="006F4F8A" w:rsidRPr="00772AC6">
        <w:rPr>
          <w:rFonts w:ascii="Book Antiqua" w:eastAsia="SimSun" w:hAnsi="Book Antiqua" w:cs="Arial"/>
          <w:sz w:val="24"/>
          <w:szCs w:val="24"/>
          <w:lang w:eastAsia="zh-CN"/>
        </w:rPr>
        <w:t>(</w:t>
      </w:r>
      <w:r w:rsidR="005932BD" w:rsidRPr="00772AC6">
        <w:rPr>
          <w:rFonts w:ascii="Book Antiqua" w:hAnsi="Book Antiqua" w:cs="Arial"/>
          <w:sz w:val="24"/>
          <w:szCs w:val="24"/>
        </w:rPr>
        <w:t>10</w:t>
      </w:r>
      <w:r w:rsidR="005932BD" w:rsidRPr="00772AC6">
        <w:rPr>
          <w:rFonts w:ascii="Book Antiqua" w:hAnsi="Book Antiqua" w:cs="Arial"/>
          <w:sz w:val="24"/>
          <w:szCs w:val="24"/>
          <w:vertAlign w:val="superscript"/>
        </w:rPr>
        <w:t>9</w:t>
      </w:r>
      <w:r w:rsidR="005932BD" w:rsidRPr="00772AC6">
        <w:rPr>
          <w:rFonts w:ascii="Book Antiqua" w:hAnsi="Book Antiqua" w:cs="Arial"/>
          <w:sz w:val="24"/>
          <w:szCs w:val="24"/>
        </w:rPr>
        <w:t>/L</w:t>
      </w:r>
      <w:r w:rsidR="006F4F8A" w:rsidRPr="00772AC6">
        <w:rPr>
          <w:rFonts w:ascii="Book Antiqua" w:eastAsia="SimSun" w:hAnsi="Book Antiqua" w:cs="Arial"/>
          <w:sz w:val="24"/>
          <w:szCs w:val="24"/>
          <w:lang w:eastAsia="zh-CN"/>
        </w:rPr>
        <w:t>)</w:t>
      </w:r>
      <w:r w:rsidR="000503EA" w:rsidRPr="00772AC6">
        <w:rPr>
          <w:rFonts w:ascii="Book Antiqua" w:hAnsi="Book Antiqua" w:cs="Arial"/>
          <w:sz w:val="24"/>
          <w:szCs w:val="24"/>
        </w:rPr>
        <w:t xml:space="preserve"> </w:t>
      </w:r>
      <w:r w:rsidR="005932BD" w:rsidRPr="00772AC6">
        <w:rPr>
          <w:rFonts w:ascii="Book Antiqua" w:hAnsi="Book Antiqua" w:cs="Arial"/>
          <w:sz w:val="24"/>
          <w:szCs w:val="24"/>
        </w:rPr>
        <w:t>×</w:t>
      </w:r>
      <w:r w:rsidR="000503EA" w:rsidRPr="00772AC6">
        <w:rPr>
          <w:rFonts w:ascii="Book Antiqua" w:hAnsi="Book Antiqua" w:cs="Arial"/>
          <w:sz w:val="24"/>
          <w:szCs w:val="24"/>
        </w:rPr>
        <w:t xml:space="preserve"> </w:t>
      </w:r>
      <w:r w:rsidR="00133941" w:rsidRPr="00772AC6">
        <w:rPr>
          <w:rFonts w:ascii="Book Antiqua" w:hAnsi="Book Antiqua" w:cs="Arial"/>
          <w:sz w:val="24"/>
          <w:szCs w:val="24"/>
        </w:rPr>
        <w:t xml:space="preserve">alanine aminotransferase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ALT</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 xml:space="preserve">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IU/L</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vertAlign w:val="superscript"/>
        </w:rPr>
        <w:t>1/2</w:t>
      </w:r>
      <w:r w:rsidR="006F4F8A" w:rsidRPr="00772AC6">
        <w:rPr>
          <w:rFonts w:ascii="Book Antiqua" w:eastAsia="SimSun" w:hAnsi="Book Antiqua" w:cs="Arial"/>
          <w:sz w:val="24"/>
          <w:szCs w:val="24"/>
          <w:lang w:eastAsia="zh-CN"/>
        </w:rPr>
        <w:t>]</w:t>
      </w:r>
      <w:r w:rsidR="008B2720" w:rsidRPr="00772AC6">
        <w:rPr>
          <w:rFonts w:ascii="Book Antiqua" w:hAnsi="Book Antiqua" w:cs="Arial"/>
          <w:sz w:val="24"/>
          <w:szCs w:val="24"/>
          <w:vertAlign w:val="superscript"/>
        </w:rPr>
        <w:t>[34</w:t>
      </w:r>
      <w:r w:rsidR="00450F24" w:rsidRPr="00772AC6">
        <w:rPr>
          <w:rFonts w:ascii="Book Antiqua" w:hAnsi="Book Antiqua" w:cs="Arial"/>
          <w:sz w:val="24"/>
          <w:szCs w:val="24"/>
          <w:vertAlign w:val="superscript"/>
        </w:rPr>
        <w:t>]</w:t>
      </w:r>
      <w:r w:rsidR="00D30E93" w:rsidRPr="00772AC6">
        <w:rPr>
          <w:rFonts w:ascii="Book Antiqua" w:hAnsi="Book Antiqua" w:cs="Arial"/>
          <w:sz w:val="24"/>
          <w:szCs w:val="24"/>
        </w:rPr>
        <w:t xml:space="preserve">, </w:t>
      </w:r>
      <w:r w:rsidR="007F2C32" w:rsidRPr="00772AC6">
        <w:rPr>
          <w:rFonts w:ascii="Book Antiqua" w:hAnsi="Book Antiqua" w:cs="Arial"/>
          <w:sz w:val="24"/>
          <w:szCs w:val="24"/>
        </w:rPr>
        <w:t xml:space="preserve">and </w:t>
      </w:r>
      <w:r w:rsidR="00F04007" w:rsidRPr="00772AC6">
        <w:rPr>
          <w:rFonts w:ascii="Book Antiqua" w:hAnsi="Book Antiqua" w:cs="Arial"/>
          <w:sz w:val="24"/>
          <w:szCs w:val="24"/>
        </w:rPr>
        <w:t xml:space="preserve">APRI =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AST/upper limit of norma</w:t>
      </w:r>
      <w:r w:rsidR="00F04007" w:rsidRPr="00772AC6">
        <w:rPr>
          <w:rFonts w:ascii="Book Antiqua" w:hAnsi="Book Antiqua" w:cs="Arial"/>
          <w:sz w:val="24"/>
          <w:szCs w:val="24"/>
        </w:rPr>
        <w:t xml:space="preserve">l; </w:t>
      </w:r>
      <w:r w:rsidR="00C040EF" w:rsidRPr="00772AC6">
        <w:rPr>
          <w:rFonts w:ascii="Book Antiqua" w:hAnsi="Book Antiqua" w:cs="Arial"/>
          <w:sz w:val="24"/>
          <w:szCs w:val="24"/>
        </w:rPr>
        <w:t>28</w:t>
      </w:r>
      <w:r w:rsidR="00D30E93" w:rsidRPr="00772AC6">
        <w:rPr>
          <w:rFonts w:ascii="Book Antiqua" w:hAnsi="Book Antiqua" w:cs="Arial"/>
          <w:sz w:val="24"/>
          <w:szCs w:val="24"/>
        </w:rPr>
        <w:t xml:space="preserve">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IU/L</w:t>
      </w:r>
      <w:r w:rsidR="006F4F8A" w:rsidRPr="00772AC6">
        <w:rPr>
          <w:rFonts w:ascii="Book Antiqua" w:eastAsia="SimSun" w:hAnsi="Book Antiqua" w:cs="Arial"/>
          <w:sz w:val="24"/>
          <w:szCs w:val="24"/>
          <w:lang w:eastAsia="zh-CN"/>
        </w:rPr>
        <w:t>)]</w:t>
      </w:r>
      <w:r w:rsidR="000503EA" w:rsidRPr="00772AC6">
        <w:rPr>
          <w:rFonts w:ascii="Book Antiqua" w:hAnsi="Book Antiqua" w:cs="Arial"/>
          <w:sz w:val="24"/>
          <w:szCs w:val="24"/>
        </w:rPr>
        <w:t xml:space="preserve"> </w:t>
      </w:r>
      <w:r w:rsidR="00D30E93" w:rsidRPr="00772AC6">
        <w:rPr>
          <w:rFonts w:ascii="Book Antiqua" w:hAnsi="Book Antiqua" w:cs="Arial"/>
          <w:sz w:val="24"/>
          <w:szCs w:val="24"/>
        </w:rPr>
        <w:t>×</w:t>
      </w:r>
      <w:r w:rsidR="000503EA" w:rsidRPr="00772AC6">
        <w:rPr>
          <w:rFonts w:ascii="Book Antiqua" w:hAnsi="Book Antiqua" w:cs="Arial"/>
          <w:sz w:val="24"/>
          <w:szCs w:val="24"/>
        </w:rPr>
        <w:t xml:space="preserve">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 xml:space="preserve">100/platelet count </w:t>
      </w:r>
      <w:r w:rsidR="006F4F8A" w:rsidRPr="00772AC6">
        <w:rPr>
          <w:rFonts w:ascii="Book Antiqua" w:eastAsia="SimSun" w:hAnsi="Book Antiqua" w:cs="Arial"/>
          <w:sz w:val="24"/>
          <w:szCs w:val="24"/>
          <w:lang w:eastAsia="zh-CN"/>
        </w:rPr>
        <w:t>(</w:t>
      </w:r>
      <w:r w:rsidR="00D30E93" w:rsidRPr="00772AC6">
        <w:rPr>
          <w:rFonts w:ascii="Book Antiqua" w:hAnsi="Book Antiqua" w:cs="Arial"/>
          <w:sz w:val="24"/>
          <w:szCs w:val="24"/>
        </w:rPr>
        <w:t>10</w:t>
      </w:r>
      <w:r w:rsidR="00D30E93" w:rsidRPr="00772AC6">
        <w:rPr>
          <w:rFonts w:ascii="Book Antiqua" w:hAnsi="Book Antiqua" w:cs="Arial"/>
          <w:sz w:val="24"/>
          <w:szCs w:val="24"/>
          <w:vertAlign w:val="superscript"/>
        </w:rPr>
        <w:t>9</w:t>
      </w:r>
      <w:r w:rsidR="00D30E93" w:rsidRPr="00772AC6">
        <w:rPr>
          <w:rFonts w:ascii="Book Antiqua" w:hAnsi="Book Antiqua" w:cs="Arial"/>
          <w:sz w:val="24"/>
          <w:szCs w:val="24"/>
        </w:rPr>
        <w:t>/L</w:t>
      </w:r>
      <w:r w:rsidR="006F4F8A" w:rsidRPr="00772AC6">
        <w:rPr>
          <w:rFonts w:ascii="Book Antiqua" w:eastAsia="SimSun" w:hAnsi="Book Antiqua" w:cs="Arial"/>
          <w:sz w:val="24"/>
          <w:szCs w:val="24"/>
          <w:lang w:eastAsia="zh-CN"/>
        </w:rPr>
        <w:t>)]</w:t>
      </w:r>
      <w:r w:rsidR="008B2720" w:rsidRPr="00772AC6">
        <w:rPr>
          <w:rFonts w:ascii="Book Antiqua" w:hAnsi="Book Antiqua" w:cs="Arial"/>
          <w:sz w:val="24"/>
          <w:szCs w:val="24"/>
          <w:vertAlign w:val="superscript"/>
        </w:rPr>
        <w:t>[35</w:t>
      </w:r>
      <w:r w:rsidR="00450F24" w:rsidRPr="00772AC6">
        <w:rPr>
          <w:rFonts w:ascii="Book Antiqua" w:hAnsi="Book Antiqua" w:cs="Arial"/>
          <w:sz w:val="24"/>
          <w:szCs w:val="24"/>
          <w:vertAlign w:val="superscript"/>
        </w:rPr>
        <w:t>]</w:t>
      </w:r>
      <w:r w:rsidR="00D30E93" w:rsidRPr="00772AC6">
        <w:rPr>
          <w:rFonts w:ascii="Book Antiqua" w:hAnsi="Book Antiqua" w:cs="Arial"/>
          <w:sz w:val="24"/>
          <w:szCs w:val="24"/>
        </w:rPr>
        <w:t>.</w:t>
      </w:r>
      <w:r w:rsidR="00F63657" w:rsidRPr="00772AC6">
        <w:rPr>
          <w:rFonts w:ascii="Book Antiqua" w:hAnsi="Book Antiqua" w:cs="Arial"/>
          <w:sz w:val="24"/>
          <w:szCs w:val="24"/>
        </w:rPr>
        <w:t xml:space="preserve"> </w:t>
      </w:r>
      <w:r w:rsidR="00F04007" w:rsidRPr="00772AC6">
        <w:rPr>
          <w:rFonts w:ascii="Book Antiqua" w:hAnsi="Book Antiqua" w:cs="Arial"/>
          <w:sz w:val="24"/>
          <w:szCs w:val="24"/>
        </w:rPr>
        <w:t>One</w:t>
      </w:r>
      <w:r w:rsidR="00657D1C" w:rsidRPr="00772AC6">
        <w:rPr>
          <w:rFonts w:ascii="Book Antiqua" w:hAnsi="Book Antiqua" w:cs="Arial"/>
          <w:sz w:val="24"/>
          <w:szCs w:val="24"/>
        </w:rPr>
        <w:t xml:space="preserve"> </w:t>
      </w:r>
      <w:r w:rsidR="00D638A7" w:rsidRPr="00772AC6">
        <w:rPr>
          <w:rFonts w:ascii="Book Antiqua" w:hAnsi="Book Antiqua" w:cs="Arial"/>
          <w:sz w:val="24"/>
          <w:szCs w:val="24"/>
        </w:rPr>
        <w:t>hundred</w:t>
      </w:r>
      <w:r w:rsidR="00A065D6" w:rsidRPr="00772AC6">
        <w:rPr>
          <w:rFonts w:ascii="Book Antiqua" w:hAnsi="Book Antiqua" w:cs="Arial"/>
          <w:sz w:val="24"/>
          <w:szCs w:val="24"/>
        </w:rPr>
        <w:t xml:space="preserve"> sixty subjects </w:t>
      </w:r>
      <w:r w:rsidR="00D638A7" w:rsidRPr="00772AC6">
        <w:rPr>
          <w:rFonts w:ascii="Book Antiqua" w:hAnsi="Book Antiqua" w:cs="Arial"/>
          <w:sz w:val="24"/>
          <w:szCs w:val="24"/>
        </w:rPr>
        <w:t>(80 male and 80 female) whose liver function tests</w:t>
      </w:r>
      <w:r w:rsidR="00EE4FA9" w:rsidRPr="00772AC6">
        <w:rPr>
          <w:rFonts w:ascii="Book Antiqua" w:hAnsi="Book Antiqua" w:cs="Arial"/>
          <w:sz w:val="24"/>
          <w:szCs w:val="24"/>
        </w:rPr>
        <w:t xml:space="preserve"> and body mass index</w:t>
      </w:r>
      <w:r w:rsidR="00D638A7" w:rsidRPr="00772AC6">
        <w:rPr>
          <w:rFonts w:ascii="Book Antiqua" w:hAnsi="Book Antiqua" w:cs="Arial"/>
          <w:sz w:val="24"/>
          <w:szCs w:val="24"/>
        </w:rPr>
        <w:t xml:space="preserve"> </w:t>
      </w:r>
      <w:r w:rsidR="00657D1C" w:rsidRPr="00772AC6">
        <w:rPr>
          <w:rFonts w:ascii="Book Antiqua" w:hAnsi="Book Antiqua" w:cs="Arial"/>
          <w:sz w:val="24"/>
          <w:szCs w:val="24"/>
        </w:rPr>
        <w:t xml:space="preserve">(BMI) were </w:t>
      </w:r>
      <w:r w:rsidR="00D638A7" w:rsidRPr="00772AC6">
        <w:rPr>
          <w:rFonts w:ascii="Book Antiqua" w:hAnsi="Book Antiqua" w:cs="Arial"/>
          <w:sz w:val="24"/>
          <w:szCs w:val="24"/>
        </w:rPr>
        <w:t xml:space="preserve">within normal levels </w:t>
      </w:r>
      <w:r w:rsidR="00EE4FA9" w:rsidRPr="00772AC6">
        <w:rPr>
          <w:rFonts w:ascii="Book Antiqua" w:hAnsi="Book Antiqua" w:cs="Arial"/>
          <w:sz w:val="24"/>
          <w:szCs w:val="24"/>
        </w:rPr>
        <w:t xml:space="preserve">and having no past medical history </w:t>
      </w:r>
      <w:r w:rsidR="00657D1C" w:rsidRPr="00772AC6">
        <w:rPr>
          <w:rFonts w:ascii="Book Antiqua" w:hAnsi="Book Antiqua" w:cs="Arial"/>
          <w:sz w:val="24"/>
          <w:szCs w:val="24"/>
        </w:rPr>
        <w:t xml:space="preserve">of </w:t>
      </w:r>
      <w:r w:rsidR="00EE4FA9" w:rsidRPr="00772AC6">
        <w:rPr>
          <w:rFonts w:ascii="Book Antiqua" w:hAnsi="Book Antiqua" w:cs="Arial"/>
          <w:sz w:val="24"/>
          <w:szCs w:val="24"/>
        </w:rPr>
        <w:t xml:space="preserve">NAFLD </w:t>
      </w:r>
      <w:r w:rsidR="00D638A7" w:rsidRPr="00772AC6">
        <w:rPr>
          <w:rFonts w:ascii="Book Antiqua" w:hAnsi="Book Antiqua" w:cs="Arial"/>
          <w:sz w:val="24"/>
          <w:szCs w:val="24"/>
        </w:rPr>
        <w:t xml:space="preserve">were </w:t>
      </w:r>
      <w:r w:rsidR="00F04007" w:rsidRPr="00772AC6">
        <w:rPr>
          <w:rFonts w:ascii="Book Antiqua" w:hAnsi="Book Antiqua" w:cs="Arial"/>
          <w:sz w:val="24"/>
          <w:szCs w:val="24"/>
        </w:rPr>
        <w:t xml:space="preserve">selected </w:t>
      </w:r>
      <w:r w:rsidR="00D638A7" w:rsidRPr="00772AC6">
        <w:rPr>
          <w:rFonts w:ascii="Book Antiqua" w:hAnsi="Book Antiqua" w:cs="Arial"/>
          <w:sz w:val="24"/>
          <w:szCs w:val="24"/>
        </w:rPr>
        <w:t>as healthy controls</w:t>
      </w:r>
      <w:r w:rsidR="00657D1C" w:rsidRPr="00772AC6">
        <w:rPr>
          <w:rFonts w:ascii="Book Antiqua" w:hAnsi="Book Antiqua" w:cs="Arial"/>
          <w:sz w:val="24"/>
          <w:szCs w:val="24"/>
        </w:rPr>
        <w:t>,</w:t>
      </w:r>
      <w:r w:rsidR="00F04007" w:rsidRPr="00772AC6">
        <w:rPr>
          <w:rFonts w:ascii="Book Antiqua" w:hAnsi="Book Antiqua" w:cs="Arial"/>
          <w:sz w:val="24"/>
          <w:szCs w:val="24"/>
        </w:rPr>
        <w:t xml:space="preserve"> with </w:t>
      </w:r>
      <w:r w:rsidR="00657D1C" w:rsidRPr="00772AC6">
        <w:rPr>
          <w:rFonts w:ascii="Book Antiqua" w:hAnsi="Book Antiqua" w:cs="Arial"/>
          <w:sz w:val="24"/>
          <w:szCs w:val="24"/>
        </w:rPr>
        <w:t xml:space="preserve">equal </w:t>
      </w:r>
      <w:r w:rsidR="00F04007" w:rsidRPr="00772AC6">
        <w:rPr>
          <w:rFonts w:ascii="Book Antiqua" w:hAnsi="Book Antiqua" w:cs="Arial"/>
          <w:sz w:val="24"/>
          <w:szCs w:val="24"/>
        </w:rPr>
        <w:t>a</w:t>
      </w:r>
      <w:r w:rsidR="00D638A7" w:rsidRPr="00772AC6">
        <w:rPr>
          <w:rFonts w:ascii="Book Antiqua" w:hAnsi="Book Antiqua" w:cs="Arial"/>
          <w:sz w:val="24"/>
          <w:szCs w:val="24"/>
        </w:rPr>
        <w:t xml:space="preserve">ge distribution </w:t>
      </w:r>
      <w:r w:rsidR="00657D1C" w:rsidRPr="00772AC6">
        <w:rPr>
          <w:rFonts w:ascii="Book Antiqua" w:hAnsi="Book Antiqua" w:cs="Arial"/>
          <w:sz w:val="24"/>
          <w:szCs w:val="24"/>
        </w:rPr>
        <w:t xml:space="preserve">among </w:t>
      </w:r>
      <w:r w:rsidR="007F2C32" w:rsidRPr="00772AC6">
        <w:rPr>
          <w:rFonts w:ascii="Book Antiqua" w:hAnsi="Book Antiqua" w:cs="Arial"/>
          <w:sz w:val="24"/>
          <w:szCs w:val="24"/>
        </w:rPr>
        <w:t xml:space="preserve">the </w:t>
      </w:r>
      <w:r w:rsidR="00D638A7" w:rsidRPr="00772AC6">
        <w:rPr>
          <w:rFonts w:ascii="Book Antiqua" w:hAnsi="Book Antiqua" w:cs="Arial"/>
          <w:sz w:val="24"/>
          <w:szCs w:val="24"/>
        </w:rPr>
        <w:t>male and female</w:t>
      </w:r>
      <w:r w:rsidR="00F04007" w:rsidRPr="00772AC6">
        <w:rPr>
          <w:rFonts w:ascii="Book Antiqua" w:hAnsi="Book Antiqua" w:cs="Arial"/>
          <w:sz w:val="24"/>
          <w:szCs w:val="24"/>
        </w:rPr>
        <w:t xml:space="preserve"> individuals</w:t>
      </w:r>
      <w:r w:rsidR="00D638A7" w:rsidRPr="00772AC6">
        <w:rPr>
          <w:rFonts w:ascii="Book Antiqua" w:hAnsi="Book Antiqua" w:cs="Arial"/>
          <w:sz w:val="24"/>
          <w:szCs w:val="24"/>
        </w:rPr>
        <w:t xml:space="preserve"> (twenties: 20 subjects, thirties: 20 subjects, forties: 20 subjects, fifties: 20 subjects).</w:t>
      </w:r>
      <w:r w:rsidR="001D79FC" w:rsidRPr="00772AC6">
        <w:rPr>
          <w:rFonts w:ascii="Book Antiqua" w:hAnsi="Book Antiqua" w:cs="Arial"/>
          <w:sz w:val="24"/>
          <w:szCs w:val="24"/>
        </w:rPr>
        <w:t xml:space="preserve"> </w:t>
      </w:r>
      <w:r w:rsidR="00137143" w:rsidRPr="00772AC6">
        <w:rPr>
          <w:rFonts w:ascii="Book Antiqua" w:hAnsi="Book Antiqua" w:cs="Arial"/>
          <w:sz w:val="24"/>
          <w:szCs w:val="24"/>
        </w:rPr>
        <w:t xml:space="preserve">These healthy controls were same as our previous report </w:t>
      </w:r>
      <w:r w:rsidR="008B2720" w:rsidRPr="00772AC6">
        <w:rPr>
          <w:rFonts w:ascii="Book Antiqua" w:hAnsi="Book Antiqua" w:cs="Arial"/>
          <w:sz w:val="24"/>
          <w:szCs w:val="24"/>
          <w:vertAlign w:val="superscript"/>
        </w:rPr>
        <w:t>[26</w:t>
      </w:r>
      <w:r w:rsidR="00D171F4" w:rsidRPr="00772AC6">
        <w:rPr>
          <w:rFonts w:ascii="Book Antiqua" w:hAnsi="Book Antiqua" w:cs="Arial"/>
          <w:sz w:val="24"/>
          <w:szCs w:val="24"/>
          <w:vertAlign w:val="superscript"/>
        </w:rPr>
        <w:t>]</w:t>
      </w:r>
      <w:r w:rsidR="00D171F4" w:rsidRPr="00772AC6">
        <w:rPr>
          <w:rFonts w:ascii="Book Antiqua" w:hAnsi="Book Antiqua" w:cs="Arial"/>
          <w:sz w:val="24"/>
          <w:szCs w:val="24"/>
        </w:rPr>
        <w:t>.</w:t>
      </w:r>
      <w:r w:rsidR="00D171F4" w:rsidRPr="00772AC6">
        <w:rPr>
          <w:rFonts w:ascii="Book Antiqua" w:hAnsi="Book Antiqua" w:cs="Arial"/>
          <w:sz w:val="24"/>
          <w:szCs w:val="24"/>
          <w:vertAlign w:val="superscript"/>
        </w:rPr>
        <w:t xml:space="preserve"> </w:t>
      </w:r>
      <w:r w:rsidR="00505823" w:rsidRPr="00772AC6">
        <w:rPr>
          <w:rFonts w:ascii="Book Antiqua" w:hAnsi="Book Antiqua" w:cs="Arial"/>
          <w:sz w:val="24"/>
          <w:szCs w:val="24"/>
        </w:rPr>
        <w:t>Sera</w:t>
      </w:r>
      <w:r w:rsidR="001D79FC" w:rsidRPr="00772AC6">
        <w:rPr>
          <w:rFonts w:ascii="Book Antiqua" w:hAnsi="Book Antiqua" w:cs="Arial"/>
          <w:sz w:val="24"/>
          <w:szCs w:val="24"/>
        </w:rPr>
        <w:t xml:space="preserve"> w</w:t>
      </w:r>
      <w:r w:rsidR="00505823" w:rsidRPr="00772AC6">
        <w:rPr>
          <w:rFonts w:ascii="Book Antiqua" w:hAnsi="Book Antiqua" w:cs="Arial"/>
          <w:sz w:val="24"/>
          <w:szCs w:val="24"/>
        </w:rPr>
        <w:t>ere</w:t>
      </w:r>
      <w:r w:rsidR="001D79FC" w:rsidRPr="00772AC6">
        <w:rPr>
          <w:rFonts w:ascii="Book Antiqua" w:hAnsi="Book Antiqua" w:cs="Arial"/>
          <w:sz w:val="24"/>
          <w:szCs w:val="24"/>
        </w:rPr>
        <w:t xml:space="preserve"> </w:t>
      </w:r>
      <w:r w:rsidR="00505823" w:rsidRPr="00772AC6">
        <w:rPr>
          <w:rFonts w:ascii="Book Antiqua" w:hAnsi="Book Antiqua" w:cs="Arial"/>
          <w:sz w:val="24"/>
          <w:szCs w:val="24"/>
        </w:rPr>
        <w:t xml:space="preserve">obtained after overnight fasting </w:t>
      </w:r>
      <w:r w:rsidR="001D79FC" w:rsidRPr="00772AC6">
        <w:rPr>
          <w:rFonts w:ascii="Book Antiqua" w:hAnsi="Book Antiqua" w:cs="Arial"/>
          <w:sz w:val="24"/>
          <w:szCs w:val="24"/>
        </w:rPr>
        <w:t xml:space="preserve">on the day of </w:t>
      </w:r>
      <w:r w:rsidR="00657D1C" w:rsidRPr="00772AC6">
        <w:rPr>
          <w:rFonts w:ascii="Book Antiqua" w:hAnsi="Book Antiqua" w:cs="Arial"/>
          <w:sz w:val="24"/>
          <w:szCs w:val="24"/>
        </w:rPr>
        <w:t xml:space="preserve">the </w:t>
      </w:r>
      <w:r w:rsidR="001D79FC" w:rsidRPr="00772AC6">
        <w:rPr>
          <w:rFonts w:ascii="Book Antiqua" w:hAnsi="Book Antiqua" w:cs="Arial"/>
          <w:sz w:val="24"/>
          <w:szCs w:val="24"/>
        </w:rPr>
        <w:t>liver biopsy and stored at -80</w:t>
      </w:r>
      <w:r w:rsidR="002422B3" w:rsidRPr="00772AC6">
        <w:rPr>
          <w:rFonts w:ascii="Book Antiqua" w:eastAsia="SimSun" w:hAnsi="Book Antiqua" w:cs="Arial"/>
          <w:sz w:val="24"/>
          <w:szCs w:val="24"/>
          <w:vertAlign w:val="superscript"/>
          <w:lang w:eastAsia="zh-CN"/>
        </w:rPr>
        <w:t xml:space="preserve"> </w:t>
      </w:r>
      <w:r w:rsidR="002422B3" w:rsidRPr="00772AC6">
        <w:rPr>
          <w:rFonts w:ascii="SimSun" w:eastAsia="SimSun" w:hAnsi="SimSun" w:cs="SimSun" w:hint="eastAsia"/>
          <w:sz w:val="24"/>
          <w:szCs w:val="24"/>
          <w:lang w:eastAsia="zh-CN"/>
        </w:rPr>
        <w:t>℃</w:t>
      </w:r>
      <w:r w:rsidR="002422B3" w:rsidRPr="00772AC6">
        <w:rPr>
          <w:rFonts w:ascii="Book Antiqua" w:eastAsia="SimSun" w:hAnsi="Book Antiqua" w:cs="SimSun"/>
          <w:sz w:val="24"/>
          <w:szCs w:val="24"/>
          <w:lang w:eastAsia="zh-CN"/>
        </w:rPr>
        <w:t xml:space="preserve"> </w:t>
      </w:r>
      <w:r w:rsidR="001D79FC" w:rsidRPr="00772AC6">
        <w:rPr>
          <w:rFonts w:ascii="Book Antiqua" w:hAnsi="Book Antiqua" w:cs="Arial"/>
          <w:sz w:val="24"/>
          <w:szCs w:val="24"/>
        </w:rPr>
        <w:t xml:space="preserve">until </w:t>
      </w:r>
      <w:r w:rsidR="00657D1C" w:rsidRPr="00772AC6">
        <w:rPr>
          <w:rFonts w:ascii="Book Antiqua" w:hAnsi="Book Antiqua" w:cs="Arial"/>
          <w:sz w:val="24"/>
          <w:szCs w:val="24"/>
        </w:rPr>
        <w:t>testing</w:t>
      </w:r>
      <w:r w:rsidR="00505823" w:rsidRPr="00772AC6">
        <w:rPr>
          <w:rFonts w:ascii="Book Antiqua" w:hAnsi="Book Antiqua" w:cs="Arial"/>
          <w:sz w:val="24"/>
          <w:szCs w:val="24"/>
        </w:rPr>
        <w:t xml:space="preserve">. </w:t>
      </w:r>
    </w:p>
    <w:p w:rsidR="00A57442" w:rsidRPr="00772AC6" w:rsidRDefault="00A57442" w:rsidP="005A4D61">
      <w:pPr>
        <w:adjustRightInd w:val="0"/>
        <w:snapToGrid w:val="0"/>
        <w:spacing w:line="360" w:lineRule="auto"/>
        <w:ind w:firstLineChars="200" w:firstLine="480"/>
        <w:rPr>
          <w:rFonts w:ascii="Book Antiqua" w:hAnsi="Book Antiqua" w:cs="Arial"/>
          <w:sz w:val="24"/>
          <w:szCs w:val="24"/>
        </w:rPr>
      </w:pPr>
    </w:p>
    <w:p w:rsidR="008F3C3B" w:rsidRPr="00772AC6" w:rsidRDefault="000676E6" w:rsidP="005A4D61">
      <w:pPr>
        <w:adjustRightInd w:val="0"/>
        <w:snapToGrid w:val="0"/>
        <w:spacing w:line="360" w:lineRule="auto"/>
        <w:rPr>
          <w:rFonts w:ascii="Book Antiqua" w:hAnsi="Book Antiqua" w:cs="Arial"/>
          <w:b/>
          <w:i/>
          <w:sz w:val="24"/>
          <w:szCs w:val="24"/>
        </w:rPr>
      </w:pPr>
      <w:r w:rsidRPr="00772AC6">
        <w:rPr>
          <w:rFonts w:ascii="Book Antiqua" w:hAnsi="Book Antiqua" w:cs="Arial"/>
          <w:b/>
          <w:i/>
          <w:sz w:val="24"/>
          <w:szCs w:val="24"/>
        </w:rPr>
        <w:t>M</w:t>
      </w:r>
      <w:r w:rsidR="006B5DB7" w:rsidRPr="00772AC6">
        <w:rPr>
          <w:rFonts w:ascii="Book Antiqua" w:hAnsi="Book Antiqua" w:cs="Arial"/>
          <w:b/>
          <w:i/>
          <w:sz w:val="24"/>
          <w:szCs w:val="24"/>
        </w:rPr>
        <w:t>easurement</w:t>
      </w:r>
      <w:r w:rsidRPr="00772AC6">
        <w:rPr>
          <w:rFonts w:ascii="Book Antiqua" w:hAnsi="Book Antiqua" w:cs="Arial"/>
          <w:b/>
          <w:i/>
          <w:sz w:val="24"/>
          <w:szCs w:val="24"/>
        </w:rPr>
        <w:t xml:space="preserve"> of ATX</w:t>
      </w:r>
    </w:p>
    <w:p w:rsidR="001C11F4" w:rsidRPr="00772AC6" w:rsidRDefault="007B6793" w:rsidP="005A4D61">
      <w:pPr>
        <w:adjustRightInd w:val="0"/>
        <w:snapToGrid w:val="0"/>
        <w:spacing w:line="360" w:lineRule="auto"/>
        <w:rPr>
          <w:rFonts w:ascii="Book Antiqua" w:hAnsi="Book Antiqua" w:cs="Arial"/>
          <w:sz w:val="24"/>
          <w:szCs w:val="24"/>
        </w:rPr>
      </w:pPr>
      <w:r w:rsidRPr="00772AC6">
        <w:rPr>
          <w:rFonts w:ascii="Book Antiqua" w:hAnsi="Book Antiqua" w:cs="Arial"/>
          <w:kern w:val="0"/>
          <w:sz w:val="24"/>
          <w:szCs w:val="24"/>
        </w:rPr>
        <w:t>Serum ATX concentration</w:t>
      </w:r>
      <w:r w:rsidR="00715AE1" w:rsidRPr="00772AC6">
        <w:rPr>
          <w:rFonts w:ascii="Book Antiqua" w:hAnsi="Book Antiqua" w:cs="Arial"/>
          <w:kern w:val="0"/>
          <w:sz w:val="24"/>
          <w:szCs w:val="24"/>
        </w:rPr>
        <w:t>s</w:t>
      </w:r>
      <w:r w:rsidRPr="00772AC6">
        <w:rPr>
          <w:rFonts w:ascii="Book Antiqua" w:hAnsi="Book Antiqua" w:cs="Arial"/>
          <w:kern w:val="0"/>
          <w:sz w:val="24"/>
          <w:szCs w:val="24"/>
        </w:rPr>
        <w:t xml:space="preserve"> </w:t>
      </w:r>
      <w:r w:rsidR="00715AE1" w:rsidRPr="00772AC6">
        <w:rPr>
          <w:rFonts w:ascii="Book Antiqua" w:hAnsi="Book Antiqua" w:cs="Arial"/>
          <w:kern w:val="0"/>
          <w:sz w:val="24"/>
          <w:szCs w:val="24"/>
        </w:rPr>
        <w:t>were</w:t>
      </w:r>
      <w:r w:rsidR="006815C4" w:rsidRPr="00772AC6">
        <w:rPr>
          <w:rFonts w:ascii="Book Antiqua" w:hAnsi="Book Antiqua" w:cs="Arial"/>
          <w:kern w:val="0"/>
          <w:sz w:val="24"/>
          <w:szCs w:val="24"/>
        </w:rPr>
        <w:t xml:space="preserve"> determined </w:t>
      </w:r>
      <w:r w:rsidRPr="00772AC6">
        <w:rPr>
          <w:rFonts w:ascii="Book Antiqua" w:hAnsi="Book Antiqua" w:cs="Arial"/>
          <w:kern w:val="0"/>
          <w:sz w:val="24"/>
          <w:szCs w:val="24"/>
        </w:rPr>
        <w:t xml:space="preserve">with a specific two-site enzyme immunoassay using the </w:t>
      </w:r>
      <w:r w:rsidR="001A3B54" w:rsidRPr="00772AC6">
        <w:rPr>
          <w:rFonts w:ascii="Book Antiqua" w:hAnsi="Book Antiqua" w:cs="Arial"/>
          <w:kern w:val="0"/>
          <w:sz w:val="24"/>
          <w:szCs w:val="24"/>
        </w:rPr>
        <w:t xml:space="preserve">automated immunoassay analyzer </w:t>
      </w:r>
      <w:r w:rsidRPr="00772AC6">
        <w:rPr>
          <w:rFonts w:ascii="Book Antiqua" w:hAnsi="Book Antiqua" w:cs="Arial"/>
          <w:kern w:val="0"/>
          <w:sz w:val="24"/>
          <w:szCs w:val="24"/>
        </w:rPr>
        <w:t>AIA-2000 system (Tosoh Co., Tokyo, Japan), as described previously</w:t>
      </w:r>
      <w:r w:rsidR="00450F24" w:rsidRPr="00772AC6">
        <w:rPr>
          <w:rFonts w:ascii="Book Antiqua" w:hAnsi="Book Antiqua" w:cs="Arial"/>
          <w:kern w:val="0"/>
          <w:sz w:val="24"/>
          <w:szCs w:val="24"/>
          <w:vertAlign w:val="superscript"/>
        </w:rPr>
        <w:t>[</w:t>
      </w:r>
      <w:r w:rsidR="008B2720" w:rsidRPr="00772AC6">
        <w:rPr>
          <w:rFonts w:ascii="Book Antiqua" w:hAnsi="Book Antiqua" w:cs="Arial"/>
          <w:sz w:val="24"/>
          <w:szCs w:val="24"/>
          <w:vertAlign w:val="superscript"/>
        </w:rPr>
        <w:t>36</w:t>
      </w:r>
      <w:r w:rsidR="00450F24" w:rsidRPr="00772AC6">
        <w:rPr>
          <w:rFonts w:ascii="Book Antiqua" w:hAnsi="Book Antiqua" w:cs="Arial"/>
          <w:sz w:val="24"/>
          <w:szCs w:val="24"/>
          <w:vertAlign w:val="superscript"/>
        </w:rPr>
        <w:t>]</w:t>
      </w:r>
      <w:r w:rsidR="006D338B" w:rsidRPr="00772AC6">
        <w:rPr>
          <w:rFonts w:ascii="Book Antiqua" w:hAnsi="Book Antiqua" w:cs="Arial"/>
          <w:sz w:val="24"/>
          <w:szCs w:val="24"/>
        </w:rPr>
        <w:t>.</w:t>
      </w:r>
      <w:r w:rsidR="00023D06" w:rsidRPr="00772AC6">
        <w:rPr>
          <w:rFonts w:ascii="Book Antiqua" w:hAnsi="Book Antiqua"/>
          <w:sz w:val="24"/>
          <w:szCs w:val="24"/>
        </w:rPr>
        <w:t xml:space="preserve"> </w:t>
      </w:r>
      <w:r w:rsidR="00023D06" w:rsidRPr="00772AC6">
        <w:rPr>
          <w:rFonts w:ascii="Book Antiqua" w:hAnsi="Book Antiqua" w:cs="Arial"/>
          <w:sz w:val="24"/>
          <w:szCs w:val="24"/>
        </w:rPr>
        <w:t>To prepare the 2-site immunoassay, R10.23 was digested with pepsin and the purified F(ab)</w:t>
      </w:r>
      <w:r w:rsidR="00023D06" w:rsidRPr="00772AC6">
        <w:rPr>
          <w:rFonts w:ascii="Book Antiqua" w:hAnsi="Book Antiqua" w:cs="Arial"/>
          <w:sz w:val="24"/>
          <w:szCs w:val="24"/>
          <w:vertAlign w:val="subscript"/>
        </w:rPr>
        <w:t>2</w:t>
      </w:r>
      <w:r w:rsidR="00023D06" w:rsidRPr="00772AC6">
        <w:rPr>
          <w:rFonts w:ascii="Book Antiqua" w:hAnsi="Book Antiqua" w:cs="Arial"/>
          <w:sz w:val="24"/>
          <w:szCs w:val="24"/>
        </w:rPr>
        <w:t xml:space="preserve"> form using phenyl-5PW (Tosoh Co.) hydrophobic column chromatography in order to avoid the nonspecific binding of human antibodies against various animal IgG in human specimens, like human anti-mouse antibodies. </w:t>
      </w:r>
      <w:r w:rsidR="00B92E3E" w:rsidRPr="00772AC6">
        <w:rPr>
          <w:rFonts w:ascii="Book Antiqua" w:hAnsi="Book Antiqua" w:cs="Arial"/>
          <w:sz w:val="24"/>
          <w:szCs w:val="24"/>
        </w:rPr>
        <w:t>M</w:t>
      </w:r>
      <w:r w:rsidR="00023D06" w:rsidRPr="00772AC6">
        <w:rPr>
          <w:rFonts w:ascii="Book Antiqua" w:hAnsi="Book Antiqua" w:cs="Arial"/>
          <w:sz w:val="24"/>
          <w:szCs w:val="24"/>
        </w:rPr>
        <w:t>agnetic beads were coated with R10.23 F(ab)</w:t>
      </w:r>
      <w:r w:rsidR="00023D06" w:rsidRPr="00772AC6">
        <w:rPr>
          <w:rFonts w:ascii="Book Antiqua" w:hAnsi="Book Antiqua" w:cs="Arial"/>
          <w:sz w:val="24"/>
          <w:szCs w:val="24"/>
          <w:vertAlign w:val="subscript"/>
        </w:rPr>
        <w:t>2</w:t>
      </w:r>
      <w:r w:rsidR="00023D06" w:rsidRPr="00772AC6">
        <w:rPr>
          <w:rFonts w:ascii="Book Antiqua" w:hAnsi="Book Antiqua" w:cs="Arial"/>
          <w:sz w:val="24"/>
          <w:szCs w:val="24"/>
        </w:rPr>
        <w:t xml:space="preserve"> and placed in the reaction cup, and 35 ng of alkaline phosphatase-labeled R10.21 in assay buffer (5% BSA, 5% sucrose, 10 mmol/</w:t>
      </w:r>
      <w:r w:rsidR="002422B3" w:rsidRPr="00772AC6">
        <w:rPr>
          <w:rFonts w:ascii="Book Antiqua" w:hAnsi="Book Antiqua" w:cs="Arial"/>
          <w:sz w:val="24"/>
          <w:szCs w:val="24"/>
        </w:rPr>
        <w:t>L</w:t>
      </w:r>
      <w:r w:rsidR="00023D06" w:rsidRPr="00772AC6">
        <w:rPr>
          <w:rFonts w:ascii="Book Antiqua" w:hAnsi="Book Antiqua" w:cs="Arial"/>
          <w:sz w:val="24"/>
          <w:szCs w:val="24"/>
        </w:rPr>
        <w:t xml:space="preserve"> Tris–HCl, 10 mmol/</w:t>
      </w:r>
      <w:r w:rsidR="002422B3" w:rsidRPr="00772AC6">
        <w:rPr>
          <w:rFonts w:ascii="Book Antiqua" w:hAnsi="Book Antiqua" w:cs="Arial"/>
          <w:sz w:val="24"/>
          <w:szCs w:val="24"/>
        </w:rPr>
        <w:t>L</w:t>
      </w:r>
      <w:r w:rsidR="00023D06" w:rsidRPr="00772AC6">
        <w:rPr>
          <w:rFonts w:ascii="Book Antiqua" w:hAnsi="Book Antiqua" w:cs="Arial"/>
          <w:sz w:val="24"/>
          <w:szCs w:val="24"/>
        </w:rPr>
        <w:t xml:space="preserve"> MgCl</w:t>
      </w:r>
      <w:r w:rsidR="00023D06" w:rsidRPr="00772AC6">
        <w:rPr>
          <w:rFonts w:ascii="Book Antiqua" w:hAnsi="Book Antiqua" w:cs="Arial"/>
          <w:sz w:val="24"/>
          <w:szCs w:val="24"/>
          <w:vertAlign w:val="subscript"/>
        </w:rPr>
        <w:t>2</w:t>
      </w:r>
      <w:r w:rsidR="00023D06" w:rsidRPr="00772AC6">
        <w:rPr>
          <w:rFonts w:ascii="Book Antiqua" w:hAnsi="Book Antiqua" w:cs="Arial"/>
          <w:sz w:val="24"/>
          <w:szCs w:val="24"/>
        </w:rPr>
        <w:t>, pH 7.4) was added to the reaction cup. ATX assay reagent was prepared by immediate freeze-dry procedure of the reaction cup. The ATX assay reagent thus prepared can be used with AIA-system</w:t>
      </w:r>
      <w:r w:rsidR="009C6A0E" w:rsidRPr="00772AC6">
        <w:rPr>
          <w:rFonts w:ascii="Book Antiqua" w:hAnsi="Book Antiqua" w:cs="Arial"/>
          <w:sz w:val="24"/>
          <w:szCs w:val="24"/>
        </w:rPr>
        <w:t>.</w:t>
      </w:r>
    </w:p>
    <w:p w:rsidR="009A7FD4" w:rsidRPr="00772AC6" w:rsidRDefault="009A7FD4" w:rsidP="005A4D61">
      <w:pPr>
        <w:pStyle w:val="BodyText"/>
        <w:adjustRightInd w:val="0"/>
        <w:snapToGrid w:val="0"/>
        <w:spacing w:line="360" w:lineRule="auto"/>
        <w:rPr>
          <w:rFonts w:ascii="Book Antiqua" w:hAnsi="Book Antiqua" w:cs="Arial"/>
          <w:b/>
          <w:i/>
        </w:rPr>
      </w:pPr>
    </w:p>
    <w:p w:rsidR="00D377E6" w:rsidRPr="00772AC6" w:rsidRDefault="001B54FB" w:rsidP="005A4D61">
      <w:pPr>
        <w:pStyle w:val="BodyText"/>
        <w:adjustRightInd w:val="0"/>
        <w:snapToGrid w:val="0"/>
        <w:spacing w:line="360" w:lineRule="auto"/>
        <w:rPr>
          <w:rFonts w:ascii="Book Antiqua" w:hAnsi="Book Antiqua" w:cs="Arial"/>
          <w:b/>
          <w:i/>
        </w:rPr>
      </w:pPr>
      <w:r w:rsidRPr="00772AC6">
        <w:rPr>
          <w:rFonts w:ascii="Book Antiqua" w:hAnsi="Book Antiqua" w:cs="Arial"/>
          <w:b/>
          <w:i/>
        </w:rPr>
        <w:t xml:space="preserve">Histological </w:t>
      </w:r>
      <w:r w:rsidR="006D338B" w:rsidRPr="00772AC6">
        <w:rPr>
          <w:rFonts w:ascii="Book Antiqua" w:hAnsi="Book Antiqua" w:cs="Arial"/>
          <w:b/>
          <w:i/>
        </w:rPr>
        <w:t>findings</w:t>
      </w:r>
    </w:p>
    <w:p w:rsidR="00C62050" w:rsidRPr="00772AC6" w:rsidRDefault="00F939F0" w:rsidP="005A4D61">
      <w:pPr>
        <w:pStyle w:val="BodyText"/>
        <w:adjustRightInd w:val="0"/>
        <w:snapToGrid w:val="0"/>
        <w:spacing w:line="360" w:lineRule="auto"/>
        <w:rPr>
          <w:rFonts w:ascii="Book Antiqua" w:hAnsi="Book Antiqua" w:cs="Arial"/>
        </w:rPr>
      </w:pPr>
      <w:r w:rsidRPr="00772AC6">
        <w:rPr>
          <w:rFonts w:ascii="Book Antiqua" w:hAnsi="Book Antiqua" w:cs="Arial"/>
        </w:rPr>
        <w:t xml:space="preserve">Liver </w:t>
      </w:r>
      <w:r w:rsidR="001B54FB" w:rsidRPr="00772AC6">
        <w:rPr>
          <w:rFonts w:ascii="Book Antiqua" w:hAnsi="Book Antiqua" w:cs="Arial"/>
        </w:rPr>
        <w:t xml:space="preserve">specimens </w:t>
      </w:r>
      <w:r w:rsidR="007F2C32" w:rsidRPr="00772AC6">
        <w:rPr>
          <w:rFonts w:ascii="Book Antiqua" w:hAnsi="Book Antiqua" w:cs="Arial"/>
        </w:rPr>
        <w:t xml:space="preserve">of at least 1.5 cm in length </w:t>
      </w:r>
      <w:r w:rsidR="001B54FB" w:rsidRPr="00772AC6">
        <w:rPr>
          <w:rFonts w:ascii="Book Antiqua" w:hAnsi="Book Antiqua" w:cs="Arial"/>
        </w:rPr>
        <w:t>were obtained from segment 5 or 8 using 14-</w:t>
      </w:r>
      <w:r w:rsidR="00657D1C" w:rsidRPr="00772AC6">
        <w:rPr>
          <w:rFonts w:ascii="Book Antiqua" w:hAnsi="Book Antiqua" w:cs="Arial"/>
        </w:rPr>
        <w:t>gauge</w:t>
      </w:r>
      <w:r w:rsidR="001B54FB" w:rsidRPr="00772AC6">
        <w:rPr>
          <w:rFonts w:ascii="Book Antiqua" w:hAnsi="Book Antiqua" w:cs="Arial"/>
        </w:rPr>
        <w:t xml:space="preserve"> needles</w:t>
      </w:r>
      <w:r w:rsidR="00657D1C" w:rsidRPr="00772AC6">
        <w:rPr>
          <w:rFonts w:ascii="Book Antiqua" w:hAnsi="Book Antiqua" w:cs="Arial"/>
        </w:rPr>
        <w:t>,</w:t>
      </w:r>
      <w:r w:rsidR="001B54FB" w:rsidRPr="00772AC6">
        <w:rPr>
          <w:rFonts w:ascii="Book Antiqua" w:hAnsi="Book Antiqua" w:cs="Arial"/>
        </w:rPr>
        <w:t xml:space="preserve"> </w:t>
      </w:r>
      <w:r w:rsidR="003B50E1" w:rsidRPr="00772AC6">
        <w:rPr>
          <w:rFonts w:ascii="Book Antiqua" w:hAnsi="Book Antiqua" w:cs="Arial"/>
        </w:rPr>
        <w:t>as described previously</w:t>
      </w:r>
      <w:r w:rsidR="00657D1C" w:rsidRPr="00772AC6">
        <w:rPr>
          <w:rFonts w:ascii="Book Antiqua" w:hAnsi="Book Antiqua" w:cs="Arial"/>
        </w:rPr>
        <w:t>,</w:t>
      </w:r>
      <w:r w:rsidR="003B50E1" w:rsidRPr="00772AC6">
        <w:rPr>
          <w:rFonts w:ascii="Book Antiqua" w:hAnsi="Book Antiqua" w:cs="Arial"/>
        </w:rPr>
        <w:t xml:space="preserve"> </w:t>
      </w:r>
      <w:r w:rsidR="001B54FB" w:rsidRPr="00772AC6">
        <w:rPr>
          <w:rFonts w:ascii="Book Antiqua" w:hAnsi="Book Antiqua" w:cs="Arial"/>
        </w:rPr>
        <w:t>and immediately fixed in</w:t>
      </w:r>
      <w:r w:rsidR="003B50E1" w:rsidRPr="00772AC6">
        <w:rPr>
          <w:rFonts w:ascii="Book Antiqua" w:hAnsi="Book Antiqua" w:cs="Arial"/>
        </w:rPr>
        <w:t xml:space="preserve"> 10% neutral formalin</w:t>
      </w:r>
      <w:r w:rsidR="00006094" w:rsidRPr="00772AC6">
        <w:rPr>
          <w:rFonts w:ascii="Book Antiqua" w:hAnsi="Book Antiqua" w:cs="Arial"/>
        </w:rPr>
        <w:t xml:space="preserve">. </w:t>
      </w:r>
      <w:r w:rsidR="001B54FB" w:rsidRPr="00772AC6">
        <w:rPr>
          <w:rFonts w:ascii="Book Antiqua" w:hAnsi="Book Antiqua" w:cs="Arial"/>
        </w:rPr>
        <w:t xml:space="preserve">Sections </w:t>
      </w:r>
      <w:r w:rsidR="00657D1C" w:rsidRPr="00772AC6">
        <w:rPr>
          <w:rFonts w:ascii="Book Antiqua" w:hAnsi="Book Antiqua" w:cs="Arial"/>
        </w:rPr>
        <w:t xml:space="preserve">of </w:t>
      </w:r>
      <w:r w:rsidR="0008412D" w:rsidRPr="00772AC6">
        <w:rPr>
          <w:rFonts w:ascii="Book Antiqua" w:hAnsi="Book Antiqua" w:cs="Arial"/>
        </w:rPr>
        <w:t xml:space="preserve">4 </w:t>
      </w:r>
      <w:r w:rsidR="001B54FB" w:rsidRPr="00772AC6">
        <w:rPr>
          <w:rFonts w:ascii="Book Antiqua" w:hAnsi="Book Antiqua" w:cs="Arial"/>
        </w:rPr>
        <w:t xml:space="preserve">μm </w:t>
      </w:r>
      <w:r w:rsidR="00657D1C" w:rsidRPr="00772AC6">
        <w:rPr>
          <w:rFonts w:ascii="Book Antiqua" w:hAnsi="Book Antiqua" w:cs="Arial"/>
        </w:rPr>
        <w:t xml:space="preserve">in </w:t>
      </w:r>
      <w:r w:rsidR="001B54FB" w:rsidRPr="00772AC6">
        <w:rPr>
          <w:rFonts w:ascii="Book Antiqua" w:hAnsi="Book Antiqua" w:cs="Arial"/>
        </w:rPr>
        <w:t xml:space="preserve">thickness </w:t>
      </w:r>
      <w:r w:rsidR="00657D1C" w:rsidRPr="00772AC6">
        <w:rPr>
          <w:rFonts w:ascii="Book Antiqua" w:hAnsi="Book Antiqua" w:cs="Arial"/>
        </w:rPr>
        <w:t xml:space="preserve">were cut </w:t>
      </w:r>
      <w:r w:rsidR="001B54FB" w:rsidRPr="00772AC6">
        <w:rPr>
          <w:rFonts w:ascii="Book Antiqua" w:hAnsi="Book Antiqua" w:cs="Arial"/>
        </w:rPr>
        <w:t xml:space="preserve">and stained </w:t>
      </w:r>
      <w:r w:rsidR="00100121" w:rsidRPr="00772AC6">
        <w:rPr>
          <w:rFonts w:ascii="Book Antiqua" w:hAnsi="Book Antiqua" w:cs="Arial"/>
        </w:rPr>
        <w:t xml:space="preserve">by means of </w:t>
      </w:r>
      <w:r w:rsidR="00657D1C" w:rsidRPr="00772AC6">
        <w:rPr>
          <w:rFonts w:ascii="Book Antiqua" w:hAnsi="Book Antiqua" w:cs="Arial"/>
        </w:rPr>
        <w:t xml:space="preserve">the </w:t>
      </w:r>
      <w:r w:rsidR="001B54FB" w:rsidRPr="00772AC6">
        <w:rPr>
          <w:rFonts w:ascii="Book Antiqua" w:hAnsi="Book Antiqua" w:cs="Arial"/>
        </w:rPr>
        <w:t xml:space="preserve">hematoxylin and eosin </w:t>
      </w:r>
      <w:r w:rsidR="00E231A1" w:rsidRPr="00772AC6">
        <w:rPr>
          <w:rFonts w:ascii="Book Antiqua" w:hAnsi="Book Antiqua" w:cs="Arial"/>
        </w:rPr>
        <w:t>and Azan-Mallory methods</w:t>
      </w:r>
      <w:r w:rsidR="00006094" w:rsidRPr="00772AC6">
        <w:rPr>
          <w:rFonts w:ascii="Book Antiqua" w:hAnsi="Book Antiqua" w:cs="Arial"/>
        </w:rPr>
        <w:t xml:space="preserve">. </w:t>
      </w:r>
      <w:r w:rsidR="00A13353" w:rsidRPr="00772AC6">
        <w:rPr>
          <w:rFonts w:ascii="Book Antiqua" w:hAnsi="Book Antiqua" w:cs="Arial"/>
        </w:rPr>
        <w:t>The his</w:t>
      </w:r>
      <w:r w:rsidR="00CF1D6F" w:rsidRPr="00772AC6">
        <w:rPr>
          <w:rFonts w:ascii="Book Antiqua" w:hAnsi="Book Antiqua" w:cs="Arial"/>
        </w:rPr>
        <w:t>tological activity of NAFLD was</w:t>
      </w:r>
      <w:r w:rsidR="00A13353" w:rsidRPr="00772AC6">
        <w:rPr>
          <w:rFonts w:ascii="Book Antiqua" w:hAnsi="Book Antiqua" w:cs="Arial"/>
        </w:rPr>
        <w:t xml:space="preserve"> assessed by an independent </w:t>
      </w:r>
      <w:r w:rsidR="00671794" w:rsidRPr="00772AC6">
        <w:rPr>
          <w:rFonts w:ascii="Book Antiqua" w:hAnsi="Book Antiqua" w:cs="Arial"/>
        </w:rPr>
        <w:t xml:space="preserve">expert </w:t>
      </w:r>
      <w:r w:rsidR="00A13353" w:rsidRPr="00772AC6">
        <w:rPr>
          <w:rFonts w:ascii="Book Antiqua" w:hAnsi="Book Antiqua" w:cs="Arial"/>
        </w:rPr>
        <w:t xml:space="preserve">pathologist (KS) in a blinded </w:t>
      </w:r>
      <w:r w:rsidR="00100121" w:rsidRPr="00772AC6">
        <w:rPr>
          <w:rFonts w:ascii="Book Antiqua" w:hAnsi="Book Antiqua" w:cs="Arial"/>
        </w:rPr>
        <w:t xml:space="preserve">manner </w:t>
      </w:r>
      <w:r w:rsidR="00A13353" w:rsidRPr="00772AC6">
        <w:rPr>
          <w:rFonts w:ascii="Book Antiqua" w:hAnsi="Book Antiqua" w:cs="Arial"/>
        </w:rPr>
        <w:t xml:space="preserve">according to the </w:t>
      </w:r>
      <w:r w:rsidR="00A57442" w:rsidRPr="00772AC6">
        <w:rPr>
          <w:rFonts w:ascii="Book Antiqua" w:hAnsi="Book Antiqua" w:cs="Arial"/>
        </w:rPr>
        <w:t xml:space="preserve">NAFLD </w:t>
      </w:r>
      <w:r w:rsidR="00A13353" w:rsidRPr="00772AC6">
        <w:rPr>
          <w:rFonts w:ascii="Book Antiqua" w:hAnsi="Book Antiqua" w:cs="Arial"/>
        </w:rPr>
        <w:t xml:space="preserve">scoring system proposed by Kleiner </w:t>
      </w:r>
      <w:r w:rsidR="002422B3" w:rsidRPr="00772AC6">
        <w:rPr>
          <w:rFonts w:ascii="Book Antiqua" w:hAnsi="Book Antiqua" w:cs="Arial"/>
          <w:i/>
        </w:rPr>
        <w:t>et al</w:t>
      </w:r>
      <w:r w:rsidR="006676D0" w:rsidRPr="00772AC6">
        <w:rPr>
          <w:rFonts w:ascii="Book Antiqua" w:hAnsi="Book Antiqua" w:cs="Arial"/>
          <w:vertAlign w:val="superscript"/>
        </w:rPr>
        <w:t>[37</w:t>
      </w:r>
      <w:r w:rsidR="00BA4753" w:rsidRPr="00772AC6">
        <w:rPr>
          <w:rFonts w:ascii="Book Antiqua" w:hAnsi="Book Antiqua" w:cs="Arial"/>
          <w:vertAlign w:val="superscript"/>
        </w:rPr>
        <w:t>]</w:t>
      </w:r>
      <w:r w:rsidR="00671794" w:rsidRPr="00772AC6">
        <w:rPr>
          <w:rFonts w:ascii="Book Antiqua" w:hAnsi="Book Antiqua" w:cs="Arial"/>
        </w:rPr>
        <w:t>.</w:t>
      </w:r>
      <w:r w:rsidR="00C62050" w:rsidRPr="00772AC6">
        <w:rPr>
          <w:rFonts w:ascii="Book Antiqua" w:hAnsi="Book Antiqua" w:cs="Arial"/>
        </w:rPr>
        <w:t xml:space="preserve"> </w:t>
      </w:r>
      <w:r w:rsidR="0084504D" w:rsidRPr="00772AC6">
        <w:rPr>
          <w:rFonts w:ascii="Book Antiqua" w:hAnsi="Book Antiqua" w:cs="Arial"/>
        </w:rPr>
        <w:t xml:space="preserve">Steatosis </w:t>
      </w:r>
      <w:r w:rsidR="00657D1C" w:rsidRPr="00772AC6">
        <w:rPr>
          <w:rFonts w:ascii="Book Antiqua" w:hAnsi="Book Antiqua" w:cs="Arial"/>
        </w:rPr>
        <w:t xml:space="preserve">was </w:t>
      </w:r>
      <w:r w:rsidR="0084504D" w:rsidRPr="00772AC6">
        <w:rPr>
          <w:rFonts w:ascii="Book Antiqua" w:hAnsi="Book Antiqua" w:cs="Arial"/>
        </w:rPr>
        <w:t>grade</w:t>
      </w:r>
      <w:r w:rsidR="00657D1C" w:rsidRPr="00772AC6">
        <w:rPr>
          <w:rFonts w:ascii="Book Antiqua" w:hAnsi="Book Antiqua" w:cs="Arial"/>
        </w:rPr>
        <w:t xml:space="preserve">d as </w:t>
      </w:r>
      <w:r w:rsidR="00C96198" w:rsidRPr="00772AC6">
        <w:rPr>
          <w:rFonts w:ascii="Book Antiqua" w:hAnsi="Book Antiqua" w:cs="Arial"/>
        </w:rPr>
        <w:t xml:space="preserve">0 to 3 </w:t>
      </w:r>
      <w:r w:rsidR="00657D1C" w:rsidRPr="00772AC6">
        <w:rPr>
          <w:rFonts w:ascii="Book Antiqua" w:hAnsi="Book Antiqua" w:cs="Arial"/>
        </w:rPr>
        <w:t xml:space="preserve">based on </w:t>
      </w:r>
      <w:r w:rsidR="00C96198" w:rsidRPr="00772AC6">
        <w:rPr>
          <w:rFonts w:ascii="Book Antiqua" w:hAnsi="Book Antiqua" w:cs="Arial"/>
        </w:rPr>
        <w:t xml:space="preserve">the rate of </w:t>
      </w:r>
      <w:r w:rsidR="0084504D" w:rsidRPr="00772AC6">
        <w:rPr>
          <w:rFonts w:ascii="Book Antiqua" w:hAnsi="Book Antiqua" w:cs="Arial"/>
        </w:rPr>
        <w:t xml:space="preserve">steatotic </w:t>
      </w:r>
      <w:r w:rsidR="00C96198" w:rsidRPr="00772AC6">
        <w:rPr>
          <w:rFonts w:ascii="Book Antiqua" w:hAnsi="Book Antiqua" w:cs="Arial"/>
        </w:rPr>
        <w:t>hepatocytes</w:t>
      </w:r>
      <w:r w:rsidR="00657D1C" w:rsidRPr="00772AC6">
        <w:rPr>
          <w:rFonts w:ascii="Book Antiqua" w:hAnsi="Book Antiqua" w:cs="Arial"/>
        </w:rPr>
        <w:t xml:space="preserve"> (</w:t>
      </w:r>
      <w:r w:rsidR="00C96198" w:rsidRPr="00772AC6">
        <w:rPr>
          <w:rFonts w:ascii="Book Antiqua" w:hAnsi="Book Antiqua" w:cs="Arial"/>
        </w:rPr>
        <w:t>&lt;</w:t>
      </w:r>
      <w:r w:rsidR="002422B3" w:rsidRPr="00772AC6">
        <w:rPr>
          <w:rFonts w:ascii="Book Antiqua" w:eastAsia="SimSun" w:hAnsi="Book Antiqua" w:cs="Arial"/>
          <w:lang w:eastAsia="zh-CN"/>
        </w:rPr>
        <w:t xml:space="preserve"> </w:t>
      </w:r>
      <w:r w:rsidR="00C96198" w:rsidRPr="00772AC6">
        <w:rPr>
          <w:rFonts w:ascii="Book Antiqua" w:hAnsi="Book Antiqua" w:cs="Arial"/>
        </w:rPr>
        <w:t>5%, 5</w:t>
      </w:r>
      <w:r w:rsidR="002422B3" w:rsidRPr="00772AC6">
        <w:rPr>
          <w:rFonts w:ascii="Book Antiqua" w:eastAsia="SimSun" w:hAnsi="Book Antiqua" w:cs="Arial"/>
          <w:lang w:eastAsia="zh-CN"/>
        </w:rPr>
        <w:t>%</w:t>
      </w:r>
      <w:r w:rsidR="00C96198" w:rsidRPr="00772AC6">
        <w:rPr>
          <w:rFonts w:ascii="Book Antiqua" w:hAnsi="Book Antiqua" w:cs="Arial"/>
        </w:rPr>
        <w:t xml:space="preserve">-33%, </w:t>
      </w:r>
      <w:r w:rsidR="002422B3" w:rsidRPr="00772AC6">
        <w:rPr>
          <w:rFonts w:ascii="Book Antiqua" w:hAnsi="Book Antiqua" w:cs="Arial"/>
        </w:rPr>
        <w:t xml:space="preserve">&gt; </w:t>
      </w:r>
      <w:r w:rsidR="00C96198" w:rsidRPr="00772AC6">
        <w:rPr>
          <w:rFonts w:ascii="Book Antiqua" w:hAnsi="Book Antiqua" w:cs="Arial"/>
        </w:rPr>
        <w:t xml:space="preserve">33-66%, </w:t>
      </w:r>
      <w:r w:rsidR="0084504D" w:rsidRPr="00772AC6">
        <w:rPr>
          <w:rFonts w:ascii="Book Antiqua" w:hAnsi="Book Antiqua" w:cs="Arial"/>
        </w:rPr>
        <w:t xml:space="preserve">and </w:t>
      </w:r>
      <w:r w:rsidR="002422B3" w:rsidRPr="00772AC6">
        <w:rPr>
          <w:rFonts w:ascii="Book Antiqua" w:hAnsi="Book Antiqua" w:cs="Arial"/>
        </w:rPr>
        <w:t xml:space="preserve">&gt; </w:t>
      </w:r>
      <w:r w:rsidR="00C96198" w:rsidRPr="00772AC6">
        <w:rPr>
          <w:rFonts w:ascii="Book Antiqua" w:hAnsi="Book Antiqua" w:cs="Arial"/>
        </w:rPr>
        <w:t>66%, respectively</w:t>
      </w:r>
      <w:r w:rsidR="00657D1C" w:rsidRPr="00772AC6">
        <w:rPr>
          <w:rFonts w:ascii="Book Antiqua" w:hAnsi="Book Antiqua" w:cs="Arial"/>
        </w:rPr>
        <w:t>)</w:t>
      </w:r>
      <w:r w:rsidR="0084504D" w:rsidRPr="00772AC6">
        <w:rPr>
          <w:rFonts w:ascii="Book Antiqua" w:hAnsi="Book Antiqua" w:cs="Arial"/>
        </w:rPr>
        <w:t xml:space="preserve">. Lobular inflammation was </w:t>
      </w:r>
      <w:r w:rsidR="00657D1C" w:rsidRPr="00772AC6">
        <w:rPr>
          <w:rFonts w:ascii="Book Antiqua" w:hAnsi="Book Antiqua" w:cs="Arial"/>
        </w:rPr>
        <w:t xml:space="preserve">graded as </w:t>
      </w:r>
      <w:r w:rsidR="00C96198" w:rsidRPr="00772AC6">
        <w:rPr>
          <w:rFonts w:ascii="Book Antiqua" w:hAnsi="Book Antiqua" w:cs="Arial"/>
        </w:rPr>
        <w:t xml:space="preserve">0 to 3 </w:t>
      </w:r>
      <w:r w:rsidR="00657D1C" w:rsidRPr="00772AC6">
        <w:rPr>
          <w:rFonts w:ascii="Book Antiqua" w:hAnsi="Book Antiqua" w:cs="Arial"/>
        </w:rPr>
        <w:t xml:space="preserve">based on the </w:t>
      </w:r>
      <w:r w:rsidR="00C96198" w:rsidRPr="00772AC6">
        <w:rPr>
          <w:rFonts w:ascii="Book Antiqua" w:hAnsi="Book Antiqua" w:cs="Arial"/>
        </w:rPr>
        <w:t>overall assessment of all inﬂammatory foci</w:t>
      </w:r>
      <w:r w:rsidR="00657D1C" w:rsidRPr="00772AC6">
        <w:rPr>
          <w:rFonts w:ascii="Book Antiqua" w:hAnsi="Book Antiqua" w:cs="Arial"/>
        </w:rPr>
        <w:t xml:space="preserve"> (</w:t>
      </w:r>
      <w:r w:rsidR="00C96198" w:rsidRPr="00772AC6">
        <w:rPr>
          <w:rFonts w:ascii="Book Antiqua" w:hAnsi="Book Antiqua" w:cs="Arial"/>
        </w:rPr>
        <w:t>no</w:t>
      </w:r>
      <w:r w:rsidR="00657D1C" w:rsidRPr="00772AC6">
        <w:rPr>
          <w:rFonts w:ascii="Book Antiqua" w:hAnsi="Book Antiqua" w:cs="Arial"/>
        </w:rPr>
        <w:t xml:space="preserve"> foci</w:t>
      </w:r>
      <w:r w:rsidR="00C96198" w:rsidRPr="00772AC6">
        <w:rPr>
          <w:rFonts w:ascii="Book Antiqua" w:hAnsi="Book Antiqua" w:cs="Arial"/>
        </w:rPr>
        <w:t xml:space="preserve">, </w:t>
      </w:r>
      <w:r w:rsidR="002422B3" w:rsidRPr="00772AC6">
        <w:rPr>
          <w:rFonts w:ascii="Book Antiqua" w:hAnsi="Book Antiqua" w:cs="Arial"/>
        </w:rPr>
        <w:t xml:space="preserve">&lt; </w:t>
      </w:r>
      <w:r w:rsidR="00C96198" w:rsidRPr="00772AC6">
        <w:rPr>
          <w:rFonts w:ascii="Book Antiqua" w:hAnsi="Book Antiqua" w:cs="Arial"/>
        </w:rPr>
        <w:t xml:space="preserve">2 foci/200× field, </w:t>
      </w:r>
      <w:r w:rsidR="004F7980" w:rsidRPr="00772AC6">
        <w:rPr>
          <w:rFonts w:ascii="Book Antiqua" w:hAnsi="Book Antiqua" w:cs="Arial"/>
        </w:rPr>
        <w:t>2-4</w:t>
      </w:r>
      <w:r w:rsidR="00C96198" w:rsidRPr="00772AC6">
        <w:rPr>
          <w:rFonts w:ascii="Book Antiqua" w:hAnsi="Book Antiqua" w:cs="Arial"/>
        </w:rPr>
        <w:t xml:space="preserve"> foci/200× field, </w:t>
      </w:r>
      <w:r w:rsidR="00657D1C" w:rsidRPr="00772AC6">
        <w:rPr>
          <w:rFonts w:ascii="Book Antiqua" w:hAnsi="Book Antiqua" w:cs="Arial"/>
        </w:rPr>
        <w:t xml:space="preserve">and </w:t>
      </w:r>
      <w:r w:rsidR="002422B3" w:rsidRPr="00772AC6">
        <w:rPr>
          <w:rFonts w:ascii="Book Antiqua" w:hAnsi="Book Antiqua" w:cs="Arial"/>
        </w:rPr>
        <w:t xml:space="preserve">&gt; </w:t>
      </w:r>
      <w:r w:rsidR="004F7980" w:rsidRPr="00772AC6">
        <w:rPr>
          <w:rFonts w:ascii="Book Antiqua" w:hAnsi="Book Antiqua" w:cs="Arial"/>
        </w:rPr>
        <w:t>4 foci/200× field, respectively</w:t>
      </w:r>
      <w:r w:rsidR="00657D1C" w:rsidRPr="00772AC6">
        <w:rPr>
          <w:rFonts w:ascii="Book Antiqua" w:hAnsi="Book Antiqua" w:cs="Arial"/>
        </w:rPr>
        <w:t>)</w:t>
      </w:r>
      <w:r w:rsidR="004F7980" w:rsidRPr="00772AC6">
        <w:rPr>
          <w:rFonts w:ascii="Book Antiqua" w:hAnsi="Book Antiqua" w:cs="Arial"/>
        </w:rPr>
        <w:t xml:space="preserve">. </w:t>
      </w:r>
      <w:r w:rsidR="00F015AA" w:rsidRPr="00772AC6">
        <w:rPr>
          <w:rFonts w:ascii="Book Antiqua" w:hAnsi="Book Antiqua" w:cs="Arial"/>
        </w:rPr>
        <w:t xml:space="preserve">Ballooning grade was scored as 0-2 </w:t>
      </w:r>
      <w:r w:rsidR="00B52419" w:rsidRPr="00772AC6">
        <w:rPr>
          <w:rFonts w:ascii="Book Antiqua" w:hAnsi="Book Antiqua" w:cs="Arial"/>
        </w:rPr>
        <w:t xml:space="preserve">by the </w:t>
      </w:r>
      <w:r w:rsidR="00F015AA" w:rsidRPr="00772AC6">
        <w:rPr>
          <w:rFonts w:ascii="Book Antiqua" w:hAnsi="Book Antiqua" w:cs="Arial"/>
        </w:rPr>
        <w:t xml:space="preserve">frequency of ballooned </w:t>
      </w:r>
      <w:r w:rsidR="00B52419" w:rsidRPr="00772AC6">
        <w:rPr>
          <w:rFonts w:ascii="Book Antiqua" w:hAnsi="Book Antiqua" w:cs="Arial"/>
        </w:rPr>
        <w:t>hepatocytes</w:t>
      </w:r>
      <w:r w:rsidR="00657D1C" w:rsidRPr="00772AC6">
        <w:rPr>
          <w:rFonts w:ascii="Book Antiqua" w:hAnsi="Book Antiqua" w:cs="Arial"/>
        </w:rPr>
        <w:t xml:space="preserve"> (</w:t>
      </w:r>
      <w:r w:rsidR="00C62050" w:rsidRPr="00772AC6">
        <w:rPr>
          <w:rFonts w:ascii="Book Antiqua" w:hAnsi="Book Antiqua" w:cs="Arial"/>
        </w:rPr>
        <w:t xml:space="preserve">none, few, </w:t>
      </w:r>
      <w:r w:rsidR="0084504D" w:rsidRPr="00772AC6">
        <w:rPr>
          <w:rFonts w:ascii="Book Antiqua" w:hAnsi="Book Antiqua" w:cs="Arial"/>
        </w:rPr>
        <w:t xml:space="preserve">and </w:t>
      </w:r>
      <w:r w:rsidR="00C62050" w:rsidRPr="00772AC6">
        <w:rPr>
          <w:rFonts w:ascii="Book Antiqua" w:hAnsi="Book Antiqua" w:cs="Arial"/>
        </w:rPr>
        <w:t>many, respectively</w:t>
      </w:r>
      <w:r w:rsidR="00657D1C" w:rsidRPr="00772AC6">
        <w:rPr>
          <w:rFonts w:ascii="Book Antiqua" w:hAnsi="Book Antiqua" w:cs="Arial"/>
        </w:rPr>
        <w:t>)</w:t>
      </w:r>
      <w:r w:rsidR="00C62050" w:rsidRPr="00772AC6">
        <w:rPr>
          <w:rFonts w:ascii="Book Antiqua" w:hAnsi="Book Antiqua" w:cs="Arial"/>
        </w:rPr>
        <w:t xml:space="preserve">. </w:t>
      </w:r>
      <w:r w:rsidR="0025123E" w:rsidRPr="00772AC6">
        <w:rPr>
          <w:rFonts w:ascii="Book Antiqua" w:hAnsi="Book Antiqua" w:cs="Arial"/>
        </w:rPr>
        <w:t>NAFLD activity score (NAS)</w:t>
      </w:r>
      <w:r w:rsidR="0071529F" w:rsidRPr="00772AC6">
        <w:rPr>
          <w:rFonts w:ascii="Book Antiqua" w:hAnsi="Book Antiqua" w:cs="Arial"/>
        </w:rPr>
        <w:t xml:space="preserve"> was calculated as </w:t>
      </w:r>
      <w:r w:rsidR="00971134" w:rsidRPr="00772AC6">
        <w:rPr>
          <w:rFonts w:ascii="Book Antiqua" w:hAnsi="Book Antiqua" w:cs="Arial"/>
        </w:rPr>
        <w:t xml:space="preserve">the sum of </w:t>
      </w:r>
      <w:r w:rsidR="0071529F" w:rsidRPr="00772AC6">
        <w:rPr>
          <w:rFonts w:ascii="Book Antiqua" w:hAnsi="Book Antiqua" w:cs="Arial"/>
        </w:rPr>
        <w:t xml:space="preserve">steatosis, lobular inflammation, </w:t>
      </w:r>
      <w:r w:rsidR="00971134" w:rsidRPr="00772AC6">
        <w:rPr>
          <w:rFonts w:ascii="Book Antiqua" w:hAnsi="Book Antiqua" w:cs="Arial"/>
        </w:rPr>
        <w:t xml:space="preserve">and ballooning </w:t>
      </w:r>
      <w:r w:rsidR="0071529F" w:rsidRPr="00772AC6">
        <w:rPr>
          <w:rFonts w:ascii="Book Antiqua" w:hAnsi="Book Antiqua" w:cs="Arial"/>
        </w:rPr>
        <w:t>score</w:t>
      </w:r>
      <w:r w:rsidR="00971134" w:rsidRPr="00772AC6">
        <w:rPr>
          <w:rFonts w:ascii="Book Antiqua" w:hAnsi="Book Antiqua" w:cs="Arial"/>
        </w:rPr>
        <w:t>s</w:t>
      </w:r>
      <w:r w:rsidR="008B5440" w:rsidRPr="00772AC6">
        <w:rPr>
          <w:rFonts w:ascii="Book Antiqua" w:hAnsi="Book Antiqua" w:cs="Arial"/>
        </w:rPr>
        <w:t>, and NASH was</w:t>
      </w:r>
      <w:r w:rsidR="001008E2" w:rsidRPr="00772AC6">
        <w:rPr>
          <w:rFonts w:ascii="Book Antiqua" w:hAnsi="Book Antiqua" w:cs="Arial"/>
        </w:rPr>
        <w:t xml:space="preserve"> defined as the presence of macrovesicular steatosis (</w:t>
      </w:r>
      <w:r w:rsidR="002422B3" w:rsidRPr="00772AC6">
        <w:rPr>
          <w:rFonts w:ascii="Book Antiqua" w:hAnsi="Book Antiqua" w:cs="Arial"/>
        </w:rPr>
        <w:t xml:space="preserve">&gt; </w:t>
      </w:r>
      <w:r w:rsidR="001008E2" w:rsidRPr="00772AC6">
        <w:rPr>
          <w:rFonts w:ascii="Book Antiqua" w:hAnsi="Book Antiqua" w:cs="Arial"/>
        </w:rPr>
        <w:t>5% of hepatocyte</w:t>
      </w:r>
      <w:r w:rsidR="00577945" w:rsidRPr="00772AC6">
        <w:rPr>
          <w:rFonts w:ascii="Book Antiqua" w:hAnsi="Book Antiqua" w:cs="Arial"/>
        </w:rPr>
        <w:t>s</w:t>
      </w:r>
      <w:r w:rsidR="001008E2" w:rsidRPr="00772AC6">
        <w:rPr>
          <w:rFonts w:ascii="Book Antiqua" w:hAnsi="Book Antiqua" w:cs="Arial"/>
        </w:rPr>
        <w:t xml:space="preserve"> affected) and hepatocyte ballooning with </w:t>
      </w:r>
      <w:r w:rsidR="00577945" w:rsidRPr="00772AC6">
        <w:rPr>
          <w:rFonts w:ascii="Book Antiqua" w:hAnsi="Book Antiqua" w:cs="Arial"/>
        </w:rPr>
        <w:t xml:space="preserve">or </w:t>
      </w:r>
      <w:r w:rsidR="001008E2" w:rsidRPr="00772AC6">
        <w:rPr>
          <w:rFonts w:ascii="Book Antiqua" w:hAnsi="Book Antiqua" w:cs="Arial"/>
        </w:rPr>
        <w:t>without lobular inflammation and fibrosis</w:t>
      </w:r>
      <w:r w:rsidR="008B5440" w:rsidRPr="00772AC6">
        <w:rPr>
          <w:rFonts w:ascii="Book Antiqua" w:hAnsi="Book Antiqua" w:cs="Arial"/>
        </w:rPr>
        <w:t xml:space="preserve">. Fibrosis stage was scored as follows: </w:t>
      </w:r>
      <w:r w:rsidR="00B00DBA" w:rsidRPr="00772AC6">
        <w:rPr>
          <w:rFonts w:ascii="Book Antiqua" w:hAnsi="Book Antiqua" w:cs="Arial"/>
        </w:rPr>
        <w:t>F</w:t>
      </w:r>
      <w:r w:rsidR="00C62050" w:rsidRPr="00772AC6">
        <w:rPr>
          <w:rFonts w:ascii="Book Antiqua" w:hAnsi="Book Antiqua" w:cs="Arial"/>
        </w:rPr>
        <w:t>0</w:t>
      </w:r>
      <w:r w:rsidR="008B5440" w:rsidRPr="00772AC6">
        <w:rPr>
          <w:rFonts w:ascii="Book Antiqua" w:hAnsi="Book Antiqua" w:cs="Arial"/>
        </w:rPr>
        <w:t xml:space="preserve">, none; </w:t>
      </w:r>
      <w:r w:rsidR="00B00DBA" w:rsidRPr="00772AC6">
        <w:rPr>
          <w:rFonts w:ascii="Book Antiqua" w:hAnsi="Book Antiqua" w:cs="Arial"/>
        </w:rPr>
        <w:t>F1</w:t>
      </w:r>
      <w:r w:rsidR="008B5440" w:rsidRPr="00772AC6">
        <w:rPr>
          <w:rFonts w:ascii="Book Antiqua" w:hAnsi="Book Antiqua" w:cs="Arial"/>
        </w:rPr>
        <w:t xml:space="preserve">, </w:t>
      </w:r>
      <w:r w:rsidR="00C62050" w:rsidRPr="00772AC6">
        <w:rPr>
          <w:rFonts w:ascii="Book Antiqua" w:hAnsi="Book Antiqua" w:cs="Arial"/>
        </w:rPr>
        <w:t>perisinusoidal or periportal</w:t>
      </w:r>
      <w:r w:rsidR="008B5440" w:rsidRPr="00772AC6">
        <w:rPr>
          <w:rFonts w:ascii="Book Antiqua" w:hAnsi="Book Antiqua" w:cs="Arial"/>
        </w:rPr>
        <w:t xml:space="preserve">; </w:t>
      </w:r>
      <w:r w:rsidR="00B00DBA" w:rsidRPr="00772AC6">
        <w:rPr>
          <w:rFonts w:ascii="Book Antiqua" w:hAnsi="Book Antiqua" w:cs="Arial"/>
        </w:rPr>
        <w:t>F2</w:t>
      </w:r>
      <w:r w:rsidR="008B5440" w:rsidRPr="00772AC6">
        <w:rPr>
          <w:rFonts w:ascii="Book Antiqua" w:hAnsi="Book Antiqua" w:cs="Arial"/>
        </w:rPr>
        <w:t xml:space="preserve">, </w:t>
      </w:r>
      <w:r w:rsidR="00C62050" w:rsidRPr="00772AC6">
        <w:rPr>
          <w:rFonts w:ascii="Book Antiqua" w:hAnsi="Book Antiqua" w:cs="Arial"/>
        </w:rPr>
        <w:t>perisinusoidal and portal/periportal</w:t>
      </w:r>
      <w:r w:rsidR="008B5440" w:rsidRPr="00772AC6">
        <w:rPr>
          <w:rFonts w:ascii="Book Antiqua" w:hAnsi="Book Antiqua" w:cs="Arial"/>
        </w:rPr>
        <w:t xml:space="preserve">; </w:t>
      </w:r>
      <w:r w:rsidR="00B00DBA" w:rsidRPr="00772AC6">
        <w:rPr>
          <w:rFonts w:ascii="Book Antiqua" w:hAnsi="Book Antiqua" w:cs="Arial"/>
        </w:rPr>
        <w:t>F3</w:t>
      </w:r>
      <w:r w:rsidR="008B5440" w:rsidRPr="00772AC6">
        <w:rPr>
          <w:rFonts w:ascii="Book Antiqua" w:hAnsi="Book Antiqua" w:cs="Arial"/>
        </w:rPr>
        <w:t xml:space="preserve">, </w:t>
      </w:r>
      <w:r w:rsidR="00C62050" w:rsidRPr="00772AC6">
        <w:rPr>
          <w:rFonts w:ascii="Book Antiqua" w:hAnsi="Book Antiqua" w:cs="Arial"/>
        </w:rPr>
        <w:t>bridging ﬁbrosis</w:t>
      </w:r>
      <w:r w:rsidR="00577945" w:rsidRPr="00772AC6">
        <w:rPr>
          <w:rFonts w:ascii="Book Antiqua" w:hAnsi="Book Antiqua" w:cs="Arial"/>
        </w:rPr>
        <w:t>;</w:t>
      </w:r>
      <w:r w:rsidR="00C62050" w:rsidRPr="00772AC6">
        <w:rPr>
          <w:rFonts w:ascii="Book Antiqua" w:hAnsi="Book Antiqua" w:cs="Arial"/>
        </w:rPr>
        <w:t xml:space="preserve"> </w:t>
      </w:r>
      <w:r w:rsidR="008B5440" w:rsidRPr="00772AC6">
        <w:rPr>
          <w:rFonts w:ascii="Book Antiqua" w:hAnsi="Book Antiqua" w:cs="Arial"/>
        </w:rPr>
        <w:t xml:space="preserve">and </w:t>
      </w:r>
      <w:r w:rsidR="00B00DBA" w:rsidRPr="00772AC6">
        <w:rPr>
          <w:rFonts w:ascii="Book Antiqua" w:hAnsi="Book Antiqua" w:cs="Arial"/>
        </w:rPr>
        <w:t>F4</w:t>
      </w:r>
      <w:r w:rsidR="008B5440" w:rsidRPr="00772AC6">
        <w:rPr>
          <w:rFonts w:ascii="Book Antiqua" w:hAnsi="Book Antiqua" w:cs="Arial"/>
        </w:rPr>
        <w:t xml:space="preserve">, </w:t>
      </w:r>
      <w:r w:rsidR="00C62050" w:rsidRPr="00772AC6">
        <w:rPr>
          <w:rFonts w:ascii="Book Antiqua" w:hAnsi="Book Antiqua" w:cs="Arial"/>
        </w:rPr>
        <w:t>cirrhosis</w:t>
      </w:r>
      <w:r w:rsidR="008B5440" w:rsidRPr="00772AC6">
        <w:rPr>
          <w:rFonts w:ascii="Book Antiqua" w:hAnsi="Book Antiqua" w:cs="Arial"/>
        </w:rPr>
        <w:t>.</w:t>
      </w:r>
    </w:p>
    <w:p w:rsidR="006D6828" w:rsidRPr="00772AC6" w:rsidRDefault="006D6828" w:rsidP="005A4D61">
      <w:pPr>
        <w:pStyle w:val="BodyText"/>
        <w:adjustRightInd w:val="0"/>
        <w:snapToGrid w:val="0"/>
        <w:spacing w:line="360" w:lineRule="auto"/>
        <w:rPr>
          <w:rFonts w:ascii="Book Antiqua" w:hAnsi="Book Antiqua" w:cs="Arial"/>
        </w:rPr>
      </w:pPr>
    </w:p>
    <w:p w:rsidR="00B33C3A" w:rsidRPr="00772AC6" w:rsidRDefault="001B54FB" w:rsidP="005A4D61">
      <w:pPr>
        <w:adjustRightInd w:val="0"/>
        <w:snapToGrid w:val="0"/>
        <w:spacing w:line="360" w:lineRule="auto"/>
        <w:rPr>
          <w:rFonts w:ascii="Book Antiqua" w:hAnsi="Book Antiqua" w:cs="Arial"/>
          <w:sz w:val="24"/>
          <w:szCs w:val="24"/>
        </w:rPr>
      </w:pPr>
      <w:r w:rsidRPr="00772AC6">
        <w:rPr>
          <w:rFonts w:ascii="Book Antiqua" w:hAnsi="Book Antiqua" w:cs="Arial"/>
          <w:b/>
          <w:i/>
          <w:sz w:val="24"/>
          <w:szCs w:val="24"/>
        </w:rPr>
        <w:t xml:space="preserve">Statistical </w:t>
      </w:r>
      <w:r w:rsidR="006D304A" w:rsidRPr="00772AC6">
        <w:rPr>
          <w:rFonts w:ascii="Book Antiqua" w:hAnsi="Book Antiqua" w:cs="Arial"/>
          <w:b/>
          <w:i/>
          <w:sz w:val="24"/>
          <w:szCs w:val="24"/>
        </w:rPr>
        <w:t>a</w:t>
      </w:r>
      <w:r w:rsidRPr="00772AC6">
        <w:rPr>
          <w:rFonts w:ascii="Book Antiqua" w:hAnsi="Book Antiqua" w:cs="Arial"/>
          <w:b/>
          <w:i/>
          <w:sz w:val="24"/>
          <w:szCs w:val="24"/>
        </w:rPr>
        <w:t>nalysis</w:t>
      </w:r>
    </w:p>
    <w:p w:rsidR="008F1647" w:rsidRPr="00772AC6" w:rsidRDefault="0078756A" w:rsidP="005A4D61">
      <w:pPr>
        <w:adjustRightInd w:val="0"/>
        <w:snapToGrid w:val="0"/>
        <w:spacing w:line="360" w:lineRule="auto"/>
        <w:rPr>
          <w:rFonts w:ascii="Book Antiqua" w:hAnsi="Book Antiqua" w:cs="Arial"/>
          <w:sz w:val="24"/>
          <w:szCs w:val="24"/>
        </w:rPr>
      </w:pPr>
      <w:r w:rsidRPr="00772AC6">
        <w:rPr>
          <w:rFonts w:ascii="Book Antiqua" w:hAnsi="Book Antiqua" w:cs="Arial"/>
          <w:sz w:val="24"/>
          <w:szCs w:val="24"/>
        </w:rPr>
        <w:t xml:space="preserve">Clinical data </w:t>
      </w:r>
      <w:r w:rsidR="00577945" w:rsidRPr="00772AC6">
        <w:rPr>
          <w:rFonts w:ascii="Book Antiqua" w:hAnsi="Book Antiqua" w:cs="Arial"/>
          <w:sz w:val="24"/>
          <w:szCs w:val="24"/>
        </w:rPr>
        <w:t xml:space="preserve">are </w:t>
      </w:r>
      <w:r w:rsidRPr="00772AC6">
        <w:rPr>
          <w:rFonts w:ascii="Book Antiqua" w:hAnsi="Book Antiqua" w:cs="Arial"/>
          <w:sz w:val="24"/>
          <w:szCs w:val="24"/>
        </w:rPr>
        <w:t xml:space="preserve">expressed as </w:t>
      </w:r>
      <w:r w:rsidR="00577945" w:rsidRPr="00772AC6">
        <w:rPr>
          <w:rFonts w:ascii="Book Antiqua" w:hAnsi="Book Antiqua" w:cs="Arial"/>
          <w:sz w:val="24"/>
          <w:szCs w:val="24"/>
        </w:rPr>
        <w:t xml:space="preserve">the </w:t>
      </w:r>
      <w:r w:rsidRPr="00772AC6">
        <w:rPr>
          <w:rFonts w:ascii="Book Antiqua" w:hAnsi="Book Antiqua" w:cs="Arial"/>
          <w:sz w:val="24"/>
          <w:szCs w:val="24"/>
        </w:rPr>
        <w:t>numb</w:t>
      </w:r>
      <w:r w:rsidR="006D338B" w:rsidRPr="00772AC6">
        <w:rPr>
          <w:rFonts w:ascii="Book Antiqua" w:hAnsi="Book Antiqua" w:cs="Arial"/>
          <w:sz w:val="24"/>
          <w:szCs w:val="24"/>
        </w:rPr>
        <w:t>er (percentage) or median (interquartile range</w:t>
      </w:r>
      <w:r w:rsidRPr="00772AC6">
        <w:rPr>
          <w:rFonts w:ascii="Book Antiqua" w:hAnsi="Book Antiqua" w:cs="Arial"/>
          <w:sz w:val="24"/>
          <w:szCs w:val="24"/>
        </w:rPr>
        <w:t xml:space="preserve">). </w:t>
      </w:r>
      <w:r w:rsidR="001B54FB" w:rsidRPr="00772AC6">
        <w:rPr>
          <w:rFonts w:ascii="Book Antiqua" w:hAnsi="Book Antiqua" w:cs="Arial"/>
          <w:sz w:val="24"/>
          <w:szCs w:val="24"/>
        </w:rPr>
        <w:t>Statistical analy</w:t>
      </w:r>
      <w:r w:rsidR="0073199F" w:rsidRPr="00772AC6">
        <w:rPr>
          <w:rFonts w:ascii="Book Antiqua" w:hAnsi="Book Antiqua" w:cs="Arial"/>
          <w:sz w:val="24"/>
          <w:szCs w:val="24"/>
        </w:rPr>
        <w:t>ses were</w:t>
      </w:r>
      <w:r w:rsidR="001B54FB" w:rsidRPr="00772AC6">
        <w:rPr>
          <w:rFonts w:ascii="Book Antiqua" w:hAnsi="Book Antiqua" w:cs="Arial"/>
          <w:sz w:val="24"/>
          <w:szCs w:val="24"/>
        </w:rPr>
        <w:t xml:space="preserve"> performed </w:t>
      </w:r>
      <w:r w:rsidR="00100121" w:rsidRPr="00772AC6">
        <w:rPr>
          <w:rFonts w:ascii="Book Antiqua" w:hAnsi="Book Antiqua" w:cs="Arial"/>
          <w:sz w:val="24"/>
          <w:szCs w:val="24"/>
        </w:rPr>
        <w:t xml:space="preserve">using </w:t>
      </w:r>
      <w:r w:rsidR="004C0151" w:rsidRPr="00772AC6">
        <w:rPr>
          <w:rFonts w:ascii="Book Antiqua" w:hAnsi="Book Antiqua" w:cs="Arial"/>
          <w:sz w:val="24"/>
          <w:szCs w:val="24"/>
        </w:rPr>
        <w:t xml:space="preserve">StatFlex </w:t>
      </w:r>
      <w:r w:rsidR="00922A21" w:rsidRPr="00772AC6">
        <w:rPr>
          <w:rFonts w:ascii="Book Antiqua" w:hAnsi="Book Antiqua" w:cs="Arial"/>
          <w:sz w:val="24"/>
          <w:szCs w:val="24"/>
        </w:rPr>
        <w:t>Ver</w:t>
      </w:r>
      <w:r w:rsidR="00A6115F" w:rsidRPr="00772AC6">
        <w:rPr>
          <w:rFonts w:ascii="Book Antiqua" w:hAnsi="Book Antiqua" w:cs="Arial"/>
          <w:sz w:val="24"/>
          <w:szCs w:val="24"/>
        </w:rPr>
        <w:t>.</w:t>
      </w:r>
      <w:r w:rsidR="0008412D" w:rsidRPr="00772AC6">
        <w:rPr>
          <w:rFonts w:ascii="Book Antiqua" w:hAnsi="Book Antiqua" w:cs="Arial"/>
          <w:sz w:val="24"/>
          <w:szCs w:val="24"/>
        </w:rPr>
        <w:t xml:space="preserve"> </w:t>
      </w:r>
      <w:r w:rsidR="00922A21" w:rsidRPr="00772AC6">
        <w:rPr>
          <w:rFonts w:ascii="Book Antiqua" w:hAnsi="Book Antiqua" w:cs="Arial"/>
          <w:sz w:val="24"/>
          <w:szCs w:val="24"/>
        </w:rPr>
        <w:t>6.0</w:t>
      </w:r>
      <w:r w:rsidRPr="00772AC6">
        <w:rPr>
          <w:rFonts w:ascii="Book Antiqua" w:hAnsi="Book Antiqua" w:cs="Arial"/>
          <w:sz w:val="24"/>
          <w:szCs w:val="24"/>
        </w:rPr>
        <w:t xml:space="preserve"> </w:t>
      </w:r>
      <w:r w:rsidR="008F1647" w:rsidRPr="00772AC6">
        <w:rPr>
          <w:rFonts w:ascii="Book Antiqua" w:hAnsi="Book Antiqua" w:cs="Arial"/>
          <w:sz w:val="24"/>
          <w:szCs w:val="24"/>
        </w:rPr>
        <w:t>(</w:t>
      </w:r>
      <w:r w:rsidR="00193BB6" w:rsidRPr="00772AC6">
        <w:rPr>
          <w:rFonts w:ascii="Book Antiqua" w:hAnsi="Book Antiqua" w:cs="Arial"/>
          <w:sz w:val="24"/>
          <w:szCs w:val="24"/>
        </w:rPr>
        <w:t xml:space="preserve">Artech Co., </w:t>
      </w:r>
      <w:r w:rsidR="009F2F75" w:rsidRPr="00772AC6">
        <w:rPr>
          <w:rFonts w:ascii="Book Antiqua" w:hAnsi="Book Antiqua" w:cs="Arial"/>
          <w:sz w:val="24"/>
          <w:szCs w:val="24"/>
        </w:rPr>
        <w:t>Ltd.</w:t>
      </w:r>
      <w:r w:rsidR="008F1647" w:rsidRPr="00772AC6">
        <w:rPr>
          <w:rFonts w:ascii="Book Antiqua" w:hAnsi="Book Antiqua" w:cs="Arial"/>
          <w:sz w:val="24"/>
          <w:szCs w:val="24"/>
        </w:rPr>
        <w:t>,</w:t>
      </w:r>
      <w:r w:rsidR="009F2F75" w:rsidRPr="00772AC6">
        <w:rPr>
          <w:rFonts w:ascii="Book Antiqua" w:hAnsi="Book Antiqua" w:cs="Arial"/>
          <w:sz w:val="24"/>
          <w:szCs w:val="24"/>
        </w:rPr>
        <w:t xml:space="preserve"> Osaka</w:t>
      </w:r>
      <w:r w:rsidR="00922A21" w:rsidRPr="00772AC6">
        <w:rPr>
          <w:rFonts w:ascii="Book Antiqua" w:hAnsi="Book Antiqua" w:cs="Arial"/>
          <w:sz w:val="24"/>
          <w:szCs w:val="24"/>
        </w:rPr>
        <w:t>, Japan</w:t>
      </w:r>
      <w:r w:rsidR="008F1647" w:rsidRPr="00772AC6">
        <w:rPr>
          <w:rFonts w:ascii="Book Antiqua" w:hAnsi="Book Antiqua" w:cs="Arial"/>
          <w:sz w:val="24"/>
          <w:szCs w:val="24"/>
        </w:rPr>
        <w:t>)</w:t>
      </w:r>
      <w:r w:rsidRPr="00772AC6">
        <w:rPr>
          <w:rFonts w:ascii="Book Antiqua" w:hAnsi="Book Antiqua" w:cs="Arial"/>
          <w:sz w:val="24"/>
          <w:szCs w:val="24"/>
        </w:rPr>
        <w:t xml:space="preserve"> and SPSS</w:t>
      </w:r>
      <w:r w:rsidR="0008412D" w:rsidRPr="00772AC6">
        <w:rPr>
          <w:rFonts w:ascii="Book Antiqua" w:hAnsi="Book Antiqua" w:cs="Arial"/>
          <w:sz w:val="24"/>
          <w:szCs w:val="24"/>
        </w:rPr>
        <w:t xml:space="preserve"> 24</w:t>
      </w:r>
      <w:r w:rsidR="0092696F" w:rsidRPr="00772AC6">
        <w:rPr>
          <w:rFonts w:ascii="Book Antiqua" w:hAnsi="Book Antiqua" w:cs="Arial"/>
          <w:sz w:val="24"/>
          <w:szCs w:val="24"/>
        </w:rPr>
        <w:t xml:space="preserve">.0 </w:t>
      </w:r>
      <w:r w:rsidR="003B0957" w:rsidRPr="00772AC6">
        <w:rPr>
          <w:rFonts w:ascii="Book Antiqua" w:hAnsi="Book Antiqua" w:cs="Arial"/>
          <w:sz w:val="24"/>
          <w:szCs w:val="24"/>
        </w:rPr>
        <w:t>(</w:t>
      </w:r>
      <w:r w:rsidR="0008412D" w:rsidRPr="00772AC6">
        <w:rPr>
          <w:rFonts w:ascii="Book Antiqua" w:hAnsi="Book Antiqua" w:cs="Arial"/>
          <w:sz w:val="24"/>
          <w:szCs w:val="24"/>
        </w:rPr>
        <w:t>IBM</w:t>
      </w:r>
      <w:r w:rsidR="0092696F" w:rsidRPr="00772AC6">
        <w:rPr>
          <w:rFonts w:ascii="Book Antiqua" w:hAnsi="Book Antiqua" w:cs="Arial"/>
          <w:sz w:val="24"/>
          <w:szCs w:val="24"/>
        </w:rPr>
        <w:t xml:space="preserve">, Chicago, IL, </w:t>
      </w:r>
      <w:r w:rsidR="002422B3" w:rsidRPr="00772AC6">
        <w:rPr>
          <w:rFonts w:ascii="Book Antiqua" w:eastAsia="SimSun" w:hAnsi="Book Antiqua" w:cs="Arial"/>
          <w:sz w:val="24"/>
          <w:szCs w:val="24"/>
          <w:lang w:eastAsia="zh-CN"/>
        </w:rPr>
        <w:t>United States</w:t>
      </w:r>
      <w:r w:rsidR="003B0957" w:rsidRPr="00772AC6">
        <w:rPr>
          <w:rFonts w:ascii="Book Antiqua" w:hAnsi="Book Antiqua" w:cs="Arial"/>
          <w:sz w:val="24"/>
          <w:szCs w:val="24"/>
        </w:rPr>
        <w:t>)</w:t>
      </w:r>
      <w:r w:rsidR="00E1478D" w:rsidRPr="00772AC6">
        <w:rPr>
          <w:rFonts w:ascii="Book Antiqua" w:hAnsi="Book Antiqua" w:cs="Arial"/>
          <w:sz w:val="24"/>
          <w:szCs w:val="24"/>
        </w:rPr>
        <w:t xml:space="preserve"> software</w:t>
      </w:r>
      <w:r w:rsidR="00A70639" w:rsidRPr="00772AC6">
        <w:rPr>
          <w:rFonts w:ascii="Book Antiqua" w:hAnsi="Book Antiqua" w:cs="Arial"/>
          <w:sz w:val="24"/>
          <w:szCs w:val="24"/>
        </w:rPr>
        <w:t xml:space="preserve">. </w:t>
      </w:r>
      <w:r w:rsidR="00577945" w:rsidRPr="00772AC6">
        <w:rPr>
          <w:rFonts w:ascii="Book Antiqua" w:hAnsi="Book Antiqua" w:cs="Arial"/>
          <w:sz w:val="24"/>
          <w:szCs w:val="24"/>
        </w:rPr>
        <w:t xml:space="preserve">The Mann-Whitney </w:t>
      </w:r>
      <w:r w:rsidR="00577945" w:rsidRPr="00772AC6">
        <w:rPr>
          <w:rFonts w:ascii="Book Antiqua" w:hAnsi="Book Antiqua" w:cs="Arial"/>
          <w:i/>
          <w:sz w:val="24"/>
          <w:szCs w:val="24"/>
        </w:rPr>
        <w:t>U</w:t>
      </w:r>
      <w:r w:rsidR="00577945" w:rsidRPr="00772AC6">
        <w:rPr>
          <w:rFonts w:ascii="Book Antiqua" w:hAnsi="Book Antiqua" w:cs="Arial"/>
          <w:sz w:val="24"/>
          <w:szCs w:val="24"/>
        </w:rPr>
        <w:t xml:space="preserve"> test was used f</w:t>
      </w:r>
      <w:r w:rsidR="00861E79" w:rsidRPr="00772AC6">
        <w:rPr>
          <w:rFonts w:ascii="Book Antiqua" w:hAnsi="Book Antiqua" w:cs="Arial"/>
          <w:sz w:val="24"/>
          <w:szCs w:val="24"/>
        </w:rPr>
        <w:t>or comparison</w:t>
      </w:r>
      <w:r w:rsidR="00577945" w:rsidRPr="00772AC6">
        <w:rPr>
          <w:rFonts w:ascii="Book Antiqua" w:hAnsi="Book Antiqua" w:cs="Arial"/>
          <w:sz w:val="24"/>
          <w:szCs w:val="24"/>
        </w:rPr>
        <w:t>s</w:t>
      </w:r>
      <w:r w:rsidR="00861E79" w:rsidRPr="00772AC6">
        <w:rPr>
          <w:rFonts w:ascii="Book Antiqua" w:hAnsi="Book Antiqua" w:cs="Arial"/>
          <w:sz w:val="24"/>
          <w:szCs w:val="24"/>
        </w:rPr>
        <w:t xml:space="preserve"> between two groups</w:t>
      </w:r>
      <w:r w:rsidR="00577945" w:rsidRPr="00772AC6">
        <w:rPr>
          <w:rFonts w:ascii="Book Antiqua" w:hAnsi="Book Antiqua" w:cs="Arial"/>
          <w:sz w:val="24"/>
          <w:szCs w:val="24"/>
        </w:rPr>
        <w:t xml:space="preserve">. </w:t>
      </w:r>
      <w:r w:rsidR="00861E79" w:rsidRPr="00772AC6">
        <w:rPr>
          <w:rFonts w:ascii="Book Antiqua" w:hAnsi="Book Antiqua" w:cs="Arial"/>
          <w:sz w:val="24"/>
          <w:szCs w:val="24"/>
        </w:rPr>
        <w:t>Bonferroni</w:t>
      </w:r>
      <w:r w:rsidR="005C546E" w:rsidRPr="00772AC6">
        <w:rPr>
          <w:rFonts w:ascii="Book Antiqua" w:hAnsi="Book Antiqua" w:cs="Arial"/>
          <w:sz w:val="24"/>
          <w:szCs w:val="24"/>
        </w:rPr>
        <w:t>’s</w:t>
      </w:r>
      <w:r w:rsidR="00861E79" w:rsidRPr="00772AC6">
        <w:rPr>
          <w:rFonts w:ascii="Book Antiqua" w:hAnsi="Book Antiqua" w:cs="Arial"/>
          <w:sz w:val="24"/>
          <w:szCs w:val="24"/>
        </w:rPr>
        <w:t xml:space="preserve"> correction </w:t>
      </w:r>
      <w:r w:rsidR="005C546E" w:rsidRPr="00772AC6">
        <w:rPr>
          <w:rFonts w:ascii="Book Antiqua" w:hAnsi="Book Antiqua" w:cs="Arial"/>
          <w:sz w:val="24"/>
          <w:szCs w:val="24"/>
        </w:rPr>
        <w:t xml:space="preserve">test </w:t>
      </w:r>
      <w:r w:rsidR="00861E79" w:rsidRPr="00772AC6">
        <w:rPr>
          <w:rFonts w:ascii="Book Antiqua" w:hAnsi="Book Antiqua" w:cs="Arial"/>
          <w:sz w:val="24"/>
          <w:szCs w:val="24"/>
        </w:rPr>
        <w:t xml:space="preserve">was performed </w:t>
      </w:r>
      <w:r w:rsidR="005C546E" w:rsidRPr="00772AC6">
        <w:rPr>
          <w:rFonts w:ascii="Book Antiqua" w:hAnsi="Book Antiqua" w:cs="Arial"/>
          <w:sz w:val="24"/>
          <w:szCs w:val="24"/>
        </w:rPr>
        <w:t xml:space="preserve">for </w:t>
      </w:r>
      <w:r w:rsidR="00861E79" w:rsidRPr="00772AC6">
        <w:rPr>
          <w:rFonts w:ascii="Book Antiqua" w:hAnsi="Book Antiqua" w:cs="Arial"/>
          <w:sz w:val="24"/>
          <w:szCs w:val="24"/>
        </w:rPr>
        <w:t>multiple comparison</w:t>
      </w:r>
      <w:r w:rsidR="005C546E" w:rsidRPr="00772AC6">
        <w:rPr>
          <w:rFonts w:ascii="Book Antiqua" w:hAnsi="Book Antiqua" w:cs="Arial"/>
          <w:sz w:val="24"/>
          <w:szCs w:val="24"/>
        </w:rPr>
        <w:t>s</w:t>
      </w:r>
      <w:r w:rsidR="00861E79" w:rsidRPr="00772AC6">
        <w:rPr>
          <w:rFonts w:ascii="Book Antiqua" w:hAnsi="Book Antiqua" w:cs="Arial"/>
          <w:sz w:val="24"/>
          <w:szCs w:val="24"/>
        </w:rPr>
        <w:t xml:space="preserve">. </w:t>
      </w:r>
      <w:r w:rsidR="000358C8" w:rsidRPr="00772AC6">
        <w:rPr>
          <w:rFonts w:ascii="Book Antiqua" w:hAnsi="Book Antiqua" w:cs="Arial"/>
          <w:sz w:val="24"/>
          <w:szCs w:val="24"/>
        </w:rPr>
        <w:t>Correlation</w:t>
      </w:r>
      <w:r w:rsidR="00E1478D" w:rsidRPr="00772AC6">
        <w:rPr>
          <w:rFonts w:ascii="Book Antiqua" w:hAnsi="Book Antiqua" w:cs="Arial"/>
          <w:sz w:val="24"/>
          <w:szCs w:val="24"/>
        </w:rPr>
        <w:t xml:space="preserve"> </w:t>
      </w:r>
      <w:r w:rsidR="000358C8" w:rsidRPr="00772AC6">
        <w:rPr>
          <w:rFonts w:ascii="Book Antiqua" w:hAnsi="Book Antiqua" w:cs="Arial"/>
          <w:sz w:val="24"/>
          <w:szCs w:val="24"/>
        </w:rPr>
        <w:t>analysis was conducted</w:t>
      </w:r>
      <w:r w:rsidR="00E1478D" w:rsidRPr="00772AC6">
        <w:rPr>
          <w:rFonts w:ascii="Book Antiqua" w:hAnsi="Book Antiqua" w:cs="Arial"/>
          <w:sz w:val="24"/>
          <w:szCs w:val="24"/>
        </w:rPr>
        <w:t xml:space="preserve"> by Spearman’s test. Diagnostic accuracy was evaluated using the area under the receiver opera</w:t>
      </w:r>
      <w:r w:rsidR="00E249A6" w:rsidRPr="00772AC6">
        <w:rPr>
          <w:rFonts w:ascii="Book Antiqua" w:hAnsi="Book Antiqua" w:cs="Arial"/>
          <w:sz w:val="24"/>
          <w:szCs w:val="24"/>
        </w:rPr>
        <w:t xml:space="preserve">ting characteristic (ROC) </w:t>
      </w:r>
      <w:r w:rsidR="00E249A6" w:rsidRPr="00772AC6">
        <w:rPr>
          <w:rFonts w:ascii="Book Antiqua" w:hAnsi="Book Antiqua" w:cs="Arial"/>
          <w:sz w:val="24"/>
          <w:szCs w:val="24"/>
        </w:rPr>
        <w:lastRenderedPageBreak/>
        <w:t>curve</w:t>
      </w:r>
      <w:r w:rsidR="00EF5E4B" w:rsidRPr="00772AC6">
        <w:rPr>
          <w:rFonts w:ascii="Book Antiqua" w:hAnsi="Book Antiqua" w:cs="Arial"/>
          <w:sz w:val="24"/>
          <w:szCs w:val="24"/>
        </w:rPr>
        <w:t xml:space="preserve"> </w:t>
      </w:r>
      <w:r w:rsidR="00AF59A0" w:rsidRPr="00772AC6">
        <w:rPr>
          <w:rFonts w:ascii="Book Antiqua" w:hAnsi="Book Antiqua" w:cs="Arial"/>
          <w:sz w:val="24"/>
          <w:szCs w:val="24"/>
        </w:rPr>
        <w:t>(AUC)</w:t>
      </w:r>
      <w:r w:rsidR="00E1478D" w:rsidRPr="00772AC6">
        <w:rPr>
          <w:rFonts w:ascii="Book Antiqua" w:hAnsi="Book Antiqua" w:cs="Arial"/>
          <w:sz w:val="24"/>
          <w:szCs w:val="24"/>
        </w:rPr>
        <w:t>. Cut</w:t>
      </w:r>
      <w:r w:rsidR="00872CFD" w:rsidRPr="00772AC6">
        <w:rPr>
          <w:rFonts w:ascii="Book Antiqua" w:hAnsi="Book Antiqua" w:cs="Arial"/>
          <w:sz w:val="24"/>
          <w:szCs w:val="24"/>
        </w:rPr>
        <w:t>-</w:t>
      </w:r>
      <w:r w:rsidR="00E1478D" w:rsidRPr="00772AC6">
        <w:rPr>
          <w:rFonts w:ascii="Book Antiqua" w:hAnsi="Book Antiqua" w:cs="Arial"/>
          <w:sz w:val="24"/>
          <w:szCs w:val="24"/>
        </w:rPr>
        <w:t xml:space="preserve">off values were identified by the Youden index, </w:t>
      </w:r>
      <w:r w:rsidR="00577945" w:rsidRPr="00772AC6">
        <w:rPr>
          <w:rFonts w:ascii="Book Antiqua" w:hAnsi="Book Antiqua" w:cs="Arial"/>
          <w:sz w:val="24"/>
          <w:szCs w:val="24"/>
        </w:rPr>
        <w:t xml:space="preserve">with </w:t>
      </w:r>
      <w:r w:rsidR="00E1478D" w:rsidRPr="00772AC6">
        <w:rPr>
          <w:rFonts w:ascii="Book Antiqua" w:hAnsi="Book Antiqua" w:cs="Arial"/>
          <w:sz w:val="24"/>
          <w:szCs w:val="24"/>
        </w:rPr>
        <w:t xml:space="preserve">the nearest clinically applicable value to the cutoff </w:t>
      </w:r>
      <w:r w:rsidR="00577945" w:rsidRPr="00772AC6">
        <w:rPr>
          <w:rFonts w:ascii="Book Antiqua" w:hAnsi="Book Antiqua" w:cs="Arial"/>
          <w:sz w:val="24"/>
          <w:szCs w:val="24"/>
        </w:rPr>
        <w:t xml:space="preserve">being </w:t>
      </w:r>
      <w:r w:rsidR="00E1478D" w:rsidRPr="00772AC6">
        <w:rPr>
          <w:rFonts w:ascii="Book Antiqua" w:hAnsi="Book Antiqua" w:cs="Arial"/>
          <w:sz w:val="24"/>
          <w:szCs w:val="24"/>
        </w:rPr>
        <w:t>considered as the optimal threshold for clinical convenience. All statistical tests were two-sided and evaluated at the 0.05 level of significance</w:t>
      </w:r>
      <w:r w:rsidR="00CE61B6" w:rsidRPr="00772AC6">
        <w:rPr>
          <w:rFonts w:ascii="Book Antiqua" w:hAnsi="Book Antiqua" w:cs="Arial"/>
          <w:sz w:val="24"/>
          <w:szCs w:val="24"/>
        </w:rPr>
        <w:t xml:space="preserve">. </w:t>
      </w:r>
    </w:p>
    <w:p w:rsidR="006D304A" w:rsidRPr="00772AC6" w:rsidRDefault="006D304A" w:rsidP="005A4D61">
      <w:pPr>
        <w:adjustRightInd w:val="0"/>
        <w:snapToGrid w:val="0"/>
        <w:spacing w:line="360" w:lineRule="auto"/>
        <w:rPr>
          <w:rFonts w:ascii="Book Antiqua" w:hAnsi="Book Antiqua" w:cs="Arial"/>
          <w:b/>
          <w:sz w:val="24"/>
          <w:szCs w:val="24"/>
        </w:rPr>
      </w:pPr>
    </w:p>
    <w:p w:rsidR="001B54FB" w:rsidRPr="00772AC6" w:rsidRDefault="004D3153" w:rsidP="005A4D61">
      <w:pPr>
        <w:adjustRightInd w:val="0"/>
        <w:snapToGrid w:val="0"/>
        <w:spacing w:line="360" w:lineRule="auto"/>
        <w:rPr>
          <w:rFonts w:ascii="Book Antiqua" w:hAnsi="Book Antiqua" w:cs="Arial"/>
          <w:sz w:val="24"/>
          <w:szCs w:val="24"/>
        </w:rPr>
      </w:pPr>
      <w:r w:rsidRPr="00772AC6">
        <w:rPr>
          <w:rFonts w:ascii="Book Antiqua" w:hAnsi="Book Antiqua" w:cs="Arial"/>
          <w:b/>
          <w:sz w:val="24"/>
          <w:szCs w:val="24"/>
        </w:rPr>
        <w:t>RESULTS</w:t>
      </w:r>
    </w:p>
    <w:p w:rsidR="00BE2EC2" w:rsidRPr="00772AC6" w:rsidRDefault="00CE61B6" w:rsidP="005A4D61">
      <w:pPr>
        <w:adjustRightInd w:val="0"/>
        <w:snapToGrid w:val="0"/>
        <w:spacing w:line="360" w:lineRule="auto"/>
        <w:rPr>
          <w:rFonts w:ascii="Book Antiqua" w:hAnsi="Book Antiqua" w:cs="Arial"/>
          <w:b/>
          <w:i/>
          <w:sz w:val="24"/>
          <w:szCs w:val="24"/>
        </w:rPr>
      </w:pPr>
      <w:r w:rsidRPr="00772AC6">
        <w:rPr>
          <w:rFonts w:ascii="Book Antiqua" w:hAnsi="Book Antiqua" w:cs="Arial"/>
          <w:b/>
          <w:i/>
          <w:sz w:val="24"/>
          <w:szCs w:val="24"/>
        </w:rPr>
        <w:t xml:space="preserve">Serum ATX levels </w:t>
      </w:r>
      <w:r w:rsidR="00867D77" w:rsidRPr="00772AC6">
        <w:rPr>
          <w:rFonts w:ascii="Book Antiqua" w:hAnsi="Book Antiqua" w:cs="Arial"/>
          <w:b/>
          <w:i/>
          <w:sz w:val="24"/>
          <w:szCs w:val="24"/>
        </w:rPr>
        <w:t xml:space="preserve">were </w:t>
      </w:r>
      <w:r w:rsidRPr="00772AC6">
        <w:rPr>
          <w:rFonts w:ascii="Book Antiqua" w:hAnsi="Book Antiqua" w:cs="Arial"/>
          <w:b/>
          <w:i/>
          <w:sz w:val="24"/>
          <w:szCs w:val="24"/>
        </w:rPr>
        <w:t>higher in NAFLD patients</w:t>
      </w:r>
    </w:p>
    <w:p w:rsidR="00F54A6B" w:rsidRPr="00772AC6" w:rsidRDefault="00867D77" w:rsidP="005A4D61">
      <w:pPr>
        <w:adjustRightInd w:val="0"/>
        <w:snapToGrid w:val="0"/>
        <w:spacing w:line="360" w:lineRule="auto"/>
        <w:rPr>
          <w:rFonts w:ascii="Book Antiqua" w:eastAsia="MS UI Gothic" w:hAnsi="Book Antiqua" w:cs="Arial"/>
          <w:sz w:val="24"/>
          <w:szCs w:val="24"/>
        </w:rPr>
      </w:pPr>
      <w:r w:rsidRPr="00772AC6">
        <w:rPr>
          <w:rFonts w:ascii="Book Antiqua" w:hAnsi="Book Antiqua" w:cs="Arial"/>
          <w:sz w:val="24"/>
          <w:szCs w:val="24"/>
        </w:rPr>
        <w:t>The c</w:t>
      </w:r>
      <w:r w:rsidR="007D1982" w:rsidRPr="00772AC6">
        <w:rPr>
          <w:rFonts w:ascii="Book Antiqua" w:hAnsi="Book Antiqua" w:cs="Arial"/>
          <w:sz w:val="24"/>
          <w:szCs w:val="24"/>
        </w:rPr>
        <w:t>linico</w:t>
      </w:r>
      <w:r w:rsidR="002A04F5" w:rsidRPr="00772AC6">
        <w:rPr>
          <w:rFonts w:ascii="Book Antiqua" w:hAnsi="Book Antiqua" w:cs="Arial"/>
          <w:sz w:val="24"/>
          <w:szCs w:val="24"/>
        </w:rPr>
        <w:t xml:space="preserve">pathological </w:t>
      </w:r>
      <w:r w:rsidR="007D1982" w:rsidRPr="00772AC6">
        <w:rPr>
          <w:rFonts w:ascii="Book Antiqua" w:hAnsi="Book Antiqua" w:cs="Arial"/>
          <w:sz w:val="24"/>
          <w:szCs w:val="24"/>
        </w:rPr>
        <w:t>features</w:t>
      </w:r>
      <w:r w:rsidR="002A04F5" w:rsidRPr="00772AC6">
        <w:rPr>
          <w:rFonts w:ascii="Book Antiqua" w:hAnsi="Book Antiqua" w:cs="Arial"/>
          <w:sz w:val="24"/>
          <w:szCs w:val="24"/>
        </w:rPr>
        <w:t xml:space="preserve"> </w:t>
      </w:r>
      <w:r w:rsidR="00B00DBA" w:rsidRPr="00772AC6">
        <w:rPr>
          <w:rFonts w:ascii="Book Antiqua" w:hAnsi="Book Antiqua" w:cs="Arial"/>
          <w:sz w:val="24"/>
          <w:szCs w:val="24"/>
        </w:rPr>
        <w:t xml:space="preserve">of </w:t>
      </w:r>
      <w:r w:rsidRPr="00772AC6">
        <w:rPr>
          <w:rFonts w:ascii="Book Antiqua" w:hAnsi="Book Antiqua" w:cs="Arial"/>
          <w:sz w:val="24"/>
          <w:szCs w:val="24"/>
        </w:rPr>
        <w:t xml:space="preserve">the 186 </w:t>
      </w:r>
      <w:r w:rsidR="00B00DBA" w:rsidRPr="00772AC6">
        <w:rPr>
          <w:rFonts w:ascii="Book Antiqua" w:hAnsi="Book Antiqua" w:cs="Arial"/>
          <w:sz w:val="24"/>
          <w:szCs w:val="24"/>
        </w:rPr>
        <w:t xml:space="preserve">NAFLD </w:t>
      </w:r>
      <w:r w:rsidR="002A04F5" w:rsidRPr="00772AC6">
        <w:rPr>
          <w:rFonts w:ascii="Book Antiqua" w:hAnsi="Book Antiqua" w:cs="Arial"/>
          <w:sz w:val="24"/>
          <w:szCs w:val="24"/>
        </w:rPr>
        <w:t xml:space="preserve">patients </w:t>
      </w:r>
      <w:r w:rsidR="0067344D" w:rsidRPr="00772AC6">
        <w:rPr>
          <w:rFonts w:ascii="Book Antiqua" w:hAnsi="Book Antiqua" w:cs="Arial"/>
          <w:sz w:val="24"/>
          <w:szCs w:val="24"/>
        </w:rPr>
        <w:t xml:space="preserve">enrolled </w:t>
      </w:r>
      <w:r w:rsidR="00B43B57" w:rsidRPr="00772AC6">
        <w:rPr>
          <w:rFonts w:ascii="Book Antiqua" w:hAnsi="Book Antiqua" w:cs="Arial"/>
          <w:sz w:val="24"/>
          <w:szCs w:val="24"/>
        </w:rPr>
        <w:t xml:space="preserve">in this study </w:t>
      </w:r>
      <w:r w:rsidRPr="00772AC6">
        <w:rPr>
          <w:rFonts w:ascii="Book Antiqua" w:hAnsi="Book Antiqua" w:cs="Arial"/>
          <w:sz w:val="24"/>
          <w:szCs w:val="24"/>
        </w:rPr>
        <w:t xml:space="preserve">are </w:t>
      </w:r>
      <w:r w:rsidR="00B6249F" w:rsidRPr="00772AC6">
        <w:rPr>
          <w:rFonts w:ascii="Book Antiqua" w:hAnsi="Book Antiqua" w:cs="Arial"/>
          <w:sz w:val="24"/>
          <w:szCs w:val="24"/>
        </w:rPr>
        <w:t xml:space="preserve">summarized in Table 1. </w:t>
      </w:r>
      <w:r w:rsidRPr="00772AC6">
        <w:rPr>
          <w:rFonts w:ascii="Book Antiqua" w:hAnsi="Book Antiqua" w:cs="Arial"/>
          <w:sz w:val="24"/>
          <w:szCs w:val="24"/>
        </w:rPr>
        <w:t>Eighty</w:t>
      </w:r>
      <w:r w:rsidR="00A6508B" w:rsidRPr="00772AC6">
        <w:rPr>
          <w:rFonts w:ascii="Book Antiqua" w:hAnsi="Book Antiqua" w:cs="Arial"/>
          <w:sz w:val="24"/>
          <w:szCs w:val="24"/>
        </w:rPr>
        <w:t xml:space="preserve"> (43%) were male</w:t>
      </w:r>
      <w:r w:rsidR="00A6115F" w:rsidRPr="00772AC6">
        <w:rPr>
          <w:rFonts w:ascii="Book Antiqua" w:hAnsi="Book Antiqua" w:cs="Arial"/>
          <w:sz w:val="24"/>
          <w:szCs w:val="24"/>
        </w:rPr>
        <w:t>,</w:t>
      </w:r>
      <w:r w:rsidR="00A6508B" w:rsidRPr="00772AC6">
        <w:rPr>
          <w:rFonts w:ascii="Book Antiqua" w:hAnsi="Book Antiqua" w:cs="Arial"/>
          <w:sz w:val="24"/>
          <w:szCs w:val="24"/>
        </w:rPr>
        <w:t xml:space="preserve"> and median age was 56 years. </w:t>
      </w:r>
      <w:r w:rsidR="00331580" w:rsidRPr="00772AC6">
        <w:rPr>
          <w:rFonts w:ascii="Book Antiqua" w:hAnsi="Book Antiqua" w:cs="Arial"/>
          <w:kern w:val="0"/>
          <w:sz w:val="24"/>
          <w:szCs w:val="24"/>
        </w:rPr>
        <w:t>T</w:t>
      </w:r>
      <w:r w:rsidR="00E00E2C" w:rsidRPr="00772AC6">
        <w:rPr>
          <w:rFonts w:ascii="Book Antiqua" w:hAnsi="Book Antiqua" w:cs="Arial"/>
          <w:kern w:val="0"/>
          <w:sz w:val="24"/>
          <w:szCs w:val="24"/>
        </w:rPr>
        <w:t xml:space="preserve">he number of patients </w:t>
      </w:r>
      <w:r w:rsidR="00D32BF5" w:rsidRPr="00772AC6">
        <w:rPr>
          <w:rFonts w:ascii="Book Antiqua" w:hAnsi="Book Antiqua" w:cs="Arial"/>
          <w:kern w:val="0"/>
          <w:sz w:val="24"/>
          <w:szCs w:val="24"/>
        </w:rPr>
        <w:t xml:space="preserve">according to </w:t>
      </w:r>
      <w:r w:rsidR="00E00E2C" w:rsidRPr="00772AC6">
        <w:rPr>
          <w:rFonts w:ascii="Book Antiqua" w:hAnsi="Book Antiqua" w:cs="Arial"/>
          <w:kern w:val="0"/>
          <w:sz w:val="24"/>
          <w:szCs w:val="24"/>
        </w:rPr>
        <w:t xml:space="preserve">fibrosis stage </w:t>
      </w:r>
      <w:r w:rsidRPr="00772AC6">
        <w:rPr>
          <w:rFonts w:ascii="Book Antiqua" w:hAnsi="Book Antiqua" w:cs="Arial"/>
          <w:kern w:val="0"/>
          <w:sz w:val="24"/>
          <w:szCs w:val="24"/>
        </w:rPr>
        <w:t xml:space="preserve">F0, F1, F2, F3, and F4 was </w:t>
      </w:r>
      <w:r w:rsidR="00E00E2C" w:rsidRPr="00772AC6">
        <w:rPr>
          <w:rFonts w:ascii="Book Antiqua" w:hAnsi="Book Antiqua" w:cs="Arial"/>
          <w:kern w:val="0"/>
          <w:sz w:val="24"/>
          <w:szCs w:val="24"/>
        </w:rPr>
        <w:t>35, 89, 19, 34</w:t>
      </w:r>
      <w:r w:rsidRPr="00772AC6">
        <w:rPr>
          <w:rFonts w:ascii="Book Antiqua" w:hAnsi="Book Antiqua" w:cs="Arial"/>
          <w:kern w:val="0"/>
          <w:sz w:val="24"/>
          <w:szCs w:val="24"/>
        </w:rPr>
        <w:t>,</w:t>
      </w:r>
      <w:r w:rsidR="00E00E2C" w:rsidRPr="00772AC6">
        <w:rPr>
          <w:rFonts w:ascii="Book Antiqua" w:hAnsi="Book Antiqua" w:cs="Arial"/>
          <w:kern w:val="0"/>
          <w:sz w:val="24"/>
          <w:szCs w:val="24"/>
        </w:rPr>
        <w:t xml:space="preserve"> and 9, respectively. Comparisons </w:t>
      </w:r>
      <w:r w:rsidR="002A1CD5" w:rsidRPr="00772AC6">
        <w:rPr>
          <w:rFonts w:ascii="Book Antiqua" w:eastAsia="MS UI Gothic" w:hAnsi="Book Antiqua" w:cs="Arial"/>
          <w:sz w:val="24"/>
          <w:szCs w:val="24"/>
        </w:rPr>
        <w:t xml:space="preserve">between genders revealed </w:t>
      </w:r>
      <w:r w:rsidR="00C57DBD" w:rsidRPr="00772AC6">
        <w:rPr>
          <w:rFonts w:ascii="Book Antiqua" w:eastAsia="MS UI Gothic" w:hAnsi="Book Antiqua" w:cs="Arial"/>
          <w:sz w:val="24"/>
          <w:szCs w:val="24"/>
        </w:rPr>
        <w:t>significant differences in fibrosis-related parameters, such as age, album</w:t>
      </w:r>
      <w:r w:rsidR="001235E8" w:rsidRPr="00772AC6">
        <w:rPr>
          <w:rFonts w:ascii="Book Antiqua" w:eastAsia="MS UI Gothic" w:hAnsi="Book Antiqua" w:cs="Arial"/>
          <w:sz w:val="24"/>
          <w:szCs w:val="24"/>
        </w:rPr>
        <w:t xml:space="preserve">in, </w:t>
      </w:r>
      <w:r w:rsidR="002610E4" w:rsidRPr="00772AC6">
        <w:rPr>
          <w:rFonts w:ascii="Book Antiqua" w:hAnsi="Book Antiqua" w:cs="Arial"/>
          <w:sz w:val="24"/>
          <w:szCs w:val="24"/>
        </w:rPr>
        <w:t>hyaluronic acid (HA)</w:t>
      </w:r>
      <w:r w:rsidR="001235E8" w:rsidRPr="00772AC6">
        <w:rPr>
          <w:rFonts w:ascii="Book Antiqua" w:eastAsia="MS UI Gothic" w:hAnsi="Book Antiqua" w:cs="Arial"/>
          <w:sz w:val="24"/>
          <w:szCs w:val="24"/>
        </w:rPr>
        <w:t>, and FIB-4</w:t>
      </w:r>
      <w:r w:rsidR="00C57DBD" w:rsidRPr="00772AC6">
        <w:rPr>
          <w:rFonts w:ascii="Book Antiqua" w:eastAsia="MS UI Gothic" w:hAnsi="Book Antiqua" w:cs="Arial"/>
          <w:sz w:val="24"/>
          <w:szCs w:val="24"/>
        </w:rPr>
        <w:t xml:space="preserve">, </w:t>
      </w:r>
      <w:r w:rsidR="00845EA7" w:rsidRPr="00772AC6">
        <w:rPr>
          <w:rFonts w:ascii="Book Antiqua" w:eastAsia="MS UI Gothic" w:hAnsi="Book Antiqua" w:cs="Arial"/>
          <w:sz w:val="24"/>
          <w:szCs w:val="24"/>
        </w:rPr>
        <w:t xml:space="preserve">but </w:t>
      </w:r>
      <w:r w:rsidR="002A1CD5" w:rsidRPr="00772AC6">
        <w:rPr>
          <w:rFonts w:ascii="Book Antiqua" w:eastAsia="MS UI Gothic" w:hAnsi="Book Antiqua" w:cs="Arial"/>
          <w:sz w:val="24"/>
          <w:szCs w:val="24"/>
        </w:rPr>
        <w:t xml:space="preserve">fibrosis </w:t>
      </w:r>
      <w:r w:rsidR="001235E8" w:rsidRPr="00772AC6">
        <w:rPr>
          <w:rFonts w:ascii="Book Antiqua" w:eastAsia="MS UI Gothic" w:hAnsi="Book Antiqua" w:cs="Arial"/>
          <w:sz w:val="24"/>
          <w:szCs w:val="24"/>
        </w:rPr>
        <w:t xml:space="preserve">stage </w:t>
      </w:r>
      <w:r w:rsidRPr="00772AC6">
        <w:rPr>
          <w:rFonts w:ascii="Book Antiqua" w:eastAsia="MS UI Gothic" w:hAnsi="Book Antiqua" w:cs="Arial"/>
          <w:sz w:val="24"/>
          <w:szCs w:val="24"/>
        </w:rPr>
        <w:t xml:space="preserve">distribution </w:t>
      </w:r>
      <w:r w:rsidR="001235E8" w:rsidRPr="00772AC6">
        <w:rPr>
          <w:rFonts w:ascii="Book Antiqua" w:eastAsia="MS UI Gothic" w:hAnsi="Book Antiqua" w:cs="Arial"/>
          <w:sz w:val="24"/>
          <w:szCs w:val="24"/>
        </w:rPr>
        <w:t xml:space="preserve">was comparable. </w:t>
      </w:r>
    </w:p>
    <w:p w:rsidR="001354F9" w:rsidRPr="00772AC6" w:rsidRDefault="00A6115F" w:rsidP="002422B3">
      <w:pPr>
        <w:adjustRightInd w:val="0"/>
        <w:snapToGrid w:val="0"/>
        <w:spacing w:line="360" w:lineRule="auto"/>
        <w:ind w:firstLineChars="100" w:firstLine="240"/>
        <w:rPr>
          <w:rFonts w:ascii="Book Antiqua" w:hAnsi="Book Antiqua" w:cs="Arial"/>
          <w:sz w:val="24"/>
          <w:szCs w:val="24"/>
        </w:rPr>
      </w:pPr>
      <w:r w:rsidRPr="00772AC6">
        <w:rPr>
          <w:rFonts w:ascii="Book Antiqua" w:hAnsi="Book Antiqua" w:cs="Arial"/>
          <w:sz w:val="24"/>
          <w:szCs w:val="24"/>
        </w:rPr>
        <w:t>Median s</w:t>
      </w:r>
      <w:r w:rsidR="00D4434E" w:rsidRPr="00772AC6">
        <w:rPr>
          <w:rFonts w:ascii="Book Antiqua" w:hAnsi="Book Antiqua" w:cs="Arial"/>
          <w:sz w:val="24"/>
          <w:szCs w:val="24"/>
        </w:rPr>
        <w:t xml:space="preserve">erum ATX levels were significantly higher in </w:t>
      </w:r>
      <w:r w:rsidR="004E7269" w:rsidRPr="00772AC6">
        <w:rPr>
          <w:rFonts w:ascii="Book Antiqua" w:hAnsi="Book Antiqua" w:cs="Arial"/>
          <w:sz w:val="24"/>
          <w:szCs w:val="24"/>
        </w:rPr>
        <w:t xml:space="preserve">NAFLD patients </w:t>
      </w:r>
      <w:r w:rsidR="00D4434E" w:rsidRPr="00772AC6">
        <w:rPr>
          <w:rFonts w:ascii="Book Antiqua" w:hAnsi="Book Antiqua" w:cs="Arial"/>
          <w:sz w:val="24"/>
          <w:szCs w:val="24"/>
        </w:rPr>
        <w:t xml:space="preserve">than in </w:t>
      </w:r>
      <w:r w:rsidR="004E7269" w:rsidRPr="00772AC6">
        <w:rPr>
          <w:rFonts w:ascii="Book Antiqua" w:hAnsi="Book Antiqua" w:cs="Arial"/>
          <w:sz w:val="24"/>
          <w:szCs w:val="24"/>
        </w:rPr>
        <w:t xml:space="preserve">healthy controls </w:t>
      </w:r>
      <w:r w:rsidR="00274E6C" w:rsidRPr="00772AC6">
        <w:rPr>
          <w:rFonts w:ascii="Book Antiqua" w:hAnsi="Book Antiqua" w:cs="Arial"/>
          <w:sz w:val="24"/>
          <w:szCs w:val="24"/>
        </w:rPr>
        <w:t>(</w:t>
      </w:r>
      <w:r w:rsidR="004E7269" w:rsidRPr="00772AC6">
        <w:rPr>
          <w:rFonts w:ascii="Book Antiqua" w:hAnsi="Book Antiqua" w:cs="Arial"/>
          <w:sz w:val="24"/>
          <w:szCs w:val="24"/>
        </w:rPr>
        <w:t xml:space="preserve">0.86 </w:t>
      </w:r>
      <w:r w:rsidR="002422B3" w:rsidRPr="00772AC6">
        <w:rPr>
          <w:rFonts w:ascii="Book Antiqua" w:hAnsi="Book Antiqua" w:cs="Arial"/>
          <w:i/>
          <w:sz w:val="24"/>
          <w:szCs w:val="24"/>
        </w:rPr>
        <w:t>vs</w:t>
      </w:r>
      <w:r w:rsidR="004E7269" w:rsidRPr="00772AC6">
        <w:rPr>
          <w:rFonts w:ascii="Book Antiqua" w:hAnsi="Book Antiqua" w:cs="Arial"/>
          <w:sz w:val="24"/>
          <w:szCs w:val="24"/>
        </w:rPr>
        <w:t xml:space="preserve"> 0.76</w:t>
      </w:r>
      <w:r w:rsidR="003208C8" w:rsidRPr="00772AC6">
        <w:rPr>
          <w:rFonts w:ascii="Book Antiqua" w:hAnsi="Book Antiqua" w:cs="Arial"/>
          <w:sz w:val="24"/>
          <w:szCs w:val="24"/>
        </w:rPr>
        <w:t xml:space="preserve"> mg/L</w:t>
      </w:r>
      <w:r w:rsidR="004E7269" w:rsidRPr="00772AC6">
        <w:rPr>
          <w:rFonts w:ascii="Book Antiqua" w:hAnsi="Book Antiqua" w:cs="Arial"/>
          <w:sz w:val="24"/>
          <w:szCs w:val="24"/>
        </w:rPr>
        <w:t xml:space="preserve">, </w:t>
      </w:r>
      <w:r w:rsidR="00E20C21" w:rsidRPr="00772AC6">
        <w:rPr>
          <w:rFonts w:ascii="Book Antiqua" w:hAnsi="Book Antiqua" w:cs="Arial"/>
          <w:i/>
          <w:sz w:val="24"/>
          <w:szCs w:val="24"/>
        </w:rPr>
        <w:t xml:space="preserve">P </w:t>
      </w:r>
      <w:r w:rsidR="002422B3"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004E7269" w:rsidRPr="00772AC6">
        <w:rPr>
          <w:rFonts w:ascii="Book Antiqua" w:hAnsi="Book Antiqua" w:cs="Arial"/>
          <w:sz w:val="24"/>
          <w:szCs w:val="24"/>
        </w:rPr>
        <w:t>0.001</w:t>
      </w:r>
      <w:r w:rsidR="00274E6C" w:rsidRPr="00772AC6">
        <w:rPr>
          <w:rFonts w:ascii="Book Antiqua" w:hAnsi="Book Antiqua" w:cs="Arial"/>
          <w:sz w:val="24"/>
          <w:szCs w:val="24"/>
        </w:rPr>
        <w:t>)</w:t>
      </w:r>
      <w:r w:rsidR="004E7269" w:rsidRPr="00772AC6">
        <w:rPr>
          <w:rFonts w:ascii="Book Antiqua" w:hAnsi="Book Antiqua" w:cs="Arial"/>
          <w:sz w:val="24"/>
          <w:szCs w:val="24"/>
        </w:rPr>
        <w:t xml:space="preserve"> (Figure 1</w:t>
      </w:r>
      <w:r w:rsidR="002422B3" w:rsidRPr="00772AC6">
        <w:rPr>
          <w:rFonts w:ascii="Book Antiqua" w:eastAsia="SimSun" w:hAnsi="Book Antiqua" w:cs="Arial"/>
          <w:sz w:val="24"/>
          <w:szCs w:val="24"/>
          <w:lang w:eastAsia="zh-CN"/>
        </w:rPr>
        <w:t>A</w:t>
      </w:r>
      <w:r w:rsidR="004E7269" w:rsidRPr="00772AC6">
        <w:rPr>
          <w:rFonts w:ascii="Book Antiqua" w:hAnsi="Book Antiqua" w:cs="Arial"/>
          <w:sz w:val="24"/>
          <w:szCs w:val="24"/>
        </w:rPr>
        <w:t>)</w:t>
      </w:r>
      <w:r w:rsidR="001235E8" w:rsidRPr="00772AC6">
        <w:rPr>
          <w:rFonts w:ascii="Book Antiqua" w:hAnsi="Book Antiqua" w:cs="Arial"/>
          <w:sz w:val="24"/>
          <w:szCs w:val="24"/>
        </w:rPr>
        <w:t xml:space="preserve">. </w:t>
      </w:r>
      <w:r w:rsidR="00867D77" w:rsidRPr="00772AC6">
        <w:rPr>
          <w:rFonts w:ascii="Book Antiqua" w:hAnsi="Book Antiqua" w:cs="Arial"/>
          <w:sz w:val="24"/>
          <w:szCs w:val="24"/>
        </w:rPr>
        <w:t xml:space="preserve">In agreement with a </w:t>
      </w:r>
      <w:r w:rsidR="001235E8" w:rsidRPr="00772AC6">
        <w:rPr>
          <w:rFonts w:ascii="Book Antiqua" w:hAnsi="Book Antiqua" w:cs="Arial"/>
          <w:sz w:val="24"/>
          <w:szCs w:val="24"/>
        </w:rPr>
        <w:t>previous report</w:t>
      </w:r>
      <w:r w:rsidR="004A4F76" w:rsidRPr="00772AC6">
        <w:rPr>
          <w:rFonts w:ascii="Book Antiqua" w:hAnsi="Book Antiqua" w:cs="Arial"/>
          <w:sz w:val="24"/>
          <w:szCs w:val="24"/>
        </w:rPr>
        <w:t xml:space="preserve"> demonst</w:t>
      </w:r>
      <w:r w:rsidR="001235E8" w:rsidRPr="00772AC6">
        <w:rPr>
          <w:rFonts w:ascii="Book Antiqua" w:hAnsi="Book Antiqua" w:cs="Arial"/>
          <w:sz w:val="24"/>
          <w:szCs w:val="24"/>
        </w:rPr>
        <w:t>r</w:t>
      </w:r>
      <w:r w:rsidR="004A4F76" w:rsidRPr="00772AC6">
        <w:rPr>
          <w:rFonts w:ascii="Book Antiqua" w:hAnsi="Book Antiqua" w:cs="Arial"/>
          <w:sz w:val="24"/>
          <w:szCs w:val="24"/>
        </w:rPr>
        <w:t>at</w:t>
      </w:r>
      <w:r w:rsidR="00867D77" w:rsidRPr="00772AC6">
        <w:rPr>
          <w:rFonts w:ascii="Book Antiqua" w:hAnsi="Book Antiqua" w:cs="Arial"/>
          <w:sz w:val="24"/>
          <w:szCs w:val="24"/>
        </w:rPr>
        <w:t>ing</w:t>
      </w:r>
      <w:r w:rsidR="004A4F76" w:rsidRPr="00772AC6">
        <w:rPr>
          <w:rFonts w:ascii="Book Antiqua" w:hAnsi="Book Antiqua" w:cs="Arial"/>
          <w:sz w:val="24"/>
          <w:szCs w:val="24"/>
        </w:rPr>
        <w:t xml:space="preserve"> a gender difference in serum ATX levels</w:t>
      </w:r>
      <w:r w:rsidR="008B2720" w:rsidRPr="00772AC6">
        <w:rPr>
          <w:rFonts w:ascii="Book Antiqua" w:hAnsi="Book Antiqua" w:cs="Arial"/>
          <w:sz w:val="24"/>
          <w:szCs w:val="24"/>
          <w:vertAlign w:val="superscript"/>
        </w:rPr>
        <w:t>[26</w:t>
      </w:r>
      <w:r w:rsidR="00BA4753" w:rsidRPr="00772AC6">
        <w:rPr>
          <w:rFonts w:ascii="Book Antiqua" w:hAnsi="Book Antiqua" w:cs="Arial"/>
          <w:sz w:val="24"/>
          <w:szCs w:val="24"/>
          <w:vertAlign w:val="superscript"/>
        </w:rPr>
        <w:t>]</w:t>
      </w:r>
      <w:r w:rsidR="001354F9" w:rsidRPr="00772AC6">
        <w:rPr>
          <w:rFonts w:ascii="Book Antiqua" w:hAnsi="Book Antiqua" w:cs="Arial"/>
          <w:sz w:val="24"/>
          <w:szCs w:val="24"/>
        </w:rPr>
        <w:t xml:space="preserve">, </w:t>
      </w:r>
      <w:r w:rsidR="004A4F76" w:rsidRPr="00772AC6">
        <w:rPr>
          <w:rFonts w:ascii="Book Antiqua" w:hAnsi="Book Antiqua" w:cs="Arial"/>
          <w:sz w:val="24"/>
          <w:szCs w:val="24"/>
        </w:rPr>
        <w:t>serum ATX levels</w:t>
      </w:r>
      <w:r w:rsidR="001354F9" w:rsidRPr="00772AC6">
        <w:rPr>
          <w:rFonts w:ascii="Book Antiqua" w:hAnsi="Book Antiqua" w:cs="Arial"/>
          <w:sz w:val="24"/>
          <w:szCs w:val="24"/>
        </w:rPr>
        <w:t xml:space="preserve"> were </w:t>
      </w:r>
      <w:r w:rsidR="004A4F76" w:rsidRPr="00772AC6">
        <w:rPr>
          <w:rFonts w:ascii="Book Antiqua" w:hAnsi="Book Antiqua" w:cs="Arial"/>
          <w:sz w:val="24"/>
          <w:szCs w:val="24"/>
        </w:rPr>
        <w:t xml:space="preserve">higher in female </w:t>
      </w:r>
      <w:r w:rsidR="00867D77" w:rsidRPr="00772AC6">
        <w:rPr>
          <w:rFonts w:ascii="Book Antiqua" w:hAnsi="Book Antiqua" w:cs="Arial"/>
          <w:sz w:val="24"/>
          <w:szCs w:val="24"/>
        </w:rPr>
        <w:t xml:space="preserve">patients and </w:t>
      </w:r>
      <w:r w:rsidR="004A4F76" w:rsidRPr="00772AC6">
        <w:rPr>
          <w:rFonts w:ascii="Book Antiqua" w:hAnsi="Book Antiqua" w:cs="Arial"/>
          <w:sz w:val="24"/>
          <w:szCs w:val="24"/>
        </w:rPr>
        <w:t>controls</w:t>
      </w:r>
      <w:r w:rsidR="001354F9" w:rsidRPr="00772AC6">
        <w:rPr>
          <w:rFonts w:ascii="Book Antiqua" w:hAnsi="Book Antiqua" w:cs="Arial"/>
          <w:sz w:val="24"/>
          <w:szCs w:val="24"/>
        </w:rPr>
        <w:t xml:space="preserve"> </w:t>
      </w:r>
      <w:r w:rsidR="00867D77" w:rsidRPr="00772AC6">
        <w:rPr>
          <w:rFonts w:ascii="Book Antiqua" w:hAnsi="Book Antiqua" w:cs="Arial"/>
          <w:sz w:val="24"/>
          <w:szCs w:val="24"/>
        </w:rPr>
        <w:t xml:space="preserve">than in their </w:t>
      </w:r>
      <w:r w:rsidR="001354F9" w:rsidRPr="00772AC6">
        <w:rPr>
          <w:rFonts w:ascii="Book Antiqua" w:hAnsi="Book Antiqua" w:cs="Arial"/>
          <w:sz w:val="24"/>
          <w:szCs w:val="24"/>
        </w:rPr>
        <w:t xml:space="preserve">male </w:t>
      </w:r>
      <w:r w:rsidR="00867D77" w:rsidRPr="00772AC6">
        <w:rPr>
          <w:rFonts w:ascii="Book Antiqua" w:hAnsi="Book Antiqua" w:cs="Arial"/>
          <w:sz w:val="24"/>
          <w:szCs w:val="24"/>
        </w:rPr>
        <w:t>counterparts</w:t>
      </w:r>
      <w:r w:rsidR="001354F9" w:rsidRPr="00772AC6">
        <w:rPr>
          <w:rFonts w:ascii="Book Antiqua" w:hAnsi="Book Antiqua" w:cs="Arial"/>
          <w:sz w:val="24"/>
          <w:szCs w:val="24"/>
        </w:rPr>
        <w:t xml:space="preserve"> </w:t>
      </w:r>
      <w:r w:rsidR="00421F7E" w:rsidRPr="00772AC6">
        <w:rPr>
          <w:rFonts w:ascii="Book Antiqua" w:hAnsi="Book Antiqua" w:cs="Arial"/>
          <w:sz w:val="24"/>
          <w:szCs w:val="24"/>
        </w:rPr>
        <w:t>(Figure 1</w:t>
      </w:r>
      <w:r w:rsidR="002422B3" w:rsidRPr="00772AC6">
        <w:rPr>
          <w:rFonts w:ascii="Book Antiqua" w:eastAsia="SimSun" w:hAnsi="Book Antiqua" w:cs="Arial"/>
          <w:sz w:val="24"/>
          <w:szCs w:val="24"/>
          <w:lang w:eastAsia="zh-CN"/>
        </w:rPr>
        <w:t>B</w:t>
      </w:r>
      <w:r w:rsidR="00421F7E" w:rsidRPr="00772AC6">
        <w:rPr>
          <w:rFonts w:ascii="Book Antiqua" w:hAnsi="Book Antiqua" w:cs="Arial"/>
          <w:sz w:val="24"/>
          <w:szCs w:val="24"/>
        </w:rPr>
        <w:t xml:space="preserve">). </w:t>
      </w:r>
      <w:r w:rsidR="005D7826" w:rsidRPr="00772AC6">
        <w:rPr>
          <w:rFonts w:ascii="Book Antiqua" w:hAnsi="Book Antiqua" w:cs="Arial"/>
          <w:sz w:val="24"/>
          <w:szCs w:val="24"/>
        </w:rPr>
        <w:t>T</w:t>
      </w:r>
      <w:r w:rsidR="00421F7E" w:rsidRPr="00772AC6">
        <w:rPr>
          <w:rFonts w:ascii="Book Antiqua" w:hAnsi="Book Antiqua" w:cs="Arial"/>
          <w:sz w:val="24"/>
          <w:szCs w:val="24"/>
        </w:rPr>
        <w:t xml:space="preserve">he degree of </w:t>
      </w:r>
      <w:r w:rsidR="00867D77" w:rsidRPr="00772AC6">
        <w:rPr>
          <w:rFonts w:ascii="Book Antiqua" w:hAnsi="Book Antiqua" w:cs="Arial"/>
          <w:sz w:val="24"/>
          <w:szCs w:val="24"/>
        </w:rPr>
        <w:t xml:space="preserve">a </w:t>
      </w:r>
      <w:r w:rsidR="00421F7E" w:rsidRPr="00772AC6">
        <w:rPr>
          <w:rFonts w:ascii="Book Antiqua" w:hAnsi="Book Antiqua" w:cs="Arial"/>
          <w:sz w:val="24"/>
          <w:szCs w:val="24"/>
        </w:rPr>
        <w:t>serum ATX concentration</w:t>
      </w:r>
      <w:r w:rsidR="00867D77" w:rsidRPr="00772AC6">
        <w:rPr>
          <w:rFonts w:ascii="Book Antiqua" w:hAnsi="Book Antiqua" w:cs="Arial"/>
          <w:sz w:val="24"/>
          <w:szCs w:val="24"/>
        </w:rPr>
        <w:t xml:space="preserve"> increase </w:t>
      </w:r>
      <w:r w:rsidR="001D456E" w:rsidRPr="00772AC6">
        <w:rPr>
          <w:rFonts w:ascii="Book Antiqua" w:hAnsi="Book Antiqua" w:cs="Arial"/>
          <w:sz w:val="24"/>
          <w:szCs w:val="24"/>
        </w:rPr>
        <w:t>was significant</w:t>
      </w:r>
      <w:r w:rsidR="00421F7E" w:rsidRPr="00772AC6">
        <w:rPr>
          <w:rFonts w:ascii="Book Antiqua" w:hAnsi="Book Antiqua" w:cs="Arial"/>
          <w:sz w:val="24"/>
          <w:szCs w:val="24"/>
        </w:rPr>
        <w:t xml:space="preserve"> in female NAFLD patients</w:t>
      </w:r>
      <w:r w:rsidR="00867D77" w:rsidRPr="00772AC6">
        <w:rPr>
          <w:rFonts w:ascii="Book Antiqua" w:hAnsi="Book Antiqua" w:cs="Arial"/>
          <w:sz w:val="24"/>
          <w:szCs w:val="24"/>
        </w:rPr>
        <w:t xml:space="preserve"> </w:t>
      </w:r>
      <w:r w:rsidR="00B36023" w:rsidRPr="00772AC6">
        <w:rPr>
          <w:rFonts w:ascii="Book Antiqua" w:hAnsi="Book Antiqua" w:cs="Arial"/>
          <w:sz w:val="24"/>
          <w:szCs w:val="24"/>
        </w:rPr>
        <w:t>(Figure 1</w:t>
      </w:r>
      <w:r w:rsidR="002422B3" w:rsidRPr="00772AC6">
        <w:rPr>
          <w:rFonts w:ascii="Book Antiqua" w:eastAsia="SimSun" w:hAnsi="Book Antiqua" w:cs="Arial"/>
          <w:sz w:val="24"/>
          <w:szCs w:val="24"/>
          <w:lang w:eastAsia="zh-CN"/>
        </w:rPr>
        <w:t>B</w:t>
      </w:r>
      <w:r w:rsidR="00B36023" w:rsidRPr="00772AC6">
        <w:rPr>
          <w:rFonts w:ascii="Book Antiqua" w:hAnsi="Book Antiqua" w:cs="Arial"/>
          <w:sz w:val="24"/>
          <w:szCs w:val="24"/>
        </w:rPr>
        <w:t>)</w:t>
      </w:r>
      <w:r w:rsidR="007002BE" w:rsidRPr="00772AC6">
        <w:rPr>
          <w:rFonts w:ascii="Book Antiqua" w:hAnsi="Book Antiqua" w:cs="Arial"/>
          <w:sz w:val="24"/>
          <w:szCs w:val="24"/>
        </w:rPr>
        <w:t xml:space="preserve">. </w:t>
      </w:r>
    </w:p>
    <w:p w:rsidR="00F63657" w:rsidRPr="00772AC6" w:rsidRDefault="00F63657" w:rsidP="005A4D61">
      <w:pPr>
        <w:pStyle w:val="15"/>
        <w:adjustRightInd w:val="0"/>
        <w:snapToGrid w:val="0"/>
        <w:rPr>
          <w:rFonts w:ascii="Book Antiqua" w:hAnsi="Book Antiqua" w:cs="Arial"/>
          <w:sz w:val="24"/>
          <w:szCs w:val="24"/>
        </w:rPr>
      </w:pPr>
    </w:p>
    <w:p w:rsidR="007C25CD" w:rsidRPr="00772AC6" w:rsidRDefault="007C25CD" w:rsidP="005A4D61">
      <w:pPr>
        <w:adjustRightInd w:val="0"/>
        <w:snapToGrid w:val="0"/>
        <w:spacing w:line="360" w:lineRule="auto"/>
        <w:rPr>
          <w:rFonts w:ascii="Book Antiqua" w:hAnsi="Book Antiqua" w:cs="Arial"/>
          <w:b/>
          <w:i/>
          <w:sz w:val="24"/>
          <w:szCs w:val="24"/>
          <w:lang w:val="en-CA"/>
        </w:rPr>
      </w:pPr>
      <w:r w:rsidRPr="00772AC6">
        <w:rPr>
          <w:rFonts w:ascii="Book Antiqua" w:hAnsi="Book Antiqua" w:cs="Arial"/>
          <w:b/>
          <w:i/>
          <w:sz w:val="24"/>
          <w:szCs w:val="24"/>
        </w:rPr>
        <w:t>Relationship between serum ATX levels and clinicopathological fea</w:t>
      </w:r>
      <w:r w:rsidR="00D139C8" w:rsidRPr="00772AC6">
        <w:rPr>
          <w:rFonts w:ascii="Book Antiqua" w:hAnsi="Book Antiqua" w:cs="Arial"/>
          <w:b/>
          <w:i/>
          <w:sz w:val="24"/>
          <w:szCs w:val="24"/>
        </w:rPr>
        <w:t>t</w:t>
      </w:r>
      <w:r w:rsidRPr="00772AC6">
        <w:rPr>
          <w:rFonts w:ascii="Book Antiqua" w:hAnsi="Book Antiqua" w:cs="Arial"/>
          <w:b/>
          <w:i/>
          <w:sz w:val="24"/>
          <w:szCs w:val="24"/>
        </w:rPr>
        <w:t>ures in NAFLD patients</w:t>
      </w:r>
    </w:p>
    <w:p w:rsidR="00597FFC" w:rsidRPr="00772AC6" w:rsidRDefault="003E63BF" w:rsidP="005A4D61">
      <w:pPr>
        <w:pStyle w:val="15"/>
        <w:adjustRightInd w:val="0"/>
        <w:snapToGrid w:val="0"/>
        <w:rPr>
          <w:rFonts w:ascii="Book Antiqua" w:hAnsi="Book Antiqua" w:cs="Arial"/>
          <w:sz w:val="24"/>
          <w:szCs w:val="24"/>
        </w:rPr>
      </w:pPr>
      <w:r w:rsidRPr="00772AC6">
        <w:rPr>
          <w:rFonts w:ascii="Book Antiqua" w:hAnsi="Book Antiqua" w:cs="Arial"/>
          <w:sz w:val="24"/>
          <w:szCs w:val="24"/>
        </w:rPr>
        <w:t>We observed significant but weak correlations between ATX and glucose metabolism, BMI, and iron status, but none with lipid profiles</w:t>
      </w:r>
      <w:r w:rsidR="00A6115F" w:rsidRPr="00772AC6">
        <w:rPr>
          <w:rFonts w:ascii="Book Antiqua" w:hAnsi="Book Antiqua" w:cs="Arial"/>
          <w:sz w:val="24"/>
          <w:szCs w:val="24"/>
        </w:rPr>
        <w:t>.</w:t>
      </w:r>
      <w:r w:rsidRPr="00772AC6" w:rsidDel="00867D77">
        <w:rPr>
          <w:rFonts w:ascii="Book Antiqua" w:hAnsi="Book Antiqua" w:cs="Arial"/>
          <w:sz w:val="24"/>
          <w:szCs w:val="24"/>
        </w:rPr>
        <w:t xml:space="preserve"> </w:t>
      </w:r>
      <w:r w:rsidR="004E7269" w:rsidRPr="00772AC6">
        <w:rPr>
          <w:rFonts w:ascii="Book Antiqua" w:hAnsi="Book Antiqua" w:cs="Arial"/>
          <w:sz w:val="24"/>
          <w:szCs w:val="24"/>
        </w:rPr>
        <w:t xml:space="preserve">ATX was </w:t>
      </w:r>
      <w:r w:rsidR="00544F5C" w:rsidRPr="00772AC6">
        <w:rPr>
          <w:rFonts w:ascii="Book Antiqua" w:hAnsi="Book Antiqua" w:cs="Arial"/>
          <w:sz w:val="24"/>
          <w:szCs w:val="24"/>
        </w:rPr>
        <w:t xml:space="preserve">significantly </w:t>
      </w:r>
      <w:r w:rsidRPr="00772AC6">
        <w:rPr>
          <w:rFonts w:ascii="Book Antiqua" w:hAnsi="Book Antiqua" w:cs="Arial"/>
          <w:sz w:val="24"/>
          <w:szCs w:val="24"/>
        </w:rPr>
        <w:t xml:space="preserve">and </w:t>
      </w:r>
      <w:r w:rsidR="00B94705" w:rsidRPr="00772AC6">
        <w:rPr>
          <w:rFonts w:ascii="Book Antiqua" w:hAnsi="Book Antiqua" w:cs="Arial"/>
          <w:sz w:val="24"/>
          <w:szCs w:val="24"/>
        </w:rPr>
        <w:t xml:space="preserve">positively correlated to </w:t>
      </w:r>
      <w:r w:rsidR="00867D77" w:rsidRPr="00772AC6">
        <w:rPr>
          <w:rFonts w:ascii="Book Antiqua" w:hAnsi="Book Antiqua" w:cs="Arial"/>
          <w:sz w:val="24"/>
          <w:szCs w:val="24"/>
        </w:rPr>
        <w:t xml:space="preserve">the </w:t>
      </w:r>
      <w:r w:rsidR="00A6115F" w:rsidRPr="00772AC6">
        <w:rPr>
          <w:rFonts w:ascii="Book Antiqua" w:hAnsi="Book Antiqua" w:cs="Arial"/>
          <w:sz w:val="24"/>
          <w:szCs w:val="24"/>
        </w:rPr>
        <w:t xml:space="preserve">factors </w:t>
      </w:r>
      <w:r w:rsidR="00867D77" w:rsidRPr="00772AC6">
        <w:rPr>
          <w:rFonts w:ascii="Book Antiqua" w:hAnsi="Book Antiqua" w:cs="Arial"/>
          <w:sz w:val="24"/>
          <w:szCs w:val="24"/>
        </w:rPr>
        <w:t xml:space="preserve">of </w:t>
      </w:r>
      <w:r w:rsidR="00B94705" w:rsidRPr="00772AC6">
        <w:rPr>
          <w:rFonts w:ascii="Book Antiqua" w:hAnsi="Book Antiqua" w:cs="Arial"/>
          <w:sz w:val="24"/>
          <w:szCs w:val="24"/>
        </w:rPr>
        <w:t>a</w:t>
      </w:r>
      <w:r w:rsidR="004E7269" w:rsidRPr="00772AC6">
        <w:rPr>
          <w:rFonts w:ascii="Book Antiqua" w:hAnsi="Book Antiqua" w:cs="Arial"/>
          <w:sz w:val="24"/>
          <w:szCs w:val="24"/>
        </w:rPr>
        <w:t xml:space="preserve">ge, </w:t>
      </w:r>
      <w:r w:rsidR="004F10D6" w:rsidRPr="00772AC6">
        <w:rPr>
          <w:rFonts w:ascii="Book Antiqua" w:hAnsi="Book Antiqua" w:cs="Arial"/>
          <w:sz w:val="24"/>
          <w:szCs w:val="24"/>
        </w:rPr>
        <w:t>AST</w:t>
      </w:r>
      <w:r w:rsidR="004E7269" w:rsidRPr="00772AC6">
        <w:rPr>
          <w:rFonts w:ascii="Book Antiqua" w:hAnsi="Book Antiqua" w:cs="Arial"/>
          <w:sz w:val="24"/>
          <w:szCs w:val="24"/>
        </w:rPr>
        <w:t xml:space="preserve">, </w:t>
      </w:r>
      <w:r w:rsidR="002610E4" w:rsidRPr="00772AC6">
        <w:rPr>
          <w:rFonts w:ascii="Book Antiqua" w:hAnsi="Book Antiqua" w:cs="Arial"/>
          <w:sz w:val="24"/>
          <w:szCs w:val="24"/>
        </w:rPr>
        <w:t>HA</w:t>
      </w:r>
      <w:r w:rsidR="004E7269" w:rsidRPr="00772AC6">
        <w:rPr>
          <w:rFonts w:ascii="Book Antiqua" w:hAnsi="Book Antiqua" w:cs="Arial"/>
          <w:sz w:val="24"/>
          <w:szCs w:val="24"/>
        </w:rPr>
        <w:t>, type 4 collagen</w:t>
      </w:r>
      <w:r w:rsidR="00ED0B6D" w:rsidRPr="00772AC6">
        <w:rPr>
          <w:rFonts w:ascii="Book Antiqua" w:hAnsi="Book Antiqua" w:cs="Arial"/>
          <w:sz w:val="24"/>
          <w:szCs w:val="24"/>
        </w:rPr>
        <w:t xml:space="preserve"> </w:t>
      </w:r>
      <w:r w:rsidR="004E7269" w:rsidRPr="00772AC6">
        <w:rPr>
          <w:rFonts w:ascii="Book Antiqua" w:hAnsi="Book Antiqua" w:cs="Arial"/>
          <w:sz w:val="24"/>
          <w:szCs w:val="24"/>
        </w:rPr>
        <w:t>7S</w:t>
      </w:r>
      <w:r w:rsidR="004646C4" w:rsidRPr="00772AC6">
        <w:rPr>
          <w:rFonts w:ascii="Book Antiqua" w:hAnsi="Book Antiqua" w:cs="Arial"/>
          <w:sz w:val="24"/>
          <w:szCs w:val="24"/>
        </w:rPr>
        <w:t xml:space="preserve"> (4C7S)</w:t>
      </w:r>
      <w:r w:rsidR="004E7269" w:rsidRPr="00772AC6">
        <w:rPr>
          <w:rFonts w:ascii="Book Antiqua" w:hAnsi="Book Antiqua" w:cs="Arial"/>
          <w:sz w:val="24"/>
          <w:szCs w:val="24"/>
        </w:rPr>
        <w:t xml:space="preserve">, </w:t>
      </w:r>
      <w:r w:rsidR="000B01B3" w:rsidRPr="00772AC6">
        <w:rPr>
          <w:rFonts w:ascii="Book Antiqua" w:hAnsi="Book Antiqua" w:cs="Arial"/>
          <w:sz w:val="24"/>
          <w:szCs w:val="24"/>
        </w:rPr>
        <w:t xml:space="preserve">FIB-4, </w:t>
      </w:r>
      <w:r w:rsidR="00867D77" w:rsidRPr="00772AC6">
        <w:rPr>
          <w:rFonts w:ascii="Book Antiqua" w:hAnsi="Book Antiqua" w:cs="Arial"/>
          <w:sz w:val="24"/>
          <w:szCs w:val="24"/>
        </w:rPr>
        <w:t xml:space="preserve">and </w:t>
      </w:r>
      <w:r w:rsidR="000B01B3" w:rsidRPr="00772AC6">
        <w:rPr>
          <w:rFonts w:ascii="Book Antiqua" w:hAnsi="Book Antiqua" w:cs="Arial"/>
          <w:sz w:val="24"/>
          <w:szCs w:val="24"/>
        </w:rPr>
        <w:t>APRI</w:t>
      </w:r>
      <w:r w:rsidR="00EB46C8" w:rsidRPr="00772AC6">
        <w:rPr>
          <w:rFonts w:ascii="Book Antiqua" w:hAnsi="Book Antiqua" w:cs="Arial"/>
          <w:sz w:val="24"/>
          <w:szCs w:val="24"/>
        </w:rPr>
        <w:t xml:space="preserve"> </w:t>
      </w:r>
      <w:r w:rsidR="004E7269" w:rsidRPr="00772AC6">
        <w:rPr>
          <w:rFonts w:ascii="Book Antiqua" w:hAnsi="Book Antiqua" w:cs="Arial"/>
          <w:sz w:val="24"/>
          <w:szCs w:val="24"/>
        </w:rPr>
        <w:t xml:space="preserve">and </w:t>
      </w:r>
      <w:r w:rsidR="00867D77" w:rsidRPr="00772AC6">
        <w:rPr>
          <w:rFonts w:ascii="Book Antiqua" w:hAnsi="Book Antiqua" w:cs="Arial"/>
          <w:sz w:val="24"/>
          <w:szCs w:val="24"/>
        </w:rPr>
        <w:t xml:space="preserve">was significantly and </w:t>
      </w:r>
      <w:r w:rsidR="004E7269" w:rsidRPr="00772AC6">
        <w:rPr>
          <w:rFonts w:ascii="Book Antiqua" w:hAnsi="Book Antiqua" w:cs="Arial"/>
          <w:sz w:val="24"/>
          <w:szCs w:val="24"/>
        </w:rPr>
        <w:t>negatively correlated to platelet count</w:t>
      </w:r>
      <w:r w:rsidR="003208C8" w:rsidRPr="00772AC6">
        <w:rPr>
          <w:rFonts w:ascii="Book Antiqua" w:hAnsi="Book Antiqua" w:cs="Arial"/>
          <w:sz w:val="24"/>
          <w:szCs w:val="24"/>
        </w:rPr>
        <w:t xml:space="preserve"> </w:t>
      </w:r>
      <w:r w:rsidR="00D740A1" w:rsidRPr="00772AC6">
        <w:rPr>
          <w:rFonts w:ascii="Book Antiqua" w:hAnsi="Book Antiqua" w:cs="Arial"/>
          <w:sz w:val="24"/>
          <w:szCs w:val="24"/>
        </w:rPr>
        <w:t>(Table 2)</w:t>
      </w:r>
      <w:r w:rsidRPr="00772AC6">
        <w:rPr>
          <w:rFonts w:ascii="Book Antiqua" w:hAnsi="Book Antiqua" w:cs="Arial"/>
          <w:sz w:val="24"/>
          <w:szCs w:val="24"/>
        </w:rPr>
        <w:t xml:space="preserve">, which </w:t>
      </w:r>
      <w:r w:rsidR="00A6115F" w:rsidRPr="00772AC6">
        <w:rPr>
          <w:rFonts w:ascii="Book Antiqua" w:hAnsi="Book Antiqua" w:cs="Arial"/>
          <w:sz w:val="24"/>
          <w:szCs w:val="24"/>
        </w:rPr>
        <w:t xml:space="preserve">supported </w:t>
      </w:r>
      <w:r w:rsidRPr="00772AC6">
        <w:rPr>
          <w:rFonts w:ascii="Book Antiqua" w:hAnsi="Book Antiqua" w:cs="Arial"/>
          <w:sz w:val="24"/>
          <w:szCs w:val="24"/>
        </w:rPr>
        <w:t xml:space="preserve">an </w:t>
      </w:r>
      <w:r w:rsidR="00D740A1" w:rsidRPr="00772AC6">
        <w:rPr>
          <w:rFonts w:ascii="Book Antiqua" w:hAnsi="Book Antiqua" w:cs="Arial"/>
          <w:sz w:val="24"/>
          <w:szCs w:val="24"/>
        </w:rPr>
        <w:t>associat</w:t>
      </w:r>
      <w:r w:rsidRPr="00772AC6">
        <w:rPr>
          <w:rFonts w:ascii="Book Antiqua" w:hAnsi="Book Antiqua" w:cs="Arial"/>
          <w:sz w:val="24"/>
          <w:szCs w:val="24"/>
        </w:rPr>
        <w:t>ion</w:t>
      </w:r>
      <w:r w:rsidR="00D740A1" w:rsidRPr="00772AC6">
        <w:rPr>
          <w:rFonts w:ascii="Book Antiqua" w:hAnsi="Book Antiqua" w:cs="Arial"/>
          <w:sz w:val="24"/>
          <w:szCs w:val="24"/>
        </w:rPr>
        <w:t xml:space="preserve"> with fibrosis stage in NAFLD</w:t>
      </w:r>
      <w:r w:rsidR="00B517F6" w:rsidRPr="00772AC6">
        <w:rPr>
          <w:rFonts w:ascii="Book Antiqua" w:hAnsi="Book Antiqua" w:cs="Arial"/>
          <w:sz w:val="24"/>
          <w:szCs w:val="24"/>
          <w:vertAlign w:val="superscript"/>
        </w:rPr>
        <w:t>[</w:t>
      </w:r>
      <w:r w:rsidR="008B2720" w:rsidRPr="00772AC6">
        <w:rPr>
          <w:rFonts w:ascii="Book Antiqua" w:hAnsi="Book Antiqua" w:cs="Arial"/>
          <w:sz w:val="24"/>
          <w:szCs w:val="24"/>
          <w:vertAlign w:val="superscript"/>
        </w:rPr>
        <w:t>38</w:t>
      </w:r>
      <w:r w:rsidR="00B517F6" w:rsidRPr="00772AC6">
        <w:rPr>
          <w:rFonts w:ascii="Book Antiqua" w:hAnsi="Book Antiqua" w:cs="Arial"/>
          <w:sz w:val="24"/>
          <w:szCs w:val="24"/>
          <w:vertAlign w:val="superscript"/>
        </w:rPr>
        <w:t>]</w:t>
      </w:r>
      <w:r w:rsidR="00D740A1" w:rsidRPr="00772AC6">
        <w:rPr>
          <w:rFonts w:ascii="Book Antiqua" w:hAnsi="Book Antiqua" w:cs="Arial"/>
          <w:sz w:val="24"/>
          <w:szCs w:val="24"/>
        </w:rPr>
        <w:t>.</w:t>
      </w:r>
      <w:r w:rsidR="00ED0B6D" w:rsidRPr="00772AC6">
        <w:rPr>
          <w:rFonts w:ascii="Book Antiqua" w:hAnsi="Book Antiqua" w:cs="Arial"/>
          <w:sz w:val="24"/>
          <w:szCs w:val="24"/>
        </w:rPr>
        <w:t xml:space="preserve"> </w:t>
      </w:r>
      <w:r w:rsidR="00505959" w:rsidRPr="00772AC6">
        <w:rPr>
          <w:rFonts w:ascii="Book Antiqua" w:hAnsi="Book Antiqua" w:cs="Arial"/>
          <w:sz w:val="24"/>
          <w:szCs w:val="24"/>
        </w:rPr>
        <w:t xml:space="preserve">Indeed, </w:t>
      </w:r>
      <w:r w:rsidR="008227A7" w:rsidRPr="00772AC6">
        <w:rPr>
          <w:rFonts w:ascii="Book Antiqua" w:hAnsi="Book Antiqua" w:cs="Arial"/>
          <w:sz w:val="24"/>
          <w:szCs w:val="24"/>
        </w:rPr>
        <w:t xml:space="preserve">ATX was significantly </w:t>
      </w:r>
      <w:r w:rsidRPr="00772AC6">
        <w:rPr>
          <w:rFonts w:ascii="Book Antiqua" w:hAnsi="Book Antiqua" w:cs="Arial"/>
          <w:sz w:val="24"/>
          <w:szCs w:val="24"/>
        </w:rPr>
        <w:t xml:space="preserve">and </w:t>
      </w:r>
      <w:r w:rsidR="008227A7" w:rsidRPr="00772AC6">
        <w:rPr>
          <w:rFonts w:ascii="Book Antiqua" w:hAnsi="Book Antiqua" w:cs="Arial"/>
          <w:sz w:val="24"/>
          <w:szCs w:val="24"/>
        </w:rPr>
        <w:t xml:space="preserve">positively </w:t>
      </w:r>
      <w:r w:rsidR="008227A7" w:rsidRPr="00772AC6">
        <w:rPr>
          <w:rFonts w:ascii="Book Antiqua" w:hAnsi="Book Antiqua" w:cs="Arial"/>
          <w:sz w:val="24"/>
          <w:szCs w:val="24"/>
        </w:rPr>
        <w:lastRenderedPageBreak/>
        <w:t xml:space="preserve">correlated </w:t>
      </w:r>
      <w:r w:rsidR="00505959" w:rsidRPr="00772AC6">
        <w:rPr>
          <w:rFonts w:ascii="Book Antiqua" w:hAnsi="Book Antiqua" w:cs="Arial"/>
          <w:sz w:val="24"/>
          <w:szCs w:val="24"/>
        </w:rPr>
        <w:t>with</w:t>
      </w:r>
      <w:r w:rsidR="008227A7" w:rsidRPr="00772AC6">
        <w:rPr>
          <w:rFonts w:ascii="Book Antiqua" w:hAnsi="Book Antiqua" w:cs="Arial"/>
          <w:sz w:val="24"/>
          <w:szCs w:val="24"/>
        </w:rPr>
        <w:t xml:space="preserve"> ballooning </w:t>
      </w:r>
      <w:r w:rsidR="00505959" w:rsidRPr="00772AC6">
        <w:rPr>
          <w:rFonts w:ascii="Book Antiqua" w:hAnsi="Book Antiqua" w:cs="Arial"/>
          <w:sz w:val="24"/>
          <w:szCs w:val="24"/>
        </w:rPr>
        <w:t xml:space="preserve">grade </w:t>
      </w:r>
      <w:r w:rsidR="002061B8" w:rsidRPr="00772AC6">
        <w:rPr>
          <w:rFonts w:ascii="Book Antiqua" w:hAnsi="Book Antiqua" w:cs="Arial"/>
          <w:sz w:val="24"/>
          <w:szCs w:val="24"/>
        </w:rPr>
        <w:t>(</w:t>
      </w:r>
      <w:r w:rsidR="00E20C21" w:rsidRPr="00772AC6">
        <w:rPr>
          <w:rFonts w:ascii="Book Antiqua" w:hAnsi="Book Antiqua" w:cs="Arial"/>
          <w:i/>
          <w:sz w:val="24"/>
          <w:szCs w:val="24"/>
        </w:rPr>
        <w:t xml:space="preserve">r = </w:t>
      </w:r>
      <w:r w:rsidR="002061B8" w:rsidRPr="00772AC6">
        <w:rPr>
          <w:rFonts w:ascii="Book Antiqua" w:hAnsi="Book Antiqua" w:cs="Arial"/>
          <w:sz w:val="24"/>
          <w:szCs w:val="24"/>
        </w:rPr>
        <w:t xml:space="preserve">0.36, </w:t>
      </w:r>
      <w:r w:rsidR="00E20C21" w:rsidRPr="00772AC6">
        <w:rPr>
          <w:rFonts w:ascii="Book Antiqua" w:hAnsi="Book Antiqua" w:cs="Arial"/>
          <w:i/>
          <w:sz w:val="24"/>
          <w:szCs w:val="24"/>
        </w:rPr>
        <w:t xml:space="preserve">P </w:t>
      </w:r>
      <w:r w:rsidR="001278E6"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002061B8" w:rsidRPr="00772AC6">
        <w:rPr>
          <w:rFonts w:ascii="Book Antiqua" w:hAnsi="Book Antiqua" w:cs="Arial"/>
          <w:sz w:val="24"/>
          <w:szCs w:val="24"/>
        </w:rPr>
        <w:t xml:space="preserve">0.001) </w:t>
      </w:r>
      <w:r w:rsidR="008227A7" w:rsidRPr="00772AC6">
        <w:rPr>
          <w:rFonts w:ascii="Book Antiqua" w:hAnsi="Book Antiqua" w:cs="Arial"/>
          <w:sz w:val="24"/>
          <w:szCs w:val="24"/>
        </w:rPr>
        <w:t xml:space="preserve">and fibrosis </w:t>
      </w:r>
      <w:r w:rsidR="00505959" w:rsidRPr="00772AC6">
        <w:rPr>
          <w:rFonts w:ascii="Book Antiqua" w:hAnsi="Book Antiqua" w:cs="Arial"/>
          <w:sz w:val="24"/>
          <w:szCs w:val="24"/>
        </w:rPr>
        <w:t>stage</w:t>
      </w:r>
      <w:r w:rsidR="002061B8" w:rsidRPr="00772AC6">
        <w:rPr>
          <w:rFonts w:ascii="Book Antiqua" w:hAnsi="Book Antiqua" w:cs="Arial"/>
          <w:sz w:val="24"/>
          <w:szCs w:val="24"/>
        </w:rPr>
        <w:t xml:space="preserve"> (</w:t>
      </w:r>
      <w:r w:rsidR="00E20C21" w:rsidRPr="00772AC6">
        <w:rPr>
          <w:rFonts w:ascii="Book Antiqua" w:hAnsi="Book Antiqua" w:cs="Arial"/>
          <w:i/>
          <w:sz w:val="24"/>
          <w:szCs w:val="24"/>
        </w:rPr>
        <w:t xml:space="preserve">r = </w:t>
      </w:r>
      <w:r w:rsidR="002061B8" w:rsidRPr="00772AC6">
        <w:rPr>
          <w:rFonts w:ascii="Book Antiqua" w:hAnsi="Book Antiqua" w:cs="Arial"/>
          <w:sz w:val="24"/>
          <w:szCs w:val="24"/>
        </w:rPr>
        <w:t xml:space="preserve">0.45, </w:t>
      </w:r>
      <w:r w:rsidR="00E20C21" w:rsidRPr="00772AC6">
        <w:rPr>
          <w:rFonts w:ascii="Book Antiqua" w:hAnsi="Book Antiqua" w:cs="Arial"/>
          <w:i/>
          <w:sz w:val="24"/>
          <w:szCs w:val="24"/>
        </w:rPr>
        <w:t xml:space="preserve">P </w:t>
      </w:r>
      <w:r w:rsidR="001278E6"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002061B8" w:rsidRPr="00772AC6">
        <w:rPr>
          <w:rFonts w:ascii="Book Antiqua" w:hAnsi="Book Antiqua" w:cs="Arial"/>
          <w:sz w:val="24"/>
          <w:szCs w:val="24"/>
        </w:rPr>
        <w:t xml:space="preserve">0.001) </w:t>
      </w:r>
      <w:r w:rsidRPr="00772AC6">
        <w:rPr>
          <w:rFonts w:ascii="Book Antiqua" w:hAnsi="Book Antiqua" w:cs="Arial"/>
          <w:sz w:val="24"/>
          <w:szCs w:val="24"/>
        </w:rPr>
        <w:t>overall, with n</w:t>
      </w:r>
      <w:r w:rsidR="008227A7" w:rsidRPr="00772AC6">
        <w:rPr>
          <w:rFonts w:ascii="Book Antiqua" w:hAnsi="Book Antiqua" w:cs="Arial"/>
          <w:sz w:val="24"/>
          <w:szCs w:val="24"/>
        </w:rPr>
        <w:t xml:space="preserve">o significant </w:t>
      </w:r>
      <w:r w:rsidR="00F63657" w:rsidRPr="00772AC6">
        <w:rPr>
          <w:rFonts w:ascii="Book Antiqua" w:hAnsi="Book Antiqua" w:cs="Arial"/>
          <w:sz w:val="24"/>
          <w:szCs w:val="24"/>
        </w:rPr>
        <w:t>relationship</w:t>
      </w:r>
      <w:r w:rsidR="007F569A" w:rsidRPr="00772AC6">
        <w:rPr>
          <w:rFonts w:ascii="Book Antiqua" w:hAnsi="Book Antiqua" w:cs="Arial"/>
          <w:sz w:val="24"/>
          <w:szCs w:val="24"/>
        </w:rPr>
        <w:t>s</w:t>
      </w:r>
      <w:r w:rsidR="00F63657" w:rsidRPr="00772AC6">
        <w:rPr>
          <w:rFonts w:ascii="Book Antiqua" w:hAnsi="Book Antiqua" w:cs="Arial"/>
          <w:sz w:val="24"/>
          <w:szCs w:val="24"/>
        </w:rPr>
        <w:t xml:space="preserve"> </w:t>
      </w:r>
      <w:r w:rsidRPr="00772AC6">
        <w:rPr>
          <w:rFonts w:ascii="Book Antiqua" w:hAnsi="Book Antiqua" w:cs="Arial"/>
          <w:sz w:val="24"/>
          <w:szCs w:val="24"/>
        </w:rPr>
        <w:t xml:space="preserve">for </w:t>
      </w:r>
      <w:r w:rsidR="00505959" w:rsidRPr="00772AC6">
        <w:rPr>
          <w:rFonts w:ascii="Book Antiqua" w:hAnsi="Book Antiqua" w:cs="Arial"/>
          <w:sz w:val="24"/>
          <w:szCs w:val="24"/>
        </w:rPr>
        <w:t>ste</w:t>
      </w:r>
      <w:r w:rsidR="00151527" w:rsidRPr="00772AC6">
        <w:rPr>
          <w:rFonts w:ascii="Book Antiqua" w:hAnsi="Book Antiqua" w:cs="Arial"/>
          <w:sz w:val="24"/>
          <w:szCs w:val="24"/>
        </w:rPr>
        <w:t xml:space="preserve">atosis </w:t>
      </w:r>
      <w:r w:rsidRPr="00772AC6">
        <w:rPr>
          <w:rFonts w:ascii="Book Antiqua" w:hAnsi="Book Antiqua" w:cs="Arial"/>
          <w:sz w:val="24"/>
          <w:szCs w:val="24"/>
        </w:rPr>
        <w:t>grades (Table 2, Figure 2)</w:t>
      </w:r>
      <w:r w:rsidR="00151527" w:rsidRPr="00772AC6">
        <w:rPr>
          <w:rFonts w:ascii="Book Antiqua" w:hAnsi="Book Antiqua" w:cs="Arial"/>
          <w:sz w:val="24"/>
          <w:szCs w:val="24"/>
        </w:rPr>
        <w:t xml:space="preserve">. </w:t>
      </w:r>
      <w:r w:rsidR="00383A1B" w:rsidRPr="00772AC6">
        <w:rPr>
          <w:rFonts w:ascii="Book Antiqua" w:hAnsi="Book Antiqua" w:cs="Arial"/>
          <w:sz w:val="24"/>
          <w:szCs w:val="24"/>
        </w:rPr>
        <w:t>These c</w:t>
      </w:r>
      <w:r w:rsidR="00ED32D0" w:rsidRPr="00772AC6">
        <w:rPr>
          <w:rFonts w:ascii="Book Antiqua" w:hAnsi="Book Antiqua" w:cs="Arial"/>
          <w:sz w:val="24"/>
          <w:szCs w:val="24"/>
        </w:rPr>
        <w:t xml:space="preserve">orrelations were </w:t>
      </w:r>
      <w:r w:rsidRPr="00772AC6">
        <w:rPr>
          <w:rFonts w:ascii="Book Antiqua" w:hAnsi="Book Antiqua" w:cs="Arial"/>
          <w:sz w:val="24"/>
          <w:szCs w:val="24"/>
        </w:rPr>
        <w:t>stronger for women than for men, as were the c</w:t>
      </w:r>
      <w:r w:rsidR="00151527" w:rsidRPr="00772AC6">
        <w:rPr>
          <w:rFonts w:ascii="Book Antiqua" w:hAnsi="Book Antiqua" w:cs="Arial"/>
          <w:sz w:val="24"/>
          <w:szCs w:val="24"/>
        </w:rPr>
        <w:t xml:space="preserve">orrelation </w:t>
      </w:r>
      <w:r w:rsidR="005B57C7" w:rsidRPr="00772AC6">
        <w:rPr>
          <w:rFonts w:ascii="Book Antiqua" w:hAnsi="Book Antiqua" w:cs="Arial"/>
          <w:sz w:val="24"/>
          <w:szCs w:val="24"/>
        </w:rPr>
        <w:t>co</w:t>
      </w:r>
      <w:r w:rsidR="00151527" w:rsidRPr="00772AC6">
        <w:rPr>
          <w:rFonts w:ascii="Book Antiqua" w:hAnsi="Book Antiqua" w:cs="Arial"/>
          <w:sz w:val="24"/>
          <w:szCs w:val="24"/>
        </w:rPr>
        <w:t xml:space="preserve">efficients for </w:t>
      </w:r>
      <w:r w:rsidR="005B57C7" w:rsidRPr="00772AC6">
        <w:rPr>
          <w:rFonts w:ascii="Book Antiqua" w:hAnsi="Book Antiqua" w:cs="Arial"/>
          <w:sz w:val="24"/>
          <w:szCs w:val="24"/>
        </w:rPr>
        <w:t xml:space="preserve">ballooning score and fibrosis stage </w:t>
      </w:r>
      <w:r w:rsidR="00706C35" w:rsidRPr="00772AC6">
        <w:rPr>
          <w:rFonts w:ascii="Book Antiqua" w:hAnsi="Book Antiqua" w:cs="Arial"/>
          <w:sz w:val="24"/>
          <w:szCs w:val="24"/>
        </w:rPr>
        <w:t>(Table 2, Figure 3)</w:t>
      </w:r>
      <w:r w:rsidR="005B57C7" w:rsidRPr="00772AC6">
        <w:rPr>
          <w:rFonts w:ascii="Book Antiqua" w:hAnsi="Book Antiqua" w:cs="Arial"/>
          <w:sz w:val="24"/>
          <w:szCs w:val="24"/>
        </w:rPr>
        <w:t xml:space="preserve">. </w:t>
      </w:r>
    </w:p>
    <w:p w:rsidR="00ED4FEB" w:rsidRPr="00772AC6" w:rsidRDefault="00ED4FEB" w:rsidP="005A4D61">
      <w:pPr>
        <w:pStyle w:val="15"/>
        <w:adjustRightInd w:val="0"/>
        <w:snapToGrid w:val="0"/>
        <w:rPr>
          <w:rFonts w:ascii="Book Antiqua" w:hAnsi="Book Antiqua" w:cs="Arial"/>
          <w:sz w:val="24"/>
          <w:szCs w:val="24"/>
        </w:rPr>
      </w:pPr>
    </w:p>
    <w:p w:rsidR="004B1D42" w:rsidRPr="00772AC6" w:rsidRDefault="003443E9" w:rsidP="005A4D61">
      <w:pPr>
        <w:pStyle w:val="15"/>
        <w:adjustRightInd w:val="0"/>
        <w:snapToGrid w:val="0"/>
        <w:rPr>
          <w:rFonts w:ascii="Book Antiqua" w:hAnsi="Book Antiqua" w:cs="Arial"/>
          <w:b/>
          <w:i/>
          <w:sz w:val="24"/>
          <w:szCs w:val="24"/>
        </w:rPr>
      </w:pPr>
      <w:r w:rsidRPr="00772AC6">
        <w:rPr>
          <w:rFonts w:ascii="Book Antiqua" w:hAnsi="Book Antiqua" w:cs="Arial"/>
          <w:b/>
          <w:i/>
          <w:sz w:val="24"/>
          <w:szCs w:val="24"/>
        </w:rPr>
        <w:t>P</w:t>
      </w:r>
      <w:r w:rsidR="004B1D42" w:rsidRPr="00772AC6">
        <w:rPr>
          <w:rFonts w:ascii="Book Antiqua" w:hAnsi="Book Antiqua" w:cs="Arial"/>
          <w:b/>
          <w:i/>
          <w:sz w:val="24"/>
          <w:szCs w:val="24"/>
        </w:rPr>
        <w:t>er</w:t>
      </w:r>
      <w:r w:rsidRPr="00772AC6">
        <w:rPr>
          <w:rFonts w:ascii="Book Antiqua" w:hAnsi="Book Antiqua" w:cs="Arial"/>
          <w:b/>
          <w:i/>
          <w:sz w:val="24"/>
          <w:szCs w:val="24"/>
        </w:rPr>
        <w:t xml:space="preserve">formance of ATX for </w:t>
      </w:r>
      <w:r w:rsidR="003E63BF" w:rsidRPr="00772AC6">
        <w:rPr>
          <w:rFonts w:ascii="Book Antiqua" w:hAnsi="Book Antiqua" w:cs="Arial"/>
          <w:b/>
          <w:i/>
          <w:sz w:val="24"/>
          <w:szCs w:val="24"/>
        </w:rPr>
        <w:t>d</w:t>
      </w:r>
      <w:r w:rsidR="00485FD1" w:rsidRPr="00772AC6">
        <w:rPr>
          <w:rFonts w:ascii="Book Antiqua" w:hAnsi="Book Antiqua" w:cs="Arial"/>
          <w:b/>
          <w:i/>
          <w:sz w:val="24"/>
          <w:szCs w:val="24"/>
        </w:rPr>
        <w:t xml:space="preserve">iagnosing </w:t>
      </w:r>
      <w:r w:rsidR="003E63BF" w:rsidRPr="00772AC6">
        <w:rPr>
          <w:rFonts w:ascii="Book Antiqua" w:hAnsi="Book Antiqua" w:cs="Arial"/>
          <w:b/>
          <w:i/>
          <w:sz w:val="24"/>
          <w:szCs w:val="24"/>
        </w:rPr>
        <w:t>f</w:t>
      </w:r>
      <w:r w:rsidRPr="00772AC6">
        <w:rPr>
          <w:rFonts w:ascii="Book Antiqua" w:hAnsi="Book Antiqua" w:cs="Arial"/>
          <w:b/>
          <w:i/>
          <w:sz w:val="24"/>
          <w:szCs w:val="24"/>
        </w:rPr>
        <w:t>ibrosis</w:t>
      </w:r>
      <w:r w:rsidR="00485FD1" w:rsidRPr="00772AC6">
        <w:rPr>
          <w:rFonts w:ascii="Book Antiqua" w:hAnsi="Book Antiqua" w:cs="Arial"/>
          <w:b/>
          <w:i/>
          <w:sz w:val="24"/>
          <w:szCs w:val="24"/>
        </w:rPr>
        <w:t xml:space="preserve"> </w:t>
      </w:r>
      <w:r w:rsidR="003E63BF" w:rsidRPr="00772AC6">
        <w:rPr>
          <w:rFonts w:ascii="Book Antiqua" w:hAnsi="Book Antiqua" w:cs="Arial"/>
          <w:b/>
          <w:i/>
          <w:sz w:val="24"/>
          <w:szCs w:val="24"/>
        </w:rPr>
        <w:t>s</w:t>
      </w:r>
      <w:r w:rsidR="00485FD1" w:rsidRPr="00772AC6">
        <w:rPr>
          <w:rFonts w:ascii="Book Antiqua" w:hAnsi="Book Antiqua" w:cs="Arial"/>
          <w:b/>
          <w:i/>
          <w:sz w:val="24"/>
          <w:szCs w:val="24"/>
        </w:rPr>
        <w:t>tatus</w:t>
      </w:r>
    </w:p>
    <w:p w:rsidR="00E32992" w:rsidRPr="00772AC6" w:rsidRDefault="00660537" w:rsidP="005A4D61">
      <w:pPr>
        <w:pStyle w:val="15"/>
        <w:adjustRightInd w:val="0"/>
        <w:snapToGrid w:val="0"/>
        <w:rPr>
          <w:rFonts w:ascii="Book Antiqua" w:hAnsi="Book Antiqua" w:cs="Arial"/>
          <w:sz w:val="24"/>
          <w:szCs w:val="24"/>
        </w:rPr>
      </w:pPr>
      <w:r w:rsidRPr="00772AC6">
        <w:rPr>
          <w:rFonts w:ascii="Book Antiqua" w:hAnsi="Book Antiqua" w:cs="Arial"/>
          <w:sz w:val="24"/>
          <w:szCs w:val="24"/>
        </w:rPr>
        <w:t xml:space="preserve">To assess the significance of ATX </w:t>
      </w:r>
      <w:r w:rsidR="00162173" w:rsidRPr="00772AC6">
        <w:rPr>
          <w:rFonts w:ascii="Book Antiqua" w:hAnsi="Book Antiqua" w:cs="Arial"/>
          <w:sz w:val="24"/>
          <w:szCs w:val="24"/>
        </w:rPr>
        <w:t xml:space="preserve">as a predictor of </w:t>
      </w:r>
      <w:r w:rsidRPr="00772AC6">
        <w:rPr>
          <w:rFonts w:ascii="Book Antiqua" w:hAnsi="Book Antiqua" w:cs="Arial"/>
          <w:sz w:val="24"/>
          <w:szCs w:val="24"/>
        </w:rPr>
        <w:t>fibrosis stage</w:t>
      </w:r>
      <w:r w:rsidR="00162173" w:rsidRPr="00772AC6">
        <w:rPr>
          <w:rFonts w:ascii="Book Antiqua" w:hAnsi="Book Antiqua" w:cs="Arial"/>
          <w:sz w:val="24"/>
          <w:szCs w:val="24"/>
        </w:rPr>
        <w:t xml:space="preserve">, </w:t>
      </w:r>
      <w:r w:rsidR="00A533DA" w:rsidRPr="00772AC6">
        <w:rPr>
          <w:rFonts w:ascii="Book Antiqua" w:hAnsi="Book Antiqua" w:cs="Arial"/>
          <w:sz w:val="24"/>
          <w:szCs w:val="24"/>
        </w:rPr>
        <w:t xml:space="preserve">ROC </w:t>
      </w:r>
      <w:r w:rsidR="00EF5E4B" w:rsidRPr="00772AC6">
        <w:rPr>
          <w:rFonts w:ascii="Book Antiqua" w:hAnsi="Book Antiqua" w:cs="Arial"/>
          <w:sz w:val="24"/>
          <w:szCs w:val="24"/>
        </w:rPr>
        <w:t>analysis was performed</w:t>
      </w:r>
      <w:r w:rsidR="00E4456B" w:rsidRPr="00772AC6">
        <w:rPr>
          <w:rFonts w:ascii="Book Antiqua" w:hAnsi="Book Antiqua" w:cs="Arial"/>
          <w:sz w:val="24"/>
          <w:szCs w:val="24"/>
        </w:rPr>
        <w:t>.</w:t>
      </w:r>
      <w:r w:rsidR="00EF5E4B" w:rsidRPr="00772AC6">
        <w:rPr>
          <w:rFonts w:ascii="Book Antiqua" w:hAnsi="Book Antiqua" w:cs="Arial"/>
          <w:sz w:val="24"/>
          <w:szCs w:val="24"/>
        </w:rPr>
        <w:t xml:space="preserve"> </w:t>
      </w:r>
      <w:r w:rsidR="00517287" w:rsidRPr="00772AC6">
        <w:rPr>
          <w:rFonts w:ascii="Book Antiqua" w:hAnsi="Book Antiqua" w:cs="Arial"/>
          <w:sz w:val="24"/>
          <w:szCs w:val="24"/>
        </w:rPr>
        <w:t>Cut off values, sensitivities, specificities, positive predictive values, negative predictive values, and accuracies for predicting the presence of fibrosis (</w:t>
      </w:r>
      <w:r w:rsidR="00E20C21" w:rsidRPr="00772AC6">
        <w:rPr>
          <w:rFonts w:ascii="Book Antiqua" w:eastAsia="SimSun" w:hAnsi="Book Antiqua" w:cs="SimSun"/>
          <w:sz w:val="24"/>
          <w:szCs w:val="24"/>
        </w:rPr>
        <w:t xml:space="preserve">≥ </w:t>
      </w:r>
      <w:r w:rsidR="00517287" w:rsidRPr="00772AC6">
        <w:rPr>
          <w:rFonts w:ascii="Book Antiqua" w:hAnsi="Book Antiqua" w:cs="Arial"/>
          <w:sz w:val="24"/>
          <w:szCs w:val="24"/>
        </w:rPr>
        <w:t>F1), significant fibrosis (</w:t>
      </w:r>
      <w:r w:rsidR="00E20C21" w:rsidRPr="00772AC6">
        <w:rPr>
          <w:rFonts w:ascii="Book Antiqua" w:eastAsia="SimSun" w:hAnsi="Book Antiqua" w:cs="SimSun"/>
          <w:sz w:val="24"/>
          <w:szCs w:val="24"/>
        </w:rPr>
        <w:t xml:space="preserve">≥ </w:t>
      </w:r>
      <w:r w:rsidR="00517287" w:rsidRPr="00772AC6">
        <w:rPr>
          <w:rFonts w:ascii="Book Antiqua" w:hAnsi="Book Antiqua" w:cs="Arial"/>
          <w:sz w:val="24"/>
          <w:szCs w:val="24"/>
        </w:rPr>
        <w:t>F2), severe fibrosis (</w:t>
      </w:r>
      <w:r w:rsidR="00E20C21" w:rsidRPr="00772AC6">
        <w:rPr>
          <w:rFonts w:ascii="Book Antiqua" w:eastAsia="SimSun" w:hAnsi="Book Antiqua" w:cs="SimSun"/>
          <w:sz w:val="24"/>
          <w:szCs w:val="24"/>
        </w:rPr>
        <w:t xml:space="preserve">≥ </w:t>
      </w:r>
      <w:r w:rsidR="00517287" w:rsidRPr="00772AC6">
        <w:rPr>
          <w:rFonts w:ascii="Book Antiqua" w:hAnsi="Book Antiqua" w:cs="Arial"/>
          <w:sz w:val="24"/>
          <w:szCs w:val="24"/>
        </w:rPr>
        <w:t>F3), and cirrhosis (F4) in overall, male, and female NAFLD patients are shown in Table 3, and</w:t>
      </w:r>
      <w:r w:rsidR="003E63BF" w:rsidRPr="00772AC6">
        <w:rPr>
          <w:rFonts w:ascii="Book Antiqua" w:hAnsi="Book Antiqua" w:cs="Arial"/>
          <w:sz w:val="24"/>
          <w:szCs w:val="24"/>
        </w:rPr>
        <w:t xml:space="preserve"> </w:t>
      </w:r>
      <w:r w:rsidR="00517287" w:rsidRPr="00772AC6">
        <w:rPr>
          <w:rFonts w:ascii="Book Antiqua" w:hAnsi="Book Antiqua" w:cs="Arial"/>
          <w:sz w:val="24"/>
          <w:szCs w:val="24"/>
        </w:rPr>
        <w:t xml:space="preserve">these </w:t>
      </w:r>
      <w:r w:rsidR="00EF5E4B" w:rsidRPr="00772AC6">
        <w:rPr>
          <w:rFonts w:ascii="Book Antiqua" w:hAnsi="Book Antiqua" w:cs="Arial"/>
          <w:sz w:val="24"/>
          <w:szCs w:val="24"/>
        </w:rPr>
        <w:t xml:space="preserve">ROC </w:t>
      </w:r>
      <w:r w:rsidR="003E63BF" w:rsidRPr="00772AC6">
        <w:rPr>
          <w:rFonts w:ascii="Book Antiqua" w:hAnsi="Book Antiqua" w:cs="Arial"/>
          <w:sz w:val="24"/>
          <w:szCs w:val="24"/>
        </w:rPr>
        <w:t xml:space="preserve">curves </w:t>
      </w:r>
      <w:r w:rsidR="00F320DA" w:rsidRPr="00772AC6">
        <w:rPr>
          <w:rFonts w:ascii="Book Antiqua" w:hAnsi="Book Antiqua" w:cs="Arial"/>
          <w:sz w:val="24"/>
          <w:szCs w:val="24"/>
        </w:rPr>
        <w:t>are shown in Figure 4</w:t>
      </w:r>
      <w:r w:rsidR="00162173" w:rsidRPr="00772AC6">
        <w:rPr>
          <w:rFonts w:ascii="Book Antiqua" w:hAnsi="Book Antiqua" w:cs="Arial"/>
          <w:sz w:val="24"/>
          <w:szCs w:val="24"/>
        </w:rPr>
        <w:t xml:space="preserve">. </w:t>
      </w:r>
      <w:r w:rsidR="00E32992" w:rsidRPr="00772AC6">
        <w:rPr>
          <w:rFonts w:ascii="Book Antiqua" w:hAnsi="Book Antiqua" w:cs="Arial"/>
          <w:sz w:val="24"/>
          <w:szCs w:val="24"/>
        </w:rPr>
        <w:t>The AUC values of ATX for predicting the presence of fibrosis (</w:t>
      </w:r>
      <w:r w:rsidR="00E20C21" w:rsidRPr="00772AC6">
        <w:rPr>
          <w:rFonts w:ascii="Book Antiqua" w:eastAsia="SimSun" w:hAnsi="Book Antiqua" w:cs="SimSun"/>
          <w:sz w:val="24"/>
          <w:szCs w:val="24"/>
        </w:rPr>
        <w:t xml:space="preserve">≥ </w:t>
      </w:r>
      <w:r w:rsidR="00E32992" w:rsidRPr="00772AC6">
        <w:rPr>
          <w:rFonts w:ascii="Book Antiqua" w:hAnsi="Book Antiqua" w:cs="Arial"/>
          <w:sz w:val="24"/>
          <w:szCs w:val="24"/>
        </w:rPr>
        <w:t>F1), significant fibrosis (</w:t>
      </w:r>
      <w:r w:rsidR="00E20C21" w:rsidRPr="00772AC6">
        <w:rPr>
          <w:rFonts w:ascii="Book Antiqua" w:eastAsia="SimSun" w:hAnsi="Book Antiqua" w:cs="SimSun"/>
          <w:sz w:val="24"/>
          <w:szCs w:val="24"/>
        </w:rPr>
        <w:t xml:space="preserve">≥ </w:t>
      </w:r>
      <w:r w:rsidR="00E32992" w:rsidRPr="00772AC6">
        <w:rPr>
          <w:rFonts w:ascii="Book Antiqua" w:hAnsi="Book Antiqua" w:cs="Arial"/>
          <w:sz w:val="24"/>
          <w:szCs w:val="24"/>
        </w:rPr>
        <w:t>F2), severe fibrosis (</w:t>
      </w:r>
      <w:r w:rsidR="00E20C21" w:rsidRPr="00772AC6">
        <w:rPr>
          <w:rFonts w:ascii="Book Antiqua" w:eastAsia="SimSun" w:hAnsi="Book Antiqua" w:cs="SimSun"/>
          <w:sz w:val="24"/>
          <w:szCs w:val="24"/>
        </w:rPr>
        <w:t xml:space="preserve">≥ </w:t>
      </w:r>
      <w:r w:rsidR="00E32992" w:rsidRPr="00772AC6">
        <w:rPr>
          <w:rFonts w:ascii="Book Antiqua" w:hAnsi="Book Antiqua" w:cs="Arial"/>
          <w:sz w:val="24"/>
          <w:szCs w:val="24"/>
        </w:rPr>
        <w:t xml:space="preserve">F3), and cirrhosis (F4), were all more than 0.70 in respective analyses. </w:t>
      </w:r>
    </w:p>
    <w:p w:rsidR="00003405" w:rsidRPr="00772AC6" w:rsidRDefault="00A7288E" w:rsidP="001278E6">
      <w:pPr>
        <w:pStyle w:val="15"/>
        <w:adjustRightInd w:val="0"/>
        <w:snapToGrid w:val="0"/>
        <w:ind w:firstLineChars="100" w:firstLine="240"/>
        <w:rPr>
          <w:rFonts w:ascii="Book Antiqua" w:hAnsi="Book Antiqua" w:cs="Arial"/>
          <w:sz w:val="24"/>
          <w:szCs w:val="24"/>
        </w:rPr>
      </w:pPr>
      <w:r w:rsidRPr="00772AC6">
        <w:rPr>
          <w:rFonts w:ascii="Book Antiqua" w:hAnsi="Book Antiqua" w:cs="Arial"/>
          <w:sz w:val="24"/>
          <w:szCs w:val="24"/>
        </w:rPr>
        <w:t>For</w:t>
      </w:r>
      <w:r w:rsidR="00517287" w:rsidRPr="00772AC6">
        <w:rPr>
          <w:rFonts w:ascii="Book Antiqua" w:hAnsi="Book Antiqua" w:cs="Arial"/>
          <w:sz w:val="24"/>
          <w:szCs w:val="24"/>
        </w:rPr>
        <w:t xml:space="preserve"> comparison, </w:t>
      </w:r>
      <w:r w:rsidR="00C20D8C" w:rsidRPr="00772AC6">
        <w:rPr>
          <w:rFonts w:ascii="Book Antiqua" w:hAnsi="Book Antiqua" w:cs="Arial"/>
          <w:sz w:val="24"/>
          <w:szCs w:val="24"/>
        </w:rPr>
        <w:t>ROC analysis of</w:t>
      </w:r>
      <w:r w:rsidR="00E4456B" w:rsidRPr="00772AC6">
        <w:rPr>
          <w:rFonts w:ascii="Book Antiqua" w:hAnsi="Book Antiqua" w:cs="Arial"/>
          <w:sz w:val="24"/>
          <w:szCs w:val="24"/>
        </w:rPr>
        <w:t xml:space="preserve"> serum ATX </w:t>
      </w:r>
      <w:r w:rsidR="00C20D8C" w:rsidRPr="00772AC6">
        <w:rPr>
          <w:rFonts w:ascii="Book Antiqua" w:hAnsi="Book Antiqua" w:cs="Arial"/>
          <w:sz w:val="24"/>
          <w:szCs w:val="24"/>
        </w:rPr>
        <w:t xml:space="preserve">and </w:t>
      </w:r>
      <w:r w:rsidR="00E4456B" w:rsidRPr="00772AC6">
        <w:rPr>
          <w:rFonts w:ascii="Book Antiqua" w:hAnsi="Book Antiqua" w:cs="Arial"/>
          <w:sz w:val="24"/>
          <w:szCs w:val="24"/>
        </w:rPr>
        <w:t>conv</w:t>
      </w:r>
      <w:r w:rsidR="00C20D8C" w:rsidRPr="00772AC6">
        <w:rPr>
          <w:rFonts w:ascii="Book Antiqua" w:hAnsi="Book Antiqua" w:cs="Arial"/>
          <w:sz w:val="24"/>
          <w:szCs w:val="24"/>
        </w:rPr>
        <w:t>entional fibrosis indicators (HA, 4C7S, APRI, and FIB-4)</w:t>
      </w:r>
      <w:r w:rsidR="006C44AB" w:rsidRPr="00772AC6">
        <w:rPr>
          <w:rFonts w:ascii="Book Antiqua" w:hAnsi="Book Antiqua" w:cs="Arial"/>
          <w:sz w:val="24"/>
          <w:szCs w:val="24"/>
        </w:rPr>
        <w:t xml:space="preserve"> </w:t>
      </w:r>
      <w:r w:rsidR="00C20D8C" w:rsidRPr="00772AC6">
        <w:rPr>
          <w:rFonts w:ascii="Book Antiqua" w:hAnsi="Book Antiqua" w:cs="Arial"/>
          <w:sz w:val="24"/>
          <w:szCs w:val="24"/>
        </w:rPr>
        <w:t xml:space="preserve">for determination of </w:t>
      </w:r>
      <w:r w:rsidRPr="00772AC6">
        <w:rPr>
          <w:rFonts w:ascii="Book Antiqua" w:hAnsi="Book Antiqua" w:cs="Arial"/>
          <w:sz w:val="24"/>
          <w:szCs w:val="24"/>
        </w:rPr>
        <w:t>severe fibrosis (</w:t>
      </w:r>
      <w:r w:rsidR="00E20C21" w:rsidRPr="00772AC6">
        <w:rPr>
          <w:rFonts w:ascii="Book Antiqua" w:eastAsia="SimSun" w:hAnsi="Book Antiqua" w:cs="SimSun"/>
          <w:sz w:val="24"/>
          <w:szCs w:val="24"/>
        </w:rPr>
        <w:t xml:space="preserve">≥ </w:t>
      </w:r>
      <w:r w:rsidRPr="00772AC6">
        <w:rPr>
          <w:rFonts w:ascii="Book Antiqua" w:hAnsi="Book Antiqua" w:cs="Arial"/>
          <w:sz w:val="24"/>
          <w:szCs w:val="24"/>
        </w:rPr>
        <w:t>F3)</w:t>
      </w:r>
      <w:r w:rsidR="00527B23" w:rsidRPr="00772AC6">
        <w:rPr>
          <w:rFonts w:ascii="Book Antiqua" w:hAnsi="Book Antiqua" w:cs="Arial"/>
          <w:sz w:val="24"/>
          <w:szCs w:val="24"/>
        </w:rPr>
        <w:t xml:space="preserve"> </w:t>
      </w:r>
      <w:r w:rsidR="00C20D8C" w:rsidRPr="00772AC6">
        <w:rPr>
          <w:rFonts w:ascii="Book Antiqua" w:hAnsi="Book Antiqua" w:cs="Arial"/>
          <w:sz w:val="24"/>
          <w:szCs w:val="24"/>
        </w:rPr>
        <w:t xml:space="preserve">were performed </w:t>
      </w:r>
      <w:r w:rsidR="006C44AB" w:rsidRPr="00772AC6">
        <w:rPr>
          <w:rFonts w:ascii="Book Antiqua" w:hAnsi="Book Antiqua" w:cs="Arial"/>
          <w:sz w:val="24"/>
          <w:szCs w:val="24"/>
        </w:rPr>
        <w:t>(Table 4)</w:t>
      </w:r>
      <w:r w:rsidR="00E4456B" w:rsidRPr="00772AC6">
        <w:rPr>
          <w:rFonts w:ascii="Book Antiqua" w:hAnsi="Book Antiqua" w:cs="Arial"/>
          <w:sz w:val="24"/>
          <w:szCs w:val="24"/>
        </w:rPr>
        <w:t xml:space="preserve">. </w:t>
      </w:r>
      <w:r w:rsidR="00003405" w:rsidRPr="00772AC6">
        <w:rPr>
          <w:rFonts w:ascii="Book Antiqua" w:hAnsi="Book Antiqua" w:cs="Arial"/>
          <w:sz w:val="24"/>
          <w:szCs w:val="24"/>
        </w:rPr>
        <w:t xml:space="preserve">Although </w:t>
      </w:r>
      <w:r w:rsidR="00552696" w:rsidRPr="00772AC6">
        <w:rPr>
          <w:rFonts w:ascii="Book Antiqua" w:hAnsi="Book Antiqua" w:cs="Arial"/>
          <w:sz w:val="24"/>
          <w:szCs w:val="24"/>
        </w:rPr>
        <w:t>sensitivity of ATX is lower than those of HA, 4C7S, APRI, and FIB-4,</w:t>
      </w:r>
      <w:r w:rsidR="008A06B2" w:rsidRPr="00772AC6">
        <w:rPr>
          <w:rFonts w:ascii="Book Antiqua" w:hAnsi="Book Antiqua" w:cs="Arial"/>
          <w:sz w:val="24"/>
          <w:szCs w:val="24"/>
        </w:rPr>
        <w:t xml:space="preserve"> </w:t>
      </w:r>
      <w:r w:rsidR="00552696" w:rsidRPr="00772AC6">
        <w:rPr>
          <w:rFonts w:ascii="Book Antiqua" w:hAnsi="Book Antiqua" w:cs="Arial"/>
          <w:sz w:val="24"/>
          <w:szCs w:val="24"/>
        </w:rPr>
        <w:t>specificity of ATX was highest (91%) compared to others.</w:t>
      </w:r>
    </w:p>
    <w:p w:rsidR="00665987" w:rsidRPr="00772AC6" w:rsidRDefault="00665987" w:rsidP="005A4D61">
      <w:pPr>
        <w:pStyle w:val="15"/>
        <w:adjustRightInd w:val="0"/>
        <w:snapToGrid w:val="0"/>
        <w:rPr>
          <w:rFonts w:ascii="Book Antiqua" w:hAnsi="Book Antiqua" w:cs="Arial"/>
          <w:b/>
          <w:strike/>
          <w:sz w:val="24"/>
          <w:szCs w:val="24"/>
        </w:rPr>
      </w:pPr>
    </w:p>
    <w:p w:rsidR="00D778A7" w:rsidRPr="00772AC6" w:rsidRDefault="004D3153" w:rsidP="005A4D61">
      <w:pPr>
        <w:pStyle w:val="15"/>
        <w:adjustRightInd w:val="0"/>
        <w:snapToGrid w:val="0"/>
        <w:rPr>
          <w:rFonts w:ascii="Book Antiqua" w:hAnsi="Book Antiqua" w:cs="Arial"/>
          <w:sz w:val="24"/>
          <w:szCs w:val="24"/>
        </w:rPr>
      </w:pPr>
      <w:r w:rsidRPr="00772AC6">
        <w:rPr>
          <w:rFonts w:ascii="Book Antiqua" w:hAnsi="Book Antiqua" w:cs="Arial"/>
          <w:b/>
          <w:sz w:val="24"/>
          <w:szCs w:val="24"/>
        </w:rPr>
        <w:t>DISCUSSION</w:t>
      </w:r>
    </w:p>
    <w:p w:rsidR="009E1857" w:rsidRPr="00772AC6" w:rsidRDefault="0039318A" w:rsidP="005A4D61">
      <w:pPr>
        <w:pStyle w:val="15"/>
        <w:adjustRightInd w:val="0"/>
        <w:snapToGrid w:val="0"/>
        <w:rPr>
          <w:rFonts w:ascii="Book Antiqua" w:hAnsi="Book Antiqua" w:cs="Arial"/>
          <w:sz w:val="24"/>
          <w:szCs w:val="24"/>
        </w:rPr>
      </w:pPr>
      <w:r w:rsidRPr="00772AC6">
        <w:rPr>
          <w:rFonts w:ascii="Book Antiqua" w:hAnsi="Book Antiqua" w:cs="Arial"/>
          <w:sz w:val="24"/>
          <w:szCs w:val="24"/>
        </w:rPr>
        <w:t xml:space="preserve">Rachakonda </w:t>
      </w:r>
      <w:r w:rsidR="002422B3" w:rsidRPr="00772AC6">
        <w:rPr>
          <w:rFonts w:ascii="Book Antiqua" w:hAnsi="Book Antiqua" w:cs="Arial"/>
          <w:i/>
          <w:sz w:val="24"/>
          <w:szCs w:val="24"/>
        </w:rPr>
        <w:t>et al</w:t>
      </w:r>
      <w:r w:rsidR="001278E6" w:rsidRPr="00772AC6">
        <w:rPr>
          <w:rFonts w:ascii="Book Antiqua" w:hAnsi="Book Antiqua" w:cs="Arial"/>
          <w:sz w:val="24"/>
          <w:szCs w:val="24"/>
          <w:vertAlign w:val="superscript"/>
        </w:rPr>
        <w:t>[39]</w:t>
      </w:r>
      <w:r w:rsidRPr="00772AC6">
        <w:rPr>
          <w:rFonts w:ascii="Book Antiqua" w:hAnsi="Book Antiqua" w:cs="Arial"/>
          <w:sz w:val="24"/>
          <w:szCs w:val="24"/>
        </w:rPr>
        <w:t xml:space="preserve"> </w:t>
      </w:r>
      <w:r w:rsidR="003E63BF" w:rsidRPr="00772AC6">
        <w:rPr>
          <w:rFonts w:ascii="Book Antiqua" w:hAnsi="Book Antiqua" w:cs="Arial"/>
          <w:sz w:val="24"/>
          <w:szCs w:val="24"/>
        </w:rPr>
        <w:t xml:space="preserve">recently </w:t>
      </w:r>
      <w:r w:rsidRPr="00772AC6">
        <w:rPr>
          <w:rFonts w:ascii="Book Antiqua" w:hAnsi="Book Antiqua" w:cs="Arial"/>
          <w:sz w:val="24"/>
          <w:szCs w:val="24"/>
        </w:rPr>
        <w:t xml:space="preserve">reported </w:t>
      </w:r>
      <w:r w:rsidR="002513B4" w:rsidRPr="00772AC6">
        <w:rPr>
          <w:rFonts w:ascii="Book Antiqua" w:hAnsi="Book Antiqua" w:cs="Arial"/>
          <w:sz w:val="24"/>
          <w:szCs w:val="24"/>
        </w:rPr>
        <w:t xml:space="preserve">increased </w:t>
      </w:r>
      <w:r w:rsidRPr="00772AC6">
        <w:rPr>
          <w:rFonts w:ascii="Book Antiqua" w:hAnsi="Book Antiqua" w:cs="Arial"/>
          <w:sz w:val="24"/>
          <w:szCs w:val="24"/>
        </w:rPr>
        <w:t>serum ATX levels</w:t>
      </w:r>
      <w:r w:rsidR="00ED4FEB" w:rsidRPr="00772AC6">
        <w:rPr>
          <w:rFonts w:ascii="Book Antiqua" w:hAnsi="Book Antiqua" w:cs="Arial"/>
          <w:sz w:val="24"/>
          <w:szCs w:val="24"/>
        </w:rPr>
        <w:t xml:space="preserve"> </w:t>
      </w:r>
      <w:r w:rsidR="002513B4" w:rsidRPr="00772AC6">
        <w:rPr>
          <w:rFonts w:ascii="Book Antiqua" w:hAnsi="Book Antiqua" w:cs="Arial"/>
          <w:sz w:val="24"/>
          <w:szCs w:val="24"/>
        </w:rPr>
        <w:t xml:space="preserve">in NAFLD patients. </w:t>
      </w:r>
      <w:r w:rsidRPr="00772AC6">
        <w:rPr>
          <w:rFonts w:ascii="Book Antiqua" w:hAnsi="Book Antiqua" w:cs="Arial"/>
          <w:sz w:val="24"/>
          <w:szCs w:val="24"/>
        </w:rPr>
        <w:t xml:space="preserve">In severely obese and non-diabetic women, serum ATX was higher in </w:t>
      </w:r>
      <w:r w:rsidR="003E63BF" w:rsidRPr="00772AC6">
        <w:rPr>
          <w:rFonts w:ascii="Book Antiqua" w:hAnsi="Book Antiqua" w:cs="Arial"/>
          <w:sz w:val="24"/>
          <w:szCs w:val="24"/>
        </w:rPr>
        <w:t xml:space="preserve">those </w:t>
      </w:r>
      <w:r w:rsidR="00FE3203" w:rsidRPr="00772AC6">
        <w:rPr>
          <w:rFonts w:ascii="Book Antiqua" w:hAnsi="Book Antiqua" w:cs="Arial"/>
          <w:sz w:val="24"/>
          <w:szCs w:val="24"/>
        </w:rPr>
        <w:t xml:space="preserve">with NAFLD </w:t>
      </w:r>
      <w:r w:rsidR="00C219A1" w:rsidRPr="00772AC6">
        <w:rPr>
          <w:rFonts w:ascii="Book Antiqua" w:hAnsi="Book Antiqua" w:cs="Arial"/>
          <w:sz w:val="24"/>
          <w:szCs w:val="24"/>
        </w:rPr>
        <w:t>compared with those</w:t>
      </w:r>
      <w:r w:rsidR="003E63BF" w:rsidRPr="00772AC6">
        <w:rPr>
          <w:rFonts w:ascii="Book Antiqua" w:hAnsi="Book Antiqua" w:cs="Arial"/>
          <w:sz w:val="24"/>
          <w:szCs w:val="24"/>
        </w:rPr>
        <w:t xml:space="preserve"> </w:t>
      </w:r>
      <w:r w:rsidRPr="00772AC6">
        <w:rPr>
          <w:rFonts w:ascii="Book Antiqua" w:hAnsi="Book Antiqua" w:cs="Arial"/>
          <w:sz w:val="24"/>
          <w:szCs w:val="24"/>
        </w:rPr>
        <w:t xml:space="preserve">without NAFLD and </w:t>
      </w:r>
      <w:r w:rsidR="00C219A1" w:rsidRPr="00772AC6">
        <w:rPr>
          <w:rFonts w:ascii="Book Antiqua" w:hAnsi="Book Antiqua" w:cs="Arial"/>
          <w:sz w:val="24"/>
          <w:szCs w:val="24"/>
        </w:rPr>
        <w:t xml:space="preserve">positively </w:t>
      </w:r>
      <w:r w:rsidRPr="00772AC6">
        <w:rPr>
          <w:rFonts w:ascii="Book Antiqua" w:hAnsi="Book Antiqua" w:cs="Arial"/>
          <w:sz w:val="24"/>
          <w:szCs w:val="24"/>
        </w:rPr>
        <w:t>correlate</w:t>
      </w:r>
      <w:r w:rsidR="003E63BF" w:rsidRPr="00772AC6">
        <w:rPr>
          <w:rFonts w:ascii="Book Antiqua" w:hAnsi="Book Antiqua" w:cs="Arial"/>
          <w:sz w:val="24"/>
          <w:szCs w:val="24"/>
        </w:rPr>
        <w:t xml:space="preserve">d </w:t>
      </w:r>
      <w:r w:rsidRPr="00772AC6">
        <w:rPr>
          <w:rFonts w:ascii="Book Antiqua" w:hAnsi="Book Antiqua" w:cs="Arial"/>
          <w:sz w:val="24"/>
          <w:szCs w:val="24"/>
        </w:rPr>
        <w:t>with insulin resistance. How</w:t>
      </w:r>
      <w:r w:rsidR="002513B4" w:rsidRPr="00772AC6">
        <w:rPr>
          <w:rFonts w:ascii="Book Antiqua" w:hAnsi="Book Antiqua" w:cs="Arial"/>
          <w:sz w:val="24"/>
          <w:szCs w:val="24"/>
        </w:rPr>
        <w:t xml:space="preserve">ever, they </w:t>
      </w:r>
      <w:r w:rsidRPr="00772AC6">
        <w:rPr>
          <w:rFonts w:ascii="Book Antiqua" w:hAnsi="Book Antiqua" w:cs="Arial"/>
          <w:sz w:val="24"/>
          <w:szCs w:val="24"/>
        </w:rPr>
        <w:t xml:space="preserve">did not assess liver pathology </w:t>
      </w:r>
      <w:r w:rsidR="003E63BF" w:rsidRPr="00772AC6">
        <w:rPr>
          <w:rFonts w:ascii="Book Antiqua" w:hAnsi="Book Antiqua" w:cs="Arial"/>
          <w:sz w:val="24"/>
          <w:szCs w:val="24"/>
        </w:rPr>
        <w:t xml:space="preserve">in their </w:t>
      </w:r>
      <w:r w:rsidR="008C0BA1" w:rsidRPr="00772AC6">
        <w:rPr>
          <w:rFonts w:ascii="Book Antiqua" w:hAnsi="Book Antiqua" w:cs="Arial"/>
          <w:sz w:val="24"/>
          <w:szCs w:val="24"/>
        </w:rPr>
        <w:t xml:space="preserve">cohort </w:t>
      </w:r>
      <w:r w:rsidR="00FD7B09" w:rsidRPr="00772AC6">
        <w:rPr>
          <w:rFonts w:ascii="Book Antiqua" w:hAnsi="Book Antiqua" w:cs="Arial"/>
          <w:sz w:val="24"/>
          <w:szCs w:val="24"/>
        </w:rPr>
        <w:t xml:space="preserve">of </w:t>
      </w:r>
      <w:r w:rsidRPr="00772AC6">
        <w:rPr>
          <w:rFonts w:ascii="Book Antiqua" w:hAnsi="Book Antiqua" w:cs="Arial"/>
          <w:sz w:val="24"/>
          <w:szCs w:val="24"/>
        </w:rPr>
        <w:t>female</w:t>
      </w:r>
      <w:r w:rsidR="008C0BA1" w:rsidRPr="00772AC6">
        <w:rPr>
          <w:rFonts w:ascii="Book Antiqua" w:hAnsi="Book Antiqua" w:cs="Arial"/>
          <w:sz w:val="24"/>
          <w:szCs w:val="24"/>
        </w:rPr>
        <w:t xml:space="preserve"> </w:t>
      </w:r>
      <w:r w:rsidR="003E63BF" w:rsidRPr="00772AC6">
        <w:rPr>
          <w:rFonts w:ascii="Book Antiqua" w:hAnsi="Book Antiqua" w:cs="Arial"/>
          <w:sz w:val="24"/>
          <w:szCs w:val="24"/>
        </w:rPr>
        <w:t>subjects</w:t>
      </w:r>
      <w:r w:rsidR="00FD7B09" w:rsidRPr="00772AC6">
        <w:rPr>
          <w:rFonts w:ascii="Book Antiqua" w:hAnsi="Book Antiqua" w:cs="Arial"/>
          <w:sz w:val="24"/>
          <w:szCs w:val="24"/>
        </w:rPr>
        <w:t xml:space="preserve"> only</w:t>
      </w:r>
      <w:r w:rsidR="002513B4" w:rsidRPr="00772AC6">
        <w:rPr>
          <w:rFonts w:ascii="Book Antiqua" w:hAnsi="Book Antiqua" w:cs="Arial"/>
          <w:sz w:val="24"/>
          <w:szCs w:val="24"/>
        </w:rPr>
        <w:t xml:space="preserve">. </w:t>
      </w:r>
      <w:r w:rsidR="00950C25" w:rsidRPr="00772AC6">
        <w:rPr>
          <w:rFonts w:ascii="Book Antiqua" w:hAnsi="Book Antiqua" w:cs="Arial"/>
          <w:sz w:val="24"/>
          <w:szCs w:val="24"/>
        </w:rPr>
        <w:t xml:space="preserve">In this study, we </w:t>
      </w:r>
      <w:r w:rsidRPr="00772AC6">
        <w:rPr>
          <w:rFonts w:ascii="Book Antiqua" w:hAnsi="Book Antiqua" w:cs="Arial"/>
          <w:sz w:val="24"/>
          <w:szCs w:val="24"/>
        </w:rPr>
        <w:t xml:space="preserve">compared </w:t>
      </w:r>
      <w:r w:rsidR="00950C25" w:rsidRPr="00772AC6">
        <w:rPr>
          <w:rFonts w:ascii="Book Antiqua" w:hAnsi="Book Antiqua" w:cs="Arial"/>
          <w:sz w:val="24"/>
          <w:szCs w:val="24"/>
        </w:rPr>
        <w:t xml:space="preserve">serum ATX levels with </w:t>
      </w:r>
      <w:r w:rsidR="009E1857" w:rsidRPr="00772AC6">
        <w:rPr>
          <w:rFonts w:ascii="Book Antiqua" w:hAnsi="Book Antiqua" w:cs="Arial"/>
          <w:sz w:val="24"/>
          <w:szCs w:val="24"/>
        </w:rPr>
        <w:t xml:space="preserve">clinicopathological background </w:t>
      </w:r>
      <w:r w:rsidR="003E63BF" w:rsidRPr="00772AC6">
        <w:rPr>
          <w:rFonts w:ascii="Book Antiqua" w:hAnsi="Book Antiqua" w:cs="Arial"/>
          <w:sz w:val="24"/>
          <w:szCs w:val="24"/>
        </w:rPr>
        <w:t xml:space="preserve">factors </w:t>
      </w:r>
      <w:r w:rsidR="009E1857" w:rsidRPr="00772AC6">
        <w:rPr>
          <w:rFonts w:ascii="Book Antiqua" w:hAnsi="Book Antiqua" w:cs="Arial"/>
          <w:sz w:val="24"/>
          <w:szCs w:val="24"/>
        </w:rPr>
        <w:t>in biopsy</w:t>
      </w:r>
      <w:r w:rsidR="006375B5" w:rsidRPr="00772AC6">
        <w:rPr>
          <w:rFonts w:ascii="Book Antiqua" w:hAnsi="Book Antiqua" w:cs="Arial"/>
          <w:sz w:val="24"/>
          <w:szCs w:val="24"/>
        </w:rPr>
        <w:t>-</w:t>
      </w:r>
      <w:r w:rsidR="009E1857" w:rsidRPr="00772AC6">
        <w:rPr>
          <w:rFonts w:ascii="Book Antiqua" w:hAnsi="Book Antiqua" w:cs="Arial"/>
          <w:sz w:val="24"/>
          <w:szCs w:val="24"/>
        </w:rPr>
        <w:t xml:space="preserve">proven </w:t>
      </w:r>
      <w:r w:rsidRPr="00772AC6">
        <w:rPr>
          <w:rFonts w:ascii="Book Antiqua" w:hAnsi="Book Antiqua" w:cs="Arial"/>
          <w:sz w:val="24"/>
          <w:szCs w:val="24"/>
        </w:rPr>
        <w:t xml:space="preserve">NAFLD patients and found </w:t>
      </w:r>
      <w:r w:rsidR="009E1857" w:rsidRPr="00772AC6">
        <w:rPr>
          <w:rFonts w:ascii="Book Antiqua" w:hAnsi="Book Antiqua" w:cs="Arial"/>
          <w:sz w:val="24"/>
          <w:szCs w:val="24"/>
        </w:rPr>
        <w:t>that serum ATX level</w:t>
      </w:r>
      <w:r w:rsidR="007A5052" w:rsidRPr="00772AC6">
        <w:rPr>
          <w:rFonts w:ascii="Book Antiqua" w:hAnsi="Book Antiqua" w:cs="Arial"/>
          <w:sz w:val="24"/>
          <w:szCs w:val="24"/>
        </w:rPr>
        <w:t>s</w:t>
      </w:r>
      <w:r w:rsidR="009E1857" w:rsidRPr="00772AC6">
        <w:rPr>
          <w:rFonts w:ascii="Book Antiqua" w:hAnsi="Book Antiqua" w:cs="Arial"/>
          <w:sz w:val="24"/>
          <w:szCs w:val="24"/>
        </w:rPr>
        <w:t xml:space="preserve"> </w:t>
      </w:r>
      <w:r w:rsidR="00950C25" w:rsidRPr="00772AC6">
        <w:rPr>
          <w:rFonts w:ascii="Book Antiqua" w:hAnsi="Book Antiqua" w:cs="Arial"/>
          <w:sz w:val="24"/>
          <w:szCs w:val="24"/>
        </w:rPr>
        <w:t>were</w:t>
      </w:r>
      <w:r w:rsidR="009E1857" w:rsidRPr="00772AC6">
        <w:rPr>
          <w:rFonts w:ascii="Book Antiqua" w:hAnsi="Book Antiqua" w:cs="Arial"/>
          <w:sz w:val="24"/>
          <w:szCs w:val="24"/>
        </w:rPr>
        <w:t xml:space="preserve"> </w:t>
      </w:r>
      <w:r w:rsidR="003E63BF" w:rsidRPr="00772AC6">
        <w:rPr>
          <w:rFonts w:ascii="Book Antiqua" w:hAnsi="Book Antiqua" w:cs="Arial"/>
          <w:sz w:val="24"/>
          <w:szCs w:val="24"/>
        </w:rPr>
        <w:t xml:space="preserve">significantly </w:t>
      </w:r>
      <w:r w:rsidR="009E1857" w:rsidRPr="00772AC6">
        <w:rPr>
          <w:rFonts w:ascii="Book Antiqua" w:hAnsi="Book Antiqua" w:cs="Arial"/>
          <w:sz w:val="24"/>
          <w:szCs w:val="24"/>
        </w:rPr>
        <w:t>related to h</w:t>
      </w:r>
      <w:r w:rsidRPr="00772AC6">
        <w:rPr>
          <w:rFonts w:ascii="Book Antiqua" w:hAnsi="Book Antiqua" w:cs="Arial"/>
          <w:sz w:val="24"/>
          <w:szCs w:val="24"/>
        </w:rPr>
        <w:t xml:space="preserve">epatic </w:t>
      </w:r>
      <w:r w:rsidRPr="00772AC6">
        <w:rPr>
          <w:rFonts w:ascii="Book Antiqua" w:hAnsi="Book Antiqua" w:cs="Arial"/>
          <w:sz w:val="24"/>
          <w:szCs w:val="24"/>
        </w:rPr>
        <w:lastRenderedPageBreak/>
        <w:t xml:space="preserve">fibrosis </w:t>
      </w:r>
      <w:r w:rsidR="00C64D10" w:rsidRPr="00772AC6">
        <w:rPr>
          <w:rFonts w:ascii="Book Antiqua" w:hAnsi="Book Antiqua" w:cs="Arial"/>
          <w:sz w:val="24"/>
          <w:szCs w:val="24"/>
        </w:rPr>
        <w:t xml:space="preserve">stage </w:t>
      </w:r>
      <w:r w:rsidRPr="00772AC6">
        <w:rPr>
          <w:rFonts w:ascii="Book Antiqua" w:hAnsi="Book Antiqua" w:cs="Arial"/>
          <w:sz w:val="24"/>
          <w:szCs w:val="24"/>
        </w:rPr>
        <w:t>and ballooning</w:t>
      </w:r>
      <w:r w:rsidR="00C64D10" w:rsidRPr="00772AC6">
        <w:rPr>
          <w:rFonts w:ascii="Book Antiqua" w:hAnsi="Book Antiqua" w:cs="Arial"/>
          <w:sz w:val="24"/>
          <w:szCs w:val="24"/>
        </w:rPr>
        <w:t xml:space="preserve"> score</w:t>
      </w:r>
      <w:r w:rsidR="003E63BF" w:rsidRPr="00772AC6">
        <w:rPr>
          <w:rFonts w:ascii="Book Antiqua" w:hAnsi="Book Antiqua" w:cs="Arial"/>
          <w:sz w:val="24"/>
          <w:szCs w:val="24"/>
        </w:rPr>
        <w:t xml:space="preserve">, implicating at least a partial </w:t>
      </w:r>
      <w:r w:rsidR="003E63BF" w:rsidRPr="00772AC6">
        <w:rPr>
          <w:rFonts w:ascii="Book Antiqua" w:hAnsi="Book Antiqua" w:cstheme="majorHAnsi"/>
          <w:sz w:val="24"/>
          <w:szCs w:val="24"/>
        </w:rPr>
        <w:t>reflection of histological severity in NAFLD</w:t>
      </w:r>
      <w:r w:rsidR="00C64D10" w:rsidRPr="00772AC6">
        <w:rPr>
          <w:rFonts w:ascii="Book Antiqua" w:hAnsi="Book Antiqua" w:cs="Arial"/>
          <w:sz w:val="24"/>
          <w:szCs w:val="24"/>
        </w:rPr>
        <w:t xml:space="preserve">. </w:t>
      </w:r>
    </w:p>
    <w:p w:rsidR="00552696" w:rsidRPr="00772AC6" w:rsidRDefault="008A3EF1" w:rsidP="001278E6">
      <w:pPr>
        <w:pStyle w:val="15"/>
        <w:adjustRightInd w:val="0"/>
        <w:snapToGrid w:val="0"/>
        <w:ind w:firstLineChars="100" w:firstLine="240"/>
        <w:rPr>
          <w:rFonts w:ascii="Book Antiqua" w:hAnsi="Book Antiqua" w:cs="Arial"/>
          <w:sz w:val="24"/>
          <w:szCs w:val="24"/>
        </w:rPr>
      </w:pPr>
      <w:r w:rsidRPr="00772AC6">
        <w:rPr>
          <w:rFonts w:ascii="Book Antiqua" w:hAnsi="Book Antiqua" w:cs="Arial"/>
          <w:sz w:val="24"/>
          <w:szCs w:val="24"/>
        </w:rPr>
        <w:t xml:space="preserve">The </w:t>
      </w:r>
      <w:r w:rsidR="005A338E" w:rsidRPr="00772AC6">
        <w:rPr>
          <w:rFonts w:ascii="Book Antiqua" w:hAnsi="Book Antiqua" w:cs="Arial"/>
          <w:sz w:val="24"/>
          <w:szCs w:val="24"/>
        </w:rPr>
        <w:t xml:space="preserve">correlation </w:t>
      </w:r>
      <w:r w:rsidR="003609E1" w:rsidRPr="00772AC6">
        <w:rPr>
          <w:rFonts w:ascii="Book Antiqua" w:hAnsi="Book Antiqua" w:cs="Arial"/>
          <w:sz w:val="24"/>
          <w:szCs w:val="24"/>
        </w:rPr>
        <w:t>between s</w:t>
      </w:r>
      <w:r w:rsidR="00C52EF3" w:rsidRPr="00772AC6">
        <w:rPr>
          <w:rFonts w:ascii="Book Antiqua" w:hAnsi="Book Antiqua" w:cs="Arial"/>
          <w:sz w:val="24"/>
          <w:szCs w:val="24"/>
        </w:rPr>
        <w:t xml:space="preserve">erum ATX levels </w:t>
      </w:r>
      <w:r w:rsidR="003609E1" w:rsidRPr="00772AC6">
        <w:rPr>
          <w:rFonts w:ascii="Book Antiqua" w:hAnsi="Book Antiqua" w:cs="Arial"/>
          <w:sz w:val="24"/>
          <w:szCs w:val="24"/>
        </w:rPr>
        <w:t xml:space="preserve">and the severity of hepatic fibrosis has been explained </w:t>
      </w:r>
      <w:r w:rsidRPr="00772AC6">
        <w:rPr>
          <w:rFonts w:ascii="Book Antiqua" w:hAnsi="Book Antiqua" w:cs="Arial"/>
          <w:sz w:val="24"/>
          <w:szCs w:val="24"/>
        </w:rPr>
        <w:t xml:space="preserve">by a mechanism </w:t>
      </w:r>
      <w:r w:rsidR="00FD5D2B" w:rsidRPr="00772AC6">
        <w:rPr>
          <w:rFonts w:ascii="Book Antiqua" w:hAnsi="Book Antiqua" w:cs="Arial"/>
          <w:sz w:val="24"/>
          <w:szCs w:val="24"/>
        </w:rPr>
        <w:t xml:space="preserve">of impaired </w:t>
      </w:r>
      <w:r w:rsidR="00ED0E6A" w:rsidRPr="00772AC6">
        <w:rPr>
          <w:rFonts w:ascii="Book Antiqua" w:hAnsi="Book Antiqua" w:cs="Arial"/>
          <w:sz w:val="24"/>
          <w:szCs w:val="24"/>
        </w:rPr>
        <w:t xml:space="preserve">circulating ATX </w:t>
      </w:r>
      <w:r w:rsidR="00FD5D2B" w:rsidRPr="00772AC6">
        <w:rPr>
          <w:rFonts w:ascii="Book Antiqua" w:hAnsi="Book Antiqua" w:cs="Arial"/>
          <w:sz w:val="24"/>
          <w:szCs w:val="24"/>
        </w:rPr>
        <w:t xml:space="preserve">degradation in damaged or impaired </w:t>
      </w:r>
      <w:r w:rsidR="00ED0E6A" w:rsidRPr="00772AC6">
        <w:rPr>
          <w:rFonts w:ascii="Book Antiqua" w:hAnsi="Book Antiqua" w:cs="Arial"/>
          <w:sz w:val="24"/>
          <w:szCs w:val="24"/>
        </w:rPr>
        <w:t>sinusoidal endothelial cells</w:t>
      </w:r>
      <w:r w:rsidR="006676D0" w:rsidRPr="00772AC6">
        <w:rPr>
          <w:rFonts w:ascii="Book Antiqua" w:hAnsi="Book Antiqua" w:cs="Arial"/>
          <w:sz w:val="24"/>
          <w:szCs w:val="24"/>
          <w:vertAlign w:val="superscript"/>
        </w:rPr>
        <w:t>[28</w:t>
      </w:r>
      <w:r w:rsidR="00CB184B" w:rsidRPr="00772AC6">
        <w:rPr>
          <w:rFonts w:ascii="Book Antiqua" w:hAnsi="Book Antiqua" w:cs="Arial"/>
          <w:sz w:val="24"/>
          <w:szCs w:val="24"/>
          <w:vertAlign w:val="superscript"/>
        </w:rPr>
        <w:t>]</w:t>
      </w:r>
      <w:r w:rsidR="005A338E" w:rsidRPr="00772AC6">
        <w:rPr>
          <w:rFonts w:ascii="Book Antiqua" w:hAnsi="Book Antiqua" w:cs="Arial"/>
          <w:sz w:val="24"/>
          <w:szCs w:val="24"/>
        </w:rPr>
        <w:t xml:space="preserve">. </w:t>
      </w:r>
      <w:r w:rsidR="001D0C61" w:rsidRPr="00772AC6">
        <w:rPr>
          <w:rFonts w:ascii="Book Antiqua" w:hAnsi="Book Antiqua" w:cs="Arial"/>
          <w:sz w:val="24"/>
          <w:szCs w:val="24"/>
        </w:rPr>
        <w:t>However, a</w:t>
      </w:r>
      <w:r w:rsidR="00127E28" w:rsidRPr="00772AC6">
        <w:rPr>
          <w:rFonts w:ascii="Book Antiqua" w:hAnsi="Book Antiqua" w:cs="Arial"/>
          <w:sz w:val="24"/>
          <w:szCs w:val="24"/>
        </w:rPr>
        <w:t xml:space="preserve"> recent study documented that ATX expression in hepatocytes activate</w:t>
      </w:r>
      <w:r w:rsidR="00FD5D2B" w:rsidRPr="00772AC6">
        <w:rPr>
          <w:rFonts w:ascii="Book Antiqua" w:hAnsi="Book Antiqua" w:cs="Arial"/>
          <w:sz w:val="24"/>
          <w:szCs w:val="24"/>
        </w:rPr>
        <w:t>d</w:t>
      </w:r>
      <w:r w:rsidR="00127E28" w:rsidRPr="00772AC6">
        <w:rPr>
          <w:rFonts w:ascii="Book Antiqua" w:hAnsi="Book Antiqua" w:cs="Arial"/>
          <w:sz w:val="24"/>
          <w:szCs w:val="24"/>
        </w:rPr>
        <w:t xml:space="preserve"> hepatic stellate cells and amplifie</w:t>
      </w:r>
      <w:r w:rsidR="00FD5D2B" w:rsidRPr="00772AC6">
        <w:rPr>
          <w:rFonts w:ascii="Book Antiqua" w:hAnsi="Book Antiqua" w:cs="Arial"/>
          <w:sz w:val="24"/>
          <w:szCs w:val="24"/>
        </w:rPr>
        <w:t>d</w:t>
      </w:r>
      <w:r w:rsidR="00127E28" w:rsidRPr="00772AC6">
        <w:rPr>
          <w:rFonts w:ascii="Book Antiqua" w:hAnsi="Book Antiqua" w:cs="Arial"/>
          <w:sz w:val="24"/>
          <w:szCs w:val="24"/>
        </w:rPr>
        <w:t xml:space="preserve"> the fibrotic process</w:t>
      </w:r>
      <w:r w:rsidR="008D7F3C" w:rsidRPr="00772AC6">
        <w:rPr>
          <w:rFonts w:ascii="Book Antiqua" w:hAnsi="Book Antiqua" w:cs="Arial"/>
          <w:sz w:val="24"/>
          <w:szCs w:val="24"/>
        </w:rPr>
        <w:t xml:space="preserve">, </w:t>
      </w:r>
      <w:r w:rsidR="00FD5D2B" w:rsidRPr="00772AC6">
        <w:rPr>
          <w:rFonts w:ascii="Book Antiqua" w:hAnsi="Book Antiqua" w:cs="Arial"/>
          <w:sz w:val="24"/>
          <w:szCs w:val="24"/>
        </w:rPr>
        <w:t xml:space="preserve">suggesting </w:t>
      </w:r>
      <w:r w:rsidR="00397911" w:rsidRPr="00772AC6">
        <w:rPr>
          <w:rFonts w:ascii="Book Antiqua" w:hAnsi="Book Antiqua" w:cs="Arial"/>
          <w:sz w:val="24"/>
          <w:szCs w:val="24"/>
        </w:rPr>
        <w:t xml:space="preserve">direct </w:t>
      </w:r>
      <w:r w:rsidR="00354575" w:rsidRPr="00772AC6">
        <w:rPr>
          <w:rFonts w:ascii="Book Antiqua" w:hAnsi="Book Antiqua" w:cs="Arial"/>
          <w:sz w:val="24"/>
          <w:szCs w:val="24"/>
        </w:rPr>
        <w:t xml:space="preserve">fibrosis-promoting </w:t>
      </w:r>
      <w:r w:rsidR="00FD5D2B" w:rsidRPr="00772AC6">
        <w:rPr>
          <w:rFonts w:ascii="Book Antiqua" w:hAnsi="Book Antiqua" w:cs="Arial"/>
          <w:sz w:val="24"/>
          <w:szCs w:val="24"/>
        </w:rPr>
        <w:t xml:space="preserve">properties </w:t>
      </w:r>
      <w:r w:rsidR="008D7F3C" w:rsidRPr="00772AC6">
        <w:rPr>
          <w:rFonts w:ascii="Book Antiqua" w:hAnsi="Book Antiqua" w:cs="Arial"/>
          <w:sz w:val="24"/>
          <w:szCs w:val="24"/>
        </w:rPr>
        <w:t>of A</w:t>
      </w:r>
      <w:r w:rsidR="0056797F" w:rsidRPr="00772AC6">
        <w:rPr>
          <w:rFonts w:ascii="Book Antiqua" w:hAnsi="Book Antiqua" w:cs="Arial"/>
          <w:sz w:val="24"/>
          <w:szCs w:val="24"/>
        </w:rPr>
        <w:t>TX</w:t>
      </w:r>
      <w:r w:rsidR="006676D0" w:rsidRPr="00772AC6">
        <w:rPr>
          <w:rFonts w:ascii="Book Antiqua" w:hAnsi="Book Antiqua" w:cs="Arial"/>
          <w:sz w:val="24"/>
          <w:szCs w:val="24"/>
          <w:vertAlign w:val="superscript"/>
        </w:rPr>
        <w:t>[40</w:t>
      </w:r>
      <w:r w:rsidR="00CB184B" w:rsidRPr="00772AC6">
        <w:rPr>
          <w:rFonts w:ascii="Book Antiqua" w:hAnsi="Book Antiqua" w:cs="Arial"/>
          <w:sz w:val="24"/>
          <w:szCs w:val="24"/>
          <w:vertAlign w:val="superscript"/>
        </w:rPr>
        <w:t>]</w:t>
      </w:r>
      <w:r w:rsidR="00397911" w:rsidRPr="00772AC6">
        <w:rPr>
          <w:rFonts w:ascii="Book Antiqua" w:hAnsi="Book Antiqua" w:cs="Arial"/>
          <w:sz w:val="24"/>
          <w:szCs w:val="24"/>
        </w:rPr>
        <w:t xml:space="preserve">. </w:t>
      </w:r>
      <w:r w:rsidR="009D0D33" w:rsidRPr="00772AC6">
        <w:rPr>
          <w:rFonts w:ascii="Book Antiqua" w:hAnsi="Book Antiqua" w:cs="Arial"/>
          <w:sz w:val="24"/>
          <w:szCs w:val="24"/>
        </w:rPr>
        <w:t xml:space="preserve">Since </w:t>
      </w:r>
      <w:r w:rsidR="00551479" w:rsidRPr="00772AC6">
        <w:rPr>
          <w:rFonts w:ascii="Book Antiqua" w:hAnsi="Book Antiqua" w:cs="Arial"/>
          <w:sz w:val="24"/>
          <w:szCs w:val="24"/>
        </w:rPr>
        <w:t xml:space="preserve">ATX </w:t>
      </w:r>
      <w:r w:rsidR="00FD5D2B" w:rsidRPr="00772AC6">
        <w:rPr>
          <w:rFonts w:ascii="Book Antiqua" w:hAnsi="Book Antiqua" w:cs="Arial"/>
          <w:sz w:val="24"/>
          <w:szCs w:val="24"/>
        </w:rPr>
        <w:t xml:space="preserve">is </w:t>
      </w:r>
      <w:r w:rsidR="00551479" w:rsidRPr="00772AC6">
        <w:rPr>
          <w:rFonts w:ascii="Book Antiqua" w:hAnsi="Book Antiqua" w:cs="Arial"/>
          <w:sz w:val="24"/>
          <w:szCs w:val="24"/>
        </w:rPr>
        <w:t>a novel biomarker for hepatic fibrosis in chronic hepatitis C patients</w:t>
      </w:r>
      <w:r w:rsidR="00CB184B" w:rsidRPr="00772AC6">
        <w:rPr>
          <w:rFonts w:ascii="Book Antiqua" w:hAnsi="Book Antiqua" w:cs="Arial"/>
          <w:sz w:val="24"/>
          <w:szCs w:val="24"/>
          <w:vertAlign w:val="superscript"/>
        </w:rPr>
        <w:t>[</w:t>
      </w:r>
      <w:r w:rsidR="004072D8" w:rsidRPr="00772AC6">
        <w:rPr>
          <w:rFonts w:ascii="Book Antiqua" w:hAnsi="Book Antiqua" w:cs="Arial"/>
          <w:sz w:val="24"/>
          <w:szCs w:val="24"/>
          <w:vertAlign w:val="superscript"/>
        </w:rPr>
        <w:t>26</w:t>
      </w:r>
      <w:r w:rsidR="006676D0" w:rsidRPr="00772AC6">
        <w:rPr>
          <w:rFonts w:ascii="Book Antiqua" w:hAnsi="Book Antiqua" w:cs="Arial"/>
          <w:sz w:val="24"/>
          <w:szCs w:val="24"/>
          <w:vertAlign w:val="superscript"/>
        </w:rPr>
        <w:t>,27</w:t>
      </w:r>
      <w:r w:rsidR="00CB184B" w:rsidRPr="00772AC6">
        <w:rPr>
          <w:rFonts w:ascii="Book Antiqua" w:hAnsi="Book Antiqua" w:cs="Arial"/>
          <w:sz w:val="24"/>
          <w:szCs w:val="24"/>
          <w:vertAlign w:val="superscript"/>
        </w:rPr>
        <w:t>]</w:t>
      </w:r>
      <w:r w:rsidR="009D0D33" w:rsidRPr="00772AC6">
        <w:rPr>
          <w:rFonts w:ascii="Book Antiqua" w:hAnsi="Book Antiqua" w:cs="Arial"/>
          <w:sz w:val="24"/>
          <w:szCs w:val="24"/>
        </w:rPr>
        <w:t xml:space="preserve">, we </w:t>
      </w:r>
      <w:r w:rsidR="00FD5D2B" w:rsidRPr="00772AC6">
        <w:rPr>
          <w:rFonts w:ascii="Book Antiqua" w:hAnsi="Book Antiqua" w:cs="Arial"/>
          <w:sz w:val="24"/>
          <w:szCs w:val="24"/>
        </w:rPr>
        <w:t xml:space="preserve">presumed </w:t>
      </w:r>
      <w:r w:rsidR="00B1700B" w:rsidRPr="00772AC6">
        <w:rPr>
          <w:rFonts w:ascii="Book Antiqua" w:hAnsi="Book Antiqua" w:cs="Arial"/>
          <w:sz w:val="24"/>
          <w:szCs w:val="24"/>
        </w:rPr>
        <w:t xml:space="preserve">similar </w:t>
      </w:r>
      <w:r w:rsidR="0047042C" w:rsidRPr="00772AC6">
        <w:rPr>
          <w:rFonts w:ascii="Book Antiqua" w:hAnsi="Book Antiqua" w:cs="Arial"/>
          <w:sz w:val="24"/>
          <w:szCs w:val="24"/>
        </w:rPr>
        <w:t xml:space="preserve">results </w:t>
      </w:r>
      <w:r w:rsidR="00B1700B" w:rsidRPr="00772AC6">
        <w:rPr>
          <w:rFonts w:ascii="Book Antiqua" w:hAnsi="Book Antiqua" w:cs="Arial"/>
          <w:sz w:val="24"/>
          <w:szCs w:val="24"/>
        </w:rPr>
        <w:t xml:space="preserve">in </w:t>
      </w:r>
      <w:r w:rsidR="00551479" w:rsidRPr="00772AC6">
        <w:rPr>
          <w:rFonts w:ascii="Book Antiqua" w:hAnsi="Book Antiqua" w:cs="Arial"/>
          <w:sz w:val="24"/>
          <w:szCs w:val="24"/>
        </w:rPr>
        <w:t xml:space="preserve">NAFLD </w:t>
      </w:r>
      <w:r w:rsidR="001475F3" w:rsidRPr="00772AC6">
        <w:rPr>
          <w:rFonts w:ascii="Book Antiqua" w:hAnsi="Book Antiqua" w:cs="Arial"/>
          <w:sz w:val="24"/>
          <w:szCs w:val="24"/>
        </w:rPr>
        <w:t>patients</w:t>
      </w:r>
      <w:r w:rsidR="00551479" w:rsidRPr="00772AC6">
        <w:rPr>
          <w:rFonts w:ascii="Book Antiqua" w:hAnsi="Book Antiqua" w:cs="Arial"/>
          <w:sz w:val="24"/>
          <w:szCs w:val="24"/>
        </w:rPr>
        <w:t xml:space="preserve">, </w:t>
      </w:r>
      <w:r w:rsidR="00FD7B09" w:rsidRPr="00772AC6">
        <w:rPr>
          <w:rFonts w:ascii="Book Antiqua" w:hAnsi="Book Antiqua" w:cs="Arial"/>
          <w:sz w:val="24"/>
          <w:szCs w:val="24"/>
        </w:rPr>
        <w:t xml:space="preserve">but </w:t>
      </w:r>
      <w:r w:rsidR="00551479" w:rsidRPr="00772AC6">
        <w:rPr>
          <w:rFonts w:ascii="Book Antiqua" w:hAnsi="Book Antiqua" w:cs="Arial"/>
          <w:sz w:val="24"/>
          <w:szCs w:val="24"/>
        </w:rPr>
        <w:t>the correlatio</w:t>
      </w:r>
      <w:r w:rsidR="00832F35" w:rsidRPr="00772AC6">
        <w:rPr>
          <w:rFonts w:ascii="Book Antiqua" w:hAnsi="Book Antiqua" w:cs="Arial"/>
          <w:sz w:val="24"/>
          <w:szCs w:val="24"/>
        </w:rPr>
        <w:t>n</w:t>
      </w:r>
      <w:r w:rsidR="0077280A" w:rsidRPr="00772AC6">
        <w:rPr>
          <w:rFonts w:ascii="Book Antiqua" w:hAnsi="Book Antiqua" w:cs="Arial"/>
          <w:sz w:val="24"/>
          <w:szCs w:val="24"/>
        </w:rPr>
        <w:t xml:space="preserve"> </w:t>
      </w:r>
      <w:r w:rsidR="00832F35" w:rsidRPr="00772AC6">
        <w:rPr>
          <w:rFonts w:ascii="Book Antiqua" w:hAnsi="Book Antiqua" w:cs="Arial"/>
          <w:sz w:val="24"/>
          <w:szCs w:val="24"/>
        </w:rPr>
        <w:t xml:space="preserve">between ATX and fibrosis </w:t>
      </w:r>
      <w:r w:rsidR="001475F3" w:rsidRPr="00772AC6">
        <w:rPr>
          <w:rFonts w:ascii="Book Antiqua" w:hAnsi="Book Antiqua" w:cs="Arial"/>
          <w:sz w:val="24"/>
          <w:szCs w:val="24"/>
        </w:rPr>
        <w:t xml:space="preserve">stage was </w:t>
      </w:r>
      <w:r w:rsidR="00FD5D2B" w:rsidRPr="00772AC6">
        <w:rPr>
          <w:rFonts w:ascii="Book Antiqua" w:hAnsi="Book Antiqua" w:cs="Arial"/>
          <w:sz w:val="24"/>
          <w:szCs w:val="24"/>
        </w:rPr>
        <w:t xml:space="preserve">comparatively </w:t>
      </w:r>
      <w:r w:rsidR="001475F3" w:rsidRPr="00772AC6">
        <w:rPr>
          <w:rFonts w:ascii="Book Antiqua" w:hAnsi="Book Antiqua" w:cs="Arial"/>
          <w:sz w:val="24"/>
          <w:szCs w:val="24"/>
        </w:rPr>
        <w:t>weak</w:t>
      </w:r>
      <w:r w:rsidR="00981F1C" w:rsidRPr="00772AC6">
        <w:rPr>
          <w:rFonts w:ascii="Book Antiqua" w:hAnsi="Book Antiqua" w:cs="Arial"/>
          <w:sz w:val="24"/>
          <w:szCs w:val="24"/>
        </w:rPr>
        <w:t>er</w:t>
      </w:r>
      <w:r w:rsidR="00AE065C" w:rsidRPr="00772AC6">
        <w:rPr>
          <w:rFonts w:ascii="Book Antiqua" w:hAnsi="Book Antiqua" w:cs="Arial"/>
          <w:sz w:val="24"/>
          <w:szCs w:val="24"/>
        </w:rPr>
        <w:t xml:space="preserve">. </w:t>
      </w:r>
    </w:p>
    <w:p w:rsidR="00B2192F" w:rsidRPr="00772AC6" w:rsidRDefault="00FD5D2B" w:rsidP="001278E6">
      <w:pPr>
        <w:adjustRightInd w:val="0"/>
        <w:snapToGrid w:val="0"/>
        <w:spacing w:line="360" w:lineRule="auto"/>
        <w:ind w:firstLineChars="100" w:firstLine="240"/>
        <w:rPr>
          <w:rFonts w:ascii="Book Antiqua" w:hAnsi="Book Antiqua" w:cs="Arial"/>
          <w:sz w:val="24"/>
          <w:szCs w:val="24"/>
        </w:rPr>
      </w:pPr>
      <w:r w:rsidRPr="00772AC6">
        <w:rPr>
          <w:rFonts w:ascii="Book Antiqua" w:hAnsi="Book Antiqua" w:cs="Arial"/>
          <w:sz w:val="24"/>
          <w:szCs w:val="24"/>
        </w:rPr>
        <w:t xml:space="preserve">Thus, </w:t>
      </w:r>
      <w:r w:rsidR="002A1868" w:rsidRPr="00772AC6">
        <w:rPr>
          <w:rFonts w:ascii="Book Antiqua" w:hAnsi="Book Antiqua" w:cs="Arial"/>
          <w:sz w:val="24"/>
          <w:szCs w:val="24"/>
        </w:rPr>
        <w:t>other</w:t>
      </w:r>
      <w:r w:rsidRPr="00772AC6">
        <w:rPr>
          <w:rFonts w:ascii="Book Antiqua" w:hAnsi="Book Antiqua" w:cs="Arial"/>
          <w:sz w:val="24"/>
          <w:szCs w:val="24"/>
        </w:rPr>
        <w:t xml:space="preserve"> </w:t>
      </w:r>
      <w:r w:rsidR="002A1868" w:rsidRPr="00772AC6">
        <w:rPr>
          <w:rFonts w:ascii="Book Antiqua" w:hAnsi="Book Antiqua" w:cs="Arial"/>
          <w:sz w:val="24"/>
          <w:szCs w:val="24"/>
        </w:rPr>
        <w:t>mechanisms determin</w:t>
      </w:r>
      <w:r w:rsidRPr="00772AC6">
        <w:rPr>
          <w:rFonts w:ascii="Book Antiqua" w:hAnsi="Book Antiqua" w:cs="Arial"/>
          <w:sz w:val="24"/>
          <w:szCs w:val="24"/>
        </w:rPr>
        <w:t>ing</w:t>
      </w:r>
      <w:r w:rsidR="002A1868" w:rsidRPr="00772AC6">
        <w:rPr>
          <w:rFonts w:ascii="Book Antiqua" w:hAnsi="Book Antiqua" w:cs="Arial"/>
          <w:sz w:val="24"/>
          <w:szCs w:val="24"/>
        </w:rPr>
        <w:t xml:space="preserve"> circulating ATX concentrations </w:t>
      </w:r>
      <w:r w:rsidRPr="00772AC6">
        <w:rPr>
          <w:rFonts w:ascii="Book Antiqua" w:hAnsi="Book Antiqua" w:cs="Arial"/>
          <w:sz w:val="24"/>
          <w:szCs w:val="24"/>
        </w:rPr>
        <w:t xml:space="preserve">may </w:t>
      </w:r>
      <w:r w:rsidR="005A61A3" w:rsidRPr="00772AC6">
        <w:rPr>
          <w:rFonts w:ascii="Book Antiqua" w:hAnsi="Book Antiqua" w:cs="Arial"/>
          <w:sz w:val="24"/>
          <w:szCs w:val="24"/>
        </w:rPr>
        <w:t>exist</w:t>
      </w:r>
      <w:r w:rsidRPr="00772AC6">
        <w:rPr>
          <w:rFonts w:ascii="Book Antiqua" w:hAnsi="Book Antiqua" w:cs="Arial"/>
          <w:sz w:val="24"/>
          <w:szCs w:val="24"/>
        </w:rPr>
        <w:t xml:space="preserve"> as </w:t>
      </w:r>
      <w:r w:rsidR="00E148EE" w:rsidRPr="00772AC6">
        <w:rPr>
          <w:rFonts w:ascii="Book Antiqua" w:hAnsi="Book Antiqua" w:cs="Arial"/>
          <w:sz w:val="24"/>
          <w:szCs w:val="24"/>
        </w:rPr>
        <w:t xml:space="preserve">ATX </w:t>
      </w:r>
      <w:r w:rsidR="00F53858" w:rsidRPr="00772AC6">
        <w:rPr>
          <w:rFonts w:ascii="Book Antiqua" w:hAnsi="Book Antiqua" w:cs="Arial"/>
          <w:sz w:val="24"/>
          <w:szCs w:val="24"/>
        </w:rPr>
        <w:t xml:space="preserve">is </w:t>
      </w:r>
      <w:r w:rsidR="00AC57F5" w:rsidRPr="00772AC6">
        <w:rPr>
          <w:rFonts w:ascii="Book Antiqua" w:hAnsi="Book Antiqua" w:cs="Arial"/>
          <w:sz w:val="24"/>
          <w:szCs w:val="24"/>
        </w:rPr>
        <w:t>present in</w:t>
      </w:r>
      <w:r w:rsidR="008C7B41" w:rsidRPr="00772AC6">
        <w:rPr>
          <w:rFonts w:ascii="Book Antiqua" w:hAnsi="Book Antiqua" w:cs="Arial"/>
          <w:sz w:val="24"/>
          <w:szCs w:val="24"/>
        </w:rPr>
        <w:t xml:space="preserve"> </w:t>
      </w:r>
      <w:r w:rsidR="00B642E4" w:rsidRPr="00772AC6">
        <w:rPr>
          <w:rFonts w:ascii="Book Antiqua" w:hAnsi="Book Antiqua" w:cs="Arial"/>
          <w:sz w:val="24"/>
          <w:szCs w:val="24"/>
        </w:rPr>
        <w:t xml:space="preserve">various </w:t>
      </w:r>
      <w:r w:rsidR="008C7B41" w:rsidRPr="00772AC6">
        <w:rPr>
          <w:rFonts w:ascii="Book Antiqua" w:hAnsi="Book Antiqua" w:cs="Arial"/>
          <w:sz w:val="24"/>
          <w:szCs w:val="24"/>
        </w:rPr>
        <w:t xml:space="preserve">tissues, such as </w:t>
      </w:r>
      <w:r w:rsidR="002E6C7D" w:rsidRPr="00772AC6">
        <w:rPr>
          <w:rFonts w:ascii="Book Antiqua" w:hAnsi="Book Antiqua" w:cs="Arial"/>
          <w:sz w:val="24"/>
          <w:szCs w:val="24"/>
        </w:rPr>
        <w:t xml:space="preserve">white </w:t>
      </w:r>
      <w:r w:rsidR="00E148EE" w:rsidRPr="00772AC6">
        <w:rPr>
          <w:rFonts w:ascii="Book Antiqua" w:hAnsi="Book Antiqua" w:cs="Arial"/>
          <w:sz w:val="24"/>
          <w:szCs w:val="24"/>
        </w:rPr>
        <w:t>ad</w:t>
      </w:r>
      <w:r w:rsidR="008C7B41" w:rsidRPr="00772AC6">
        <w:rPr>
          <w:rFonts w:ascii="Book Antiqua" w:hAnsi="Book Antiqua" w:cs="Arial"/>
          <w:sz w:val="24"/>
          <w:szCs w:val="24"/>
        </w:rPr>
        <w:t>ipose tissu</w:t>
      </w:r>
      <w:r w:rsidR="008C31FE" w:rsidRPr="00772AC6">
        <w:rPr>
          <w:rFonts w:ascii="Book Antiqua" w:hAnsi="Book Antiqua" w:cs="Arial"/>
          <w:sz w:val="24"/>
          <w:szCs w:val="24"/>
        </w:rPr>
        <w:t>e</w:t>
      </w:r>
      <w:r w:rsidR="00AC57F5" w:rsidRPr="00772AC6">
        <w:rPr>
          <w:rFonts w:ascii="Book Antiqua" w:hAnsi="Book Antiqua" w:cs="Arial"/>
          <w:sz w:val="24"/>
          <w:szCs w:val="24"/>
        </w:rPr>
        <w:t xml:space="preserve"> </w:t>
      </w:r>
      <w:r w:rsidR="00F454D6" w:rsidRPr="00772AC6">
        <w:rPr>
          <w:rFonts w:ascii="Book Antiqua" w:hAnsi="Book Antiqua" w:cs="Arial"/>
          <w:sz w:val="24"/>
          <w:szCs w:val="24"/>
        </w:rPr>
        <w:t>a</w:t>
      </w:r>
      <w:r w:rsidR="00AC57F5" w:rsidRPr="00772AC6">
        <w:rPr>
          <w:rFonts w:ascii="Book Antiqua" w:hAnsi="Book Antiqua" w:cs="Arial"/>
          <w:sz w:val="24"/>
          <w:szCs w:val="24"/>
        </w:rPr>
        <w:t xml:space="preserve">nd </w:t>
      </w:r>
      <w:r w:rsidRPr="00772AC6">
        <w:rPr>
          <w:rFonts w:ascii="Book Antiqua" w:hAnsi="Book Antiqua" w:cs="Arial"/>
          <w:sz w:val="24"/>
          <w:szCs w:val="24"/>
        </w:rPr>
        <w:t xml:space="preserve">the </w:t>
      </w:r>
      <w:r w:rsidR="00AC57F5" w:rsidRPr="00772AC6">
        <w:rPr>
          <w:rFonts w:ascii="Book Antiqua" w:hAnsi="Book Antiqua" w:cs="Arial"/>
          <w:sz w:val="24"/>
          <w:szCs w:val="24"/>
        </w:rPr>
        <w:t>nervous system</w:t>
      </w:r>
      <w:r w:rsidR="006676D0" w:rsidRPr="00772AC6">
        <w:rPr>
          <w:rFonts w:ascii="Book Antiqua" w:hAnsi="Book Antiqua" w:cs="Arial"/>
          <w:sz w:val="24"/>
          <w:szCs w:val="24"/>
          <w:vertAlign w:val="superscript"/>
        </w:rPr>
        <w:t>[</w:t>
      </w:r>
      <w:r w:rsidR="00DC1BFE" w:rsidRPr="00772AC6">
        <w:rPr>
          <w:rFonts w:ascii="Book Antiqua" w:eastAsia="SimSun" w:hAnsi="Book Antiqua" w:cs="Arial"/>
          <w:sz w:val="24"/>
          <w:szCs w:val="24"/>
          <w:vertAlign w:val="superscript"/>
          <w:lang w:eastAsia="zh-CN"/>
        </w:rPr>
        <w:t>41-</w:t>
      </w:r>
      <w:r w:rsidR="004A45C0" w:rsidRPr="00772AC6">
        <w:rPr>
          <w:rFonts w:ascii="Book Antiqua" w:hAnsi="Book Antiqua" w:cs="Arial"/>
          <w:sz w:val="24"/>
          <w:szCs w:val="24"/>
          <w:vertAlign w:val="superscript"/>
        </w:rPr>
        <w:t>43</w:t>
      </w:r>
      <w:r w:rsidR="00DD7BB7" w:rsidRPr="00772AC6">
        <w:rPr>
          <w:rFonts w:ascii="Book Antiqua" w:hAnsi="Book Antiqua" w:cs="Arial"/>
          <w:sz w:val="24"/>
          <w:szCs w:val="24"/>
          <w:vertAlign w:val="superscript"/>
        </w:rPr>
        <w:t>]</w:t>
      </w:r>
      <w:r w:rsidR="008C31FE" w:rsidRPr="00772AC6">
        <w:rPr>
          <w:rFonts w:ascii="Book Antiqua" w:hAnsi="Book Antiqua" w:cs="Arial"/>
          <w:sz w:val="24"/>
          <w:szCs w:val="24"/>
        </w:rPr>
        <w:t>.</w:t>
      </w:r>
      <w:r w:rsidR="003808B4" w:rsidRPr="00772AC6">
        <w:rPr>
          <w:rFonts w:ascii="Book Antiqua" w:hAnsi="Book Antiqua" w:cs="Arial"/>
          <w:sz w:val="24"/>
          <w:szCs w:val="24"/>
        </w:rPr>
        <w:t xml:space="preserve"> </w:t>
      </w:r>
      <w:r w:rsidR="0092388F" w:rsidRPr="00772AC6">
        <w:rPr>
          <w:rFonts w:ascii="Book Antiqua" w:hAnsi="Book Antiqua" w:cs="Arial"/>
          <w:sz w:val="24"/>
          <w:szCs w:val="24"/>
        </w:rPr>
        <w:t xml:space="preserve">The </w:t>
      </w:r>
      <w:r w:rsidR="006815A4" w:rsidRPr="00772AC6">
        <w:rPr>
          <w:rFonts w:ascii="Book Antiqua" w:hAnsi="Book Antiqua" w:cs="Arial"/>
          <w:sz w:val="24"/>
          <w:szCs w:val="24"/>
        </w:rPr>
        <w:t xml:space="preserve">importance </w:t>
      </w:r>
      <w:r w:rsidR="0092388F" w:rsidRPr="00772AC6">
        <w:rPr>
          <w:rFonts w:ascii="Book Antiqua" w:hAnsi="Book Antiqua" w:cs="Arial"/>
          <w:sz w:val="24"/>
          <w:szCs w:val="24"/>
        </w:rPr>
        <w:t>of visceral fat has also been discussed</w:t>
      </w:r>
      <w:r w:rsidR="0092388F" w:rsidRPr="00772AC6">
        <w:rPr>
          <w:rFonts w:ascii="Book Antiqua" w:hAnsi="Book Antiqua" w:cs="Arial"/>
          <w:sz w:val="24"/>
          <w:szCs w:val="24"/>
          <w:vertAlign w:val="superscript"/>
        </w:rPr>
        <w:t>[</w:t>
      </w:r>
      <w:r w:rsidR="004A45C0" w:rsidRPr="00772AC6">
        <w:rPr>
          <w:rFonts w:ascii="Book Antiqua" w:hAnsi="Book Antiqua" w:cs="Arial"/>
          <w:sz w:val="24"/>
          <w:szCs w:val="24"/>
          <w:vertAlign w:val="superscript"/>
        </w:rPr>
        <w:t>44</w:t>
      </w:r>
      <w:r w:rsidR="0092388F" w:rsidRPr="00772AC6">
        <w:rPr>
          <w:rFonts w:ascii="Book Antiqua" w:hAnsi="Book Antiqua" w:cs="Arial"/>
          <w:sz w:val="24"/>
          <w:szCs w:val="24"/>
          <w:vertAlign w:val="superscript"/>
        </w:rPr>
        <w:t>]</w:t>
      </w:r>
      <w:r w:rsidR="002877E5" w:rsidRPr="00772AC6">
        <w:rPr>
          <w:rFonts w:ascii="Book Antiqua" w:hAnsi="Book Antiqua" w:cs="Arial"/>
          <w:sz w:val="24"/>
          <w:szCs w:val="24"/>
        </w:rPr>
        <w:t xml:space="preserve">, but in this study, </w:t>
      </w:r>
      <w:r w:rsidR="0092388F" w:rsidRPr="00772AC6">
        <w:rPr>
          <w:rFonts w:ascii="Book Antiqua" w:hAnsi="Book Antiqua" w:cs="Arial"/>
          <w:sz w:val="24"/>
          <w:szCs w:val="24"/>
        </w:rPr>
        <w:t>we have not been able to examine waist circumference or waist-to-hip ratio, so this point is the limitation of this study</w:t>
      </w:r>
      <w:r w:rsidR="002877E5" w:rsidRPr="00772AC6">
        <w:rPr>
          <w:rFonts w:ascii="Book Antiqua" w:hAnsi="Book Antiqua" w:cs="Arial"/>
          <w:sz w:val="24"/>
          <w:szCs w:val="24"/>
        </w:rPr>
        <w:t xml:space="preserve">. </w:t>
      </w:r>
    </w:p>
    <w:p w:rsidR="00B2192F" w:rsidRPr="00772AC6" w:rsidRDefault="00B2192F" w:rsidP="001278E6">
      <w:pPr>
        <w:pStyle w:val="15"/>
        <w:adjustRightInd w:val="0"/>
        <w:snapToGrid w:val="0"/>
        <w:ind w:firstLineChars="100" w:firstLine="240"/>
        <w:rPr>
          <w:rFonts w:ascii="Book Antiqua" w:hAnsi="Book Antiqua" w:cs="Arial"/>
          <w:sz w:val="24"/>
          <w:szCs w:val="24"/>
        </w:rPr>
      </w:pPr>
      <w:r w:rsidRPr="00772AC6">
        <w:rPr>
          <w:rFonts w:ascii="Book Antiqua" w:hAnsi="Book Antiqua" w:cs="Arial"/>
          <w:sz w:val="24"/>
          <w:szCs w:val="24"/>
        </w:rPr>
        <w:t xml:space="preserve">In this study, </w:t>
      </w:r>
      <w:r w:rsidRPr="00772AC6">
        <w:rPr>
          <w:rFonts w:ascii="Book Antiqua" w:hAnsi="Book Antiqua" w:cstheme="majorHAnsi"/>
          <w:sz w:val="24"/>
          <w:szCs w:val="24"/>
        </w:rPr>
        <w:t xml:space="preserve">we also conducted </w:t>
      </w:r>
      <w:r w:rsidRPr="00772AC6">
        <w:rPr>
          <w:rFonts w:ascii="Book Antiqua" w:hAnsi="Book Antiqua" w:cs="Arial"/>
          <w:sz w:val="24"/>
          <w:szCs w:val="24"/>
        </w:rPr>
        <w:t xml:space="preserve">AUC analysis of ATX for determination of </w:t>
      </w:r>
      <w:r w:rsidR="00B37C4B" w:rsidRPr="00772AC6">
        <w:rPr>
          <w:rFonts w:ascii="Book Antiqua" w:hAnsi="Book Antiqua" w:cs="Arial"/>
          <w:sz w:val="24"/>
          <w:szCs w:val="24"/>
        </w:rPr>
        <w:t>severe</w:t>
      </w:r>
      <w:r w:rsidRPr="00772AC6">
        <w:rPr>
          <w:rFonts w:ascii="Book Antiqua" w:hAnsi="Book Antiqua" w:cs="Arial"/>
          <w:sz w:val="24"/>
          <w:szCs w:val="24"/>
        </w:rPr>
        <w:t xml:space="preserve"> fibrosis </w:t>
      </w:r>
      <w:r w:rsidR="00B37C4B" w:rsidRPr="00772AC6">
        <w:rPr>
          <w:rFonts w:ascii="Book Antiqua" w:hAnsi="Book Antiqua" w:cs="Arial"/>
          <w:sz w:val="24"/>
          <w:szCs w:val="24"/>
        </w:rPr>
        <w:t>(</w:t>
      </w:r>
      <w:r w:rsidR="00E20C21" w:rsidRPr="00772AC6">
        <w:rPr>
          <w:rFonts w:ascii="Book Antiqua" w:eastAsia="SimSun" w:hAnsi="Book Antiqua" w:cs="SimSun"/>
          <w:sz w:val="24"/>
          <w:szCs w:val="24"/>
        </w:rPr>
        <w:t xml:space="preserve">≥ </w:t>
      </w:r>
      <w:r w:rsidR="00B37C4B" w:rsidRPr="00772AC6">
        <w:rPr>
          <w:rFonts w:ascii="Book Antiqua" w:hAnsi="Book Antiqua" w:cs="Arial"/>
          <w:sz w:val="24"/>
          <w:szCs w:val="24"/>
        </w:rPr>
        <w:t xml:space="preserve">F3) </w:t>
      </w:r>
      <w:r w:rsidRPr="00772AC6">
        <w:rPr>
          <w:rFonts w:ascii="Book Antiqua" w:hAnsi="Book Antiqua" w:cs="Arial"/>
          <w:sz w:val="24"/>
          <w:szCs w:val="24"/>
        </w:rPr>
        <w:t xml:space="preserve">compared to conventional fibrosis indicators (HA, 4C7S, APRI, and FIB-4). </w:t>
      </w:r>
      <w:bookmarkStart w:id="35" w:name="_Hlk505755714"/>
      <w:r w:rsidRPr="00772AC6">
        <w:rPr>
          <w:rFonts w:ascii="Book Antiqua" w:hAnsi="Book Antiqua" w:cs="Arial"/>
          <w:sz w:val="24"/>
          <w:szCs w:val="24"/>
        </w:rPr>
        <w:t>AUC values and sensitivity of ATX was inferior to those other indicators</w:t>
      </w:r>
      <w:r w:rsidRPr="00772AC6">
        <w:rPr>
          <w:rFonts w:ascii="Book Antiqua" w:hAnsi="Book Antiqua" w:cs="Arial"/>
          <w:sz w:val="24"/>
          <w:szCs w:val="24"/>
          <w:vertAlign w:val="superscript"/>
        </w:rPr>
        <w:t>[41]</w:t>
      </w:r>
      <w:r w:rsidRPr="00772AC6">
        <w:rPr>
          <w:rFonts w:ascii="Book Antiqua" w:hAnsi="Book Antiqua" w:cs="Arial"/>
          <w:sz w:val="24"/>
          <w:szCs w:val="24"/>
        </w:rPr>
        <w:t xml:space="preserve">, but specificity of ATX was highest among those other indicators. So ATX </w:t>
      </w:r>
      <w:r w:rsidR="00F01543" w:rsidRPr="00772AC6">
        <w:rPr>
          <w:rFonts w:ascii="Book Antiqua" w:hAnsi="Book Antiqua" w:cs="Arial"/>
          <w:sz w:val="24"/>
          <w:szCs w:val="24"/>
        </w:rPr>
        <w:t>might</w:t>
      </w:r>
      <w:r w:rsidRPr="00772AC6">
        <w:rPr>
          <w:rFonts w:ascii="Book Antiqua" w:hAnsi="Book Antiqua" w:cs="Arial"/>
          <w:sz w:val="24"/>
          <w:szCs w:val="24"/>
        </w:rPr>
        <w:t xml:space="preserve"> </w:t>
      </w:r>
      <w:r w:rsidR="004F7874" w:rsidRPr="00772AC6">
        <w:rPr>
          <w:rFonts w:ascii="Book Antiqua" w:hAnsi="Book Antiqua" w:cs="Arial"/>
          <w:sz w:val="24"/>
          <w:szCs w:val="24"/>
        </w:rPr>
        <w:t xml:space="preserve">be </w:t>
      </w:r>
      <w:r w:rsidRPr="00772AC6">
        <w:rPr>
          <w:rFonts w:ascii="Book Antiqua" w:hAnsi="Book Antiqua" w:cs="Arial"/>
          <w:sz w:val="24"/>
          <w:szCs w:val="24"/>
        </w:rPr>
        <w:t xml:space="preserve">useful as a biomarker </w:t>
      </w:r>
      <w:r w:rsidR="008A06B2" w:rsidRPr="00772AC6">
        <w:rPr>
          <w:rFonts w:ascii="Book Antiqua" w:hAnsi="Book Antiqua" w:cs="Arial"/>
          <w:sz w:val="24"/>
          <w:szCs w:val="24"/>
        </w:rPr>
        <w:t xml:space="preserve">to exclude severe </w:t>
      </w:r>
      <w:r w:rsidR="00F01543" w:rsidRPr="00772AC6">
        <w:rPr>
          <w:rFonts w:ascii="Book Antiqua" w:hAnsi="Book Antiqua" w:cs="Arial"/>
          <w:sz w:val="24"/>
          <w:szCs w:val="24"/>
        </w:rPr>
        <w:t xml:space="preserve">hepatic </w:t>
      </w:r>
      <w:r w:rsidRPr="00772AC6">
        <w:rPr>
          <w:rFonts w:ascii="Book Antiqua" w:hAnsi="Book Antiqua" w:cs="Arial"/>
          <w:sz w:val="24"/>
          <w:szCs w:val="24"/>
        </w:rPr>
        <w:t>fibrosis.</w:t>
      </w:r>
    </w:p>
    <w:bookmarkEnd w:id="35"/>
    <w:p w:rsidR="00DF7350" w:rsidRPr="00772AC6" w:rsidRDefault="004E40F8" w:rsidP="001278E6">
      <w:pPr>
        <w:adjustRightInd w:val="0"/>
        <w:snapToGrid w:val="0"/>
        <w:spacing w:line="360" w:lineRule="auto"/>
        <w:ind w:firstLineChars="100" w:firstLine="240"/>
        <w:rPr>
          <w:rFonts w:ascii="Book Antiqua" w:hAnsi="Book Antiqua" w:cs="Arial"/>
          <w:sz w:val="24"/>
          <w:szCs w:val="24"/>
        </w:rPr>
      </w:pPr>
      <w:r w:rsidRPr="00772AC6">
        <w:rPr>
          <w:rFonts w:ascii="Book Antiqua" w:hAnsi="Book Antiqua" w:cs="Arial"/>
          <w:sz w:val="24"/>
          <w:szCs w:val="24"/>
        </w:rPr>
        <w:t xml:space="preserve">Serum ATX levels were </w:t>
      </w:r>
      <w:r w:rsidR="00FD5D2B" w:rsidRPr="00772AC6">
        <w:rPr>
          <w:rFonts w:ascii="Book Antiqua" w:hAnsi="Book Antiqua" w:cs="Arial"/>
          <w:sz w:val="24"/>
          <w:szCs w:val="24"/>
        </w:rPr>
        <w:t xml:space="preserve">significantly </w:t>
      </w:r>
      <w:r w:rsidRPr="00772AC6">
        <w:rPr>
          <w:rFonts w:ascii="Book Antiqua" w:hAnsi="Book Antiqua" w:cs="Arial"/>
          <w:sz w:val="24"/>
          <w:szCs w:val="24"/>
        </w:rPr>
        <w:t>associated with hepatocyte ballooning</w:t>
      </w:r>
      <w:r w:rsidR="00FD5D2B" w:rsidRPr="00772AC6">
        <w:rPr>
          <w:rFonts w:ascii="Book Antiqua" w:hAnsi="Book Antiqua" w:cs="Arial"/>
          <w:sz w:val="24"/>
          <w:szCs w:val="24"/>
        </w:rPr>
        <w:t xml:space="preserve"> in our </w:t>
      </w:r>
      <w:r w:rsidR="00EB3884" w:rsidRPr="00772AC6">
        <w:rPr>
          <w:rFonts w:ascii="Book Antiqua" w:hAnsi="Book Antiqua" w:cs="Arial"/>
          <w:sz w:val="24"/>
          <w:szCs w:val="24"/>
        </w:rPr>
        <w:t xml:space="preserve">cohort, </w:t>
      </w:r>
      <w:r w:rsidR="00FD5D2B" w:rsidRPr="00772AC6">
        <w:rPr>
          <w:rFonts w:ascii="Book Antiqua" w:hAnsi="Book Antiqua" w:cs="Arial"/>
          <w:sz w:val="24"/>
          <w:szCs w:val="24"/>
        </w:rPr>
        <w:t xml:space="preserve">and a </w:t>
      </w:r>
      <w:r w:rsidR="00632EA0" w:rsidRPr="00772AC6">
        <w:rPr>
          <w:rFonts w:ascii="Book Antiqua" w:hAnsi="Book Antiqua" w:cs="Arial"/>
          <w:sz w:val="24"/>
          <w:szCs w:val="24"/>
        </w:rPr>
        <w:t xml:space="preserve">correlation </w:t>
      </w:r>
      <w:r w:rsidR="00EB3884" w:rsidRPr="00772AC6">
        <w:rPr>
          <w:rFonts w:ascii="Book Antiqua" w:hAnsi="Book Antiqua" w:cs="Arial"/>
          <w:sz w:val="24"/>
          <w:szCs w:val="24"/>
        </w:rPr>
        <w:t xml:space="preserve">was detected </w:t>
      </w:r>
      <w:r w:rsidR="00632EA0" w:rsidRPr="00772AC6">
        <w:rPr>
          <w:rFonts w:ascii="Book Antiqua" w:hAnsi="Book Antiqua" w:cs="Arial"/>
          <w:sz w:val="24"/>
          <w:szCs w:val="24"/>
        </w:rPr>
        <w:t>between fibrosis stage and ballooning grade (</w:t>
      </w:r>
      <w:r w:rsidR="00E20C21" w:rsidRPr="00772AC6">
        <w:rPr>
          <w:rFonts w:ascii="Book Antiqua" w:hAnsi="Book Antiqua" w:cs="Arial"/>
          <w:i/>
          <w:sz w:val="24"/>
          <w:szCs w:val="24"/>
        </w:rPr>
        <w:t xml:space="preserve">r = </w:t>
      </w:r>
      <w:r w:rsidR="00632EA0" w:rsidRPr="00772AC6">
        <w:rPr>
          <w:rFonts w:ascii="Book Antiqua" w:hAnsi="Book Antiqua" w:cs="Arial"/>
          <w:sz w:val="24"/>
          <w:szCs w:val="24"/>
        </w:rPr>
        <w:t xml:space="preserve">0.56, </w:t>
      </w:r>
      <w:r w:rsidR="00E20C21" w:rsidRPr="00772AC6">
        <w:rPr>
          <w:rFonts w:ascii="Book Antiqua" w:hAnsi="Book Antiqua" w:cs="Arial"/>
          <w:i/>
          <w:sz w:val="24"/>
          <w:szCs w:val="24"/>
        </w:rPr>
        <w:t xml:space="preserve">P </w:t>
      </w:r>
      <w:r w:rsidR="00DC1BFE"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00632EA0" w:rsidRPr="00772AC6">
        <w:rPr>
          <w:rFonts w:ascii="Book Antiqua" w:hAnsi="Book Antiqua" w:cs="Arial"/>
          <w:sz w:val="24"/>
          <w:szCs w:val="24"/>
        </w:rPr>
        <w:t>0.001)</w:t>
      </w:r>
      <w:r w:rsidR="00EB3884" w:rsidRPr="00772AC6">
        <w:rPr>
          <w:rFonts w:ascii="Book Antiqua" w:hAnsi="Book Antiqua" w:cs="Arial"/>
          <w:sz w:val="24"/>
          <w:szCs w:val="24"/>
        </w:rPr>
        <w:t xml:space="preserve">. </w:t>
      </w:r>
      <w:r w:rsidR="00772661" w:rsidRPr="00772AC6">
        <w:rPr>
          <w:rFonts w:ascii="Book Antiqua" w:hAnsi="Book Antiqua" w:cs="Arial"/>
          <w:sz w:val="24"/>
          <w:szCs w:val="24"/>
        </w:rPr>
        <w:t xml:space="preserve">Ballooning degeneration is caused by </w:t>
      </w:r>
      <w:r w:rsidR="00FD5D2B" w:rsidRPr="00772AC6">
        <w:rPr>
          <w:rFonts w:ascii="Book Antiqua" w:hAnsi="Book Antiqua" w:cs="Arial"/>
          <w:sz w:val="24"/>
          <w:szCs w:val="24"/>
        </w:rPr>
        <w:t xml:space="preserve">an </w:t>
      </w:r>
      <w:r w:rsidR="00772661" w:rsidRPr="00772AC6">
        <w:rPr>
          <w:rFonts w:ascii="Book Antiqua" w:hAnsi="Book Antiqua" w:cs="Arial"/>
          <w:sz w:val="24"/>
          <w:szCs w:val="24"/>
        </w:rPr>
        <w:t xml:space="preserve">impaired intracellular cytoskeleton and resultant protein transport and appears after exposure </w:t>
      </w:r>
      <w:r w:rsidR="00FD5D2B" w:rsidRPr="00772AC6">
        <w:rPr>
          <w:rFonts w:ascii="Book Antiqua" w:hAnsi="Book Antiqua" w:cs="Arial"/>
          <w:sz w:val="24"/>
          <w:szCs w:val="24"/>
        </w:rPr>
        <w:t xml:space="preserve">to </w:t>
      </w:r>
      <w:r w:rsidR="00772661" w:rsidRPr="00772AC6">
        <w:rPr>
          <w:rFonts w:ascii="Book Antiqua" w:hAnsi="Book Antiqua" w:cs="Arial"/>
          <w:sz w:val="24"/>
          <w:szCs w:val="24"/>
        </w:rPr>
        <w:t>oxidative and endoplasmic reticulum stress</w:t>
      </w:r>
      <w:r w:rsidR="00FD5D2B" w:rsidRPr="00772AC6">
        <w:rPr>
          <w:rFonts w:ascii="Book Antiqua" w:hAnsi="Book Antiqua" w:cs="Arial"/>
          <w:sz w:val="24"/>
          <w:szCs w:val="24"/>
        </w:rPr>
        <w:t>es</w:t>
      </w:r>
      <w:r w:rsidR="000921EA" w:rsidRPr="00772AC6">
        <w:rPr>
          <w:rFonts w:ascii="Book Antiqua" w:hAnsi="Book Antiqua" w:cs="Arial"/>
          <w:sz w:val="24"/>
          <w:szCs w:val="24"/>
        </w:rPr>
        <w:t xml:space="preserve"> and during lipoapoptotic process</w:t>
      </w:r>
      <w:r w:rsidR="00FD5D2B" w:rsidRPr="00772AC6">
        <w:rPr>
          <w:rFonts w:ascii="Book Antiqua" w:hAnsi="Book Antiqua" w:cs="Arial"/>
          <w:sz w:val="24"/>
          <w:szCs w:val="24"/>
        </w:rPr>
        <w:t>es</w:t>
      </w:r>
      <w:r w:rsidR="006676D0" w:rsidRPr="00772AC6">
        <w:rPr>
          <w:rFonts w:ascii="Book Antiqua" w:hAnsi="Book Antiqua" w:cs="Arial"/>
          <w:sz w:val="24"/>
          <w:szCs w:val="24"/>
          <w:vertAlign w:val="superscript"/>
        </w:rPr>
        <w:t>[4</w:t>
      </w:r>
      <w:r w:rsidR="004A45C0" w:rsidRPr="00772AC6">
        <w:rPr>
          <w:rFonts w:ascii="Book Antiqua" w:hAnsi="Book Antiqua" w:cs="Arial"/>
          <w:sz w:val="24"/>
          <w:szCs w:val="24"/>
          <w:vertAlign w:val="superscript"/>
        </w:rPr>
        <w:t>5</w:t>
      </w:r>
      <w:r w:rsidR="00DD7BB7" w:rsidRPr="00772AC6">
        <w:rPr>
          <w:rFonts w:ascii="Book Antiqua" w:hAnsi="Book Antiqua" w:cs="Arial"/>
          <w:sz w:val="24"/>
          <w:szCs w:val="24"/>
          <w:vertAlign w:val="superscript"/>
        </w:rPr>
        <w:t>]</w:t>
      </w:r>
      <w:r w:rsidR="006A5CA2" w:rsidRPr="00772AC6">
        <w:rPr>
          <w:rFonts w:ascii="Book Antiqua" w:hAnsi="Book Antiqua" w:cs="Arial"/>
          <w:sz w:val="24"/>
          <w:szCs w:val="24"/>
        </w:rPr>
        <w:t>.</w:t>
      </w:r>
      <w:r w:rsidR="005019AB" w:rsidRPr="00772AC6">
        <w:rPr>
          <w:rFonts w:ascii="Book Antiqua" w:hAnsi="Book Antiqua" w:cs="Arial"/>
          <w:sz w:val="24"/>
          <w:szCs w:val="24"/>
        </w:rPr>
        <w:t xml:space="preserve"> </w:t>
      </w:r>
      <w:r w:rsidR="000B04F7" w:rsidRPr="00772AC6">
        <w:rPr>
          <w:rFonts w:ascii="Book Antiqua" w:hAnsi="Book Antiqua" w:cs="Arial"/>
          <w:sz w:val="24"/>
          <w:szCs w:val="24"/>
        </w:rPr>
        <w:t xml:space="preserve">ATX expression </w:t>
      </w:r>
      <w:r w:rsidR="00FD5D2B" w:rsidRPr="00772AC6">
        <w:rPr>
          <w:rFonts w:ascii="Book Antiqua" w:hAnsi="Book Antiqua" w:cs="Arial"/>
          <w:sz w:val="24"/>
          <w:szCs w:val="24"/>
        </w:rPr>
        <w:t xml:space="preserve">was </w:t>
      </w:r>
      <w:r w:rsidR="000A0086" w:rsidRPr="00772AC6">
        <w:rPr>
          <w:rFonts w:ascii="Book Antiqua" w:hAnsi="Book Antiqua" w:cs="Arial"/>
          <w:sz w:val="24"/>
          <w:szCs w:val="24"/>
        </w:rPr>
        <w:t xml:space="preserve">up-regulated </w:t>
      </w:r>
      <w:r w:rsidR="00CF4D3B" w:rsidRPr="00772AC6">
        <w:rPr>
          <w:rFonts w:ascii="Book Antiqua" w:hAnsi="Book Antiqua" w:cs="Arial"/>
          <w:sz w:val="24"/>
          <w:szCs w:val="24"/>
        </w:rPr>
        <w:t xml:space="preserve">by </w:t>
      </w:r>
      <w:r w:rsidR="000B04F7" w:rsidRPr="00772AC6">
        <w:rPr>
          <w:rFonts w:ascii="Book Antiqua" w:hAnsi="Book Antiqua" w:cs="Arial"/>
          <w:sz w:val="24"/>
          <w:szCs w:val="24"/>
        </w:rPr>
        <w:t>oxidative stress</w:t>
      </w:r>
      <w:r w:rsidR="00F81B9A" w:rsidRPr="00772AC6">
        <w:rPr>
          <w:rFonts w:ascii="Book Antiqua" w:hAnsi="Book Antiqua" w:cs="Arial"/>
          <w:sz w:val="24"/>
          <w:szCs w:val="24"/>
        </w:rPr>
        <w:t xml:space="preserve"> in microglia</w:t>
      </w:r>
      <w:r w:rsidR="00DD7BB7" w:rsidRPr="00772AC6">
        <w:rPr>
          <w:rFonts w:ascii="Book Antiqua" w:hAnsi="Book Antiqua" w:cs="Arial"/>
          <w:sz w:val="24"/>
          <w:szCs w:val="24"/>
          <w:vertAlign w:val="superscript"/>
        </w:rPr>
        <w:t>[</w:t>
      </w:r>
      <w:r w:rsidR="006676D0" w:rsidRPr="00772AC6">
        <w:rPr>
          <w:rFonts w:ascii="Book Antiqua" w:hAnsi="Book Antiqua" w:cs="Arial"/>
          <w:sz w:val="24"/>
          <w:szCs w:val="24"/>
          <w:vertAlign w:val="superscript"/>
        </w:rPr>
        <w:t>4</w:t>
      </w:r>
      <w:r w:rsidR="004A45C0" w:rsidRPr="00772AC6">
        <w:rPr>
          <w:rFonts w:ascii="Book Antiqua" w:hAnsi="Book Antiqua" w:cs="Arial"/>
          <w:sz w:val="24"/>
          <w:szCs w:val="24"/>
          <w:vertAlign w:val="superscript"/>
        </w:rPr>
        <w:t>6</w:t>
      </w:r>
      <w:r w:rsidR="00DD7BB7" w:rsidRPr="00772AC6">
        <w:rPr>
          <w:rFonts w:ascii="Book Antiqua" w:hAnsi="Book Antiqua" w:cs="Arial"/>
          <w:sz w:val="24"/>
          <w:szCs w:val="24"/>
          <w:vertAlign w:val="superscript"/>
        </w:rPr>
        <w:t>]</w:t>
      </w:r>
      <w:r w:rsidR="00F81B9A" w:rsidRPr="00772AC6">
        <w:rPr>
          <w:rFonts w:ascii="Book Antiqua" w:hAnsi="Book Antiqua" w:cs="Arial"/>
          <w:sz w:val="24"/>
          <w:szCs w:val="24"/>
          <w:vertAlign w:val="superscript"/>
        </w:rPr>
        <w:t xml:space="preserve"> </w:t>
      </w:r>
      <w:r w:rsidR="00F81B9A" w:rsidRPr="00772AC6">
        <w:rPr>
          <w:rFonts w:ascii="Book Antiqua" w:hAnsi="Book Antiqua" w:cs="Arial"/>
          <w:sz w:val="24"/>
          <w:szCs w:val="24"/>
        </w:rPr>
        <w:t>and by LPC (18:1), an inducer of lipoapoptosis</w:t>
      </w:r>
      <w:r w:rsidR="00DD7BB7" w:rsidRPr="00772AC6">
        <w:rPr>
          <w:rFonts w:ascii="Book Antiqua" w:hAnsi="Book Antiqua" w:cs="Arial"/>
          <w:sz w:val="24"/>
          <w:szCs w:val="24"/>
          <w:vertAlign w:val="superscript"/>
        </w:rPr>
        <w:t>[</w:t>
      </w:r>
      <w:r w:rsidR="00F81B9A" w:rsidRPr="00772AC6">
        <w:rPr>
          <w:rFonts w:ascii="Book Antiqua" w:hAnsi="Book Antiqua" w:cs="Arial"/>
          <w:sz w:val="24"/>
          <w:szCs w:val="24"/>
          <w:vertAlign w:val="superscript"/>
        </w:rPr>
        <w:t>4</w:t>
      </w:r>
      <w:r w:rsidR="004A45C0" w:rsidRPr="00772AC6">
        <w:rPr>
          <w:rFonts w:ascii="Book Antiqua" w:hAnsi="Book Antiqua" w:cs="Arial"/>
          <w:sz w:val="24"/>
          <w:szCs w:val="24"/>
          <w:vertAlign w:val="superscript"/>
        </w:rPr>
        <w:t>7</w:t>
      </w:r>
      <w:r w:rsidR="00DD7BB7" w:rsidRPr="00772AC6">
        <w:rPr>
          <w:rFonts w:ascii="Book Antiqua" w:hAnsi="Book Antiqua" w:cs="Arial"/>
          <w:sz w:val="24"/>
          <w:szCs w:val="24"/>
          <w:vertAlign w:val="superscript"/>
        </w:rPr>
        <w:t>]</w:t>
      </w:r>
      <w:r w:rsidR="00F81B9A" w:rsidRPr="00772AC6">
        <w:rPr>
          <w:rFonts w:ascii="Book Antiqua" w:hAnsi="Book Antiqua" w:cs="Arial"/>
          <w:sz w:val="24"/>
          <w:szCs w:val="24"/>
        </w:rPr>
        <w:t xml:space="preserve">, in </w:t>
      </w:r>
      <w:r w:rsidR="00F81B9A" w:rsidRPr="00772AC6">
        <w:rPr>
          <w:rFonts w:ascii="Book Antiqua" w:hAnsi="Book Antiqua" w:cs="Arial"/>
          <w:sz w:val="24"/>
          <w:szCs w:val="24"/>
        </w:rPr>
        <w:lastRenderedPageBreak/>
        <w:t>isolated hepatocytes</w:t>
      </w:r>
      <w:r w:rsidR="006676D0" w:rsidRPr="00772AC6">
        <w:rPr>
          <w:rFonts w:ascii="Book Antiqua" w:hAnsi="Book Antiqua" w:cs="Arial"/>
          <w:sz w:val="24"/>
          <w:szCs w:val="24"/>
          <w:vertAlign w:val="superscript"/>
        </w:rPr>
        <w:t>[</w:t>
      </w:r>
      <w:r w:rsidR="004A45C0" w:rsidRPr="00772AC6">
        <w:rPr>
          <w:rFonts w:ascii="Book Antiqua" w:hAnsi="Book Antiqua" w:cs="Arial"/>
          <w:sz w:val="24"/>
          <w:szCs w:val="24"/>
          <w:vertAlign w:val="superscript"/>
        </w:rPr>
        <w:t>42</w:t>
      </w:r>
      <w:r w:rsidR="00DD7BB7" w:rsidRPr="00772AC6">
        <w:rPr>
          <w:rFonts w:ascii="Book Antiqua" w:hAnsi="Book Antiqua" w:cs="Arial"/>
          <w:sz w:val="24"/>
          <w:szCs w:val="24"/>
          <w:vertAlign w:val="superscript"/>
        </w:rPr>
        <w:t>]</w:t>
      </w:r>
      <w:r w:rsidR="00625BE8" w:rsidRPr="00772AC6">
        <w:rPr>
          <w:rFonts w:ascii="Book Antiqua" w:hAnsi="Book Antiqua" w:cs="Arial"/>
          <w:sz w:val="24"/>
          <w:szCs w:val="24"/>
        </w:rPr>
        <w:t xml:space="preserve">. Additionally, intravenous injection of LPC (18:1) </w:t>
      </w:r>
      <w:r w:rsidR="00FD5D2B" w:rsidRPr="00772AC6">
        <w:rPr>
          <w:rFonts w:ascii="Book Antiqua" w:hAnsi="Book Antiqua" w:cs="Arial"/>
          <w:sz w:val="24"/>
          <w:szCs w:val="24"/>
        </w:rPr>
        <w:t>in</w:t>
      </w:r>
      <w:r w:rsidR="00625BE8" w:rsidRPr="00772AC6">
        <w:rPr>
          <w:rFonts w:ascii="Book Antiqua" w:hAnsi="Book Antiqua" w:cs="Arial"/>
          <w:sz w:val="24"/>
          <w:szCs w:val="24"/>
        </w:rPr>
        <w:t xml:space="preserve">to </w:t>
      </w:r>
      <w:r w:rsidR="002B3709" w:rsidRPr="00772AC6">
        <w:rPr>
          <w:rFonts w:ascii="Book Antiqua" w:hAnsi="Book Antiqua" w:cs="Arial"/>
          <w:sz w:val="24"/>
          <w:szCs w:val="24"/>
        </w:rPr>
        <w:t>mice</w:t>
      </w:r>
      <w:r w:rsidR="00625BE8" w:rsidRPr="00772AC6">
        <w:rPr>
          <w:rFonts w:ascii="Book Antiqua" w:hAnsi="Book Antiqua" w:cs="Arial"/>
          <w:sz w:val="24"/>
          <w:szCs w:val="24"/>
        </w:rPr>
        <w:t xml:space="preserve"> increased hepatic </w:t>
      </w:r>
      <w:r w:rsidR="002B3709" w:rsidRPr="00772AC6">
        <w:rPr>
          <w:rFonts w:ascii="Book Antiqua" w:hAnsi="Book Antiqua" w:cs="Arial"/>
          <w:i/>
          <w:sz w:val="24"/>
          <w:szCs w:val="24"/>
        </w:rPr>
        <w:t xml:space="preserve">Enpp2 </w:t>
      </w:r>
      <w:r w:rsidR="00625BE8" w:rsidRPr="00772AC6">
        <w:rPr>
          <w:rFonts w:ascii="Book Antiqua" w:hAnsi="Book Antiqua" w:cs="Arial"/>
          <w:sz w:val="24"/>
          <w:szCs w:val="24"/>
        </w:rPr>
        <w:t>mRNA expression and hepatocyte apoptosis</w:t>
      </w:r>
      <w:r w:rsidR="006676D0" w:rsidRPr="00772AC6">
        <w:rPr>
          <w:rFonts w:ascii="Book Antiqua" w:hAnsi="Book Antiqua" w:cs="Arial"/>
          <w:sz w:val="24"/>
          <w:szCs w:val="24"/>
          <w:vertAlign w:val="superscript"/>
        </w:rPr>
        <w:t>[40</w:t>
      </w:r>
      <w:r w:rsidR="00DD7BB7" w:rsidRPr="00772AC6">
        <w:rPr>
          <w:rFonts w:ascii="Book Antiqua" w:hAnsi="Book Antiqua" w:cs="Arial"/>
          <w:sz w:val="24"/>
          <w:szCs w:val="24"/>
          <w:vertAlign w:val="superscript"/>
        </w:rPr>
        <w:t>]</w:t>
      </w:r>
      <w:r w:rsidR="00625BE8" w:rsidRPr="00772AC6">
        <w:rPr>
          <w:rFonts w:ascii="Book Antiqua" w:hAnsi="Book Antiqua" w:cs="Arial"/>
          <w:sz w:val="24"/>
          <w:szCs w:val="24"/>
        </w:rPr>
        <w:t xml:space="preserve">. </w:t>
      </w:r>
      <w:r w:rsidR="00FD5D2B" w:rsidRPr="00772AC6">
        <w:rPr>
          <w:rFonts w:ascii="Book Antiqua" w:hAnsi="Book Antiqua" w:cs="Arial"/>
          <w:sz w:val="24"/>
          <w:szCs w:val="24"/>
        </w:rPr>
        <w:t>T</w:t>
      </w:r>
      <w:r w:rsidR="00625BE8" w:rsidRPr="00772AC6">
        <w:rPr>
          <w:rFonts w:ascii="Book Antiqua" w:hAnsi="Book Antiqua" w:cs="Arial"/>
          <w:sz w:val="24"/>
          <w:szCs w:val="24"/>
        </w:rPr>
        <w:t xml:space="preserve">hese findings may </w:t>
      </w:r>
      <w:r w:rsidR="00FD5D2B" w:rsidRPr="00772AC6">
        <w:rPr>
          <w:rFonts w:ascii="Book Antiqua" w:hAnsi="Book Antiqua" w:cs="Arial"/>
          <w:sz w:val="24"/>
          <w:szCs w:val="24"/>
        </w:rPr>
        <w:t xml:space="preserve">explain how </w:t>
      </w:r>
      <w:r w:rsidR="00625BE8" w:rsidRPr="00772AC6">
        <w:rPr>
          <w:rFonts w:ascii="Book Antiqua" w:hAnsi="Book Antiqua" w:cs="Arial"/>
          <w:sz w:val="24"/>
          <w:szCs w:val="24"/>
        </w:rPr>
        <w:t xml:space="preserve">circulating ATX concentrations are positively correlated with the </w:t>
      </w:r>
      <w:r w:rsidR="00615A0B" w:rsidRPr="00772AC6">
        <w:rPr>
          <w:rFonts w:ascii="Book Antiqua" w:hAnsi="Book Antiqua" w:cs="Arial"/>
          <w:sz w:val="24"/>
          <w:szCs w:val="24"/>
        </w:rPr>
        <w:t>prevalence of hepatocytes with balloon</w:t>
      </w:r>
      <w:r w:rsidR="00FD5D2B" w:rsidRPr="00772AC6">
        <w:rPr>
          <w:rFonts w:ascii="Book Antiqua" w:hAnsi="Book Antiqua" w:cs="Arial"/>
          <w:sz w:val="24"/>
          <w:szCs w:val="24"/>
        </w:rPr>
        <w:t>ing</w:t>
      </w:r>
      <w:r w:rsidR="00615A0B" w:rsidRPr="00772AC6">
        <w:rPr>
          <w:rFonts w:ascii="Book Antiqua" w:hAnsi="Book Antiqua" w:cs="Arial"/>
          <w:sz w:val="24"/>
          <w:szCs w:val="24"/>
        </w:rPr>
        <w:t xml:space="preserve"> degeneration. </w:t>
      </w:r>
    </w:p>
    <w:p w:rsidR="00615A0B" w:rsidRPr="00772AC6" w:rsidRDefault="00060F1D" w:rsidP="001278E6">
      <w:pPr>
        <w:adjustRightInd w:val="0"/>
        <w:snapToGrid w:val="0"/>
        <w:spacing w:line="360" w:lineRule="auto"/>
        <w:ind w:firstLineChars="100" w:firstLine="240"/>
        <w:rPr>
          <w:rFonts w:ascii="Book Antiqua" w:hAnsi="Book Antiqua" w:cs="Arial"/>
          <w:sz w:val="24"/>
          <w:szCs w:val="24"/>
        </w:rPr>
      </w:pPr>
      <w:r w:rsidRPr="00772AC6">
        <w:rPr>
          <w:rFonts w:ascii="Book Antiqua" w:hAnsi="Book Antiqua" w:cs="Arial"/>
          <w:sz w:val="24"/>
          <w:szCs w:val="24"/>
        </w:rPr>
        <w:t xml:space="preserve">In this study, we examined </w:t>
      </w:r>
      <w:bookmarkStart w:id="36" w:name="_Hlk505756064"/>
      <w:r w:rsidRPr="00772AC6">
        <w:rPr>
          <w:rFonts w:ascii="Book Antiqua" w:hAnsi="Book Antiqua" w:cs="Arial"/>
          <w:sz w:val="24"/>
          <w:szCs w:val="24"/>
        </w:rPr>
        <w:t>the relationship between NAFLD activity score as the severity of NAFLD/NASH</w:t>
      </w:r>
      <w:r w:rsidR="00EC1897" w:rsidRPr="00772AC6">
        <w:rPr>
          <w:rFonts w:ascii="Book Antiqua" w:hAnsi="Book Antiqua" w:cs="Arial"/>
          <w:sz w:val="24"/>
          <w:szCs w:val="24"/>
        </w:rPr>
        <w:t xml:space="preserve"> and ATX</w:t>
      </w:r>
      <w:bookmarkEnd w:id="36"/>
      <w:r w:rsidR="00EC1897" w:rsidRPr="00772AC6">
        <w:rPr>
          <w:rFonts w:ascii="Book Antiqua" w:hAnsi="Book Antiqua" w:cs="Arial"/>
          <w:sz w:val="24"/>
          <w:szCs w:val="24"/>
        </w:rPr>
        <w:t>,</w:t>
      </w:r>
      <w:r w:rsidRPr="00772AC6">
        <w:rPr>
          <w:rFonts w:ascii="Book Antiqua" w:hAnsi="Book Antiqua" w:cs="Arial"/>
          <w:sz w:val="24"/>
          <w:szCs w:val="24"/>
        </w:rPr>
        <w:t xml:space="preserve"> the correlation coefficient was significant but not high (</w:t>
      </w:r>
      <w:r w:rsidR="00E20C21" w:rsidRPr="00772AC6">
        <w:rPr>
          <w:rFonts w:ascii="Book Antiqua" w:hAnsi="Book Antiqua" w:cs="Arial"/>
          <w:i/>
          <w:sz w:val="24"/>
          <w:szCs w:val="24"/>
        </w:rPr>
        <w:t xml:space="preserve">r = </w:t>
      </w:r>
      <w:r w:rsidR="00EC1897" w:rsidRPr="00772AC6">
        <w:rPr>
          <w:rFonts w:ascii="Book Antiqua" w:hAnsi="Book Antiqua" w:cs="Arial"/>
          <w:sz w:val="24"/>
          <w:szCs w:val="24"/>
        </w:rPr>
        <w:t>0.27</w:t>
      </w:r>
      <w:r w:rsidRPr="00772AC6">
        <w:rPr>
          <w:rFonts w:ascii="Book Antiqua" w:hAnsi="Book Antiqua" w:cs="Arial"/>
          <w:sz w:val="24"/>
          <w:szCs w:val="24"/>
        </w:rPr>
        <w:t xml:space="preserve">, </w:t>
      </w:r>
      <w:r w:rsidR="00E20C21" w:rsidRPr="00772AC6">
        <w:rPr>
          <w:rFonts w:ascii="Book Antiqua" w:hAnsi="Book Antiqua" w:cs="Arial"/>
          <w:i/>
          <w:sz w:val="24"/>
          <w:szCs w:val="24"/>
        </w:rPr>
        <w:t xml:space="preserve">P </w:t>
      </w:r>
      <w:r w:rsidR="001278E6"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Pr="00772AC6">
        <w:rPr>
          <w:rFonts w:ascii="Book Antiqua" w:hAnsi="Book Antiqua" w:cs="Arial"/>
          <w:sz w:val="24"/>
          <w:szCs w:val="24"/>
        </w:rPr>
        <w:t xml:space="preserve">0.001, Table 2). </w:t>
      </w:r>
      <w:r w:rsidR="00DF7350" w:rsidRPr="00772AC6">
        <w:rPr>
          <w:rFonts w:ascii="Book Antiqua" w:hAnsi="Book Antiqua" w:cs="Arial"/>
          <w:sz w:val="24"/>
          <w:szCs w:val="24"/>
        </w:rPr>
        <w:t xml:space="preserve">It seems difficult to </w:t>
      </w:r>
      <w:r w:rsidR="00061354" w:rsidRPr="00772AC6">
        <w:rPr>
          <w:rFonts w:ascii="Book Antiqua" w:hAnsi="Book Antiqua" w:cs="Arial"/>
          <w:sz w:val="24"/>
          <w:szCs w:val="24"/>
        </w:rPr>
        <w:t>predict</w:t>
      </w:r>
      <w:r w:rsidR="00DF7350" w:rsidRPr="00772AC6">
        <w:rPr>
          <w:rFonts w:ascii="Book Antiqua" w:hAnsi="Book Antiqua" w:cs="Arial"/>
          <w:sz w:val="24"/>
          <w:szCs w:val="24"/>
        </w:rPr>
        <w:t xml:space="preserve"> the </w:t>
      </w:r>
      <w:r w:rsidR="00227F96" w:rsidRPr="00772AC6">
        <w:rPr>
          <w:rFonts w:ascii="Book Antiqua" w:hAnsi="Book Antiqua" w:cs="Arial"/>
          <w:sz w:val="24"/>
          <w:szCs w:val="24"/>
        </w:rPr>
        <w:t xml:space="preserve">histological </w:t>
      </w:r>
      <w:r w:rsidR="00DF7350" w:rsidRPr="00772AC6">
        <w:rPr>
          <w:rFonts w:ascii="Book Antiqua" w:hAnsi="Book Antiqua" w:cs="Arial"/>
          <w:sz w:val="24"/>
          <w:szCs w:val="24"/>
        </w:rPr>
        <w:t>severity of NAFLD with A</w:t>
      </w:r>
      <w:r w:rsidR="00B37C4B" w:rsidRPr="00772AC6">
        <w:rPr>
          <w:rFonts w:ascii="Book Antiqua" w:hAnsi="Book Antiqua" w:cs="Arial"/>
          <w:sz w:val="24"/>
          <w:szCs w:val="24"/>
        </w:rPr>
        <w:t>TX</w:t>
      </w:r>
      <w:r w:rsidR="00DF7350" w:rsidRPr="00772AC6">
        <w:rPr>
          <w:rFonts w:ascii="Book Antiqua" w:hAnsi="Book Antiqua" w:cs="Arial"/>
          <w:sz w:val="24"/>
          <w:szCs w:val="24"/>
        </w:rPr>
        <w:t xml:space="preserve"> alone.</w:t>
      </w:r>
      <w:r w:rsidR="0032434D" w:rsidRPr="00772AC6">
        <w:rPr>
          <w:rFonts w:ascii="Book Antiqua" w:hAnsi="Book Antiqua" w:cs="Arial"/>
          <w:sz w:val="24"/>
          <w:szCs w:val="24"/>
        </w:rPr>
        <w:t xml:space="preserve"> </w:t>
      </w:r>
    </w:p>
    <w:p w:rsidR="00665987" w:rsidRPr="00772AC6" w:rsidRDefault="00615A0B" w:rsidP="001278E6">
      <w:pPr>
        <w:adjustRightInd w:val="0"/>
        <w:snapToGrid w:val="0"/>
        <w:spacing w:line="360" w:lineRule="auto"/>
        <w:ind w:firstLineChars="100" w:firstLine="240"/>
        <w:rPr>
          <w:rFonts w:ascii="Book Antiqua" w:hAnsi="Book Antiqua" w:cs="Arial"/>
          <w:sz w:val="24"/>
          <w:szCs w:val="24"/>
        </w:rPr>
      </w:pPr>
      <w:r w:rsidRPr="00772AC6">
        <w:rPr>
          <w:rFonts w:ascii="Book Antiqua" w:hAnsi="Book Antiqua" w:cs="Arial"/>
          <w:sz w:val="24"/>
          <w:szCs w:val="24"/>
        </w:rPr>
        <w:t xml:space="preserve">In </w:t>
      </w:r>
      <w:r w:rsidR="006D4805" w:rsidRPr="00772AC6">
        <w:rPr>
          <w:rFonts w:ascii="Book Antiqua" w:hAnsi="Book Antiqua" w:cs="Arial"/>
          <w:sz w:val="24"/>
          <w:szCs w:val="24"/>
        </w:rPr>
        <w:t xml:space="preserve">conclusion, </w:t>
      </w:r>
      <w:r w:rsidR="00E26872" w:rsidRPr="00772AC6">
        <w:rPr>
          <w:rFonts w:ascii="Book Antiqua" w:hAnsi="Book Antiqua" w:cs="Arial"/>
          <w:sz w:val="24"/>
          <w:szCs w:val="24"/>
        </w:rPr>
        <w:t xml:space="preserve">serum ATX levels were significantly higher in NAFLD patients </w:t>
      </w:r>
      <w:r w:rsidR="00FD5D2B" w:rsidRPr="00772AC6">
        <w:rPr>
          <w:rFonts w:ascii="Book Antiqua" w:hAnsi="Book Antiqua" w:cs="Arial"/>
          <w:sz w:val="24"/>
          <w:szCs w:val="24"/>
        </w:rPr>
        <w:t xml:space="preserve">over </w:t>
      </w:r>
      <w:r w:rsidR="00E26872" w:rsidRPr="00772AC6">
        <w:rPr>
          <w:rFonts w:ascii="Book Antiqua" w:hAnsi="Book Antiqua" w:cs="Arial"/>
          <w:sz w:val="24"/>
          <w:szCs w:val="24"/>
        </w:rPr>
        <w:t>controls</w:t>
      </w:r>
      <w:r w:rsidR="00FD5D2B" w:rsidRPr="00772AC6">
        <w:rPr>
          <w:rFonts w:ascii="Book Antiqua" w:hAnsi="Book Antiqua" w:cs="Arial"/>
          <w:sz w:val="24"/>
          <w:szCs w:val="24"/>
        </w:rPr>
        <w:t xml:space="preserve"> and </w:t>
      </w:r>
      <w:r w:rsidR="00E26872" w:rsidRPr="00772AC6">
        <w:rPr>
          <w:rFonts w:ascii="Book Antiqua" w:hAnsi="Book Antiqua" w:cs="Arial"/>
          <w:sz w:val="24"/>
          <w:szCs w:val="24"/>
        </w:rPr>
        <w:t>correlated with ballooning score and fibrosis stage, especially in female patients. Fu</w:t>
      </w:r>
      <w:r w:rsidR="00711827" w:rsidRPr="00772AC6">
        <w:rPr>
          <w:rFonts w:ascii="Book Antiqua" w:hAnsi="Book Antiqua" w:cs="Arial"/>
          <w:sz w:val="24"/>
          <w:szCs w:val="24"/>
        </w:rPr>
        <w:t>rther</w:t>
      </w:r>
      <w:r w:rsidR="00E26872" w:rsidRPr="00772AC6">
        <w:rPr>
          <w:rFonts w:ascii="Book Antiqua" w:hAnsi="Book Antiqua" w:cs="Arial"/>
          <w:sz w:val="24"/>
          <w:szCs w:val="24"/>
        </w:rPr>
        <w:t xml:space="preserve"> </w:t>
      </w:r>
      <w:r w:rsidR="00711827" w:rsidRPr="00772AC6">
        <w:rPr>
          <w:rFonts w:ascii="Book Antiqua" w:hAnsi="Book Antiqua" w:cs="Arial"/>
          <w:sz w:val="24"/>
          <w:szCs w:val="24"/>
        </w:rPr>
        <w:t xml:space="preserve">prospective </w:t>
      </w:r>
      <w:r w:rsidR="00E26872" w:rsidRPr="00772AC6">
        <w:rPr>
          <w:rFonts w:ascii="Book Antiqua" w:hAnsi="Book Antiqua" w:cs="Arial"/>
          <w:sz w:val="24"/>
          <w:szCs w:val="24"/>
        </w:rPr>
        <w:t>research</w:t>
      </w:r>
      <w:r w:rsidR="00711827" w:rsidRPr="00772AC6">
        <w:rPr>
          <w:rFonts w:ascii="Book Antiqua" w:hAnsi="Book Antiqua" w:cs="Arial"/>
          <w:sz w:val="24"/>
          <w:szCs w:val="24"/>
        </w:rPr>
        <w:t xml:space="preserve"> in larger cohorts</w:t>
      </w:r>
      <w:r w:rsidR="00E26872" w:rsidRPr="00772AC6">
        <w:rPr>
          <w:rFonts w:ascii="Book Antiqua" w:hAnsi="Book Antiqua" w:cs="Arial"/>
          <w:sz w:val="24"/>
          <w:szCs w:val="24"/>
        </w:rPr>
        <w:t xml:space="preserve"> </w:t>
      </w:r>
      <w:r w:rsidR="00711827" w:rsidRPr="00772AC6">
        <w:rPr>
          <w:rFonts w:ascii="Book Antiqua" w:hAnsi="Book Antiqua" w:cs="Arial"/>
          <w:sz w:val="24"/>
          <w:szCs w:val="24"/>
        </w:rPr>
        <w:t xml:space="preserve">is </w:t>
      </w:r>
      <w:r w:rsidR="00E26872" w:rsidRPr="00772AC6">
        <w:rPr>
          <w:rFonts w:ascii="Book Antiqua" w:hAnsi="Book Antiqua" w:cs="Arial"/>
          <w:sz w:val="24"/>
          <w:szCs w:val="24"/>
        </w:rPr>
        <w:t xml:space="preserve">necessary for understanding the metabolism of circulating ATX </w:t>
      </w:r>
      <w:r w:rsidR="00711827" w:rsidRPr="00772AC6">
        <w:rPr>
          <w:rFonts w:ascii="Book Antiqua" w:hAnsi="Book Antiqua" w:cs="Arial"/>
          <w:sz w:val="24"/>
          <w:szCs w:val="24"/>
        </w:rPr>
        <w:t>in NAFLD</w:t>
      </w:r>
      <w:r w:rsidR="00665987" w:rsidRPr="00772AC6">
        <w:rPr>
          <w:rFonts w:ascii="Book Antiqua" w:hAnsi="Book Antiqua" w:cs="Arial"/>
          <w:sz w:val="24"/>
          <w:szCs w:val="24"/>
        </w:rPr>
        <w:t>.</w:t>
      </w:r>
    </w:p>
    <w:p w:rsidR="008E4712" w:rsidRPr="00772AC6" w:rsidRDefault="008E4712" w:rsidP="005A4D61">
      <w:pPr>
        <w:adjustRightInd w:val="0"/>
        <w:snapToGrid w:val="0"/>
        <w:spacing w:line="360" w:lineRule="auto"/>
        <w:rPr>
          <w:rFonts w:ascii="Book Antiqua" w:hAnsi="Book Antiqua" w:cs="Arial"/>
          <w:sz w:val="24"/>
          <w:szCs w:val="24"/>
        </w:rPr>
      </w:pPr>
    </w:p>
    <w:p w:rsidR="004D3153" w:rsidRPr="00772AC6" w:rsidRDefault="004D3153" w:rsidP="005A4D61">
      <w:pPr>
        <w:adjustRightInd w:val="0"/>
        <w:snapToGrid w:val="0"/>
        <w:spacing w:line="360" w:lineRule="auto"/>
        <w:rPr>
          <w:rFonts w:ascii="Book Antiqua" w:hAnsi="Book Antiqua"/>
          <w:b/>
          <w:sz w:val="24"/>
          <w:szCs w:val="24"/>
        </w:rPr>
      </w:pPr>
      <w:r w:rsidRPr="00772AC6">
        <w:rPr>
          <w:rFonts w:ascii="Book Antiqua" w:hAnsi="Book Antiqua"/>
          <w:b/>
          <w:sz w:val="24"/>
          <w:szCs w:val="24"/>
        </w:rPr>
        <w:t xml:space="preserve">ARTICLE HIGHLIGHTS </w:t>
      </w: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Research background</w:t>
      </w:r>
    </w:p>
    <w:p w:rsidR="004D3153" w:rsidRPr="00772AC6" w:rsidRDefault="00FB675B" w:rsidP="005A4D61">
      <w:pPr>
        <w:adjustRightInd w:val="0"/>
        <w:snapToGrid w:val="0"/>
        <w:spacing w:line="360" w:lineRule="auto"/>
        <w:rPr>
          <w:rFonts w:ascii="Book Antiqua" w:hAnsi="Book Antiqua"/>
          <w:sz w:val="24"/>
          <w:szCs w:val="24"/>
        </w:rPr>
      </w:pPr>
      <w:r w:rsidRPr="00772AC6">
        <w:rPr>
          <w:rFonts w:ascii="Book Antiqua" w:hAnsi="Book Antiqua" w:cs="Arial"/>
          <w:sz w:val="24"/>
          <w:szCs w:val="24"/>
        </w:rPr>
        <w:t>The prevalence of non-alcoholic fatty liver disease (NAFLD) is increasing worldwide. NAFLD exhibits a wide spectrum, ranging from non-alcoholic fatty liver to non-alcoholic steatohepatitis (NASH) and ensuing cirrhosis and hepatocellular carcinoma. Although the evaluation of NAFLD/NASH depends on the histological findings, there is a limitation and an alternative method is required.</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Research motivation</w:t>
      </w:r>
    </w:p>
    <w:p w:rsidR="004D3153" w:rsidRPr="00772AC6" w:rsidRDefault="00FB675B" w:rsidP="005A4D61">
      <w:pPr>
        <w:adjustRightInd w:val="0"/>
        <w:snapToGrid w:val="0"/>
        <w:spacing w:line="360" w:lineRule="auto"/>
        <w:rPr>
          <w:rFonts w:ascii="Book Antiqua" w:hAnsi="Book Antiqua"/>
          <w:sz w:val="24"/>
          <w:szCs w:val="24"/>
        </w:rPr>
      </w:pPr>
      <w:r w:rsidRPr="00772AC6">
        <w:rPr>
          <w:rFonts w:ascii="Book Antiqua" w:hAnsi="Book Antiqua" w:cs="Arial"/>
          <w:sz w:val="24"/>
          <w:szCs w:val="24"/>
        </w:rPr>
        <w:t>Several studies have attempted to estimate histological severity in NAFLD using various serum biomarkers, but the accuracy of these techniques remains unsatisfactory.</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 xml:space="preserve">Research objectives </w:t>
      </w:r>
    </w:p>
    <w:p w:rsidR="005D7BC0" w:rsidRPr="00772AC6" w:rsidRDefault="005D7BC0" w:rsidP="005A4D61">
      <w:pPr>
        <w:adjustRightInd w:val="0"/>
        <w:snapToGrid w:val="0"/>
        <w:spacing w:line="360" w:lineRule="auto"/>
        <w:rPr>
          <w:rFonts w:ascii="Book Antiqua" w:hAnsi="Book Antiqua"/>
          <w:sz w:val="24"/>
          <w:szCs w:val="24"/>
        </w:rPr>
      </w:pPr>
      <w:r w:rsidRPr="00772AC6">
        <w:rPr>
          <w:rFonts w:ascii="Book Antiqua" w:hAnsi="Book Antiqua" w:cs="Arial"/>
          <w:sz w:val="24"/>
          <w:szCs w:val="24"/>
        </w:rPr>
        <w:t xml:space="preserve">Recently, elevated serum </w:t>
      </w:r>
      <w:r w:rsidRPr="00772AC6">
        <w:rPr>
          <w:rFonts w:ascii="Book Antiqua" w:eastAsia="MS PGothic" w:hAnsi="Book Antiqua" w:cstheme="majorHAnsi"/>
          <w:sz w:val="24"/>
          <w:szCs w:val="24"/>
        </w:rPr>
        <w:t>autotaxin (ATX)</w:t>
      </w:r>
      <w:r w:rsidRPr="00772AC6">
        <w:rPr>
          <w:rFonts w:ascii="Book Antiqua" w:hAnsi="Book Antiqua" w:cs="Arial"/>
          <w:sz w:val="24"/>
          <w:szCs w:val="24"/>
        </w:rPr>
        <w:t xml:space="preserve"> has been implicated in fibrosis </w:t>
      </w:r>
      <w:r w:rsidRPr="00772AC6">
        <w:rPr>
          <w:rFonts w:ascii="Book Antiqua" w:hAnsi="Book Antiqua" w:cs="Arial"/>
          <w:sz w:val="24"/>
          <w:szCs w:val="24"/>
        </w:rPr>
        <w:lastRenderedPageBreak/>
        <w:t xml:space="preserve">progression in chronic liver disease, especially hepatitis C. </w:t>
      </w:r>
      <w:r w:rsidRPr="00772AC6">
        <w:rPr>
          <w:rFonts w:ascii="Book Antiqua" w:hAnsi="Book Antiqua" w:cstheme="majorHAnsi"/>
          <w:sz w:val="24"/>
          <w:szCs w:val="24"/>
        </w:rPr>
        <w:t xml:space="preserve">So, we examine the relationship between serum </w:t>
      </w:r>
      <w:r w:rsidRPr="00772AC6">
        <w:rPr>
          <w:rFonts w:ascii="Book Antiqua" w:eastAsia="MS PGothic" w:hAnsi="Book Antiqua" w:cstheme="majorHAnsi"/>
          <w:sz w:val="24"/>
          <w:szCs w:val="24"/>
        </w:rPr>
        <w:t>ATX</w:t>
      </w:r>
      <w:r w:rsidRPr="00772AC6">
        <w:rPr>
          <w:rFonts w:ascii="Book Antiqua" w:hAnsi="Book Antiqua" w:cstheme="majorHAnsi"/>
          <w:sz w:val="24"/>
          <w:szCs w:val="24"/>
        </w:rPr>
        <w:t xml:space="preserve"> concentrations and clinicopathological findings in NAFLD patients.</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Research methods</w:t>
      </w:r>
    </w:p>
    <w:p w:rsidR="004D3153" w:rsidRPr="00772AC6" w:rsidRDefault="00FB675B" w:rsidP="005A4D61">
      <w:pPr>
        <w:pStyle w:val="15"/>
        <w:adjustRightInd w:val="0"/>
        <w:snapToGrid w:val="0"/>
        <w:rPr>
          <w:rFonts w:ascii="Book Antiqua" w:hAnsi="Book Antiqua" w:cstheme="majorHAnsi"/>
          <w:sz w:val="24"/>
          <w:szCs w:val="24"/>
        </w:rPr>
      </w:pPr>
      <w:r w:rsidRPr="00772AC6">
        <w:rPr>
          <w:rFonts w:ascii="Book Antiqua" w:hAnsi="Book Antiqua" w:cstheme="majorHAnsi"/>
          <w:sz w:val="24"/>
          <w:szCs w:val="24"/>
        </w:rPr>
        <w:t xml:space="preserve">One hundred eighty-six NAFLD patients who had undergone liver biopsy between 2008 and 2017 were retrospectively enrolled. Serum samples were collected at the time of biopsy and ATX was measured by enzyme immunoassays. Sera obtained from 160 healthy, non-obese individuals were used as controls. Histological findings were graded according to an NAFLD scoring system and correlations with serum ATX were calculated by Spearman’s test. </w:t>
      </w:r>
      <w:r w:rsidRPr="00772AC6">
        <w:rPr>
          <w:rFonts w:ascii="Book Antiqua" w:hAnsi="Book Antiqua" w:cs="Arial"/>
          <w:sz w:val="24"/>
          <w:szCs w:val="24"/>
        </w:rPr>
        <w:t>Diagnostic accuracy was evaluated using the area under the receiver operating characteristic curve (AUC). Cut-off values were identified by the Youden index, and the nearest clinically applicable value to the cutoff was considered the optimal threshold for clinical convenience.</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Research results</w:t>
      </w:r>
    </w:p>
    <w:p w:rsidR="00FB675B" w:rsidRPr="00772AC6" w:rsidRDefault="00FB675B" w:rsidP="005A4D61">
      <w:pPr>
        <w:pStyle w:val="15"/>
        <w:adjustRightInd w:val="0"/>
        <w:snapToGrid w:val="0"/>
        <w:rPr>
          <w:rFonts w:ascii="Book Antiqua" w:hAnsi="Book Antiqua" w:cs="Arial"/>
          <w:sz w:val="24"/>
          <w:szCs w:val="24"/>
        </w:rPr>
      </w:pPr>
      <w:r w:rsidRPr="00772AC6">
        <w:rPr>
          <w:rFonts w:ascii="Book Antiqua" w:hAnsi="Book Antiqua" w:cstheme="majorHAnsi"/>
          <w:sz w:val="24"/>
          <w:szCs w:val="24"/>
        </w:rPr>
        <w:t xml:space="preserve">Serum ATX levels were significantly higher in NAFLD patients than in controls (0.86 </w:t>
      </w:r>
      <w:r w:rsidR="002422B3" w:rsidRPr="00772AC6">
        <w:rPr>
          <w:rFonts w:ascii="Book Antiqua" w:hAnsi="Book Antiqua" w:cstheme="majorHAnsi"/>
          <w:i/>
          <w:sz w:val="24"/>
          <w:szCs w:val="24"/>
        </w:rPr>
        <w:t>vs</w:t>
      </w:r>
      <w:r w:rsidRPr="00772AC6">
        <w:rPr>
          <w:rFonts w:ascii="Book Antiqua" w:hAnsi="Book Antiqua" w:cstheme="majorHAnsi"/>
          <w:sz w:val="24"/>
          <w:szCs w:val="24"/>
        </w:rPr>
        <w:t xml:space="preserve"> 0.76 mg/L, </w:t>
      </w:r>
      <w:r w:rsidR="00E20C21" w:rsidRPr="00772AC6">
        <w:rPr>
          <w:rFonts w:ascii="Book Antiqua" w:hAnsi="Book Antiqua" w:cstheme="majorHAnsi"/>
          <w:i/>
          <w:sz w:val="24"/>
          <w:szCs w:val="24"/>
        </w:rPr>
        <w:t xml:space="preserve">P </w:t>
      </w:r>
      <w:r w:rsidR="001278E6" w:rsidRPr="00772AC6">
        <w:rPr>
          <w:rFonts w:ascii="Book Antiqua" w:hAnsi="Book Antiqua" w:cstheme="majorHAnsi"/>
          <w:i/>
          <w:sz w:val="24"/>
          <w:szCs w:val="24"/>
        </w:rPr>
        <w:t>&lt;</w:t>
      </w:r>
      <w:r w:rsidR="00E20C21" w:rsidRPr="00772AC6">
        <w:rPr>
          <w:rFonts w:ascii="Book Antiqua" w:hAnsi="Book Antiqua" w:cstheme="majorHAnsi"/>
          <w:i/>
          <w:sz w:val="24"/>
          <w:szCs w:val="24"/>
        </w:rPr>
        <w:t xml:space="preserve"> </w:t>
      </w:r>
      <w:r w:rsidRPr="00772AC6">
        <w:rPr>
          <w:rFonts w:ascii="Book Antiqua" w:hAnsi="Book Antiqua" w:cstheme="majorHAnsi"/>
          <w:sz w:val="24"/>
          <w:szCs w:val="24"/>
        </w:rPr>
        <w:t>0.001) and correlated significantly with ballooning score and fibrosis stage (</w:t>
      </w:r>
      <w:r w:rsidR="00E20C21" w:rsidRPr="00772AC6">
        <w:rPr>
          <w:rFonts w:ascii="Book Antiqua" w:hAnsi="Book Antiqua" w:cstheme="majorHAnsi"/>
          <w:i/>
          <w:sz w:val="24"/>
          <w:szCs w:val="24"/>
        </w:rPr>
        <w:t xml:space="preserve">r = </w:t>
      </w:r>
      <w:r w:rsidRPr="00772AC6">
        <w:rPr>
          <w:rFonts w:ascii="Book Antiqua" w:hAnsi="Book Antiqua" w:cstheme="majorHAnsi"/>
          <w:sz w:val="24"/>
          <w:szCs w:val="24"/>
        </w:rPr>
        <w:t xml:space="preserve">0.36, </w:t>
      </w:r>
      <w:r w:rsidR="00E20C21" w:rsidRPr="00772AC6">
        <w:rPr>
          <w:rFonts w:ascii="Book Antiqua" w:hAnsi="Book Antiqua" w:cstheme="majorHAnsi"/>
          <w:i/>
          <w:sz w:val="24"/>
          <w:szCs w:val="24"/>
        </w:rPr>
        <w:t xml:space="preserve">P </w:t>
      </w:r>
      <w:r w:rsidR="001278E6" w:rsidRPr="00772AC6">
        <w:rPr>
          <w:rFonts w:ascii="Book Antiqua" w:hAnsi="Book Antiqua" w:cstheme="majorHAnsi"/>
          <w:i/>
          <w:sz w:val="24"/>
          <w:szCs w:val="24"/>
        </w:rPr>
        <w:t>&lt;</w:t>
      </w:r>
      <w:r w:rsidR="00E20C21" w:rsidRPr="00772AC6">
        <w:rPr>
          <w:rFonts w:ascii="Book Antiqua" w:hAnsi="Book Antiqua" w:cstheme="majorHAnsi"/>
          <w:i/>
          <w:sz w:val="24"/>
          <w:szCs w:val="24"/>
        </w:rPr>
        <w:t xml:space="preserve"> </w:t>
      </w:r>
      <w:r w:rsidRPr="00772AC6">
        <w:rPr>
          <w:rFonts w:ascii="Book Antiqua" w:hAnsi="Book Antiqua" w:cstheme="majorHAnsi"/>
          <w:sz w:val="24"/>
          <w:szCs w:val="24"/>
        </w:rPr>
        <w:t xml:space="preserve">0.001 and </w:t>
      </w:r>
      <w:r w:rsidR="00E20C21" w:rsidRPr="00772AC6">
        <w:rPr>
          <w:rFonts w:ascii="Book Antiqua" w:hAnsi="Book Antiqua" w:cstheme="majorHAnsi"/>
          <w:i/>
          <w:sz w:val="24"/>
          <w:szCs w:val="24"/>
        </w:rPr>
        <w:t xml:space="preserve">r = </w:t>
      </w:r>
      <w:r w:rsidRPr="00772AC6">
        <w:rPr>
          <w:rFonts w:ascii="Book Antiqua" w:hAnsi="Book Antiqua" w:cstheme="majorHAnsi"/>
          <w:sz w:val="24"/>
          <w:szCs w:val="24"/>
        </w:rPr>
        <w:t xml:space="preserve">0.45, </w:t>
      </w:r>
      <w:r w:rsidR="00E20C21" w:rsidRPr="00772AC6">
        <w:rPr>
          <w:rFonts w:ascii="Book Antiqua" w:hAnsi="Book Antiqua" w:cstheme="majorHAnsi"/>
          <w:i/>
          <w:sz w:val="24"/>
          <w:szCs w:val="24"/>
        </w:rPr>
        <w:t xml:space="preserve">P </w:t>
      </w:r>
      <w:r w:rsidR="001278E6" w:rsidRPr="00772AC6">
        <w:rPr>
          <w:rFonts w:ascii="Book Antiqua" w:hAnsi="Book Antiqua" w:cstheme="majorHAnsi"/>
          <w:i/>
          <w:sz w:val="24"/>
          <w:szCs w:val="24"/>
        </w:rPr>
        <w:t>&lt;</w:t>
      </w:r>
      <w:r w:rsidR="00E20C21" w:rsidRPr="00772AC6">
        <w:rPr>
          <w:rFonts w:ascii="Book Antiqua" w:hAnsi="Book Antiqua" w:cstheme="majorHAnsi"/>
          <w:i/>
          <w:sz w:val="24"/>
          <w:szCs w:val="24"/>
        </w:rPr>
        <w:t xml:space="preserve"> </w:t>
      </w:r>
      <w:r w:rsidRPr="00772AC6">
        <w:rPr>
          <w:rFonts w:ascii="Book Antiqua" w:hAnsi="Book Antiqua" w:cstheme="majorHAnsi"/>
          <w:sz w:val="24"/>
          <w:szCs w:val="24"/>
        </w:rPr>
        <w:t>0.001, respectively). Such tendencies were stronger in female patients. There were no remarkable relationships between ATX and serum alanine aminotransferase, lipid profiles, or steatosis scores. The AU</w:t>
      </w:r>
      <w:r w:rsidRPr="00772AC6">
        <w:rPr>
          <w:rFonts w:ascii="Book Antiqua" w:hAnsi="Book Antiqua" w:cs="Arial"/>
          <w:sz w:val="24"/>
          <w:szCs w:val="24"/>
        </w:rPr>
        <w:t>C values of ATX for predicting the presence of fibrosis (</w:t>
      </w:r>
      <w:r w:rsidR="00E20C21" w:rsidRPr="00772AC6">
        <w:rPr>
          <w:rFonts w:ascii="Book Antiqua" w:eastAsia="SimSun" w:hAnsi="Book Antiqua" w:cs="SimSun"/>
          <w:sz w:val="24"/>
          <w:szCs w:val="24"/>
        </w:rPr>
        <w:t xml:space="preserve">≥ </w:t>
      </w:r>
      <w:r w:rsidRPr="00772AC6">
        <w:rPr>
          <w:rFonts w:ascii="Book Antiqua" w:hAnsi="Book Antiqua" w:cs="Arial"/>
          <w:sz w:val="24"/>
          <w:szCs w:val="24"/>
        </w:rPr>
        <w:t>F1), significant fibrosis (</w:t>
      </w:r>
      <w:r w:rsidR="00E20C21" w:rsidRPr="00772AC6">
        <w:rPr>
          <w:rFonts w:ascii="Book Antiqua" w:eastAsia="SimSun" w:hAnsi="Book Antiqua" w:cs="SimSun"/>
          <w:sz w:val="24"/>
          <w:szCs w:val="24"/>
        </w:rPr>
        <w:t xml:space="preserve">≥ </w:t>
      </w:r>
      <w:r w:rsidRPr="00772AC6">
        <w:rPr>
          <w:rFonts w:ascii="Book Antiqua" w:hAnsi="Book Antiqua" w:cs="Arial"/>
          <w:sz w:val="24"/>
          <w:szCs w:val="24"/>
        </w:rPr>
        <w:t>F2), severe fibrosis (</w:t>
      </w:r>
      <w:r w:rsidR="00E20C21" w:rsidRPr="00772AC6">
        <w:rPr>
          <w:rFonts w:ascii="Book Antiqua" w:eastAsia="SimSun" w:hAnsi="Book Antiqua" w:cs="SimSun"/>
          <w:sz w:val="24"/>
          <w:szCs w:val="24"/>
        </w:rPr>
        <w:t xml:space="preserve">≥ </w:t>
      </w:r>
      <w:r w:rsidRPr="00772AC6">
        <w:rPr>
          <w:rFonts w:ascii="Book Antiqua" w:hAnsi="Book Antiqua" w:cs="Arial"/>
          <w:sz w:val="24"/>
          <w:szCs w:val="24"/>
        </w:rPr>
        <w:t xml:space="preserve">F3), and cirrhosis (F4), were all more than 0.70 in respective analyses. </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t>Research conclusions</w:t>
      </w:r>
    </w:p>
    <w:p w:rsidR="004D3153" w:rsidRPr="00772AC6" w:rsidRDefault="0014310B" w:rsidP="005A4D61">
      <w:pPr>
        <w:adjustRightInd w:val="0"/>
        <w:snapToGrid w:val="0"/>
        <w:spacing w:line="360" w:lineRule="auto"/>
        <w:rPr>
          <w:rFonts w:ascii="Book Antiqua" w:hAnsi="Book Antiqua"/>
          <w:sz w:val="24"/>
          <w:szCs w:val="24"/>
        </w:rPr>
      </w:pPr>
      <w:r w:rsidRPr="00772AC6">
        <w:rPr>
          <w:rFonts w:ascii="Book Antiqua" w:hAnsi="Book Antiqua" w:cstheme="majorHAnsi"/>
          <w:sz w:val="24"/>
          <w:szCs w:val="24"/>
        </w:rPr>
        <w:t>Serum ATX levels may at least partially reflect histological severity in NAFLD.</w:t>
      </w:r>
    </w:p>
    <w:p w:rsidR="004D3153" w:rsidRPr="00772AC6" w:rsidRDefault="004D3153" w:rsidP="005A4D61">
      <w:pPr>
        <w:adjustRightInd w:val="0"/>
        <w:snapToGrid w:val="0"/>
        <w:spacing w:line="360" w:lineRule="auto"/>
        <w:rPr>
          <w:rFonts w:ascii="Book Antiqua" w:hAnsi="Book Antiqua"/>
          <w:sz w:val="24"/>
          <w:szCs w:val="24"/>
        </w:rPr>
      </w:pPr>
    </w:p>
    <w:p w:rsidR="004D3153" w:rsidRPr="00772AC6" w:rsidRDefault="004D3153" w:rsidP="005A4D61">
      <w:pPr>
        <w:adjustRightInd w:val="0"/>
        <w:snapToGrid w:val="0"/>
        <w:spacing w:line="360" w:lineRule="auto"/>
        <w:rPr>
          <w:rFonts w:ascii="Book Antiqua" w:hAnsi="Book Antiqua"/>
          <w:b/>
          <w:i/>
          <w:sz w:val="24"/>
          <w:szCs w:val="24"/>
        </w:rPr>
      </w:pPr>
      <w:r w:rsidRPr="00772AC6">
        <w:rPr>
          <w:rFonts w:ascii="Book Antiqua" w:hAnsi="Book Antiqua"/>
          <w:b/>
          <w:i/>
          <w:sz w:val="24"/>
          <w:szCs w:val="24"/>
        </w:rPr>
        <w:lastRenderedPageBreak/>
        <w:t>Research perspectives</w:t>
      </w:r>
    </w:p>
    <w:p w:rsidR="004D3153" w:rsidRPr="00772AC6" w:rsidRDefault="0014310B" w:rsidP="005A4D61">
      <w:pPr>
        <w:widowControl/>
        <w:spacing w:line="360" w:lineRule="auto"/>
        <w:rPr>
          <w:rFonts w:ascii="Book Antiqua" w:hAnsi="Book Antiqua" w:cs="Arial"/>
          <w:sz w:val="24"/>
          <w:szCs w:val="24"/>
        </w:rPr>
      </w:pPr>
      <w:r w:rsidRPr="00772AC6">
        <w:rPr>
          <w:rFonts w:ascii="Book Antiqua" w:hAnsi="Book Antiqua" w:cs="Arial"/>
          <w:sz w:val="24"/>
          <w:szCs w:val="24"/>
        </w:rPr>
        <w:t>In order to evaluate the severity of NAFLD, it is considered that a method that can simultaneously evaluate activity and fibrosis is necessary.</w:t>
      </w:r>
    </w:p>
    <w:p w:rsidR="0014310B" w:rsidRPr="00772AC6" w:rsidRDefault="0014310B" w:rsidP="005A4D61">
      <w:pPr>
        <w:widowControl/>
        <w:spacing w:line="360" w:lineRule="auto"/>
        <w:rPr>
          <w:rFonts w:ascii="Book Antiqua" w:eastAsia="SimSun" w:hAnsi="Book Antiqua" w:cs="Arial"/>
          <w:sz w:val="24"/>
          <w:szCs w:val="24"/>
          <w:lang w:eastAsia="zh-CN"/>
        </w:rPr>
      </w:pPr>
      <w:r w:rsidRPr="00772AC6">
        <w:rPr>
          <w:rFonts w:ascii="Book Antiqua" w:eastAsia="SimSun" w:hAnsi="Book Antiqua" w:cs="Arial"/>
          <w:sz w:val="24"/>
          <w:szCs w:val="24"/>
          <w:lang w:eastAsia="zh-CN"/>
        </w:rPr>
        <w:br w:type="page"/>
      </w:r>
    </w:p>
    <w:p w:rsidR="003A736C" w:rsidRPr="00772AC6" w:rsidRDefault="000414F4" w:rsidP="005A4D61">
      <w:pPr>
        <w:adjustRightInd w:val="0"/>
        <w:snapToGrid w:val="0"/>
        <w:spacing w:line="360" w:lineRule="auto"/>
        <w:rPr>
          <w:rFonts w:ascii="Book Antiqua" w:eastAsia="SimSun" w:hAnsi="Book Antiqua" w:cs="Arial"/>
          <w:b/>
          <w:sz w:val="24"/>
          <w:szCs w:val="24"/>
          <w:lang w:eastAsia="zh-CN"/>
        </w:rPr>
      </w:pPr>
      <w:r w:rsidRPr="00772AC6">
        <w:rPr>
          <w:rFonts w:ascii="Book Antiqua" w:hAnsi="Book Antiqua" w:cs="Arial"/>
          <w:b/>
          <w:sz w:val="24"/>
          <w:szCs w:val="24"/>
        </w:rPr>
        <w:lastRenderedPageBreak/>
        <w:t>REFERENCES</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 </w:t>
      </w:r>
      <w:r w:rsidRPr="00772AC6">
        <w:rPr>
          <w:rFonts w:ascii="Book Antiqua" w:eastAsia="SimSun" w:hAnsi="Book Antiqua"/>
          <w:b/>
          <w:sz w:val="24"/>
          <w:szCs w:val="24"/>
          <w:lang w:eastAsia="zh-CN"/>
        </w:rPr>
        <w:t>Tanaka N</w:t>
      </w:r>
      <w:r w:rsidRPr="00772AC6">
        <w:rPr>
          <w:rFonts w:ascii="Book Antiqua" w:eastAsia="SimSun" w:hAnsi="Book Antiqua"/>
          <w:sz w:val="24"/>
          <w:szCs w:val="24"/>
          <w:lang w:eastAsia="zh-CN"/>
        </w:rPr>
        <w:t xml:space="preserve">, Aoyama T, Kimura S, Gonzalez FJ. Targeting nuclear receptors for the treatment of fatty liver disease. </w:t>
      </w:r>
      <w:r w:rsidRPr="00772AC6">
        <w:rPr>
          <w:rFonts w:ascii="Book Antiqua" w:eastAsia="SimSun" w:hAnsi="Book Antiqua"/>
          <w:i/>
          <w:sz w:val="24"/>
          <w:szCs w:val="24"/>
          <w:lang w:eastAsia="zh-CN"/>
        </w:rPr>
        <w:t>Pharmacol Ther</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179</w:t>
      </w:r>
      <w:r w:rsidRPr="00772AC6">
        <w:rPr>
          <w:rFonts w:ascii="Book Antiqua" w:eastAsia="SimSun" w:hAnsi="Book Antiqua"/>
          <w:sz w:val="24"/>
          <w:szCs w:val="24"/>
          <w:lang w:eastAsia="zh-CN"/>
        </w:rPr>
        <w:t>: 142-157 [PMID: 28546081 DOI: 10.1016/j.pharmthera.2017.05.011]</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 </w:t>
      </w:r>
      <w:r w:rsidRPr="00772AC6">
        <w:rPr>
          <w:rFonts w:ascii="Book Antiqua" w:eastAsia="SimSun" w:hAnsi="Book Antiqua"/>
          <w:b/>
          <w:sz w:val="24"/>
          <w:szCs w:val="24"/>
          <w:lang w:eastAsia="zh-CN"/>
        </w:rPr>
        <w:t>Bellentani S</w:t>
      </w:r>
      <w:r w:rsidRPr="00772AC6">
        <w:rPr>
          <w:rFonts w:ascii="Book Antiqua" w:eastAsia="SimSun" w:hAnsi="Book Antiqua"/>
          <w:sz w:val="24"/>
          <w:szCs w:val="24"/>
          <w:lang w:eastAsia="zh-CN"/>
        </w:rPr>
        <w:t xml:space="preserve">. The epidemiology of non-alcoholic fatty liver disease. </w:t>
      </w:r>
      <w:r w:rsidRPr="00772AC6">
        <w:rPr>
          <w:rFonts w:ascii="Book Antiqua" w:eastAsia="SimSun" w:hAnsi="Book Antiqua"/>
          <w:i/>
          <w:sz w:val="24"/>
          <w:szCs w:val="24"/>
          <w:lang w:eastAsia="zh-CN"/>
        </w:rPr>
        <w:t>Liver Int</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37</w:t>
      </w:r>
      <w:r w:rsidRPr="00772AC6">
        <w:rPr>
          <w:rFonts w:ascii="Book Antiqua" w:eastAsia="SimSun" w:hAnsi="Book Antiqua"/>
          <w:sz w:val="24"/>
          <w:szCs w:val="24"/>
          <w:lang w:eastAsia="zh-CN"/>
        </w:rPr>
        <w:t xml:space="preserve"> Suppl 1: 81-84 [PMID: 28052624 DOI: 10.1111/liv.13299]</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 </w:t>
      </w:r>
      <w:r w:rsidRPr="00772AC6">
        <w:rPr>
          <w:rFonts w:ascii="Book Antiqua" w:eastAsia="SimSun" w:hAnsi="Book Antiqua"/>
          <w:b/>
          <w:sz w:val="24"/>
          <w:szCs w:val="24"/>
          <w:lang w:eastAsia="zh-CN"/>
        </w:rPr>
        <w:t>Cohen JC</w:t>
      </w:r>
      <w:r w:rsidRPr="00772AC6">
        <w:rPr>
          <w:rFonts w:ascii="Book Antiqua" w:eastAsia="SimSun" w:hAnsi="Book Antiqua"/>
          <w:sz w:val="24"/>
          <w:szCs w:val="24"/>
          <w:lang w:eastAsia="zh-CN"/>
        </w:rPr>
        <w:t xml:space="preserve">, Horton JD, Hobbs HH. Human fatty liver disease: old questions and new insights. </w:t>
      </w:r>
      <w:r w:rsidRPr="00772AC6">
        <w:rPr>
          <w:rFonts w:ascii="Book Antiqua" w:eastAsia="SimSun" w:hAnsi="Book Antiqua"/>
          <w:i/>
          <w:sz w:val="24"/>
          <w:szCs w:val="24"/>
          <w:lang w:eastAsia="zh-CN"/>
        </w:rPr>
        <w:t>Science</w:t>
      </w:r>
      <w:r w:rsidRPr="00772AC6">
        <w:rPr>
          <w:rFonts w:ascii="Book Antiqua" w:eastAsia="SimSun" w:hAnsi="Book Antiqua"/>
          <w:sz w:val="24"/>
          <w:szCs w:val="24"/>
          <w:lang w:eastAsia="zh-CN"/>
        </w:rPr>
        <w:t xml:space="preserve"> 2011; </w:t>
      </w:r>
      <w:r w:rsidRPr="00772AC6">
        <w:rPr>
          <w:rFonts w:ascii="Book Antiqua" w:eastAsia="SimSun" w:hAnsi="Book Antiqua"/>
          <w:b/>
          <w:sz w:val="24"/>
          <w:szCs w:val="24"/>
          <w:lang w:eastAsia="zh-CN"/>
        </w:rPr>
        <w:t>332</w:t>
      </w:r>
      <w:r w:rsidRPr="00772AC6">
        <w:rPr>
          <w:rFonts w:ascii="Book Antiqua" w:eastAsia="SimSun" w:hAnsi="Book Antiqua"/>
          <w:sz w:val="24"/>
          <w:szCs w:val="24"/>
          <w:lang w:eastAsia="zh-CN"/>
        </w:rPr>
        <w:t>: 1519-1523 [PMID: 21700865 DOI: 10.1126/science.1204265]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 </w:t>
      </w:r>
      <w:r w:rsidRPr="00772AC6">
        <w:rPr>
          <w:rFonts w:ascii="Book Antiqua" w:eastAsia="SimSun" w:hAnsi="Book Antiqua"/>
          <w:b/>
          <w:sz w:val="24"/>
          <w:szCs w:val="24"/>
          <w:lang w:eastAsia="zh-CN"/>
        </w:rPr>
        <w:t>Kobyliak N</w:t>
      </w:r>
      <w:r w:rsidRPr="00772AC6">
        <w:rPr>
          <w:rFonts w:ascii="Book Antiqua" w:eastAsia="SimSun" w:hAnsi="Book Antiqua"/>
          <w:sz w:val="24"/>
          <w:szCs w:val="24"/>
          <w:lang w:eastAsia="zh-CN"/>
        </w:rPr>
        <w:t xml:space="preserve">, Abenavoli L. The role of liver biopsy to assess non-alcoholic fatty liver disease. </w:t>
      </w:r>
      <w:r w:rsidRPr="00772AC6">
        <w:rPr>
          <w:rFonts w:ascii="Book Antiqua" w:eastAsia="SimSun" w:hAnsi="Book Antiqua"/>
          <w:i/>
          <w:sz w:val="24"/>
          <w:szCs w:val="24"/>
          <w:lang w:eastAsia="zh-CN"/>
        </w:rPr>
        <w:t>Rev Recent Clin Trials</w:t>
      </w:r>
      <w:r w:rsidRPr="00772AC6">
        <w:rPr>
          <w:rFonts w:ascii="Book Antiqua" w:eastAsia="SimSun" w:hAnsi="Book Antiqua"/>
          <w:sz w:val="24"/>
          <w:szCs w:val="24"/>
          <w:lang w:eastAsia="zh-CN"/>
        </w:rPr>
        <w:t xml:space="preserve"> 2014; </w:t>
      </w:r>
      <w:r w:rsidRPr="00772AC6">
        <w:rPr>
          <w:rFonts w:ascii="Book Antiqua" w:eastAsia="SimSun" w:hAnsi="Book Antiqua"/>
          <w:b/>
          <w:sz w:val="24"/>
          <w:szCs w:val="24"/>
          <w:lang w:eastAsia="zh-CN"/>
        </w:rPr>
        <w:t>9</w:t>
      </w:r>
      <w:r w:rsidRPr="00772AC6">
        <w:rPr>
          <w:rFonts w:ascii="Book Antiqua" w:eastAsia="SimSun" w:hAnsi="Book Antiqua"/>
          <w:sz w:val="24"/>
          <w:szCs w:val="24"/>
          <w:lang w:eastAsia="zh-CN"/>
        </w:rPr>
        <w:t>: 159-169 [PMID: 25514908]</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5 </w:t>
      </w:r>
      <w:r w:rsidRPr="00772AC6">
        <w:rPr>
          <w:rFonts w:ascii="Book Antiqua" w:eastAsia="SimSun" w:hAnsi="Book Antiqua"/>
          <w:b/>
          <w:sz w:val="24"/>
          <w:szCs w:val="24"/>
          <w:lang w:eastAsia="zh-CN"/>
        </w:rPr>
        <w:t>Sumida Y</w:t>
      </w:r>
      <w:r w:rsidRPr="00772AC6">
        <w:rPr>
          <w:rFonts w:ascii="Book Antiqua" w:eastAsia="SimSun" w:hAnsi="Book Antiqua"/>
          <w:sz w:val="24"/>
          <w:szCs w:val="24"/>
          <w:lang w:eastAsia="zh-CN"/>
        </w:rPr>
        <w:t xml:space="preserve">, Nakajima A, Itoh Y. Limitations of liver biopsy and non-invasive diagnostic tests for the diagnosis of nonalcoholic fatty liver disease/nonalcoholic steatohepatitis. </w:t>
      </w:r>
      <w:r w:rsidRPr="00772AC6">
        <w:rPr>
          <w:rFonts w:ascii="Book Antiqua" w:eastAsia="SimSun" w:hAnsi="Book Antiqua"/>
          <w:i/>
          <w:sz w:val="24"/>
          <w:szCs w:val="24"/>
          <w:lang w:eastAsia="zh-CN"/>
        </w:rPr>
        <w:t>World J Gastroenterol</w:t>
      </w:r>
      <w:r w:rsidRPr="00772AC6">
        <w:rPr>
          <w:rFonts w:ascii="Book Antiqua" w:eastAsia="SimSun" w:hAnsi="Book Antiqua"/>
          <w:sz w:val="24"/>
          <w:szCs w:val="24"/>
          <w:lang w:eastAsia="zh-CN"/>
        </w:rPr>
        <w:t xml:space="preserve"> 2014; </w:t>
      </w:r>
      <w:r w:rsidRPr="00772AC6">
        <w:rPr>
          <w:rFonts w:ascii="Book Antiqua" w:eastAsia="SimSun" w:hAnsi="Book Antiqua"/>
          <w:b/>
          <w:sz w:val="24"/>
          <w:szCs w:val="24"/>
          <w:lang w:eastAsia="zh-CN"/>
        </w:rPr>
        <w:t>20</w:t>
      </w:r>
      <w:r w:rsidRPr="00772AC6">
        <w:rPr>
          <w:rFonts w:ascii="Book Antiqua" w:eastAsia="SimSun" w:hAnsi="Book Antiqua"/>
          <w:sz w:val="24"/>
          <w:szCs w:val="24"/>
          <w:lang w:eastAsia="zh-CN"/>
        </w:rPr>
        <w:t>: 475-485 [PMID: 24574716 DOI: 10.3748/wjg.v20.i2.475]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6 </w:t>
      </w:r>
      <w:r w:rsidRPr="00772AC6">
        <w:rPr>
          <w:rFonts w:ascii="Book Antiqua" w:eastAsia="SimSun" w:hAnsi="Book Antiqua"/>
          <w:b/>
          <w:sz w:val="24"/>
          <w:szCs w:val="24"/>
          <w:lang w:eastAsia="zh-CN"/>
        </w:rPr>
        <w:t>Giraudi PJ</w:t>
      </w:r>
      <w:r w:rsidRPr="00772AC6">
        <w:rPr>
          <w:rFonts w:ascii="Book Antiqua" w:eastAsia="SimSun" w:hAnsi="Book Antiqua"/>
          <w:sz w:val="24"/>
          <w:szCs w:val="24"/>
          <w:lang w:eastAsia="zh-CN"/>
        </w:rPr>
        <w:t xml:space="preserve">, Gambaro SE, Ornelas Arroyo S, Chackelevicius CM, Giuricin M, Silvestri M, Macor D, Crocé LS, Bonazza D, Soardo G, de Manzini N, Zanconati F, Tiribelli C, Palmisano S, Rosso N. A simple in silico strategy identifies candidate biomarkers for the diagnosis of liver fibrosis in morbidly obese subjects. </w:t>
      </w:r>
      <w:r w:rsidRPr="00772AC6">
        <w:rPr>
          <w:rFonts w:ascii="Book Antiqua" w:eastAsia="SimSun" w:hAnsi="Book Antiqua"/>
          <w:i/>
          <w:sz w:val="24"/>
          <w:szCs w:val="24"/>
          <w:lang w:eastAsia="zh-CN"/>
        </w:rPr>
        <w:t>Liver Int</w:t>
      </w:r>
      <w:r w:rsidRPr="00772AC6">
        <w:rPr>
          <w:rFonts w:ascii="Book Antiqua" w:eastAsia="SimSun" w:hAnsi="Book Antiqua"/>
          <w:sz w:val="24"/>
          <w:szCs w:val="24"/>
          <w:lang w:eastAsia="zh-CN"/>
        </w:rPr>
        <w:t xml:space="preserve"> 2018; </w:t>
      </w:r>
      <w:r w:rsidRPr="00772AC6">
        <w:rPr>
          <w:rFonts w:ascii="Book Antiqua" w:eastAsia="SimSun" w:hAnsi="Book Antiqua"/>
          <w:b/>
          <w:sz w:val="24"/>
          <w:szCs w:val="24"/>
          <w:lang w:eastAsia="zh-CN"/>
        </w:rPr>
        <w:t>38</w:t>
      </w:r>
      <w:r w:rsidRPr="00772AC6">
        <w:rPr>
          <w:rFonts w:ascii="Book Antiqua" w:eastAsia="SimSun" w:hAnsi="Book Antiqua"/>
          <w:sz w:val="24"/>
          <w:szCs w:val="24"/>
          <w:lang w:eastAsia="zh-CN"/>
        </w:rPr>
        <w:t>: 155-163 [PMID: 28650518 DOI: 10.1111/liv.13505]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7 </w:t>
      </w:r>
      <w:r w:rsidRPr="00772AC6">
        <w:rPr>
          <w:rFonts w:ascii="Book Antiqua" w:eastAsia="SimSun" w:hAnsi="Book Antiqua"/>
          <w:b/>
          <w:sz w:val="24"/>
          <w:szCs w:val="24"/>
          <w:lang w:eastAsia="zh-CN"/>
        </w:rPr>
        <w:t>Tsutsui M</w:t>
      </w:r>
      <w:r w:rsidRPr="00772AC6">
        <w:rPr>
          <w:rFonts w:ascii="Book Antiqua" w:eastAsia="SimSun" w:hAnsi="Book Antiqua"/>
          <w:sz w:val="24"/>
          <w:szCs w:val="24"/>
          <w:lang w:eastAsia="zh-CN"/>
        </w:rPr>
        <w:t xml:space="preserve">, Tanaka N, Kawakubo M, Sheena Y, Horiuchi A, Komatsu M, Nagaya T, Joshita S, Umemura T, Ichijo T, Matsumoto A, Yoshizawa K, Aoyama T, Tanaka E, Sano K. Serum fragmented cytokeratin 18 levels reflect the histologic activity score of nonalcoholic fatty liver disease more accurately than serum alanine aminotransferase levels. </w:t>
      </w:r>
      <w:r w:rsidRPr="00772AC6">
        <w:rPr>
          <w:rFonts w:ascii="Book Antiqua" w:eastAsia="SimSun" w:hAnsi="Book Antiqua"/>
          <w:i/>
          <w:sz w:val="24"/>
          <w:szCs w:val="24"/>
          <w:lang w:eastAsia="zh-CN"/>
        </w:rPr>
        <w:t>J Clin Gastroenterol</w:t>
      </w:r>
      <w:r w:rsidRPr="00772AC6">
        <w:rPr>
          <w:rFonts w:ascii="Book Antiqua" w:eastAsia="SimSun" w:hAnsi="Book Antiqua"/>
          <w:sz w:val="24"/>
          <w:szCs w:val="24"/>
          <w:lang w:eastAsia="zh-CN"/>
        </w:rPr>
        <w:t xml:space="preserve"> 2010; </w:t>
      </w:r>
      <w:r w:rsidRPr="00772AC6">
        <w:rPr>
          <w:rFonts w:ascii="Book Antiqua" w:eastAsia="SimSun" w:hAnsi="Book Antiqua"/>
          <w:b/>
          <w:sz w:val="24"/>
          <w:szCs w:val="24"/>
          <w:lang w:eastAsia="zh-CN"/>
        </w:rPr>
        <w:t>44</w:t>
      </w:r>
      <w:r w:rsidRPr="00772AC6">
        <w:rPr>
          <w:rFonts w:ascii="Book Antiqua" w:eastAsia="SimSun" w:hAnsi="Book Antiqua"/>
          <w:sz w:val="24"/>
          <w:szCs w:val="24"/>
          <w:lang w:eastAsia="zh-CN"/>
        </w:rPr>
        <w:t>: 440-447 [PMID: 20104187 DOI: 10.1097/MCG.0b013e3181bdefe2]</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8 </w:t>
      </w:r>
      <w:r w:rsidRPr="00772AC6">
        <w:rPr>
          <w:rFonts w:ascii="Book Antiqua" w:eastAsia="SimSun" w:hAnsi="Book Antiqua"/>
          <w:b/>
          <w:sz w:val="24"/>
          <w:szCs w:val="24"/>
          <w:lang w:eastAsia="zh-CN"/>
        </w:rPr>
        <w:t>Kitabatake H</w:t>
      </w:r>
      <w:r w:rsidRPr="00772AC6">
        <w:rPr>
          <w:rFonts w:ascii="Book Antiqua" w:eastAsia="SimSun" w:hAnsi="Book Antiqua"/>
          <w:sz w:val="24"/>
          <w:szCs w:val="24"/>
          <w:lang w:eastAsia="zh-CN"/>
        </w:rPr>
        <w:t xml:space="preserve">, Tanaka N, Fujimori N, Komatsu M, Okubo A, Kakegawa K, Kimura T, Sugiura A, Yamazaki T, Shibata S, Ichikawa Y, Joshita S, Umemura T, Matsumoto A, Koinuma M, Sano K, Aoyama T, Tanaka E. Association between </w:t>
      </w:r>
      <w:r w:rsidRPr="00772AC6">
        <w:rPr>
          <w:rFonts w:ascii="Book Antiqua" w:eastAsia="SimSun" w:hAnsi="Book Antiqua"/>
          <w:sz w:val="24"/>
          <w:szCs w:val="24"/>
          <w:lang w:eastAsia="zh-CN"/>
        </w:rPr>
        <w:lastRenderedPageBreak/>
        <w:t xml:space="preserve">endotoxemia and histological features of nonalcoholic fatty liver disease. </w:t>
      </w:r>
      <w:r w:rsidRPr="00772AC6">
        <w:rPr>
          <w:rFonts w:ascii="Book Antiqua" w:eastAsia="SimSun" w:hAnsi="Book Antiqua"/>
          <w:i/>
          <w:sz w:val="24"/>
          <w:szCs w:val="24"/>
          <w:lang w:eastAsia="zh-CN"/>
        </w:rPr>
        <w:t>World J Gastroenterol</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23</w:t>
      </w:r>
      <w:r w:rsidRPr="00772AC6">
        <w:rPr>
          <w:rFonts w:ascii="Book Antiqua" w:eastAsia="SimSun" w:hAnsi="Book Antiqua"/>
          <w:sz w:val="24"/>
          <w:szCs w:val="24"/>
          <w:lang w:eastAsia="zh-CN"/>
        </w:rPr>
        <w:t>: 712-722 [PMID: 28216979 DOI: 10.3748/wjg.v23.i4.712]</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9 </w:t>
      </w:r>
      <w:r w:rsidRPr="00772AC6">
        <w:rPr>
          <w:rFonts w:ascii="Book Antiqua" w:eastAsia="SimSun" w:hAnsi="Book Antiqua"/>
          <w:b/>
          <w:sz w:val="24"/>
          <w:szCs w:val="24"/>
          <w:lang w:eastAsia="zh-CN"/>
        </w:rPr>
        <w:t>Stracke ML</w:t>
      </w:r>
      <w:r w:rsidRPr="00772AC6">
        <w:rPr>
          <w:rFonts w:ascii="Book Antiqua" w:eastAsia="SimSun" w:hAnsi="Book Antiqua"/>
          <w:sz w:val="24"/>
          <w:szCs w:val="24"/>
          <w:lang w:eastAsia="zh-CN"/>
        </w:rPr>
        <w:t xml:space="preserve">, Krutzsch HC, Unsworth EJ, Arestad A, Cioce V, Schiffmann E, Liotta LA. Identification, purification, and partial sequence analysis of autotaxin, a novel motility-stimulating protein. </w:t>
      </w:r>
      <w:r w:rsidRPr="00772AC6">
        <w:rPr>
          <w:rFonts w:ascii="Book Antiqua" w:eastAsia="SimSun" w:hAnsi="Book Antiqua"/>
          <w:i/>
          <w:sz w:val="24"/>
          <w:szCs w:val="24"/>
          <w:lang w:eastAsia="zh-CN"/>
        </w:rPr>
        <w:t>J Biol Chem</w:t>
      </w:r>
      <w:r w:rsidRPr="00772AC6">
        <w:rPr>
          <w:rFonts w:ascii="Book Antiqua" w:eastAsia="SimSun" w:hAnsi="Book Antiqua"/>
          <w:sz w:val="24"/>
          <w:szCs w:val="24"/>
          <w:lang w:eastAsia="zh-CN"/>
        </w:rPr>
        <w:t xml:space="preserve"> 1992; </w:t>
      </w:r>
      <w:r w:rsidRPr="00772AC6">
        <w:rPr>
          <w:rFonts w:ascii="Book Antiqua" w:eastAsia="SimSun" w:hAnsi="Book Antiqua"/>
          <w:b/>
          <w:sz w:val="24"/>
          <w:szCs w:val="24"/>
          <w:lang w:eastAsia="zh-CN"/>
        </w:rPr>
        <w:t>267</w:t>
      </w:r>
      <w:r w:rsidRPr="00772AC6">
        <w:rPr>
          <w:rFonts w:ascii="Book Antiqua" w:eastAsia="SimSun" w:hAnsi="Book Antiqua"/>
          <w:sz w:val="24"/>
          <w:szCs w:val="24"/>
          <w:lang w:eastAsia="zh-CN"/>
        </w:rPr>
        <w:t>: 2524-2529 [PMID: 1733949]</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10 </w:t>
      </w:r>
      <w:r w:rsidRPr="00772AC6">
        <w:rPr>
          <w:rFonts w:ascii="Book Antiqua" w:eastAsia="SimSun" w:hAnsi="Book Antiqua"/>
          <w:b/>
          <w:sz w:val="24"/>
          <w:szCs w:val="24"/>
          <w:lang w:eastAsia="zh-CN"/>
        </w:rPr>
        <w:t>Nakanaga K</w:t>
      </w:r>
      <w:r w:rsidRPr="00772AC6">
        <w:rPr>
          <w:rFonts w:ascii="Book Antiqua" w:eastAsia="SimSun" w:hAnsi="Book Antiqua"/>
          <w:sz w:val="24"/>
          <w:szCs w:val="24"/>
          <w:lang w:eastAsia="zh-CN"/>
        </w:rPr>
        <w:t xml:space="preserve">, Hama K, Aoki J. Autotaxin--an LPA producing enzyme with diverse functions. </w:t>
      </w:r>
      <w:r w:rsidRPr="00772AC6">
        <w:rPr>
          <w:rFonts w:ascii="Book Antiqua" w:eastAsia="SimSun" w:hAnsi="Book Antiqua"/>
          <w:i/>
          <w:sz w:val="24"/>
          <w:szCs w:val="24"/>
          <w:lang w:eastAsia="zh-CN"/>
        </w:rPr>
        <w:t>J Biochem</w:t>
      </w:r>
      <w:r w:rsidRPr="00772AC6">
        <w:rPr>
          <w:rFonts w:ascii="Book Antiqua" w:eastAsia="SimSun" w:hAnsi="Book Antiqua"/>
          <w:sz w:val="24"/>
          <w:szCs w:val="24"/>
          <w:lang w:eastAsia="zh-CN"/>
        </w:rPr>
        <w:t xml:space="preserve"> 2010; </w:t>
      </w:r>
      <w:r w:rsidRPr="00772AC6">
        <w:rPr>
          <w:rFonts w:ascii="Book Antiqua" w:eastAsia="SimSun" w:hAnsi="Book Antiqua"/>
          <w:b/>
          <w:sz w:val="24"/>
          <w:szCs w:val="24"/>
          <w:lang w:eastAsia="zh-CN"/>
        </w:rPr>
        <w:t>148</w:t>
      </w:r>
      <w:r w:rsidRPr="00772AC6">
        <w:rPr>
          <w:rFonts w:ascii="Book Antiqua" w:eastAsia="SimSun" w:hAnsi="Book Antiqua"/>
          <w:sz w:val="24"/>
          <w:szCs w:val="24"/>
          <w:lang w:eastAsia="zh-CN"/>
        </w:rPr>
        <w:t>: 13-24 [PMID: 20495010 DOI: 10.1093/jb/mvq052]</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11 </w:t>
      </w:r>
      <w:r w:rsidRPr="00772AC6">
        <w:rPr>
          <w:rFonts w:ascii="Book Antiqua" w:eastAsia="SimSun" w:hAnsi="Book Antiqua"/>
          <w:b/>
          <w:sz w:val="24"/>
          <w:szCs w:val="24"/>
          <w:lang w:eastAsia="zh-CN"/>
        </w:rPr>
        <w:t>Umezu-Goto M</w:t>
      </w:r>
      <w:r w:rsidRPr="00772AC6">
        <w:rPr>
          <w:rFonts w:ascii="Book Antiqua" w:eastAsia="SimSun" w:hAnsi="Book Antiqua"/>
          <w:sz w:val="24"/>
          <w:szCs w:val="24"/>
          <w:lang w:eastAsia="zh-CN"/>
        </w:rPr>
        <w:t xml:space="preserve">, Kishi Y, Taira A, Hama K, Dohmae N, Takio K, Yamori T, Mills GB, Inoue K, Aoki J, Arai H. Autotaxin has lysophospholipase D activity leading to tumor cell growth and motility by lysophosphatidic acid production. </w:t>
      </w:r>
      <w:r w:rsidRPr="00772AC6">
        <w:rPr>
          <w:rFonts w:ascii="Book Antiqua" w:eastAsia="SimSun" w:hAnsi="Book Antiqua"/>
          <w:i/>
          <w:sz w:val="24"/>
          <w:szCs w:val="24"/>
          <w:lang w:eastAsia="zh-CN"/>
        </w:rPr>
        <w:t>J Cell Biol</w:t>
      </w:r>
      <w:r w:rsidRPr="00772AC6">
        <w:rPr>
          <w:rFonts w:ascii="Book Antiqua" w:eastAsia="SimSun" w:hAnsi="Book Antiqua"/>
          <w:sz w:val="24"/>
          <w:szCs w:val="24"/>
          <w:lang w:eastAsia="zh-CN"/>
        </w:rPr>
        <w:t xml:space="preserve"> 2002; </w:t>
      </w:r>
      <w:r w:rsidRPr="00772AC6">
        <w:rPr>
          <w:rFonts w:ascii="Book Antiqua" w:eastAsia="SimSun" w:hAnsi="Book Antiqua"/>
          <w:b/>
          <w:sz w:val="24"/>
          <w:szCs w:val="24"/>
          <w:lang w:eastAsia="zh-CN"/>
        </w:rPr>
        <w:t>158</w:t>
      </w:r>
      <w:r w:rsidRPr="00772AC6">
        <w:rPr>
          <w:rFonts w:ascii="Book Antiqua" w:eastAsia="SimSun" w:hAnsi="Book Antiqua"/>
          <w:sz w:val="24"/>
          <w:szCs w:val="24"/>
          <w:lang w:eastAsia="zh-CN"/>
        </w:rPr>
        <w:t>: 227-233 [PMID: 12119361 DOI: 10.1083/jcb.200204026]</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12 </w:t>
      </w:r>
      <w:r w:rsidRPr="00772AC6">
        <w:rPr>
          <w:rFonts w:ascii="Book Antiqua" w:eastAsia="SimSun" w:hAnsi="Book Antiqua"/>
          <w:b/>
          <w:sz w:val="24"/>
          <w:szCs w:val="24"/>
          <w:lang w:eastAsia="zh-CN"/>
        </w:rPr>
        <w:t>Moolenaar WH</w:t>
      </w:r>
      <w:r w:rsidRPr="00772AC6">
        <w:rPr>
          <w:rFonts w:ascii="Book Antiqua" w:eastAsia="SimSun" w:hAnsi="Book Antiqua"/>
          <w:sz w:val="24"/>
          <w:szCs w:val="24"/>
          <w:lang w:eastAsia="zh-CN"/>
        </w:rPr>
        <w:t xml:space="preserve">. Lysophospholipids in the limelight: autotaxin takes center stage. </w:t>
      </w:r>
      <w:r w:rsidRPr="00772AC6">
        <w:rPr>
          <w:rFonts w:ascii="Book Antiqua" w:eastAsia="SimSun" w:hAnsi="Book Antiqua"/>
          <w:i/>
          <w:sz w:val="24"/>
          <w:szCs w:val="24"/>
          <w:lang w:eastAsia="zh-CN"/>
        </w:rPr>
        <w:t>J Cell Biol</w:t>
      </w:r>
      <w:r w:rsidRPr="00772AC6">
        <w:rPr>
          <w:rFonts w:ascii="Book Antiqua" w:eastAsia="SimSun" w:hAnsi="Book Antiqua"/>
          <w:sz w:val="24"/>
          <w:szCs w:val="24"/>
          <w:lang w:eastAsia="zh-CN"/>
        </w:rPr>
        <w:t xml:space="preserve"> 2002; </w:t>
      </w:r>
      <w:r w:rsidRPr="00772AC6">
        <w:rPr>
          <w:rFonts w:ascii="Book Antiqua" w:eastAsia="SimSun" w:hAnsi="Book Antiqua"/>
          <w:b/>
          <w:sz w:val="24"/>
          <w:szCs w:val="24"/>
          <w:lang w:eastAsia="zh-CN"/>
        </w:rPr>
        <w:t>158</w:t>
      </w:r>
      <w:r w:rsidRPr="00772AC6">
        <w:rPr>
          <w:rFonts w:ascii="Book Antiqua" w:eastAsia="SimSun" w:hAnsi="Book Antiqua"/>
          <w:sz w:val="24"/>
          <w:szCs w:val="24"/>
          <w:lang w:eastAsia="zh-CN"/>
        </w:rPr>
        <w:t>: 197-199 [PMID: 12135981 DOI: 10.1083/jcb.200206094]</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13 </w:t>
      </w:r>
      <w:r w:rsidRPr="00772AC6">
        <w:rPr>
          <w:rFonts w:ascii="Book Antiqua" w:eastAsia="SimSun" w:hAnsi="Book Antiqua"/>
          <w:b/>
          <w:sz w:val="24"/>
          <w:szCs w:val="24"/>
          <w:lang w:eastAsia="zh-CN"/>
        </w:rPr>
        <w:t>van Meeteren LA</w:t>
      </w:r>
      <w:r w:rsidRPr="00772AC6">
        <w:rPr>
          <w:rFonts w:ascii="Book Antiqua" w:eastAsia="SimSun" w:hAnsi="Book Antiqua"/>
          <w:sz w:val="24"/>
          <w:szCs w:val="24"/>
          <w:lang w:eastAsia="zh-CN"/>
        </w:rPr>
        <w:t xml:space="preserve">, Ruurs P, Stortelers C, Bouwman P, van Rooijen MA, Pradère JP, Pettit TR, Wakelam MJ, Saulnier-Blache JS, Mummery CL, Moolenaar WH, Jonkers J. Autotaxin, a secreted lysophospholipase D, is essential for blood vessel formation during development. </w:t>
      </w:r>
      <w:r w:rsidRPr="00772AC6">
        <w:rPr>
          <w:rFonts w:ascii="Book Antiqua" w:eastAsia="SimSun" w:hAnsi="Book Antiqua"/>
          <w:i/>
          <w:sz w:val="24"/>
          <w:szCs w:val="24"/>
          <w:lang w:eastAsia="zh-CN"/>
        </w:rPr>
        <w:t>Mol Cell Biol</w:t>
      </w:r>
      <w:r w:rsidRPr="00772AC6">
        <w:rPr>
          <w:rFonts w:ascii="Book Antiqua" w:eastAsia="SimSun" w:hAnsi="Book Antiqua"/>
          <w:sz w:val="24"/>
          <w:szCs w:val="24"/>
          <w:lang w:eastAsia="zh-CN"/>
        </w:rPr>
        <w:t xml:space="preserve"> 2006; </w:t>
      </w:r>
      <w:r w:rsidRPr="00772AC6">
        <w:rPr>
          <w:rFonts w:ascii="Book Antiqua" w:eastAsia="SimSun" w:hAnsi="Book Antiqua"/>
          <w:b/>
          <w:sz w:val="24"/>
          <w:szCs w:val="24"/>
          <w:lang w:eastAsia="zh-CN"/>
        </w:rPr>
        <w:t>26</w:t>
      </w:r>
      <w:r w:rsidRPr="00772AC6">
        <w:rPr>
          <w:rFonts w:ascii="Book Antiqua" w:eastAsia="SimSun" w:hAnsi="Book Antiqua"/>
          <w:sz w:val="24"/>
          <w:szCs w:val="24"/>
          <w:lang w:eastAsia="zh-CN"/>
        </w:rPr>
        <w:t>: 5015-5022 [PMID: 16782887 DOI: 10.1128/MCB.02419-05]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14 </w:t>
      </w:r>
      <w:r w:rsidRPr="00772AC6">
        <w:rPr>
          <w:rFonts w:ascii="Book Antiqua" w:eastAsia="SimSun" w:hAnsi="Book Antiqua"/>
          <w:b/>
          <w:sz w:val="24"/>
          <w:szCs w:val="24"/>
          <w:lang w:eastAsia="zh-CN"/>
        </w:rPr>
        <w:t>Pradère JP</w:t>
      </w:r>
      <w:r w:rsidRPr="00772AC6">
        <w:rPr>
          <w:rFonts w:ascii="Book Antiqua" w:eastAsia="SimSun" w:hAnsi="Book Antiqua"/>
          <w:sz w:val="24"/>
          <w:szCs w:val="24"/>
          <w:lang w:eastAsia="zh-CN"/>
        </w:rPr>
        <w:t xml:space="preserve">, Tarnus E, Grès S, Valet P, Saulnier-Blache JS. Secretion and lysophospholipase D activity of autotaxin by adipocytes are controlled by N-glycosylation and signal peptidase. </w:t>
      </w:r>
      <w:r w:rsidRPr="00772AC6">
        <w:rPr>
          <w:rFonts w:ascii="Book Antiqua" w:eastAsia="SimSun" w:hAnsi="Book Antiqua"/>
          <w:i/>
          <w:sz w:val="24"/>
          <w:szCs w:val="24"/>
          <w:lang w:eastAsia="zh-CN"/>
        </w:rPr>
        <w:t>Biochim Biophys Acta</w:t>
      </w:r>
      <w:r w:rsidRPr="00772AC6">
        <w:rPr>
          <w:rFonts w:ascii="Book Antiqua" w:eastAsia="SimSun" w:hAnsi="Book Antiqua"/>
          <w:sz w:val="24"/>
          <w:szCs w:val="24"/>
          <w:lang w:eastAsia="zh-CN"/>
        </w:rPr>
        <w:t xml:space="preserve"> 2007; </w:t>
      </w:r>
      <w:r w:rsidRPr="00772AC6">
        <w:rPr>
          <w:rFonts w:ascii="Book Antiqua" w:eastAsia="SimSun" w:hAnsi="Book Antiqua"/>
          <w:b/>
          <w:sz w:val="24"/>
          <w:szCs w:val="24"/>
          <w:lang w:eastAsia="zh-CN"/>
        </w:rPr>
        <w:t>1771</w:t>
      </w:r>
      <w:r w:rsidRPr="00772AC6">
        <w:rPr>
          <w:rFonts w:ascii="Book Antiqua" w:eastAsia="SimSun" w:hAnsi="Book Antiqua"/>
          <w:sz w:val="24"/>
          <w:szCs w:val="24"/>
          <w:lang w:eastAsia="zh-CN"/>
        </w:rPr>
        <w:t>: 93-102 [PMID: 17208043 DOI: 10.1016/j.bbalip.2006.11.010]</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15 </w:t>
      </w:r>
      <w:r w:rsidRPr="00772AC6">
        <w:rPr>
          <w:rFonts w:ascii="Book Antiqua" w:eastAsia="SimSun" w:hAnsi="Book Antiqua"/>
          <w:b/>
          <w:sz w:val="24"/>
          <w:szCs w:val="24"/>
          <w:lang w:eastAsia="zh-CN"/>
        </w:rPr>
        <w:t>Tager AM</w:t>
      </w:r>
      <w:r w:rsidRPr="00772AC6">
        <w:rPr>
          <w:rFonts w:ascii="Book Antiqua" w:eastAsia="SimSun" w:hAnsi="Book Antiqua"/>
          <w:sz w:val="24"/>
          <w:szCs w:val="24"/>
          <w:lang w:eastAsia="zh-CN"/>
        </w:rPr>
        <w:t xml:space="preserve">, LaCamera P, Shea BS, Campanella GS, Selman M, Zhao Z, Polosukhin V, Wain J, Karimi-Shah BA, Kim ND, Hart WK, Pardo A, Blackwell TS, Xu Y, Chun J, Luster AD. The lysophosphatidic acid receptor LPA1 links pulmonary fibrosis to lung injury by mediating fibroblast recruitment and </w:t>
      </w:r>
      <w:r w:rsidRPr="00772AC6">
        <w:rPr>
          <w:rFonts w:ascii="Book Antiqua" w:eastAsia="SimSun" w:hAnsi="Book Antiqua"/>
          <w:sz w:val="24"/>
          <w:szCs w:val="24"/>
          <w:lang w:eastAsia="zh-CN"/>
        </w:rPr>
        <w:lastRenderedPageBreak/>
        <w:t xml:space="preserve">vascular leak. </w:t>
      </w:r>
      <w:r w:rsidRPr="00772AC6">
        <w:rPr>
          <w:rFonts w:ascii="Book Antiqua" w:eastAsia="SimSun" w:hAnsi="Book Antiqua"/>
          <w:i/>
          <w:sz w:val="24"/>
          <w:szCs w:val="24"/>
          <w:lang w:eastAsia="zh-CN"/>
        </w:rPr>
        <w:t>Nat Med</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14</w:t>
      </w:r>
      <w:r w:rsidRPr="00772AC6">
        <w:rPr>
          <w:rFonts w:ascii="Book Antiqua" w:eastAsia="SimSun" w:hAnsi="Book Antiqua"/>
          <w:sz w:val="24"/>
          <w:szCs w:val="24"/>
          <w:lang w:eastAsia="zh-CN"/>
        </w:rPr>
        <w:t>: 45-54 [PMID: 18066075 DOI: 10.1038/nm1685]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16 </w:t>
      </w:r>
      <w:r w:rsidRPr="00772AC6">
        <w:rPr>
          <w:rFonts w:ascii="Book Antiqua" w:eastAsia="SimSun" w:hAnsi="Book Antiqua"/>
          <w:b/>
          <w:sz w:val="24"/>
          <w:szCs w:val="24"/>
          <w:lang w:eastAsia="zh-CN"/>
        </w:rPr>
        <w:t>Castelino FV</w:t>
      </w:r>
      <w:r w:rsidRPr="00772AC6">
        <w:rPr>
          <w:rFonts w:ascii="Book Antiqua" w:eastAsia="SimSun" w:hAnsi="Book Antiqua"/>
          <w:sz w:val="24"/>
          <w:szCs w:val="24"/>
          <w:lang w:eastAsia="zh-CN"/>
        </w:rPr>
        <w:t xml:space="preserve">, Seiders J, Bain G, Brooks SF, King CD, Swaney JS, Lorrain DS, Chun J, Luster AD, Tager AM. Amelioration of dermal fibrosis by genetic deletion or pharmacologic antagonism of lysophosphatidic acid receptor 1 in a mouse model of scleroderma. </w:t>
      </w:r>
      <w:r w:rsidRPr="00772AC6">
        <w:rPr>
          <w:rFonts w:ascii="Book Antiqua" w:eastAsia="SimSun" w:hAnsi="Book Antiqua"/>
          <w:i/>
          <w:sz w:val="24"/>
          <w:szCs w:val="24"/>
          <w:lang w:eastAsia="zh-CN"/>
        </w:rPr>
        <w:t>Arthritis Rheum</w:t>
      </w:r>
      <w:r w:rsidRPr="00772AC6">
        <w:rPr>
          <w:rFonts w:ascii="Book Antiqua" w:eastAsia="SimSun" w:hAnsi="Book Antiqua"/>
          <w:sz w:val="24"/>
          <w:szCs w:val="24"/>
          <w:lang w:eastAsia="zh-CN"/>
        </w:rPr>
        <w:t xml:space="preserve"> 2011; </w:t>
      </w:r>
      <w:r w:rsidRPr="00772AC6">
        <w:rPr>
          <w:rFonts w:ascii="Book Antiqua" w:eastAsia="SimSun" w:hAnsi="Book Antiqua"/>
          <w:b/>
          <w:sz w:val="24"/>
          <w:szCs w:val="24"/>
          <w:lang w:eastAsia="zh-CN"/>
        </w:rPr>
        <w:t>63</w:t>
      </w:r>
      <w:r w:rsidRPr="00772AC6">
        <w:rPr>
          <w:rFonts w:ascii="Book Antiqua" w:eastAsia="SimSun" w:hAnsi="Book Antiqua"/>
          <w:sz w:val="24"/>
          <w:szCs w:val="24"/>
          <w:lang w:eastAsia="zh-CN"/>
        </w:rPr>
        <w:t>: 1405-1415 [PMID: 21305523 DOI: 10.1002/art.30262]</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17 </w:t>
      </w:r>
      <w:r w:rsidRPr="00772AC6">
        <w:rPr>
          <w:rFonts w:ascii="Book Antiqua" w:eastAsia="SimSun" w:hAnsi="Book Antiqua"/>
          <w:b/>
          <w:sz w:val="24"/>
          <w:szCs w:val="24"/>
          <w:lang w:eastAsia="zh-CN"/>
        </w:rPr>
        <w:t>Sakai N</w:t>
      </w:r>
      <w:r w:rsidRPr="00772AC6">
        <w:rPr>
          <w:rFonts w:ascii="Book Antiqua" w:eastAsia="SimSun" w:hAnsi="Book Antiqua"/>
          <w:sz w:val="24"/>
          <w:szCs w:val="24"/>
          <w:lang w:eastAsia="zh-CN"/>
        </w:rPr>
        <w:t xml:space="preserve">, Chun J, Duffield JS, Wada T, Luster AD, Tager AM. LPA1-induced cytoskeleton reorganization drives fibrosis through CTGF-dependent fibroblast proliferation. </w:t>
      </w:r>
      <w:r w:rsidRPr="00772AC6">
        <w:rPr>
          <w:rFonts w:ascii="Book Antiqua" w:eastAsia="SimSun" w:hAnsi="Book Antiqua"/>
          <w:i/>
          <w:sz w:val="24"/>
          <w:szCs w:val="24"/>
          <w:lang w:eastAsia="zh-CN"/>
        </w:rPr>
        <w:t>FASEB J</w:t>
      </w:r>
      <w:r w:rsidRPr="00772AC6">
        <w:rPr>
          <w:rFonts w:ascii="Book Antiqua" w:eastAsia="SimSun" w:hAnsi="Book Antiqua"/>
          <w:sz w:val="24"/>
          <w:szCs w:val="24"/>
          <w:lang w:eastAsia="zh-CN"/>
        </w:rPr>
        <w:t xml:space="preserve"> 2013; </w:t>
      </w:r>
      <w:r w:rsidRPr="00772AC6">
        <w:rPr>
          <w:rFonts w:ascii="Book Antiqua" w:eastAsia="SimSun" w:hAnsi="Book Antiqua"/>
          <w:b/>
          <w:sz w:val="24"/>
          <w:szCs w:val="24"/>
          <w:lang w:eastAsia="zh-CN"/>
        </w:rPr>
        <w:t>27</w:t>
      </w:r>
      <w:r w:rsidRPr="00772AC6">
        <w:rPr>
          <w:rFonts w:ascii="Book Antiqua" w:eastAsia="SimSun" w:hAnsi="Book Antiqua"/>
          <w:sz w:val="24"/>
          <w:szCs w:val="24"/>
          <w:lang w:eastAsia="zh-CN"/>
        </w:rPr>
        <w:t>: 1830-1846 [PMID: 23322166 DOI: 10.1096/fj.12-219378]</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18 </w:t>
      </w:r>
      <w:r w:rsidRPr="00772AC6">
        <w:rPr>
          <w:rFonts w:ascii="Book Antiqua" w:eastAsia="SimSun" w:hAnsi="Book Antiqua"/>
          <w:b/>
          <w:sz w:val="24"/>
          <w:szCs w:val="24"/>
          <w:lang w:eastAsia="zh-CN"/>
        </w:rPr>
        <w:t>Aikawa S</w:t>
      </w:r>
      <w:r w:rsidRPr="00772AC6">
        <w:rPr>
          <w:rFonts w:ascii="Book Antiqua" w:eastAsia="SimSun" w:hAnsi="Book Antiqua"/>
          <w:sz w:val="24"/>
          <w:szCs w:val="24"/>
          <w:lang w:eastAsia="zh-CN"/>
        </w:rPr>
        <w:t xml:space="preserve">, Hashimoto T, Kano K, Aoki J. Lysophosphatidic acid as a lipid mediator with multiple biological actions. </w:t>
      </w:r>
      <w:r w:rsidRPr="00772AC6">
        <w:rPr>
          <w:rFonts w:ascii="Book Antiqua" w:eastAsia="SimSun" w:hAnsi="Book Antiqua"/>
          <w:i/>
          <w:sz w:val="24"/>
          <w:szCs w:val="24"/>
          <w:lang w:eastAsia="zh-CN"/>
        </w:rPr>
        <w:t>J Biochem</w:t>
      </w:r>
      <w:r w:rsidRPr="00772AC6">
        <w:rPr>
          <w:rFonts w:ascii="Book Antiqua" w:eastAsia="SimSun" w:hAnsi="Book Antiqua"/>
          <w:sz w:val="24"/>
          <w:szCs w:val="24"/>
          <w:lang w:eastAsia="zh-CN"/>
        </w:rPr>
        <w:t xml:space="preserve"> 2015; </w:t>
      </w:r>
      <w:r w:rsidRPr="00772AC6">
        <w:rPr>
          <w:rFonts w:ascii="Book Antiqua" w:eastAsia="SimSun" w:hAnsi="Book Antiqua"/>
          <w:b/>
          <w:sz w:val="24"/>
          <w:szCs w:val="24"/>
          <w:lang w:eastAsia="zh-CN"/>
        </w:rPr>
        <w:t>157</w:t>
      </w:r>
      <w:r w:rsidRPr="00772AC6">
        <w:rPr>
          <w:rFonts w:ascii="Book Antiqua" w:eastAsia="SimSun" w:hAnsi="Book Antiqua"/>
          <w:sz w:val="24"/>
          <w:szCs w:val="24"/>
          <w:lang w:eastAsia="zh-CN"/>
        </w:rPr>
        <w:t>: 81-89 [PMID: 25500504 DOI: 10.1093/jb/mvu077]</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19 </w:t>
      </w:r>
      <w:r w:rsidRPr="00772AC6">
        <w:rPr>
          <w:rFonts w:ascii="Book Antiqua" w:eastAsia="SimSun" w:hAnsi="Book Antiqua"/>
          <w:b/>
          <w:sz w:val="24"/>
          <w:szCs w:val="24"/>
          <w:lang w:eastAsia="zh-CN"/>
        </w:rPr>
        <w:t>Tanaka N</w:t>
      </w:r>
      <w:r w:rsidRPr="00772AC6">
        <w:rPr>
          <w:rFonts w:ascii="Book Antiqua" w:eastAsia="SimSun" w:hAnsi="Book Antiqua"/>
          <w:sz w:val="24"/>
          <w:szCs w:val="24"/>
          <w:lang w:eastAsia="zh-CN"/>
        </w:rPr>
        <w:t xml:space="preserve">, Matsubara T, Krausz KW, Patterson AD, Gonzalez FJ. Disruption of phospholipid and bile acid homeostasis in mice with nonalcoholic steatohepatitis. </w:t>
      </w:r>
      <w:r w:rsidRPr="00772AC6">
        <w:rPr>
          <w:rFonts w:ascii="Book Antiqua" w:eastAsia="SimSun" w:hAnsi="Book Antiqua"/>
          <w:i/>
          <w:sz w:val="24"/>
          <w:szCs w:val="24"/>
          <w:lang w:eastAsia="zh-CN"/>
        </w:rPr>
        <w:t>Hepatology</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56</w:t>
      </w:r>
      <w:r w:rsidRPr="00772AC6">
        <w:rPr>
          <w:rFonts w:ascii="Book Antiqua" w:eastAsia="SimSun" w:hAnsi="Book Antiqua"/>
          <w:sz w:val="24"/>
          <w:szCs w:val="24"/>
          <w:lang w:eastAsia="zh-CN"/>
        </w:rPr>
        <w:t>: 118-129 [PMID: 22290395 DOI: 10.1002/hep.25630]</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20 </w:t>
      </w:r>
      <w:r w:rsidRPr="00772AC6">
        <w:rPr>
          <w:rFonts w:ascii="Book Antiqua" w:eastAsia="SimSun" w:hAnsi="Book Antiqua"/>
          <w:b/>
          <w:sz w:val="24"/>
          <w:szCs w:val="24"/>
          <w:lang w:eastAsia="zh-CN"/>
        </w:rPr>
        <w:t>Tanaka N</w:t>
      </w:r>
      <w:r w:rsidRPr="00772AC6">
        <w:rPr>
          <w:rFonts w:ascii="Book Antiqua" w:eastAsia="SimSun" w:hAnsi="Book Antiqua"/>
          <w:sz w:val="24"/>
          <w:szCs w:val="24"/>
          <w:lang w:eastAsia="zh-CN"/>
        </w:rPr>
        <w:t xml:space="preserve">, Takahashi S, Hu X, Lu Y, Fujimori N, Golla S, Fang ZZ, Aoyama T, Krausz KW, Gonzalez FJ. Growth arrest and DNA damage-inducible 45α protects against nonalcoholic steatohepatitis induced by methionine- and choline-deficient diet. </w:t>
      </w:r>
      <w:r w:rsidRPr="00772AC6">
        <w:rPr>
          <w:rFonts w:ascii="Book Antiqua" w:eastAsia="SimSun" w:hAnsi="Book Antiqua"/>
          <w:i/>
          <w:sz w:val="24"/>
          <w:szCs w:val="24"/>
          <w:lang w:eastAsia="zh-CN"/>
        </w:rPr>
        <w:t>Biochim Biophys Acta</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1863</w:t>
      </w:r>
      <w:r w:rsidRPr="00772AC6">
        <w:rPr>
          <w:rFonts w:ascii="Book Antiqua" w:eastAsia="SimSun" w:hAnsi="Book Antiqua"/>
          <w:sz w:val="24"/>
          <w:szCs w:val="24"/>
          <w:lang w:eastAsia="zh-CN"/>
        </w:rPr>
        <w:t>: 3170-3182 [PMID: 28844958 DOI: 10.1016/j.bbadis.2017.08.017]</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21 </w:t>
      </w:r>
      <w:r w:rsidRPr="00772AC6">
        <w:rPr>
          <w:rFonts w:ascii="Book Antiqua" w:eastAsia="SimSun" w:hAnsi="Book Antiqua"/>
          <w:b/>
          <w:sz w:val="24"/>
          <w:szCs w:val="24"/>
          <w:lang w:eastAsia="zh-CN"/>
        </w:rPr>
        <w:t>Jansen S</w:t>
      </w:r>
      <w:r w:rsidRPr="00772AC6">
        <w:rPr>
          <w:rFonts w:ascii="Book Antiqua" w:eastAsia="SimSun" w:hAnsi="Book Antiqua"/>
          <w:sz w:val="24"/>
          <w:szCs w:val="24"/>
          <w:lang w:eastAsia="zh-CN"/>
        </w:rPr>
        <w:t xml:space="preserve">, Andries M, Vekemans K, Vanbilloen H, Verbruggen A, Bollen M. Rapid clearance of the circulating metastatic factor autotaxin by the scavenger receptors of liver sinusoidal endothelial cells. </w:t>
      </w:r>
      <w:r w:rsidRPr="00772AC6">
        <w:rPr>
          <w:rFonts w:ascii="Book Antiqua" w:eastAsia="SimSun" w:hAnsi="Book Antiqua"/>
          <w:i/>
          <w:sz w:val="24"/>
          <w:szCs w:val="24"/>
          <w:lang w:eastAsia="zh-CN"/>
        </w:rPr>
        <w:t>Cancer Lett</w:t>
      </w:r>
      <w:r w:rsidRPr="00772AC6">
        <w:rPr>
          <w:rFonts w:ascii="Book Antiqua" w:eastAsia="SimSun" w:hAnsi="Book Antiqua"/>
          <w:sz w:val="24"/>
          <w:szCs w:val="24"/>
          <w:lang w:eastAsia="zh-CN"/>
        </w:rPr>
        <w:t xml:space="preserve"> 2009; </w:t>
      </w:r>
      <w:r w:rsidRPr="00772AC6">
        <w:rPr>
          <w:rFonts w:ascii="Book Antiqua" w:eastAsia="SimSun" w:hAnsi="Book Antiqua"/>
          <w:b/>
          <w:sz w:val="24"/>
          <w:szCs w:val="24"/>
          <w:lang w:eastAsia="zh-CN"/>
        </w:rPr>
        <w:t>284</w:t>
      </w:r>
      <w:r w:rsidRPr="00772AC6">
        <w:rPr>
          <w:rFonts w:ascii="Book Antiqua" w:eastAsia="SimSun" w:hAnsi="Book Antiqua"/>
          <w:sz w:val="24"/>
          <w:szCs w:val="24"/>
          <w:lang w:eastAsia="zh-CN"/>
        </w:rPr>
        <w:t>: 216-221 [PMID: 19482419 DOI: 10.1016/j.canlet.2009.04.029]</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22 </w:t>
      </w:r>
      <w:r w:rsidRPr="00772AC6">
        <w:rPr>
          <w:rFonts w:ascii="Book Antiqua" w:eastAsia="SimSun" w:hAnsi="Book Antiqua"/>
          <w:b/>
          <w:sz w:val="24"/>
          <w:szCs w:val="24"/>
          <w:lang w:eastAsia="zh-CN"/>
        </w:rPr>
        <w:t>Masuda A</w:t>
      </w:r>
      <w:r w:rsidRPr="00772AC6">
        <w:rPr>
          <w:rFonts w:ascii="Book Antiqua" w:eastAsia="SimSun" w:hAnsi="Book Antiqua"/>
          <w:sz w:val="24"/>
          <w:szCs w:val="24"/>
          <w:lang w:eastAsia="zh-CN"/>
        </w:rPr>
        <w:t xml:space="preserve">, Fujii T, Iwasawa Y, Nakamura K, Ohkawa R, Igarashi K, Okudaira S, Ikeda H, Kozuma S, Aoki J, Yatomi Y. Serum autotaxin measurements in pregnant women: application for the differentiation of normal </w:t>
      </w:r>
      <w:r w:rsidRPr="00772AC6">
        <w:rPr>
          <w:rFonts w:ascii="Book Antiqua" w:eastAsia="SimSun" w:hAnsi="Book Antiqua"/>
          <w:sz w:val="24"/>
          <w:szCs w:val="24"/>
          <w:lang w:eastAsia="zh-CN"/>
        </w:rPr>
        <w:lastRenderedPageBreak/>
        <w:t xml:space="preserve">pregnancy and pregnancy-induced hypertension. </w:t>
      </w:r>
      <w:r w:rsidRPr="00772AC6">
        <w:rPr>
          <w:rFonts w:ascii="Book Antiqua" w:eastAsia="SimSun" w:hAnsi="Book Antiqua"/>
          <w:i/>
          <w:sz w:val="24"/>
          <w:szCs w:val="24"/>
          <w:lang w:eastAsia="zh-CN"/>
        </w:rPr>
        <w:t>Clin Chim Acta</w:t>
      </w:r>
      <w:r w:rsidRPr="00772AC6">
        <w:rPr>
          <w:rFonts w:ascii="Book Antiqua" w:eastAsia="SimSun" w:hAnsi="Book Antiqua"/>
          <w:sz w:val="24"/>
          <w:szCs w:val="24"/>
          <w:lang w:eastAsia="zh-CN"/>
        </w:rPr>
        <w:t xml:space="preserve"> 2011; </w:t>
      </w:r>
      <w:r w:rsidRPr="00772AC6">
        <w:rPr>
          <w:rFonts w:ascii="Book Antiqua" w:eastAsia="SimSun" w:hAnsi="Book Antiqua"/>
          <w:b/>
          <w:sz w:val="24"/>
          <w:szCs w:val="24"/>
          <w:lang w:eastAsia="zh-CN"/>
        </w:rPr>
        <w:t>412</w:t>
      </w:r>
      <w:r w:rsidRPr="00772AC6">
        <w:rPr>
          <w:rFonts w:ascii="Book Antiqua" w:eastAsia="SimSun" w:hAnsi="Book Antiqua"/>
          <w:sz w:val="24"/>
          <w:szCs w:val="24"/>
          <w:lang w:eastAsia="zh-CN"/>
        </w:rPr>
        <w:t>: 1944-1950 [PMID: 21777571 DOI: 10.1016/j.cca.2011.06.039]</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23 </w:t>
      </w:r>
      <w:r w:rsidRPr="00772AC6">
        <w:rPr>
          <w:rFonts w:ascii="Book Antiqua" w:eastAsia="SimSun" w:hAnsi="Book Antiqua"/>
          <w:b/>
          <w:sz w:val="24"/>
          <w:szCs w:val="24"/>
          <w:lang w:eastAsia="zh-CN"/>
        </w:rPr>
        <w:t>Oikonomou N</w:t>
      </w:r>
      <w:r w:rsidRPr="00772AC6">
        <w:rPr>
          <w:rFonts w:ascii="Book Antiqua" w:eastAsia="SimSun" w:hAnsi="Book Antiqua"/>
          <w:sz w:val="24"/>
          <w:szCs w:val="24"/>
          <w:lang w:eastAsia="zh-CN"/>
        </w:rPr>
        <w:t xml:space="preserve">, Mouratis MA, Tzouvelekis A, Kaffe E, Valavanis C, Vilaras G, Karameris A, Prestwich GD, Bouros D, Aidinis V. Pulmonary autotaxin expression contributes to the pathogenesis of pulmonary fibrosis. </w:t>
      </w:r>
      <w:r w:rsidRPr="00772AC6">
        <w:rPr>
          <w:rFonts w:ascii="Book Antiqua" w:eastAsia="SimSun" w:hAnsi="Book Antiqua"/>
          <w:i/>
          <w:sz w:val="24"/>
          <w:szCs w:val="24"/>
          <w:lang w:eastAsia="zh-CN"/>
        </w:rPr>
        <w:t>Am J Respir Cell Mol Biol</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47</w:t>
      </w:r>
      <w:r w:rsidRPr="00772AC6">
        <w:rPr>
          <w:rFonts w:ascii="Book Antiqua" w:eastAsia="SimSun" w:hAnsi="Book Antiqua"/>
          <w:sz w:val="24"/>
          <w:szCs w:val="24"/>
          <w:lang w:eastAsia="zh-CN"/>
        </w:rPr>
        <w:t>: 566-574 [PMID: 22744859 DOI: 10.1165/rcmb.2012-0004OC]</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24 </w:t>
      </w:r>
      <w:r w:rsidRPr="00772AC6">
        <w:rPr>
          <w:rFonts w:ascii="Book Antiqua" w:eastAsia="SimSun" w:hAnsi="Book Antiqua"/>
          <w:b/>
          <w:sz w:val="24"/>
          <w:szCs w:val="24"/>
          <w:lang w:eastAsia="zh-CN"/>
        </w:rPr>
        <w:t>Nakai Y</w:t>
      </w:r>
      <w:r w:rsidRPr="00772AC6">
        <w:rPr>
          <w:rFonts w:ascii="Book Antiqua" w:eastAsia="SimSun" w:hAnsi="Book Antiqua"/>
          <w:sz w:val="24"/>
          <w:szCs w:val="24"/>
          <w:lang w:eastAsia="zh-CN"/>
        </w:rPr>
        <w:t xml:space="preserve">, Ikeda H, Nakamura K, Kume Y, Fujishiro M, Sasahira N, Hirano K, Isayama H, Tada M, Kawabe T, Komatsu Y, Omata M, Aoki J, Koike K, Yatomi Y. Specific increase in serum autotaxin activity in patients with pancreatic cancer. </w:t>
      </w:r>
      <w:r w:rsidRPr="00772AC6">
        <w:rPr>
          <w:rFonts w:ascii="Book Antiqua" w:eastAsia="SimSun" w:hAnsi="Book Antiqua"/>
          <w:i/>
          <w:sz w:val="24"/>
          <w:szCs w:val="24"/>
          <w:lang w:eastAsia="zh-CN"/>
        </w:rPr>
        <w:t>Clin Biochem</w:t>
      </w:r>
      <w:r w:rsidRPr="00772AC6">
        <w:rPr>
          <w:rFonts w:ascii="Book Antiqua" w:eastAsia="SimSun" w:hAnsi="Book Antiqua"/>
          <w:sz w:val="24"/>
          <w:szCs w:val="24"/>
          <w:lang w:eastAsia="zh-CN"/>
        </w:rPr>
        <w:t xml:space="preserve"> 2011; </w:t>
      </w:r>
      <w:r w:rsidRPr="00772AC6">
        <w:rPr>
          <w:rFonts w:ascii="Book Antiqua" w:eastAsia="SimSun" w:hAnsi="Book Antiqua"/>
          <w:b/>
          <w:sz w:val="24"/>
          <w:szCs w:val="24"/>
          <w:lang w:eastAsia="zh-CN"/>
        </w:rPr>
        <w:t>44</w:t>
      </w:r>
      <w:r w:rsidRPr="00772AC6">
        <w:rPr>
          <w:rFonts w:ascii="Book Antiqua" w:eastAsia="SimSun" w:hAnsi="Book Antiqua"/>
          <w:sz w:val="24"/>
          <w:szCs w:val="24"/>
          <w:lang w:eastAsia="zh-CN"/>
        </w:rPr>
        <w:t>: 576-581 [PMID: 21439952 DOI: 10.1016/j.clinbiochem.2011.03.128]</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25 </w:t>
      </w:r>
      <w:r w:rsidRPr="00772AC6">
        <w:rPr>
          <w:rFonts w:ascii="Book Antiqua" w:eastAsia="SimSun" w:hAnsi="Book Antiqua"/>
          <w:b/>
          <w:sz w:val="24"/>
          <w:szCs w:val="24"/>
          <w:lang w:eastAsia="zh-CN"/>
        </w:rPr>
        <w:t>Xu A</w:t>
      </w:r>
      <w:r w:rsidRPr="00772AC6">
        <w:rPr>
          <w:rFonts w:ascii="Book Antiqua" w:eastAsia="SimSun" w:hAnsi="Book Antiqua"/>
          <w:sz w:val="24"/>
          <w:szCs w:val="24"/>
          <w:lang w:eastAsia="zh-CN"/>
        </w:rPr>
        <w:t xml:space="preserve">, Ahsanul Kabir Khan M, Chen F, Zhong Z, Chen HC, Song Y. Overexpression of autotaxin is associated with human renal cell carcinoma and bladder carcinoma and their progression. </w:t>
      </w:r>
      <w:r w:rsidRPr="00772AC6">
        <w:rPr>
          <w:rFonts w:ascii="Book Antiqua" w:eastAsia="SimSun" w:hAnsi="Book Antiqua"/>
          <w:i/>
          <w:sz w:val="24"/>
          <w:szCs w:val="24"/>
          <w:lang w:eastAsia="zh-CN"/>
        </w:rPr>
        <w:t>Med Oncol</w:t>
      </w:r>
      <w:r w:rsidRPr="00772AC6">
        <w:rPr>
          <w:rFonts w:ascii="Book Antiqua" w:eastAsia="SimSun" w:hAnsi="Book Antiqua"/>
          <w:sz w:val="24"/>
          <w:szCs w:val="24"/>
          <w:lang w:eastAsia="zh-CN"/>
        </w:rPr>
        <w:t xml:space="preserve"> 2016; </w:t>
      </w:r>
      <w:r w:rsidRPr="00772AC6">
        <w:rPr>
          <w:rFonts w:ascii="Book Antiqua" w:eastAsia="SimSun" w:hAnsi="Book Antiqua"/>
          <w:b/>
          <w:sz w:val="24"/>
          <w:szCs w:val="24"/>
          <w:lang w:eastAsia="zh-CN"/>
        </w:rPr>
        <w:t>33</w:t>
      </w:r>
      <w:r w:rsidRPr="00772AC6">
        <w:rPr>
          <w:rFonts w:ascii="Book Antiqua" w:eastAsia="SimSun" w:hAnsi="Book Antiqua"/>
          <w:sz w:val="24"/>
          <w:szCs w:val="24"/>
          <w:lang w:eastAsia="zh-CN"/>
        </w:rPr>
        <w:t>: 131 [PMID: 27757783 DOI: 10.1007/s12032-016-0836-7]</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26 </w:t>
      </w:r>
      <w:r w:rsidRPr="00772AC6">
        <w:rPr>
          <w:rFonts w:ascii="Book Antiqua" w:eastAsia="SimSun" w:hAnsi="Book Antiqua"/>
          <w:b/>
          <w:sz w:val="24"/>
          <w:szCs w:val="24"/>
          <w:lang w:eastAsia="zh-CN"/>
        </w:rPr>
        <w:t>Yamazaki T</w:t>
      </w:r>
      <w:r w:rsidRPr="00772AC6">
        <w:rPr>
          <w:rFonts w:ascii="Book Antiqua" w:eastAsia="SimSun" w:hAnsi="Book Antiqua"/>
          <w:sz w:val="24"/>
          <w:szCs w:val="24"/>
          <w:lang w:eastAsia="zh-CN"/>
        </w:rPr>
        <w:t xml:space="preserve">, Joshita S, Umemura T, Usami Y, Sugiura A, Fujimori N, Shibata S, Ichikawa Y, Komatsu M, Matsumoto A, Igarashi K, Tanaka E. Association of Serum Autotaxin Levels with Liver Fibrosis in Patients with Chronic Hepatitis C. </w:t>
      </w:r>
      <w:r w:rsidRPr="00772AC6">
        <w:rPr>
          <w:rFonts w:ascii="Book Antiqua" w:eastAsia="SimSun" w:hAnsi="Book Antiqua"/>
          <w:i/>
          <w:sz w:val="24"/>
          <w:szCs w:val="24"/>
          <w:lang w:eastAsia="zh-CN"/>
        </w:rPr>
        <w:t>Sci Rep</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7</w:t>
      </w:r>
      <w:r w:rsidRPr="00772AC6">
        <w:rPr>
          <w:rFonts w:ascii="Book Antiqua" w:eastAsia="SimSun" w:hAnsi="Book Antiqua"/>
          <w:sz w:val="24"/>
          <w:szCs w:val="24"/>
          <w:lang w:eastAsia="zh-CN"/>
        </w:rPr>
        <w:t>: 46705 [PMID: 28425454 DOI: 10.1038/srep46705]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27 </w:t>
      </w:r>
      <w:r w:rsidRPr="00772AC6">
        <w:rPr>
          <w:rFonts w:ascii="Book Antiqua" w:eastAsia="SimSun" w:hAnsi="Book Antiqua"/>
          <w:b/>
          <w:sz w:val="24"/>
          <w:szCs w:val="24"/>
          <w:lang w:eastAsia="zh-CN"/>
        </w:rPr>
        <w:t>Nakagawa H</w:t>
      </w:r>
      <w:r w:rsidRPr="00772AC6">
        <w:rPr>
          <w:rFonts w:ascii="Book Antiqua" w:eastAsia="SimSun" w:hAnsi="Book Antiqua"/>
          <w:sz w:val="24"/>
          <w:szCs w:val="24"/>
          <w:lang w:eastAsia="zh-CN"/>
        </w:rPr>
        <w:t xml:space="preserve">, Ikeda H, Nakamura K, Ohkawa R, Masuzaki R, Tateishi R, Yoshida H, Watanabe N, Tejima K, Kume Y, Iwai T, Suzuki A, Tomiya T, Inoue Y, Nishikawa T, Ohtomo N, Tanoue Y, Omata M, Igarashi K, Aoki J, Koike K, Yatomi Y. Autotaxin as a novel serum marker of liver fibrosis. </w:t>
      </w:r>
      <w:r w:rsidRPr="00772AC6">
        <w:rPr>
          <w:rFonts w:ascii="Book Antiqua" w:eastAsia="SimSun" w:hAnsi="Book Antiqua"/>
          <w:i/>
          <w:sz w:val="24"/>
          <w:szCs w:val="24"/>
          <w:lang w:eastAsia="zh-CN"/>
        </w:rPr>
        <w:t>Clin Chim Acta</w:t>
      </w:r>
      <w:r w:rsidRPr="00772AC6">
        <w:rPr>
          <w:rFonts w:ascii="Book Antiqua" w:eastAsia="SimSun" w:hAnsi="Book Antiqua"/>
          <w:sz w:val="24"/>
          <w:szCs w:val="24"/>
          <w:lang w:eastAsia="zh-CN"/>
        </w:rPr>
        <w:t xml:space="preserve"> 2011; </w:t>
      </w:r>
      <w:r w:rsidRPr="00772AC6">
        <w:rPr>
          <w:rFonts w:ascii="Book Antiqua" w:eastAsia="SimSun" w:hAnsi="Book Antiqua"/>
          <w:b/>
          <w:sz w:val="24"/>
          <w:szCs w:val="24"/>
          <w:lang w:eastAsia="zh-CN"/>
        </w:rPr>
        <w:t>412</w:t>
      </w:r>
      <w:r w:rsidRPr="00772AC6">
        <w:rPr>
          <w:rFonts w:ascii="Book Antiqua" w:eastAsia="SimSun" w:hAnsi="Book Antiqua"/>
          <w:sz w:val="24"/>
          <w:szCs w:val="24"/>
          <w:lang w:eastAsia="zh-CN"/>
        </w:rPr>
        <w:t>: 1201-1206 [PMID: 21419756 DOI: 10.1016/j.cca.2011.03.014]</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28 </w:t>
      </w:r>
      <w:r w:rsidRPr="00772AC6">
        <w:rPr>
          <w:rFonts w:ascii="Book Antiqua" w:eastAsia="SimSun" w:hAnsi="Book Antiqua"/>
          <w:b/>
          <w:sz w:val="24"/>
          <w:szCs w:val="24"/>
          <w:lang w:eastAsia="zh-CN"/>
        </w:rPr>
        <w:t>Ikeda H</w:t>
      </w:r>
      <w:r w:rsidRPr="00772AC6">
        <w:rPr>
          <w:rFonts w:ascii="Book Antiqua" w:eastAsia="SimSun" w:hAnsi="Book Antiqua"/>
          <w:sz w:val="24"/>
          <w:szCs w:val="24"/>
          <w:lang w:eastAsia="zh-CN"/>
        </w:rPr>
        <w:t xml:space="preserve">, Yatomi Y. Autotaxin in liver fibrosis. </w:t>
      </w:r>
      <w:r w:rsidRPr="00772AC6">
        <w:rPr>
          <w:rFonts w:ascii="Book Antiqua" w:eastAsia="SimSun" w:hAnsi="Book Antiqua"/>
          <w:i/>
          <w:sz w:val="24"/>
          <w:szCs w:val="24"/>
          <w:lang w:eastAsia="zh-CN"/>
        </w:rPr>
        <w:t>Clin Chim Acta</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413</w:t>
      </w:r>
      <w:r w:rsidRPr="00772AC6">
        <w:rPr>
          <w:rFonts w:ascii="Book Antiqua" w:eastAsia="SimSun" w:hAnsi="Book Antiqua"/>
          <w:sz w:val="24"/>
          <w:szCs w:val="24"/>
          <w:lang w:eastAsia="zh-CN"/>
        </w:rPr>
        <w:t>: 1817-1821 [PMID: 22820036 DOI: 10.1016/j.cca.2012.07.014]</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29 </w:t>
      </w:r>
      <w:r w:rsidRPr="00772AC6">
        <w:rPr>
          <w:rFonts w:ascii="Book Antiqua" w:eastAsia="SimSun" w:hAnsi="Book Antiqua"/>
          <w:b/>
          <w:sz w:val="24"/>
          <w:szCs w:val="24"/>
          <w:lang w:eastAsia="zh-CN"/>
        </w:rPr>
        <w:t>Pasarín M</w:t>
      </w:r>
      <w:r w:rsidRPr="00772AC6">
        <w:rPr>
          <w:rFonts w:ascii="Book Antiqua" w:eastAsia="SimSun" w:hAnsi="Book Antiqua"/>
          <w:sz w:val="24"/>
          <w:szCs w:val="24"/>
          <w:lang w:eastAsia="zh-CN"/>
        </w:rPr>
        <w:t xml:space="preserve">, La Mura V, Gracia-Sancho J, García-Calderó H, Rodríguez-Vilarrupla A, García-Pagán JC, Bosch J, Abraldes JG. Sinusoidal </w:t>
      </w:r>
      <w:r w:rsidRPr="00772AC6">
        <w:rPr>
          <w:rFonts w:ascii="Book Antiqua" w:eastAsia="SimSun" w:hAnsi="Book Antiqua"/>
          <w:sz w:val="24"/>
          <w:szCs w:val="24"/>
          <w:lang w:eastAsia="zh-CN"/>
        </w:rPr>
        <w:lastRenderedPageBreak/>
        <w:t xml:space="preserve">endothelial dysfunction precedes inflammation and fibrosis in a model of NAFLD. </w:t>
      </w:r>
      <w:r w:rsidRPr="00772AC6">
        <w:rPr>
          <w:rFonts w:ascii="Book Antiqua" w:eastAsia="SimSun" w:hAnsi="Book Antiqua"/>
          <w:i/>
          <w:sz w:val="24"/>
          <w:szCs w:val="24"/>
          <w:lang w:eastAsia="zh-CN"/>
        </w:rPr>
        <w:t>PLoS One</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7</w:t>
      </w:r>
      <w:r w:rsidRPr="00772AC6">
        <w:rPr>
          <w:rFonts w:ascii="Book Antiqua" w:eastAsia="SimSun" w:hAnsi="Book Antiqua"/>
          <w:sz w:val="24"/>
          <w:szCs w:val="24"/>
          <w:lang w:eastAsia="zh-CN"/>
        </w:rPr>
        <w:t>: e32785 [PMID: 22509248 DOI: 10.1371/journal.pone.0032785]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30 </w:t>
      </w:r>
      <w:r w:rsidRPr="00772AC6">
        <w:rPr>
          <w:rFonts w:ascii="Book Antiqua" w:eastAsia="SimSun" w:hAnsi="Book Antiqua"/>
          <w:b/>
          <w:sz w:val="24"/>
          <w:szCs w:val="24"/>
          <w:lang w:eastAsia="zh-CN"/>
        </w:rPr>
        <w:t>Komatsu M</w:t>
      </w:r>
      <w:r w:rsidRPr="00772AC6">
        <w:rPr>
          <w:rFonts w:ascii="Book Antiqua" w:eastAsia="SimSun" w:hAnsi="Book Antiqua"/>
          <w:sz w:val="24"/>
          <w:szCs w:val="24"/>
          <w:lang w:eastAsia="zh-CN"/>
        </w:rPr>
        <w:t xml:space="preserve">, Yazaki M, Tanaka N, Sano K, Hashimoto E, Takei Y, Song YZ, Tanaka E, Kiyosawa K, Saheki T, Aoyama T, Kobayashi K. Citrin deficiency as a cause of chronic liver disorder mimicking non-alcoholic fatty liver disease. </w:t>
      </w:r>
      <w:r w:rsidRPr="00772AC6">
        <w:rPr>
          <w:rFonts w:ascii="Book Antiqua" w:eastAsia="SimSun" w:hAnsi="Book Antiqua"/>
          <w:i/>
          <w:sz w:val="24"/>
          <w:szCs w:val="24"/>
          <w:lang w:eastAsia="zh-CN"/>
        </w:rPr>
        <w:t>J Hepatol</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49</w:t>
      </w:r>
      <w:r w:rsidRPr="00772AC6">
        <w:rPr>
          <w:rFonts w:ascii="Book Antiqua" w:eastAsia="SimSun" w:hAnsi="Book Antiqua"/>
          <w:sz w:val="24"/>
          <w:szCs w:val="24"/>
          <w:lang w:eastAsia="zh-CN"/>
        </w:rPr>
        <w:t>: 810-820 [PMID: 18620775 DOI: 10.1016/j.jhep.2008.05.016]</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31 </w:t>
      </w:r>
      <w:r w:rsidRPr="00772AC6">
        <w:rPr>
          <w:rFonts w:ascii="Book Antiqua" w:eastAsia="SimSun" w:hAnsi="Book Antiqua"/>
          <w:b/>
          <w:sz w:val="24"/>
          <w:szCs w:val="24"/>
          <w:lang w:eastAsia="zh-CN"/>
        </w:rPr>
        <w:t>Komatsu M</w:t>
      </w:r>
      <w:r w:rsidRPr="00772AC6">
        <w:rPr>
          <w:rFonts w:ascii="Book Antiqua" w:eastAsia="SimSun" w:hAnsi="Book Antiqua"/>
          <w:sz w:val="24"/>
          <w:szCs w:val="24"/>
          <w:lang w:eastAsia="zh-CN"/>
        </w:rPr>
        <w:t xml:space="preserve">, Kimura T, Yazaki M, Tanaka N, Yang Y, Nakajima T, Horiuchi A, Fang ZZ, Joshita S, Matsumoto A, Umemura T, Tanaka E, Gonzalez FJ, Ikeda S, Aoyama T. Steatogenesis in adult-onset type II citrullinemia is associated with down-regulation of PPARα. </w:t>
      </w:r>
      <w:r w:rsidRPr="00772AC6">
        <w:rPr>
          <w:rFonts w:ascii="Book Antiqua" w:eastAsia="SimSun" w:hAnsi="Book Antiqua"/>
          <w:i/>
          <w:sz w:val="24"/>
          <w:szCs w:val="24"/>
          <w:lang w:eastAsia="zh-CN"/>
        </w:rPr>
        <w:t>Biochim Biophys Acta</w:t>
      </w:r>
      <w:r w:rsidRPr="00772AC6">
        <w:rPr>
          <w:rFonts w:ascii="Book Antiqua" w:eastAsia="SimSun" w:hAnsi="Book Antiqua"/>
          <w:sz w:val="24"/>
          <w:szCs w:val="24"/>
          <w:lang w:eastAsia="zh-CN"/>
        </w:rPr>
        <w:t xml:space="preserve"> 2015; </w:t>
      </w:r>
      <w:r w:rsidRPr="00772AC6">
        <w:rPr>
          <w:rFonts w:ascii="Book Antiqua" w:eastAsia="SimSun" w:hAnsi="Book Antiqua"/>
          <w:b/>
          <w:sz w:val="24"/>
          <w:szCs w:val="24"/>
          <w:lang w:eastAsia="zh-CN"/>
        </w:rPr>
        <w:t>1852</w:t>
      </w:r>
      <w:r w:rsidRPr="00772AC6">
        <w:rPr>
          <w:rFonts w:ascii="Book Antiqua" w:eastAsia="SimSun" w:hAnsi="Book Antiqua"/>
          <w:sz w:val="24"/>
          <w:szCs w:val="24"/>
          <w:lang w:eastAsia="zh-CN"/>
        </w:rPr>
        <w:t>: 473-481 [PMID: 25533124 DOI: 10.1016/j.bbadis.2014.12.011]</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32 </w:t>
      </w:r>
      <w:r w:rsidRPr="00772AC6">
        <w:rPr>
          <w:rFonts w:ascii="Book Antiqua" w:eastAsia="SimSun" w:hAnsi="Book Antiqua"/>
          <w:b/>
          <w:sz w:val="24"/>
          <w:szCs w:val="24"/>
          <w:lang w:eastAsia="zh-CN"/>
        </w:rPr>
        <w:t>Matthews DR</w:t>
      </w:r>
      <w:r w:rsidRPr="00772AC6">
        <w:rPr>
          <w:rFonts w:ascii="Book Antiqua" w:eastAsia="SimSun" w:hAnsi="Book Antiqua"/>
          <w:sz w:val="24"/>
          <w:szCs w:val="24"/>
          <w:lang w:eastAsia="zh-CN"/>
        </w:rPr>
        <w:t xml:space="preserve">, Hosker JP, Rudenski AS, Naylor BA, Treacher DF, Turner RC. Homeostasis model assessment: insulin resistance and beta-cell function from fasting plasma glucose and insulin concentrations in man. </w:t>
      </w:r>
      <w:r w:rsidRPr="00772AC6">
        <w:rPr>
          <w:rFonts w:ascii="Book Antiqua" w:eastAsia="SimSun" w:hAnsi="Book Antiqua"/>
          <w:i/>
          <w:sz w:val="24"/>
          <w:szCs w:val="24"/>
          <w:lang w:eastAsia="zh-CN"/>
        </w:rPr>
        <w:t>Diabetologia</w:t>
      </w:r>
      <w:r w:rsidRPr="00772AC6">
        <w:rPr>
          <w:rFonts w:ascii="Book Antiqua" w:eastAsia="SimSun" w:hAnsi="Book Antiqua"/>
          <w:sz w:val="24"/>
          <w:szCs w:val="24"/>
          <w:lang w:eastAsia="zh-CN"/>
        </w:rPr>
        <w:t xml:space="preserve"> 1985; </w:t>
      </w:r>
      <w:r w:rsidRPr="00772AC6">
        <w:rPr>
          <w:rFonts w:ascii="Book Antiqua" w:eastAsia="SimSun" w:hAnsi="Book Antiqua"/>
          <w:b/>
          <w:sz w:val="24"/>
          <w:szCs w:val="24"/>
          <w:lang w:eastAsia="zh-CN"/>
        </w:rPr>
        <w:t>28</w:t>
      </w:r>
      <w:r w:rsidRPr="00772AC6">
        <w:rPr>
          <w:rFonts w:ascii="Book Antiqua" w:eastAsia="SimSun" w:hAnsi="Book Antiqua"/>
          <w:sz w:val="24"/>
          <w:szCs w:val="24"/>
          <w:lang w:eastAsia="zh-CN"/>
        </w:rPr>
        <w:t>: 412-419 [PMID: 3899825]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33 </w:t>
      </w:r>
      <w:r w:rsidRPr="00772AC6">
        <w:rPr>
          <w:rFonts w:ascii="Book Antiqua" w:eastAsia="SimSun" w:hAnsi="Book Antiqua"/>
          <w:b/>
          <w:sz w:val="24"/>
          <w:szCs w:val="24"/>
          <w:lang w:eastAsia="zh-CN"/>
        </w:rPr>
        <w:t>Tanaka N</w:t>
      </w:r>
      <w:r w:rsidRPr="00772AC6">
        <w:rPr>
          <w:rFonts w:ascii="Book Antiqua" w:eastAsia="SimSun" w:hAnsi="Book Antiqua"/>
          <w:sz w:val="24"/>
          <w:szCs w:val="24"/>
          <w:lang w:eastAsia="zh-CN"/>
        </w:rPr>
        <w:t xml:space="preserve">, Nagaya T, Komatsu M, Horiuchi A, Tsuruta G, Shirakawa H, Umemura T, Ichijo T, Matsumoto A, Yoshizawa K, Aoyama T, Kiyosawa K, Tanaka E. Insulin resistance and hepatitis C virus: a case-control study of non-obese, non-alcoholic and non-steatotic hepatitis virus carriers with persistently normal serum aminotransferase. </w:t>
      </w:r>
      <w:r w:rsidRPr="00772AC6">
        <w:rPr>
          <w:rFonts w:ascii="Book Antiqua" w:eastAsia="SimSun" w:hAnsi="Book Antiqua"/>
          <w:i/>
          <w:sz w:val="24"/>
          <w:szCs w:val="24"/>
          <w:lang w:eastAsia="zh-CN"/>
        </w:rPr>
        <w:t>Liver Int</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28</w:t>
      </w:r>
      <w:r w:rsidRPr="00772AC6">
        <w:rPr>
          <w:rFonts w:ascii="Book Antiqua" w:eastAsia="SimSun" w:hAnsi="Book Antiqua"/>
          <w:sz w:val="24"/>
          <w:szCs w:val="24"/>
          <w:lang w:eastAsia="zh-CN"/>
        </w:rPr>
        <w:t>: 1104-1111 [PMID: 18397231 DOI: 10.1111/j.1478-3231.2008.01737.x]</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34 </w:t>
      </w:r>
      <w:r w:rsidRPr="00772AC6">
        <w:rPr>
          <w:rFonts w:ascii="Book Antiqua" w:eastAsia="SimSun" w:hAnsi="Book Antiqua"/>
          <w:b/>
          <w:sz w:val="24"/>
          <w:szCs w:val="24"/>
          <w:lang w:eastAsia="zh-CN"/>
        </w:rPr>
        <w:t>Sterling RK</w:t>
      </w:r>
      <w:r w:rsidRPr="00772AC6">
        <w:rPr>
          <w:rFonts w:ascii="Book Antiqua" w:eastAsia="SimSun" w:hAnsi="Book Antiqua"/>
          <w:sz w:val="24"/>
          <w:szCs w:val="24"/>
          <w:lang w:eastAsia="zh-CN"/>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772AC6">
        <w:rPr>
          <w:rFonts w:ascii="Book Antiqua" w:eastAsia="SimSun" w:hAnsi="Book Antiqua"/>
          <w:i/>
          <w:sz w:val="24"/>
          <w:szCs w:val="24"/>
          <w:lang w:eastAsia="zh-CN"/>
        </w:rPr>
        <w:t>Hepatology</w:t>
      </w:r>
      <w:r w:rsidRPr="00772AC6">
        <w:rPr>
          <w:rFonts w:ascii="Book Antiqua" w:eastAsia="SimSun" w:hAnsi="Book Antiqua"/>
          <w:sz w:val="24"/>
          <w:szCs w:val="24"/>
          <w:lang w:eastAsia="zh-CN"/>
        </w:rPr>
        <w:t xml:space="preserve"> 2006; </w:t>
      </w:r>
      <w:r w:rsidRPr="00772AC6">
        <w:rPr>
          <w:rFonts w:ascii="Book Antiqua" w:eastAsia="SimSun" w:hAnsi="Book Antiqua"/>
          <w:b/>
          <w:sz w:val="24"/>
          <w:szCs w:val="24"/>
          <w:lang w:eastAsia="zh-CN"/>
        </w:rPr>
        <w:t>43</w:t>
      </w:r>
      <w:r w:rsidRPr="00772AC6">
        <w:rPr>
          <w:rFonts w:ascii="Book Antiqua" w:eastAsia="SimSun" w:hAnsi="Book Antiqua"/>
          <w:sz w:val="24"/>
          <w:szCs w:val="24"/>
          <w:lang w:eastAsia="zh-CN"/>
        </w:rPr>
        <w:t>: 1317-1325 [PMID: 16729309 DOI: 10.1002/hep.21178]</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35 </w:t>
      </w:r>
      <w:r w:rsidRPr="00772AC6">
        <w:rPr>
          <w:rFonts w:ascii="Book Antiqua" w:eastAsia="SimSun" w:hAnsi="Book Antiqua"/>
          <w:b/>
          <w:sz w:val="24"/>
          <w:szCs w:val="24"/>
          <w:lang w:eastAsia="zh-CN"/>
        </w:rPr>
        <w:t>Wai CT</w:t>
      </w:r>
      <w:r w:rsidRPr="00772AC6">
        <w:rPr>
          <w:rFonts w:ascii="Book Antiqua" w:eastAsia="SimSun" w:hAnsi="Book Antiqua"/>
          <w:sz w:val="24"/>
          <w:szCs w:val="24"/>
          <w:lang w:eastAsia="zh-CN"/>
        </w:rPr>
        <w:t xml:space="preserve">, Greenson JK, Fontana RJ, Kalbfleisch JD, Marrero JA, Conjeevaram HS, Lok AS. A simple noninvasive index can predict both significant fibrosis </w:t>
      </w:r>
      <w:r w:rsidRPr="00772AC6">
        <w:rPr>
          <w:rFonts w:ascii="Book Antiqua" w:eastAsia="SimSun" w:hAnsi="Book Antiqua"/>
          <w:sz w:val="24"/>
          <w:szCs w:val="24"/>
          <w:lang w:eastAsia="zh-CN"/>
        </w:rPr>
        <w:lastRenderedPageBreak/>
        <w:t xml:space="preserve">and cirrhosis in patients with chronic hepatitis C. </w:t>
      </w:r>
      <w:r w:rsidRPr="00772AC6">
        <w:rPr>
          <w:rFonts w:ascii="Book Antiqua" w:eastAsia="SimSun" w:hAnsi="Book Antiqua"/>
          <w:i/>
          <w:sz w:val="24"/>
          <w:szCs w:val="24"/>
          <w:lang w:eastAsia="zh-CN"/>
        </w:rPr>
        <w:t>Hepatology</w:t>
      </w:r>
      <w:r w:rsidRPr="00772AC6">
        <w:rPr>
          <w:rFonts w:ascii="Book Antiqua" w:eastAsia="SimSun" w:hAnsi="Book Antiqua"/>
          <w:sz w:val="24"/>
          <w:szCs w:val="24"/>
          <w:lang w:eastAsia="zh-CN"/>
        </w:rPr>
        <w:t xml:space="preserve"> 2003; </w:t>
      </w:r>
      <w:r w:rsidRPr="00772AC6">
        <w:rPr>
          <w:rFonts w:ascii="Book Antiqua" w:eastAsia="SimSun" w:hAnsi="Book Antiqua"/>
          <w:b/>
          <w:sz w:val="24"/>
          <w:szCs w:val="24"/>
          <w:lang w:eastAsia="zh-CN"/>
        </w:rPr>
        <w:t>38</w:t>
      </w:r>
      <w:r w:rsidRPr="00772AC6">
        <w:rPr>
          <w:rFonts w:ascii="Book Antiqua" w:eastAsia="SimSun" w:hAnsi="Book Antiqua"/>
          <w:sz w:val="24"/>
          <w:szCs w:val="24"/>
          <w:lang w:eastAsia="zh-CN"/>
        </w:rPr>
        <w:t>: 518-526 [PMID: 12883497 DOI: 10.1053/jhep.2003.50346]</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36 </w:t>
      </w:r>
      <w:r w:rsidRPr="00772AC6">
        <w:rPr>
          <w:rFonts w:ascii="Book Antiqua" w:eastAsia="SimSun" w:hAnsi="Book Antiqua"/>
          <w:b/>
          <w:sz w:val="24"/>
          <w:szCs w:val="24"/>
          <w:lang w:eastAsia="zh-CN"/>
        </w:rPr>
        <w:t>Nakamura K</w:t>
      </w:r>
      <w:r w:rsidRPr="00772AC6">
        <w:rPr>
          <w:rFonts w:ascii="Book Antiqua" w:eastAsia="SimSun" w:hAnsi="Book Antiqua"/>
          <w:sz w:val="24"/>
          <w:szCs w:val="24"/>
          <w:lang w:eastAsia="zh-CN"/>
        </w:rPr>
        <w:t xml:space="preserve">, Igarashi K, Ide K, Ohkawa R, Okubo S, Yokota H, Masuda A, Oshima N, Takeuchi T, Nangaku M, Okudaira S, Arai H, Ikeda H, Aoki J, Yatomi Y. Validation of an autotaxin enzyme immunoassay in human serum samples and its application to hypoalbuminemia differentiation. </w:t>
      </w:r>
      <w:r w:rsidRPr="00772AC6">
        <w:rPr>
          <w:rFonts w:ascii="Book Antiqua" w:eastAsia="SimSun" w:hAnsi="Book Antiqua"/>
          <w:i/>
          <w:sz w:val="24"/>
          <w:szCs w:val="24"/>
          <w:lang w:eastAsia="zh-CN"/>
        </w:rPr>
        <w:t>Clin Chim Acta</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388</w:t>
      </w:r>
      <w:r w:rsidRPr="00772AC6">
        <w:rPr>
          <w:rFonts w:ascii="Book Antiqua" w:eastAsia="SimSun" w:hAnsi="Book Antiqua"/>
          <w:sz w:val="24"/>
          <w:szCs w:val="24"/>
          <w:lang w:eastAsia="zh-CN"/>
        </w:rPr>
        <w:t>: 51-58 [PMID: 17963703 DOI: 10.1016/j.cca.2007.10.005]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37 </w:t>
      </w:r>
      <w:r w:rsidRPr="00772AC6">
        <w:rPr>
          <w:rFonts w:ascii="Book Antiqua" w:eastAsia="SimSun" w:hAnsi="Book Antiqua"/>
          <w:b/>
          <w:sz w:val="24"/>
          <w:szCs w:val="24"/>
          <w:lang w:eastAsia="zh-CN"/>
        </w:rPr>
        <w:t>Kleiner DE</w:t>
      </w:r>
      <w:r w:rsidRPr="00772AC6">
        <w:rPr>
          <w:rFonts w:ascii="Book Antiqua" w:eastAsia="SimSun" w:hAnsi="Book Antiqua"/>
          <w:sz w:val="24"/>
          <w:szCs w:val="24"/>
          <w:lang w:eastAsia="zh-CN"/>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772AC6">
        <w:rPr>
          <w:rFonts w:ascii="Book Antiqua" w:eastAsia="SimSun" w:hAnsi="Book Antiqua"/>
          <w:i/>
          <w:sz w:val="24"/>
          <w:szCs w:val="24"/>
          <w:lang w:eastAsia="zh-CN"/>
        </w:rPr>
        <w:t>Hepatology</w:t>
      </w:r>
      <w:r w:rsidRPr="00772AC6">
        <w:rPr>
          <w:rFonts w:ascii="Book Antiqua" w:eastAsia="SimSun" w:hAnsi="Book Antiqua"/>
          <w:sz w:val="24"/>
          <w:szCs w:val="24"/>
          <w:lang w:eastAsia="zh-CN"/>
        </w:rPr>
        <w:t xml:space="preserve"> 2005; </w:t>
      </w:r>
      <w:r w:rsidRPr="00772AC6">
        <w:rPr>
          <w:rFonts w:ascii="Book Antiqua" w:eastAsia="SimSun" w:hAnsi="Book Antiqua"/>
          <w:b/>
          <w:sz w:val="24"/>
          <w:szCs w:val="24"/>
          <w:lang w:eastAsia="zh-CN"/>
        </w:rPr>
        <w:t>41</w:t>
      </w:r>
      <w:r w:rsidRPr="00772AC6">
        <w:rPr>
          <w:rFonts w:ascii="Book Antiqua" w:eastAsia="SimSun" w:hAnsi="Book Antiqua"/>
          <w:sz w:val="24"/>
          <w:szCs w:val="24"/>
          <w:lang w:eastAsia="zh-CN"/>
        </w:rPr>
        <w:t>: 1313-1321 [PMID: 15915461 DOI: 10.1002/hep.20701]</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38 </w:t>
      </w:r>
      <w:r w:rsidRPr="00772AC6">
        <w:rPr>
          <w:rFonts w:ascii="Book Antiqua" w:eastAsia="SimSun" w:hAnsi="Book Antiqua"/>
          <w:b/>
          <w:sz w:val="24"/>
          <w:szCs w:val="24"/>
          <w:lang w:eastAsia="zh-CN"/>
        </w:rPr>
        <w:t>Nagaya T</w:t>
      </w:r>
      <w:r w:rsidRPr="00772AC6">
        <w:rPr>
          <w:rFonts w:ascii="Book Antiqua" w:eastAsia="SimSun" w:hAnsi="Book Antiqua"/>
          <w:sz w:val="24"/>
          <w:szCs w:val="24"/>
          <w:lang w:eastAsia="zh-CN"/>
        </w:rPr>
        <w:t xml:space="preserve">, Tanaka N, Komatsu M, Ichijo T, Sano K, Horiuchi A, Joshita S, Umemura T, Matsumoto A, Yoshizawa K, Aoyama T, Kiyosawa K, Tanaka E. Development from simple steatosis to liver cirrhosis and hepatocellular carcinoma: a 27-year follow-up case. </w:t>
      </w:r>
      <w:r w:rsidRPr="00772AC6">
        <w:rPr>
          <w:rFonts w:ascii="Book Antiqua" w:eastAsia="SimSun" w:hAnsi="Book Antiqua"/>
          <w:i/>
          <w:sz w:val="24"/>
          <w:szCs w:val="24"/>
          <w:lang w:eastAsia="zh-CN"/>
        </w:rPr>
        <w:t>Clin J Gastroenterol</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1</w:t>
      </w:r>
      <w:r w:rsidRPr="00772AC6">
        <w:rPr>
          <w:rFonts w:ascii="Book Antiqua" w:eastAsia="SimSun" w:hAnsi="Book Antiqua"/>
          <w:sz w:val="24"/>
          <w:szCs w:val="24"/>
          <w:lang w:eastAsia="zh-CN"/>
        </w:rPr>
        <w:t>: 116-121 [PMID: 26193649 DOI: 10.1007/s12328-008-0017-0]</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39 </w:t>
      </w:r>
      <w:r w:rsidRPr="00772AC6">
        <w:rPr>
          <w:rFonts w:ascii="Book Antiqua" w:eastAsia="SimSun" w:hAnsi="Book Antiqua"/>
          <w:b/>
          <w:sz w:val="24"/>
          <w:szCs w:val="24"/>
          <w:lang w:eastAsia="zh-CN"/>
        </w:rPr>
        <w:t>Rachakonda VP</w:t>
      </w:r>
      <w:r w:rsidRPr="00772AC6">
        <w:rPr>
          <w:rFonts w:ascii="Book Antiqua" w:eastAsia="SimSun" w:hAnsi="Book Antiqua"/>
          <w:sz w:val="24"/>
          <w:szCs w:val="24"/>
          <w:lang w:eastAsia="zh-CN"/>
        </w:rPr>
        <w:t xml:space="preserve">, Reeves VL, Aljammal J, Wills RC, Trybula JS, DeLany JP, Kienesberger PC, Kershaw EE. Serum autotaxin is independently associated with hepatic steatosis in women with severe obesity. </w:t>
      </w:r>
      <w:r w:rsidRPr="00772AC6">
        <w:rPr>
          <w:rFonts w:ascii="Book Antiqua" w:eastAsia="SimSun" w:hAnsi="Book Antiqua"/>
          <w:i/>
          <w:sz w:val="24"/>
          <w:szCs w:val="24"/>
          <w:lang w:eastAsia="zh-CN"/>
        </w:rPr>
        <w:t xml:space="preserve">Obesity </w:t>
      </w:r>
      <w:r w:rsidRPr="00772AC6">
        <w:rPr>
          <w:rFonts w:ascii="Book Antiqua" w:eastAsia="SimSun" w:hAnsi="Book Antiqua"/>
          <w:sz w:val="24"/>
          <w:szCs w:val="24"/>
          <w:lang w:eastAsia="zh-CN"/>
        </w:rPr>
        <w:t xml:space="preserve">(Silver Spring) 2015; </w:t>
      </w:r>
      <w:r w:rsidRPr="00772AC6">
        <w:rPr>
          <w:rFonts w:ascii="Book Antiqua" w:eastAsia="SimSun" w:hAnsi="Book Antiqua"/>
          <w:b/>
          <w:sz w:val="24"/>
          <w:szCs w:val="24"/>
          <w:lang w:eastAsia="zh-CN"/>
        </w:rPr>
        <w:t>23</w:t>
      </w:r>
      <w:r w:rsidRPr="00772AC6">
        <w:rPr>
          <w:rFonts w:ascii="Book Antiqua" w:eastAsia="SimSun" w:hAnsi="Book Antiqua"/>
          <w:sz w:val="24"/>
          <w:szCs w:val="24"/>
          <w:lang w:eastAsia="zh-CN"/>
        </w:rPr>
        <w:t>: 965-972 [PMID: 25865747 DOI: 10.1002/oby.20960]</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40 </w:t>
      </w:r>
      <w:r w:rsidRPr="00772AC6">
        <w:rPr>
          <w:rFonts w:ascii="Book Antiqua" w:eastAsia="SimSun" w:hAnsi="Book Antiqua"/>
          <w:b/>
          <w:sz w:val="24"/>
          <w:szCs w:val="24"/>
          <w:lang w:eastAsia="zh-CN"/>
        </w:rPr>
        <w:t>Kaffe E</w:t>
      </w:r>
      <w:r w:rsidRPr="00772AC6">
        <w:rPr>
          <w:rFonts w:ascii="Book Antiqua" w:eastAsia="SimSun" w:hAnsi="Book Antiqua"/>
          <w:sz w:val="24"/>
          <w:szCs w:val="24"/>
          <w:lang w:eastAsia="zh-CN"/>
        </w:rPr>
        <w:t xml:space="preserve">, Katsifa A, Xylourgidis N, Ninou I, Zannikou M, Harokopos V, Foka P, Dimitriadis A, Evangelou K, Moulas AN, Georgopoulou U, Gorgoulis VG, Dalekos GN, Aidinis V. Hepatocyte autotaxin expression promotes liver fibrosis and cancer. </w:t>
      </w:r>
      <w:r w:rsidRPr="00772AC6">
        <w:rPr>
          <w:rFonts w:ascii="Book Antiqua" w:eastAsia="SimSun" w:hAnsi="Book Antiqua"/>
          <w:i/>
          <w:sz w:val="24"/>
          <w:szCs w:val="24"/>
          <w:lang w:eastAsia="zh-CN"/>
        </w:rPr>
        <w:t>Hepatology</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65</w:t>
      </w:r>
      <w:r w:rsidRPr="00772AC6">
        <w:rPr>
          <w:rFonts w:ascii="Book Antiqua" w:eastAsia="SimSun" w:hAnsi="Book Antiqua"/>
          <w:sz w:val="24"/>
          <w:szCs w:val="24"/>
          <w:lang w:eastAsia="zh-CN"/>
        </w:rPr>
        <w:t>: 1369-1383 [PMID: 27981605 DOI: 10.1002/hep.28973]</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41 </w:t>
      </w:r>
      <w:r w:rsidRPr="00772AC6">
        <w:rPr>
          <w:rFonts w:ascii="Book Antiqua" w:eastAsia="SimSun" w:hAnsi="Book Antiqua"/>
          <w:b/>
          <w:sz w:val="24"/>
          <w:szCs w:val="24"/>
          <w:lang w:eastAsia="zh-CN"/>
        </w:rPr>
        <w:t>Sumida Y</w:t>
      </w:r>
      <w:r w:rsidRPr="00772AC6">
        <w:rPr>
          <w:rFonts w:ascii="Book Antiqua" w:eastAsia="SimSun" w:hAnsi="Book Antiqua"/>
          <w:sz w:val="24"/>
          <w:szCs w:val="24"/>
          <w:lang w:eastAsia="zh-CN"/>
        </w:rPr>
        <w:t xml:space="preserve">, Yoneda M, Hyogo H, Itoh Y, Ono M, Fujii H, Eguchi Y, Suzuki Y, Aoki N, Kanemasa K, Fujita K, Chayama K, Saibara T, Kawada N, Fujimoto K, Kohgo Y, Yoshikawa T, Okanoue T; Japan Study Group of Nonalcoholic Fatty </w:t>
      </w:r>
      <w:r w:rsidRPr="00772AC6">
        <w:rPr>
          <w:rFonts w:ascii="Book Antiqua" w:eastAsia="SimSun" w:hAnsi="Book Antiqua"/>
          <w:sz w:val="24"/>
          <w:szCs w:val="24"/>
          <w:lang w:eastAsia="zh-CN"/>
        </w:rPr>
        <w:lastRenderedPageBreak/>
        <w:t xml:space="preserve">Liver Disease (JSG-NAFLD). Validation of the FIB4 index in a Japanese nonalcoholic fatty liver disease population. </w:t>
      </w:r>
      <w:r w:rsidRPr="00772AC6">
        <w:rPr>
          <w:rFonts w:ascii="Book Antiqua" w:eastAsia="SimSun" w:hAnsi="Book Antiqua"/>
          <w:i/>
          <w:sz w:val="24"/>
          <w:szCs w:val="24"/>
          <w:lang w:eastAsia="zh-CN"/>
        </w:rPr>
        <w:t>BMC Gastroenterol</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12</w:t>
      </w:r>
      <w:r w:rsidRPr="00772AC6">
        <w:rPr>
          <w:rFonts w:ascii="Book Antiqua" w:eastAsia="SimSun" w:hAnsi="Book Antiqua"/>
          <w:sz w:val="24"/>
          <w:szCs w:val="24"/>
          <w:lang w:eastAsia="zh-CN"/>
        </w:rPr>
        <w:t>: 2 [PMID: 22221544 DOI: 10.1186/1471-230X-12-2]</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42 </w:t>
      </w:r>
      <w:r w:rsidRPr="00772AC6">
        <w:rPr>
          <w:rFonts w:ascii="Book Antiqua" w:eastAsia="SimSun" w:hAnsi="Book Antiqua"/>
          <w:b/>
          <w:sz w:val="24"/>
          <w:szCs w:val="24"/>
          <w:lang w:eastAsia="zh-CN"/>
        </w:rPr>
        <w:t>D'Souza K</w:t>
      </w:r>
      <w:r w:rsidRPr="00772AC6">
        <w:rPr>
          <w:rFonts w:ascii="Book Antiqua" w:eastAsia="SimSun" w:hAnsi="Book Antiqua"/>
          <w:sz w:val="24"/>
          <w:szCs w:val="24"/>
          <w:lang w:eastAsia="zh-CN"/>
        </w:rPr>
        <w:t xml:space="preserve">, Kane DA, Touaibia M, Kershaw EE, Pulinilkunnil T, Kienesberger PC. Autotaxin Is Regulated by Glucose and Insulin in Adipocytes. </w:t>
      </w:r>
      <w:r w:rsidRPr="00772AC6">
        <w:rPr>
          <w:rFonts w:ascii="Book Antiqua" w:eastAsia="SimSun" w:hAnsi="Book Antiqua"/>
          <w:i/>
          <w:sz w:val="24"/>
          <w:szCs w:val="24"/>
          <w:lang w:eastAsia="zh-CN"/>
        </w:rPr>
        <w:t>Endocrinology</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158</w:t>
      </w:r>
      <w:r w:rsidRPr="00772AC6">
        <w:rPr>
          <w:rFonts w:ascii="Book Antiqua" w:eastAsia="SimSun" w:hAnsi="Book Antiqua"/>
          <w:sz w:val="24"/>
          <w:szCs w:val="24"/>
          <w:lang w:eastAsia="zh-CN"/>
        </w:rPr>
        <w:t>: 791-803 [PMID: 28324037 DOI: 10.1210/en.2017-00035]</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43 </w:t>
      </w:r>
      <w:r w:rsidRPr="00772AC6">
        <w:rPr>
          <w:rFonts w:ascii="Book Antiqua" w:eastAsia="SimSun" w:hAnsi="Book Antiqua"/>
          <w:b/>
          <w:sz w:val="24"/>
          <w:szCs w:val="24"/>
          <w:lang w:eastAsia="zh-CN"/>
        </w:rPr>
        <w:t>Yuelling LM</w:t>
      </w:r>
      <w:r w:rsidRPr="00772AC6">
        <w:rPr>
          <w:rFonts w:ascii="Book Antiqua" w:eastAsia="SimSun" w:hAnsi="Book Antiqua"/>
          <w:sz w:val="24"/>
          <w:szCs w:val="24"/>
          <w:lang w:eastAsia="zh-CN"/>
        </w:rPr>
        <w:t xml:space="preserve">, Fuss B. Autotaxin (ATX): a multi-functional and multi-modular protein possessing enzymatic lysoPLD activity and matricellular properties. </w:t>
      </w:r>
      <w:r w:rsidRPr="00772AC6">
        <w:rPr>
          <w:rFonts w:ascii="Book Antiqua" w:eastAsia="SimSun" w:hAnsi="Book Antiqua"/>
          <w:i/>
          <w:sz w:val="24"/>
          <w:szCs w:val="24"/>
          <w:lang w:eastAsia="zh-CN"/>
        </w:rPr>
        <w:t>Biochim Biophys Acta</w:t>
      </w:r>
      <w:r w:rsidRPr="00772AC6">
        <w:rPr>
          <w:rFonts w:ascii="Book Antiqua" w:eastAsia="SimSun" w:hAnsi="Book Antiqua"/>
          <w:sz w:val="24"/>
          <w:szCs w:val="24"/>
          <w:lang w:eastAsia="zh-CN"/>
        </w:rPr>
        <w:t xml:space="preserve"> 2008; </w:t>
      </w:r>
      <w:r w:rsidRPr="00772AC6">
        <w:rPr>
          <w:rFonts w:ascii="Book Antiqua" w:eastAsia="SimSun" w:hAnsi="Book Antiqua"/>
          <w:b/>
          <w:sz w:val="24"/>
          <w:szCs w:val="24"/>
          <w:lang w:eastAsia="zh-CN"/>
        </w:rPr>
        <w:t>1781</w:t>
      </w:r>
      <w:r w:rsidRPr="00772AC6">
        <w:rPr>
          <w:rFonts w:ascii="Book Antiqua" w:eastAsia="SimSun" w:hAnsi="Book Antiqua"/>
          <w:sz w:val="24"/>
          <w:szCs w:val="24"/>
          <w:lang w:eastAsia="zh-CN"/>
        </w:rPr>
        <w:t>: 525-530 [PMID: 18485925 DOI: 10.1016/j.bbalip.2008.04.009]</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44 </w:t>
      </w:r>
      <w:r w:rsidRPr="00772AC6">
        <w:rPr>
          <w:rFonts w:ascii="Book Antiqua" w:eastAsia="SimSun" w:hAnsi="Book Antiqua"/>
          <w:b/>
          <w:sz w:val="24"/>
          <w:szCs w:val="24"/>
          <w:lang w:eastAsia="zh-CN"/>
        </w:rPr>
        <w:t>Finelli C</w:t>
      </w:r>
      <w:r w:rsidRPr="00772AC6">
        <w:rPr>
          <w:rFonts w:ascii="Book Antiqua" w:eastAsia="SimSun" w:hAnsi="Book Antiqua"/>
          <w:sz w:val="24"/>
          <w:szCs w:val="24"/>
          <w:lang w:eastAsia="zh-CN"/>
        </w:rPr>
        <w:t xml:space="preserve">, Sommella L, Gioia S, La Sala N, Tarantino G. Should visceral fat be reduced to increase longevity? </w:t>
      </w:r>
      <w:r w:rsidRPr="00772AC6">
        <w:rPr>
          <w:rFonts w:ascii="Book Antiqua" w:eastAsia="SimSun" w:hAnsi="Book Antiqua"/>
          <w:i/>
          <w:sz w:val="24"/>
          <w:szCs w:val="24"/>
          <w:lang w:eastAsia="zh-CN"/>
        </w:rPr>
        <w:t>Ageing Res Rev</w:t>
      </w:r>
      <w:r w:rsidRPr="00772AC6">
        <w:rPr>
          <w:rFonts w:ascii="Book Antiqua" w:eastAsia="SimSun" w:hAnsi="Book Antiqua"/>
          <w:sz w:val="24"/>
          <w:szCs w:val="24"/>
          <w:lang w:eastAsia="zh-CN"/>
        </w:rPr>
        <w:t xml:space="preserve"> 2013; </w:t>
      </w:r>
      <w:r w:rsidRPr="00772AC6">
        <w:rPr>
          <w:rFonts w:ascii="Book Antiqua" w:eastAsia="SimSun" w:hAnsi="Book Antiqua"/>
          <w:b/>
          <w:sz w:val="24"/>
          <w:szCs w:val="24"/>
          <w:lang w:eastAsia="zh-CN"/>
        </w:rPr>
        <w:t>12</w:t>
      </w:r>
      <w:r w:rsidRPr="00772AC6">
        <w:rPr>
          <w:rFonts w:ascii="Book Antiqua" w:eastAsia="SimSun" w:hAnsi="Book Antiqua"/>
          <w:sz w:val="24"/>
          <w:szCs w:val="24"/>
          <w:lang w:eastAsia="zh-CN"/>
        </w:rPr>
        <w:t>: 996-1004 [PMID: 23764746 DOI: 10.1016/j.arr.2013.05.007]</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45 </w:t>
      </w:r>
      <w:r w:rsidRPr="00772AC6">
        <w:rPr>
          <w:rFonts w:ascii="Book Antiqua" w:eastAsia="SimSun" w:hAnsi="Book Antiqua"/>
          <w:b/>
          <w:sz w:val="24"/>
          <w:szCs w:val="24"/>
          <w:lang w:eastAsia="zh-CN"/>
        </w:rPr>
        <w:t>Bedossa P</w:t>
      </w:r>
      <w:r w:rsidRPr="00772AC6">
        <w:rPr>
          <w:rFonts w:ascii="Book Antiqua" w:eastAsia="SimSun" w:hAnsi="Book Antiqua"/>
          <w:sz w:val="24"/>
          <w:szCs w:val="24"/>
          <w:lang w:eastAsia="zh-CN"/>
        </w:rPr>
        <w:t xml:space="preserve">. Pathology of non-alcoholic fatty liver disease. </w:t>
      </w:r>
      <w:r w:rsidRPr="00772AC6">
        <w:rPr>
          <w:rFonts w:ascii="Book Antiqua" w:eastAsia="SimSun" w:hAnsi="Book Antiqua"/>
          <w:i/>
          <w:sz w:val="24"/>
          <w:szCs w:val="24"/>
          <w:lang w:eastAsia="zh-CN"/>
        </w:rPr>
        <w:t>Liver Int</w:t>
      </w:r>
      <w:r w:rsidRPr="00772AC6">
        <w:rPr>
          <w:rFonts w:ascii="Book Antiqua" w:eastAsia="SimSun" w:hAnsi="Book Antiqua"/>
          <w:sz w:val="24"/>
          <w:szCs w:val="24"/>
          <w:lang w:eastAsia="zh-CN"/>
        </w:rPr>
        <w:t xml:space="preserve"> 2017; </w:t>
      </w:r>
      <w:r w:rsidRPr="00772AC6">
        <w:rPr>
          <w:rFonts w:ascii="Book Antiqua" w:eastAsia="SimSun" w:hAnsi="Book Antiqua"/>
          <w:b/>
          <w:sz w:val="24"/>
          <w:szCs w:val="24"/>
          <w:lang w:eastAsia="zh-CN"/>
        </w:rPr>
        <w:t xml:space="preserve">37 </w:t>
      </w:r>
      <w:r w:rsidRPr="00772AC6">
        <w:rPr>
          <w:rFonts w:ascii="Book Antiqua" w:eastAsia="SimSun" w:hAnsi="Book Antiqua"/>
          <w:sz w:val="24"/>
          <w:szCs w:val="24"/>
          <w:lang w:eastAsia="zh-CN"/>
        </w:rPr>
        <w:t>Suppl 1: 85-89 [PMID: 28052629 DOI: 10.1111/liv.13301]</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46 </w:t>
      </w:r>
      <w:r w:rsidRPr="00772AC6">
        <w:rPr>
          <w:rFonts w:ascii="Book Antiqua" w:eastAsia="SimSun" w:hAnsi="Book Antiqua"/>
          <w:b/>
          <w:sz w:val="24"/>
          <w:szCs w:val="24"/>
          <w:lang w:eastAsia="zh-CN"/>
        </w:rPr>
        <w:t>Awada R</w:t>
      </w:r>
      <w:r w:rsidRPr="00772AC6">
        <w:rPr>
          <w:rFonts w:ascii="Book Antiqua" w:eastAsia="SimSun" w:hAnsi="Book Antiqua"/>
          <w:sz w:val="24"/>
          <w:szCs w:val="24"/>
          <w:lang w:eastAsia="zh-CN"/>
        </w:rPr>
        <w:t xml:space="preserve">, Rondeau P, Grès S, Saulnier-Blache JS, Lefebvre d'Hellencourt C, Bourdon E. Autotaxin protects microglial cells against oxidative stress. </w:t>
      </w:r>
      <w:r w:rsidRPr="00772AC6">
        <w:rPr>
          <w:rFonts w:ascii="Book Antiqua" w:eastAsia="SimSun" w:hAnsi="Book Antiqua"/>
          <w:i/>
          <w:sz w:val="24"/>
          <w:szCs w:val="24"/>
          <w:lang w:eastAsia="zh-CN"/>
        </w:rPr>
        <w:t>Free Radic Biol Med</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52</w:t>
      </w:r>
      <w:r w:rsidRPr="00772AC6">
        <w:rPr>
          <w:rFonts w:ascii="Book Antiqua" w:eastAsia="SimSun" w:hAnsi="Book Antiqua"/>
          <w:sz w:val="24"/>
          <w:szCs w:val="24"/>
          <w:lang w:eastAsia="zh-CN"/>
        </w:rPr>
        <w:t>: 516-526 [PMID: 22155714 DOI: 10.1016/j.freeradbiomed.2011.11.014]</w:t>
      </w:r>
    </w:p>
    <w:p w:rsidR="001278E6" w:rsidRPr="00772AC6" w:rsidRDefault="001278E6" w:rsidP="001278E6">
      <w:pPr>
        <w:adjustRightInd w:val="0"/>
        <w:snapToGrid w:val="0"/>
        <w:spacing w:line="360" w:lineRule="auto"/>
        <w:rPr>
          <w:rFonts w:ascii="Book Antiqua" w:eastAsia="SimSun" w:hAnsi="Book Antiqua"/>
          <w:sz w:val="24"/>
          <w:szCs w:val="24"/>
          <w:lang w:eastAsia="zh-CN"/>
        </w:rPr>
      </w:pPr>
      <w:r w:rsidRPr="00772AC6">
        <w:rPr>
          <w:rFonts w:ascii="Book Antiqua" w:eastAsia="SimSun" w:hAnsi="Book Antiqua"/>
          <w:sz w:val="24"/>
          <w:szCs w:val="24"/>
          <w:lang w:eastAsia="zh-CN"/>
        </w:rPr>
        <w:t xml:space="preserve">47 </w:t>
      </w:r>
      <w:r w:rsidRPr="00772AC6">
        <w:rPr>
          <w:rFonts w:ascii="Book Antiqua" w:eastAsia="SimSun" w:hAnsi="Book Antiqua"/>
          <w:b/>
          <w:sz w:val="24"/>
          <w:szCs w:val="24"/>
          <w:lang w:eastAsia="zh-CN"/>
        </w:rPr>
        <w:t>Kakisaka K</w:t>
      </w:r>
      <w:r w:rsidRPr="00772AC6">
        <w:rPr>
          <w:rFonts w:ascii="Book Antiqua" w:eastAsia="SimSun" w:hAnsi="Book Antiqua"/>
          <w:sz w:val="24"/>
          <w:szCs w:val="24"/>
          <w:lang w:eastAsia="zh-CN"/>
        </w:rPr>
        <w:t xml:space="preserve">, Cazanave SC, Fingas CD, Guicciardi ME, Bronk SF, Werneburg NW, Mott JL, Gores GJ. Mechanisms of lysophosphatidylcholine-induced hepatocyte lipoapoptosis. </w:t>
      </w:r>
      <w:r w:rsidRPr="00772AC6">
        <w:rPr>
          <w:rFonts w:ascii="Book Antiqua" w:eastAsia="SimSun" w:hAnsi="Book Antiqua"/>
          <w:i/>
          <w:sz w:val="24"/>
          <w:szCs w:val="24"/>
          <w:lang w:eastAsia="zh-CN"/>
        </w:rPr>
        <w:t>Am J Physiol Gastrointest Liver Physiol</w:t>
      </w:r>
      <w:r w:rsidRPr="00772AC6">
        <w:rPr>
          <w:rFonts w:ascii="Book Antiqua" w:eastAsia="SimSun" w:hAnsi="Book Antiqua"/>
          <w:sz w:val="24"/>
          <w:szCs w:val="24"/>
          <w:lang w:eastAsia="zh-CN"/>
        </w:rPr>
        <w:t xml:space="preserve"> 2012; </w:t>
      </w:r>
      <w:r w:rsidRPr="00772AC6">
        <w:rPr>
          <w:rFonts w:ascii="Book Antiqua" w:eastAsia="SimSun" w:hAnsi="Book Antiqua"/>
          <w:b/>
          <w:sz w:val="24"/>
          <w:szCs w:val="24"/>
          <w:lang w:eastAsia="zh-CN"/>
        </w:rPr>
        <w:t>302</w:t>
      </w:r>
      <w:r w:rsidRPr="00772AC6">
        <w:rPr>
          <w:rFonts w:ascii="Book Antiqua" w:eastAsia="SimSun" w:hAnsi="Book Antiqua"/>
          <w:sz w:val="24"/>
          <w:szCs w:val="24"/>
          <w:lang w:eastAsia="zh-CN"/>
        </w:rPr>
        <w:t>: G77-G84 [PMID: 21995961 DOI: 10.1152/ajpgi.00301.2011]</w:t>
      </w:r>
    </w:p>
    <w:p w:rsidR="00C7564B" w:rsidRPr="00772AC6" w:rsidRDefault="00C7564B" w:rsidP="00C7564B">
      <w:pPr>
        <w:wordWrap w:val="0"/>
        <w:adjustRightInd w:val="0"/>
        <w:snapToGrid w:val="0"/>
        <w:spacing w:line="360" w:lineRule="auto"/>
        <w:ind w:left="361" w:hangingChars="150" w:hanging="361"/>
        <w:jc w:val="right"/>
        <w:rPr>
          <w:rFonts w:ascii="Book Antiqua" w:eastAsia="SimSun" w:hAnsi="Book Antiqua"/>
          <w:color w:val="000000"/>
          <w:sz w:val="24"/>
          <w:szCs w:val="24"/>
          <w:lang w:eastAsia="zh-CN"/>
        </w:rPr>
      </w:pPr>
      <w:r w:rsidRPr="00772AC6">
        <w:rPr>
          <w:rFonts w:ascii="Book Antiqua" w:hAnsi="Book Antiqua"/>
          <w:b/>
          <w:bCs/>
          <w:color w:val="000000"/>
          <w:sz w:val="24"/>
          <w:szCs w:val="24"/>
        </w:rPr>
        <w:t>P-Reviewer:</w:t>
      </w:r>
      <w:r w:rsidRPr="00772AC6">
        <w:rPr>
          <w:rFonts w:ascii="Book Antiqua" w:eastAsia="SimSun" w:hAnsi="Book Antiqua"/>
          <w:b/>
          <w:bCs/>
          <w:color w:val="000000"/>
          <w:sz w:val="24"/>
          <w:szCs w:val="24"/>
          <w:lang w:eastAsia="zh-CN"/>
        </w:rPr>
        <w:t xml:space="preserve"> </w:t>
      </w:r>
      <w:r w:rsidRPr="00772AC6">
        <w:rPr>
          <w:rFonts w:ascii="Book Antiqua" w:eastAsia="SimSun" w:hAnsi="Book Antiqua"/>
          <w:bCs/>
          <w:color w:val="000000"/>
          <w:sz w:val="24"/>
          <w:szCs w:val="24"/>
          <w:lang w:eastAsia="zh-CN"/>
        </w:rPr>
        <w:t>Abenavoli L, Esmat S, Tarantino G</w:t>
      </w:r>
      <w:r w:rsidRPr="00772AC6">
        <w:rPr>
          <w:rFonts w:ascii="Book Antiqua" w:hAnsi="Book Antiqua"/>
          <w:bCs/>
          <w:color w:val="000000"/>
          <w:sz w:val="24"/>
          <w:szCs w:val="24"/>
        </w:rPr>
        <w:t xml:space="preserve"> </w:t>
      </w:r>
      <w:r w:rsidRPr="00772AC6">
        <w:rPr>
          <w:rFonts w:ascii="Book Antiqua" w:hAnsi="Book Antiqua"/>
          <w:b/>
          <w:bCs/>
          <w:color w:val="000000"/>
          <w:sz w:val="24"/>
          <w:szCs w:val="24"/>
        </w:rPr>
        <w:t>S-Editor:</w:t>
      </w:r>
      <w:r w:rsidRPr="00772AC6">
        <w:rPr>
          <w:rFonts w:ascii="Book Antiqua" w:eastAsia="SimSun" w:hAnsi="Book Antiqua"/>
          <w:b/>
          <w:bCs/>
          <w:color w:val="000000"/>
          <w:sz w:val="24"/>
          <w:szCs w:val="24"/>
          <w:lang w:eastAsia="zh-CN"/>
        </w:rPr>
        <w:t xml:space="preserve"> </w:t>
      </w:r>
      <w:r w:rsidRPr="00772AC6">
        <w:rPr>
          <w:rFonts w:ascii="Book Antiqua" w:eastAsia="SimSun" w:hAnsi="Book Antiqua"/>
          <w:bCs/>
          <w:color w:val="000000"/>
          <w:sz w:val="24"/>
          <w:szCs w:val="24"/>
          <w:lang w:eastAsia="zh-CN"/>
        </w:rPr>
        <w:t>Wang XJ</w:t>
      </w:r>
    </w:p>
    <w:p w:rsidR="00C7564B" w:rsidRPr="00772AC6" w:rsidRDefault="00C7564B" w:rsidP="00C7564B">
      <w:pPr>
        <w:adjustRightInd w:val="0"/>
        <w:snapToGrid w:val="0"/>
        <w:spacing w:line="360" w:lineRule="auto"/>
        <w:ind w:left="361" w:hangingChars="150" w:hanging="361"/>
        <w:jc w:val="right"/>
        <w:rPr>
          <w:rFonts w:ascii="Book Antiqua" w:hAnsi="Book Antiqua"/>
          <w:b/>
          <w:bCs/>
          <w:color w:val="000000"/>
          <w:sz w:val="24"/>
          <w:szCs w:val="24"/>
        </w:rPr>
      </w:pPr>
      <w:r w:rsidRPr="00772AC6">
        <w:rPr>
          <w:rFonts w:ascii="Book Antiqua" w:hAnsi="Book Antiqua"/>
          <w:b/>
          <w:bCs/>
          <w:color w:val="000000"/>
          <w:sz w:val="24"/>
          <w:szCs w:val="24"/>
        </w:rPr>
        <w:t>L-Editor:</w:t>
      </w:r>
      <w:r w:rsidRPr="00772AC6">
        <w:rPr>
          <w:rFonts w:ascii="Book Antiqua" w:hAnsi="Book Antiqua"/>
          <w:color w:val="000000"/>
          <w:sz w:val="24"/>
          <w:szCs w:val="24"/>
        </w:rPr>
        <w:t xml:space="preserve"> </w:t>
      </w:r>
      <w:r w:rsidRPr="00772AC6">
        <w:rPr>
          <w:rFonts w:ascii="Book Antiqua" w:hAnsi="Book Antiqua"/>
          <w:b/>
          <w:bCs/>
          <w:color w:val="000000"/>
          <w:sz w:val="24"/>
          <w:szCs w:val="24"/>
        </w:rPr>
        <w:t>E-Editor:</w:t>
      </w:r>
    </w:p>
    <w:p w:rsidR="00C7564B" w:rsidRPr="00772AC6" w:rsidRDefault="00C7564B" w:rsidP="00C7564B">
      <w:pPr>
        <w:adjustRightInd w:val="0"/>
        <w:snapToGrid w:val="0"/>
        <w:spacing w:line="360" w:lineRule="auto"/>
        <w:ind w:left="360" w:hangingChars="150" w:hanging="360"/>
        <w:jc w:val="right"/>
        <w:rPr>
          <w:rFonts w:ascii="Book Antiqua" w:hAnsi="Book Antiqua"/>
          <w:color w:val="000000"/>
          <w:sz w:val="24"/>
          <w:szCs w:val="24"/>
        </w:rPr>
      </w:pPr>
    </w:p>
    <w:p w:rsidR="00C7564B" w:rsidRPr="00772AC6" w:rsidRDefault="00C7564B" w:rsidP="00C7564B">
      <w:pPr>
        <w:widowControl/>
        <w:adjustRightInd w:val="0"/>
        <w:snapToGrid w:val="0"/>
        <w:spacing w:line="360" w:lineRule="auto"/>
        <w:rPr>
          <w:rFonts w:ascii="Book Antiqua" w:eastAsia="MS Mincho" w:hAnsi="Book Antiqua"/>
          <w:kern w:val="0"/>
          <w:sz w:val="24"/>
          <w:szCs w:val="24"/>
        </w:rPr>
      </w:pPr>
      <w:r w:rsidRPr="00772AC6">
        <w:rPr>
          <w:rFonts w:ascii="Book Antiqua" w:eastAsia="MS Mincho" w:hAnsi="Book Antiqua"/>
          <w:b/>
          <w:kern w:val="0"/>
          <w:sz w:val="24"/>
          <w:szCs w:val="24"/>
        </w:rPr>
        <w:t>Specialty type:</w:t>
      </w:r>
      <w:r w:rsidRPr="00772AC6">
        <w:rPr>
          <w:rFonts w:ascii="Book Antiqua" w:eastAsia="MS Mincho" w:hAnsi="Book Antiqua"/>
          <w:kern w:val="0"/>
          <w:sz w:val="24"/>
          <w:szCs w:val="24"/>
        </w:rPr>
        <w:t xml:space="preserve"> Gastroenterology and hepatology</w:t>
      </w:r>
    </w:p>
    <w:p w:rsidR="00C7564B" w:rsidRPr="00772AC6" w:rsidRDefault="00C7564B" w:rsidP="00C7564B">
      <w:pPr>
        <w:widowControl/>
        <w:adjustRightInd w:val="0"/>
        <w:snapToGrid w:val="0"/>
        <w:spacing w:line="360" w:lineRule="auto"/>
        <w:rPr>
          <w:rFonts w:ascii="Book Antiqua" w:eastAsia="SimSun" w:hAnsi="Book Antiqua"/>
          <w:kern w:val="0"/>
          <w:sz w:val="24"/>
          <w:szCs w:val="24"/>
          <w:lang w:eastAsia="zh-CN"/>
        </w:rPr>
      </w:pPr>
      <w:r w:rsidRPr="00772AC6">
        <w:rPr>
          <w:rFonts w:ascii="Book Antiqua" w:eastAsia="MS Mincho" w:hAnsi="Book Antiqua"/>
          <w:b/>
          <w:kern w:val="0"/>
          <w:sz w:val="24"/>
          <w:szCs w:val="24"/>
        </w:rPr>
        <w:t>Country of origin:</w:t>
      </w:r>
      <w:r w:rsidRPr="00772AC6">
        <w:rPr>
          <w:rFonts w:ascii="Book Antiqua" w:eastAsia="SimSun" w:hAnsi="Book Antiqua"/>
          <w:b/>
          <w:kern w:val="0"/>
          <w:sz w:val="24"/>
          <w:szCs w:val="24"/>
          <w:lang w:eastAsia="zh-CN"/>
        </w:rPr>
        <w:t xml:space="preserve"> </w:t>
      </w:r>
      <w:r w:rsidRPr="00772AC6">
        <w:rPr>
          <w:rFonts w:ascii="Book Antiqua" w:eastAsia="SimSun" w:hAnsi="Book Antiqua"/>
          <w:kern w:val="0"/>
          <w:sz w:val="24"/>
          <w:szCs w:val="24"/>
          <w:lang w:eastAsia="zh-CN"/>
        </w:rPr>
        <w:t>Japan</w:t>
      </w:r>
    </w:p>
    <w:p w:rsidR="00C7564B" w:rsidRPr="00772AC6" w:rsidRDefault="00C7564B" w:rsidP="00C7564B">
      <w:pPr>
        <w:widowControl/>
        <w:adjustRightInd w:val="0"/>
        <w:snapToGrid w:val="0"/>
        <w:spacing w:line="360" w:lineRule="auto"/>
        <w:rPr>
          <w:rFonts w:ascii="Book Antiqua" w:eastAsia="MS Mincho" w:hAnsi="Book Antiqua"/>
          <w:b/>
          <w:kern w:val="0"/>
          <w:sz w:val="24"/>
          <w:szCs w:val="24"/>
        </w:rPr>
      </w:pPr>
      <w:r w:rsidRPr="00772AC6">
        <w:rPr>
          <w:rFonts w:ascii="Book Antiqua" w:eastAsia="MS Mincho" w:hAnsi="Book Antiqua"/>
          <w:b/>
          <w:kern w:val="0"/>
          <w:sz w:val="24"/>
          <w:szCs w:val="24"/>
        </w:rPr>
        <w:t>Peer-review report classification</w:t>
      </w:r>
    </w:p>
    <w:p w:rsidR="00C7564B" w:rsidRPr="00772AC6" w:rsidRDefault="00C7564B" w:rsidP="00C7564B">
      <w:pPr>
        <w:widowControl/>
        <w:adjustRightInd w:val="0"/>
        <w:snapToGrid w:val="0"/>
        <w:spacing w:line="360" w:lineRule="auto"/>
        <w:rPr>
          <w:rFonts w:ascii="Book Antiqua" w:eastAsia="MS Mincho" w:hAnsi="Book Antiqua"/>
          <w:kern w:val="0"/>
          <w:sz w:val="24"/>
          <w:szCs w:val="24"/>
        </w:rPr>
      </w:pPr>
      <w:r w:rsidRPr="00772AC6">
        <w:rPr>
          <w:rFonts w:ascii="Book Antiqua" w:eastAsia="MS Mincho" w:hAnsi="Book Antiqua"/>
          <w:kern w:val="0"/>
          <w:sz w:val="24"/>
          <w:szCs w:val="24"/>
        </w:rPr>
        <w:lastRenderedPageBreak/>
        <w:t>Grade A (Excellent): 0</w:t>
      </w:r>
    </w:p>
    <w:p w:rsidR="00C7564B" w:rsidRPr="00772AC6" w:rsidRDefault="00C7564B" w:rsidP="00C7564B">
      <w:pPr>
        <w:widowControl/>
        <w:adjustRightInd w:val="0"/>
        <w:snapToGrid w:val="0"/>
        <w:spacing w:line="360" w:lineRule="auto"/>
        <w:rPr>
          <w:rFonts w:ascii="Book Antiqua" w:eastAsia="SimSun" w:hAnsi="Book Antiqua"/>
          <w:kern w:val="0"/>
          <w:sz w:val="24"/>
          <w:szCs w:val="24"/>
          <w:lang w:eastAsia="zh-CN"/>
        </w:rPr>
      </w:pPr>
      <w:r w:rsidRPr="00772AC6">
        <w:rPr>
          <w:rFonts w:ascii="Book Antiqua" w:eastAsia="MS Mincho" w:hAnsi="Book Antiqua"/>
          <w:kern w:val="0"/>
          <w:sz w:val="24"/>
          <w:szCs w:val="24"/>
        </w:rPr>
        <w:t>Grade B (Very good):</w:t>
      </w:r>
      <w:r w:rsidRPr="00772AC6">
        <w:rPr>
          <w:rFonts w:ascii="Book Antiqua" w:hAnsi="Book Antiqua"/>
          <w:kern w:val="0"/>
          <w:sz w:val="24"/>
          <w:szCs w:val="24"/>
        </w:rPr>
        <w:t xml:space="preserve"> </w:t>
      </w:r>
      <w:r w:rsidRPr="00772AC6">
        <w:rPr>
          <w:rFonts w:ascii="Book Antiqua" w:eastAsia="SimSun" w:hAnsi="Book Antiqua"/>
          <w:kern w:val="0"/>
          <w:sz w:val="24"/>
          <w:szCs w:val="24"/>
          <w:lang w:eastAsia="zh-CN"/>
        </w:rPr>
        <w:t>B</w:t>
      </w:r>
    </w:p>
    <w:p w:rsidR="00C7564B" w:rsidRPr="00772AC6" w:rsidRDefault="00C7564B" w:rsidP="00C7564B">
      <w:pPr>
        <w:widowControl/>
        <w:adjustRightInd w:val="0"/>
        <w:snapToGrid w:val="0"/>
        <w:spacing w:line="360" w:lineRule="auto"/>
        <w:rPr>
          <w:rFonts w:ascii="Book Antiqua" w:eastAsia="MS Mincho" w:hAnsi="Book Antiqua"/>
          <w:kern w:val="0"/>
          <w:sz w:val="24"/>
          <w:szCs w:val="24"/>
          <w:lang w:eastAsia="zh-CN"/>
        </w:rPr>
      </w:pPr>
      <w:r w:rsidRPr="00772AC6">
        <w:rPr>
          <w:rFonts w:ascii="Book Antiqua" w:eastAsia="MS Mincho" w:hAnsi="Book Antiqua"/>
          <w:kern w:val="0"/>
          <w:sz w:val="24"/>
          <w:szCs w:val="24"/>
        </w:rPr>
        <w:t xml:space="preserve">Grade C (Good): </w:t>
      </w:r>
      <w:r w:rsidRPr="00772AC6">
        <w:rPr>
          <w:rFonts w:ascii="Book Antiqua" w:eastAsia="SimSun" w:hAnsi="Book Antiqua"/>
          <w:kern w:val="0"/>
          <w:sz w:val="24"/>
          <w:szCs w:val="24"/>
          <w:lang w:eastAsia="zh-CN"/>
        </w:rPr>
        <w:t>C, C</w:t>
      </w:r>
    </w:p>
    <w:p w:rsidR="00C7564B" w:rsidRPr="00772AC6" w:rsidRDefault="00C7564B" w:rsidP="00C7564B">
      <w:pPr>
        <w:widowControl/>
        <w:adjustRightInd w:val="0"/>
        <w:snapToGrid w:val="0"/>
        <w:spacing w:line="360" w:lineRule="auto"/>
        <w:rPr>
          <w:rFonts w:ascii="Book Antiqua" w:eastAsia="MS Mincho" w:hAnsi="Book Antiqua"/>
          <w:kern w:val="0"/>
          <w:sz w:val="24"/>
          <w:szCs w:val="24"/>
        </w:rPr>
      </w:pPr>
      <w:r w:rsidRPr="00772AC6">
        <w:rPr>
          <w:rFonts w:ascii="Book Antiqua" w:eastAsia="MS Mincho" w:hAnsi="Book Antiqua"/>
          <w:kern w:val="0"/>
          <w:sz w:val="24"/>
          <w:szCs w:val="24"/>
        </w:rPr>
        <w:t>Grade D (Fair): 0</w:t>
      </w:r>
    </w:p>
    <w:p w:rsidR="00C7564B" w:rsidRPr="00772AC6" w:rsidRDefault="00C7564B" w:rsidP="00C7564B">
      <w:pPr>
        <w:widowControl/>
        <w:adjustRightInd w:val="0"/>
        <w:snapToGrid w:val="0"/>
        <w:spacing w:line="360" w:lineRule="auto"/>
        <w:rPr>
          <w:rFonts w:ascii="Book Antiqua" w:hAnsi="Book Antiqua"/>
          <w:kern w:val="0"/>
          <w:sz w:val="24"/>
          <w:szCs w:val="24"/>
        </w:rPr>
      </w:pPr>
      <w:r w:rsidRPr="00772AC6">
        <w:rPr>
          <w:rFonts w:ascii="Book Antiqua" w:eastAsia="MS Mincho" w:hAnsi="Book Antiqua"/>
          <w:kern w:val="0"/>
          <w:sz w:val="24"/>
          <w:szCs w:val="24"/>
        </w:rPr>
        <w:t>Grade E (Poor): 0</w:t>
      </w:r>
    </w:p>
    <w:p w:rsidR="001278E6" w:rsidRPr="00772AC6" w:rsidRDefault="001278E6" w:rsidP="005A4D61">
      <w:pPr>
        <w:adjustRightInd w:val="0"/>
        <w:snapToGrid w:val="0"/>
        <w:spacing w:line="360" w:lineRule="auto"/>
        <w:rPr>
          <w:rFonts w:ascii="Book Antiqua" w:eastAsia="SimSun" w:hAnsi="Book Antiqua" w:cs="Arial"/>
          <w:sz w:val="24"/>
          <w:szCs w:val="24"/>
          <w:lang w:eastAsia="zh-CN"/>
        </w:rPr>
      </w:pPr>
    </w:p>
    <w:p w:rsidR="00AA7EAD" w:rsidRPr="00772AC6" w:rsidRDefault="004D3153" w:rsidP="005A4D61">
      <w:pPr>
        <w:widowControl/>
        <w:spacing w:line="360" w:lineRule="auto"/>
        <w:rPr>
          <w:rFonts w:ascii="Book Antiqua" w:hAnsi="Book Antiqua" w:cs="Arial"/>
          <w:sz w:val="24"/>
          <w:szCs w:val="24"/>
        </w:rPr>
      </w:pPr>
      <w:r w:rsidRPr="00772AC6">
        <w:rPr>
          <w:rFonts w:ascii="Book Antiqua" w:hAnsi="Book Antiqua" w:cs="Arial"/>
          <w:sz w:val="24"/>
          <w:szCs w:val="24"/>
        </w:rPr>
        <w:br w:type="page"/>
      </w:r>
    </w:p>
    <w:p w:rsidR="00C749C8" w:rsidRPr="00772AC6" w:rsidRDefault="00C749C8" w:rsidP="005A4D61">
      <w:pPr>
        <w:adjustRightInd w:val="0"/>
        <w:snapToGrid w:val="0"/>
        <w:spacing w:line="360" w:lineRule="auto"/>
        <w:rPr>
          <w:rFonts w:ascii="Book Antiqua" w:hAnsi="Book Antiqua" w:cstheme="majorHAnsi"/>
          <w:b/>
          <w:sz w:val="24"/>
          <w:szCs w:val="24"/>
        </w:rPr>
        <w:sectPr w:rsidR="00C749C8" w:rsidRPr="00772AC6" w:rsidSect="00D84BAF">
          <w:type w:val="continuous"/>
          <w:pgSz w:w="11906" w:h="16838"/>
          <w:pgMar w:top="1985" w:right="1701" w:bottom="1701" w:left="1701" w:header="851" w:footer="992" w:gutter="0"/>
          <w:cols w:space="425"/>
          <w:docGrid w:type="lines" w:linePitch="360"/>
        </w:sectPr>
      </w:pPr>
    </w:p>
    <w:p w:rsidR="00B04E6D" w:rsidRPr="00772AC6" w:rsidRDefault="00AA7EAD" w:rsidP="005A4D61">
      <w:pPr>
        <w:adjustRightInd w:val="0"/>
        <w:snapToGrid w:val="0"/>
        <w:spacing w:line="360" w:lineRule="auto"/>
        <w:rPr>
          <w:rFonts w:ascii="Book Antiqua" w:eastAsia="SimSun" w:hAnsi="Book Antiqua" w:cstheme="majorHAnsi"/>
          <w:b/>
          <w:sz w:val="24"/>
          <w:szCs w:val="24"/>
          <w:lang w:eastAsia="zh-CN"/>
        </w:rPr>
      </w:pPr>
      <w:r w:rsidRPr="00772AC6">
        <w:rPr>
          <w:rFonts w:ascii="Book Antiqua" w:hAnsi="Book Antiqua" w:cstheme="majorHAnsi"/>
          <w:b/>
          <w:sz w:val="24"/>
          <w:szCs w:val="24"/>
        </w:rPr>
        <w:lastRenderedPageBreak/>
        <w:t>Table</w:t>
      </w:r>
      <w:r w:rsidR="00711827" w:rsidRPr="00772AC6">
        <w:rPr>
          <w:rFonts w:ascii="Book Antiqua" w:hAnsi="Book Antiqua" w:cstheme="majorHAnsi"/>
          <w:b/>
          <w:sz w:val="24"/>
          <w:szCs w:val="24"/>
        </w:rPr>
        <w:t xml:space="preserve"> </w:t>
      </w:r>
      <w:r w:rsidRPr="00772AC6">
        <w:rPr>
          <w:rFonts w:ascii="Book Antiqua" w:hAnsi="Book Antiqua" w:cstheme="majorHAnsi"/>
          <w:b/>
          <w:sz w:val="24"/>
          <w:szCs w:val="24"/>
        </w:rPr>
        <w:t>1</w:t>
      </w:r>
      <w:r w:rsidR="001278E6" w:rsidRPr="00772AC6">
        <w:rPr>
          <w:rFonts w:ascii="Book Antiqua" w:eastAsia="SimSun" w:hAnsi="Book Antiqua" w:cstheme="majorHAnsi"/>
          <w:b/>
          <w:sz w:val="24"/>
          <w:szCs w:val="24"/>
          <w:lang w:eastAsia="zh-CN"/>
        </w:rPr>
        <w:t xml:space="preserve"> </w:t>
      </w:r>
      <w:r w:rsidRPr="00772AC6">
        <w:rPr>
          <w:rFonts w:ascii="Book Antiqua" w:eastAsia="MS UI Gothic" w:hAnsi="Book Antiqua" w:cstheme="majorHAnsi"/>
          <w:b/>
          <w:sz w:val="24"/>
          <w:szCs w:val="24"/>
        </w:rPr>
        <w:t xml:space="preserve">Clinicopathological features of 186 patients with </w:t>
      </w:r>
      <w:r w:rsidR="00C749C8" w:rsidRPr="00772AC6">
        <w:rPr>
          <w:rFonts w:ascii="Book Antiqua" w:hAnsi="Book Antiqua" w:cstheme="majorHAnsi"/>
          <w:b/>
          <w:sz w:val="24"/>
          <w:szCs w:val="24"/>
        </w:rPr>
        <w:t>non-alcoholic fatty liver disease</w:t>
      </w:r>
    </w:p>
    <w:tbl>
      <w:tblPr>
        <w:tblStyle w:val="TableGrid"/>
        <w:tblW w:w="0" w:type="auto"/>
        <w:tblInd w:w="-1310" w:type="dxa"/>
        <w:tblBorders>
          <w:left w:val="none" w:sz="0" w:space="0" w:color="auto"/>
          <w:right w:val="none" w:sz="0" w:space="0" w:color="auto"/>
          <w:insideV w:val="none" w:sz="0" w:space="0" w:color="auto"/>
        </w:tblBorders>
        <w:tblLook w:val="04A0" w:firstRow="1" w:lastRow="0" w:firstColumn="1" w:lastColumn="0" w:noHBand="0" w:noVBand="1"/>
      </w:tblPr>
      <w:tblGrid>
        <w:gridCol w:w="4607"/>
        <w:gridCol w:w="1245"/>
        <w:gridCol w:w="1602"/>
        <w:gridCol w:w="1231"/>
        <w:gridCol w:w="1602"/>
        <w:gridCol w:w="1230"/>
        <w:gridCol w:w="1602"/>
        <w:gridCol w:w="1559"/>
      </w:tblGrid>
      <w:tr w:rsidR="002422B3" w:rsidRPr="00772AC6" w:rsidTr="00C749C8">
        <w:tc>
          <w:tcPr>
            <w:tcW w:w="4607" w:type="dxa"/>
          </w:tcPr>
          <w:p w:rsidR="00AA7EAD" w:rsidRPr="00772AC6" w:rsidRDefault="00AA7EAD" w:rsidP="00C749C8">
            <w:pPr>
              <w:adjustRightInd w:val="0"/>
              <w:snapToGrid w:val="0"/>
              <w:spacing w:line="360" w:lineRule="auto"/>
              <w:jc w:val="left"/>
              <w:rPr>
                <w:rFonts w:ascii="Book Antiqua" w:hAnsi="Book Antiqua" w:cstheme="majorHAnsi"/>
                <w:sz w:val="24"/>
                <w:szCs w:val="24"/>
              </w:rPr>
            </w:pPr>
          </w:p>
        </w:tc>
        <w:tc>
          <w:tcPr>
            <w:tcW w:w="2847" w:type="dxa"/>
            <w:gridSpan w:val="2"/>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All (</w:t>
            </w:r>
            <w:r w:rsidRPr="00772AC6">
              <w:rPr>
                <w:rFonts w:ascii="Book Antiqua" w:hAnsi="Book Antiqua" w:cstheme="majorHAnsi"/>
                <w:b/>
                <w:i/>
                <w:sz w:val="24"/>
                <w:szCs w:val="24"/>
              </w:rPr>
              <w:t>n</w:t>
            </w:r>
            <w:r w:rsidR="00C749C8" w:rsidRPr="00772AC6">
              <w:rPr>
                <w:rFonts w:ascii="Book Antiqua" w:eastAsia="SimSun" w:hAnsi="Book Antiqua" w:cstheme="majorHAnsi"/>
                <w:b/>
                <w:i/>
                <w:sz w:val="24"/>
                <w:szCs w:val="24"/>
                <w:lang w:eastAsia="zh-CN"/>
              </w:rPr>
              <w:t xml:space="preserve"> </w:t>
            </w:r>
            <w:r w:rsidRPr="00772AC6">
              <w:rPr>
                <w:rFonts w:ascii="Book Antiqua" w:hAnsi="Book Antiqua" w:cstheme="majorHAnsi"/>
                <w:b/>
                <w:sz w:val="24"/>
                <w:szCs w:val="24"/>
              </w:rPr>
              <w:t>=</w:t>
            </w:r>
            <w:r w:rsidR="00C749C8"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186)</w:t>
            </w:r>
          </w:p>
        </w:tc>
        <w:tc>
          <w:tcPr>
            <w:tcW w:w="2833" w:type="dxa"/>
            <w:gridSpan w:val="2"/>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Male (</w:t>
            </w:r>
            <w:r w:rsidRPr="00772AC6">
              <w:rPr>
                <w:rFonts w:ascii="Book Antiqua" w:hAnsi="Book Antiqua" w:cstheme="majorHAnsi"/>
                <w:b/>
                <w:i/>
                <w:sz w:val="24"/>
                <w:szCs w:val="24"/>
              </w:rPr>
              <w:t>n</w:t>
            </w:r>
            <w:r w:rsidR="00C749C8" w:rsidRPr="00772AC6">
              <w:rPr>
                <w:rFonts w:ascii="Book Antiqua" w:eastAsia="SimSun" w:hAnsi="Book Antiqua" w:cstheme="majorHAnsi"/>
                <w:b/>
                <w:i/>
                <w:sz w:val="24"/>
                <w:szCs w:val="24"/>
                <w:lang w:eastAsia="zh-CN"/>
              </w:rPr>
              <w:t xml:space="preserve"> </w:t>
            </w:r>
            <w:r w:rsidRPr="00772AC6">
              <w:rPr>
                <w:rFonts w:ascii="Book Antiqua" w:hAnsi="Book Antiqua" w:cstheme="majorHAnsi"/>
                <w:b/>
                <w:sz w:val="24"/>
                <w:szCs w:val="24"/>
              </w:rPr>
              <w:t>=</w:t>
            </w:r>
            <w:r w:rsidR="00C749C8"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80)</w:t>
            </w:r>
          </w:p>
        </w:tc>
        <w:tc>
          <w:tcPr>
            <w:tcW w:w="2832" w:type="dxa"/>
            <w:gridSpan w:val="2"/>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Female (</w:t>
            </w:r>
            <w:r w:rsidRPr="00772AC6">
              <w:rPr>
                <w:rFonts w:ascii="Book Antiqua" w:hAnsi="Book Antiqua" w:cstheme="majorHAnsi"/>
                <w:b/>
                <w:i/>
                <w:sz w:val="24"/>
                <w:szCs w:val="24"/>
              </w:rPr>
              <w:t>n</w:t>
            </w:r>
            <w:r w:rsidR="00C749C8"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w:t>
            </w:r>
            <w:r w:rsidR="00C749C8"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106)</w:t>
            </w:r>
          </w:p>
        </w:tc>
        <w:tc>
          <w:tcPr>
            <w:tcW w:w="1559" w:type="dxa"/>
          </w:tcPr>
          <w:p w:rsidR="00AA7EAD" w:rsidRPr="00772AC6" w:rsidRDefault="00AA7EAD" w:rsidP="00C749C8">
            <w:pPr>
              <w:adjustRightInd w:val="0"/>
              <w:snapToGrid w:val="0"/>
              <w:spacing w:line="360" w:lineRule="auto"/>
              <w:jc w:val="center"/>
              <w:rPr>
                <w:rFonts w:ascii="Book Antiqua" w:hAnsi="Book Antiqua" w:cstheme="majorHAnsi"/>
                <w:b/>
                <w:sz w:val="24"/>
                <w:szCs w:val="24"/>
              </w:rPr>
            </w:pPr>
          </w:p>
        </w:tc>
      </w:tr>
      <w:tr w:rsidR="002422B3" w:rsidRPr="00772AC6" w:rsidTr="00C749C8">
        <w:tc>
          <w:tcPr>
            <w:tcW w:w="4607" w:type="dxa"/>
            <w:tcBorders>
              <w:bottom w:val="single" w:sz="4" w:space="0" w:color="auto"/>
            </w:tcBorders>
          </w:tcPr>
          <w:p w:rsidR="00AA7EAD" w:rsidRPr="00772AC6" w:rsidRDefault="00AA7EAD" w:rsidP="00C749C8">
            <w:pPr>
              <w:adjustRightInd w:val="0"/>
              <w:snapToGrid w:val="0"/>
              <w:spacing w:line="360" w:lineRule="auto"/>
              <w:jc w:val="left"/>
              <w:rPr>
                <w:rFonts w:ascii="Book Antiqua" w:hAnsi="Book Antiqua" w:cstheme="majorHAnsi"/>
                <w:sz w:val="24"/>
                <w:szCs w:val="24"/>
              </w:rPr>
            </w:pPr>
          </w:p>
        </w:tc>
        <w:tc>
          <w:tcPr>
            <w:tcW w:w="2847" w:type="dxa"/>
            <w:gridSpan w:val="2"/>
            <w:tcBorders>
              <w:bottom w:val="single" w:sz="4" w:space="0" w:color="auto"/>
            </w:tcBorders>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Median (IQR) / N</w:t>
            </w:r>
          </w:p>
        </w:tc>
        <w:tc>
          <w:tcPr>
            <w:tcW w:w="2833" w:type="dxa"/>
            <w:gridSpan w:val="2"/>
            <w:tcBorders>
              <w:bottom w:val="single" w:sz="4" w:space="0" w:color="auto"/>
            </w:tcBorders>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Median (IQR) / N</w:t>
            </w:r>
          </w:p>
        </w:tc>
        <w:tc>
          <w:tcPr>
            <w:tcW w:w="2832" w:type="dxa"/>
            <w:gridSpan w:val="2"/>
            <w:tcBorders>
              <w:bottom w:val="single" w:sz="4" w:space="0" w:color="auto"/>
            </w:tcBorders>
          </w:tcPr>
          <w:p w:rsidR="00AA7EAD" w:rsidRPr="00772AC6" w:rsidRDefault="00AA7EAD" w:rsidP="00C749C8">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Median (IQR) / N</w:t>
            </w:r>
          </w:p>
        </w:tc>
        <w:tc>
          <w:tcPr>
            <w:tcW w:w="1559" w:type="dxa"/>
            <w:tcBorders>
              <w:bottom w:val="single" w:sz="4" w:space="0" w:color="auto"/>
            </w:tcBorders>
          </w:tcPr>
          <w:p w:rsidR="00AA7EAD" w:rsidRPr="00772AC6" w:rsidRDefault="00AA7EAD" w:rsidP="00C749C8">
            <w:pPr>
              <w:adjustRightInd w:val="0"/>
              <w:snapToGrid w:val="0"/>
              <w:spacing w:line="360" w:lineRule="auto"/>
              <w:jc w:val="center"/>
              <w:rPr>
                <w:rFonts w:ascii="Book Antiqua" w:eastAsia="SimSun" w:hAnsi="Book Antiqua" w:cstheme="majorHAnsi"/>
                <w:b/>
                <w:sz w:val="24"/>
                <w:szCs w:val="24"/>
                <w:lang w:eastAsia="zh-CN"/>
              </w:rPr>
            </w:pPr>
            <w:r w:rsidRPr="00772AC6">
              <w:rPr>
                <w:rFonts w:ascii="Book Antiqua" w:hAnsi="Book Antiqua" w:cstheme="majorHAnsi"/>
                <w:b/>
                <w:i/>
                <w:sz w:val="24"/>
                <w:szCs w:val="24"/>
              </w:rPr>
              <w:t>P</w:t>
            </w:r>
            <w:r w:rsidRPr="00772AC6">
              <w:rPr>
                <w:rFonts w:ascii="Book Antiqua" w:hAnsi="Book Antiqua" w:cstheme="majorHAnsi"/>
                <w:b/>
                <w:sz w:val="24"/>
                <w:szCs w:val="24"/>
              </w:rPr>
              <w:t xml:space="preserve"> value</w:t>
            </w:r>
            <w:r w:rsidR="00C749C8" w:rsidRPr="00772AC6">
              <w:rPr>
                <w:rFonts w:ascii="Book Antiqua" w:eastAsia="SimSun" w:hAnsi="Book Antiqua" w:cstheme="majorHAnsi"/>
                <w:b/>
                <w:sz w:val="24"/>
                <w:szCs w:val="24"/>
                <w:vertAlign w:val="superscript"/>
                <w:lang w:eastAsia="zh-CN"/>
              </w:rPr>
              <w:t>1</w:t>
            </w:r>
          </w:p>
        </w:tc>
      </w:tr>
      <w:tr w:rsidR="002422B3" w:rsidRPr="00772AC6" w:rsidTr="00C749C8">
        <w:tc>
          <w:tcPr>
            <w:tcW w:w="4607" w:type="dxa"/>
            <w:tcBorders>
              <w:bottom w:val="nil"/>
            </w:tcBorders>
          </w:tcPr>
          <w:p w:rsidR="00AA7EAD" w:rsidRPr="00772AC6" w:rsidRDefault="00AA7EAD" w:rsidP="00DC1BF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Age</w:t>
            </w:r>
            <w:r w:rsidR="00711827" w:rsidRPr="00772AC6">
              <w:rPr>
                <w:rFonts w:ascii="Book Antiqua" w:hAnsi="Book Antiqua" w:cstheme="majorHAnsi"/>
                <w:sz w:val="24"/>
                <w:szCs w:val="24"/>
              </w:rPr>
              <w:t xml:space="preserve"> (y</w:t>
            </w:r>
            <w:r w:rsidR="00DC1BFE" w:rsidRPr="00772AC6">
              <w:rPr>
                <w:rFonts w:ascii="Book Antiqua" w:hAnsi="Book Antiqua" w:cstheme="majorHAnsi"/>
                <w:sz w:val="24"/>
                <w:szCs w:val="24"/>
              </w:rPr>
              <w:t>r</w:t>
            </w:r>
            <w:r w:rsidR="00711827" w:rsidRPr="00772AC6">
              <w:rPr>
                <w:rFonts w:ascii="Book Antiqua" w:hAnsi="Book Antiqua" w:cstheme="majorHAnsi"/>
                <w:sz w:val="24"/>
                <w:szCs w:val="24"/>
              </w:rPr>
              <w:t>)</w:t>
            </w:r>
          </w:p>
        </w:tc>
        <w:tc>
          <w:tcPr>
            <w:tcW w:w="1245"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56</w:t>
            </w:r>
          </w:p>
        </w:tc>
        <w:tc>
          <w:tcPr>
            <w:tcW w:w="1602"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(46-65)</w:t>
            </w:r>
          </w:p>
        </w:tc>
        <w:tc>
          <w:tcPr>
            <w:tcW w:w="1231"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50</w:t>
            </w:r>
          </w:p>
        </w:tc>
        <w:tc>
          <w:tcPr>
            <w:tcW w:w="1602"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(38-59)</w:t>
            </w:r>
          </w:p>
        </w:tc>
        <w:tc>
          <w:tcPr>
            <w:tcW w:w="1230"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61</w:t>
            </w:r>
          </w:p>
        </w:tc>
        <w:tc>
          <w:tcPr>
            <w:tcW w:w="1602" w:type="dxa"/>
            <w:tcBorders>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(54-66)</w:t>
            </w:r>
          </w:p>
        </w:tc>
        <w:tc>
          <w:tcPr>
            <w:tcW w:w="1559" w:type="dxa"/>
            <w:tcBorders>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BMI (kg/m</w:t>
            </w:r>
            <w:r w:rsidRPr="00772AC6">
              <w:rPr>
                <w:rFonts w:ascii="Book Antiqua" w:hAnsi="Book Antiqua" w:cstheme="majorHAnsi"/>
                <w:sz w:val="24"/>
                <w:szCs w:val="24"/>
                <w:vertAlign w:val="superscript"/>
              </w:rPr>
              <w:t>2</w:t>
            </w:r>
            <w:r w:rsidRPr="00772AC6">
              <w:rPr>
                <w:rFonts w:ascii="Book Antiqua" w:hAnsi="Book Antiqua" w:cstheme="majorHAnsi"/>
                <w:sz w:val="24"/>
                <w:szCs w:val="24"/>
              </w:rPr>
              <w:t>)</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26.2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(23.8-29.6)</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26.1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(24.3-29.4)</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26.5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(23.6-29.7)</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5852" w:type="dxa"/>
            <w:gridSpan w:val="2"/>
            <w:tcBorders>
              <w:top w:val="nil"/>
              <w:bottom w:val="nil"/>
            </w:tcBorders>
          </w:tcPr>
          <w:p w:rsidR="008A06B2" w:rsidRPr="00772AC6" w:rsidRDefault="008A06B2" w:rsidP="00C749C8">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Laboratory data</w:t>
            </w: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231"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230"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559"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Albumin (g/dL)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(4.3-4.7)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4.6</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(4.4-4.8)</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(4.2-4.7)</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C749C8">
        <w:tc>
          <w:tcPr>
            <w:tcW w:w="4607" w:type="dxa"/>
            <w:tcBorders>
              <w:top w:val="nil"/>
              <w:bottom w:val="nil"/>
            </w:tcBorders>
          </w:tcPr>
          <w:p w:rsidR="00AA7EAD" w:rsidRPr="00772AC6" w:rsidRDefault="0071190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T-bil</w:t>
            </w:r>
            <w:r w:rsidR="00AA7EAD" w:rsidRPr="00772AC6">
              <w:rPr>
                <w:rFonts w:ascii="Book Antiqua" w:hAnsi="Book Antiqua" w:cstheme="majorHAnsi"/>
                <w:sz w:val="24"/>
                <w:szCs w:val="24"/>
              </w:rPr>
              <w:t xml:space="preserve"> (mg/dL)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0.87</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(0.69-1.17)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0.94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(0.74-1.26)</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(0.67-1.07)</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AST (IU/L)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(30-65)</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39</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(30-62)</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(30-69)</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ALT (IU/L)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(38-97)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(43-103)</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(33-89)</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γ-GT (IU/L)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(35-92)</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(43-99)</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(32-81)</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C749C8">
        <w:tc>
          <w:tcPr>
            <w:tcW w:w="4607" w:type="dxa"/>
            <w:tcBorders>
              <w:top w:val="nil"/>
              <w:bottom w:val="nil"/>
            </w:tcBorders>
          </w:tcPr>
          <w:p w:rsidR="00AA7EAD" w:rsidRPr="00772AC6" w:rsidRDefault="0071190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 xml:space="preserve">TG </w:t>
            </w:r>
            <w:r w:rsidR="00AA7EAD" w:rsidRPr="00772AC6">
              <w:rPr>
                <w:rFonts w:ascii="Book Antiqua" w:hAnsi="Book Antiqua" w:cstheme="majorHAnsi"/>
                <w:sz w:val="24"/>
                <w:szCs w:val="24"/>
              </w:rPr>
              <w:t>(mg/dL)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(92-159)</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(91-159)</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(95-159)</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LDL-C (mg/dL)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130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(107-151)</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132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(105-154)</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130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(109-149)</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HDL-C (mg/dL)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(44-60)</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(44-56)</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(47-63)</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Pl</w:t>
            </w:r>
            <w:r w:rsidR="0071190D" w:rsidRPr="00772AC6">
              <w:rPr>
                <w:rFonts w:ascii="Book Antiqua" w:hAnsi="Book Antiqua" w:cstheme="majorHAnsi"/>
                <w:sz w:val="24"/>
                <w:szCs w:val="24"/>
              </w:rPr>
              <w:t xml:space="preserve">t </w:t>
            </w:r>
            <w:r w:rsidRPr="00772AC6">
              <w:rPr>
                <w:rFonts w:ascii="Book Antiqua" w:hAnsi="Book Antiqua" w:cstheme="majorHAnsi"/>
                <w:sz w:val="24"/>
                <w:szCs w:val="24"/>
              </w:rPr>
              <w:t>(×10</w:t>
            </w:r>
            <w:r w:rsidRPr="00772AC6">
              <w:rPr>
                <w:rFonts w:ascii="Book Antiqua" w:hAnsi="Book Antiqua" w:cstheme="majorHAnsi"/>
                <w:sz w:val="24"/>
                <w:szCs w:val="24"/>
                <w:vertAlign w:val="superscript"/>
              </w:rPr>
              <w:t>4</w:t>
            </w:r>
            <w:r w:rsidRPr="00772AC6">
              <w:rPr>
                <w:rFonts w:ascii="Book Antiqua" w:hAnsi="Book Antiqua" w:cstheme="majorHAnsi"/>
                <w:sz w:val="24"/>
                <w:szCs w:val="24"/>
              </w:rPr>
              <w:t>/μL)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23.1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(18.5-26.8)</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23.0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(19.6-26.7)</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23.3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(17.6-26.9)</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3808B4" w:rsidRPr="00772AC6" w:rsidRDefault="003808B4"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HbA1c (%)</w:t>
            </w:r>
          </w:p>
        </w:tc>
        <w:tc>
          <w:tcPr>
            <w:tcW w:w="1245" w:type="dxa"/>
            <w:tcBorders>
              <w:top w:val="nil"/>
              <w:bottom w:val="nil"/>
            </w:tcBorders>
          </w:tcPr>
          <w:p w:rsidR="003808B4" w:rsidRPr="00772AC6" w:rsidRDefault="003808B4"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5.9</w:t>
            </w:r>
          </w:p>
        </w:tc>
        <w:tc>
          <w:tcPr>
            <w:tcW w:w="1602" w:type="dxa"/>
            <w:tcBorders>
              <w:top w:val="nil"/>
              <w:bottom w:val="nil"/>
            </w:tcBorders>
          </w:tcPr>
          <w:p w:rsidR="003808B4" w:rsidRPr="00772AC6" w:rsidRDefault="003808B4"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(5.7-6.6)</w:t>
            </w:r>
          </w:p>
        </w:tc>
        <w:tc>
          <w:tcPr>
            <w:tcW w:w="1231" w:type="dxa"/>
            <w:tcBorders>
              <w:top w:val="nil"/>
              <w:bottom w:val="nil"/>
            </w:tcBorders>
          </w:tcPr>
          <w:p w:rsidR="003808B4" w:rsidRPr="00772AC6" w:rsidRDefault="001C22E0"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5.9</w:t>
            </w:r>
          </w:p>
        </w:tc>
        <w:tc>
          <w:tcPr>
            <w:tcW w:w="1602" w:type="dxa"/>
            <w:tcBorders>
              <w:top w:val="nil"/>
              <w:bottom w:val="nil"/>
            </w:tcBorders>
          </w:tcPr>
          <w:p w:rsidR="003808B4" w:rsidRPr="00772AC6" w:rsidRDefault="001C22E0"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(5.6-6.5)</w:t>
            </w:r>
          </w:p>
        </w:tc>
        <w:tc>
          <w:tcPr>
            <w:tcW w:w="1230" w:type="dxa"/>
            <w:tcBorders>
              <w:top w:val="nil"/>
              <w:bottom w:val="nil"/>
            </w:tcBorders>
          </w:tcPr>
          <w:p w:rsidR="003808B4" w:rsidRPr="00772AC6" w:rsidRDefault="001C22E0"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5.9</w:t>
            </w:r>
          </w:p>
        </w:tc>
        <w:tc>
          <w:tcPr>
            <w:tcW w:w="1602" w:type="dxa"/>
            <w:tcBorders>
              <w:top w:val="nil"/>
              <w:bottom w:val="nil"/>
            </w:tcBorders>
          </w:tcPr>
          <w:p w:rsidR="003808B4" w:rsidRPr="00772AC6" w:rsidRDefault="001C22E0"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(5.7-6.6)</w:t>
            </w:r>
          </w:p>
        </w:tc>
        <w:tc>
          <w:tcPr>
            <w:tcW w:w="1559" w:type="dxa"/>
            <w:tcBorders>
              <w:top w:val="nil"/>
              <w:bottom w:val="nil"/>
            </w:tcBorders>
          </w:tcPr>
          <w:p w:rsidR="003808B4" w:rsidRPr="00772AC6" w:rsidRDefault="001C22E0"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71190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 xml:space="preserve">FBG </w:t>
            </w:r>
            <w:r w:rsidR="00AA7EAD" w:rsidRPr="00772AC6">
              <w:rPr>
                <w:rFonts w:ascii="Book Antiqua" w:hAnsi="Book Antiqua" w:cstheme="majorHAnsi"/>
                <w:sz w:val="24"/>
                <w:szCs w:val="24"/>
              </w:rPr>
              <w:t>(mg/dL)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(98-121)</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(98-121)</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(97-121)</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71190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IRI</w:t>
            </w:r>
            <w:r w:rsidR="00AA7EAD" w:rsidRPr="00772AC6">
              <w:rPr>
                <w:rFonts w:ascii="Book Antiqua" w:hAnsi="Book Antiqua" w:cstheme="majorHAnsi"/>
                <w:sz w:val="24"/>
                <w:szCs w:val="24"/>
              </w:rPr>
              <w:t xml:space="preserve"> (mU/L)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(7.2-16.7)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(6.8-16.3)</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(7.4-17.2)</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lastRenderedPageBreak/>
              <w:t>HOMA-IR</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(1.9-4.6)</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2.9</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(1.8-4.5)</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(2.0-4.7)</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Fe (µg/dL)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(90-137)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120</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(92-146)</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(88-129)</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Ferritin (ng/mL)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146</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(79-274)</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172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(126-293)</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(58-236)</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AFP (ng/mL)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(2.2-4.8)</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2.8</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(2.1-4.0)</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3.4</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(2.6-5.2)</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C749C8">
        <w:tc>
          <w:tcPr>
            <w:tcW w:w="5852" w:type="dxa"/>
            <w:gridSpan w:val="2"/>
            <w:tcBorders>
              <w:top w:val="nil"/>
              <w:bottom w:val="nil"/>
            </w:tcBorders>
          </w:tcPr>
          <w:p w:rsidR="008A06B2" w:rsidRPr="00772AC6" w:rsidRDefault="008A06B2" w:rsidP="00C749C8">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Fibrosis markers</w:t>
            </w: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231"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230"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c>
          <w:tcPr>
            <w:tcW w:w="1559" w:type="dxa"/>
            <w:tcBorders>
              <w:top w:val="nil"/>
              <w:bottom w:val="nil"/>
            </w:tcBorders>
          </w:tcPr>
          <w:p w:rsidR="008A06B2" w:rsidRPr="00772AC6" w:rsidRDefault="008A06B2" w:rsidP="005A4D61">
            <w:pPr>
              <w:adjustRightInd w:val="0"/>
              <w:snapToGrid w:val="0"/>
              <w:spacing w:line="360" w:lineRule="auto"/>
              <w:rPr>
                <w:rFonts w:ascii="Book Antiqua" w:hAnsi="Book Antiqua" w:cstheme="majorHAnsi"/>
                <w:sz w:val="24"/>
                <w:szCs w:val="24"/>
              </w:rPr>
            </w:pP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HA (ng/mL)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(28-91)</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(25-62)</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(34-118)</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4C7S (ng/mL)</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4.6</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(3.8-5.7)</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(3.8-5.5)</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4.7</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(3.8-6.6)</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FIB-4</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1.35</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(0.94-2.18)</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1.12</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(0.77-1.88)</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1.53</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(1.13-2.51)</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APRI</w:t>
            </w:r>
          </w:p>
        </w:tc>
        <w:tc>
          <w:tcPr>
            <w:tcW w:w="1245"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0.69</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(0.46-1.13)</w:t>
            </w:r>
          </w:p>
        </w:tc>
        <w:tc>
          <w:tcPr>
            <w:tcW w:w="1231"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0.66</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(0.44-1.03)</w:t>
            </w:r>
          </w:p>
        </w:tc>
        <w:tc>
          <w:tcPr>
            <w:tcW w:w="1230"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0.71</w:t>
            </w:r>
          </w:p>
        </w:tc>
        <w:tc>
          <w:tcPr>
            <w:tcW w:w="1602"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(0.46-1.25)</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5852" w:type="dxa"/>
            <w:gridSpan w:val="2"/>
            <w:tcBorders>
              <w:top w:val="nil"/>
              <w:bottom w:val="nil"/>
            </w:tcBorders>
          </w:tcPr>
          <w:p w:rsidR="008454BF" w:rsidRPr="00772AC6" w:rsidRDefault="008454BF" w:rsidP="00C749C8">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Histological findings</w:t>
            </w:r>
          </w:p>
        </w:tc>
        <w:tc>
          <w:tcPr>
            <w:tcW w:w="1602"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c>
          <w:tcPr>
            <w:tcW w:w="1231"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c>
          <w:tcPr>
            <w:tcW w:w="1230"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c>
          <w:tcPr>
            <w:tcW w:w="1602"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c>
          <w:tcPr>
            <w:tcW w:w="1559" w:type="dxa"/>
            <w:tcBorders>
              <w:top w:val="nil"/>
              <w:bottom w:val="nil"/>
            </w:tcBorders>
          </w:tcPr>
          <w:p w:rsidR="008454BF" w:rsidRPr="00772AC6" w:rsidRDefault="008454BF" w:rsidP="005A4D61">
            <w:pPr>
              <w:adjustRightInd w:val="0"/>
              <w:snapToGrid w:val="0"/>
              <w:spacing w:line="360" w:lineRule="auto"/>
              <w:rPr>
                <w:rFonts w:ascii="Book Antiqua" w:hAnsi="Book Antiqua" w:cstheme="majorHAnsi"/>
                <w:sz w:val="24"/>
                <w:szCs w:val="24"/>
              </w:rPr>
            </w:pP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Steatosis (1/2/3)</w:t>
            </w:r>
          </w:p>
        </w:tc>
        <w:tc>
          <w:tcPr>
            <w:tcW w:w="2847"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57/90/39</w:t>
            </w:r>
          </w:p>
        </w:tc>
        <w:tc>
          <w:tcPr>
            <w:tcW w:w="2833"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24/41/15</w:t>
            </w:r>
          </w:p>
        </w:tc>
        <w:tc>
          <w:tcPr>
            <w:tcW w:w="2832"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33/49/24</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left w:val="nil"/>
              <w:bottom w:val="nil"/>
              <w:right w:val="nil"/>
            </w:tcBorders>
          </w:tcPr>
          <w:p w:rsidR="00AA7EAD" w:rsidRPr="00772AC6" w:rsidRDefault="00C749C8"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Lobular inflammation</w:t>
            </w:r>
            <w:r w:rsidRPr="00772AC6">
              <w:rPr>
                <w:rFonts w:ascii="Book Antiqua" w:eastAsia="SimSun" w:hAnsi="Book Antiqua" w:cstheme="majorHAnsi"/>
                <w:sz w:val="24"/>
                <w:szCs w:val="24"/>
                <w:lang w:eastAsia="zh-CN"/>
              </w:rPr>
              <w:t xml:space="preserve"> </w:t>
            </w:r>
            <w:r w:rsidR="00AA7EAD" w:rsidRPr="00772AC6">
              <w:rPr>
                <w:rFonts w:ascii="Book Antiqua" w:hAnsi="Book Antiqua" w:cstheme="majorHAnsi"/>
                <w:sz w:val="24"/>
                <w:szCs w:val="24"/>
              </w:rPr>
              <w:t>(0/1/2/3)</w:t>
            </w:r>
          </w:p>
        </w:tc>
        <w:tc>
          <w:tcPr>
            <w:tcW w:w="2847" w:type="dxa"/>
            <w:gridSpan w:val="2"/>
            <w:tcBorders>
              <w:top w:val="nil"/>
              <w:left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9/101/69/7</w:t>
            </w:r>
          </w:p>
        </w:tc>
        <w:tc>
          <w:tcPr>
            <w:tcW w:w="2833"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6/48/23/3</w:t>
            </w:r>
          </w:p>
        </w:tc>
        <w:tc>
          <w:tcPr>
            <w:tcW w:w="2832"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3/53/46/4</w:t>
            </w:r>
          </w:p>
        </w:tc>
        <w:tc>
          <w:tcPr>
            <w:tcW w:w="1559" w:type="dxa"/>
            <w:tcBorders>
              <w:top w:val="nil"/>
              <w:bottom w:val="nil"/>
            </w:tcBorders>
          </w:tcPr>
          <w:p w:rsidR="00AA7EAD" w:rsidRPr="00772AC6" w:rsidRDefault="002422B3"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C749C8">
        <w:tc>
          <w:tcPr>
            <w:tcW w:w="4607" w:type="dxa"/>
            <w:tcBorders>
              <w:top w:val="nil"/>
              <w:bottom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Ballooning (0/1/2)</w:t>
            </w:r>
          </w:p>
        </w:tc>
        <w:tc>
          <w:tcPr>
            <w:tcW w:w="2847"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43/98/45</w:t>
            </w:r>
          </w:p>
        </w:tc>
        <w:tc>
          <w:tcPr>
            <w:tcW w:w="2833"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22/44/14</w:t>
            </w:r>
          </w:p>
        </w:tc>
        <w:tc>
          <w:tcPr>
            <w:tcW w:w="2832" w:type="dxa"/>
            <w:gridSpan w:val="2"/>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21/54/31</w:t>
            </w:r>
          </w:p>
        </w:tc>
        <w:tc>
          <w:tcPr>
            <w:tcW w:w="1559" w:type="dxa"/>
            <w:tcBorders>
              <w:top w:val="nil"/>
              <w:bottom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C749C8">
        <w:tc>
          <w:tcPr>
            <w:tcW w:w="4607" w:type="dxa"/>
            <w:tcBorders>
              <w:top w:val="nil"/>
            </w:tcBorders>
          </w:tcPr>
          <w:p w:rsidR="00AA7EAD" w:rsidRPr="00772AC6" w:rsidRDefault="00AA7EAD" w:rsidP="00C749C8">
            <w:pPr>
              <w:adjustRightInd w:val="0"/>
              <w:snapToGrid w:val="0"/>
              <w:spacing w:line="360" w:lineRule="auto"/>
              <w:ind w:firstLineChars="100" w:firstLine="240"/>
              <w:jc w:val="left"/>
              <w:rPr>
                <w:rFonts w:ascii="Book Antiqua" w:hAnsi="Book Antiqua" w:cstheme="majorHAnsi"/>
                <w:sz w:val="24"/>
                <w:szCs w:val="24"/>
              </w:rPr>
            </w:pPr>
            <w:r w:rsidRPr="00772AC6">
              <w:rPr>
                <w:rFonts w:ascii="Book Antiqua" w:hAnsi="Book Antiqua" w:cstheme="majorHAnsi"/>
                <w:sz w:val="24"/>
                <w:szCs w:val="24"/>
              </w:rPr>
              <w:t>Fibrosis (0/1/2/3/4)</w:t>
            </w:r>
          </w:p>
        </w:tc>
        <w:tc>
          <w:tcPr>
            <w:tcW w:w="2847" w:type="dxa"/>
            <w:gridSpan w:val="2"/>
            <w:tcBorders>
              <w:top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35/89/19/34/9</w:t>
            </w:r>
          </w:p>
        </w:tc>
        <w:tc>
          <w:tcPr>
            <w:tcW w:w="2833" w:type="dxa"/>
            <w:gridSpan w:val="2"/>
            <w:tcBorders>
              <w:top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16/43/8/13/0</w:t>
            </w:r>
          </w:p>
        </w:tc>
        <w:tc>
          <w:tcPr>
            <w:tcW w:w="2832" w:type="dxa"/>
            <w:gridSpan w:val="2"/>
            <w:tcBorders>
              <w:top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19/46/11/21/9</w:t>
            </w:r>
          </w:p>
        </w:tc>
        <w:tc>
          <w:tcPr>
            <w:tcW w:w="1559" w:type="dxa"/>
            <w:tcBorders>
              <w:top w:val="nil"/>
            </w:tcBorders>
          </w:tcPr>
          <w:p w:rsidR="00AA7EAD" w:rsidRPr="00772AC6" w:rsidRDefault="00AA7EAD" w:rsidP="00C749C8">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bl>
    <w:p w:rsidR="008A06B2" w:rsidRPr="00772AC6" w:rsidRDefault="00F728F8" w:rsidP="00F728F8">
      <w:pPr>
        <w:adjustRightInd w:val="0"/>
        <w:snapToGrid w:val="0"/>
        <w:spacing w:line="360" w:lineRule="auto"/>
        <w:rPr>
          <w:rFonts w:ascii="Book Antiqua" w:hAnsi="Book Antiqua" w:cstheme="majorHAnsi"/>
          <w:sz w:val="24"/>
          <w:szCs w:val="24"/>
        </w:rPr>
      </w:pPr>
      <w:r w:rsidRPr="00772AC6">
        <w:rPr>
          <w:rFonts w:ascii="Book Antiqua" w:eastAsia="SimSun" w:hAnsi="Book Antiqua" w:cstheme="majorHAnsi"/>
          <w:sz w:val="24"/>
          <w:szCs w:val="24"/>
          <w:vertAlign w:val="superscript"/>
          <w:lang w:eastAsia="zh-CN"/>
        </w:rPr>
        <w:t>1</w:t>
      </w:r>
      <w:r w:rsidRPr="00772AC6">
        <w:rPr>
          <w:rFonts w:ascii="Book Antiqua" w:hAnsi="Book Antiqua" w:cstheme="majorHAnsi"/>
          <w:sz w:val="24"/>
          <w:szCs w:val="24"/>
        </w:rPr>
        <w:t>Comparison between male and female subjects.</w:t>
      </w:r>
      <w:r w:rsidRPr="00772AC6">
        <w:rPr>
          <w:rFonts w:ascii="Book Antiqua" w:eastAsia="SimSun" w:hAnsi="Book Antiqua" w:cstheme="majorHAnsi"/>
          <w:sz w:val="24"/>
          <w:szCs w:val="24"/>
          <w:lang w:eastAsia="zh-CN"/>
        </w:rPr>
        <w:t xml:space="preserve"> </w:t>
      </w:r>
      <w:r w:rsidR="00AA7EAD" w:rsidRPr="00772AC6">
        <w:rPr>
          <w:rFonts w:ascii="Book Antiqua" w:hAnsi="Book Antiqua" w:cstheme="majorHAnsi"/>
          <w:sz w:val="24"/>
          <w:szCs w:val="24"/>
        </w:rPr>
        <w:t>IQR</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I</w:t>
      </w:r>
      <w:r w:rsidR="00AA7EAD" w:rsidRPr="00772AC6">
        <w:rPr>
          <w:rFonts w:ascii="Book Antiqua" w:hAnsi="Book Antiqua" w:cstheme="majorHAnsi"/>
          <w:sz w:val="24"/>
          <w:szCs w:val="24"/>
        </w:rPr>
        <w:t xml:space="preserve">nterquartile range; </w:t>
      </w:r>
      <w:r w:rsidR="00361F32" w:rsidRPr="00772AC6">
        <w:rPr>
          <w:rFonts w:ascii="Book Antiqua" w:hAnsi="Book Antiqua" w:cstheme="majorHAnsi"/>
          <w:sz w:val="24"/>
          <w:szCs w:val="24"/>
        </w:rPr>
        <w:t>BMI</w:t>
      </w:r>
      <w:r w:rsidR="00C749C8" w:rsidRPr="00772AC6">
        <w:rPr>
          <w:rFonts w:ascii="Book Antiqua" w:eastAsia="SimSun" w:hAnsi="Book Antiqua" w:cstheme="majorHAnsi"/>
          <w:sz w:val="24"/>
          <w:szCs w:val="24"/>
          <w:lang w:eastAsia="zh-CN"/>
        </w:rPr>
        <w:t>:</w:t>
      </w:r>
      <w:r w:rsidR="00361F32" w:rsidRPr="00772AC6">
        <w:rPr>
          <w:rFonts w:ascii="Book Antiqua" w:hAnsi="Book Antiqua" w:cstheme="majorHAnsi"/>
          <w:sz w:val="24"/>
          <w:szCs w:val="24"/>
        </w:rPr>
        <w:t xml:space="preserve"> </w:t>
      </w:r>
      <w:r w:rsidR="00C749C8" w:rsidRPr="00772AC6">
        <w:rPr>
          <w:rFonts w:ascii="Book Antiqua" w:hAnsi="Book Antiqua" w:cstheme="majorHAnsi"/>
          <w:sz w:val="24"/>
          <w:szCs w:val="24"/>
        </w:rPr>
        <w:t>B</w:t>
      </w:r>
      <w:r w:rsidR="00361F32" w:rsidRPr="00772AC6">
        <w:rPr>
          <w:rFonts w:ascii="Book Antiqua" w:hAnsi="Book Antiqua" w:cstheme="majorHAnsi"/>
          <w:sz w:val="24"/>
          <w:szCs w:val="24"/>
        </w:rPr>
        <w:t xml:space="preserve">ody mass index; </w:t>
      </w:r>
      <w:r w:rsidR="0071190D" w:rsidRPr="00772AC6">
        <w:rPr>
          <w:rFonts w:ascii="Book Antiqua" w:hAnsi="Book Antiqua" w:cstheme="majorHAnsi"/>
          <w:sz w:val="24"/>
          <w:szCs w:val="24"/>
        </w:rPr>
        <w:t>T-bil</w:t>
      </w:r>
      <w:r w:rsidR="00C749C8" w:rsidRPr="00772AC6">
        <w:rPr>
          <w:rFonts w:ascii="Book Antiqua" w:eastAsia="SimSun" w:hAnsi="Book Antiqua" w:cstheme="majorHAnsi"/>
          <w:sz w:val="24"/>
          <w:szCs w:val="24"/>
          <w:lang w:eastAsia="zh-CN"/>
        </w:rPr>
        <w:t>:</w:t>
      </w:r>
      <w:r w:rsidR="0071190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T</w:t>
      </w:r>
      <w:r w:rsidR="0071190D" w:rsidRPr="00772AC6">
        <w:rPr>
          <w:rFonts w:ascii="Book Antiqua" w:hAnsi="Book Antiqua" w:cstheme="majorHAnsi"/>
          <w:sz w:val="24"/>
          <w:szCs w:val="24"/>
        </w:rPr>
        <w:t xml:space="preserve">otal bilirubin; </w:t>
      </w:r>
      <w:r w:rsidR="00AA7EAD" w:rsidRPr="00772AC6">
        <w:rPr>
          <w:rFonts w:ascii="Book Antiqua" w:hAnsi="Book Antiqua" w:cstheme="majorHAnsi"/>
          <w:sz w:val="24"/>
          <w:szCs w:val="24"/>
        </w:rPr>
        <w:t>AST</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A</w:t>
      </w:r>
      <w:r w:rsidR="00AA7EAD" w:rsidRPr="00772AC6">
        <w:rPr>
          <w:rFonts w:ascii="Book Antiqua" w:hAnsi="Book Antiqua" w:cstheme="majorHAnsi"/>
          <w:sz w:val="24"/>
          <w:szCs w:val="24"/>
        </w:rPr>
        <w:t>spartate aminotransferase; ALT</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A</w:t>
      </w:r>
      <w:r w:rsidR="00AA7EAD" w:rsidRPr="00772AC6">
        <w:rPr>
          <w:rFonts w:ascii="Book Antiqua" w:hAnsi="Book Antiqua" w:cstheme="majorHAnsi"/>
          <w:sz w:val="24"/>
          <w:szCs w:val="24"/>
        </w:rPr>
        <w:t>lanine aminotransferase; γ-GT</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G</w:t>
      </w:r>
      <w:r w:rsidR="00AA7EAD" w:rsidRPr="00772AC6">
        <w:rPr>
          <w:rFonts w:ascii="Book Antiqua" w:hAnsi="Book Antiqua" w:cstheme="majorHAnsi"/>
          <w:sz w:val="24"/>
          <w:szCs w:val="24"/>
        </w:rPr>
        <w:t xml:space="preserve">amma-glutamyltransferase; </w:t>
      </w:r>
      <w:r w:rsidR="0071190D" w:rsidRPr="00772AC6">
        <w:rPr>
          <w:rFonts w:ascii="Book Antiqua" w:hAnsi="Book Antiqua" w:cstheme="majorHAnsi"/>
          <w:sz w:val="24"/>
          <w:szCs w:val="24"/>
        </w:rPr>
        <w:t>TG</w:t>
      </w:r>
      <w:r w:rsidR="00C749C8" w:rsidRPr="00772AC6">
        <w:rPr>
          <w:rFonts w:ascii="Book Antiqua" w:eastAsia="SimSun" w:hAnsi="Book Antiqua" w:cstheme="majorHAnsi"/>
          <w:sz w:val="24"/>
          <w:szCs w:val="24"/>
          <w:lang w:eastAsia="zh-CN"/>
        </w:rPr>
        <w:t>:</w:t>
      </w:r>
      <w:r w:rsidR="0071190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T</w:t>
      </w:r>
      <w:r w:rsidR="0071190D" w:rsidRPr="00772AC6">
        <w:rPr>
          <w:rFonts w:ascii="Book Antiqua" w:hAnsi="Book Antiqua" w:cstheme="majorHAnsi"/>
          <w:sz w:val="24"/>
          <w:szCs w:val="24"/>
        </w:rPr>
        <w:t xml:space="preserve">riglyceride; </w:t>
      </w:r>
      <w:r w:rsidR="00AA7EAD" w:rsidRPr="00772AC6">
        <w:rPr>
          <w:rFonts w:ascii="Book Antiqua" w:hAnsi="Book Antiqua" w:cstheme="majorHAnsi"/>
          <w:sz w:val="24"/>
          <w:szCs w:val="24"/>
        </w:rPr>
        <w:t>LDL-C</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L</w:t>
      </w:r>
      <w:r w:rsidR="00AA7EAD" w:rsidRPr="00772AC6">
        <w:rPr>
          <w:rFonts w:ascii="Book Antiqua" w:hAnsi="Book Antiqua" w:cstheme="majorHAnsi"/>
          <w:sz w:val="24"/>
          <w:szCs w:val="24"/>
        </w:rPr>
        <w:t>ow density lipoprotein cholesterol; HDL-C</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H</w:t>
      </w:r>
      <w:r w:rsidR="00AA7EAD" w:rsidRPr="00772AC6">
        <w:rPr>
          <w:rFonts w:ascii="Book Antiqua" w:hAnsi="Book Antiqua" w:cstheme="majorHAnsi"/>
          <w:sz w:val="24"/>
          <w:szCs w:val="24"/>
        </w:rPr>
        <w:t xml:space="preserve">igh density lipoprotein cholesterol; </w:t>
      </w:r>
      <w:r w:rsidR="0071190D" w:rsidRPr="00772AC6">
        <w:rPr>
          <w:rFonts w:ascii="Book Antiqua" w:hAnsi="Book Antiqua" w:cstheme="majorHAnsi"/>
          <w:sz w:val="24"/>
          <w:szCs w:val="24"/>
        </w:rPr>
        <w:t>Plt</w:t>
      </w:r>
      <w:r w:rsidR="00C749C8" w:rsidRPr="00772AC6">
        <w:rPr>
          <w:rFonts w:ascii="Book Antiqua" w:eastAsia="SimSun" w:hAnsi="Book Antiqua" w:cstheme="majorHAnsi"/>
          <w:sz w:val="24"/>
          <w:szCs w:val="24"/>
          <w:lang w:eastAsia="zh-CN"/>
        </w:rPr>
        <w:t>:</w:t>
      </w:r>
      <w:r w:rsidR="0071190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P</w:t>
      </w:r>
      <w:r w:rsidR="0071190D" w:rsidRPr="00772AC6">
        <w:rPr>
          <w:rFonts w:ascii="Book Antiqua" w:hAnsi="Book Antiqua" w:cstheme="majorHAnsi"/>
          <w:sz w:val="24"/>
          <w:szCs w:val="24"/>
        </w:rPr>
        <w:t>latelet; FBG</w:t>
      </w:r>
      <w:r w:rsidR="00C749C8" w:rsidRPr="00772AC6">
        <w:rPr>
          <w:rFonts w:ascii="Book Antiqua" w:eastAsia="SimSun" w:hAnsi="Book Antiqua" w:cstheme="majorHAnsi"/>
          <w:sz w:val="24"/>
          <w:szCs w:val="24"/>
          <w:lang w:eastAsia="zh-CN"/>
        </w:rPr>
        <w:t>:</w:t>
      </w:r>
      <w:r w:rsidR="0071190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F</w:t>
      </w:r>
      <w:r w:rsidR="0071190D" w:rsidRPr="00772AC6">
        <w:rPr>
          <w:rFonts w:ascii="Book Antiqua" w:hAnsi="Book Antiqua" w:cstheme="majorHAnsi"/>
          <w:sz w:val="24"/>
          <w:szCs w:val="24"/>
        </w:rPr>
        <w:t>asting blood glucose; IRI</w:t>
      </w:r>
      <w:r w:rsidR="00C749C8" w:rsidRPr="00772AC6">
        <w:rPr>
          <w:rFonts w:ascii="Book Antiqua" w:eastAsia="SimSun" w:hAnsi="Book Antiqua" w:cstheme="majorHAnsi"/>
          <w:sz w:val="24"/>
          <w:szCs w:val="24"/>
          <w:lang w:eastAsia="zh-CN"/>
        </w:rPr>
        <w:t>:</w:t>
      </w:r>
      <w:r w:rsidR="0071190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I</w:t>
      </w:r>
      <w:r w:rsidR="0071190D" w:rsidRPr="00772AC6">
        <w:rPr>
          <w:rFonts w:ascii="Book Antiqua" w:hAnsi="Book Antiqua" w:cstheme="majorHAnsi"/>
          <w:sz w:val="24"/>
          <w:szCs w:val="24"/>
        </w:rPr>
        <w:t xml:space="preserve">mmunoreactive insulin; </w:t>
      </w:r>
      <w:r w:rsidR="00AA7EAD" w:rsidRPr="00772AC6">
        <w:rPr>
          <w:rFonts w:ascii="Book Antiqua" w:hAnsi="Book Antiqua" w:cstheme="majorHAnsi"/>
          <w:sz w:val="24"/>
          <w:szCs w:val="24"/>
        </w:rPr>
        <w:t>HOMA-IR</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H</w:t>
      </w:r>
      <w:r w:rsidR="00AA7EAD" w:rsidRPr="00772AC6">
        <w:rPr>
          <w:rFonts w:ascii="Book Antiqua" w:hAnsi="Book Antiqua" w:cstheme="majorHAnsi"/>
          <w:sz w:val="24"/>
          <w:szCs w:val="24"/>
        </w:rPr>
        <w:t>omeostasis model assessment of insulin resistance; AFP</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A</w:t>
      </w:r>
      <w:r w:rsidR="00AA7EAD" w:rsidRPr="00772AC6">
        <w:rPr>
          <w:rFonts w:ascii="Book Antiqua" w:hAnsi="Book Antiqua" w:cstheme="majorHAnsi"/>
          <w:sz w:val="24"/>
          <w:szCs w:val="24"/>
        </w:rPr>
        <w:t>lpha-fetoprotein; HA</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H</w:t>
      </w:r>
      <w:r w:rsidR="00AA7EAD" w:rsidRPr="00772AC6">
        <w:rPr>
          <w:rFonts w:ascii="Book Antiqua" w:hAnsi="Book Antiqua" w:cstheme="majorHAnsi"/>
          <w:sz w:val="24"/>
          <w:szCs w:val="24"/>
        </w:rPr>
        <w:t>yaluronic acid; 4C7S</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Type 4 collagen</w:t>
      </w:r>
      <w:r w:rsidR="0001331E" w:rsidRPr="00772AC6">
        <w:rPr>
          <w:rFonts w:ascii="Book Antiqua" w:hAnsi="Book Antiqua" w:cstheme="majorHAnsi"/>
          <w:sz w:val="24"/>
          <w:szCs w:val="24"/>
        </w:rPr>
        <w:t>･</w:t>
      </w:r>
      <w:r w:rsidR="00AA7EAD" w:rsidRPr="00772AC6">
        <w:rPr>
          <w:rFonts w:ascii="Book Antiqua" w:hAnsi="Book Antiqua" w:cstheme="majorHAnsi"/>
          <w:sz w:val="24"/>
          <w:szCs w:val="24"/>
        </w:rPr>
        <w:t>7S</w:t>
      </w:r>
      <w:r w:rsidR="008454BF" w:rsidRPr="00772AC6">
        <w:rPr>
          <w:rFonts w:ascii="Book Antiqua" w:hAnsi="Book Antiqua" w:cstheme="majorHAnsi"/>
          <w:sz w:val="24"/>
          <w:szCs w:val="24"/>
        </w:rPr>
        <w:t>; FIB-4</w:t>
      </w:r>
      <w:r w:rsidR="00C749C8" w:rsidRPr="00772AC6">
        <w:rPr>
          <w:rFonts w:ascii="Book Antiqua" w:eastAsia="SimSun" w:hAnsi="Book Antiqua" w:cstheme="majorHAnsi"/>
          <w:sz w:val="24"/>
          <w:szCs w:val="24"/>
          <w:lang w:eastAsia="zh-CN"/>
        </w:rPr>
        <w:t>:</w:t>
      </w:r>
      <w:r w:rsidR="00C749C8" w:rsidRPr="00772AC6">
        <w:rPr>
          <w:rFonts w:ascii="Book Antiqua" w:hAnsi="Book Antiqua" w:cstheme="majorHAnsi"/>
          <w:sz w:val="24"/>
          <w:szCs w:val="24"/>
        </w:rPr>
        <w:t xml:space="preserve"> F</w:t>
      </w:r>
      <w:r w:rsidR="008454BF" w:rsidRPr="00772AC6">
        <w:rPr>
          <w:rFonts w:ascii="Book Antiqua" w:hAnsi="Book Antiqua" w:cstheme="majorHAnsi"/>
          <w:sz w:val="24"/>
          <w:szCs w:val="24"/>
        </w:rPr>
        <w:t>ibrosis-</w:t>
      </w:r>
      <w:r w:rsidR="00AA7EAD" w:rsidRPr="00772AC6">
        <w:rPr>
          <w:rFonts w:ascii="Book Antiqua" w:hAnsi="Book Antiqua" w:cstheme="majorHAnsi"/>
          <w:sz w:val="24"/>
          <w:szCs w:val="24"/>
        </w:rPr>
        <w:t>4 index; APRI</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AST</w:t>
      </w:r>
      <w:r w:rsidR="00FD7B09" w:rsidRPr="00772AC6">
        <w:rPr>
          <w:rFonts w:ascii="Book Antiqua" w:hAnsi="Book Antiqua" w:cstheme="majorHAnsi"/>
          <w:sz w:val="24"/>
          <w:szCs w:val="24"/>
        </w:rPr>
        <w:t xml:space="preserve"> </w:t>
      </w:r>
      <w:r w:rsidR="00AA7EAD" w:rsidRPr="00772AC6">
        <w:rPr>
          <w:rFonts w:ascii="Book Antiqua" w:hAnsi="Book Antiqua" w:cstheme="majorHAnsi"/>
          <w:sz w:val="24"/>
          <w:szCs w:val="24"/>
        </w:rPr>
        <w:t>to</w:t>
      </w:r>
      <w:r w:rsidR="00FD7B09" w:rsidRPr="00772AC6">
        <w:rPr>
          <w:rFonts w:ascii="Book Antiqua" w:hAnsi="Book Antiqua" w:cstheme="majorHAnsi"/>
          <w:sz w:val="24"/>
          <w:szCs w:val="24"/>
        </w:rPr>
        <w:t xml:space="preserve"> </w:t>
      </w:r>
      <w:r w:rsidR="00AA7EAD" w:rsidRPr="00772AC6">
        <w:rPr>
          <w:rFonts w:ascii="Book Antiqua" w:hAnsi="Book Antiqua" w:cstheme="majorHAnsi"/>
          <w:sz w:val="24"/>
          <w:szCs w:val="24"/>
        </w:rPr>
        <w:t>platelet ratio; NS</w:t>
      </w:r>
      <w:r w:rsidR="00C749C8" w:rsidRPr="00772AC6">
        <w:rPr>
          <w:rFonts w:ascii="Book Antiqua" w:eastAsia="SimSun" w:hAnsi="Book Antiqua" w:cstheme="majorHAnsi"/>
          <w:sz w:val="24"/>
          <w:szCs w:val="24"/>
          <w:lang w:eastAsia="zh-CN"/>
        </w:rPr>
        <w:t>:</w:t>
      </w:r>
      <w:r w:rsidR="00AA7EAD" w:rsidRPr="00772AC6">
        <w:rPr>
          <w:rFonts w:ascii="Book Antiqua" w:hAnsi="Book Antiqua" w:cstheme="majorHAnsi"/>
          <w:sz w:val="24"/>
          <w:szCs w:val="24"/>
        </w:rPr>
        <w:t xml:space="preserve"> </w:t>
      </w:r>
      <w:r w:rsidR="00C749C8" w:rsidRPr="00772AC6">
        <w:rPr>
          <w:rFonts w:ascii="Book Antiqua" w:hAnsi="Book Antiqua" w:cstheme="majorHAnsi"/>
          <w:sz w:val="24"/>
          <w:szCs w:val="24"/>
        </w:rPr>
        <w:t>N</w:t>
      </w:r>
      <w:r w:rsidR="00AA7EAD" w:rsidRPr="00772AC6">
        <w:rPr>
          <w:rFonts w:ascii="Book Antiqua" w:hAnsi="Book Antiqua" w:cstheme="majorHAnsi"/>
          <w:sz w:val="24"/>
          <w:szCs w:val="24"/>
        </w:rPr>
        <w:t xml:space="preserve">ot significant. </w:t>
      </w:r>
      <w:r w:rsidR="008A06B2" w:rsidRPr="00772AC6">
        <w:rPr>
          <w:rFonts w:ascii="Book Antiqua" w:hAnsi="Book Antiqua" w:cstheme="majorHAnsi"/>
          <w:sz w:val="24"/>
          <w:szCs w:val="24"/>
        </w:rPr>
        <w:br w:type="page"/>
      </w:r>
    </w:p>
    <w:p w:rsidR="00B04E6D" w:rsidRPr="00772AC6" w:rsidRDefault="00AA7EAD" w:rsidP="005A4D61">
      <w:pPr>
        <w:adjustRightInd w:val="0"/>
        <w:snapToGrid w:val="0"/>
        <w:spacing w:line="360" w:lineRule="auto"/>
        <w:rPr>
          <w:rFonts w:ascii="Book Antiqua" w:eastAsia="SimSun" w:hAnsi="Book Antiqua" w:cstheme="majorHAnsi"/>
          <w:b/>
          <w:sz w:val="24"/>
          <w:szCs w:val="24"/>
          <w:lang w:eastAsia="zh-CN"/>
        </w:rPr>
      </w:pPr>
      <w:r w:rsidRPr="00772AC6">
        <w:rPr>
          <w:rFonts w:ascii="Book Antiqua" w:hAnsi="Book Antiqua" w:cstheme="majorHAnsi"/>
          <w:b/>
          <w:sz w:val="24"/>
          <w:szCs w:val="24"/>
        </w:rPr>
        <w:lastRenderedPageBreak/>
        <w:t>Table 2</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 xml:space="preserve">Correlation between </w:t>
      </w:r>
      <w:r w:rsidR="0001331E" w:rsidRPr="00772AC6">
        <w:rPr>
          <w:rFonts w:ascii="Book Antiqua" w:hAnsi="Book Antiqua" w:cstheme="majorHAnsi"/>
          <w:b/>
          <w:sz w:val="24"/>
          <w:szCs w:val="24"/>
        </w:rPr>
        <w:t>autotaxin</w:t>
      </w:r>
      <w:r w:rsidRPr="00772AC6">
        <w:rPr>
          <w:rFonts w:ascii="Book Antiqua" w:hAnsi="Book Antiqua" w:cstheme="majorHAnsi"/>
          <w:b/>
          <w:sz w:val="24"/>
          <w:szCs w:val="24"/>
        </w:rPr>
        <w:t xml:space="preserve"> and clinicopathological findings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4"/>
        <w:gridCol w:w="1562"/>
        <w:gridCol w:w="1563"/>
        <w:gridCol w:w="1553"/>
        <w:gridCol w:w="1553"/>
        <w:gridCol w:w="1552"/>
        <w:gridCol w:w="1553"/>
      </w:tblGrid>
      <w:tr w:rsidR="002422B3" w:rsidRPr="00772AC6" w:rsidTr="002C2BEF">
        <w:tc>
          <w:tcPr>
            <w:tcW w:w="2264" w:type="dxa"/>
          </w:tcPr>
          <w:p w:rsidR="00AA7EAD" w:rsidRPr="00772AC6" w:rsidRDefault="00AA7EAD" w:rsidP="005A4D61">
            <w:pPr>
              <w:adjustRightInd w:val="0"/>
              <w:snapToGrid w:val="0"/>
              <w:spacing w:line="360" w:lineRule="auto"/>
              <w:rPr>
                <w:rFonts w:ascii="Book Antiqua" w:hAnsi="Book Antiqua" w:cstheme="majorHAnsi"/>
                <w:sz w:val="24"/>
                <w:szCs w:val="24"/>
              </w:rPr>
            </w:pPr>
          </w:p>
        </w:tc>
        <w:tc>
          <w:tcPr>
            <w:tcW w:w="2156" w:type="dxa"/>
            <w:gridSpan w:val="2"/>
          </w:tcPr>
          <w:p w:rsidR="00AA7EAD" w:rsidRPr="00772AC6" w:rsidRDefault="00AA7EAD"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All (</w:t>
            </w:r>
            <w:r w:rsidRPr="00772AC6">
              <w:rPr>
                <w:rFonts w:ascii="Book Antiqua" w:hAnsi="Book Antiqua" w:cstheme="majorHAnsi"/>
                <w:b/>
                <w:i/>
                <w:sz w:val="24"/>
                <w:szCs w:val="24"/>
              </w:rPr>
              <w:t>n</w:t>
            </w:r>
            <w:r w:rsidR="0001331E" w:rsidRPr="00772AC6">
              <w:rPr>
                <w:rFonts w:ascii="Book Antiqua" w:eastAsia="SimSun" w:hAnsi="Book Antiqua" w:cstheme="majorHAnsi"/>
                <w:b/>
                <w:i/>
                <w:sz w:val="24"/>
                <w:szCs w:val="24"/>
                <w:lang w:eastAsia="zh-CN"/>
              </w:rPr>
              <w:t xml:space="preserve"> </w:t>
            </w:r>
            <w:r w:rsidRPr="00772AC6">
              <w:rPr>
                <w:rFonts w:ascii="Book Antiqua" w:hAnsi="Book Antiqua" w:cstheme="majorHAnsi"/>
                <w:b/>
                <w:sz w:val="24"/>
                <w:szCs w:val="24"/>
              </w:rPr>
              <w:t>=</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186)</w:t>
            </w:r>
          </w:p>
        </w:tc>
        <w:tc>
          <w:tcPr>
            <w:tcW w:w="2150" w:type="dxa"/>
            <w:gridSpan w:val="2"/>
          </w:tcPr>
          <w:p w:rsidR="00AA7EAD" w:rsidRPr="00772AC6" w:rsidRDefault="00AA7EAD"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Male (</w:t>
            </w:r>
            <w:r w:rsidRPr="00772AC6">
              <w:rPr>
                <w:rFonts w:ascii="Book Antiqua" w:hAnsi="Book Antiqua" w:cstheme="majorHAnsi"/>
                <w:b/>
                <w:i/>
                <w:sz w:val="24"/>
                <w:szCs w:val="24"/>
              </w:rPr>
              <w:t>n</w:t>
            </w:r>
            <w:r w:rsidR="0001331E" w:rsidRPr="00772AC6">
              <w:rPr>
                <w:rFonts w:ascii="Book Antiqua" w:eastAsia="SimSun" w:hAnsi="Book Antiqua" w:cstheme="majorHAnsi"/>
                <w:b/>
                <w:i/>
                <w:sz w:val="24"/>
                <w:szCs w:val="24"/>
                <w:lang w:eastAsia="zh-CN"/>
              </w:rPr>
              <w:t xml:space="preserve"> </w:t>
            </w:r>
            <w:r w:rsidRPr="00772AC6">
              <w:rPr>
                <w:rFonts w:ascii="Book Antiqua" w:hAnsi="Book Antiqua" w:cstheme="majorHAnsi"/>
                <w:b/>
                <w:sz w:val="24"/>
                <w:szCs w:val="24"/>
              </w:rPr>
              <w:t>=</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80)</w:t>
            </w:r>
          </w:p>
        </w:tc>
        <w:tc>
          <w:tcPr>
            <w:tcW w:w="2150" w:type="dxa"/>
            <w:gridSpan w:val="2"/>
          </w:tcPr>
          <w:p w:rsidR="00AA7EAD" w:rsidRPr="00772AC6" w:rsidRDefault="00AA7EAD"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Female (</w:t>
            </w:r>
            <w:r w:rsidRPr="00772AC6">
              <w:rPr>
                <w:rFonts w:ascii="Book Antiqua" w:hAnsi="Book Antiqua" w:cstheme="majorHAnsi"/>
                <w:b/>
                <w:i/>
                <w:sz w:val="24"/>
                <w:szCs w:val="24"/>
              </w:rPr>
              <w:t>n</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106)</w:t>
            </w:r>
          </w:p>
        </w:tc>
      </w:tr>
      <w:tr w:rsidR="002422B3" w:rsidRPr="00772AC6" w:rsidTr="00AA7EAD">
        <w:tc>
          <w:tcPr>
            <w:tcW w:w="3794" w:type="dxa"/>
            <w:tcBorders>
              <w:bottom w:val="single" w:sz="4" w:space="0" w:color="auto"/>
            </w:tcBorders>
          </w:tcPr>
          <w:p w:rsidR="00AA7EAD" w:rsidRPr="00772AC6" w:rsidRDefault="00AA7EAD" w:rsidP="005A4D61">
            <w:pPr>
              <w:adjustRightInd w:val="0"/>
              <w:snapToGrid w:val="0"/>
              <w:spacing w:line="360" w:lineRule="auto"/>
              <w:rPr>
                <w:rFonts w:ascii="Book Antiqua" w:hAnsi="Book Antiqua" w:cstheme="majorHAnsi"/>
                <w:sz w:val="24"/>
                <w:szCs w:val="24"/>
              </w:rPr>
            </w:pPr>
          </w:p>
        </w:tc>
        <w:tc>
          <w:tcPr>
            <w:tcW w:w="1562" w:type="dxa"/>
            <w:tcBorders>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b/>
                <w:i/>
                <w:sz w:val="24"/>
                <w:szCs w:val="24"/>
              </w:rPr>
            </w:pPr>
            <w:r w:rsidRPr="00772AC6">
              <w:rPr>
                <w:rFonts w:ascii="Book Antiqua" w:hAnsi="Book Antiqua" w:cstheme="majorHAnsi"/>
                <w:b/>
                <w:i/>
                <w:sz w:val="24"/>
                <w:szCs w:val="24"/>
              </w:rPr>
              <w:t>r</w:t>
            </w:r>
          </w:p>
        </w:tc>
        <w:tc>
          <w:tcPr>
            <w:tcW w:w="1563" w:type="dxa"/>
            <w:tcBorders>
              <w:bottom w:val="single" w:sz="4" w:space="0" w:color="auto"/>
            </w:tcBorders>
          </w:tcPr>
          <w:p w:rsidR="00AA7EAD" w:rsidRPr="00772AC6" w:rsidRDefault="00AA7EAD" w:rsidP="0001331E">
            <w:pPr>
              <w:adjustRightInd w:val="0"/>
              <w:snapToGrid w:val="0"/>
              <w:spacing w:line="360" w:lineRule="auto"/>
              <w:jc w:val="center"/>
              <w:rPr>
                <w:rFonts w:ascii="Book Antiqua" w:eastAsia="SimSun" w:hAnsi="Book Antiqua" w:cstheme="majorHAnsi"/>
                <w:b/>
                <w:sz w:val="24"/>
                <w:szCs w:val="24"/>
                <w:lang w:eastAsia="zh-CN"/>
              </w:rPr>
            </w:pPr>
            <w:r w:rsidRPr="00772AC6">
              <w:rPr>
                <w:rFonts w:ascii="Book Antiqua" w:hAnsi="Book Antiqua" w:cstheme="majorHAnsi"/>
                <w:b/>
                <w:i/>
                <w:sz w:val="24"/>
                <w:szCs w:val="24"/>
              </w:rPr>
              <w:t>P</w:t>
            </w:r>
            <w:r w:rsidR="00C7564B" w:rsidRPr="00772AC6">
              <w:rPr>
                <w:rFonts w:ascii="Book Antiqua" w:eastAsia="SimSun" w:hAnsi="Book Antiqua" w:cstheme="majorHAnsi"/>
                <w:b/>
                <w:i/>
                <w:sz w:val="24"/>
                <w:szCs w:val="24"/>
                <w:lang w:eastAsia="zh-CN"/>
              </w:rPr>
              <w:t xml:space="preserve"> </w:t>
            </w:r>
            <w:r w:rsidR="00C7564B" w:rsidRPr="00772AC6">
              <w:rPr>
                <w:rFonts w:ascii="Book Antiqua" w:eastAsia="SimSun" w:hAnsi="Book Antiqua" w:cstheme="majorHAnsi"/>
                <w:b/>
                <w:sz w:val="24"/>
                <w:szCs w:val="24"/>
                <w:lang w:eastAsia="zh-CN"/>
              </w:rPr>
              <w:t>value</w:t>
            </w:r>
          </w:p>
        </w:tc>
        <w:tc>
          <w:tcPr>
            <w:tcW w:w="1553" w:type="dxa"/>
            <w:tcBorders>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i/>
                <w:sz w:val="24"/>
                <w:szCs w:val="24"/>
              </w:rPr>
              <w:t>r</w:t>
            </w:r>
          </w:p>
        </w:tc>
        <w:tc>
          <w:tcPr>
            <w:tcW w:w="1553" w:type="dxa"/>
            <w:tcBorders>
              <w:bottom w:val="single" w:sz="4" w:space="0" w:color="auto"/>
            </w:tcBorders>
          </w:tcPr>
          <w:p w:rsidR="00AA7EAD" w:rsidRPr="00772AC6" w:rsidRDefault="00AA7EAD" w:rsidP="0001331E">
            <w:pPr>
              <w:adjustRightInd w:val="0"/>
              <w:snapToGrid w:val="0"/>
              <w:spacing w:line="360" w:lineRule="auto"/>
              <w:jc w:val="center"/>
              <w:rPr>
                <w:rFonts w:ascii="Book Antiqua" w:eastAsia="SimSun" w:hAnsi="Book Antiqua" w:cstheme="majorHAnsi"/>
                <w:b/>
                <w:sz w:val="24"/>
                <w:szCs w:val="24"/>
                <w:lang w:eastAsia="zh-CN"/>
              </w:rPr>
            </w:pPr>
            <w:r w:rsidRPr="00772AC6">
              <w:rPr>
                <w:rFonts w:ascii="Book Antiqua" w:hAnsi="Book Antiqua" w:cstheme="majorHAnsi"/>
                <w:b/>
                <w:i/>
                <w:sz w:val="24"/>
                <w:szCs w:val="24"/>
              </w:rPr>
              <w:t>P</w:t>
            </w:r>
            <w:r w:rsidR="00C7564B" w:rsidRPr="00772AC6">
              <w:rPr>
                <w:rFonts w:ascii="Book Antiqua" w:eastAsia="SimSun" w:hAnsi="Book Antiqua" w:cstheme="majorHAnsi"/>
                <w:b/>
                <w:i/>
                <w:sz w:val="24"/>
                <w:szCs w:val="24"/>
                <w:lang w:eastAsia="zh-CN"/>
              </w:rPr>
              <w:t xml:space="preserve"> </w:t>
            </w:r>
            <w:r w:rsidR="00C7564B" w:rsidRPr="00772AC6">
              <w:rPr>
                <w:rFonts w:ascii="Book Antiqua" w:eastAsia="SimSun" w:hAnsi="Book Antiqua" w:cstheme="majorHAnsi"/>
                <w:b/>
                <w:sz w:val="24"/>
                <w:szCs w:val="24"/>
                <w:lang w:eastAsia="zh-CN"/>
              </w:rPr>
              <w:t>value</w:t>
            </w:r>
          </w:p>
        </w:tc>
        <w:tc>
          <w:tcPr>
            <w:tcW w:w="1552" w:type="dxa"/>
            <w:tcBorders>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i/>
                <w:sz w:val="24"/>
                <w:szCs w:val="24"/>
              </w:rPr>
              <w:t>r</w:t>
            </w:r>
          </w:p>
        </w:tc>
        <w:tc>
          <w:tcPr>
            <w:tcW w:w="1553" w:type="dxa"/>
            <w:tcBorders>
              <w:bottom w:val="single" w:sz="4" w:space="0" w:color="auto"/>
            </w:tcBorders>
          </w:tcPr>
          <w:p w:rsidR="00AA7EAD" w:rsidRPr="00772AC6" w:rsidRDefault="00AA7EAD" w:rsidP="0001331E">
            <w:pPr>
              <w:adjustRightInd w:val="0"/>
              <w:snapToGrid w:val="0"/>
              <w:spacing w:line="360" w:lineRule="auto"/>
              <w:jc w:val="center"/>
              <w:rPr>
                <w:rFonts w:ascii="Book Antiqua" w:eastAsia="SimSun" w:hAnsi="Book Antiqua" w:cstheme="majorHAnsi"/>
                <w:b/>
                <w:sz w:val="24"/>
                <w:szCs w:val="24"/>
                <w:lang w:eastAsia="zh-CN"/>
              </w:rPr>
            </w:pPr>
            <w:r w:rsidRPr="00772AC6">
              <w:rPr>
                <w:rFonts w:ascii="Book Antiqua" w:hAnsi="Book Antiqua" w:cstheme="majorHAnsi"/>
                <w:b/>
                <w:i/>
                <w:sz w:val="24"/>
                <w:szCs w:val="24"/>
              </w:rPr>
              <w:t>P</w:t>
            </w:r>
            <w:r w:rsidR="00C7564B" w:rsidRPr="00772AC6">
              <w:rPr>
                <w:rFonts w:ascii="Book Antiqua" w:eastAsia="SimSun" w:hAnsi="Book Antiqua" w:cstheme="majorHAnsi"/>
                <w:b/>
                <w:i/>
                <w:sz w:val="24"/>
                <w:szCs w:val="24"/>
                <w:lang w:eastAsia="zh-CN"/>
              </w:rPr>
              <w:t xml:space="preserve"> </w:t>
            </w:r>
            <w:r w:rsidR="00C7564B" w:rsidRPr="00772AC6">
              <w:rPr>
                <w:rFonts w:ascii="Book Antiqua" w:eastAsia="SimSun" w:hAnsi="Book Antiqua" w:cstheme="majorHAnsi"/>
                <w:b/>
                <w:sz w:val="24"/>
                <w:szCs w:val="24"/>
                <w:lang w:eastAsia="zh-CN"/>
              </w:rPr>
              <w:t>value</w:t>
            </w:r>
          </w:p>
        </w:tc>
      </w:tr>
      <w:tr w:rsidR="002422B3" w:rsidRPr="00772AC6" w:rsidTr="00AA7EAD">
        <w:tc>
          <w:tcPr>
            <w:tcW w:w="3794" w:type="dxa"/>
            <w:tcBorders>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Age</w:t>
            </w:r>
            <w:r w:rsidR="00DC1BFE" w:rsidRPr="00772AC6">
              <w:rPr>
                <w:rFonts w:ascii="Book Antiqua" w:hAnsi="Book Antiqua" w:cstheme="majorHAnsi"/>
                <w:sz w:val="24"/>
                <w:szCs w:val="24"/>
              </w:rPr>
              <w:t xml:space="preserve"> (yr</w:t>
            </w:r>
            <w:r w:rsidR="00711827" w:rsidRPr="00772AC6">
              <w:rPr>
                <w:rFonts w:ascii="Book Antiqua" w:hAnsi="Book Antiqua" w:cstheme="majorHAnsi"/>
                <w:sz w:val="24"/>
                <w:szCs w:val="24"/>
              </w:rPr>
              <w:t>)</w:t>
            </w:r>
          </w:p>
        </w:tc>
        <w:tc>
          <w:tcPr>
            <w:tcW w:w="1562" w:type="dxa"/>
            <w:tcBorders>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0.48</w:t>
            </w:r>
          </w:p>
        </w:tc>
        <w:tc>
          <w:tcPr>
            <w:tcW w:w="1563" w:type="dxa"/>
            <w:tcBorders>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0.45</w:t>
            </w:r>
          </w:p>
        </w:tc>
        <w:tc>
          <w:tcPr>
            <w:tcW w:w="1553" w:type="dxa"/>
            <w:tcBorders>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2" w:type="dxa"/>
            <w:tcBorders>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0.28</w:t>
            </w:r>
          </w:p>
        </w:tc>
        <w:tc>
          <w:tcPr>
            <w:tcW w:w="1553" w:type="dxa"/>
            <w:tcBorders>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B</w:t>
            </w:r>
            <w:r w:rsidR="002C2BEF" w:rsidRPr="00772AC6">
              <w:rPr>
                <w:rFonts w:ascii="Book Antiqua" w:hAnsi="Book Antiqua" w:cstheme="majorHAnsi"/>
                <w:sz w:val="24"/>
                <w:szCs w:val="24"/>
              </w:rPr>
              <w:t>MI</w:t>
            </w:r>
            <w:r w:rsidRPr="00772AC6">
              <w:rPr>
                <w:rFonts w:ascii="Book Antiqua" w:hAnsi="Book Antiqua" w:cstheme="majorHAnsi"/>
                <w:sz w:val="24"/>
                <w:szCs w:val="24"/>
              </w:rPr>
              <w:t xml:space="preserve"> (kg/m</w:t>
            </w:r>
            <w:r w:rsidRPr="00772AC6">
              <w:rPr>
                <w:rFonts w:ascii="Book Antiqua" w:hAnsi="Book Antiqua" w:cstheme="majorHAnsi"/>
                <w:sz w:val="24"/>
                <w:szCs w:val="24"/>
                <w:vertAlign w:val="superscript"/>
              </w:rPr>
              <w:t>2</w:t>
            </w:r>
            <w:r w:rsidRPr="00772AC6">
              <w:rPr>
                <w:rFonts w:ascii="Book Antiqua" w:hAnsi="Book Antiqua" w:cstheme="majorHAnsi"/>
                <w:sz w:val="24"/>
                <w:szCs w:val="24"/>
              </w:rPr>
              <w:t>)</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0.18</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0.06</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Platelet (×10</w:t>
            </w:r>
            <w:r w:rsidRPr="00772AC6">
              <w:rPr>
                <w:rFonts w:ascii="Book Antiqua" w:hAnsi="Book Antiqua" w:cstheme="majorHAnsi"/>
                <w:sz w:val="24"/>
                <w:szCs w:val="24"/>
                <w:vertAlign w:val="superscript"/>
              </w:rPr>
              <w:t>4</w:t>
            </w:r>
            <w:r w:rsidRPr="00772AC6">
              <w:rPr>
                <w:rFonts w:ascii="Book Antiqua" w:hAnsi="Book Antiqua" w:cstheme="majorHAnsi"/>
                <w:sz w:val="24"/>
                <w:szCs w:val="24"/>
              </w:rPr>
              <w:t>/μL)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-0.32</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w:t>
            </w:r>
            <w:r w:rsidR="0001331E" w:rsidRPr="00772AC6">
              <w:rPr>
                <w:rFonts w:ascii="Book Antiqua" w:eastAsia="SimSun" w:hAnsi="Book Antiqua" w:cstheme="majorHAnsi"/>
                <w:sz w:val="24"/>
                <w:szCs w:val="24"/>
                <w:lang w:eastAsia="zh-CN"/>
              </w:rPr>
              <w:t xml:space="preserve"> </w:t>
            </w:r>
            <w:r w:rsidRPr="00772AC6">
              <w:rPr>
                <w:rFonts w:ascii="Book Antiqua" w:hAnsi="Book Antiqua" w:cstheme="majorHAnsi"/>
                <w:sz w:val="24"/>
                <w:szCs w:val="24"/>
              </w:rPr>
              <w:t>0.28</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-0.43</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Albumin (g/dL)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-0.32</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w:t>
            </w:r>
            <w:r w:rsidR="0001331E" w:rsidRPr="00772AC6">
              <w:rPr>
                <w:rFonts w:ascii="Book Antiqua" w:eastAsia="SimSun" w:hAnsi="Book Antiqua" w:cstheme="majorHAnsi"/>
                <w:sz w:val="24"/>
                <w:szCs w:val="24"/>
                <w:lang w:eastAsia="zh-CN"/>
              </w:rPr>
              <w:t xml:space="preserve"> </w:t>
            </w:r>
            <w:r w:rsidRPr="00772AC6">
              <w:rPr>
                <w:rFonts w:ascii="Book Antiqua" w:hAnsi="Book Antiqua" w:cstheme="majorHAnsi"/>
                <w:sz w:val="24"/>
                <w:szCs w:val="24"/>
              </w:rPr>
              <w:t>0.10</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AST (IU/L)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0.34</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0.40</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ALT (IU/L)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0.06</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0.14</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0.24</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T</w:t>
            </w:r>
            <w:r w:rsidR="002C2BEF" w:rsidRPr="00772AC6">
              <w:rPr>
                <w:rFonts w:ascii="Book Antiqua" w:hAnsi="Book Antiqua" w:cstheme="majorHAnsi"/>
                <w:sz w:val="24"/>
                <w:szCs w:val="24"/>
              </w:rPr>
              <w:t>G</w:t>
            </w:r>
            <w:r w:rsidRPr="00772AC6">
              <w:rPr>
                <w:rFonts w:ascii="Book Antiqua" w:hAnsi="Book Antiqua" w:cstheme="majorHAnsi"/>
                <w:sz w:val="24"/>
                <w:szCs w:val="24"/>
              </w:rPr>
              <w:t xml:space="preserve"> (mg/dL)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-0.09</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w:t>
            </w:r>
            <w:r w:rsidR="0001331E" w:rsidRPr="00772AC6">
              <w:rPr>
                <w:rFonts w:ascii="Book Antiqua" w:eastAsia="SimSun" w:hAnsi="Book Antiqua" w:cstheme="majorHAnsi"/>
                <w:sz w:val="24"/>
                <w:szCs w:val="24"/>
                <w:lang w:eastAsia="zh-CN"/>
              </w:rPr>
              <w:t xml:space="preserve"> </w:t>
            </w:r>
            <w:r w:rsidRPr="00772AC6">
              <w:rPr>
                <w:rFonts w:ascii="Book Antiqua" w:hAnsi="Book Antiqua" w:cstheme="majorHAnsi"/>
                <w:sz w:val="24"/>
                <w:szCs w:val="24"/>
              </w:rPr>
              <w:t>0.14</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-0.08</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LDL-C (mg/dL)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-0.04</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w:t>
            </w:r>
            <w:r w:rsidR="0001331E" w:rsidRPr="00772AC6">
              <w:rPr>
                <w:rFonts w:ascii="Book Antiqua" w:eastAsia="SimSun" w:hAnsi="Book Antiqua" w:cstheme="majorHAnsi"/>
                <w:sz w:val="24"/>
                <w:szCs w:val="24"/>
                <w:lang w:eastAsia="zh-CN"/>
              </w:rPr>
              <w:t xml:space="preserve"> </w:t>
            </w:r>
            <w:r w:rsidRPr="00772AC6">
              <w:rPr>
                <w:rFonts w:ascii="Book Antiqua" w:hAnsi="Book Antiqua" w:cstheme="majorHAnsi"/>
                <w:sz w:val="24"/>
                <w:szCs w:val="24"/>
              </w:rPr>
              <w:t>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-0.06</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HDL-C (mg/dL)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0.13</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w:t>
            </w:r>
            <w:r w:rsidR="0001331E" w:rsidRPr="00772AC6">
              <w:rPr>
                <w:rFonts w:ascii="Book Antiqua" w:eastAsia="SimSun" w:hAnsi="Book Antiqua" w:cstheme="majorHAnsi"/>
                <w:sz w:val="24"/>
                <w:szCs w:val="24"/>
                <w:lang w:eastAsia="zh-CN"/>
              </w:rPr>
              <w:t xml:space="preserve"> </w:t>
            </w:r>
            <w:r w:rsidRPr="00772AC6">
              <w:rPr>
                <w:rFonts w:ascii="Book Antiqua" w:hAnsi="Book Antiqua" w:cstheme="majorHAnsi"/>
                <w:sz w:val="24"/>
                <w:szCs w:val="24"/>
              </w:rPr>
              <w:t>0.04</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-0.04</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w:t>
            </w:r>
            <w:r w:rsidR="002C2BEF" w:rsidRPr="00772AC6">
              <w:rPr>
                <w:rFonts w:ascii="Book Antiqua" w:hAnsi="Book Antiqua" w:cstheme="majorHAnsi"/>
                <w:sz w:val="24"/>
                <w:szCs w:val="24"/>
              </w:rPr>
              <w:t>BG</w:t>
            </w:r>
            <w:r w:rsidRPr="00772AC6">
              <w:rPr>
                <w:rFonts w:ascii="Book Antiqua" w:hAnsi="Book Antiqua" w:cstheme="majorHAnsi"/>
                <w:sz w:val="24"/>
                <w:szCs w:val="24"/>
              </w:rPr>
              <w:t xml:space="preserve"> (mg/dL)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0.22</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0.36</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0.21</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r>
      <w:tr w:rsidR="002422B3" w:rsidRPr="00772AC6" w:rsidTr="00AA7EAD">
        <w:tc>
          <w:tcPr>
            <w:tcW w:w="3794" w:type="dxa"/>
            <w:tcBorders>
              <w:top w:val="nil"/>
              <w:bottom w:val="nil"/>
            </w:tcBorders>
          </w:tcPr>
          <w:p w:rsidR="00AA7EAD" w:rsidRPr="00772AC6" w:rsidRDefault="002C2BEF"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IRI</w:t>
            </w:r>
            <w:r w:rsidR="00AA7EAD" w:rsidRPr="00772AC6">
              <w:rPr>
                <w:rFonts w:ascii="Book Antiqua" w:hAnsi="Book Antiqua" w:cstheme="majorHAnsi"/>
                <w:sz w:val="24"/>
                <w:szCs w:val="24"/>
              </w:rPr>
              <w:t xml:space="preserve"> (mU/L)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0.20</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0.15</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0.002</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HOMA-IR</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0.22</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0.22</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Fe (µg/dL)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0.09</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0.12</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0.35</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Ferritin (ng/mL)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0.04</w:t>
            </w:r>
          </w:p>
        </w:tc>
        <w:tc>
          <w:tcPr>
            <w:tcW w:w="156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0.22</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0.002</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HA (ng/mL)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0.49</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0.47</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0.46</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lastRenderedPageBreak/>
              <w:t>4C7S (ng/mL)</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0.40</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0.30</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0.50</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FIB-4</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0.58</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0.51</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0.60</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AA7EAD">
        <w:tc>
          <w:tcPr>
            <w:tcW w:w="379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APRI</w:t>
            </w:r>
          </w:p>
        </w:tc>
        <w:tc>
          <w:tcPr>
            <w:tcW w:w="156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0.43</w:t>
            </w:r>
          </w:p>
        </w:tc>
        <w:tc>
          <w:tcPr>
            <w:tcW w:w="156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3"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0.45</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55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0.55</w:t>
            </w:r>
          </w:p>
        </w:tc>
        <w:tc>
          <w:tcPr>
            <w:tcW w:w="1553"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544F5C">
        <w:tc>
          <w:tcPr>
            <w:tcW w:w="3275" w:type="dxa"/>
            <w:gridSpan w:val="2"/>
            <w:tcBorders>
              <w:top w:val="nil"/>
              <w:bottom w:val="nil"/>
            </w:tcBorders>
          </w:tcPr>
          <w:p w:rsidR="002C2BEF" w:rsidRPr="00772AC6" w:rsidRDefault="002C2BEF"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Histological findings</w:t>
            </w:r>
          </w:p>
        </w:tc>
        <w:tc>
          <w:tcPr>
            <w:tcW w:w="1563" w:type="dxa"/>
            <w:tcBorders>
              <w:top w:val="nil"/>
              <w:bottom w:val="nil"/>
            </w:tcBorders>
          </w:tcPr>
          <w:p w:rsidR="002C2BEF" w:rsidRPr="00772AC6" w:rsidRDefault="002C2BEF" w:rsidP="0001331E">
            <w:pPr>
              <w:adjustRightInd w:val="0"/>
              <w:snapToGrid w:val="0"/>
              <w:spacing w:line="360" w:lineRule="auto"/>
              <w:jc w:val="center"/>
              <w:rPr>
                <w:rFonts w:ascii="Book Antiqua" w:hAnsi="Book Antiqua" w:cstheme="majorHAnsi"/>
                <w:sz w:val="24"/>
                <w:szCs w:val="24"/>
              </w:rPr>
            </w:pPr>
          </w:p>
        </w:tc>
        <w:tc>
          <w:tcPr>
            <w:tcW w:w="1553" w:type="dxa"/>
            <w:tcBorders>
              <w:top w:val="nil"/>
              <w:bottom w:val="nil"/>
            </w:tcBorders>
          </w:tcPr>
          <w:p w:rsidR="002C2BEF" w:rsidRPr="00772AC6" w:rsidRDefault="002C2BEF" w:rsidP="0001331E">
            <w:pPr>
              <w:adjustRightInd w:val="0"/>
              <w:snapToGrid w:val="0"/>
              <w:spacing w:line="360" w:lineRule="auto"/>
              <w:jc w:val="center"/>
              <w:rPr>
                <w:rFonts w:ascii="Book Antiqua" w:hAnsi="Book Antiqua" w:cstheme="majorHAnsi"/>
                <w:sz w:val="24"/>
                <w:szCs w:val="24"/>
              </w:rPr>
            </w:pPr>
          </w:p>
        </w:tc>
        <w:tc>
          <w:tcPr>
            <w:tcW w:w="1553" w:type="dxa"/>
            <w:tcBorders>
              <w:top w:val="nil"/>
              <w:bottom w:val="nil"/>
            </w:tcBorders>
          </w:tcPr>
          <w:p w:rsidR="002C2BEF" w:rsidRPr="00772AC6" w:rsidRDefault="002C2BEF" w:rsidP="0001331E">
            <w:pPr>
              <w:adjustRightInd w:val="0"/>
              <w:snapToGrid w:val="0"/>
              <w:spacing w:line="360" w:lineRule="auto"/>
              <w:jc w:val="center"/>
              <w:rPr>
                <w:rFonts w:ascii="Book Antiqua" w:hAnsi="Book Antiqua" w:cstheme="majorHAnsi"/>
                <w:sz w:val="24"/>
                <w:szCs w:val="24"/>
              </w:rPr>
            </w:pPr>
          </w:p>
        </w:tc>
        <w:tc>
          <w:tcPr>
            <w:tcW w:w="1552" w:type="dxa"/>
            <w:tcBorders>
              <w:top w:val="nil"/>
              <w:bottom w:val="nil"/>
            </w:tcBorders>
          </w:tcPr>
          <w:p w:rsidR="002C2BEF" w:rsidRPr="00772AC6" w:rsidRDefault="002C2BEF" w:rsidP="0001331E">
            <w:pPr>
              <w:adjustRightInd w:val="0"/>
              <w:snapToGrid w:val="0"/>
              <w:spacing w:line="360" w:lineRule="auto"/>
              <w:jc w:val="center"/>
              <w:rPr>
                <w:rFonts w:ascii="Book Antiqua" w:hAnsi="Book Antiqua" w:cstheme="majorHAnsi"/>
                <w:sz w:val="24"/>
                <w:szCs w:val="24"/>
              </w:rPr>
            </w:pPr>
          </w:p>
        </w:tc>
        <w:tc>
          <w:tcPr>
            <w:tcW w:w="1553" w:type="dxa"/>
            <w:tcBorders>
              <w:top w:val="nil"/>
              <w:bottom w:val="nil"/>
            </w:tcBorders>
          </w:tcPr>
          <w:p w:rsidR="002C2BEF" w:rsidRPr="00772AC6" w:rsidRDefault="002C2BEF" w:rsidP="0001331E">
            <w:pPr>
              <w:adjustRightInd w:val="0"/>
              <w:snapToGrid w:val="0"/>
              <w:spacing w:line="360" w:lineRule="auto"/>
              <w:jc w:val="center"/>
              <w:rPr>
                <w:rFonts w:ascii="Book Antiqua" w:hAnsi="Book Antiqua" w:cstheme="majorHAnsi"/>
                <w:sz w:val="24"/>
                <w:szCs w:val="24"/>
              </w:rPr>
            </w:pPr>
          </w:p>
        </w:tc>
      </w:tr>
      <w:tr w:rsidR="002422B3" w:rsidRPr="00772AC6" w:rsidTr="002C2BEF">
        <w:tc>
          <w:tcPr>
            <w:tcW w:w="226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Steatosis score</w:t>
            </w:r>
          </w:p>
        </w:tc>
        <w:tc>
          <w:tcPr>
            <w:tcW w:w="1011"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0.02</w:t>
            </w:r>
          </w:p>
        </w:tc>
        <w:tc>
          <w:tcPr>
            <w:tcW w:w="1145"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0.12</w:t>
            </w:r>
          </w:p>
        </w:tc>
        <w:tc>
          <w:tcPr>
            <w:tcW w:w="114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-0.03</w:t>
            </w:r>
          </w:p>
        </w:tc>
        <w:tc>
          <w:tcPr>
            <w:tcW w:w="114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r>
      <w:tr w:rsidR="002422B3" w:rsidRPr="00772AC6" w:rsidTr="002C2BEF">
        <w:tc>
          <w:tcPr>
            <w:tcW w:w="226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Lobular inflammation score</w:t>
            </w:r>
          </w:p>
        </w:tc>
        <w:tc>
          <w:tcPr>
            <w:tcW w:w="1011"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0.22</w:t>
            </w:r>
          </w:p>
        </w:tc>
        <w:tc>
          <w:tcPr>
            <w:tcW w:w="1145"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0.06</w:t>
            </w:r>
          </w:p>
        </w:tc>
        <w:tc>
          <w:tcPr>
            <w:tcW w:w="1142"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NS</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0.25</w:t>
            </w:r>
          </w:p>
        </w:tc>
        <w:tc>
          <w:tcPr>
            <w:tcW w:w="1142"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2C2BEF">
        <w:tc>
          <w:tcPr>
            <w:tcW w:w="226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Ballooning score</w:t>
            </w:r>
          </w:p>
        </w:tc>
        <w:tc>
          <w:tcPr>
            <w:tcW w:w="1011"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0.36</w:t>
            </w:r>
          </w:p>
        </w:tc>
        <w:tc>
          <w:tcPr>
            <w:tcW w:w="1145"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0.34</w:t>
            </w:r>
          </w:p>
        </w:tc>
        <w:tc>
          <w:tcPr>
            <w:tcW w:w="1142"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0.38</w:t>
            </w:r>
          </w:p>
        </w:tc>
        <w:tc>
          <w:tcPr>
            <w:tcW w:w="1142"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r w:rsidR="002422B3" w:rsidRPr="00772AC6" w:rsidTr="002C2BEF">
        <w:tc>
          <w:tcPr>
            <w:tcW w:w="2264" w:type="dxa"/>
            <w:tcBorders>
              <w:top w:val="nil"/>
              <w:bottom w:val="nil"/>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NAS</w:t>
            </w:r>
          </w:p>
        </w:tc>
        <w:tc>
          <w:tcPr>
            <w:tcW w:w="1011"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0.27</w:t>
            </w:r>
          </w:p>
        </w:tc>
        <w:tc>
          <w:tcPr>
            <w:tcW w:w="1145"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0.27</w:t>
            </w:r>
          </w:p>
        </w:tc>
        <w:tc>
          <w:tcPr>
            <w:tcW w:w="1142"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0.05</w:t>
            </w:r>
          </w:p>
        </w:tc>
        <w:tc>
          <w:tcPr>
            <w:tcW w:w="1008" w:type="dxa"/>
            <w:tcBorders>
              <w:top w:val="nil"/>
              <w:bottom w:val="nil"/>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0.26</w:t>
            </w:r>
          </w:p>
        </w:tc>
        <w:tc>
          <w:tcPr>
            <w:tcW w:w="1142" w:type="dxa"/>
            <w:tcBorders>
              <w:top w:val="nil"/>
              <w:bottom w:val="nil"/>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0.01</w:t>
            </w:r>
          </w:p>
        </w:tc>
      </w:tr>
      <w:tr w:rsidR="002422B3" w:rsidRPr="00772AC6" w:rsidTr="002C2BEF">
        <w:tc>
          <w:tcPr>
            <w:tcW w:w="2264" w:type="dxa"/>
            <w:tcBorders>
              <w:top w:val="nil"/>
              <w:bottom w:val="single" w:sz="4" w:space="0" w:color="auto"/>
            </w:tcBorders>
          </w:tcPr>
          <w:p w:rsidR="00AA7EAD" w:rsidRPr="00772AC6" w:rsidRDefault="00AA7EAD" w:rsidP="0001331E">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Fibrosis stage</w:t>
            </w:r>
          </w:p>
        </w:tc>
        <w:tc>
          <w:tcPr>
            <w:tcW w:w="1011" w:type="dxa"/>
            <w:tcBorders>
              <w:top w:val="nil"/>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0.45</w:t>
            </w:r>
          </w:p>
        </w:tc>
        <w:tc>
          <w:tcPr>
            <w:tcW w:w="1145" w:type="dxa"/>
            <w:tcBorders>
              <w:top w:val="nil"/>
              <w:bottom w:val="single" w:sz="4" w:space="0" w:color="auto"/>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008" w:type="dxa"/>
            <w:tcBorders>
              <w:top w:val="nil"/>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0.44</w:t>
            </w:r>
          </w:p>
        </w:tc>
        <w:tc>
          <w:tcPr>
            <w:tcW w:w="1142" w:type="dxa"/>
            <w:tcBorders>
              <w:top w:val="nil"/>
              <w:bottom w:val="single" w:sz="4" w:space="0" w:color="auto"/>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c>
          <w:tcPr>
            <w:tcW w:w="1008" w:type="dxa"/>
            <w:tcBorders>
              <w:top w:val="nil"/>
              <w:bottom w:val="single" w:sz="4" w:space="0" w:color="auto"/>
            </w:tcBorders>
          </w:tcPr>
          <w:p w:rsidR="00AA7EAD" w:rsidRPr="00772AC6" w:rsidRDefault="00AA7EAD"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0.53</w:t>
            </w:r>
          </w:p>
        </w:tc>
        <w:tc>
          <w:tcPr>
            <w:tcW w:w="1142" w:type="dxa"/>
            <w:tcBorders>
              <w:top w:val="nil"/>
              <w:bottom w:val="single" w:sz="4" w:space="0" w:color="auto"/>
            </w:tcBorders>
          </w:tcPr>
          <w:p w:rsidR="00AA7EAD" w:rsidRPr="00772AC6" w:rsidRDefault="002422B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 xml:space="preserve">&lt; </w:t>
            </w:r>
            <w:r w:rsidR="00AA7EAD" w:rsidRPr="00772AC6">
              <w:rPr>
                <w:rFonts w:ascii="Book Antiqua" w:hAnsi="Book Antiqua" w:cstheme="majorHAnsi"/>
                <w:sz w:val="24"/>
                <w:szCs w:val="24"/>
              </w:rPr>
              <w:t>0.001</w:t>
            </w:r>
          </w:p>
        </w:tc>
      </w:tr>
    </w:tbl>
    <w:p w:rsidR="00AA7EAD" w:rsidRPr="00772AC6" w:rsidRDefault="00AA7EAD"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t>Correlations were calculated using Spearman’s test. ATX</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A</w:t>
      </w:r>
      <w:r w:rsidRPr="00772AC6">
        <w:rPr>
          <w:rFonts w:ascii="Book Antiqua" w:hAnsi="Book Antiqua" w:cstheme="majorHAnsi"/>
          <w:sz w:val="24"/>
          <w:szCs w:val="24"/>
        </w:rPr>
        <w:t>utot</w:t>
      </w:r>
      <w:r w:rsidR="00711827" w:rsidRPr="00772AC6">
        <w:rPr>
          <w:rFonts w:ascii="Book Antiqua" w:hAnsi="Book Antiqua" w:cstheme="majorHAnsi"/>
          <w:sz w:val="24"/>
          <w:szCs w:val="24"/>
        </w:rPr>
        <w:t>a</w:t>
      </w:r>
      <w:r w:rsidRPr="00772AC6">
        <w:rPr>
          <w:rFonts w:ascii="Book Antiqua" w:hAnsi="Book Antiqua" w:cstheme="majorHAnsi"/>
          <w:sz w:val="24"/>
          <w:szCs w:val="24"/>
        </w:rPr>
        <w:t xml:space="preserve">xin; </w:t>
      </w:r>
      <w:r w:rsidR="008454BF" w:rsidRPr="00772AC6">
        <w:rPr>
          <w:rFonts w:ascii="Book Antiqua" w:hAnsi="Book Antiqua" w:cstheme="majorHAnsi"/>
          <w:sz w:val="24"/>
          <w:szCs w:val="24"/>
        </w:rPr>
        <w:t>BMI</w:t>
      </w:r>
      <w:r w:rsidR="0001331E" w:rsidRPr="00772AC6">
        <w:rPr>
          <w:rFonts w:ascii="Book Antiqua" w:hAnsi="Book Antiqua" w:cstheme="majorHAnsi"/>
          <w:sz w:val="24"/>
          <w:szCs w:val="24"/>
        </w:rPr>
        <w:t>:</w:t>
      </w:r>
      <w:r w:rsidR="008454BF" w:rsidRPr="00772AC6">
        <w:rPr>
          <w:rFonts w:ascii="Book Antiqua" w:hAnsi="Book Antiqua" w:cstheme="majorHAnsi"/>
          <w:sz w:val="24"/>
          <w:szCs w:val="24"/>
        </w:rPr>
        <w:t xml:space="preserve"> </w:t>
      </w:r>
      <w:r w:rsidR="0001331E" w:rsidRPr="00772AC6">
        <w:rPr>
          <w:rFonts w:ascii="Book Antiqua" w:hAnsi="Book Antiqua" w:cstheme="majorHAnsi"/>
          <w:sz w:val="24"/>
          <w:szCs w:val="24"/>
        </w:rPr>
        <w:t>B</w:t>
      </w:r>
      <w:r w:rsidR="008454BF" w:rsidRPr="00772AC6">
        <w:rPr>
          <w:rFonts w:ascii="Book Antiqua" w:hAnsi="Book Antiqua" w:cstheme="majorHAnsi"/>
          <w:sz w:val="24"/>
          <w:szCs w:val="24"/>
        </w:rPr>
        <w:t xml:space="preserve">ody mass index; </w:t>
      </w:r>
      <w:r w:rsidRPr="00772AC6">
        <w:rPr>
          <w:rFonts w:ascii="Book Antiqua" w:hAnsi="Book Antiqua" w:cstheme="majorHAnsi"/>
          <w:sz w:val="24"/>
          <w:szCs w:val="24"/>
        </w:rPr>
        <w:t>AST</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A</w:t>
      </w:r>
      <w:r w:rsidRPr="00772AC6">
        <w:rPr>
          <w:rFonts w:ascii="Book Antiqua" w:hAnsi="Book Antiqua" w:cstheme="majorHAnsi"/>
          <w:sz w:val="24"/>
          <w:szCs w:val="24"/>
        </w:rPr>
        <w:t>spartate aminotransferase; ALT</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A</w:t>
      </w:r>
      <w:r w:rsidRPr="00772AC6">
        <w:rPr>
          <w:rFonts w:ascii="Book Antiqua" w:hAnsi="Book Antiqua" w:cstheme="majorHAnsi"/>
          <w:sz w:val="24"/>
          <w:szCs w:val="24"/>
        </w:rPr>
        <w:t xml:space="preserve">lanine aminotransferase; </w:t>
      </w:r>
      <w:r w:rsidR="008454BF" w:rsidRPr="00772AC6">
        <w:rPr>
          <w:rFonts w:ascii="Book Antiqua" w:hAnsi="Book Antiqua" w:cstheme="majorHAnsi"/>
          <w:sz w:val="24"/>
          <w:szCs w:val="24"/>
        </w:rPr>
        <w:t>TG</w:t>
      </w:r>
      <w:r w:rsidR="0001331E" w:rsidRPr="00772AC6">
        <w:rPr>
          <w:rFonts w:ascii="Book Antiqua" w:hAnsi="Book Antiqua" w:cstheme="majorHAnsi"/>
          <w:sz w:val="24"/>
          <w:szCs w:val="24"/>
        </w:rPr>
        <w:t>:</w:t>
      </w:r>
      <w:r w:rsidR="008454BF" w:rsidRPr="00772AC6">
        <w:rPr>
          <w:rFonts w:ascii="Book Antiqua" w:hAnsi="Book Antiqua" w:cstheme="majorHAnsi"/>
          <w:sz w:val="24"/>
          <w:szCs w:val="24"/>
        </w:rPr>
        <w:t xml:space="preserve"> </w:t>
      </w:r>
      <w:r w:rsidR="0001331E" w:rsidRPr="00772AC6">
        <w:rPr>
          <w:rFonts w:ascii="Book Antiqua" w:hAnsi="Book Antiqua" w:cstheme="majorHAnsi"/>
          <w:sz w:val="24"/>
          <w:szCs w:val="24"/>
        </w:rPr>
        <w:t>T</w:t>
      </w:r>
      <w:r w:rsidR="008454BF" w:rsidRPr="00772AC6">
        <w:rPr>
          <w:rFonts w:ascii="Book Antiqua" w:hAnsi="Book Antiqua" w:cstheme="majorHAnsi"/>
          <w:sz w:val="24"/>
          <w:szCs w:val="24"/>
        </w:rPr>
        <w:t xml:space="preserve">riglyceride; </w:t>
      </w:r>
      <w:r w:rsidRPr="00772AC6">
        <w:rPr>
          <w:rFonts w:ascii="Book Antiqua" w:hAnsi="Book Antiqua" w:cstheme="majorHAnsi"/>
          <w:sz w:val="24"/>
          <w:szCs w:val="24"/>
        </w:rPr>
        <w:t>LDL-C</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L</w:t>
      </w:r>
      <w:r w:rsidRPr="00772AC6">
        <w:rPr>
          <w:rFonts w:ascii="Book Antiqua" w:hAnsi="Book Antiqua" w:cstheme="majorHAnsi"/>
          <w:sz w:val="24"/>
          <w:szCs w:val="24"/>
        </w:rPr>
        <w:t>ow density lipoprotein cholesterol; HDL-C</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H</w:t>
      </w:r>
      <w:r w:rsidRPr="00772AC6">
        <w:rPr>
          <w:rFonts w:ascii="Book Antiqua" w:hAnsi="Book Antiqua" w:cstheme="majorHAnsi"/>
          <w:sz w:val="24"/>
          <w:szCs w:val="24"/>
        </w:rPr>
        <w:t xml:space="preserve">igh density lipoprotein cholesterol; </w:t>
      </w:r>
      <w:r w:rsidR="008454BF" w:rsidRPr="00772AC6">
        <w:rPr>
          <w:rFonts w:ascii="Book Antiqua" w:hAnsi="Book Antiqua" w:cstheme="majorHAnsi"/>
          <w:sz w:val="24"/>
          <w:szCs w:val="24"/>
        </w:rPr>
        <w:t>FBG</w:t>
      </w:r>
      <w:r w:rsidR="0001331E" w:rsidRPr="00772AC6">
        <w:rPr>
          <w:rFonts w:ascii="Book Antiqua" w:hAnsi="Book Antiqua" w:cstheme="majorHAnsi"/>
          <w:sz w:val="24"/>
          <w:szCs w:val="24"/>
        </w:rPr>
        <w:t>:</w:t>
      </w:r>
      <w:r w:rsidR="008454BF" w:rsidRPr="00772AC6">
        <w:rPr>
          <w:rFonts w:ascii="Book Antiqua" w:hAnsi="Book Antiqua" w:cstheme="majorHAnsi"/>
          <w:sz w:val="24"/>
          <w:szCs w:val="24"/>
        </w:rPr>
        <w:t xml:space="preserve"> </w:t>
      </w:r>
      <w:r w:rsidR="0001331E" w:rsidRPr="00772AC6">
        <w:rPr>
          <w:rFonts w:ascii="Book Antiqua" w:hAnsi="Book Antiqua" w:cstheme="majorHAnsi"/>
          <w:sz w:val="24"/>
          <w:szCs w:val="24"/>
        </w:rPr>
        <w:t>F</w:t>
      </w:r>
      <w:r w:rsidR="008454BF" w:rsidRPr="00772AC6">
        <w:rPr>
          <w:rFonts w:ascii="Book Antiqua" w:hAnsi="Book Antiqua" w:cstheme="majorHAnsi"/>
          <w:sz w:val="24"/>
          <w:szCs w:val="24"/>
        </w:rPr>
        <w:t>asting blood glucose; IRI</w:t>
      </w:r>
      <w:r w:rsidR="0001331E" w:rsidRPr="00772AC6">
        <w:rPr>
          <w:rFonts w:ascii="Book Antiqua" w:hAnsi="Book Antiqua" w:cstheme="majorHAnsi"/>
          <w:sz w:val="24"/>
          <w:szCs w:val="24"/>
        </w:rPr>
        <w:t>:</w:t>
      </w:r>
      <w:r w:rsidR="008454BF" w:rsidRPr="00772AC6">
        <w:rPr>
          <w:rFonts w:ascii="Book Antiqua" w:hAnsi="Book Antiqua" w:cstheme="majorHAnsi"/>
          <w:sz w:val="24"/>
          <w:szCs w:val="24"/>
        </w:rPr>
        <w:t xml:space="preserve"> </w:t>
      </w:r>
      <w:r w:rsidR="0001331E" w:rsidRPr="00772AC6">
        <w:rPr>
          <w:rFonts w:ascii="Book Antiqua" w:hAnsi="Book Antiqua" w:cstheme="majorHAnsi"/>
          <w:sz w:val="24"/>
          <w:szCs w:val="24"/>
        </w:rPr>
        <w:t>I</w:t>
      </w:r>
      <w:r w:rsidR="008454BF" w:rsidRPr="00772AC6">
        <w:rPr>
          <w:rFonts w:ascii="Book Antiqua" w:hAnsi="Book Antiqua" w:cstheme="majorHAnsi"/>
          <w:sz w:val="24"/>
          <w:szCs w:val="24"/>
        </w:rPr>
        <w:t xml:space="preserve">mmunoreactive insulin; </w:t>
      </w:r>
      <w:r w:rsidRPr="00772AC6">
        <w:rPr>
          <w:rFonts w:ascii="Book Antiqua" w:hAnsi="Book Antiqua" w:cstheme="majorHAnsi"/>
          <w:sz w:val="24"/>
          <w:szCs w:val="24"/>
        </w:rPr>
        <w:t>HOMA-IR</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H</w:t>
      </w:r>
      <w:r w:rsidRPr="00772AC6">
        <w:rPr>
          <w:rFonts w:ascii="Book Antiqua" w:hAnsi="Book Antiqua" w:cstheme="majorHAnsi"/>
          <w:sz w:val="24"/>
          <w:szCs w:val="24"/>
        </w:rPr>
        <w:t>omeostasis model assessment of insulin resistance; HA</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H</w:t>
      </w:r>
      <w:r w:rsidRPr="00772AC6">
        <w:rPr>
          <w:rFonts w:ascii="Book Antiqua" w:hAnsi="Book Antiqua" w:cstheme="majorHAnsi"/>
          <w:sz w:val="24"/>
          <w:szCs w:val="24"/>
        </w:rPr>
        <w:t>yaluronic acid; 4C7S</w:t>
      </w:r>
      <w:r w:rsidR="0001331E" w:rsidRPr="00772AC6">
        <w:rPr>
          <w:rFonts w:ascii="Book Antiqua" w:eastAsia="SimSun" w:hAnsi="Book Antiqua" w:cstheme="majorHAnsi"/>
          <w:sz w:val="24"/>
          <w:szCs w:val="24"/>
          <w:lang w:eastAsia="zh-CN"/>
        </w:rPr>
        <w:t>:</w:t>
      </w:r>
      <w:r w:rsidRPr="00772AC6">
        <w:rPr>
          <w:rFonts w:ascii="Book Antiqua" w:hAnsi="Book Antiqua" w:cstheme="majorHAnsi"/>
          <w:sz w:val="24"/>
          <w:szCs w:val="24"/>
        </w:rPr>
        <w:t xml:space="preserve"> Type 4 collagen</w:t>
      </w:r>
      <w:r w:rsidRPr="00772AC6">
        <w:rPr>
          <w:rFonts w:ascii="Book Antiqua" w:hAnsi="Book Antiqua" w:cstheme="majorHAnsi"/>
          <w:sz w:val="24"/>
          <w:szCs w:val="24"/>
        </w:rPr>
        <w:t>･</w:t>
      </w:r>
      <w:r w:rsidRPr="00772AC6">
        <w:rPr>
          <w:rFonts w:ascii="Book Antiqua" w:hAnsi="Book Antiqua" w:cstheme="majorHAnsi"/>
          <w:sz w:val="24"/>
          <w:szCs w:val="24"/>
        </w:rPr>
        <w:t>7S</w:t>
      </w:r>
      <w:r w:rsidR="008454BF" w:rsidRPr="00772AC6">
        <w:rPr>
          <w:rFonts w:ascii="Book Antiqua" w:hAnsi="Book Antiqua" w:cstheme="majorHAnsi"/>
          <w:sz w:val="24"/>
          <w:szCs w:val="24"/>
        </w:rPr>
        <w:t>; FIB-4</w:t>
      </w:r>
      <w:r w:rsidR="0001331E" w:rsidRPr="00772AC6">
        <w:rPr>
          <w:rFonts w:ascii="Book Antiqua" w:hAnsi="Book Antiqua" w:cstheme="majorHAnsi"/>
          <w:sz w:val="24"/>
          <w:szCs w:val="24"/>
        </w:rPr>
        <w:t>:</w:t>
      </w:r>
      <w:r w:rsidR="008454BF" w:rsidRPr="00772AC6">
        <w:rPr>
          <w:rFonts w:ascii="Book Antiqua" w:hAnsi="Book Antiqua" w:cstheme="majorHAnsi"/>
          <w:sz w:val="24"/>
          <w:szCs w:val="24"/>
        </w:rPr>
        <w:t xml:space="preserve"> </w:t>
      </w:r>
      <w:r w:rsidR="0001331E" w:rsidRPr="00772AC6">
        <w:rPr>
          <w:rFonts w:ascii="Book Antiqua" w:hAnsi="Book Antiqua" w:cstheme="majorHAnsi"/>
          <w:sz w:val="24"/>
          <w:szCs w:val="24"/>
        </w:rPr>
        <w:t>F</w:t>
      </w:r>
      <w:r w:rsidR="008454BF" w:rsidRPr="00772AC6">
        <w:rPr>
          <w:rFonts w:ascii="Book Antiqua" w:hAnsi="Book Antiqua" w:cstheme="majorHAnsi"/>
          <w:sz w:val="24"/>
          <w:szCs w:val="24"/>
        </w:rPr>
        <w:t>ibrosis-</w:t>
      </w:r>
      <w:r w:rsidRPr="00772AC6">
        <w:rPr>
          <w:rFonts w:ascii="Book Antiqua" w:hAnsi="Book Antiqua" w:cstheme="majorHAnsi"/>
          <w:sz w:val="24"/>
          <w:szCs w:val="24"/>
        </w:rPr>
        <w:t>4 index; APRI</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AST</w:t>
      </w:r>
      <w:r w:rsidR="00FD7B09" w:rsidRPr="00772AC6">
        <w:rPr>
          <w:rFonts w:ascii="Book Antiqua" w:hAnsi="Book Antiqua" w:cstheme="majorHAnsi"/>
          <w:sz w:val="24"/>
          <w:szCs w:val="24"/>
        </w:rPr>
        <w:t xml:space="preserve"> </w:t>
      </w:r>
      <w:r w:rsidRPr="00772AC6">
        <w:rPr>
          <w:rFonts w:ascii="Book Antiqua" w:hAnsi="Book Antiqua" w:cstheme="majorHAnsi"/>
          <w:sz w:val="24"/>
          <w:szCs w:val="24"/>
        </w:rPr>
        <w:t>to</w:t>
      </w:r>
      <w:r w:rsidR="00FD7B09" w:rsidRPr="00772AC6">
        <w:rPr>
          <w:rFonts w:ascii="Book Antiqua" w:hAnsi="Book Antiqua" w:cstheme="majorHAnsi"/>
          <w:sz w:val="24"/>
          <w:szCs w:val="24"/>
        </w:rPr>
        <w:t xml:space="preserve"> </w:t>
      </w:r>
      <w:r w:rsidRPr="00772AC6">
        <w:rPr>
          <w:rFonts w:ascii="Book Antiqua" w:hAnsi="Book Antiqua" w:cstheme="majorHAnsi"/>
          <w:sz w:val="24"/>
          <w:szCs w:val="24"/>
        </w:rPr>
        <w:t>platelet ratio; NAS</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NAFLD activity score; NS</w:t>
      </w:r>
      <w:r w:rsidR="0001331E"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01331E" w:rsidRPr="00772AC6">
        <w:rPr>
          <w:rFonts w:ascii="Book Antiqua" w:hAnsi="Book Antiqua" w:cstheme="majorHAnsi"/>
          <w:sz w:val="24"/>
          <w:szCs w:val="24"/>
        </w:rPr>
        <w:t>N</w:t>
      </w:r>
      <w:r w:rsidRPr="00772AC6">
        <w:rPr>
          <w:rFonts w:ascii="Book Antiqua" w:hAnsi="Book Antiqua" w:cstheme="majorHAnsi"/>
          <w:sz w:val="24"/>
          <w:szCs w:val="24"/>
        </w:rPr>
        <w:t>ot significant.</w:t>
      </w:r>
    </w:p>
    <w:p w:rsidR="00AA7EAD" w:rsidRPr="00772AC6" w:rsidRDefault="00AA7EAD" w:rsidP="005A4D61">
      <w:pPr>
        <w:widowControl/>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br w:type="page"/>
      </w:r>
    </w:p>
    <w:p w:rsidR="00237C72" w:rsidRPr="00772AC6" w:rsidRDefault="00237C72" w:rsidP="00E114A3">
      <w:pPr>
        <w:widowControl/>
        <w:spacing w:line="360" w:lineRule="auto"/>
        <w:rPr>
          <w:rFonts w:ascii="Book Antiqua" w:eastAsia="SimSun" w:hAnsi="Book Antiqua" w:cstheme="majorHAnsi"/>
          <w:b/>
          <w:sz w:val="24"/>
          <w:szCs w:val="24"/>
          <w:lang w:eastAsia="zh-CN"/>
        </w:rPr>
      </w:pPr>
      <w:r w:rsidRPr="00772AC6">
        <w:rPr>
          <w:rFonts w:ascii="Book Antiqua" w:hAnsi="Book Antiqua" w:cstheme="majorHAnsi"/>
          <w:b/>
          <w:sz w:val="24"/>
          <w:szCs w:val="24"/>
        </w:rPr>
        <w:lastRenderedPageBreak/>
        <w:t xml:space="preserve">Table </w:t>
      </w:r>
      <w:r w:rsidR="00E4456B" w:rsidRPr="00772AC6">
        <w:rPr>
          <w:rFonts w:ascii="Book Antiqua" w:hAnsi="Book Antiqua" w:cstheme="majorHAnsi"/>
          <w:b/>
          <w:sz w:val="24"/>
          <w:szCs w:val="24"/>
        </w:rPr>
        <w:t>3</w:t>
      </w:r>
      <w:bookmarkStart w:id="37" w:name="_Hlk505756291"/>
      <w:r w:rsidR="0001331E" w:rsidRPr="00772AC6">
        <w:rPr>
          <w:rFonts w:ascii="Book Antiqua" w:eastAsia="SimSun" w:hAnsi="Book Antiqua" w:cstheme="majorHAnsi"/>
          <w:b/>
          <w:sz w:val="24"/>
          <w:szCs w:val="24"/>
          <w:lang w:eastAsia="zh-CN"/>
        </w:rPr>
        <w:t xml:space="preserve"> </w:t>
      </w:r>
      <w:r w:rsidR="00894E20" w:rsidRPr="00772AC6">
        <w:rPr>
          <w:rFonts w:ascii="Book Antiqua" w:hAnsi="Book Antiqua" w:cstheme="majorHAnsi"/>
          <w:b/>
          <w:sz w:val="24"/>
          <w:szCs w:val="24"/>
        </w:rPr>
        <w:t xml:space="preserve">Diagnostic performance of </w:t>
      </w:r>
      <w:r w:rsidR="0001331E" w:rsidRPr="00772AC6">
        <w:rPr>
          <w:rFonts w:ascii="Book Antiqua" w:hAnsi="Book Antiqua" w:cstheme="majorHAnsi"/>
          <w:b/>
          <w:sz w:val="24"/>
          <w:szCs w:val="24"/>
        </w:rPr>
        <w:t>autotaxin</w:t>
      </w:r>
      <w:r w:rsidR="00894E20" w:rsidRPr="00772AC6">
        <w:rPr>
          <w:rFonts w:ascii="Book Antiqua" w:hAnsi="Book Antiqua" w:cstheme="majorHAnsi"/>
          <w:b/>
          <w:sz w:val="24"/>
          <w:szCs w:val="24"/>
        </w:rPr>
        <w:t xml:space="preserve"> </w:t>
      </w:r>
      <w:r w:rsidR="0085177F" w:rsidRPr="00772AC6">
        <w:rPr>
          <w:rFonts w:ascii="Book Antiqua" w:hAnsi="Book Antiqua" w:cstheme="majorHAnsi"/>
          <w:b/>
          <w:sz w:val="24"/>
          <w:szCs w:val="24"/>
        </w:rPr>
        <w:t>for predicting</w:t>
      </w:r>
      <w:r w:rsidR="00894E20" w:rsidRPr="00772AC6">
        <w:rPr>
          <w:rFonts w:ascii="Book Antiqua" w:hAnsi="Book Antiqua" w:cstheme="majorHAnsi"/>
          <w:b/>
          <w:sz w:val="24"/>
          <w:szCs w:val="24"/>
        </w:rPr>
        <w:t xml:space="preserve"> liver fibrosis stage in patients with </w:t>
      </w:r>
      <w:r w:rsidR="0001331E" w:rsidRPr="00772AC6">
        <w:rPr>
          <w:rFonts w:ascii="Book Antiqua" w:hAnsi="Book Antiqua" w:cstheme="majorHAnsi"/>
          <w:b/>
          <w:sz w:val="24"/>
          <w:szCs w:val="24"/>
        </w:rPr>
        <w:t>non-alcoholic fatty liver disease</w:t>
      </w:r>
      <w:bookmarkEnd w:id="37"/>
    </w:p>
    <w:tbl>
      <w:tblPr>
        <w:tblStyle w:val="TableGrid"/>
        <w:tblW w:w="13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1418"/>
        <w:gridCol w:w="1275"/>
        <w:gridCol w:w="2127"/>
        <w:gridCol w:w="1842"/>
        <w:gridCol w:w="2268"/>
        <w:gridCol w:w="1418"/>
        <w:gridCol w:w="1843"/>
      </w:tblGrid>
      <w:tr w:rsidR="0001331E" w:rsidRPr="00772AC6" w:rsidTr="00E114A3">
        <w:tc>
          <w:tcPr>
            <w:tcW w:w="817" w:type="dxa"/>
            <w:vAlign w:val="center"/>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418" w:type="dxa"/>
            <w:vAlign w:val="center"/>
          </w:tcPr>
          <w:p w:rsidR="005C7718" w:rsidRPr="00772AC6" w:rsidRDefault="005C7718"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Cut off</w:t>
            </w:r>
          </w:p>
        </w:tc>
        <w:tc>
          <w:tcPr>
            <w:tcW w:w="1275" w:type="dxa"/>
            <w:vAlign w:val="center"/>
          </w:tcPr>
          <w:p w:rsidR="005C7718" w:rsidRPr="00772AC6" w:rsidRDefault="005C7718"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AUC</w:t>
            </w:r>
          </w:p>
        </w:tc>
        <w:tc>
          <w:tcPr>
            <w:tcW w:w="2127" w:type="dxa"/>
            <w:vAlign w:val="center"/>
          </w:tcPr>
          <w:p w:rsidR="005C7718" w:rsidRPr="00772AC6" w:rsidRDefault="005C7718"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Sensitivity (%)</w:t>
            </w:r>
          </w:p>
        </w:tc>
        <w:tc>
          <w:tcPr>
            <w:tcW w:w="1842" w:type="dxa"/>
            <w:vAlign w:val="center"/>
          </w:tcPr>
          <w:p w:rsidR="005C7718" w:rsidRPr="00772AC6" w:rsidRDefault="0001331E"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Specificity</w:t>
            </w:r>
            <w:r w:rsidRPr="00772AC6">
              <w:rPr>
                <w:rFonts w:ascii="Book Antiqua" w:eastAsia="SimSun" w:hAnsi="Book Antiqua" w:cstheme="majorHAnsi"/>
                <w:b/>
                <w:sz w:val="24"/>
                <w:szCs w:val="24"/>
                <w:lang w:eastAsia="zh-CN"/>
              </w:rPr>
              <w:t xml:space="preserve"> </w:t>
            </w:r>
            <w:r w:rsidR="005C7718" w:rsidRPr="00772AC6">
              <w:rPr>
                <w:rFonts w:ascii="Book Antiqua" w:hAnsi="Book Antiqua" w:cstheme="majorHAnsi"/>
                <w:b/>
                <w:sz w:val="24"/>
                <w:szCs w:val="24"/>
              </w:rPr>
              <w:t>(%)</w:t>
            </w:r>
          </w:p>
        </w:tc>
        <w:tc>
          <w:tcPr>
            <w:tcW w:w="2268" w:type="dxa"/>
            <w:vAlign w:val="center"/>
          </w:tcPr>
          <w:p w:rsidR="005C7718" w:rsidRPr="00772AC6" w:rsidRDefault="005C7718"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PPV</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w:t>
            </w:r>
          </w:p>
        </w:tc>
        <w:tc>
          <w:tcPr>
            <w:tcW w:w="1418" w:type="dxa"/>
            <w:vAlign w:val="center"/>
          </w:tcPr>
          <w:p w:rsidR="005C7718" w:rsidRPr="00772AC6" w:rsidRDefault="005C7718"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NPV</w:t>
            </w:r>
            <w:r w:rsidR="0001331E" w:rsidRPr="00772AC6">
              <w:rPr>
                <w:rFonts w:ascii="Book Antiqua" w:eastAsia="SimSun" w:hAnsi="Book Antiqua" w:cstheme="majorHAnsi"/>
                <w:b/>
                <w:sz w:val="24"/>
                <w:szCs w:val="24"/>
                <w:lang w:eastAsia="zh-CN"/>
              </w:rPr>
              <w:t xml:space="preserve"> </w:t>
            </w:r>
            <w:r w:rsidRPr="00772AC6">
              <w:rPr>
                <w:rFonts w:ascii="Book Antiqua" w:hAnsi="Book Antiqua" w:cstheme="majorHAnsi"/>
                <w:b/>
                <w:sz w:val="24"/>
                <w:szCs w:val="24"/>
              </w:rPr>
              <w:t>(%)</w:t>
            </w:r>
          </w:p>
        </w:tc>
        <w:tc>
          <w:tcPr>
            <w:tcW w:w="1843" w:type="dxa"/>
          </w:tcPr>
          <w:p w:rsidR="005C7718" w:rsidRPr="00772AC6" w:rsidRDefault="00C611FF" w:rsidP="0001331E">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Accuracy (%)</w:t>
            </w:r>
          </w:p>
        </w:tc>
      </w:tr>
      <w:tr w:rsidR="0001331E" w:rsidRPr="00772AC6" w:rsidTr="00E114A3">
        <w:tc>
          <w:tcPr>
            <w:tcW w:w="2235" w:type="dxa"/>
            <w:gridSpan w:val="2"/>
            <w:tcBorders>
              <w:bottom w:val="single" w:sz="4" w:space="0" w:color="auto"/>
            </w:tcBorders>
          </w:tcPr>
          <w:p w:rsidR="005C7718" w:rsidRPr="00772AC6" w:rsidRDefault="005C7718" w:rsidP="00E114A3">
            <w:pPr>
              <w:adjustRightInd w:val="0"/>
              <w:snapToGrid w:val="0"/>
              <w:spacing w:line="360" w:lineRule="auto"/>
              <w:jc w:val="left"/>
              <w:rPr>
                <w:rFonts w:ascii="Book Antiqua" w:hAnsi="Book Antiqua" w:cstheme="majorHAnsi"/>
                <w:i/>
                <w:sz w:val="24"/>
                <w:szCs w:val="24"/>
              </w:rPr>
            </w:pPr>
            <w:r w:rsidRPr="00772AC6">
              <w:rPr>
                <w:rFonts w:ascii="Book Antiqua" w:hAnsi="Book Antiqua" w:cstheme="majorHAnsi"/>
                <w:sz w:val="24"/>
                <w:szCs w:val="24"/>
              </w:rPr>
              <w:t>All patients</w:t>
            </w:r>
          </w:p>
        </w:tc>
        <w:tc>
          <w:tcPr>
            <w:tcW w:w="1275"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2127"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842"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2268"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418"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843" w:type="dxa"/>
            <w:tcBorders>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r>
      <w:tr w:rsidR="0001331E" w:rsidRPr="00772AC6" w:rsidTr="00E114A3">
        <w:tc>
          <w:tcPr>
            <w:tcW w:w="817" w:type="dxa"/>
            <w:tcBorders>
              <w:top w:val="nil"/>
              <w:bottom w:val="nil"/>
            </w:tcBorders>
          </w:tcPr>
          <w:p w:rsidR="005C7718"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C7718" w:rsidRPr="00772AC6">
              <w:rPr>
                <w:rFonts w:ascii="Book Antiqua" w:hAnsi="Book Antiqua" w:cstheme="majorHAnsi"/>
                <w:sz w:val="24"/>
                <w:szCs w:val="24"/>
              </w:rPr>
              <w:t>F1</w:t>
            </w:r>
          </w:p>
        </w:tc>
        <w:tc>
          <w:tcPr>
            <w:tcW w:w="141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0.73</w:t>
            </w:r>
          </w:p>
        </w:tc>
        <w:tc>
          <w:tcPr>
            <w:tcW w:w="1275"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0.71</w:t>
            </w:r>
          </w:p>
        </w:tc>
        <w:tc>
          <w:tcPr>
            <w:tcW w:w="2127"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77</w:t>
            </w:r>
          </w:p>
        </w:tc>
        <w:tc>
          <w:tcPr>
            <w:tcW w:w="1842"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57</w:t>
            </w:r>
          </w:p>
        </w:tc>
        <w:tc>
          <w:tcPr>
            <w:tcW w:w="226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89</w:t>
            </w:r>
          </w:p>
        </w:tc>
        <w:tc>
          <w:tcPr>
            <w:tcW w:w="141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36</w:t>
            </w:r>
          </w:p>
        </w:tc>
        <w:tc>
          <w:tcPr>
            <w:tcW w:w="1843" w:type="dxa"/>
            <w:tcBorders>
              <w:top w:val="nil"/>
              <w:bottom w:val="nil"/>
            </w:tcBorders>
          </w:tcPr>
          <w:p w:rsidR="005C7718" w:rsidRPr="00772AC6" w:rsidRDefault="00976754"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73</w:t>
            </w:r>
          </w:p>
        </w:tc>
      </w:tr>
      <w:tr w:rsidR="0001331E" w:rsidRPr="00772AC6" w:rsidTr="00E114A3">
        <w:tc>
          <w:tcPr>
            <w:tcW w:w="817" w:type="dxa"/>
            <w:tcBorders>
              <w:top w:val="nil"/>
              <w:bottom w:val="nil"/>
              <w:right w:val="nil"/>
            </w:tcBorders>
          </w:tcPr>
          <w:p w:rsidR="005C7718"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C7718" w:rsidRPr="00772AC6">
              <w:rPr>
                <w:rFonts w:ascii="Book Antiqua" w:hAnsi="Book Antiqua" w:cstheme="majorHAnsi"/>
                <w:sz w:val="24"/>
                <w:szCs w:val="24"/>
              </w:rPr>
              <w:t>F2</w:t>
            </w:r>
          </w:p>
        </w:tc>
        <w:tc>
          <w:tcPr>
            <w:tcW w:w="1418"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1.19</w:t>
            </w:r>
          </w:p>
        </w:tc>
        <w:tc>
          <w:tcPr>
            <w:tcW w:w="1275"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0.75</w:t>
            </w:r>
          </w:p>
        </w:tc>
        <w:tc>
          <w:tcPr>
            <w:tcW w:w="2127"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45</w:t>
            </w:r>
          </w:p>
        </w:tc>
        <w:tc>
          <w:tcPr>
            <w:tcW w:w="1842"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94</w:t>
            </w:r>
          </w:p>
        </w:tc>
        <w:tc>
          <w:tcPr>
            <w:tcW w:w="2268"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80</w:t>
            </w:r>
          </w:p>
        </w:tc>
        <w:tc>
          <w:tcPr>
            <w:tcW w:w="1418" w:type="dxa"/>
            <w:tcBorders>
              <w:top w:val="nil"/>
              <w:left w:val="nil"/>
              <w:bottom w:val="nil"/>
              <w:right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77</w:t>
            </w:r>
          </w:p>
        </w:tc>
        <w:tc>
          <w:tcPr>
            <w:tcW w:w="1843" w:type="dxa"/>
            <w:tcBorders>
              <w:top w:val="nil"/>
              <w:left w:val="nil"/>
              <w:bottom w:val="nil"/>
            </w:tcBorders>
          </w:tcPr>
          <w:p w:rsidR="005C7718" w:rsidRPr="00772AC6" w:rsidRDefault="00976754"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r>
      <w:tr w:rsidR="0001331E" w:rsidRPr="00772AC6" w:rsidTr="00E114A3">
        <w:tc>
          <w:tcPr>
            <w:tcW w:w="817" w:type="dxa"/>
            <w:tcBorders>
              <w:top w:val="nil"/>
              <w:bottom w:val="nil"/>
            </w:tcBorders>
          </w:tcPr>
          <w:p w:rsidR="005C7718"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C7718" w:rsidRPr="00772AC6">
              <w:rPr>
                <w:rFonts w:ascii="Book Antiqua" w:hAnsi="Book Antiqua" w:cstheme="majorHAnsi"/>
                <w:sz w:val="24"/>
                <w:szCs w:val="24"/>
              </w:rPr>
              <w:t>F3</w:t>
            </w:r>
          </w:p>
        </w:tc>
        <w:tc>
          <w:tcPr>
            <w:tcW w:w="141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1.19</w:t>
            </w:r>
          </w:p>
        </w:tc>
        <w:tc>
          <w:tcPr>
            <w:tcW w:w="1275"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0.75</w:t>
            </w:r>
          </w:p>
        </w:tc>
        <w:tc>
          <w:tcPr>
            <w:tcW w:w="2127"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51</w:t>
            </w:r>
          </w:p>
        </w:tc>
        <w:tc>
          <w:tcPr>
            <w:tcW w:w="1842"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w:t>
            </w:r>
          </w:p>
        </w:tc>
        <w:tc>
          <w:tcPr>
            <w:tcW w:w="226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1418" w:type="dxa"/>
            <w:tcBorders>
              <w:top w:val="nil"/>
              <w:bottom w:val="nil"/>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c>
          <w:tcPr>
            <w:tcW w:w="1843" w:type="dxa"/>
            <w:tcBorders>
              <w:top w:val="nil"/>
              <w:bottom w:val="nil"/>
            </w:tcBorders>
          </w:tcPr>
          <w:p w:rsidR="005C7718" w:rsidRPr="00772AC6" w:rsidRDefault="00976754"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r>
      <w:tr w:rsidR="0001331E" w:rsidRPr="00772AC6" w:rsidTr="00E114A3">
        <w:tc>
          <w:tcPr>
            <w:tcW w:w="817" w:type="dxa"/>
            <w:tcBorders>
              <w:top w:val="nil"/>
              <w:bottom w:val="single" w:sz="4" w:space="0" w:color="auto"/>
            </w:tcBorders>
          </w:tcPr>
          <w:p w:rsidR="005C7718" w:rsidRPr="00772AC6" w:rsidRDefault="005C7718"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F4</w:t>
            </w:r>
          </w:p>
        </w:tc>
        <w:tc>
          <w:tcPr>
            <w:tcW w:w="1418"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1.20</w:t>
            </w:r>
          </w:p>
        </w:tc>
        <w:tc>
          <w:tcPr>
            <w:tcW w:w="1275"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0.87</w:t>
            </w:r>
          </w:p>
        </w:tc>
        <w:tc>
          <w:tcPr>
            <w:tcW w:w="2127"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c>
          <w:tcPr>
            <w:tcW w:w="1842"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85</w:t>
            </w:r>
          </w:p>
        </w:tc>
        <w:tc>
          <w:tcPr>
            <w:tcW w:w="2268"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21</w:t>
            </w:r>
          </w:p>
        </w:tc>
        <w:tc>
          <w:tcPr>
            <w:tcW w:w="1418" w:type="dxa"/>
            <w:tcBorders>
              <w:top w:val="nil"/>
              <w:bottom w:val="single" w:sz="4" w:space="0" w:color="auto"/>
            </w:tcBorders>
          </w:tcPr>
          <w:p w:rsidR="005C7718" w:rsidRPr="00772AC6" w:rsidRDefault="005C7718"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99</w:t>
            </w:r>
          </w:p>
        </w:tc>
        <w:tc>
          <w:tcPr>
            <w:tcW w:w="1843" w:type="dxa"/>
            <w:tcBorders>
              <w:top w:val="nil"/>
              <w:bottom w:val="single" w:sz="4" w:space="0" w:color="auto"/>
            </w:tcBorders>
          </w:tcPr>
          <w:p w:rsidR="005C7718" w:rsidRPr="00772AC6" w:rsidRDefault="00976754"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84</w:t>
            </w:r>
          </w:p>
        </w:tc>
      </w:tr>
      <w:tr w:rsidR="0001331E" w:rsidRPr="00772AC6" w:rsidTr="00E114A3">
        <w:tc>
          <w:tcPr>
            <w:tcW w:w="817" w:type="dxa"/>
            <w:tcBorders>
              <w:top w:val="single" w:sz="4" w:space="0" w:color="auto"/>
              <w:bottom w:val="single" w:sz="4" w:space="0" w:color="auto"/>
            </w:tcBorders>
          </w:tcPr>
          <w:p w:rsidR="005C7718" w:rsidRPr="00772AC6" w:rsidRDefault="005C7718"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Male</w:t>
            </w:r>
          </w:p>
        </w:tc>
        <w:tc>
          <w:tcPr>
            <w:tcW w:w="1418"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275"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2127"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842"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2268"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418"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c>
          <w:tcPr>
            <w:tcW w:w="1843" w:type="dxa"/>
            <w:tcBorders>
              <w:top w:val="single" w:sz="4" w:space="0" w:color="auto"/>
              <w:bottom w:val="single" w:sz="4" w:space="0" w:color="auto"/>
            </w:tcBorders>
          </w:tcPr>
          <w:p w:rsidR="005C7718" w:rsidRPr="00772AC6" w:rsidRDefault="005C7718" w:rsidP="005A4D61">
            <w:pPr>
              <w:adjustRightInd w:val="0"/>
              <w:snapToGrid w:val="0"/>
              <w:spacing w:line="360" w:lineRule="auto"/>
              <w:rPr>
                <w:rFonts w:ascii="Book Antiqua" w:hAnsi="Book Antiqua" w:cstheme="majorHAnsi"/>
                <w:sz w:val="24"/>
                <w:szCs w:val="24"/>
              </w:rPr>
            </w:pPr>
          </w:p>
        </w:tc>
      </w:tr>
      <w:tr w:rsidR="0001331E" w:rsidRPr="00772AC6" w:rsidTr="00E114A3">
        <w:tc>
          <w:tcPr>
            <w:tcW w:w="817" w:type="dxa"/>
            <w:tcBorders>
              <w:top w:val="single" w:sz="4" w:space="0" w:color="auto"/>
              <w:bottom w:val="nil"/>
            </w:tcBorders>
          </w:tcPr>
          <w:p w:rsidR="00527B23"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27B23" w:rsidRPr="00772AC6">
              <w:rPr>
                <w:rFonts w:ascii="Book Antiqua" w:hAnsi="Book Antiqua" w:cstheme="majorHAnsi"/>
                <w:sz w:val="24"/>
                <w:szCs w:val="24"/>
              </w:rPr>
              <w:t>F1</w:t>
            </w:r>
          </w:p>
        </w:tc>
        <w:tc>
          <w:tcPr>
            <w:tcW w:w="141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0.70</w:t>
            </w:r>
          </w:p>
        </w:tc>
        <w:tc>
          <w:tcPr>
            <w:tcW w:w="1275"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0.73</w:t>
            </w:r>
          </w:p>
        </w:tc>
        <w:tc>
          <w:tcPr>
            <w:tcW w:w="2127"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58</w:t>
            </w:r>
          </w:p>
        </w:tc>
        <w:tc>
          <w:tcPr>
            <w:tcW w:w="1842"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94</w:t>
            </w:r>
          </w:p>
        </w:tc>
        <w:tc>
          <w:tcPr>
            <w:tcW w:w="226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97</w:t>
            </w:r>
          </w:p>
        </w:tc>
        <w:tc>
          <w:tcPr>
            <w:tcW w:w="141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36</w:t>
            </w:r>
          </w:p>
        </w:tc>
        <w:tc>
          <w:tcPr>
            <w:tcW w:w="1843"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65</w:t>
            </w:r>
          </w:p>
        </w:tc>
      </w:tr>
      <w:tr w:rsidR="0001331E" w:rsidRPr="00772AC6" w:rsidTr="00E114A3">
        <w:tc>
          <w:tcPr>
            <w:tcW w:w="817" w:type="dxa"/>
            <w:tcBorders>
              <w:top w:val="nil"/>
              <w:bottom w:val="nil"/>
            </w:tcBorders>
          </w:tcPr>
          <w:p w:rsidR="00527B23"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27B23" w:rsidRPr="00772AC6">
              <w:rPr>
                <w:rFonts w:ascii="Book Antiqua" w:hAnsi="Book Antiqua" w:cstheme="majorHAnsi"/>
                <w:sz w:val="24"/>
                <w:szCs w:val="24"/>
              </w:rPr>
              <w:t>F2</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0.71</w:t>
            </w:r>
          </w:p>
        </w:tc>
        <w:tc>
          <w:tcPr>
            <w:tcW w:w="1275"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0.75</w:t>
            </w:r>
          </w:p>
        </w:tc>
        <w:tc>
          <w:tcPr>
            <w:tcW w:w="2127"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81</w:t>
            </w:r>
          </w:p>
        </w:tc>
        <w:tc>
          <w:tcPr>
            <w:tcW w:w="1842"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68</w:t>
            </w:r>
          </w:p>
        </w:tc>
        <w:tc>
          <w:tcPr>
            <w:tcW w:w="226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47</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w:t>
            </w:r>
          </w:p>
        </w:tc>
        <w:tc>
          <w:tcPr>
            <w:tcW w:w="1843"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71</w:t>
            </w:r>
          </w:p>
        </w:tc>
      </w:tr>
      <w:tr w:rsidR="0001331E" w:rsidRPr="00772AC6" w:rsidTr="00E114A3">
        <w:tc>
          <w:tcPr>
            <w:tcW w:w="817" w:type="dxa"/>
            <w:tcBorders>
              <w:top w:val="nil"/>
              <w:bottom w:val="single" w:sz="4" w:space="0" w:color="auto"/>
            </w:tcBorders>
          </w:tcPr>
          <w:p w:rsidR="00527B23" w:rsidRPr="00772AC6" w:rsidRDefault="00527B23"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F3</w:t>
            </w:r>
          </w:p>
        </w:tc>
        <w:tc>
          <w:tcPr>
            <w:tcW w:w="141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0.82</w:t>
            </w:r>
          </w:p>
        </w:tc>
        <w:tc>
          <w:tcPr>
            <w:tcW w:w="1275"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0.74</w:t>
            </w:r>
          </w:p>
        </w:tc>
        <w:tc>
          <w:tcPr>
            <w:tcW w:w="2127"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62</w:t>
            </w:r>
          </w:p>
        </w:tc>
        <w:tc>
          <w:tcPr>
            <w:tcW w:w="1842"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c>
          <w:tcPr>
            <w:tcW w:w="226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40</w:t>
            </w:r>
          </w:p>
        </w:tc>
        <w:tc>
          <w:tcPr>
            <w:tcW w:w="141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1843"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79</w:t>
            </w:r>
          </w:p>
        </w:tc>
      </w:tr>
      <w:tr w:rsidR="0001331E" w:rsidRPr="00772AC6" w:rsidTr="00E114A3">
        <w:tc>
          <w:tcPr>
            <w:tcW w:w="2235" w:type="dxa"/>
            <w:gridSpan w:val="2"/>
            <w:tcBorders>
              <w:top w:val="single" w:sz="4" w:space="0" w:color="auto"/>
              <w:bottom w:val="single" w:sz="4" w:space="0" w:color="auto"/>
            </w:tcBorders>
          </w:tcPr>
          <w:p w:rsidR="00527B23" w:rsidRPr="00772AC6" w:rsidRDefault="00527B23"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Female</w:t>
            </w:r>
          </w:p>
        </w:tc>
        <w:tc>
          <w:tcPr>
            <w:tcW w:w="1275"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c>
          <w:tcPr>
            <w:tcW w:w="2127"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c>
          <w:tcPr>
            <w:tcW w:w="1842"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c>
          <w:tcPr>
            <w:tcW w:w="2268"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c>
          <w:tcPr>
            <w:tcW w:w="1418"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c>
          <w:tcPr>
            <w:tcW w:w="1843" w:type="dxa"/>
            <w:tcBorders>
              <w:top w:val="single" w:sz="4" w:space="0" w:color="auto"/>
              <w:bottom w:val="single" w:sz="4" w:space="0" w:color="auto"/>
            </w:tcBorders>
          </w:tcPr>
          <w:p w:rsidR="00527B23" w:rsidRPr="00772AC6" w:rsidRDefault="00527B23" w:rsidP="005A4D61">
            <w:pPr>
              <w:adjustRightInd w:val="0"/>
              <w:snapToGrid w:val="0"/>
              <w:spacing w:line="360" w:lineRule="auto"/>
              <w:rPr>
                <w:rFonts w:ascii="Book Antiqua" w:hAnsi="Book Antiqua" w:cstheme="majorHAnsi"/>
                <w:sz w:val="24"/>
                <w:szCs w:val="24"/>
              </w:rPr>
            </w:pPr>
          </w:p>
        </w:tc>
      </w:tr>
      <w:tr w:rsidR="0001331E" w:rsidRPr="00772AC6" w:rsidTr="00E114A3">
        <w:tc>
          <w:tcPr>
            <w:tcW w:w="817" w:type="dxa"/>
            <w:tcBorders>
              <w:top w:val="single" w:sz="4" w:space="0" w:color="auto"/>
              <w:bottom w:val="nil"/>
            </w:tcBorders>
          </w:tcPr>
          <w:p w:rsidR="00527B23"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27B23" w:rsidRPr="00772AC6">
              <w:rPr>
                <w:rFonts w:ascii="Book Antiqua" w:hAnsi="Book Antiqua" w:cstheme="majorHAnsi"/>
                <w:sz w:val="24"/>
                <w:szCs w:val="24"/>
              </w:rPr>
              <w:t>F1</w:t>
            </w:r>
          </w:p>
        </w:tc>
        <w:tc>
          <w:tcPr>
            <w:tcW w:w="141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1.03</w:t>
            </w:r>
          </w:p>
        </w:tc>
        <w:tc>
          <w:tcPr>
            <w:tcW w:w="1275"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0.76</w:t>
            </w:r>
          </w:p>
        </w:tc>
        <w:tc>
          <w:tcPr>
            <w:tcW w:w="2127"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53</w:t>
            </w:r>
          </w:p>
        </w:tc>
        <w:tc>
          <w:tcPr>
            <w:tcW w:w="1842"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95</w:t>
            </w:r>
          </w:p>
        </w:tc>
        <w:tc>
          <w:tcPr>
            <w:tcW w:w="226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98</w:t>
            </w:r>
          </w:p>
        </w:tc>
        <w:tc>
          <w:tcPr>
            <w:tcW w:w="1418"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31</w:t>
            </w:r>
          </w:p>
        </w:tc>
        <w:tc>
          <w:tcPr>
            <w:tcW w:w="1843" w:type="dxa"/>
            <w:tcBorders>
              <w:top w:val="single" w:sz="4" w:space="0" w:color="auto"/>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60</w:t>
            </w:r>
          </w:p>
        </w:tc>
      </w:tr>
      <w:tr w:rsidR="0001331E" w:rsidRPr="00772AC6" w:rsidTr="00E114A3">
        <w:tc>
          <w:tcPr>
            <w:tcW w:w="817" w:type="dxa"/>
            <w:tcBorders>
              <w:top w:val="nil"/>
              <w:bottom w:val="nil"/>
            </w:tcBorders>
          </w:tcPr>
          <w:p w:rsidR="00527B23"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27B23" w:rsidRPr="00772AC6">
              <w:rPr>
                <w:rFonts w:ascii="Book Antiqua" w:hAnsi="Book Antiqua" w:cstheme="majorHAnsi"/>
                <w:sz w:val="24"/>
                <w:szCs w:val="24"/>
              </w:rPr>
              <w:t>F2</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1.19</w:t>
            </w:r>
          </w:p>
        </w:tc>
        <w:tc>
          <w:tcPr>
            <w:tcW w:w="1275"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0.80</w:t>
            </w:r>
          </w:p>
        </w:tc>
        <w:tc>
          <w:tcPr>
            <w:tcW w:w="2127"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66</w:t>
            </w:r>
          </w:p>
        </w:tc>
        <w:tc>
          <w:tcPr>
            <w:tcW w:w="1842"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w:t>
            </w:r>
          </w:p>
        </w:tc>
        <w:tc>
          <w:tcPr>
            <w:tcW w:w="226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81</w:t>
            </w:r>
          </w:p>
        </w:tc>
        <w:tc>
          <w:tcPr>
            <w:tcW w:w="1843"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81</w:t>
            </w:r>
          </w:p>
        </w:tc>
      </w:tr>
      <w:tr w:rsidR="0001331E" w:rsidRPr="00772AC6" w:rsidTr="00E114A3">
        <w:tc>
          <w:tcPr>
            <w:tcW w:w="817" w:type="dxa"/>
            <w:tcBorders>
              <w:top w:val="nil"/>
              <w:bottom w:val="nil"/>
            </w:tcBorders>
          </w:tcPr>
          <w:p w:rsidR="00527B23" w:rsidRPr="00772AC6" w:rsidRDefault="00E20C21" w:rsidP="00E114A3">
            <w:pPr>
              <w:adjustRightInd w:val="0"/>
              <w:snapToGrid w:val="0"/>
              <w:spacing w:line="360" w:lineRule="auto"/>
              <w:jc w:val="left"/>
              <w:rPr>
                <w:rFonts w:ascii="Book Antiqua" w:hAnsi="Book Antiqua" w:cstheme="majorHAnsi"/>
                <w:sz w:val="24"/>
                <w:szCs w:val="24"/>
              </w:rPr>
            </w:pPr>
            <w:r w:rsidRPr="00772AC6">
              <w:rPr>
                <w:rFonts w:ascii="Book Antiqua" w:eastAsia="SimSun" w:hAnsi="Book Antiqua" w:cs="SimSun"/>
                <w:sz w:val="24"/>
                <w:szCs w:val="24"/>
              </w:rPr>
              <w:t xml:space="preserve">≥ </w:t>
            </w:r>
            <w:r w:rsidR="00527B23" w:rsidRPr="00772AC6">
              <w:rPr>
                <w:rFonts w:ascii="Book Antiqua" w:hAnsi="Book Antiqua" w:cstheme="majorHAnsi"/>
                <w:sz w:val="24"/>
                <w:szCs w:val="24"/>
              </w:rPr>
              <w:t>F3</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1.19</w:t>
            </w:r>
          </w:p>
        </w:tc>
        <w:tc>
          <w:tcPr>
            <w:tcW w:w="1275"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0.78</w:t>
            </w:r>
          </w:p>
        </w:tc>
        <w:tc>
          <w:tcPr>
            <w:tcW w:w="2127"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73</w:t>
            </w:r>
          </w:p>
        </w:tc>
        <w:tc>
          <w:tcPr>
            <w:tcW w:w="1842"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c>
          <w:tcPr>
            <w:tcW w:w="226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67</w:t>
            </w:r>
          </w:p>
        </w:tc>
        <w:tc>
          <w:tcPr>
            <w:tcW w:w="1418"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89</w:t>
            </w:r>
          </w:p>
        </w:tc>
        <w:tc>
          <w:tcPr>
            <w:tcW w:w="1843" w:type="dxa"/>
            <w:tcBorders>
              <w:top w:val="nil"/>
              <w:bottom w:val="nil"/>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r>
      <w:tr w:rsidR="0001331E" w:rsidRPr="00772AC6" w:rsidTr="00E114A3">
        <w:tc>
          <w:tcPr>
            <w:tcW w:w="817" w:type="dxa"/>
            <w:tcBorders>
              <w:top w:val="nil"/>
              <w:bottom w:val="single" w:sz="4" w:space="0" w:color="auto"/>
            </w:tcBorders>
          </w:tcPr>
          <w:p w:rsidR="00527B23" w:rsidRPr="00772AC6" w:rsidRDefault="00527B23"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F4</w:t>
            </w:r>
          </w:p>
        </w:tc>
        <w:tc>
          <w:tcPr>
            <w:tcW w:w="141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1.20</w:t>
            </w:r>
          </w:p>
        </w:tc>
        <w:tc>
          <w:tcPr>
            <w:tcW w:w="1275"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0.78</w:t>
            </w:r>
          </w:p>
        </w:tc>
        <w:tc>
          <w:tcPr>
            <w:tcW w:w="2127"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c>
          <w:tcPr>
            <w:tcW w:w="1842"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74</w:t>
            </w:r>
          </w:p>
        </w:tc>
        <w:tc>
          <w:tcPr>
            <w:tcW w:w="226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22</w:t>
            </w:r>
          </w:p>
        </w:tc>
        <w:tc>
          <w:tcPr>
            <w:tcW w:w="1418"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97</w:t>
            </w:r>
          </w:p>
        </w:tc>
        <w:tc>
          <w:tcPr>
            <w:tcW w:w="1843" w:type="dxa"/>
            <w:tcBorders>
              <w:top w:val="nil"/>
              <w:bottom w:val="single" w:sz="4" w:space="0" w:color="auto"/>
            </w:tcBorders>
          </w:tcPr>
          <w:p w:rsidR="00527B23" w:rsidRPr="00772AC6" w:rsidRDefault="00527B23" w:rsidP="0001331E">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r>
    </w:tbl>
    <w:p w:rsidR="00237C72" w:rsidRPr="00772AC6" w:rsidRDefault="00237C72"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t>ATX</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E114A3" w:rsidRPr="00772AC6">
        <w:rPr>
          <w:rFonts w:ascii="Book Antiqua" w:hAnsi="Book Antiqua" w:cstheme="majorHAnsi"/>
          <w:sz w:val="24"/>
          <w:szCs w:val="24"/>
        </w:rPr>
        <w:t>A</w:t>
      </w:r>
      <w:r w:rsidRPr="00772AC6">
        <w:rPr>
          <w:rFonts w:ascii="Book Antiqua" w:hAnsi="Book Antiqua" w:cstheme="majorHAnsi"/>
          <w:sz w:val="24"/>
          <w:szCs w:val="24"/>
        </w:rPr>
        <w:t>utotaxin;</w:t>
      </w:r>
      <w:r w:rsidR="000F051A" w:rsidRPr="00772AC6">
        <w:rPr>
          <w:rFonts w:ascii="Book Antiqua" w:hAnsi="Book Antiqua" w:cstheme="majorHAnsi"/>
          <w:sz w:val="24"/>
          <w:szCs w:val="24"/>
        </w:rPr>
        <w:t xml:space="preserve"> AUC</w:t>
      </w:r>
      <w:r w:rsidR="00E114A3" w:rsidRPr="00772AC6">
        <w:rPr>
          <w:rFonts w:ascii="Book Antiqua" w:hAnsi="Book Antiqua" w:cstheme="majorHAnsi"/>
          <w:sz w:val="24"/>
          <w:szCs w:val="24"/>
        </w:rPr>
        <w:t>:</w:t>
      </w:r>
      <w:r w:rsidR="000F051A" w:rsidRPr="00772AC6">
        <w:rPr>
          <w:rFonts w:ascii="Book Antiqua" w:hAnsi="Book Antiqua" w:cstheme="majorHAnsi"/>
          <w:sz w:val="24"/>
          <w:szCs w:val="24"/>
        </w:rPr>
        <w:t xml:space="preserve"> </w:t>
      </w:r>
      <w:r w:rsidR="00E114A3" w:rsidRPr="00772AC6">
        <w:rPr>
          <w:rFonts w:ascii="Book Antiqua" w:hAnsi="Book Antiqua" w:cstheme="majorHAnsi"/>
          <w:sz w:val="24"/>
          <w:szCs w:val="24"/>
        </w:rPr>
        <w:t>A</w:t>
      </w:r>
      <w:r w:rsidR="000F051A" w:rsidRPr="00772AC6">
        <w:rPr>
          <w:rFonts w:ascii="Book Antiqua" w:hAnsi="Book Antiqua" w:cstheme="majorHAnsi"/>
          <w:sz w:val="24"/>
          <w:szCs w:val="24"/>
        </w:rPr>
        <w:t>rea under the receiver operating characteristic curve; PPV</w:t>
      </w:r>
      <w:r w:rsidR="00E114A3" w:rsidRPr="00772AC6">
        <w:rPr>
          <w:rFonts w:ascii="Book Antiqua" w:hAnsi="Book Antiqua" w:cstheme="majorHAnsi"/>
          <w:sz w:val="24"/>
          <w:szCs w:val="24"/>
        </w:rPr>
        <w:t>:</w:t>
      </w:r>
      <w:r w:rsidR="000F051A" w:rsidRPr="00772AC6">
        <w:rPr>
          <w:rFonts w:ascii="Book Antiqua" w:hAnsi="Book Antiqua" w:cstheme="majorHAnsi"/>
          <w:sz w:val="24"/>
          <w:szCs w:val="24"/>
        </w:rPr>
        <w:t xml:space="preserve"> </w:t>
      </w:r>
      <w:r w:rsidR="00E114A3" w:rsidRPr="00772AC6">
        <w:rPr>
          <w:rFonts w:ascii="Book Antiqua" w:hAnsi="Book Antiqua" w:cstheme="majorHAnsi"/>
          <w:sz w:val="24"/>
          <w:szCs w:val="24"/>
        </w:rPr>
        <w:t>P</w:t>
      </w:r>
      <w:r w:rsidR="000F051A" w:rsidRPr="00772AC6">
        <w:rPr>
          <w:rFonts w:ascii="Book Antiqua" w:hAnsi="Book Antiqua" w:cstheme="majorHAnsi"/>
          <w:sz w:val="24"/>
          <w:szCs w:val="24"/>
        </w:rPr>
        <w:t>ositive predictive value; NPV</w:t>
      </w:r>
      <w:r w:rsidR="00E114A3" w:rsidRPr="00772AC6">
        <w:rPr>
          <w:rFonts w:ascii="Book Antiqua" w:hAnsi="Book Antiqua" w:cstheme="majorHAnsi"/>
          <w:sz w:val="24"/>
          <w:szCs w:val="24"/>
        </w:rPr>
        <w:t>:</w:t>
      </w:r>
      <w:r w:rsidR="000F051A" w:rsidRPr="00772AC6">
        <w:rPr>
          <w:rFonts w:ascii="Book Antiqua" w:hAnsi="Book Antiqua" w:cstheme="majorHAnsi"/>
          <w:sz w:val="24"/>
          <w:szCs w:val="24"/>
        </w:rPr>
        <w:t xml:space="preserve"> </w:t>
      </w:r>
      <w:r w:rsidR="00E114A3" w:rsidRPr="00772AC6">
        <w:rPr>
          <w:rFonts w:ascii="Book Antiqua" w:hAnsi="Book Antiqua" w:cstheme="majorHAnsi"/>
          <w:sz w:val="24"/>
          <w:szCs w:val="24"/>
        </w:rPr>
        <w:lastRenderedPageBreak/>
        <w:t>N</w:t>
      </w:r>
      <w:r w:rsidR="000F051A" w:rsidRPr="00772AC6">
        <w:rPr>
          <w:rFonts w:ascii="Book Antiqua" w:hAnsi="Book Antiqua" w:cstheme="majorHAnsi"/>
          <w:sz w:val="24"/>
          <w:szCs w:val="24"/>
        </w:rPr>
        <w:t>egative predictive value</w:t>
      </w:r>
      <w:r w:rsidRPr="00772AC6">
        <w:rPr>
          <w:rFonts w:ascii="Book Antiqua" w:hAnsi="Book Antiqua" w:cstheme="majorHAnsi"/>
          <w:sz w:val="24"/>
          <w:szCs w:val="24"/>
        </w:rPr>
        <w:t>.</w:t>
      </w:r>
    </w:p>
    <w:p w:rsidR="00237C72" w:rsidRPr="00772AC6" w:rsidRDefault="00237C72" w:rsidP="005A4D61">
      <w:pPr>
        <w:widowControl/>
        <w:spacing w:line="360" w:lineRule="auto"/>
        <w:rPr>
          <w:rFonts w:ascii="Book Antiqua" w:hAnsi="Book Antiqua" w:cs="Arial"/>
          <w:bCs/>
          <w:sz w:val="24"/>
          <w:szCs w:val="24"/>
        </w:rPr>
      </w:pPr>
      <w:r w:rsidRPr="00772AC6">
        <w:rPr>
          <w:rFonts w:ascii="Book Antiqua" w:hAnsi="Book Antiqua" w:cs="Arial"/>
          <w:bCs/>
          <w:sz w:val="24"/>
          <w:szCs w:val="24"/>
        </w:rPr>
        <w:br w:type="page"/>
      </w:r>
    </w:p>
    <w:p w:rsidR="007834CE" w:rsidRPr="00772AC6" w:rsidRDefault="00E4456B" w:rsidP="00E114A3">
      <w:pPr>
        <w:rPr>
          <w:rFonts w:ascii="Book Antiqua" w:eastAsia="SimSun" w:hAnsi="Book Antiqua"/>
          <w:sz w:val="24"/>
          <w:szCs w:val="24"/>
          <w:lang w:eastAsia="zh-CN"/>
        </w:rPr>
      </w:pPr>
      <w:r w:rsidRPr="00772AC6">
        <w:rPr>
          <w:rFonts w:ascii="Book Antiqua" w:hAnsi="Book Antiqua" w:cstheme="majorHAnsi"/>
          <w:b/>
          <w:sz w:val="24"/>
          <w:szCs w:val="24"/>
        </w:rPr>
        <w:lastRenderedPageBreak/>
        <w:t>Table 4</w:t>
      </w:r>
      <w:bookmarkStart w:id="38" w:name="_Hlk505755607"/>
      <w:r w:rsidR="00E114A3" w:rsidRPr="00772AC6">
        <w:rPr>
          <w:rFonts w:ascii="Book Antiqua" w:eastAsia="SimSun" w:hAnsi="Book Antiqua" w:cstheme="majorHAnsi"/>
          <w:b/>
          <w:sz w:val="24"/>
          <w:szCs w:val="24"/>
          <w:lang w:eastAsia="zh-CN"/>
        </w:rPr>
        <w:t xml:space="preserve"> </w:t>
      </w:r>
      <w:r w:rsidR="00894E20" w:rsidRPr="00772AC6">
        <w:rPr>
          <w:rFonts w:ascii="Book Antiqua" w:hAnsi="Book Antiqua" w:cstheme="majorHAnsi"/>
          <w:b/>
          <w:sz w:val="24"/>
          <w:szCs w:val="24"/>
        </w:rPr>
        <w:t xml:space="preserve">Diagnostic performance of </w:t>
      </w:r>
      <w:r w:rsidR="00E114A3" w:rsidRPr="00772AC6">
        <w:rPr>
          <w:rFonts w:ascii="Book Antiqua" w:hAnsi="Book Antiqua" w:cstheme="majorHAnsi"/>
          <w:b/>
          <w:sz w:val="24"/>
          <w:szCs w:val="24"/>
        </w:rPr>
        <w:t>autotaxin</w:t>
      </w:r>
      <w:r w:rsidR="00894E20" w:rsidRPr="00772AC6">
        <w:rPr>
          <w:rFonts w:ascii="Book Antiqua" w:hAnsi="Book Antiqua" w:cstheme="majorHAnsi"/>
          <w:b/>
          <w:sz w:val="24"/>
          <w:szCs w:val="24"/>
        </w:rPr>
        <w:t xml:space="preserve"> and </w:t>
      </w:r>
      <w:r w:rsidR="00894E20" w:rsidRPr="00772AC6">
        <w:rPr>
          <w:rFonts w:ascii="Book Antiqua" w:hAnsi="Book Antiqua" w:cs="Arial"/>
          <w:b/>
          <w:sz w:val="24"/>
          <w:szCs w:val="24"/>
        </w:rPr>
        <w:t>conventional fibrosis indicators</w:t>
      </w:r>
      <w:r w:rsidR="00894E20" w:rsidRPr="00772AC6">
        <w:rPr>
          <w:rFonts w:ascii="Book Antiqua" w:hAnsi="Book Antiqua" w:cstheme="majorHAnsi"/>
          <w:b/>
          <w:sz w:val="24"/>
          <w:szCs w:val="24"/>
        </w:rPr>
        <w:t xml:space="preserve"> </w:t>
      </w:r>
      <w:r w:rsidR="00A7288E" w:rsidRPr="00772AC6">
        <w:rPr>
          <w:rFonts w:ascii="Book Antiqua" w:hAnsi="Book Antiqua" w:cstheme="majorHAnsi"/>
          <w:b/>
          <w:sz w:val="24"/>
          <w:szCs w:val="24"/>
        </w:rPr>
        <w:t xml:space="preserve">for </w:t>
      </w:r>
      <w:r w:rsidR="00894E20" w:rsidRPr="00772AC6">
        <w:rPr>
          <w:rFonts w:ascii="Book Antiqua" w:hAnsi="Book Antiqua" w:cstheme="majorHAnsi"/>
          <w:b/>
          <w:sz w:val="24"/>
          <w:szCs w:val="24"/>
        </w:rPr>
        <w:t xml:space="preserve">predicting </w:t>
      </w:r>
      <w:r w:rsidR="00F76ABA" w:rsidRPr="00772AC6">
        <w:rPr>
          <w:rFonts w:ascii="Book Antiqua" w:hAnsi="Book Antiqua" w:cstheme="majorHAnsi"/>
          <w:b/>
          <w:sz w:val="24"/>
          <w:szCs w:val="24"/>
        </w:rPr>
        <w:t>severe</w:t>
      </w:r>
      <w:r w:rsidR="00894E20" w:rsidRPr="00772AC6">
        <w:rPr>
          <w:rFonts w:ascii="Book Antiqua" w:hAnsi="Book Antiqua" w:cstheme="majorHAnsi"/>
          <w:b/>
          <w:sz w:val="24"/>
          <w:szCs w:val="24"/>
        </w:rPr>
        <w:t xml:space="preserve"> fibrosis </w:t>
      </w:r>
      <w:r w:rsidR="008A06B2" w:rsidRPr="00772AC6">
        <w:rPr>
          <w:rFonts w:ascii="Book Antiqua" w:hAnsi="Book Antiqua" w:cstheme="majorHAnsi"/>
          <w:b/>
          <w:sz w:val="24"/>
          <w:szCs w:val="24"/>
        </w:rPr>
        <w:t>(</w:t>
      </w:r>
      <w:r w:rsidR="00E20C21" w:rsidRPr="00772AC6">
        <w:rPr>
          <w:rFonts w:ascii="Book Antiqua" w:eastAsia="SimSun" w:hAnsi="Book Antiqua" w:cs="SimSun"/>
          <w:b/>
          <w:sz w:val="24"/>
          <w:szCs w:val="24"/>
        </w:rPr>
        <w:t xml:space="preserve">≥ </w:t>
      </w:r>
      <w:r w:rsidR="008A06B2" w:rsidRPr="00772AC6">
        <w:rPr>
          <w:rFonts w:ascii="Book Antiqua" w:hAnsi="Book Antiqua" w:cstheme="majorHAnsi"/>
          <w:b/>
          <w:sz w:val="24"/>
          <w:szCs w:val="24"/>
        </w:rPr>
        <w:t>F3</w:t>
      </w:r>
      <w:r w:rsidR="00894E20" w:rsidRPr="00772AC6">
        <w:rPr>
          <w:rFonts w:ascii="Book Antiqua" w:hAnsi="Book Antiqua" w:cstheme="majorHAnsi"/>
          <w:b/>
          <w:sz w:val="24"/>
          <w:szCs w:val="24"/>
        </w:rPr>
        <w:t xml:space="preserve">) in patients with </w:t>
      </w:r>
      <w:r w:rsidR="00E114A3" w:rsidRPr="00772AC6">
        <w:rPr>
          <w:rFonts w:ascii="Book Antiqua" w:hAnsi="Book Antiqua" w:cstheme="majorHAnsi"/>
          <w:b/>
          <w:sz w:val="24"/>
          <w:szCs w:val="24"/>
        </w:rPr>
        <w:t>non-alcoholic fatty liver disease</w:t>
      </w:r>
      <w:bookmarkEnd w:id="38"/>
    </w:p>
    <w:tbl>
      <w:tblPr>
        <w:tblStyle w:val="TableGrid"/>
        <w:tblW w:w="13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851"/>
        <w:gridCol w:w="2693"/>
        <w:gridCol w:w="2410"/>
        <w:gridCol w:w="1842"/>
        <w:gridCol w:w="2127"/>
        <w:gridCol w:w="2268"/>
      </w:tblGrid>
      <w:tr w:rsidR="00F165F1" w:rsidRPr="00772AC6" w:rsidTr="00E114A3">
        <w:tc>
          <w:tcPr>
            <w:tcW w:w="817" w:type="dxa"/>
            <w:vAlign w:val="center"/>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851" w:type="dxa"/>
            <w:vAlign w:val="center"/>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AUC</w:t>
            </w:r>
          </w:p>
        </w:tc>
        <w:tc>
          <w:tcPr>
            <w:tcW w:w="2693" w:type="dxa"/>
            <w:vAlign w:val="center"/>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Sensitivity (%)</w:t>
            </w:r>
          </w:p>
        </w:tc>
        <w:tc>
          <w:tcPr>
            <w:tcW w:w="2410" w:type="dxa"/>
            <w:vAlign w:val="center"/>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Specificity (%)</w:t>
            </w:r>
          </w:p>
        </w:tc>
        <w:tc>
          <w:tcPr>
            <w:tcW w:w="1842" w:type="dxa"/>
            <w:vAlign w:val="center"/>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PPV (%)</w:t>
            </w:r>
          </w:p>
        </w:tc>
        <w:tc>
          <w:tcPr>
            <w:tcW w:w="2127" w:type="dxa"/>
            <w:vAlign w:val="center"/>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NPV (%)</w:t>
            </w:r>
          </w:p>
        </w:tc>
        <w:tc>
          <w:tcPr>
            <w:tcW w:w="2268" w:type="dxa"/>
          </w:tcPr>
          <w:p w:rsidR="00F165F1" w:rsidRPr="00772AC6" w:rsidRDefault="00F165F1" w:rsidP="00E114A3">
            <w:pPr>
              <w:adjustRightInd w:val="0"/>
              <w:snapToGrid w:val="0"/>
              <w:spacing w:line="360" w:lineRule="auto"/>
              <w:jc w:val="center"/>
              <w:rPr>
                <w:rFonts w:ascii="Book Antiqua" w:hAnsi="Book Antiqua" w:cstheme="majorHAnsi"/>
                <w:b/>
                <w:sz w:val="24"/>
                <w:szCs w:val="24"/>
              </w:rPr>
            </w:pPr>
            <w:r w:rsidRPr="00772AC6">
              <w:rPr>
                <w:rFonts w:ascii="Book Antiqua" w:hAnsi="Book Antiqua" w:cstheme="majorHAnsi"/>
                <w:b/>
                <w:sz w:val="24"/>
                <w:szCs w:val="24"/>
              </w:rPr>
              <w:t>Accuracy (%)</w:t>
            </w:r>
          </w:p>
        </w:tc>
      </w:tr>
      <w:tr w:rsidR="00F165F1" w:rsidRPr="00772AC6" w:rsidTr="00E114A3">
        <w:tc>
          <w:tcPr>
            <w:tcW w:w="4361" w:type="dxa"/>
            <w:gridSpan w:val="3"/>
            <w:tcBorders>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All patients</w:t>
            </w:r>
          </w:p>
        </w:tc>
        <w:tc>
          <w:tcPr>
            <w:tcW w:w="2410" w:type="dxa"/>
            <w:tcBorders>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1842" w:type="dxa"/>
            <w:tcBorders>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127" w:type="dxa"/>
            <w:tcBorders>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268" w:type="dxa"/>
            <w:tcBorders>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ATX</w:t>
            </w:r>
          </w:p>
        </w:tc>
        <w:tc>
          <w:tcPr>
            <w:tcW w:w="851"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0.75</w:t>
            </w:r>
          </w:p>
        </w:tc>
        <w:tc>
          <w:tcPr>
            <w:tcW w:w="2693"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51</w:t>
            </w:r>
          </w:p>
        </w:tc>
        <w:tc>
          <w:tcPr>
            <w:tcW w:w="2410"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w:t>
            </w:r>
          </w:p>
        </w:tc>
        <w:tc>
          <w:tcPr>
            <w:tcW w:w="1842"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2127"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c>
          <w:tcPr>
            <w:tcW w:w="2268" w:type="dxa"/>
            <w:tcBorders>
              <w:top w:val="nil"/>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HA</w:t>
            </w:r>
          </w:p>
        </w:tc>
        <w:tc>
          <w:tcPr>
            <w:tcW w:w="851"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0.82</w:t>
            </w:r>
          </w:p>
        </w:tc>
        <w:tc>
          <w:tcPr>
            <w:tcW w:w="2693"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93</w:t>
            </w:r>
          </w:p>
        </w:tc>
        <w:tc>
          <w:tcPr>
            <w:tcW w:w="2410"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1842"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44</w:t>
            </w:r>
          </w:p>
        </w:tc>
        <w:tc>
          <w:tcPr>
            <w:tcW w:w="2127"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96</w:t>
            </w:r>
          </w:p>
        </w:tc>
        <w:tc>
          <w:tcPr>
            <w:tcW w:w="2268"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70</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4C7S</w:t>
            </w:r>
          </w:p>
        </w:tc>
        <w:tc>
          <w:tcPr>
            <w:tcW w:w="851" w:type="dxa"/>
            <w:tcBorders>
              <w:top w:val="nil"/>
              <w:bottom w:val="nil"/>
            </w:tcBorders>
          </w:tcPr>
          <w:p w:rsidR="00F165F1" w:rsidRPr="00772AC6" w:rsidRDefault="005C75B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0.87</w:t>
            </w:r>
          </w:p>
        </w:tc>
        <w:tc>
          <w:tcPr>
            <w:tcW w:w="2693" w:type="dxa"/>
            <w:tcBorders>
              <w:top w:val="nil"/>
              <w:bottom w:val="nil"/>
            </w:tcBorders>
          </w:tcPr>
          <w:p w:rsidR="00F165F1" w:rsidRPr="00772AC6" w:rsidRDefault="009C4C6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c>
          <w:tcPr>
            <w:tcW w:w="2410" w:type="dxa"/>
            <w:tcBorders>
              <w:top w:val="nil"/>
              <w:bottom w:val="nil"/>
            </w:tcBorders>
          </w:tcPr>
          <w:p w:rsidR="00F165F1" w:rsidRPr="00772AC6" w:rsidRDefault="009C4C6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88</w:t>
            </w:r>
          </w:p>
        </w:tc>
        <w:tc>
          <w:tcPr>
            <w:tcW w:w="1842" w:type="dxa"/>
            <w:tcBorders>
              <w:top w:val="nil"/>
              <w:bottom w:val="nil"/>
            </w:tcBorders>
          </w:tcPr>
          <w:p w:rsidR="00F165F1" w:rsidRPr="00772AC6" w:rsidRDefault="009C4C6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64</w:t>
            </w:r>
          </w:p>
        </w:tc>
        <w:tc>
          <w:tcPr>
            <w:tcW w:w="2127" w:type="dxa"/>
            <w:tcBorders>
              <w:top w:val="nil"/>
              <w:bottom w:val="nil"/>
            </w:tcBorders>
          </w:tcPr>
          <w:p w:rsidR="00F165F1" w:rsidRPr="00772AC6" w:rsidRDefault="009C4C6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2268" w:type="dxa"/>
            <w:tcBorders>
              <w:top w:val="nil"/>
              <w:bottom w:val="nil"/>
            </w:tcBorders>
          </w:tcPr>
          <w:p w:rsidR="00F165F1" w:rsidRPr="00772AC6" w:rsidRDefault="009C4C6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85</w:t>
            </w:r>
          </w:p>
        </w:tc>
      </w:tr>
      <w:tr w:rsidR="00B2192F" w:rsidRPr="00772AC6" w:rsidTr="00E114A3">
        <w:trPr>
          <w:trHeight w:val="83"/>
        </w:trPr>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APRI</w:t>
            </w:r>
          </w:p>
        </w:tc>
        <w:tc>
          <w:tcPr>
            <w:tcW w:w="851"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0.82</w:t>
            </w:r>
          </w:p>
        </w:tc>
        <w:tc>
          <w:tcPr>
            <w:tcW w:w="2693"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60</w:t>
            </w:r>
          </w:p>
        </w:tc>
        <w:tc>
          <w:tcPr>
            <w:tcW w:w="2410"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89</w:t>
            </w:r>
          </w:p>
        </w:tc>
        <w:tc>
          <w:tcPr>
            <w:tcW w:w="1842"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62</w:t>
            </w:r>
          </w:p>
        </w:tc>
        <w:tc>
          <w:tcPr>
            <w:tcW w:w="2127"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88</w:t>
            </w:r>
          </w:p>
        </w:tc>
        <w:tc>
          <w:tcPr>
            <w:tcW w:w="2268" w:type="dxa"/>
            <w:tcBorders>
              <w:top w:val="nil"/>
              <w:bottom w:val="nil"/>
            </w:tcBorders>
          </w:tcPr>
          <w:p w:rsidR="00F165F1" w:rsidRPr="00772AC6" w:rsidRDefault="003D1380"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r>
      <w:tr w:rsidR="00F165F1" w:rsidRPr="00772AC6" w:rsidTr="00E114A3">
        <w:tc>
          <w:tcPr>
            <w:tcW w:w="817" w:type="dxa"/>
            <w:tcBorders>
              <w:top w:val="nil"/>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FIB-4</w:t>
            </w:r>
          </w:p>
        </w:tc>
        <w:tc>
          <w:tcPr>
            <w:tcW w:w="851"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0.85</w:t>
            </w:r>
          </w:p>
        </w:tc>
        <w:tc>
          <w:tcPr>
            <w:tcW w:w="2693"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79</w:t>
            </w:r>
          </w:p>
        </w:tc>
        <w:tc>
          <w:tcPr>
            <w:tcW w:w="2410"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74</w:t>
            </w:r>
          </w:p>
        </w:tc>
        <w:tc>
          <w:tcPr>
            <w:tcW w:w="1842"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48</w:t>
            </w:r>
          </w:p>
        </w:tc>
        <w:tc>
          <w:tcPr>
            <w:tcW w:w="2127"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2268" w:type="dxa"/>
            <w:tcBorders>
              <w:top w:val="nil"/>
              <w:bottom w:val="single" w:sz="4" w:space="0" w:color="auto"/>
            </w:tcBorders>
          </w:tcPr>
          <w:p w:rsidR="00F165F1" w:rsidRPr="00772AC6" w:rsidRDefault="00F43AD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r>
      <w:tr w:rsidR="00F165F1" w:rsidRPr="00772AC6" w:rsidTr="00E114A3">
        <w:tc>
          <w:tcPr>
            <w:tcW w:w="817" w:type="dxa"/>
            <w:tcBorders>
              <w:top w:val="single" w:sz="4" w:space="0" w:color="auto"/>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Male</w:t>
            </w:r>
          </w:p>
        </w:tc>
        <w:tc>
          <w:tcPr>
            <w:tcW w:w="851"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693"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410"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1842"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127"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268"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r>
      <w:tr w:rsidR="00F165F1" w:rsidRPr="00772AC6" w:rsidTr="00E114A3">
        <w:tc>
          <w:tcPr>
            <w:tcW w:w="817" w:type="dxa"/>
            <w:tcBorders>
              <w:top w:val="single" w:sz="4" w:space="0" w:color="auto"/>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ATX</w:t>
            </w:r>
          </w:p>
        </w:tc>
        <w:tc>
          <w:tcPr>
            <w:tcW w:w="851"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0.74</w:t>
            </w:r>
          </w:p>
        </w:tc>
        <w:tc>
          <w:tcPr>
            <w:tcW w:w="2693"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62</w:t>
            </w:r>
          </w:p>
        </w:tc>
        <w:tc>
          <w:tcPr>
            <w:tcW w:w="2410"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c>
          <w:tcPr>
            <w:tcW w:w="1842"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40</w:t>
            </w:r>
          </w:p>
        </w:tc>
        <w:tc>
          <w:tcPr>
            <w:tcW w:w="2127"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2268"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79</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HA</w:t>
            </w:r>
          </w:p>
        </w:tc>
        <w:tc>
          <w:tcPr>
            <w:tcW w:w="851" w:type="dxa"/>
            <w:tcBorders>
              <w:top w:val="nil"/>
              <w:bottom w:val="nil"/>
            </w:tcBorders>
          </w:tcPr>
          <w:p w:rsidR="00F165F1" w:rsidRPr="00772AC6" w:rsidRDefault="00C671F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0.76</w:t>
            </w:r>
          </w:p>
        </w:tc>
        <w:tc>
          <w:tcPr>
            <w:tcW w:w="2693" w:type="dxa"/>
            <w:tcBorders>
              <w:top w:val="nil"/>
              <w:bottom w:val="nil"/>
            </w:tcBorders>
          </w:tcPr>
          <w:p w:rsidR="00F165F1" w:rsidRPr="00772AC6" w:rsidRDefault="00C671F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85</w:t>
            </w:r>
          </w:p>
        </w:tc>
        <w:tc>
          <w:tcPr>
            <w:tcW w:w="2410" w:type="dxa"/>
            <w:tcBorders>
              <w:top w:val="nil"/>
              <w:bottom w:val="nil"/>
            </w:tcBorders>
          </w:tcPr>
          <w:p w:rsidR="00F165F1" w:rsidRPr="00772AC6" w:rsidRDefault="00C671F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72</w:t>
            </w:r>
          </w:p>
        </w:tc>
        <w:tc>
          <w:tcPr>
            <w:tcW w:w="1842" w:type="dxa"/>
            <w:tcBorders>
              <w:top w:val="nil"/>
              <w:bottom w:val="nil"/>
            </w:tcBorders>
          </w:tcPr>
          <w:p w:rsidR="00F165F1" w:rsidRPr="00772AC6" w:rsidRDefault="004746A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41</w:t>
            </w:r>
          </w:p>
        </w:tc>
        <w:tc>
          <w:tcPr>
            <w:tcW w:w="2127" w:type="dxa"/>
            <w:tcBorders>
              <w:top w:val="nil"/>
              <w:bottom w:val="nil"/>
            </w:tcBorders>
          </w:tcPr>
          <w:p w:rsidR="00F165F1" w:rsidRPr="00772AC6" w:rsidRDefault="004746A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95</w:t>
            </w:r>
          </w:p>
        </w:tc>
        <w:tc>
          <w:tcPr>
            <w:tcW w:w="2268" w:type="dxa"/>
            <w:tcBorders>
              <w:top w:val="nil"/>
              <w:bottom w:val="nil"/>
            </w:tcBorders>
          </w:tcPr>
          <w:p w:rsidR="00F165F1" w:rsidRPr="00772AC6" w:rsidRDefault="004746A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4C7S</w:t>
            </w:r>
          </w:p>
        </w:tc>
        <w:tc>
          <w:tcPr>
            <w:tcW w:w="851" w:type="dxa"/>
            <w:tcBorders>
              <w:top w:val="nil"/>
              <w:bottom w:val="nil"/>
            </w:tcBorders>
          </w:tcPr>
          <w:p w:rsidR="00F165F1" w:rsidRPr="00772AC6" w:rsidRDefault="002E301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0.81</w:t>
            </w:r>
          </w:p>
        </w:tc>
        <w:tc>
          <w:tcPr>
            <w:tcW w:w="2693" w:type="dxa"/>
            <w:tcBorders>
              <w:top w:val="nil"/>
              <w:bottom w:val="nil"/>
            </w:tcBorders>
          </w:tcPr>
          <w:p w:rsidR="00F165F1" w:rsidRPr="00772AC6" w:rsidRDefault="002E301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69</w:t>
            </w:r>
          </w:p>
        </w:tc>
        <w:tc>
          <w:tcPr>
            <w:tcW w:w="2410" w:type="dxa"/>
            <w:tcBorders>
              <w:top w:val="nil"/>
              <w:bottom w:val="nil"/>
            </w:tcBorders>
          </w:tcPr>
          <w:p w:rsidR="00F165F1" w:rsidRPr="00772AC6" w:rsidRDefault="002E301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89</w:t>
            </w:r>
          </w:p>
        </w:tc>
        <w:tc>
          <w:tcPr>
            <w:tcW w:w="1842" w:type="dxa"/>
            <w:tcBorders>
              <w:top w:val="nil"/>
              <w:bottom w:val="nil"/>
            </w:tcBorders>
          </w:tcPr>
          <w:p w:rsidR="00F165F1" w:rsidRPr="00772AC6" w:rsidRDefault="0007206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56</w:t>
            </w:r>
          </w:p>
        </w:tc>
        <w:tc>
          <w:tcPr>
            <w:tcW w:w="2127" w:type="dxa"/>
            <w:tcBorders>
              <w:top w:val="nil"/>
              <w:bottom w:val="nil"/>
            </w:tcBorders>
          </w:tcPr>
          <w:p w:rsidR="00F165F1" w:rsidRPr="00772AC6" w:rsidRDefault="0007206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94</w:t>
            </w:r>
          </w:p>
        </w:tc>
        <w:tc>
          <w:tcPr>
            <w:tcW w:w="2268" w:type="dxa"/>
            <w:tcBorders>
              <w:top w:val="nil"/>
              <w:bottom w:val="nil"/>
            </w:tcBorders>
          </w:tcPr>
          <w:p w:rsidR="00F165F1" w:rsidRPr="00772AC6" w:rsidRDefault="00072062"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APRI</w:t>
            </w:r>
          </w:p>
        </w:tc>
        <w:tc>
          <w:tcPr>
            <w:tcW w:w="851"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0.74</w:t>
            </w:r>
          </w:p>
        </w:tc>
        <w:tc>
          <w:tcPr>
            <w:tcW w:w="2693"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77</w:t>
            </w:r>
          </w:p>
        </w:tc>
        <w:tc>
          <w:tcPr>
            <w:tcW w:w="2410"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64</w:t>
            </w:r>
          </w:p>
        </w:tc>
        <w:tc>
          <w:tcPr>
            <w:tcW w:w="1842"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29</w:t>
            </w:r>
          </w:p>
        </w:tc>
        <w:tc>
          <w:tcPr>
            <w:tcW w:w="2127"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93</w:t>
            </w:r>
          </w:p>
        </w:tc>
        <w:tc>
          <w:tcPr>
            <w:tcW w:w="2268" w:type="dxa"/>
            <w:tcBorders>
              <w:top w:val="nil"/>
              <w:bottom w:val="nil"/>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66</w:t>
            </w:r>
          </w:p>
        </w:tc>
      </w:tr>
      <w:tr w:rsidR="00F165F1" w:rsidRPr="00772AC6" w:rsidTr="00E114A3">
        <w:tc>
          <w:tcPr>
            <w:tcW w:w="817" w:type="dxa"/>
            <w:tcBorders>
              <w:top w:val="nil"/>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FIB-4</w:t>
            </w:r>
          </w:p>
        </w:tc>
        <w:tc>
          <w:tcPr>
            <w:tcW w:w="851"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0.81</w:t>
            </w:r>
          </w:p>
        </w:tc>
        <w:tc>
          <w:tcPr>
            <w:tcW w:w="2693"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2410"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c>
          <w:tcPr>
            <w:tcW w:w="1842"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41</w:t>
            </w:r>
          </w:p>
        </w:tc>
        <w:tc>
          <w:tcPr>
            <w:tcW w:w="2127"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98</w:t>
            </w:r>
          </w:p>
        </w:tc>
        <w:tc>
          <w:tcPr>
            <w:tcW w:w="2268" w:type="dxa"/>
            <w:tcBorders>
              <w:top w:val="nil"/>
              <w:bottom w:val="single" w:sz="4" w:space="0" w:color="auto"/>
            </w:tcBorders>
          </w:tcPr>
          <w:p w:rsidR="00F165F1" w:rsidRPr="00772AC6" w:rsidRDefault="00D3316D"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r>
      <w:tr w:rsidR="00F165F1" w:rsidRPr="00772AC6" w:rsidTr="00E114A3">
        <w:tc>
          <w:tcPr>
            <w:tcW w:w="1668" w:type="dxa"/>
            <w:gridSpan w:val="2"/>
            <w:tcBorders>
              <w:top w:val="single" w:sz="4" w:space="0" w:color="auto"/>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Female</w:t>
            </w:r>
          </w:p>
        </w:tc>
        <w:tc>
          <w:tcPr>
            <w:tcW w:w="2693"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410"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1842"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127"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c>
          <w:tcPr>
            <w:tcW w:w="2268" w:type="dxa"/>
            <w:tcBorders>
              <w:top w:val="single" w:sz="4" w:space="0" w:color="auto"/>
              <w:bottom w:val="single" w:sz="4" w:space="0" w:color="auto"/>
            </w:tcBorders>
          </w:tcPr>
          <w:p w:rsidR="00F165F1" w:rsidRPr="00772AC6" w:rsidRDefault="00F165F1" w:rsidP="005A4D61">
            <w:pPr>
              <w:adjustRightInd w:val="0"/>
              <w:snapToGrid w:val="0"/>
              <w:spacing w:line="360" w:lineRule="auto"/>
              <w:rPr>
                <w:rFonts w:ascii="Book Antiqua" w:hAnsi="Book Antiqua" w:cstheme="majorHAnsi"/>
                <w:sz w:val="24"/>
                <w:szCs w:val="24"/>
              </w:rPr>
            </w:pPr>
          </w:p>
        </w:tc>
      </w:tr>
      <w:tr w:rsidR="00F165F1" w:rsidRPr="00772AC6" w:rsidTr="00E114A3">
        <w:tc>
          <w:tcPr>
            <w:tcW w:w="817" w:type="dxa"/>
            <w:tcBorders>
              <w:top w:val="single" w:sz="4" w:space="0" w:color="auto"/>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ATX</w:t>
            </w:r>
          </w:p>
        </w:tc>
        <w:tc>
          <w:tcPr>
            <w:tcW w:w="851"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0.78</w:t>
            </w:r>
          </w:p>
        </w:tc>
        <w:tc>
          <w:tcPr>
            <w:tcW w:w="2693"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73</w:t>
            </w:r>
          </w:p>
        </w:tc>
        <w:tc>
          <w:tcPr>
            <w:tcW w:w="2410"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c>
          <w:tcPr>
            <w:tcW w:w="1842"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67</w:t>
            </w:r>
          </w:p>
        </w:tc>
        <w:tc>
          <w:tcPr>
            <w:tcW w:w="2127"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89</w:t>
            </w:r>
          </w:p>
        </w:tc>
        <w:tc>
          <w:tcPr>
            <w:tcW w:w="2268" w:type="dxa"/>
            <w:tcBorders>
              <w:top w:val="single" w:sz="4" w:space="0" w:color="auto"/>
              <w:bottom w:val="nil"/>
            </w:tcBorders>
          </w:tcPr>
          <w:p w:rsidR="00F165F1" w:rsidRPr="00772AC6" w:rsidRDefault="00F165F1"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82</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HA</w:t>
            </w:r>
          </w:p>
        </w:tc>
        <w:tc>
          <w:tcPr>
            <w:tcW w:w="851"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0.86</w:t>
            </w:r>
          </w:p>
        </w:tc>
        <w:tc>
          <w:tcPr>
            <w:tcW w:w="2693"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c>
          <w:tcPr>
            <w:tcW w:w="2410"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c>
          <w:tcPr>
            <w:tcW w:w="1842"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68</w:t>
            </w:r>
          </w:p>
        </w:tc>
        <w:tc>
          <w:tcPr>
            <w:tcW w:w="2127"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91</w:t>
            </w:r>
          </w:p>
        </w:tc>
        <w:tc>
          <w:tcPr>
            <w:tcW w:w="2268" w:type="dxa"/>
            <w:tcBorders>
              <w:top w:val="nil"/>
              <w:bottom w:val="nil"/>
            </w:tcBorders>
          </w:tcPr>
          <w:p w:rsidR="00F165F1" w:rsidRPr="00772AC6" w:rsidRDefault="006F19F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83</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4C7S</w:t>
            </w:r>
          </w:p>
        </w:tc>
        <w:tc>
          <w:tcPr>
            <w:tcW w:w="851"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0.89</w:t>
            </w:r>
          </w:p>
        </w:tc>
        <w:tc>
          <w:tcPr>
            <w:tcW w:w="2693"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78</w:t>
            </w:r>
          </w:p>
        </w:tc>
        <w:tc>
          <w:tcPr>
            <w:tcW w:w="2410"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90</w:t>
            </w:r>
          </w:p>
        </w:tc>
        <w:tc>
          <w:tcPr>
            <w:tcW w:w="1842"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c>
          <w:tcPr>
            <w:tcW w:w="2127"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92</w:t>
            </w:r>
          </w:p>
        </w:tc>
        <w:tc>
          <w:tcPr>
            <w:tcW w:w="2268" w:type="dxa"/>
            <w:tcBorders>
              <w:top w:val="nil"/>
              <w:bottom w:val="nil"/>
            </w:tcBorders>
          </w:tcPr>
          <w:p w:rsidR="00F165F1" w:rsidRPr="00772AC6" w:rsidRDefault="00A34BCC"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87</w:t>
            </w:r>
          </w:p>
        </w:tc>
      </w:tr>
      <w:tr w:rsidR="00F165F1" w:rsidRPr="00772AC6" w:rsidTr="00E114A3">
        <w:tc>
          <w:tcPr>
            <w:tcW w:w="817" w:type="dxa"/>
            <w:tcBorders>
              <w:top w:val="nil"/>
              <w:bottom w:val="nil"/>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lastRenderedPageBreak/>
              <w:t>APRI</w:t>
            </w:r>
          </w:p>
        </w:tc>
        <w:tc>
          <w:tcPr>
            <w:tcW w:w="851"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0.86</w:t>
            </w:r>
          </w:p>
        </w:tc>
        <w:tc>
          <w:tcPr>
            <w:tcW w:w="2693"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63</w:t>
            </w:r>
          </w:p>
        </w:tc>
        <w:tc>
          <w:tcPr>
            <w:tcW w:w="2410"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95</w:t>
            </w:r>
          </w:p>
        </w:tc>
        <w:tc>
          <w:tcPr>
            <w:tcW w:w="1842"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83</w:t>
            </w:r>
          </w:p>
        </w:tc>
        <w:tc>
          <w:tcPr>
            <w:tcW w:w="2127"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87</w:t>
            </w:r>
          </w:p>
        </w:tc>
        <w:tc>
          <w:tcPr>
            <w:tcW w:w="2268" w:type="dxa"/>
            <w:tcBorders>
              <w:top w:val="nil"/>
              <w:bottom w:val="nil"/>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86</w:t>
            </w:r>
          </w:p>
        </w:tc>
      </w:tr>
      <w:tr w:rsidR="00F165F1" w:rsidRPr="00772AC6" w:rsidTr="00E114A3">
        <w:tc>
          <w:tcPr>
            <w:tcW w:w="817" w:type="dxa"/>
            <w:tcBorders>
              <w:top w:val="nil"/>
              <w:bottom w:val="single" w:sz="4" w:space="0" w:color="auto"/>
            </w:tcBorders>
          </w:tcPr>
          <w:p w:rsidR="00F165F1" w:rsidRPr="00772AC6" w:rsidRDefault="00F165F1" w:rsidP="00E114A3">
            <w:pPr>
              <w:adjustRightInd w:val="0"/>
              <w:snapToGrid w:val="0"/>
              <w:spacing w:line="360" w:lineRule="auto"/>
              <w:jc w:val="left"/>
              <w:rPr>
                <w:rFonts w:ascii="Book Antiqua" w:hAnsi="Book Antiqua" w:cstheme="majorHAnsi"/>
                <w:sz w:val="24"/>
                <w:szCs w:val="24"/>
              </w:rPr>
            </w:pPr>
            <w:r w:rsidRPr="00772AC6">
              <w:rPr>
                <w:rFonts w:ascii="Book Antiqua" w:hAnsi="Book Antiqua" w:cstheme="majorHAnsi"/>
                <w:sz w:val="24"/>
                <w:szCs w:val="24"/>
              </w:rPr>
              <w:t>FIB-4</w:t>
            </w:r>
          </w:p>
        </w:tc>
        <w:tc>
          <w:tcPr>
            <w:tcW w:w="851" w:type="dxa"/>
            <w:tcBorders>
              <w:top w:val="nil"/>
              <w:bottom w:val="single" w:sz="4" w:space="0" w:color="auto"/>
            </w:tcBorders>
          </w:tcPr>
          <w:p w:rsidR="00F165F1" w:rsidRPr="00772AC6" w:rsidRDefault="00D03785"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0.85</w:t>
            </w:r>
          </w:p>
        </w:tc>
        <w:tc>
          <w:tcPr>
            <w:tcW w:w="2693" w:type="dxa"/>
            <w:tcBorders>
              <w:top w:val="nil"/>
              <w:bottom w:val="single" w:sz="4" w:space="0" w:color="auto"/>
            </w:tcBorders>
          </w:tcPr>
          <w:p w:rsidR="00F165F1" w:rsidRPr="00772AC6" w:rsidRDefault="007A095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80</w:t>
            </w:r>
          </w:p>
        </w:tc>
        <w:tc>
          <w:tcPr>
            <w:tcW w:w="2410" w:type="dxa"/>
            <w:tcBorders>
              <w:top w:val="nil"/>
              <w:bottom w:val="single" w:sz="4" w:space="0" w:color="auto"/>
            </w:tcBorders>
          </w:tcPr>
          <w:p w:rsidR="00F165F1" w:rsidRPr="00772AC6" w:rsidRDefault="007A095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75</w:t>
            </w:r>
          </w:p>
        </w:tc>
        <w:tc>
          <w:tcPr>
            <w:tcW w:w="1842" w:type="dxa"/>
            <w:tcBorders>
              <w:top w:val="nil"/>
              <w:bottom w:val="single" w:sz="4" w:space="0" w:color="auto"/>
            </w:tcBorders>
          </w:tcPr>
          <w:p w:rsidR="00F165F1" w:rsidRPr="00772AC6" w:rsidRDefault="007A095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56</w:t>
            </w:r>
          </w:p>
        </w:tc>
        <w:tc>
          <w:tcPr>
            <w:tcW w:w="2127" w:type="dxa"/>
            <w:tcBorders>
              <w:top w:val="nil"/>
              <w:bottom w:val="single" w:sz="4" w:space="0" w:color="auto"/>
            </w:tcBorders>
          </w:tcPr>
          <w:p w:rsidR="00F165F1" w:rsidRPr="00772AC6" w:rsidRDefault="007A095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90</w:t>
            </w:r>
          </w:p>
        </w:tc>
        <w:tc>
          <w:tcPr>
            <w:tcW w:w="2268" w:type="dxa"/>
            <w:tcBorders>
              <w:top w:val="nil"/>
              <w:bottom w:val="single" w:sz="4" w:space="0" w:color="auto"/>
            </w:tcBorders>
          </w:tcPr>
          <w:p w:rsidR="00F165F1" w:rsidRPr="00772AC6" w:rsidRDefault="007A095B" w:rsidP="00E114A3">
            <w:pPr>
              <w:adjustRightInd w:val="0"/>
              <w:snapToGrid w:val="0"/>
              <w:spacing w:line="360" w:lineRule="auto"/>
              <w:jc w:val="center"/>
              <w:rPr>
                <w:rFonts w:ascii="Book Antiqua" w:hAnsi="Book Antiqua" w:cstheme="majorHAnsi"/>
                <w:sz w:val="24"/>
                <w:szCs w:val="24"/>
              </w:rPr>
            </w:pPr>
            <w:r w:rsidRPr="00772AC6">
              <w:rPr>
                <w:rFonts w:ascii="Book Antiqua" w:hAnsi="Book Antiqua" w:cstheme="majorHAnsi"/>
                <w:sz w:val="24"/>
                <w:szCs w:val="24"/>
              </w:rPr>
              <w:t>76</w:t>
            </w:r>
          </w:p>
        </w:tc>
      </w:tr>
    </w:tbl>
    <w:p w:rsidR="00E4456B" w:rsidRPr="00772AC6" w:rsidRDefault="00E4456B" w:rsidP="005A4D61">
      <w:pPr>
        <w:adjustRightInd w:val="0"/>
        <w:snapToGrid w:val="0"/>
        <w:spacing w:line="360" w:lineRule="auto"/>
        <w:rPr>
          <w:rFonts w:ascii="Book Antiqua" w:hAnsi="Book Antiqua" w:cstheme="majorHAnsi"/>
          <w:sz w:val="24"/>
          <w:szCs w:val="24"/>
        </w:rPr>
      </w:pPr>
      <w:r w:rsidRPr="00772AC6">
        <w:rPr>
          <w:rFonts w:ascii="Book Antiqua" w:hAnsi="Book Antiqua" w:cstheme="majorHAnsi"/>
          <w:sz w:val="24"/>
          <w:szCs w:val="24"/>
        </w:rPr>
        <w:t>AUC</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E114A3" w:rsidRPr="00772AC6">
        <w:rPr>
          <w:rFonts w:ascii="Book Antiqua" w:hAnsi="Book Antiqua" w:cstheme="majorHAnsi"/>
          <w:sz w:val="24"/>
          <w:szCs w:val="24"/>
        </w:rPr>
        <w:t>A</w:t>
      </w:r>
      <w:r w:rsidRPr="00772AC6">
        <w:rPr>
          <w:rFonts w:ascii="Book Antiqua" w:hAnsi="Book Antiqua" w:cstheme="majorHAnsi"/>
          <w:sz w:val="24"/>
          <w:szCs w:val="24"/>
        </w:rPr>
        <w:t>rea under the receiver operating characteristic curve</w:t>
      </w:r>
      <w:r w:rsidR="00483C96" w:rsidRPr="00772AC6">
        <w:rPr>
          <w:rFonts w:ascii="Book Antiqua" w:hAnsi="Book Antiqua" w:cstheme="majorHAnsi"/>
          <w:sz w:val="24"/>
          <w:szCs w:val="24"/>
        </w:rPr>
        <w:t>; PPV</w:t>
      </w:r>
      <w:r w:rsidR="00E114A3" w:rsidRPr="00772AC6">
        <w:rPr>
          <w:rFonts w:ascii="Book Antiqua" w:hAnsi="Book Antiqua" w:cstheme="majorHAnsi"/>
          <w:sz w:val="24"/>
          <w:szCs w:val="24"/>
        </w:rPr>
        <w:t>:</w:t>
      </w:r>
      <w:r w:rsidR="00483C96" w:rsidRPr="00772AC6">
        <w:rPr>
          <w:rFonts w:ascii="Book Antiqua" w:hAnsi="Book Antiqua" w:cstheme="majorHAnsi"/>
          <w:sz w:val="24"/>
          <w:szCs w:val="24"/>
        </w:rPr>
        <w:t xml:space="preserve"> </w:t>
      </w:r>
      <w:r w:rsidR="00E114A3" w:rsidRPr="00772AC6">
        <w:rPr>
          <w:rFonts w:ascii="Book Antiqua" w:hAnsi="Book Antiqua" w:cstheme="majorHAnsi"/>
          <w:sz w:val="24"/>
          <w:szCs w:val="24"/>
        </w:rPr>
        <w:t>P</w:t>
      </w:r>
      <w:r w:rsidR="00483C96" w:rsidRPr="00772AC6">
        <w:rPr>
          <w:rFonts w:ascii="Book Antiqua" w:hAnsi="Book Antiqua" w:cstheme="majorHAnsi"/>
          <w:sz w:val="24"/>
          <w:szCs w:val="24"/>
        </w:rPr>
        <w:t>ositive predictive value; NPV</w:t>
      </w:r>
      <w:r w:rsidR="00E114A3" w:rsidRPr="00772AC6">
        <w:rPr>
          <w:rFonts w:ascii="Book Antiqua" w:hAnsi="Book Antiqua" w:cstheme="majorHAnsi"/>
          <w:sz w:val="24"/>
          <w:szCs w:val="24"/>
        </w:rPr>
        <w:t>:</w:t>
      </w:r>
      <w:r w:rsidR="00483C96" w:rsidRPr="00772AC6">
        <w:rPr>
          <w:rFonts w:ascii="Book Antiqua" w:hAnsi="Book Antiqua" w:cstheme="majorHAnsi"/>
          <w:sz w:val="24"/>
          <w:szCs w:val="24"/>
        </w:rPr>
        <w:t xml:space="preserve"> </w:t>
      </w:r>
      <w:r w:rsidR="00E114A3" w:rsidRPr="00772AC6">
        <w:rPr>
          <w:rFonts w:ascii="Book Antiqua" w:hAnsi="Book Antiqua" w:cstheme="majorHAnsi"/>
          <w:sz w:val="24"/>
          <w:szCs w:val="24"/>
        </w:rPr>
        <w:t>N</w:t>
      </w:r>
      <w:r w:rsidR="00483C96" w:rsidRPr="00772AC6">
        <w:rPr>
          <w:rFonts w:ascii="Book Antiqua" w:hAnsi="Book Antiqua" w:cstheme="majorHAnsi"/>
          <w:sz w:val="24"/>
          <w:szCs w:val="24"/>
        </w:rPr>
        <w:t>egative predictive value</w:t>
      </w:r>
      <w:r w:rsidRPr="00772AC6">
        <w:rPr>
          <w:rFonts w:ascii="Book Antiqua" w:hAnsi="Book Antiqua" w:cstheme="majorHAnsi"/>
          <w:sz w:val="24"/>
          <w:szCs w:val="24"/>
        </w:rPr>
        <w:t>; ATX</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E114A3" w:rsidRPr="00772AC6">
        <w:rPr>
          <w:rFonts w:ascii="Book Antiqua" w:hAnsi="Book Antiqua" w:cstheme="majorHAnsi"/>
          <w:sz w:val="24"/>
          <w:szCs w:val="24"/>
        </w:rPr>
        <w:t>A</w:t>
      </w:r>
      <w:r w:rsidRPr="00772AC6">
        <w:rPr>
          <w:rFonts w:ascii="Book Antiqua" w:hAnsi="Book Antiqua" w:cstheme="majorHAnsi"/>
          <w:sz w:val="24"/>
          <w:szCs w:val="24"/>
        </w:rPr>
        <w:t>utotaxin; HA</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E114A3" w:rsidRPr="00772AC6">
        <w:rPr>
          <w:rFonts w:ascii="Book Antiqua" w:hAnsi="Book Antiqua" w:cstheme="majorHAnsi"/>
          <w:sz w:val="24"/>
          <w:szCs w:val="24"/>
        </w:rPr>
        <w:t>H</w:t>
      </w:r>
      <w:r w:rsidRPr="00772AC6">
        <w:rPr>
          <w:rFonts w:ascii="Book Antiqua" w:hAnsi="Book Antiqua" w:cstheme="majorHAnsi"/>
          <w:sz w:val="24"/>
          <w:szCs w:val="24"/>
        </w:rPr>
        <w:t>yaluronic acid; 4C7S</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Type 4 collagen</w:t>
      </w:r>
      <w:r w:rsidRPr="00772AC6">
        <w:rPr>
          <w:rFonts w:ascii="Book Antiqua" w:hAnsi="Book Antiqua" w:cstheme="majorHAnsi"/>
          <w:sz w:val="24"/>
          <w:szCs w:val="24"/>
        </w:rPr>
        <w:t>･</w:t>
      </w:r>
      <w:r w:rsidRPr="00772AC6">
        <w:rPr>
          <w:rFonts w:ascii="Book Antiqua" w:hAnsi="Book Antiqua" w:cstheme="majorHAnsi"/>
          <w:sz w:val="24"/>
          <w:szCs w:val="24"/>
        </w:rPr>
        <w:t>7S; APRI</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AST to platelet ratio; FIB-4</w:t>
      </w:r>
      <w:r w:rsidR="00E114A3" w:rsidRPr="00772AC6">
        <w:rPr>
          <w:rFonts w:ascii="Book Antiqua" w:hAnsi="Book Antiqua" w:cstheme="majorHAnsi"/>
          <w:sz w:val="24"/>
          <w:szCs w:val="24"/>
        </w:rPr>
        <w:t>:</w:t>
      </w:r>
      <w:r w:rsidRPr="00772AC6">
        <w:rPr>
          <w:rFonts w:ascii="Book Antiqua" w:hAnsi="Book Antiqua" w:cstheme="majorHAnsi"/>
          <w:sz w:val="24"/>
          <w:szCs w:val="24"/>
        </w:rPr>
        <w:t xml:space="preserve"> </w:t>
      </w:r>
      <w:r w:rsidR="00E114A3" w:rsidRPr="00772AC6">
        <w:rPr>
          <w:rFonts w:ascii="Book Antiqua" w:hAnsi="Book Antiqua" w:cstheme="majorHAnsi"/>
          <w:sz w:val="24"/>
          <w:szCs w:val="24"/>
        </w:rPr>
        <w:t>F</w:t>
      </w:r>
      <w:r w:rsidRPr="00772AC6">
        <w:rPr>
          <w:rFonts w:ascii="Book Antiqua" w:hAnsi="Book Antiqua" w:cstheme="majorHAnsi"/>
          <w:sz w:val="24"/>
          <w:szCs w:val="24"/>
        </w:rPr>
        <w:t>ibrosis-4 index.</w:t>
      </w:r>
    </w:p>
    <w:p w:rsidR="00E4456B" w:rsidRPr="00772AC6" w:rsidRDefault="00E4456B" w:rsidP="005A4D61">
      <w:pPr>
        <w:widowControl/>
        <w:spacing w:line="360" w:lineRule="auto"/>
        <w:rPr>
          <w:rFonts w:ascii="Book Antiqua" w:hAnsi="Book Antiqua" w:cs="Arial"/>
          <w:bCs/>
          <w:sz w:val="24"/>
          <w:szCs w:val="24"/>
        </w:rPr>
      </w:pPr>
      <w:r w:rsidRPr="00772AC6">
        <w:rPr>
          <w:rFonts w:ascii="Book Antiqua" w:hAnsi="Book Antiqua" w:cs="Arial"/>
          <w:bCs/>
          <w:sz w:val="24"/>
          <w:szCs w:val="24"/>
        </w:rPr>
        <w:br w:type="page"/>
      </w:r>
    </w:p>
    <w:p w:rsidR="00E114A3" w:rsidRPr="00772AC6" w:rsidRDefault="00E114A3" w:rsidP="005A4D61">
      <w:pPr>
        <w:adjustRightInd w:val="0"/>
        <w:snapToGrid w:val="0"/>
        <w:spacing w:line="360" w:lineRule="auto"/>
        <w:rPr>
          <w:rFonts w:ascii="Book Antiqua" w:eastAsia="SimSun" w:hAnsi="Book Antiqua" w:cs="Arial"/>
          <w:b/>
          <w:sz w:val="24"/>
          <w:szCs w:val="24"/>
          <w:lang w:eastAsia="zh-CN"/>
        </w:rPr>
      </w:pPr>
      <w:r w:rsidRPr="00772AC6">
        <w:rPr>
          <w:rFonts w:ascii="Book Antiqua" w:hAnsi="Book Antiqua"/>
          <w:noProof/>
          <w:sz w:val="24"/>
          <w:szCs w:val="24"/>
          <w:lang w:eastAsia="zh-CN"/>
        </w:rPr>
        <w:lastRenderedPageBreak/>
        <w:drawing>
          <wp:inline distT="0" distB="0" distL="0" distR="0" wp14:anchorId="4A375457" wp14:editId="47AB7BFA">
            <wp:extent cx="5341620" cy="4006215"/>
            <wp:effectExtent l="0" t="0" r="0" b="0"/>
            <wp:docPr id="3"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5341620" cy="4006215"/>
                    </a:xfrm>
                    <a:prstGeom prst="rect">
                      <a:avLst/>
                    </a:prstGeom>
                  </pic:spPr>
                </pic:pic>
              </a:graphicData>
            </a:graphic>
          </wp:inline>
        </w:drawing>
      </w:r>
    </w:p>
    <w:p w:rsidR="00C7768C" w:rsidRPr="00B2782E" w:rsidRDefault="00C7768C" w:rsidP="005A4D61">
      <w:pPr>
        <w:adjustRightInd w:val="0"/>
        <w:snapToGrid w:val="0"/>
        <w:spacing w:line="360" w:lineRule="auto"/>
        <w:rPr>
          <w:rFonts w:ascii="Book Antiqua" w:eastAsia="SimSun" w:hAnsi="Book Antiqua" w:cs="Arial"/>
          <w:sz w:val="24"/>
          <w:szCs w:val="24"/>
          <w:lang w:eastAsia="zh-CN"/>
        </w:rPr>
      </w:pPr>
      <w:r w:rsidRPr="00772AC6">
        <w:rPr>
          <w:rFonts w:ascii="Book Antiqua" w:hAnsi="Book Antiqua" w:cs="Arial"/>
          <w:b/>
          <w:sz w:val="24"/>
          <w:szCs w:val="24"/>
        </w:rPr>
        <w:t>Figure 1</w:t>
      </w:r>
      <w:r w:rsidR="00E114A3" w:rsidRPr="00772AC6">
        <w:rPr>
          <w:rFonts w:ascii="Book Antiqua" w:eastAsia="SimSun" w:hAnsi="Book Antiqua" w:cs="Arial"/>
          <w:b/>
          <w:sz w:val="24"/>
          <w:szCs w:val="24"/>
          <w:lang w:eastAsia="zh-CN"/>
        </w:rPr>
        <w:t xml:space="preserve"> </w:t>
      </w:r>
      <w:r w:rsidRPr="00772AC6">
        <w:rPr>
          <w:rFonts w:ascii="Book Antiqua" w:hAnsi="Book Antiqua" w:cs="Arial"/>
          <w:b/>
          <w:sz w:val="24"/>
          <w:szCs w:val="24"/>
        </w:rPr>
        <w:t>Comparison of autotaxin</w:t>
      </w:r>
      <w:r w:rsidR="00B2782E">
        <w:rPr>
          <w:rFonts w:ascii="Book Antiqua" w:eastAsia="SimSun" w:hAnsi="Book Antiqua" w:cs="Arial" w:hint="eastAsia"/>
          <w:b/>
          <w:sz w:val="24"/>
          <w:szCs w:val="24"/>
          <w:lang w:eastAsia="zh-CN"/>
        </w:rPr>
        <w:t xml:space="preserve"> </w:t>
      </w:r>
      <w:r w:rsidRPr="00772AC6">
        <w:rPr>
          <w:rFonts w:ascii="Book Antiqua" w:hAnsi="Book Antiqua" w:cs="Arial"/>
          <w:b/>
          <w:sz w:val="24"/>
          <w:szCs w:val="24"/>
        </w:rPr>
        <w:t>levels between controls and all patients with non-alcoholic fatty liver disease (</w:t>
      </w:r>
      <w:r w:rsidR="00C7564B" w:rsidRPr="00772AC6">
        <w:rPr>
          <w:rFonts w:ascii="Book Antiqua" w:eastAsia="SimSun" w:hAnsi="Book Antiqua" w:cs="Arial"/>
          <w:b/>
          <w:sz w:val="24"/>
          <w:szCs w:val="24"/>
          <w:lang w:eastAsia="zh-CN"/>
        </w:rPr>
        <w:t>A</w:t>
      </w:r>
      <w:r w:rsidRPr="00772AC6">
        <w:rPr>
          <w:rFonts w:ascii="Book Antiqua" w:hAnsi="Book Antiqua" w:cs="Arial"/>
          <w:b/>
          <w:sz w:val="24"/>
          <w:szCs w:val="24"/>
        </w:rPr>
        <w:t>) and according to gender (</w:t>
      </w:r>
      <w:r w:rsidR="00C7564B" w:rsidRPr="00772AC6">
        <w:rPr>
          <w:rFonts w:ascii="Book Antiqua" w:eastAsia="SimSun" w:hAnsi="Book Antiqua" w:cs="Arial"/>
          <w:b/>
          <w:sz w:val="24"/>
          <w:szCs w:val="24"/>
          <w:lang w:eastAsia="zh-CN"/>
        </w:rPr>
        <w:t>B</w:t>
      </w:r>
      <w:r w:rsidRPr="00772AC6">
        <w:rPr>
          <w:rFonts w:ascii="Book Antiqua" w:hAnsi="Book Antiqua" w:cs="Arial"/>
          <w:b/>
          <w:sz w:val="24"/>
          <w:szCs w:val="24"/>
        </w:rPr>
        <w:t>)</w:t>
      </w:r>
      <w:r w:rsidRPr="00772AC6">
        <w:rPr>
          <w:rFonts w:ascii="Book Antiqua" w:hAnsi="Book Antiqua" w:cs="Arial"/>
          <w:sz w:val="24"/>
          <w:szCs w:val="24"/>
        </w:rPr>
        <w:t xml:space="preserve">. The box plot shows the interquartile range, 95% confidence interval, and median. The difference between each group was tested with the Mann Whitney </w:t>
      </w:r>
      <w:r w:rsidRPr="00B2782E">
        <w:rPr>
          <w:rFonts w:ascii="Book Antiqua" w:hAnsi="Book Antiqua" w:cs="Arial"/>
          <w:i/>
          <w:sz w:val="24"/>
          <w:szCs w:val="24"/>
        </w:rPr>
        <w:t>U</w:t>
      </w:r>
      <w:r w:rsidRPr="00772AC6">
        <w:rPr>
          <w:rFonts w:ascii="Book Antiqua" w:hAnsi="Book Antiqua" w:cs="Arial"/>
          <w:sz w:val="24"/>
          <w:szCs w:val="24"/>
        </w:rPr>
        <w:t xml:space="preserve"> test.</w:t>
      </w:r>
      <w:r w:rsidR="00C7564B" w:rsidRPr="00772AC6">
        <w:rPr>
          <w:rFonts w:ascii="Book Antiqua" w:hAnsi="Book Antiqua" w:cs="Arial"/>
          <w:i/>
          <w:sz w:val="24"/>
          <w:szCs w:val="24"/>
        </w:rPr>
        <w:t xml:space="preserve"> </w:t>
      </w:r>
      <w:r w:rsidR="00E20C21" w:rsidRPr="00772AC6">
        <w:rPr>
          <w:rFonts w:ascii="Book Antiqua" w:hAnsi="Book Antiqua" w:cs="Arial"/>
          <w:i/>
          <w:sz w:val="24"/>
          <w:szCs w:val="24"/>
        </w:rPr>
        <w:t xml:space="preserve">P </w:t>
      </w:r>
      <w:r w:rsidR="00E114A3" w:rsidRPr="00772AC6">
        <w:rPr>
          <w:rFonts w:ascii="Book Antiqua" w:hAnsi="Book Antiqua" w:cs="Arial"/>
          <w:i/>
          <w:sz w:val="24"/>
          <w:szCs w:val="24"/>
        </w:rPr>
        <w:t>&lt;</w:t>
      </w:r>
      <w:r w:rsidR="00E20C21" w:rsidRPr="00772AC6">
        <w:rPr>
          <w:rFonts w:ascii="Book Antiqua" w:hAnsi="Book Antiqua" w:cs="Arial"/>
          <w:i/>
          <w:sz w:val="24"/>
          <w:szCs w:val="24"/>
        </w:rPr>
        <w:t xml:space="preserve"> </w:t>
      </w:r>
      <w:r w:rsidRPr="00772AC6">
        <w:rPr>
          <w:rFonts w:ascii="Book Antiqua" w:hAnsi="Book Antiqua" w:cs="Arial"/>
          <w:sz w:val="24"/>
          <w:szCs w:val="24"/>
        </w:rPr>
        <w:t>0.001</w:t>
      </w:r>
      <w:r w:rsid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ATX</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Autotaxin</w:t>
      </w:r>
      <w:r w:rsid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NAFLD</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Non-alcoholic fatty liver disease</w:t>
      </w:r>
      <w:r w:rsidR="00B2782E">
        <w:rPr>
          <w:rFonts w:ascii="Book Antiqua" w:eastAsia="SimSun" w:hAnsi="Book Antiqua" w:cs="Arial" w:hint="eastAsia"/>
          <w:sz w:val="24"/>
          <w:szCs w:val="24"/>
          <w:lang w:eastAsia="zh-CN"/>
        </w:rPr>
        <w:t>.</w:t>
      </w:r>
    </w:p>
    <w:p w:rsidR="00C7564B" w:rsidRPr="00772AC6" w:rsidRDefault="00C7564B" w:rsidP="005A4D61">
      <w:pPr>
        <w:adjustRightInd w:val="0"/>
        <w:snapToGrid w:val="0"/>
        <w:spacing w:line="360" w:lineRule="auto"/>
        <w:rPr>
          <w:rFonts w:ascii="Book Antiqua" w:eastAsia="SimSun" w:hAnsi="Book Antiqua" w:cs="Arial"/>
          <w:b/>
          <w:sz w:val="24"/>
          <w:szCs w:val="24"/>
          <w:lang w:eastAsia="zh-CN"/>
        </w:rPr>
      </w:pPr>
      <w:r w:rsidRPr="00772AC6">
        <w:rPr>
          <w:rFonts w:ascii="Book Antiqua" w:hAnsi="Book Antiqua" w:cs="Arial"/>
          <w:bCs/>
          <w:noProof/>
          <w:sz w:val="24"/>
          <w:szCs w:val="24"/>
          <w:lang w:eastAsia="zh-CN"/>
        </w:rPr>
        <w:lastRenderedPageBreak/>
        <w:drawing>
          <wp:inline distT="0" distB="0" distL="0" distR="0" wp14:anchorId="18BFEEA7" wp14:editId="1633456D">
            <wp:extent cx="5394960" cy="40462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4960" cy="4046220"/>
                    </a:xfrm>
                    <a:prstGeom prst="rect">
                      <a:avLst/>
                    </a:prstGeom>
                  </pic:spPr>
                </pic:pic>
              </a:graphicData>
            </a:graphic>
          </wp:inline>
        </w:drawing>
      </w:r>
    </w:p>
    <w:p w:rsidR="00B2782E" w:rsidRPr="00B2782E" w:rsidRDefault="00C7768C" w:rsidP="00B2782E">
      <w:pPr>
        <w:adjustRightInd w:val="0"/>
        <w:snapToGrid w:val="0"/>
        <w:spacing w:line="360" w:lineRule="auto"/>
        <w:rPr>
          <w:rFonts w:ascii="Book Antiqua" w:hAnsi="Book Antiqua" w:cs="Arial"/>
          <w:bCs/>
          <w:sz w:val="24"/>
          <w:szCs w:val="24"/>
        </w:rPr>
      </w:pPr>
      <w:r w:rsidRPr="00772AC6">
        <w:rPr>
          <w:rFonts w:ascii="Book Antiqua" w:hAnsi="Book Antiqua" w:cs="Arial"/>
          <w:b/>
          <w:sz w:val="24"/>
          <w:szCs w:val="24"/>
        </w:rPr>
        <w:t>Figure 2</w:t>
      </w:r>
      <w:r w:rsidR="00C7564B" w:rsidRPr="00772AC6">
        <w:rPr>
          <w:rFonts w:ascii="Book Antiqua" w:eastAsia="SimSun" w:hAnsi="Book Antiqua" w:cs="Arial"/>
          <w:b/>
          <w:sz w:val="24"/>
          <w:szCs w:val="24"/>
          <w:lang w:eastAsia="zh-CN"/>
        </w:rPr>
        <w:t xml:space="preserve"> </w:t>
      </w:r>
      <w:r w:rsidRPr="00772AC6">
        <w:rPr>
          <w:rFonts w:ascii="Book Antiqua" w:hAnsi="Book Antiqua" w:cs="Arial"/>
          <w:b/>
          <w:bCs/>
          <w:sz w:val="24"/>
          <w:szCs w:val="24"/>
        </w:rPr>
        <w:t xml:space="preserve">Relationship between autotaxin and histological grade in </w:t>
      </w:r>
      <w:r w:rsidRPr="00772AC6">
        <w:rPr>
          <w:rFonts w:ascii="Book Antiqua" w:hAnsi="Book Antiqua" w:cs="Arial"/>
          <w:b/>
          <w:sz w:val="24"/>
          <w:szCs w:val="24"/>
        </w:rPr>
        <w:t>non-alcoholic fatty liver disease</w:t>
      </w:r>
      <w:r w:rsidRPr="00772AC6">
        <w:rPr>
          <w:rFonts w:ascii="Book Antiqua" w:hAnsi="Book Antiqua" w:cs="Arial"/>
          <w:b/>
          <w:bCs/>
          <w:sz w:val="24"/>
          <w:szCs w:val="24"/>
        </w:rPr>
        <w:t xml:space="preserve"> patients for steatosis (</w:t>
      </w:r>
      <w:r w:rsidR="00C7564B" w:rsidRPr="00772AC6">
        <w:rPr>
          <w:rFonts w:ascii="Book Antiqua" w:eastAsia="SimSun" w:hAnsi="Book Antiqua" w:cs="Arial"/>
          <w:b/>
          <w:bCs/>
          <w:sz w:val="24"/>
          <w:szCs w:val="24"/>
          <w:lang w:eastAsia="zh-CN"/>
        </w:rPr>
        <w:t>A</w:t>
      </w:r>
      <w:r w:rsidRPr="00772AC6">
        <w:rPr>
          <w:rFonts w:ascii="Book Antiqua" w:hAnsi="Book Antiqua" w:cs="Arial"/>
          <w:b/>
          <w:bCs/>
          <w:sz w:val="24"/>
          <w:szCs w:val="24"/>
        </w:rPr>
        <w:t>), lobular inflammation (</w:t>
      </w:r>
      <w:r w:rsidR="00C7564B" w:rsidRPr="00772AC6">
        <w:rPr>
          <w:rFonts w:ascii="Book Antiqua" w:eastAsia="SimSun" w:hAnsi="Book Antiqua" w:cs="Arial"/>
          <w:b/>
          <w:bCs/>
          <w:sz w:val="24"/>
          <w:szCs w:val="24"/>
          <w:lang w:eastAsia="zh-CN"/>
        </w:rPr>
        <w:t>B</w:t>
      </w:r>
      <w:r w:rsidRPr="00772AC6">
        <w:rPr>
          <w:rFonts w:ascii="Book Antiqua" w:hAnsi="Book Antiqua" w:cs="Arial"/>
          <w:b/>
          <w:bCs/>
          <w:sz w:val="24"/>
          <w:szCs w:val="24"/>
        </w:rPr>
        <w:t>), ballooning (</w:t>
      </w:r>
      <w:r w:rsidR="00C7564B" w:rsidRPr="00772AC6">
        <w:rPr>
          <w:rFonts w:ascii="Book Antiqua" w:eastAsia="SimSun" w:hAnsi="Book Antiqua" w:cs="Arial"/>
          <w:b/>
          <w:bCs/>
          <w:sz w:val="24"/>
          <w:szCs w:val="24"/>
          <w:lang w:eastAsia="zh-CN"/>
        </w:rPr>
        <w:t>C</w:t>
      </w:r>
      <w:r w:rsidRPr="00772AC6">
        <w:rPr>
          <w:rFonts w:ascii="Book Antiqua" w:hAnsi="Book Antiqua" w:cs="Arial"/>
          <w:b/>
          <w:bCs/>
          <w:sz w:val="24"/>
          <w:szCs w:val="24"/>
        </w:rPr>
        <w:t>), and fibrosis (</w:t>
      </w:r>
      <w:r w:rsidR="00C7564B" w:rsidRPr="00772AC6">
        <w:rPr>
          <w:rFonts w:ascii="Book Antiqua" w:eastAsia="SimSun" w:hAnsi="Book Antiqua" w:cs="Arial"/>
          <w:b/>
          <w:bCs/>
          <w:sz w:val="24"/>
          <w:szCs w:val="24"/>
          <w:lang w:eastAsia="zh-CN"/>
        </w:rPr>
        <w:t>D</w:t>
      </w:r>
      <w:r w:rsidRPr="00772AC6">
        <w:rPr>
          <w:rFonts w:ascii="Book Antiqua" w:hAnsi="Book Antiqua" w:cs="Arial"/>
          <w:b/>
          <w:bCs/>
          <w:sz w:val="24"/>
          <w:szCs w:val="24"/>
        </w:rPr>
        <w:t>).</w:t>
      </w:r>
      <w:r w:rsidRPr="00772AC6">
        <w:rPr>
          <w:rFonts w:ascii="Book Antiqua" w:hAnsi="Book Antiqua"/>
          <w:b/>
          <w:sz w:val="24"/>
          <w:szCs w:val="24"/>
        </w:rPr>
        <w:t xml:space="preserve"> </w:t>
      </w:r>
      <w:r w:rsidRPr="00772AC6">
        <w:rPr>
          <w:rFonts w:ascii="Book Antiqua" w:hAnsi="Book Antiqua" w:cs="Arial"/>
          <w:bCs/>
          <w:sz w:val="24"/>
          <w:szCs w:val="24"/>
        </w:rPr>
        <w:t xml:space="preserve">Table 1 presents the number of subjects for each histological stage. The Kruskal-Wallis test was used for multi-group simultaneous comparisons. </w:t>
      </w:r>
      <w:r w:rsidRPr="00772AC6">
        <w:rPr>
          <w:rFonts w:ascii="Book Antiqua" w:hAnsi="Book Antiqua" w:cs="Arial"/>
          <w:bCs/>
          <w:i/>
          <w:sz w:val="24"/>
          <w:szCs w:val="24"/>
        </w:rPr>
        <w:t>P</w:t>
      </w:r>
      <w:r w:rsidRPr="00772AC6">
        <w:rPr>
          <w:rFonts w:ascii="Book Antiqua" w:hAnsi="Book Antiqua" w:cs="Arial"/>
          <w:bCs/>
          <w:sz w:val="24"/>
          <w:szCs w:val="24"/>
        </w:rPr>
        <w:t xml:space="preserve"> values are displayed in the upper left of each graph. </w:t>
      </w:r>
      <w:r w:rsidR="00B2782E" w:rsidRPr="00B2782E">
        <w:rPr>
          <w:rFonts w:ascii="Book Antiqua" w:hAnsi="Book Antiqua" w:cs="Arial"/>
          <w:sz w:val="24"/>
          <w:szCs w:val="24"/>
        </w:rPr>
        <w:t>ATX</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Autotaxin</w:t>
      </w:r>
      <w:r w:rsid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NAFLD</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Non-alcoholic fatty liver disease</w:t>
      </w:r>
      <w:r w:rsidR="00B2782E">
        <w:rPr>
          <w:rFonts w:ascii="Book Antiqua" w:eastAsia="SimSun" w:hAnsi="Book Antiqua" w:cs="Arial" w:hint="eastAsia"/>
          <w:sz w:val="24"/>
          <w:szCs w:val="24"/>
          <w:lang w:eastAsia="zh-CN"/>
        </w:rPr>
        <w:t xml:space="preserve">; </w:t>
      </w:r>
      <w:r w:rsidRPr="00772AC6">
        <w:rPr>
          <w:rFonts w:ascii="Book Antiqua" w:hAnsi="Book Antiqua" w:cs="Arial"/>
          <w:bCs/>
          <w:sz w:val="24"/>
          <w:szCs w:val="24"/>
        </w:rPr>
        <w:t>NS</w:t>
      </w:r>
      <w:r w:rsidR="00C7564B" w:rsidRPr="00772AC6">
        <w:rPr>
          <w:rFonts w:ascii="Book Antiqua" w:eastAsia="SimSun" w:hAnsi="Book Antiqua" w:cs="Arial"/>
          <w:bCs/>
          <w:sz w:val="24"/>
          <w:szCs w:val="24"/>
          <w:lang w:eastAsia="zh-CN"/>
        </w:rPr>
        <w:t>:</w:t>
      </w:r>
      <w:r w:rsidRPr="00772AC6">
        <w:rPr>
          <w:rFonts w:ascii="Book Antiqua" w:hAnsi="Book Antiqua" w:cs="Arial"/>
          <w:bCs/>
          <w:sz w:val="24"/>
          <w:szCs w:val="24"/>
        </w:rPr>
        <w:t xml:space="preserve"> </w:t>
      </w:r>
      <w:r w:rsidR="00C7564B" w:rsidRPr="00772AC6">
        <w:rPr>
          <w:rFonts w:ascii="Book Antiqua" w:hAnsi="Book Antiqua" w:cs="Arial"/>
          <w:bCs/>
          <w:sz w:val="24"/>
          <w:szCs w:val="24"/>
        </w:rPr>
        <w:t>N</w:t>
      </w:r>
      <w:r w:rsidRPr="00772AC6">
        <w:rPr>
          <w:rFonts w:ascii="Book Antiqua" w:hAnsi="Book Antiqua" w:cs="Arial"/>
          <w:bCs/>
          <w:sz w:val="24"/>
          <w:szCs w:val="24"/>
        </w:rPr>
        <w:t>ot significant.</w:t>
      </w:r>
      <w:r w:rsidR="00B2782E">
        <w:rPr>
          <w:rFonts w:ascii="Book Antiqua" w:hAnsi="Book Antiqua"/>
          <w:noProof/>
          <w:sz w:val="24"/>
          <w:szCs w:val="24"/>
          <w:lang w:eastAsia="zh-CN"/>
        </w:rPr>
        <w:br w:type="page"/>
      </w:r>
    </w:p>
    <w:p w:rsidR="00C7768C" w:rsidRPr="00772AC6" w:rsidRDefault="00C7564B" w:rsidP="005A4D61">
      <w:pPr>
        <w:adjustRightInd w:val="0"/>
        <w:snapToGrid w:val="0"/>
        <w:spacing w:line="360" w:lineRule="auto"/>
        <w:rPr>
          <w:rFonts w:ascii="Book Antiqua" w:hAnsi="Book Antiqua" w:cs="Arial"/>
          <w:b/>
          <w:sz w:val="24"/>
          <w:szCs w:val="24"/>
        </w:rPr>
      </w:pPr>
      <w:r w:rsidRPr="00772AC6">
        <w:rPr>
          <w:rFonts w:ascii="Book Antiqua" w:hAnsi="Book Antiqua"/>
          <w:noProof/>
          <w:sz w:val="24"/>
          <w:szCs w:val="24"/>
          <w:lang w:eastAsia="zh-CN"/>
        </w:rPr>
        <w:lastRenderedPageBreak/>
        <w:drawing>
          <wp:inline distT="0" distB="0" distL="0" distR="0" wp14:anchorId="2B49D88B" wp14:editId="4B052848">
            <wp:extent cx="5384800" cy="4038600"/>
            <wp:effectExtent l="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4800" cy="4038600"/>
                    </a:xfrm>
                    <a:prstGeom prst="rect">
                      <a:avLst/>
                    </a:prstGeom>
                  </pic:spPr>
                </pic:pic>
              </a:graphicData>
            </a:graphic>
          </wp:inline>
        </w:drawing>
      </w:r>
    </w:p>
    <w:p w:rsidR="00C7768C" w:rsidRPr="00772AC6" w:rsidRDefault="00C7768C" w:rsidP="005A4D61">
      <w:pPr>
        <w:adjustRightInd w:val="0"/>
        <w:snapToGrid w:val="0"/>
        <w:spacing w:line="360" w:lineRule="auto"/>
        <w:rPr>
          <w:rFonts w:ascii="Book Antiqua" w:hAnsi="Book Antiqua" w:cs="Arial"/>
          <w:bCs/>
          <w:sz w:val="24"/>
          <w:szCs w:val="24"/>
        </w:rPr>
      </w:pPr>
      <w:r w:rsidRPr="00772AC6">
        <w:rPr>
          <w:rFonts w:ascii="Book Antiqua" w:hAnsi="Book Antiqua" w:cs="Arial"/>
          <w:b/>
          <w:sz w:val="24"/>
          <w:szCs w:val="24"/>
        </w:rPr>
        <w:t>Figure 3</w:t>
      </w:r>
      <w:r w:rsidR="00C7564B" w:rsidRPr="00772AC6">
        <w:rPr>
          <w:rFonts w:ascii="Book Antiqua" w:eastAsia="SimSun" w:hAnsi="Book Antiqua" w:cs="Arial"/>
          <w:b/>
          <w:sz w:val="24"/>
          <w:szCs w:val="24"/>
          <w:lang w:eastAsia="zh-CN"/>
        </w:rPr>
        <w:t xml:space="preserve"> </w:t>
      </w:r>
      <w:r w:rsidRPr="00772AC6">
        <w:rPr>
          <w:rFonts w:ascii="Book Antiqua" w:hAnsi="Book Antiqua" w:cs="Arial"/>
          <w:b/>
          <w:bCs/>
          <w:sz w:val="24"/>
          <w:szCs w:val="24"/>
        </w:rPr>
        <w:t xml:space="preserve">Relationship between autotaxin and histological grade in </w:t>
      </w:r>
      <w:r w:rsidRPr="00772AC6">
        <w:rPr>
          <w:rFonts w:ascii="Book Antiqua" w:hAnsi="Book Antiqua" w:cs="Arial"/>
          <w:b/>
          <w:sz w:val="24"/>
          <w:szCs w:val="24"/>
        </w:rPr>
        <w:t xml:space="preserve">non-alcoholic fatty liver disease </w:t>
      </w:r>
      <w:r w:rsidRPr="00772AC6">
        <w:rPr>
          <w:rFonts w:ascii="Book Antiqua" w:hAnsi="Book Antiqua" w:cs="Arial"/>
          <w:b/>
          <w:bCs/>
          <w:sz w:val="24"/>
          <w:szCs w:val="24"/>
        </w:rPr>
        <w:t>patients by gender for steatosis (</w:t>
      </w:r>
      <w:r w:rsidR="00C7564B" w:rsidRPr="00772AC6">
        <w:rPr>
          <w:rFonts w:ascii="Book Antiqua" w:eastAsia="SimSun" w:hAnsi="Book Antiqua" w:cs="Arial"/>
          <w:b/>
          <w:bCs/>
          <w:sz w:val="24"/>
          <w:szCs w:val="24"/>
          <w:lang w:eastAsia="zh-CN"/>
        </w:rPr>
        <w:t>A</w:t>
      </w:r>
      <w:r w:rsidRPr="00772AC6">
        <w:rPr>
          <w:rFonts w:ascii="Book Antiqua" w:hAnsi="Book Antiqua" w:cs="Arial"/>
          <w:b/>
          <w:bCs/>
          <w:sz w:val="24"/>
          <w:szCs w:val="24"/>
        </w:rPr>
        <w:t>), lobular inflammation (</w:t>
      </w:r>
      <w:r w:rsidR="00C7564B" w:rsidRPr="00772AC6">
        <w:rPr>
          <w:rFonts w:ascii="Book Antiqua" w:eastAsia="SimSun" w:hAnsi="Book Antiqua" w:cs="Arial"/>
          <w:b/>
          <w:bCs/>
          <w:sz w:val="24"/>
          <w:szCs w:val="24"/>
          <w:lang w:eastAsia="zh-CN"/>
        </w:rPr>
        <w:t>B</w:t>
      </w:r>
      <w:r w:rsidRPr="00772AC6">
        <w:rPr>
          <w:rFonts w:ascii="Book Antiqua" w:hAnsi="Book Antiqua" w:cs="Arial"/>
          <w:b/>
          <w:bCs/>
          <w:sz w:val="24"/>
          <w:szCs w:val="24"/>
        </w:rPr>
        <w:t>), ballooning (</w:t>
      </w:r>
      <w:r w:rsidR="00C7564B" w:rsidRPr="00772AC6">
        <w:rPr>
          <w:rFonts w:ascii="Book Antiqua" w:eastAsia="SimSun" w:hAnsi="Book Antiqua" w:cs="Arial"/>
          <w:b/>
          <w:bCs/>
          <w:sz w:val="24"/>
          <w:szCs w:val="24"/>
          <w:lang w:eastAsia="zh-CN"/>
        </w:rPr>
        <w:t>C</w:t>
      </w:r>
      <w:r w:rsidRPr="00772AC6">
        <w:rPr>
          <w:rFonts w:ascii="Book Antiqua" w:hAnsi="Book Antiqua" w:cs="Arial"/>
          <w:b/>
          <w:bCs/>
          <w:sz w:val="24"/>
          <w:szCs w:val="24"/>
        </w:rPr>
        <w:t>), and fibrosis (</w:t>
      </w:r>
      <w:r w:rsidR="00C7564B" w:rsidRPr="00772AC6">
        <w:rPr>
          <w:rFonts w:ascii="Book Antiqua" w:eastAsia="SimSun" w:hAnsi="Book Antiqua" w:cs="Arial"/>
          <w:b/>
          <w:bCs/>
          <w:sz w:val="24"/>
          <w:szCs w:val="24"/>
          <w:lang w:eastAsia="zh-CN"/>
        </w:rPr>
        <w:t>D</w:t>
      </w:r>
      <w:r w:rsidRPr="00772AC6">
        <w:rPr>
          <w:rFonts w:ascii="Book Antiqua" w:hAnsi="Book Antiqua" w:cs="Arial"/>
          <w:b/>
          <w:bCs/>
          <w:sz w:val="24"/>
          <w:szCs w:val="24"/>
        </w:rPr>
        <w:t xml:space="preserve">). </w:t>
      </w:r>
      <w:r w:rsidRPr="00772AC6">
        <w:rPr>
          <w:rFonts w:ascii="Book Antiqua" w:hAnsi="Book Antiqua" w:cs="Arial"/>
          <w:bCs/>
          <w:sz w:val="24"/>
          <w:szCs w:val="24"/>
        </w:rPr>
        <w:t xml:space="preserve">Table 1 presents the number of subjects for each histological stage. The Kruskal-Wallis test was used for multi-group simultaneous comparisons. </w:t>
      </w:r>
      <w:r w:rsidRPr="00772AC6">
        <w:rPr>
          <w:rFonts w:ascii="Book Antiqua" w:hAnsi="Book Antiqua" w:cs="Arial"/>
          <w:bCs/>
          <w:i/>
          <w:sz w:val="24"/>
          <w:szCs w:val="24"/>
        </w:rPr>
        <w:t>P</w:t>
      </w:r>
      <w:r w:rsidRPr="00772AC6">
        <w:rPr>
          <w:rFonts w:ascii="Book Antiqua" w:hAnsi="Book Antiqua" w:cs="Arial"/>
          <w:bCs/>
          <w:sz w:val="24"/>
          <w:szCs w:val="24"/>
        </w:rPr>
        <w:t xml:space="preserve"> values are displayed in the upper left of each graph. </w:t>
      </w:r>
      <w:r w:rsidR="00B2782E" w:rsidRPr="00B2782E">
        <w:rPr>
          <w:rFonts w:ascii="Book Antiqua" w:hAnsi="Book Antiqua" w:cs="Arial"/>
          <w:sz w:val="24"/>
          <w:szCs w:val="24"/>
        </w:rPr>
        <w:t>ATX</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Autotaxin</w:t>
      </w:r>
      <w:r w:rsid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NAFLD</w:t>
      </w:r>
      <w:r w:rsidR="00B2782E" w:rsidRPr="00B2782E">
        <w:rPr>
          <w:rFonts w:ascii="Book Antiqua" w:eastAsia="SimSun" w:hAnsi="Book Antiqua" w:cs="Arial" w:hint="eastAsia"/>
          <w:sz w:val="24"/>
          <w:szCs w:val="24"/>
          <w:lang w:eastAsia="zh-CN"/>
        </w:rPr>
        <w:t xml:space="preserve">: </w:t>
      </w:r>
      <w:r w:rsidR="00B2782E" w:rsidRPr="00B2782E">
        <w:rPr>
          <w:rFonts w:ascii="Book Antiqua" w:hAnsi="Book Antiqua" w:cs="Arial"/>
          <w:sz w:val="24"/>
          <w:szCs w:val="24"/>
        </w:rPr>
        <w:t>Non-alcoholic fatty liver disease</w:t>
      </w:r>
      <w:r w:rsidR="00B2782E">
        <w:rPr>
          <w:rFonts w:ascii="Book Antiqua" w:eastAsia="SimSun" w:hAnsi="Book Antiqua" w:cs="Arial" w:hint="eastAsia"/>
          <w:sz w:val="24"/>
          <w:szCs w:val="24"/>
          <w:lang w:eastAsia="zh-CN"/>
        </w:rPr>
        <w:t xml:space="preserve">; </w:t>
      </w:r>
      <w:r w:rsidR="00B2782E" w:rsidRPr="00772AC6">
        <w:rPr>
          <w:rFonts w:ascii="Book Antiqua" w:hAnsi="Book Antiqua" w:cs="Arial"/>
          <w:bCs/>
          <w:sz w:val="24"/>
          <w:szCs w:val="24"/>
        </w:rPr>
        <w:t>NS</w:t>
      </w:r>
      <w:r w:rsidR="00B2782E" w:rsidRPr="00772AC6">
        <w:rPr>
          <w:rFonts w:ascii="Book Antiqua" w:eastAsia="SimSun" w:hAnsi="Book Antiqua" w:cs="Arial"/>
          <w:bCs/>
          <w:sz w:val="24"/>
          <w:szCs w:val="24"/>
          <w:lang w:eastAsia="zh-CN"/>
        </w:rPr>
        <w:t>:</w:t>
      </w:r>
      <w:r w:rsidR="00B2782E" w:rsidRPr="00772AC6">
        <w:rPr>
          <w:rFonts w:ascii="Book Antiqua" w:hAnsi="Book Antiqua" w:cs="Arial"/>
          <w:bCs/>
          <w:sz w:val="24"/>
          <w:szCs w:val="24"/>
        </w:rPr>
        <w:t xml:space="preserve"> Not significant.</w:t>
      </w:r>
    </w:p>
    <w:p w:rsidR="00C7768C" w:rsidRPr="00772AC6" w:rsidRDefault="00C7564B" w:rsidP="005A4D61">
      <w:pPr>
        <w:adjustRightInd w:val="0"/>
        <w:snapToGrid w:val="0"/>
        <w:spacing w:line="360" w:lineRule="auto"/>
        <w:rPr>
          <w:rFonts w:ascii="Book Antiqua" w:hAnsi="Book Antiqua" w:cs="Arial"/>
          <w:b/>
          <w:sz w:val="24"/>
          <w:szCs w:val="24"/>
        </w:rPr>
      </w:pPr>
      <w:r w:rsidRPr="00772AC6">
        <w:rPr>
          <w:rFonts w:ascii="Book Antiqua" w:hAnsi="Book Antiqua"/>
          <w:noProof/>
          <w:sz w:val="24"/>
          <w:szCs w:val="24"/>
          <w:lang w:eastAsia="zh-CN"/>
        </w:rPr>
        <w:lastRenderedPageBreak/>
        <w:drawing>
          <wp:inline distT="0" distB="0" distL="0" distR="0" wp14:anchorId="55F20DE8" wp14:editId="420C6CB3">
            <wp:extent cx="6187440" cy="46405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7440" cy="4640580"/>
                    </a:xfrm>
                    <a:prstGeom prst="rect">
                      <a:avLst/>
                    </a:prstGeom>
                  </pic:spPr>
                </pic:pic>
              </a:graphicData>
            </a:graphic>
          </wp:inline>
        </w:drawing>
      </w:r>
    </w:p>
    <w:p w:rsidR="00C7768C" w:rsidRPr="00772AC6" w:rsidRDefault="00C7768C" w:rsidP="00C7564B">
      <w:pPr>
        <w:adjustRightInd w:val="0"/>
        <w:snapToGrid w:val="0"/>
        <w:spacing w:line="360" w:lineRule="auto"/>
        <w:rPr>
          <w:rFonts w:ascii="Book Antiqua" w:eastAsia="SimSun" w:hAnsi="Book Antiqua" w:cs="Arial"/>
          <w:bCs/>
          <w:sz w:val="24"/>
          <w:szCs w:val="24"/>
          <w:lang w:eastAsia="zh-CN"/>
        </w:rPr>
      </w:pPr>
      <w:r w:rsidRPr="00772AC6">
        <w:rPr>
          <w:rFonts w:ascii="Book Antiqua" w:hAnsi="Book Antiqua" w:cs="Arial"/>
          <w:b/>
          <w:sz w:val="24"/>
          <w:szCs w:val="24"/>
        </w:rPr>
        <w:t>Figure 4</w:t>
      </w:r>
      <w:r w:rsidR="00C7564B" w:rsidRPr="00772AC6">
        <w:rPr>
          <w:rFonts w:ascii="Book Antiqua" w:eastAsia="SimSun" w:hAnsi="Book Antiqua" w:cs="Arial"/>
          <w:b/>
          <w:sz w:val="24"/>
          <w:szCs w:val="24"/>
          <w:lang w:eastAsia="zh-CN"/>
        </w:rPr>
        <w:t xml:space="preserve"> </w:t>
      </w:r>
      <w:r w:rsidRPr="00772AC6">
        <w:rPr>
          <w:rFonts w:ascii="Book Antiqua" w:hAnsi="Book Antiqua" w:cs="Arial"/>
          <w:b/>
          <w:bCs/>
          <w:sz w:val="24"/>
          <w:szCs w:val="24"/>
        </w:rPr>
        <w:t xml:space="preserve">Receiver operating characteristic analysis of autotaxin for the estimation of the presence of </w:t>
      </w:r>
      <w:r w:rsidRPr="00772AC6">
        <w:rPr>
          <w:rFonts w:ascii="Book Antiqua" w:hAnsi="Book Antiqua" w:cs="Arial"/>
          <w:b/>
          <w:sz w:val="24"/>
          <w:szCs w:val="24"/>
        </w:rPr>
        <w:t>fibrosis (</w:t>
      </w:r>
      <w:r w:rsidR="00E20C21" w:rsidRPr="00772AC6">
        <w:rPr>
          <w:rFonts w:ascii="Book Antiqua" w:eastAsia="SimSun" w:hAnsi="Book Antiqua" w:cs="SimSun"/>
          <w:b/>
          <w:sz w:val="24"/>
          <w:szCs w:val="24"/>
        </w:rPr>
        <w:t xml:space="preserve">≥ </w:t>
      </w:r>
      <w:r w:rsidRPr="00772AC6">
        <w:rPr>
          <w:rFonts w:ascii="Book Antiqua" w:hAnsi="Book Antiqua" w:cs="Arial"/>
          <w:b/>
          <w:sz w:val="24"/>
          <w:szCs w:val="24"/>
        </w:rPr>
        <w:t>F1), significant fibrosis (</w:t>
      </w:r>
      <w:r w:rsidR="00E20C21" w:rsidRPr="00772AC6">
        <w:rPr>
          <w:rFonts w:ascii="Book Antiqua" w:eastAsia="SimSun" w:hAnsi="Book Antiqua" w:cs="SimSun"/>
          <w:b/>
          <w:sz w:val="24"/>
          <w:szCs w:val="24"/>
        </w:rPr>
        <w:t xml:space="preserve">≥ </w:t>
      </w:r>
      <w:r w:rsidRPr="00772AC6">
        <w:rPr>
          <w:rFonts w:ascii="Book Antiqua" w:hAnsi="Book Antiqua" w:cs="Arial"/>
          <w:b/>
          <w:sz w:val="24"/>
          <w:szCs w:val="24"/>
        </w:rPr>
        <w:t>F2), severe fibrosis (</w:t>
      </w:r>
      <w:r w:rsidR="00E20C21" w:rsidRPr="00772AC6">
        <w:rPr>
          <w:rFonts w:ascii="Book Antiqua" w:eastAsia="SimSun" w:hAnsi="Book Antiqua" w:cs="SimSun"/>
          <w:b/>
          <w:sz w:val="24"/>
          <w:szCs w:val="24"/>
        </w:rPr>
        <w:t xml:space="preserve">≥ </w:t>
      </w:r>
      <w:r w:rsidRPr="00772AC6">
        <w:rPr>
          <w:rFonts w:ascii="Book Antiqua" w:hAnsi="Book Antiqua" w:cs="Arial"/>
          <w:b/>
          <w:sz w:val="24"/>
          <w:szCs w:val="24"/>
        </w:rPr>
        <w:t>F3), and cirrhosis (F4) in all (</w:t>
      </w:r>
      <w:r w:rsidR="00C7564B" w:rsidRPr="00772AC6">
        <w:rPr>
          <w:rFonts w:ascii="Book Antiqua" w:eastAsia="SimSun" w:hAnsi="Book Antiqua" w:cs="Arial"/>
          <w:b/>
          <w:sz w:val="24"/>
          <w:szCs w:val="24"/>
          <w:lang w:eastAsia="zh-CN"/>
        </w:rPr>
        <w:t>A</w:t>
      </w:r>
      <w:r w:rsidRPr="00772AC6">
        <w:rPr>
          <w:rFonts w:ascii="Book Antiqua" w:hAnsi="Book Antiqua" w:cs="Arial"/>
          <w:b/>
          <w:sz w:val="24"/>
          <w:szCs w:val="24"/>
        </w:rPr>
        <w:t>), male (</w:t>
      </w:r>
      <w:r w:rsidR="00C7564B" w:rsidRPr="00772AC6">
        <w:rPr>
          <w:rFonts w:ascii="Book Antiqua" w:eastAsia="SimSun" w:hAnsi="Book Antiqua" w:cs="Arial"/>
          <w:b/>
          <w:sz w:val="24"/>
          <w:szCs w:val="24"/>
          <w:lang w:eastAsia="zh-CN"/>
        </w:rPr>
        <w:t>B</w:t>
      </w:r>
      <w:r w:rsidRPr="00772AC6">
        <w:rPr>
          <w:rFonts w:ascii="Book Antiqua" w:hAnsi="Book Antiqua" w:cs="Arial"/>
          <w:b/>
          <w:sz w:val="24"/>
          <w:szCs w:val="24"/>
        </w:rPr>
        <w:t>), and female (</w:t>
      </w:r>
      <w:r w:rsidR="00C7564B" w:rsidRPr="00772AC6">
        <w:rPr>
          <w:rFonts w:ascii="Book Antiqua" w:eastAsia="SimSun" w:hAnsi="Book Antiqua" w:cs="Arial"/>
          <w:b/>
          <w:sz w:val="24"/>
          <w:szCs w:val="24"/>
          <w:lang w:eastAsia="zh-CN"/>
        </w:rPr>
        <w:t>C</w:t>
      </w:r>
      <w:r w:rsidRPr="00772AC6">
        <w:rPr>
          <w:rFonts w:ascii="Book Antiqua" w:hAnsi="Book Antiqua" w:cs="Arial"/>
          <w:b/>
          <w:sz w:val="24"/>
          <w:szCs w:val="24"/>
        </w:rPr>
        <w:t xml:space="preserve">) patients. </w:t>
      </w:r>
      <w:r w:rsidRPr="00772AC6">
        <w:rPr>
          <w:rFonts w:ascii="Book Antiqua" w:hAnsi="Book Antiqua" w:cs="Arial"/>
          <w:bCs/>
          <w:sz w:val="24"/>
          <w:szCs w:val="24"/>
        </w:rPr>
        <w:t xml:space="preserve">The areas </w:t>
      </w:r>
      <w:r w:rsidRPr="00772AC6">
        <w:rPr>
          <w:rFonts w:ascii="Book Antiqua" w:hAnsi="Book Antiqua" w:cs="Arial"/>
          <w:bCs/>
          <w:sz w:val="24"/>
          <w:szCs w:val="24"/>
        </w:rPr>
        <w:lastRenderedPageBreak/>
        <w:t>under the</w:t>
      </w:r>
      <w:r w:rsidR="00D8469E" w:rsidRPr="00D8469E">
        <w:rPr>
          <w:rFonts w:ascii="Book Antiqua" w:hAnsi="Book Antiqua" w:cs="Arial"/>
          <w:sz w:val="24"/>
          <w:szCs w:val="24"/>
        </w:rPr>
        <w:t xml:space="preserve"> </w:t>
      </w:r>
      <w:r w:rsidR="00D8469E" w:rsidRPr="00772AC6">
        <w:rPr>
          <w:rFonts w:ascii="Book Antiqua" w:hAnsi="Book Antiqua" w:cs="Arial"/>
          <w:sz w:val="24"/>
          <w:szCs w:val="24"/>
        </w:rPr>
        <w:t>receiver operating characteristic curve</w:t>
      </w:r>
      <w:r w:rsidRPr="00772AC6">
        <w:rPr>
          <w:rFonts w:ascii="Book Antiqua" w:hAnsi="Book Antiqua" w:cs="Arial"/>
          <w:bCs/>
          <w:sz w:val="24"/>
          <w:szCs w:val="24"/>
        </w:rPr>
        <w:t xml:space="preserve"> are displayed in the lower right of each graph. </w:t>
      </w:r>
      <w:r w:rsidR="00B2782E" w:rsidRPr="00772AC6">
        <w:rPr>
          <w:rFonts w:ascii="Book Antiqua" w:hAnsi="Book Antiqua" w:cs="Arial"/>
          <w:bCs/>
          <w:sz w:val="24"/>
          <w:szCs w:val="24"/>
        </w:rPr>
        <w:t>AUC</w:t>
      </w:r>
      <w:r w:rsidR="00B2782E">
        <w:rPr>
          <w:rFonts w:ascii="Book Antiqua" w:eastAsia="SimSun" w:hAnsi="Book Antiqua" w:cs="Arial" w:hint="eastAsia"/>
          <w:bCs/>
          <w:sz w:val="24"/>
          <w:szCs w:val="24"/>
          <w:lang w:eastAsia="zh-CN"/>
        </w:rPr>
        <w:t>:</w:t>
      </w:r>
      <w:r w:rsidR="00D8469E" w:rsidRPr="00D8469E">
        <w:rPr>
          <w:rFonts w:ascii="Book Antiqua" w:hAnsi="Book Antiqua" w:cs="Arial"/>
          <w:sz w:val="24"/>
          <w:szCs w:val="24"/>
        </w:rPr>
        <w:t xml:space="preserve"> </w:t>
      </w:r>
      <w:r w:rsidR="00D8469E" w:rsidRPr="00772AC6">
        <w:rPr>
          <w:rFonts w:ascii="Book Antiqua" w:hAnsi="Book Antiqua" w:cs="Arial"/>
          <w:sz w:val="24"/>
          <w:szCs w:val="24"/>
        </w:rPr>
        <w:t>Receiver operating characteristic curve</w:t>
      </w:r>
      <w:r w:rsidR="00D8469E">
        <w:rPr>
          <w:rFonts w:ascii="Book Antiqua" w:eastAsia="SimSun" w:hAnsi="Book Antiqua" w:cs="Arial" w:hint="eastAsia"/>
          <w:sz w:val="24"/>
          <w:szCs w:val="24"/>
          <w:lang w:eastAsia="zh-CN"/>
        </w:rPr>
        <w:t>;</w:t>
      </w:r>
      <w:r w:rsidR="00B2782E">
        <w:rPr>
          <w:rFonts w:ascii="Book Antiqua" w:eastAsia="SimSun" w:hAnsi="Book Antiqua" w:cs="Arial" w:hint="eastAsia"/>
          <w:bCs/>
          <w:sz w:val="24"/>
          <w:szCs w:val="24"/>
          <w:lang w:eastAsia="zh-CN"/>
        </w:rPr>
        <w:t xml:space="preserve"> </w:t>
      </w:r>
      <w:r w:rsidRPr="00772AC6">
        <w:rPr>
          <w:rFonts w:ascii="Book Antiqua" w:hAnsi="Book Antiqua" w:cs="Arial"/>
          <w:bCs/>
          <w:sz w:val="24"/>
          <w:szCs w:val="24"/>
        </w:rPr>
        <w:t>F</w:t>
      </w:r>
      <w:r w:rsidR="00C7564B" w:rsidRPr="00772AC6">
        <w:rPr>
          <w:rFonts w:ascii="Book Antiqua" w:eastAsia="SimSun" w:hAnsi="Book Antiqua" w:cs="Arial"/>
          <w:bCs/>
          <w:sz w:val="24"/>
          <w:szCs w:val="24"/>
          <w:lang w:eastAsia="zh-CN"/>
        </w:rPr>
        <w:t>:</w:t>
      </w:r>
      <w:r w:rsidRPr="00772AC6">
        <w:rPr>
          <w:rFonts w:ascii="Book Antiqua" w:hAnsi="Book Antiqua" w:cs="Arial"/>
          <w:bCs/>
          <w:sz w:val="24"/>
          <w:szCs w:val="24"/>
        </w:rPr>
        <w:t xml:space="preserve"> </w:t>
      </w:r>
      <w:r w:rsidR="00C7564B" w:rsidRPr="00772AC6">
        <w:rPr>
          <w:rFonts w:ascii="Book Antiqua" w:hAnsi="Book Antiqua" w:cs="Arial"/>
          <w:bCs/>
          <w:sz w:val="24"/>
          <w:szCs w:val="24"/>
        </w:rPr>
        <w:t>F</w:t>
      </w:r>
      <w:r w:rsidRPr="00772AC6">
        <w:rPr>
          <w:rFonts w:ascii="Book Antiqua" w:hAnsi="Book Antiqua" w:cs="Arial"/>
          <w:bCs/>
          <w:sz w:val="24"/>
          <w:szCs w:val="24"/>
        </w:rPr>
        <w:t>ibrosis.</w:t>
      </w:r>
    </w:p>
    <w:sectPr w:rsidR="00C7768C" w:rsidRPr="00772AC6" w:rsidSect="00C749C8">
      <w:type w:val="continuous"/>
      <w:pgSz w:w="16838" w:h="11906" w:orient="landscape"/>
      <w:pgMar w:top="1701" w:right="1701" w:bottom="1701" w:left="1985"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59" w:rsidRDefault="001B2D59" w:rsidP="00F53909">
      <w:r>
        <w:separator/>
      </w:r>
    </w:p>
  </w:endnote>
  <w:endnote w:type="continuationSeparator" w:id="0">
    <w:p w:rsidR="001B2D59" w:rsidRDefault="001B2D59" w:rsidP="00F5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59" w:rsidRDefault="001B2D59" w:rsidP="00F53909">
      <w:r>
        <w:separator/>
      </w:r>
    </w:p>
  </w:footnote>
  <w:footnote w:type="continuationSeparator" w:id="0">
    <w:p w:rsidR="001B2D59" w:rsidRDefault="001B2D59" w:rsidP="00F53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F29"/>
    <w:multiLevelType w:val="hybridMultilevel"/>
    <w:tmpl w:val="617A0F76"/>
    <w:lvl w:ilvl="0" w:tplc="AB80B8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47015C"/>
    <w:multiLevelType w:val="hybridMultilevel"/>
    <w:tmpl w:val="0CC8CEE8"/>
    <w:lvl w:ilvl="0" w:tplc="4B4E7F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180EBF"/>
    <w:multiLevelType w:val="hybridMultilevel"/>
    <w:tmpl w:val="C1603C0C"/>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10E3EC9"/>
    <w:multiLevelType w:val="hybridMultilevel"/>
    <w:tmpl w:val="E55EDF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87182"/>
    <w:multiLevelType w:val="hybridMultilevel"/>
    <w:tmpl w:val="7C589B42"/>
    <w:lvl w:ilvl="0" w:tplc="C6B4951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61555"/>
    <w:multiLevelType w:val="multilevel"/>
    <w:tmpl w:val="278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0NLGwNAMCIwsDCyUdpeDU4uLM/DyQApNaACjpSYYsAAAA"/>
  </w:docVars>
  <w:rsids>
    <w:rsidRoot w:val="001303A0"/>
    <w:rsid w:val="0000124D"/>
    <w:rsid w:val="00001B71"/>
    <w:rsid w:val="000020B5"/>
    <w:rsid w:val="00003405"/>
    <w:rsid w:val="00003D3E"/>
    <w:rsid w:val="000048B4"/>
    <w:rsid w:val="000049B4"/>
    <w:rsid w:val="00005708"/>
    <w:rsid w:val="00006094"/>
    <w:rsid w:val="0000657D"/>
    <w:rsid w:val="00006621"/>
    <w:rsid w:val="00006AD7"/>
    <w:rsid w:val="0000729C"/>
    <w:rsid w:val="000106DB"/>
    <w:rsid w:val="0001084D"/>
    <w:rsid w:val="00011AF3"/>
    <w:rsid w:val="00012EED"/>
    <w:rsid w:val="0001300A"/>
    <w:rsid w:val="0001331E"/>
    <w:rsid w:val="00014385"/>
    <w:rsid w:val="000167F3"/>
    <w:rsid w:val="0001689B"/>
    <w:rsid w:val="00016994"/>
    <w:rsid w:val="00017F60"/>
    <w:rsid w:val="0002081B"/>
    <w:rsid w:val="00021DDC"/>
    <w:rsid w:val="000224E5"/>
    <w:rsid w:val="00022E1B"/>
    <w:rsid w:val="0002372F"/>
    <w:rsid w:val="00023D06"/>
    <w:rsid w:val="000243C5"/>
    <w:rsid w:val="00025CAD"/>
    <w:rsid w:val="00025DB0"/>
    <w:rsid w:val="00025EAD"/>
    <w:rsid w:val="0003059B"/>
    <w:rsid w:val="00032C14"/>
    <w:rsid w:val="00033652"/>
    <w:rsid w:val="00034103"/>
    <w:rsid w:val="000358C8"/>
    <w:rsid w:val="00035A67"/>
    <w:rsid w:val="000365FF"/>
    <w:rsid w:val="00037701"/>
    <w:rsid w:val="00037F9E"/>
    <w:rsid w:val="00040243"/>
    <w:rsid w:val="00040B3A"/>
    <w:rsid w:val="00041094"/>
    <w:rsid w:val="000414F4"/>
    <w:rsid w:val="00041F4F"/>
    <w:rsid w:val="00041F91"/>
    <w:rsid w:val="000427EE"/>
    <w:rsid w:val="00042F3B"/>
    <w:rsid w:val="00043791"/>
    <w:rsid w:val="00043DE0"/>
    <w:rsid w:val="00047F07"/>
    <w:rsid w:val="000503EA"/>
    <w:rsid w:val="000512C5"/>
    <w:rsid w:val="000521E5"/>
    <w:rsid w:val="00052440"/>
    <w:rsid w:val="0005267E"/>
    <w:rsid w:val="00052825"/>
    <w:rsid w:val="00054F8C"/>
    <w:rsid w:val="00056143"/>
    <w:rsid w:val="00057714"/>
    <w:rsid w:val="00060043"/>
    <w:rsid w:val="00060F1D"/>
    <w:rsid w:val="00061354"/>
    <w:rsid w:val="0006160F"/>
    <w:rsid w:val="00061A29"/>
    <w:rsid w:val="000633B6"/>
    <w:rsid w:val="000636F8"/>
    <w:rsid w:val="00063E2F"/>
    <w:rsid w:val="00063E30"/>
    <w:rsid w:val="000659B0"/>
    <w:rsid w:val="00066B4C"/>
    <w:rsid w:val="00067183"/>
    <w:rsid w:val="000676E6"/>
    <w:rsid w:val="00071004"/>
    <w:rsid w:val="00071DFF"/>
    <w:rsid w:val="00071FA9"/>
    <w:rsid w:val="00072062"/>
    <w:rsid w:val="0007386C"/>
    <w:rsid w:val="00073FFA"/>
    <w:rsid w:val="00074BCF"/>
    <w:rsid w:val="00074C4D"/>
    <w:rsid w:val="0007671D"/>
    <w:rsid w:val="00077A32"/>
    <w:rsid w:val="00077ED2"/>
    <w:rsid w:val="000813C9"/>
    <w:rsid w:val="00082949"/>
    <w:rsid w:val="00082ED0"/>
    <w:rsid w:val="0008412D"/>
    <w:rsid w:val="0008650E"/>
    <w:rsid w:val="00086848"/>
    <w:rsid w:val="0008768F"/>
    <w:rsid w:val="000901DC"/>
    <w:rsid w:val="00090C29"/>
    <w:rsid w:val="00090CB4"/>
    <w:rsid w:val="00091175"/>
    <w:rsid w:val="00092131"/>
    <w:rsid w:val="000921EA"/>
    <w:rsid w:val="0009270C"/>
    <w:rsid w:val="00095582"/>
    <w:rsid w:val="000956AC"/>
    <w:rsid w:val="00095EB1"/>
    <w:rsid w:val="0009645D"/>
    <w:rsid w:val="0009684E"/>
    <w:rsid w:val="00097F23"/>
    <w:rsid w:val="000A0086"/>
    <w:rsid w:val="000A0608"/>
    <w:rsid w:val="000A1770"/>
    <w:rsid w:val="000A35F1"/>
    <w:rsid w:val="000A5B46"/>
    <w:rsid w:val="000A6284"/>
    <w:rsid w:val="000A72DD"/>
    <w:rsid w:val="000B01B3"/>
    <w:rsid w:val="000B04F7"/>
    <w:rsid w:val="000B3A34"/>
    <w:rsid w:val="000B4D6A"/>
    <w:rsid w:val="000B786B"/>
    <w:rsid w:val="000C1018"/>
    <w:rsid w:val="000C114B"/>
    <w:rsid w:val="000C1273"/>
    <w:rsid w:val="000C22F3"/>
    <w:rsid w:val="000C2A57"/>
    <w:rsid w:val="000C347E"/>
    <w:rsid w:val="000C3A2E"/>
    <w:rsid w:val="000C4213"/>
    <w:rsid w:val="000C5D5F"/>
    <w:rsid w:val="000C7D67"/>
    <w:rsid w:val="000C7EB8"/>
    <w:rsid w:val="000D1144"/>
    <w:rsid w:val="000D1D95"/>
    <w:rsid w:val="000D5CD3"/>
    <w:rsid w:val="000D5CDA"/>
    <w:rsid w:val="000D62F5"/>
    <w:rsid w:val="000D7507"/>
    <w:rsid w:val="000D7572"/>
    <w:rsid w:val="000D7EF6"/>
    <w:rsid w:val="000E1D98"/>
    <w:rsid w:val="000E3793"/>
    <w:rsid w:val="000E3D0B"/>
    <w:rsid w:val="000E3E31"/>
    <w:rsid w:val="000E408B"/>
    <w:rsid w:val="000E413B"/>
    <w:rsid w:val="000E49E7"/>
    <w:rsid w:val="000F051A"/>
    <w:rsid w:val="000F08CC"/>
    <w:rsid w:val="000F0DAD"/>
    <w:rsid w:val="000F1ABE"/>
    <w:rsid w:val="000F2DF6"/>
    <w:rsid w:val="000F40EB"/>
    <w:rsid w:val="000F466E"/>
    <w:rsid w:val="000F4E86"/>
    <w:rsid w:val="000F51CB"/>
    <w:rsid w:val="000F5471"/>
    <w:rsid w:val="000F682E"/>
    <w:rsid w:val="00100121"/>
    <w:rsid w:val="001002CF"/>
    <w:rsid w:val="001008E2"/>
    <w:rsid w:val="00101E3A"/>
    <w:rsid w:val="00104E5D"/>
    <w:rsid w:val="00106A3D"/>
    <w:rsid w:val="00107341"/>
    <w:rsid w:val="00107E3B"/>
    <w:rsid w:val="001103D3"/>
    <w:rsid w:val="00110410"/>
    <w:rsid w:val="001109C4"/>
    <w:rsid w:val="00110B1F"/>
    <w:rsid w:val="00111D48"/>
    <w:rsid w:val="00111D65"/>
    <w:rsid w:val="00113B5E"/>
    <w:rsid w:val="00115473"/>
    <w:rsid w:val="001154C7"/>
    <w:rsid w:val="001157BD"/>
    <w:rsid w:val="001168E0"/>
    <w:rsid w:val="00117B73"/>
    <w:rsid w:val="00117C20"/>
    <w:rsid w:val="001201CB"/>
    <w:rsid w:val="00120A89"/>
    <w:rsid w:val="00120B1E"/>
    <w:rsid w:val="00123522"/>
    <w:rsid w:val="001235E8"/>
    <w:rsid w:val="00125F55"/>
    <w:rsid w:val="001278E6"/>
    <w:rsid w:val="00127A60"/>
    <w:rsid w:val="00127E28"/>
    <w:rsid w:val="00127FC6"/>
    <w:rsid w:val="001303A0"/>
    <w:rsid w:val="001305A4"/>
    <w:rsid w:val="00130634"/>
    <w:rsid w:val="0013171F"/>
    <w:rsid w:val="00132DE7"/>
    <w:rsid w:val="00133941"/>
    <w:rsid w:val="00134708"/>
    <w:rsid w:val="001351E6"/>
    <w:rsid w:val="001354F9"/>
    <w:rsid w:val="001362EF"/>
    <w:rsid w:val="001363A6"/>
    <w:rsid w:val="001370DA"/>
    <w:rsid w:val="00137143"/>
    <w:rsid w:val="0014123F"/>
    <w:rsid w:val="0014192D"/>
    <w:rsid w:val="00141C33"/>
    <w:rsid w:val="0014310B"/>
    <w:rsid w:val="001432E0"/>
    <w:rsid w:val="0014389C"/>
    <w:rsid w:val="00144D86"/>
    <w:rsid w:val="001456FC"/>
    <w:rsid w:val="00145D44"/>
    <w:rsid w:val="001469FC"/>
    <w:rsid w:val="00146E28"/>
    <w:rsid w:val="001475F3"/>
    <w:rsid w:val="001513F6"/>
    <w:rsid w:val="00151527"/>
    <w:rsid w:val="0015340D"/>
    <w:rsid w:val="0015499D"/>
    <w:rsid w:val="00154F66"/>
    <w:rsid w:val="00155CA0"/>
    <w:rsid w:val="00155E1D"/>
    <w:rsid w:val="00155EED"/>
    <w:rsid w:val="001569AF"/>
    <w:rsid w:val="00156ACB"/>
    <w:rsid w:val="001614EE"/>
    <w:rsid w:val="00162173"/>
    <w:rsid w:val="0016262F"/>
    <w:rsid w:val="00163039"/>
    <w:rsid w:val="00163559"/>
    <w:rsid w:val="0016486F"/>
    <w:rsid w:val="00164EEA"/>
    <w:rsid w:val="001668CC"/>
    <w:rsid w:val="00166A7E"/>
    <w:rsid w:val="00167BC6"/>
    <w:rsid w:val="00170F50"/>
    <w:rsid w:val="00171AA4"/>
    <w:rsid w:val="00174D82"/>
    <w:rsid w:val="00174F7A"/>
    <w:rsid w:val="00174FA5"/>
    <w:rsid w:val="00175A75"/>
    <w:rsid w:val="00176E3E"/>
    <w:rsid w:val="00180BB7"/>
    <w:rsid w:val="0018440F"/>
    <w:rsid w:val="001859B4"/>
    <w:rsid w:val="00187760"/>
    <w:rsid w:val="00190B79"/>
    <w:rsid w:val="00191D7D"/>
    <w:rsid w:val="00191E27"/>
    <w:rsid w:val="00193BB6"/>
    <w:rsid w:val="0019437A"/>
    <w:rsid w:val="001945A7"/>
    <w:rsid w:val="001946A1"/>
    <w:rsid w:val="00194AF4"/>
    <w:rsid w:val="001A2F4D"/>
    <w:rsid w:val="001A3B0C"/>
    <w:rsid w:val="001A3B54"/>
    <w:rsid w:val="001A4BFB"/>
    <w:rsid w:val="001A59C2"/>
    <w:rsid w:val="001A5D71"/>
    <w:rsid w:val="001A77D1"/>
    <w:rsid w:val="001B00B3"/>
    <w:rsid w:val="001B0B6C"/>
    <w:rsid w:val="001B157D"/>
    <w:rsid w:val="001B2D59"/>
    <w:rsid w:val="001B3D86"/>
    <w:rsid w:val="001B432A"/>
    <w:rsid w:val="001B54FB"/>
    <w:rsid w:val="001B5862"/>
    <w:rsid w:val="001B694D"/>
    <w:rsid w:val="001B72A7"/>
    <w:rsid w:val="001B77E8"/>
    <w:rsid w:val="001B7C93"/>
    <w:rsid w:val="001C0433"/>
    <w:rsid w:val="001C11F4"/>
    <w:rsid w:val="001C22E0"/>
    <w:rsid w:val="001C438B"/>
    <w:rsid w:val="001C4BA2"/>
    <w:rsid w:val="001C4C25"/>
    <w:rsid w:val="001C6271"/>
    <w:rsid w:val="001C64D5"/>
    <w:rsid w:val="001C6C37"/>
    <w:rsid w:val="001C7095"/>
    <w:rsid w:val="001C74D0"/>
    <w:rsid w:val="001C7C8F"/>
    <w:rsid w:val="001C7CDE"/>
    <w:rsid w:val="001D08D3"/>
    <w:rsid w:val="001D0C61"/>
    <w:rsid w:val="001D125F"/>
    <w:rsid w:val="001D25FD"/>
    <w:rsid w:val="001D2E15"/>
    <w:rsid w:val="001D40A1"/>
    <w:rsid w:val="001D456E"/>
    <w:rsid w:val="001D48D9"/>
    <w:rsid w:val="001D49FE"/>
    <w:rsid w:val="001D6CCB"/>
    <w:rsid w:val="001D78A1"/>
    <w:rsid w:val="001D79FC"/>
    <w:rsid w:val="001E18EB"/>
    <w:rsid w:val="001E1957"/>
    <w:rsid w:val="001E19A6"/>
    <w:rsid w:val="001E1B1D"/>
    <w:rsid w:val="001E3153"/>
    <w:rsid w:val="001E35EA"/>
    <w:rsid w:val="001E51AB"/>
    <w:rsid w:val="001E67AC"/>
    <w:rsid w:val="001E680A"/>
    <w:rsid w:val="001E6B31"/>
    <w:rsid w:val="001F05B0"/>
    <w:rsid w:val="001F0DEC"/>
    <w:rsid w:val="001F1D29"/>
    <w:rsid w:val="001F1FB1"/>
    <w:rsid w:val="001F273D"/>
    <w:rsid w:val="001F3F00"/>
    <w:rsid w:val="001F5905"/>
    <w:rsid w:val="001F6A55"/>
    <w:rsid w:val="001F6C3D"/>
    <w:rsid w:val="002002F9"/>
    <w:rsid w:val="00200A33"/>
    <w:rsid w:val="00201057"/>
    <w:rsid w:val="00201B8E"/>
    <w:rsid w:val="00202038"/>
    <w:rsid w:val="002022D1"/>
    <w:rsid w:val="00203FB2"/>
    <w:rsid w:val="002061B8"/>
    <w:rsid w:val="002067C3"/>
    <w:rsid w:val="00207C81"/>
    <w:rsid w:val="002106DA"/>
    <w:rsid w:val="0021129F"/>
    <w:rsid w:val="00211E08"/>
    <w:rsid w:val="00211E0C"/>
    <w:rsid w:val="00212339"/>
    <w:rsid w:val="00212F64"/>
    <w:rsid w:val="0021381E"/>
    <w:rsid w:val="00214163"/>
    <w:rsid w:val="002143EC"/>
    <w:rsid w:val="00215387"/>
    <w:rsid w:val="002158EC"/>
    <w:rsid w:val="00215BD7"/>
    <w:rsid w:val="00215C42"/>
    <w:rsid w:val="00215DD7"/>
    <w:rsid w:val="00216B81"/>
    <w:rsid w:val="00217E4C"/>
    <w:rsid w:val="00222206"/>
    <w:rsid w:val="00225CE5"/>
    <w:rsid w:val="00227F96"/>
    <w:rsid w:val="00231522"/>
    <w:rsid w:val="00231BC2"/>
    <w:rsid w:val="00232AF9"/>
    <w:rsid w:val="00233EA4"/>
    <w:rsid w:val="002341EE"/>
    <w:rsid w:val="002344DB"/>
    <w:rsid w:val="00237C72"/>
    <w:rsid w:val="00237E87"/>
    <w:rsid w:val="00237F0C"/>
    <w:rsid w:val="00240D72"/>
    <w:rsid w:val="002418E5"/>
    <w:rsid w:val="00241E8B"/>
    <w:rsid w:val="002422B3"/>
    <w:rsid w:val="002424AC"/>
    <w:rsid w:val="00242809"/>
    <w:rsid w:val="002432D7"/>
    <w:rsid w:val="002433A3"/>
    <w:rsid w:val="0024388E"/>
    <w:rsid w:val="00243C6A"/>
    <w:rsid w:val="00243DBB"/>
    <w:rsid w:val="00244A12"/>
    <w:rsid w:val="00246302"/>
    <w:rsid w:val="002471A2"/>
    <w:rsid w:val="002505AB"/>
    <w:rsid w:val="002505F6"/>
    <w:rsid w:val="0025077E"/>
    <w:rsid w:val="0025123E"/>
    <w:rsid w:val="002513B4"/>
    <w:rsid w:val="00251AD2"/>
    <w:rsid w:val="00252FF6"/>
    <w:rsid w:val="00254B02"/>
    <w:rsid w:val="002561AE"/>
    <w:rsid w:val="002562F8"/>
    <w:rsid w:val="002567FD"/>
    <w:rsid w:val="00256BD3"/>
    <w:rsid w:val="002610E4"/>
    <w:rsid w:val="0026192D"/>
    <w:rsid w:val="00261E27"/>
    <w:rsid w:val="0026300B"/>
    <w:rsid w:val="00263386"/>
    <w:rsid w:val="00265041"/>
    <w:rsid w:val="002658E2"/>
    <w:rsid w:val="00265CCE"/>
    <w:rsid w:val="00265FB2"/>
    <w:rsid w:val="002664FA"/>
    <w:rsid w:val="00266CDA"/>
    <w:rsid w:val="00267237"/>
    <w:rsid w:val="002706E5"/>
    <w:rsid w:val="00274E6C"/>
    <w:rsid w:val="0027568A"/>
    <w:rsid w:val="002772A4"/>
    <w:rsid w:val="00280787"/>
    <w:rsid w:val="00282429"/>
    <w:rsid w:val="002845E0"/>
    <w:rsid w:val="00285162"/>
    <w:rsid w:val="002853E4"/>
    <w:rsid w:val="00286907"/>
    <w:rsid w:val="00287274"/>
    <w:rsid w:val="00287497"/>
    <w:rsid w:val="002877E5"/>
    <w:rsid w:val="0029028C"/>
    <w:rsid w:val="00291452"/>
    <w:rsid w:val="0029266B"/>
    <w:rsid w:val="00292C82"/>
    <w:rsid w:val="00294242"/>
    <w:rsid w:val="002954F0"/>
    <w:rsid w:val="00295AE4"/>
    <w:rsid w:val="00296D27"/>
    <w:rsid w:val="002975D5"/>
    <w:rsid w:val="00297717"/>
    <w:rsid w:val="002A0282"/>
    <w:rsid w:val="002A043A"/>
    <w:rsid w:val="002A04F5"/>
    <w:rsid w:val="002A1868"/>
    <w:rsid w:val="002A1CD5"/>
    <w:rsid w:val="002A2C17"/>
    <w:rsid w:val="002A3224"/>
    <w:rsid w:val="002A36EE"/>
    <w:rsid w:val="002A379B"/>
    <w:rsid w:val="002A3EB4"/>
    <w:rsid w:val="002A4F2F"/>
    <w:rsid w:val="002A609B"/>
    <w:rsid w:val="002A7D92"/>
    <w:rsid w:val="002A7F3B"/>
    <w:rsid w:val="002B3709"/>
    <w:rsid w:val="002B372C"/>
    <w:rsid w:val="002B4323"/>
    <w:rsid w:val="002B476A"/>
    <w:rsid w:val="002B5102"/>
    <w:rsid w:val="002B57C5"/>
    <w:rsid w:val="002B597B"/>
    <w:rsid w:val="002B6331"/>
    <w:rsid w:val="002B6D1A"/>
    <w:rsid w:val="002C2BEF"/>
    <w:rsid w:val="002C36FB"/>
    <w:rsid w:val="002C4D4C"/>
    <w:rsid w:val="002C566F"/>
    <w:rsid w:val="002C74CC"/>
    <w:rsid w:val="002C76F0"/>
    <w:rsid w:val="002D0155"/>
    <w:rsid w:val="002D0265"/>
    <w:rsid w:val="002D05A5"/>
    <w:rsid w:val="002D2676"/>
    <w:rsid w:val="002D28E8"/>
    <w:rsid w:val="002D3505"/>
    <w:rsid w:val="002D3B96"/>
    <w:rsid w:val="002D3DBB"/>
    <w:rsid w:val="002D4DD0"/>
    <w:rsid w:val="002D57CB"/>
    <w:rsid w:val="002D5B2F"/>
    <w:rsid w:val="002D69E3"/>
    <w:rsid w:val="002E0419"/>
    <w:rsid w:val="002E0B18"/>
    <w:rsid w:val="002E0F8C"/>
    <w:rsid w:val="002E1225"/>
    <w:rsid w:val="002E3012"/>
    <w:rsid w:val="002E57B1"/>
    <w:rsid w:val="002E6026"/>
    <w:rsid w:val="002E6BAE"/>
    <w:rsid w:val="002E6C7D"/>
    <w:rsid w:val="002E7FC5"/>
    <w:rsid w:val="002F4058"/>
    <w:rsid w:val="002F6602"/>
    <w:rsid w:val="002F75F0"/>
    <w:rsid w:val="003001B3"/>
    <w:rsid w:val="00300594"/>
    <w:rsid w:val="00301827"/>
    <w:rsid w:val="0030233E"/>
    <w:rsid w:val="003023FA"/>
    <w:rsid w:val="00302BAE"/>
    <w:rsid w:val="00304A71"/>
    <w:rsid w:val="003061A6"/>
    <w:rsid w:val="003066A8"/>
    <w:rsid w:val="003075F1"/>
    <w:rsid w:val="00307FBC"/>
    <w:rsid w:val="0031004C"/>
    <w:rsid w:val="00310814"/>
    <w:rsid w:val="00310F1E"/>
    <w:rsid w:val="00311389"/>
    <w:rsid w:val="00311A80"/>
    <w:rsid w:val="00314017"/>
    <w:rsid w:val="00315036"/>
    <w:rsid w:val="003156DF"/>
    <w:rsid w:val="00316803"/>
    <w:rsid w:val="003169DA"/>
    <w:rsid w:val="00317032"/>
    <w:rsid w:val="003176F0"/>
    <w:rsid w:val="00320354"/>
    <w:rsid w:val="003208C8"/>
    <w:rsid w:val="0032160E"/>
    <w:rsid w:val="0032265A"/>
    <w:rsid w:val="00323ABE"/>
    <w:rsid w:val="0032413D"/>
    <w:rsid w:val="0032434D"/>
    <w:rsid w:val="0032478B"/>
    <w:rsid w:val="00325553"/>
    <w:rsid w:val="00327F37"/>
    <w:rsid w:val="00330AAE"/>
    <w:rsid w:val="00330AE5"/>
    <w:rsid w:val="00331580"/>
    <w:rsid w:val="003320C3"/>
    <w:rsid w:val="00336511"/>
    <w:rsid w:val="00336FBF"/>
    <w:rsid w:val="0034040C"/>
    <w:rsid w:val="003405D3"/>
    <w:rsid w:val="00341CC3"/>
    <w:rsid w:val="003430A0"/>
    <w:rsid w:val="003443E9"/>
    <w:rsid w:val="003452B4"/>
    <w:rsid w:val="003459AC"/>
    <w:rsid w:val="003460DD"/>
    <w:rsid w:val="00346A58"/>
    <w:rsid w:val="0034706E"/>
    <w:rsid w:val="00347752"/>
    <w:rsid w:val="0035076D"/>
    <w:rsid w:val="003508DB"/>
    <w:rsid w:val="00351B98"/>
    <w:rsid w:val="00352F9A"/>
    <w:rsid w:val="00353949"/>
    <w:rsid w:val="00353DE3"/>
    <w:rsid w:val="0035405B"/>
    <w:rsid w:val="00354575"/>
    <w:rsid w:val="00354A32"/>
    <w:rsid w:val="00355C64"/>
    <w:rsid w:val="00356E0E"/>
    <w:rsid w:val="00357853"/>
    <w:rsid w:val="003609E1"/>
    <w:rsid w:val="0036134E"/>
    <w:rsid w:val="00361EB1"/>
    <w:rsid w:val="00361F32"/>
    <w:rsid w:val="00362264"/>
    <w:rsid w:val="00364781"/>
    <w:rsid w:val="00366142"/>
    <w:rsid w:val="00367D0D"/>
    <w:rsid w:val="00367EEC"/>
    <w:rsid w:val="00370998"/>
    <w:rsid w:val="00372967"/>
    <w:rsid w:val="00373A78"/>
    <w:rsid w:val="003740F7"/>
    <w:rsid w:val="00374188"/>
    <w:rsid w:val="0037437D"/>
    <w:rsid w:val="00374C56"/>
    <w:rsid w:val="00374FBE"/>
    <w:rsid w:val="00375990"/>
    <w:rsid w:val="0037690F"/>
    <w:rsid w:val="003772DD"/>
    <w:rsid w:val="003774DC"/>
    <w:rsid w:val="003778E4"/>
    <w:rsid w:val="003779CF"/>
    <w:rsid w:val="003808B4"/>
    <w:rsid w:val="00380A19"/>
    <w:rsid w:val="00381EB0"/>
    <w:rsid w:val="0038235F"/>
    <w:rsid w:val="00383A1B"/>
    <w:rsid w:val="00384BB6"/>
    <w:rsid w:val="00384D59"/>
    <w:rsid w:val="003850B1"/>
    <w:rsid w:val="00385EBB"/>
    <w:rsid w:val="00387245"/>
    <w:rsid w:val="003905D3"/>
    <w:rsid w:val="00390B68"/>
    <w:rsid w:val="0039318A"/>
    <w:rsid w:val="003932C1"/>
    <w:rsid w:val="0039375B"/>
    <w:rsid w:val="00395EA0"/>
    <w:rsid w:val="0039709B"/>
    <w:rsid w:val="00397911"/>
    <w:rsid w:val="003A1773"/>
    <w:rsid w:val="003A227F"/>
    <w:rsid w:val="003A4AC2"/>
    <w:rsid w:val="003A736C"/>
    <w:rsid w:val="003A742C"/>
    <w:rsid w:val="003A7EB9"/>
    <w:rsid w:val="003B0549"/>
    <w:rsid w:val="003B0957"/>
    <w:rsid w:val="003B0BB9"/>
    <w:rsid w:val="003B16D4"/>
    <w:rsid w:val="003B18EC"/>
    <w:rsid w:val="003B20FB"/>
    <w:rsid w:val="003B2F8D"/>
    <w:rsid w:val="003B3293"/>
    <w:rsid w:val="003B3AEC"/>
    <w:rsid w:val="003B49DB"/>
    <w:rsid w:val="003B50E1"/>
    <w:rsid w:val="003B51C4"/>
    <w:rsid w:val="003B61E7"/>
    <w:rsid w:val="003B651C"/>
    <w:rsid w:val="003B653D"/>
    <w:rsid w:val="003B6A91"/>
    <w:rsid w:val="003B6EC0"/>
    <w:rsid w:val="003C0F37"/>
    <w:rsid w:val="003C12EB"/>
    <w:rsid w:val="003C18F8"/>
    <w:rsid w:val="003C1CC4"/>
    <w:rsid w:val="003C2506"/>
    <w:rsid w:val="003C3C62"/>
    <w:rsid w:val="003C5140"/>
    <w:rsid w:val="003C6D63"/>
    <w:rsid w:val="003D0B74"/>
    <w:rsid w:val="003D1380"/>
    <w:rsid w:val="003D20D9"/>
    <w:rsid w:val="003D4A64"/>
    <w:rsid w:val="003D5FA9"/>
    <w:rsid w:val="003D68DB"/>
    <w:rsid w:val="003E0D80"/>
    <w:rsid w:val="003E381D"/>
    <w:rsid w:val="003E3A3A"/>
    <w:rsid w:val="003E4098"/>
    <w:rsid w:val="003E40FD"/>
    <w:rsid w:val="003E4984"/>
    <w:rsid w:val="003E4C2A"/>
    <w:rsid w:val="003E54D8"/>
    <w:rsid w:val="003E6127"/>
    <w:rsid w:val="003E63BF"/>
    <w:rsid w:val="003E6E9B"/>
    <w:rsid w:val="003E6F50"/>
    <w:rsid w:val="003E72A0"/>
    <w:rsid w:val="003F11B9"/>
    <w:rsid w:val="003F283B"/>
    <w:rsid w:val="003F3A11"/>
    <w:rsid w:val="003F4386"/>
    <w:rsid w:val="0040059A"/>
    <w:rsid w:val="00400680"/>
    <w:rsid w:val="00400998"/>
    <w:rsid w:val="00400A12"/>
    <w:rsid w:val="00401C01"/>
    <w:rsid w:val="00401C78"/>
    <w:rsid w:val="004029D1"/>
    <w:rsid w:val="00402C10"/>
    <w:rsid w:val="00404422"/>
    <w:rsid w:val="004065DB"/>
    <w:rsid w:val="00406A26"/>
    <w:rsid w:val="004072D8"/>
    <w:rsid w:val="0040757E"/>
    <w:rsid w:val="004117E1"/>
    <w:rsid w:val="00411BC2"/>
    <w:rsid w:val="00412DC0"/>
    <w:rsid w:val="00412FD3"/>
    <w:rsid w:val="0041515E"/>
    <w:rsid w:val="00420279"/>
    <w:rsid w:val="00421971"/>
    <w:rsid w:val="00421BD9"/>
    <w:rsid w:val="00421E24"/>
    <w:rsid w:val="00421F7E"/>
    <w:rsid w:val="00422A1E"/>
    <w:rsid w:val="00423BBE"/>
    <w:rsid w:val="0042461D"/>
    <w:rsid w:val="004247D6"/>
    <w:rsid w:val="00424C21"/>
    <w:rsid w:val="00425063"/>
    <w:rsid w:val="004254E0"/>
    <w:rsid w:val="004257C1"/>
    <w:rsid w:val="00430337"/>
    <w:rsid w:val="00430F76"/>
    <w:rsid w:val="00434EFD"/>
    <w:rsid w:val="00435D18"/>
    <w:rsid w:val="00436410"/>
    <w:rsid w:val="00436B04"/>
    <w:rsid w:val="00436EB2"/>
    <w:rsid w:val="00444774"/>
    <w:rsid w:val="00444FEF"/>
    <w:rsid w:val="004467B6"/>
    <w:rsid w:val="00447BCB"/>
    <w:rsid w:val="00450402"/>
    <w:rsid w:val="0045052C"/>
    <w:rsid w:val="00450837"/>
    <w:rsid w:val="00450F24"/>
    <w:rsid w:val="00451619"/>
    <w:rsid w:val="00451B17"/>
    <w:rsid w:val="004539B5"/>
    <w:rsid w:val="00453A5C"/>
    <w:rsid w:val="00454D95"/>
    <w:rsid w:val="00455D59"/>
    <w:rsid w:val="0045787A"/>
    <w:rsid w:val="004612C8"/>
    <w:rsid w:val="00461671"/>
    <w:rsid w:val="00461714"/>
    <w:rsid w:val="004646C4"/>
    <w:rsid w:val="00465D5E"/>
    <w:rsid w:val="00466D69"/>
    <w:rsid w:val="0047042C"/>
    <w:rsid w:val="0047045B"/>
    <w:rsid w:val="004719EA"/>
    <w:rsid w:val="00471C20"/>
    <w:rsid w:val="00472F4D"/>
    <w:rsid w:val="004746AC"/>
    <w:rsid w:val="00474A27"/>
    <w:rsid w:val="00474FF5"/>
    <w:rsid w:val="00475019"/>
    <w:rsid w:val="004760DA"/>
    <w:rsid w:val="00476D46"/>
    <w:rsid w:val="0047742E"/>
    <w:rsid w:val="004779E7"/>
    <w:rsid w:val="00477D5D"/>
    <w:rsid w:val="00480447"/>
    <w:rsid w:val="004804F8"/>
    <w:rsid w:val="0048176C"/>
    <w:rsid w:val="00482B7E"/>
    <w:rsid w:val="00483C96"/>
    <w:rsid w:val="00485057"/>
    <w:rsid w:val="004856FC"/>
    <w:rsid w:val="00485FD1"/>
    <w:rsid w:val="00487422"/>
    <w:rsid w:val="0048776E"/>
    <w:rsid w:val="00490E8A"/>
    <w:rsid w:val="004918A4"/>
    <w:rsid w:val="00491DAD"/>
    <w:rsid w:val="0049256A"/>
    <w:rsid w:val="004925E4"/>
    <w:rsid w:val="00492D7B"/>
    <w:rsid w:val="004931CA"/>
    <w:rsid w:val="0049411C"/>
    <w:rsid w:val="00495205"/>
    <w:rsid w:val="004952DF"/>
    <w:rsid w:val="0049584E"/>
    <w:rsid w:val="00496168"/>
    <w:rsid w:val="004975B3"/>
    <w:rsid w:val="00497AE6"/>
    <w:rsid w:val="004A1FB5"/>
    <w:rsid w:val="004A359D"/>
    <w:rsid w:val="004A45C0"/>
    <w:rsid w:val="004A4DC6"/>
    <w:rsid w:val="004A4E3F"/>
    <w:rsid w:val="004A4F76"/>
    <w:rsid w:val="004A5BAE"/>
    <w:rsid w:val="004A73F7"/>
    <w:rsid w:val="004A79FD"/>
    <w:rsid w:val="004B1882"/>
    <w:rsid w:val="004B1ADD"/>
    <w:rsid w:val="004B1D42"/>
    <w:rsid w:val="004B36D5"/>
    <w:rsid w:val="004B6C87"/>
    <w:rsid w:val="004B7496"/>
    <w:rsid w:val="004B78A3"/>
    <w:rsid w:val="004C0151"/>
    <w:rsid w:val="004C096B"/>
    <w:rsid w:val="004C309C"/>
    <w:rsid w:val="004C40AD"/>
    <w:rsid w:val="004C45AB"/>
    <w:rsid w:val="004C507A"/>
    <w:rsid w:val="004C6196"/>
    <w:rsid w:val="004C69C9"/>
    <w:rsid w:val="004C6CAD"/>
    <w:rsid w:val="004C700C"/>
    <w:rsid w:val="004D1056"/>
    <w:rsid w:val="004D2103"/>
    <w:rsid w:val="004D2497"/>
    <w:rsid w:val="004D3153"/>
    <w:rsid w:val="004D42D6"/>
    <w:rsid w:val="004D42F7"/>
    <w:rsid w:val="004D6457"/>
    <w:rsid w:val="004D68A5"/>
    <w:rsid w:val="004D6BBE"/>
    <w:rsid w:val="004D77BA"/>
    <w:rsid w:val="004E105E"/>
    <w:rsid w:val="004E38B1"/>
    <w:rsid w:val="004E40F8"/>
    <w:rsid w:val="004E41D8"/>
    <w:rsid w:val="004E4914"/>
    <w:rsid w:val="004E4924"/>
    <w:rsid w:val="004E4DB6"/>
    <w:rsid w:val="004E524E"/>
    <w:rsid w:val="004E666E"/>
    <w:rsid w:val="004E69B7"/>
    <w:rsid w:val="004E7269"/>
    <w:rsid w:val="004F10D6"/>
    <w:rsid w:val="004F2A96"/>
    <w:rsid w:val="004F3FEB"/>
    <w:rsid w:val="004F46A1"/>
    <w:rsid w:val="004F6F16"/>
    <w:rsid w:val="004F7874"/>
    <w:rsid w:val="004F7980"/>
    <w:rsid w:val="00500CF8"/>
    <w:rsid w:val="005019AB"/>
    <w:rsid w:val="00502C62"/>
    <w:rsid w:val="00504190"/>
    <w:rsid w:val="005045C0"/>
    <w:rsid w:val="0050522A"/>
    <w:rsid w:val="00505823"/>
    <w:rsid w:val="00505959"/>
    <w:rsid w:val="00505C84"/>
    <w:rsid w:val="00506DE6"/>
    <w:rsid w:val="005073BE"/>
    <w:rsid w:val="00507D04"/>
    <w:rsid w:val="00511266"/>
    <w:rsid w:val="00511C05"/>
    <w:rsid w:val="00512792"/>
    <w:rsid w:val="00512809"/>
    <w:rsid w:val="0051349D"/>
    <w:rsid w:val="005135C6"/>
    <w:rsid w:val="005136F0"/>
    <w:rsid w:val="00514595"/>
    <w:rsid w:val="00514C40"/>
    <w:rsid w:val="00514D28"/>
    <w:rsid w:val="00517287"/>
    <w:rsid w:val="0052014B"/>
    <w:rsid w:val="00521AF7"/>
    <w:rsid w:val="00522C6C"/>
    <w:rsid w:val="00523D81"/>
    <w:rsid w:val="00524AB1"/>
    <w:rsid w:val="00524E35"/>
    <w:rsid w:val="00526442"/>
    <w:rsid w:val="00526A60"/>
    <w:rsid w:val="005276C1"/>
    <w:rsid w:val="00527B23"/>
    <w:rsid w:val="005301D3"/>
    <w:rsid w:val="005305F7"/>
    <w:rsid w:val="00530B46"/>
    <w:rsid w:val="00531A58"/>
    <w:rsid w:val="0053302D"/>
    <w:rsid w:val="005332A4"/>
    <w:rsid w:val="00533666"/>
    <w:rsid w:val="00534089"/>
    <w:rsid w:val="00534559"/>
    <w:rsid w:val="00535D1A"/>
    <w:rsid w:val="005362B7"/>
    <w:rsid w:val="005362CB"/>
    <w:rsid w:val="00537715"/>
    <w:rsid w:val="00540CC5"/>
    <w:rsid w:val="00540ED0"/>
    <w:rsid w:val="00542B0F"/>
    <w:rsid w:val="00543720"/>
    <w:rsid w:val="0054395E"/>
    <w:rsid w:val="00544A7B"/>
    <w:rsid w:val="00544CB5"/>
    <w:rsid w:val="00544F5C"/>
    <w:rsid w:val="005452FD"/>
    <w:rsid w:val="00546113"/>
    <w:rsid w:val="00547829"/>
    <w:rsid w:val="0054795A"/>
    <w:rsid w:val="0055017B"/>
    <w:rsid w:val="00551479"/>
    <w:rsid w:val="00552696"/>
    <w:rsid w:val="00552E99"/>
    <w:rsid w:val="00553879"/>
    <w:rsid w:val="00553A15"/>
    <w:rsid w:val="00554869"/>
    <w:rsid w:val="00554FB3"/>
    <w:rsid w:val="00555260"/>
    <w:rsid w:val="00555AB9"/>
    <w:rsid w:val="005576B5"/>
    <w:rsid w:val="005633AB"/>
    <w:rsid w:val="005638A7"/>
    <w:rsid w:val="00564EA9"/>
    <w:rsid w:val="00566E47"/>
    <w:rsid w:val="00567263"/>
    <w:rsid w:val="0056797F"/>
    <w:rsid w:val="005703DE"/>
    <w:rsid w:val="005715E2"/>
    <w:rsid w:val="0057187C"/>
    <w:rsid w:val="00571ADA"/>
    <w:rsid w:val="00572CBF"/>
    <w:rsid w:val="00573A08"/>
    <w:rsid w:val="005743DB"/>
    <w:rsid w:val="005762B5"/>
    <w:rsid w:val="00577945"/>
    <w:rsid w:val="005807C0"/>
    <w:rsid w:val="005812A0"/>
    <w:rsid w:val="00581EA4"/>
    <w:rsid w:val="00582F57"/>
    <w:rsid w:val="0058502A"/>
    <w:rsid w:val="00585D08"/>
    <w:rsid w:val="0058626A"/>
    <w:rsid w:val="0058669D"/>
    <w:rsid w:val="005900DC"/>
    <w:rsid w:val="00591021"/>
    <w:rsid w:val="005913B5"/>
    <w:rsid w:val="005932BD"/>
    <w:rsid w:val="00595C1D"/>
    <w:rsid w:val="00597FFC"/>
    <w:rsid w:val="005A00F6"/>
    <w:rsid w:val="005A0640"/>
    <w:rsid w:val="005A1D51"/>
    <w:rsid w:val="005A2FF7"/>
    <w:rsid w:val="005A338E"/>
    <w:rsid w:val="005A36DA"/>
    <w:rsid w:val="005A3F2B"/>
    <w:rsid w:val="005A3FF9"/>
    <w:rsid w:val="005A4D61"/>
    <w:rsid w:val="005A6031"/>
    <w:rsid w:val="005A61A3"/>
    <w:rsid w:val="005A64CD"/>
    <w:rsid w:val="005A75B2"/>
    <w:rsid w:val="005B0EAC"/>
    <w:rsid w:val="005B3478"/>
    <w:rsid w:val="005B37E1"/>
    <w:rsid w:val="005B4498"/>
    <w:rsid w:val="005B46D3"/>
    <w:rsid w:val="005B4C01"/>
    <w:rsid w:val="005B57C7"/>
    <w:rsid w:val="005B593A"/>
    <w:rsid w:val="005B67D1"/>
    <w:rsid w:val="005B72C1"/>
    <w:rsid w:val="005C135A"/>
    <w:rsid w:val="005C1478"/>
    <w:rsid w:val="005C2FBB"/>
    <w:rsid w:val="005C4511"/>
    <w:rsid w:val="005C546E"/>
    <w:rsid w:val="005C66E7"/>
    <w:rsid w:val="005C75B5"/>
    <w:rsid w:val="005C7718"/>
    <w:rsid w:val="005C7BA2"/>
    <w:rsid w:val="005C7CF1"/>
    <w:rsid w:val="005D0A5A"/>
    <w:rsid w:val="005D230C"/>
    <w:rsid w:val="005D49E2"/>
    <w:rsid w:val="005D6D81"/>
    <w:rsid w:val="005D6F8C"/>
    <w:rsid w:val="005D727C"/>
    <w:rsid w:val="005D7826"/>
    <w:rsid w:val="005D78D8"/>
    <w:rsid w:val="005D7BC0"/>
    <w:rsid w:val="005E193B"/>
    <w:rsid w:val="005E1B25"/>
    <w:rsid w:val="005E1F3A"/>
    <w:rsid w:val="005E27AB"/>
    <w:rsid w:val="005E28C9"/>
    <w:rsid w:val="005E3960"/>
    <w:rsid w:val="005E439D"/>
    <w:rsid w:val="005E44DD"/>
    <w:rsid w:val="005E464E"/>
    <w:rsid w:val="005E4780"/>
    <w:rsid w:val="005E5B07"/>
    <w:rsid w:val="005E5EBE"/>
    <w:rsid w:val="005E6B3D"/>
    <w:rsid w:val="005F1364"/>
    <w:rsid w:val="005F24A7"/>
    <w:rsid w:val="005F29DD"/>
    <w:rsid w:val="005F7CE3"/>
    <w:rsid w:val="00602AFB"/>
    <w:rsid w:val="00604D28"/>
    <w:rsid w:val="00604FB8"/>
    <w:rsid w:val="0060620C"/>
    <w:rsid w:val="006066A1"/>
    <w:rsid w:val="006070A2"/>
    <w:rsid w:val="006074A3"/>
    <w:rsid w:val="006077E5"/>
    <w:rsid w:val="00607BCF"/>
    <w:rsid w:val="00607ECB"/>
    <w:rsid w:val="00611B04"/>
    <w:rsid w:val="00612007"/>
    <w:rsid w:val="00612AAA"/>
    <w:rsid w:val="00613695"/>
    <w:rsid w:val="00613E20"/>
    <w:rsid w:val="00615A0B"/>
    <w:rsid w:val="0061611B"/>
    <w:rsid w:val="00616A85"/>
    <w:rsid w:val="006255A2"/>
    <w:rsid w:val="00625BE8"/>
    <w:rsid w:val="006272DA"/>
    <w:rsid w:val="006275DD"/>
    <w:rsid w:val="00627F69"/>
    <w:rsid w:val="00627FE1"/>
    <w:rsid w:val="00630A51"/>
    <w:rsid w:val="00632435"/>
    <w:rsid w:val="00632715"/>
    <w:rsid w:val="00632835"/>
    <w:rsid w:val="00632EA0"/>
    <w:rsid w:val="00633C24"/>
    <w:rsid w:val="006375B5"/>
    <w:rsid w:val="006377F7"/>
    <w:rsid w:val="00637B75"/>
    <w:rsid w:val="00640AD0"/>
    <w:rsid w:val="0064410F"/>
    <w:rsid w:val="00644C94"/>
    <w:rsid w:val="00644F2F"/>
    <w:rsid w:val="00651188"/>
    <w:rsid w:val="0065269C"/>
    <w:rsid w:val="00656877"/>
    <w:rsid w:val="00657D1C"/>
    <w:rsid w:val="006604BF"/>
    <w:rsid w:val="00660537"/>
    <w:rsid w:val="00661D91"/>
    <w:rsid w:val="00664F25"/>
    <w:rsid w:val="00665931"/>
    <w:rsid w:val="00665987"/>
    <w:rsid w:val="00665A5E"/>
    <w:rsid w:val="00666736"/>
    <w:rsid w:val="006668C9"/>
    <w:rsid w:val="00666C2B"/>
    <w:rsid w:val="006676C5"/>
    <w:rsid w:val="006676D0"/>
    <w:rsid w:val="00667929"/>
    <w:rsid w:val="00667D5C"/>
    <w:rsid w:val="0067072B"/>
    <w:rsid w:val="006716EE"/>
    <w:rsid w:val="00671794"/>
    <w:rsid w:val="00672A98"/>
    <w:rsid w:val="00672EF5"/>
    <w:rsid w:val="0067344D"/>
    <w:rsid w:val="00675351"/>
    <w:rsid w:val="00676211"/>
    <w:rsid w:val="00680EA6"/>
    <w:rsid w:val="00680F85"/>
    <w:rsid w:val="006815A4"/>
    <w:rsid w:val="006815C4"/>
    <w:rsid w:val="00682BE5"/>
    <w:rsid w:val="006830F4"/>
    <w:rsid w:val="006852B7"/>
    <w:rsid w:val="00685301"/>
    <w:rsid w:val="0068671C"/>
    <w:rsid w:val="00687176"/>
    <w:rsid w:val="00690AD5"/>
    <w:rsid w:val="006915DF"/>
    <w:rsid w:val="00691DB7"/>
    <w:rsid w:val="0069283A"/>
    <w:rsid w:val="00692BA7"/>
    <w:rsid w:val="00692F4D"/>
    <w:rsid w:val="006940AB"/>
    <w:rsid w:val="00694F9D"/>
    <w:rsid w:val="0069786F"/>
    <w:rsid w:val="006A08C5"/>
    <w:rsid w:val="006A1D5C"/>
    <w:rsid w:val="006A209E"/>
    <w:rsid w:val="006A3FA1"/>
    <w:rsid w:val="006A4DFA"/>
    <w:rsid w:val="006A5CA2"/>
    <w:rsid w:val="006A5DB2"/>
    <w:rsid w:val="006A6930"/>
    <w:rsid w:val="006A7295"/>
    <w:rsid w:val="006A7E16"/>
    <w:rsid w:val="006B0831"/>
    <w:rsid w:val="006B1B4C"/>
    <w:rsid w:val="006B41D5"/>
    <w:rsid w:val="006B5DB7"/>
    <w:rsid w:val="006B5F09"/>
    <w:rsid w:val="006B7ADE"/>
    <w:rsid w:val="006B7DF8"/>
    <w:rsid w:val="006C1ACF"/>
    <w:rsid w:val="006C1C4B"/>
    <w:rsid w:val="006C34E6"/>
    <w:rsid w:val="006C3DC0"/>
    <w:rsid w:val="006C44AB"/>
    <w:rsid w:val="006C4C8F"/>
    <w:rsid w:val="006C53E4"/>
    <w:rsid w:val="006C68F6"/>
    <w:rsid w:val="006C7BEF"/>
    <w:rsid w:val="006D08E9"/>
    <w:rsid w:val="006D112D"/>
    <w:rsid w:val="006D24E6"/>
    <w:rsid w:val="006D304A"/>
    <w:rsid w:val="006D338B"/>
    <w:rsid w:val="006D4774"/>
    <w:rsid w:val="006D4805"/>
    <w:rsid w:val="006D58EF"/>
    <w:rsid w:val="006D5971"/>
    <w:rsid w:val="006D629F"/>
    <w:rsid w:val="006D6828"/>
    <w:rsid w:val="006D7473"/>
    <w:rsid w:val="006D7CFE"/>
    <w:rsid w:val="006E0200"/>
    <w:rsid w:val="006E18B2"/>
    <w:rsid w:val="006E1ABF"/>
    <w:rsid w:val="006E20EF"/>
    <w:rsid w:val="006E2FD3"/>
    <w:rsid w:val="006E59C4"/>
    <w:rsid w:val="006E5A01"/>
    <w:rsid w:val="006E6545"/>
    <w:rsid w:val="006E6FCF"/>
    <w:rsid w:val="006F0A9F"/>
    <w:rsid w:val="006F14F4"/>
    <w:rsid w:val="006F19FB"/>
    <w:rsid w:val="006F3DED"/>
    <w:rsid w:val="006F477F"/>
    <w:rsid w:val="006F4F8A"/>
    <w:rsid w:val="006F6B6C"/>
    <w:rsid w:val="006F7735"/>
    <w:rsid w:val="007002BE"/>
    <w:rsid w:val="00700BA2"/>
    <w:rsid w:val="0070295E"/>
    <w:rsid w:val="007032AA"/>
    <w:rsid w:val="00706580"/>
    <w:rsid w:val="00706C35"/>
    <w:rsid w:val="0070751D"/>
    <w:rsid w:val="00707CC4"/>
    <w:rsid w:val="00707F1E"/>
    <w:rsid w:val="00711827"/>
    <w:rsid w:val="0071190D"/>
    <w:rsid w:val="0071272A"/>
    <w:rsid w:val="0071529F"/>
    <w:rsid w:val="00715AE1"/>
    <w:rsid w:val="007161BA"/>
    <w:rsid w:val="007212BA"/>
    <w:rsid w:val="0072290B"/>
    <w:rsid w:val="00725C83"/>
    <w:rsid w:val="0072607B"/>
    <w:rsid w:val="007265DC"/>
    <w:rsid w:val="007279AB"/>
    <w:rsid w:val="0073199F"/>
    <w:rsid w:val="007323DD"/>
    <w:rsid w:val="00733CAF"/>
    <w:rsid w:val="007342C0"/>
    <w:rsid w:val="0073434F"/>
    <w:rsid w:val="007357F3"/>
    <w:rsid w:val="00736347"/>
    <w:rsid w:val="00737A39"/>
    <w:rsid w:val="0074067F"/>
    <w:rsid w:val="007408D7"/>
    <w:rsid w:val="007417D4"/>
    <w:rsid w:val="00741A49"/>
    <w:rsid w:val="00741F0D"/>
    <w:rsid w:val="007421AE"/>
    <w:rsid w:val="0074491A"/>
    <w:rsid w:val="00744AEC"/>
    <w:rsid w:val="00746CE2"/>
    <w:rsid w:val="007475C2"/>
    <w:rsid w:val="00747A50"/>
    <w:rsid w:val="007515F2"/>
    <w:rsid w:val="00751F2A"/>
    <w:rsid w:val="007526B5"/>
    <w:rsid w:val="00752966"/>
    <w:rsid w:val="00753E8B"/>
    <w:rsid w:val="00754193"/>
    <w:rsid w:val="00754B5B"/>
    <w:rsid w:val="007554BE"/>
    <w:rsid w:val="00755FF7"/>
    <w:rsid w:val="007568E1"/>
    <w:rsid w:val="00762003"/>
    <w:rsid w:val="00764352"/>
    <w:rsid w:val="00765246"/>
    <w:rsid w:val="0076686B"/>
    <w:rsid w:val="00770D92"/>
    <w:rsid w:val="00772661"/>
    <w:rsid w:val="0077280A"/>
    <w:rsid w:val="00772AC6"/>
    <w:rsid w:val="00772FC3"/>
    <w:rsid w:val="007736C9"/>
    <w:rsid w:val="00781A45"/>
    <w:rsid w:val="00781D76"/>
    <w:rsid w:val="007827E0"/>
    <w:rsid w:val="00782AF6"/>
    <w:rsid w:val="00782C35"/>
    <w:rsid w:val="007832C4"/>
    <w:rsid w:val="007834CE"/>
    <w:rsid w:val="007836BA"/>
    <w:rsid w:val="0078370A"/>
    <w:rsid w:val="00784E09"/>
    <w:rsid w:val="00785362"/>
    <w:rsid w:val="007856AF"/>
    <w:rsid w:val="0078756A"/>
    <w:rsid w:val="00790380"/>
    <w:rsid w:val="0079151F"/>
    <w:rsid w:val="0079307B"/>
    <w:rsid w:val="007946F2"/>
    <w:rsid w:val="00797A09"/>
    <w:rsid w:val="007A081E"/>
    <w:rsid w:val="007A095B"/>
    <w:rsid w:val="007A282D"/>
    <w:rsid w:val="007A457C"/>
    <w:rsid w:val="007A5052"/>
    <w:rsid w:val="007A5AAC"/>
    <w:rsid w:val="007A75E7"/>
    <w:rsid w:val="007A764E"/>
    <w:rsid w:val="007B016A"/>
    <w:rsid w:val="007B19FE"/>
    <w:rsid w:val="007B2026"/>
    <w:rsid w:val="007B2B56"/>
    <w:rsid w:val="007B3022"/>
    <w:rsid w:val="007B3902"/>
    <w:rsid w:val="007B6793"/>
    <w:rsid w:val="007B7868"/>
    <w:rsid w:val="007B7CD8"/>
    <w:rsid w:val="007C02A3"/>
    <w:rsid w:val="007C25CD"/>
    <w:rsid w:val="007C2CA0"/>
    <w:rsid w:val="007C354B"/>
    <w:rsid w:val="007C486A"/>
    <w:rsid w:val="007C4CC3"/>
    <w:rsid w:val="007C4E86"/>
    <w:rsid w:val="007C50EE"/>
    <w:rsid w:val="007C5E89"/>
    <w:rsid w:val="007C5EE1"/>
    <w:rsid w:val="007C62F6"/>
    <w:rsid w:val="007C7939"/>
    <w:rsid w:val="007C7AB1"/>
    <w:rsid w:val="007D04F7"/>
    <w:rsid w:val="007D0C47"/>
    <w:rsid w:val="007D1588"/>
    <w:rsid w:val="007D1982"/>
    <w:rsid w:val="007D23D0"/>
    <w:rsid w:val="007D2F5A"/>
    <w:rsid w:val="007D3220"/>
    <w:rsid w:val="007D6A94"/>
    <w:rsid w:val="007E09C8"/>
    <w:rsid w:val="007E3CE7"/>
    <w:rsid w:val="007E3FA3"/>
    <w:rsid w:val="007E4F4F"/>
    <w:rsid w:val="007E5494"/>
    <w:rsid w:val="007E626F"/>
    <w:rsid w:val="007E64F7"/>
    <w:rsid w:val="007E6DA6"/>
    <w:rsid w:val="007F0379"/>
    <w:rsid w:val="007F0802"/>
    <w:rsid w:val="007F2C32"/>
    <w:rsid w:val="007F3773"/>
    <w:rsid w:val="007F425F"/>
    <w:rsid w:val="007F42BE"/>
    <w:rsid w:val="007F437A"/>
    <w:rsid w:val="007F4DC4"/>
    <w:rsid w:val="007F569A"/>
    <w:rsid w:val="007F59C7"/>
    <w:rsid w:val="007F5F96"/>
    <w:rsid w:val="007F7703"/>
    <w:rsid w:val="007F7C06"/>
    <w:rsid w:val="007F7E4E"/>
    <w:rsid w:val="00800E7C"/>
    <w:rsid w:val="00806E04"/>
    <w:rsid w:val="00807FB2"/>
    <w:rsid w:val="00810FED"/>
    <w:rsid w:val="00811D5F"/>
    <w:rsid w:val="00812798"/>
    <w:rsid w:val="00812D32"/>
    <w:rsid w:val="00813839"/>
    <w:rsid w:val="00815601"/>
    <w:rsid w:val="00815F6D"/>
    <w:rsid w:val="00816079"/>
    <w:rsid w:val="008161F9"/>
    <w:rsid w:val="00816941"/>
    <w:rsid w:val="008227A7"/>
    <w:rsid w:val="008247C1"/>
    <w:rsid w:val="00824840"/>
    <w:rsid w:val="00824F96"/>
    <w:rsid w:val="00830706"/>
    <w:rsid w:val="008318D3"/>
    <w:rsid w:val="00832F35"/>
    <w:rsid w:val="008356D8"/>
    <w:rsid w:val="00835931"/>
    <w:rsid w:val="008359F8"/>
    <w:rsid w:val="00836DB5"/>
    <w:rsid w:val="00841436"/>
    <w:rsid w:val="00842B8E"/>
    <w:rsid w:val="0084347F"/>
    <w:rsid w:val="0084504D"/>
    <w:rsid w:val="008454BF"/>
    <w:rsid w:val="00845A75"/>
    <w:rsid w:val="00845EA7"/>
    <w:rsid w:val="008476BF"/>
    <w:rsid w:val="00851018"/>
    <w:rsid w:val="00851298"/>
    <w:rsid w:val="008515DA"/>
    <w:rsid w:val="0085177F"/>
    <w:rsid w:val="008530FC"/>
    <w:rsid w:val="008533D2"/>
    <w:rsid w:val="0085365A"/>
    <w:rsid w:val="00855129"/>
    <w:rsid w:val="00856E48"/>
    <w:rsid w:val="008572C0"/>
    <w:rsid w:val="00857CC7"/>
    <w:rsid w:val="00860B8C"/>
    <w:rsid w:val="00861910"/>
    <w:rsid w:val="00861E79"/>
    <w:rsid w:val="008654E5"/>
    <w:rsid w:val="00866309"/>
    <w:rsid w:val="00866DB4"/>
    <w:rsid w:val="00866E0E"/>
    <w:rsid w:val="0086775E"/>
    <w:rsid w:val="00867D77"/>
    <w:rsid w:val="00871738"/>
    <w:rsid w:val="008719F0"/>
    <w:rsid w:val="00871B65"/>
    <w:rsid w:val="00872CFD"/>
    <w:rsid w:val="008736C9"/>
    <w:rsid w:val="00873DB0"/>
    <w:rsid w:val="00874226"/>
    <w:rsid w:val="008745B4"/>
    <w:rsid w:val="0087749F"/>
    <w:rsid w:val="008816A9"/>
    <w:rsid w:val="00882DCF"/>
    <w:rsid w:val="008838C4"/>
    <w:rsid w:val="00884E77"/>
    <w:rsid w:val="008852C1"/>
    <w:rsid w:val="008874CC"/>
    <w:rsid w:val="00887A58"/>
    <w:rsid w:val="00890CBB"/>
    <w:rsid w:val="00890E89"/>
    <w:rsid w:val="00891C43"/>
    <w:rsid w:val="00891C84"/>
    <w:rsid w:val="008925B0"/>
    <w:rsid w:val="00892B88"/>
    <w:rsid w:val="00893F87"/>
    <w:rsid w:val="00894E20"/>
    <w:rsid w:val="00896554"/>
    <w:rsid w:val="008A06B2"/>
    <w:rsid w:val="008A1737"/>
    <w:rsid w:val="008A3EF1"/>
    <w:rsid w:val="008A497A"/>
    <w:rsid w:val="008B001A"/>
    <w:rsid w:val="008B081F"/>
    <w:rsid w:val="008B2720"/>
    <w:rsid w:val="008B354E"/>
    <w:rsid w:val="008B3D64"/>
    <w:rsid w:val="008B440F"/>
    <w:rsid w:val="008B464B"/>
    <w:rsid w:val="008B51CF"/>
    <w:rsid w:val="008B5440"/>
    <w:rsid w:val="008B6067"/>
    <w:rsid w:val="008C02EE"/>
    <w:rsid w:val="008C0BA1"/>
    <w:rsid w:val="008C1612"/>
    <w:rsid w:val="008C1CD9"/>
    <w:rsid w:val="008C31FE"/>
    <w:rsid w:val="008C3C11"/>
    <w:rsid w:val="008C47A2"/>
    <w:rsid w:val="008C4AF1"/>
    <w:rsid w:val="008C5B85"/>
    <w:rsid w:val="008C7B41"/>
    <w:rsid w:val="008D049A"/>
    <w:rsid w:val="008D163C"/>
    <w:rsid w:val="008D17D4"/>
    <w:rsid w:val="008D43BB"/>
    <w:rsid w:val="008D7C53"/>
    <w:rsid w:val="008D7F3C"/>
    <w:rsid w:val="008E0E31"/>
    <w:rsid w:val="008E188F"/>
    <w:rsid w:val="008E213F"/>
    <w:rsid w:val="008E4712"/>
    <w:rsid w:val="008E500E"/>
    <w:rsid w:val="008E55FB"/>
    <w:rsid w:val="008E57C0"/>
    <w:rsid w:val="008E58B3"/>
    <w:rsid w:val="008E65CA"/>
    <w:rsid w:val="008F1647"/>
    <w:rsid w:val="008F1CB2"/>
    <w:rsid w:val="008F37EB"/>
    <w:rsid w:val="008F3C3B"/>
    <w:rsid w:val="008F3D5F"/>
    <w:rsid w:val="008F655A"/>
    <w:rsid w:val="008F65BE"/>
    <w:rsid w:val="008F7025"/>
    <w:rsid w:val="008F763B"/>
    <w:rsid w:val="008F7CB1"/>
    <w:rsid w:val="00901F99"/>
    <w:rsid w:val="00902306"/>
    <w:rsid w:val="00902642"/>
    <w:rsid w:val="00902B94"/>
    <w:rsid w:val="00903438"/>
    <w:rsid w:val="00903852"/>
    <w:rsid w:val="0090433C"/>
    <w:rsid w:val="009048AC"/>
    <w:rsid w:val="00904BBC"/>
    <w:rsid w:val="009064C8"/>
    <w:rsid w:val="0091155A"/>
    <w:rsid w:val="00913782"/>
    <w:rsid w:val="00915070"/>
    <w:rsid w:val="00920580"/>
    <w:rsid w:val="009216B1"/>
    <w:rsid w:val="00922A21"/>
    <w:rsid w:val="00922F96"/>
    <w:rsid w:val="009230ED"/>
    <w:rsid w:val="00923646"/>
    <w:rsid w:val="009237AB"/>
    <w:rsid w:val="0092388F"/>
    <w:rsid w:val="00923A4B"/>
    <w:rsid w:val="00925118"/>
    <w:rsid w:val="0092528E"/>
    <w:rsid w:val="009263A1"/>
    <w:rsid w:val="00926781"/>
    <w:rsid w:val="0092696F"/>
    <w:rsid w:val="009274BD"/>
    <w:rsid w:val="00931A86"/>
    <w:rsid w:val="009328E4"/>
    <w:rsid w:val="009336EE"/>
    <w:rsid w:val="00933C6E"/>
    <w:rsid w:val="009354D4"/>
    <w:rsid w:val="00936A45"/>
    <w:rsid w:val="00937A75"/>
    <w:rsid w:val="009400B7"/>
    <w:rsid w:val="00940CED"/>
    <w:rsid w:val="00941005"/>
    <w:rsid w:val="009421DD"/>
    <w:rsid w:val="00942D46"/>
    <w:rsid w:val="00942F95"/>
    <w:rsid w:val="00943041"/>
    <w:rsid w:val="009434D3"/>
    <w:rsid w:val="0094390B"/>
    <w:rsid w:val="00945038"/>
    <w:rsid w:val="00950C25"/>
    <w:rsid w:val="00951A6A"/>
    <w:rsid w:val="0095613E"/>
    <w:rsid w:val="0096047F"/>
    <w:rsid w:val="00962757"/>
    <w:rsid w:val="0096282B"/>
    <w:rsid w:val="00962935"/>
    <w:rsid w:val="00963A7D"/>
    <w:rsid w:val="0096440E"/>
    <w:rsid w:val="00965211"/>
    <w:rsid w:val="009654BD"/>
    <w:rsid w:val="0096573F"/>
    <w:rsid w:val="00966FA0"/>
    <w:rsid w:val="0097061B"/>
    <w:rsid w:val="00971134"/>
    <w:rsid w:val="009711DB"/>
    <w:rsid w:val="00971384"/>
    <w:rsid w:val="00972BFF"/>
    <w:rsid w:val="00973DED"/>
    <w:rsid w:val="009750E2"/>
    <w:rsid w:val="00976754"/>
    <w:rsid w:val="00976AA6"/>
    <w:rsid w:val="00977530"/>
    <w:rsid w:val="009800C2"/>
    <w:rsid w:val="0098168F"/>
    <w:rsid w:val="00981741"/>
    <w:rsid w:val="00981F1C"/>
    <w:rsid w:val="00982505"/>
    <w:rsid w:val="00982750"/>
    <w:rsid w:val="00984934"/>
    <w:rsid w:val="00984A1D"/>
    <w:rsid w:val="009855F8"/>
    <w:rsid w:val="0098570E"/>
    <w:rsid w:val="00986D26"/>
    <w:rsid w:val="009876AF"/>
    <w:rsid w:val="00987E95"/>
    <w:rsid w:val="009911A4"/>
    <w:rsid w:val="00992A34"/>
    <w:rsid w:val="009955D9"/>
    <w:rsid w:val="009964BD"/>
    <w:rsid w:val="00997DB1"/>
    <w:rsid w:val="009A0E12"/>
    <w:rsid w:val="009A3784"/>
    <w:rsid w:val="009A4013"/>
    <w:rsid w:val="009A66EA"/>
    <w:rsid w:val="009A7FD4"/>
    <w:rsid w:val="009B12C0"/>
    <w:rsid w:val="009B1AF7"/>
    <w:rsid w:val="009B260D"/>
    <w:rsid w:val="009B2FD5"/>
    <w:rsid w:val="009B6CFD"/>
    <w:rsid w:val="009B71D3"/>
    <w:rsid w:val="009B75CE"/>
    <w:rsid w:val="009C14A2"/>
    <w:rsid w:val="009C22A5"/>
    <w:rsid w:val="009C2431"/>
    <w:rsid w:val="009C2B61"/>
    <w:rsid w:val="009C346C"/>
    <w:rsid w:val="009C3E5B"/>
    <w:rsid w:val="009C4C65"/>
    <w:rsid w:val="009C4F8E"/>
    <w:rsid w:val="009C6A0E"/>
    <w:rsid w:val="009C7BBC"/>
    <w:rsid w:val="009D0D33"/>
    <w:rsid w:val="009D1566"/>
    <w:rsid w:val="009D1DD3"/>
    <w:rsid w:val="009D2BB5"/>
    <w:rsid w:val="009D34AE"/>
    <w:rsid w:val="009D50A0"/>
    <w:rsid w:val="009D51B6"/>
    <w:rsid w:val="009D5CA4"/>
    <w:rsid w:val="009D5F73"/>
    <w:rsid w:val="009D64F7"/>
    <w:rsid w:val="009D6B4A"/>
    <w:rsid w:val="009E0AA9"/>
    <w:rsid w:val="009E1857"/>
    <w:rsid w:val="009E275C"/>
    <w:rsid w:val="009E3CA2"/>
    <w:rsid w:val="009E4BC0"/>
    <w:rsid w:val="009E5A51"/>
    <w:rsid w:val="009E7722"/>
    <w:rsid w:val="009E7CBB"/>
    <w:rsid w:val="009F0005"/>
    <w:rsid w:val="009F1270"/>
    <w:rsid w:val="009F1558"/>
    <w:rsid w:val="009F28AD"/>
    <w:rsid w:val="009F2F75"/>
    <w:rsid w:val="009F39D2"/>
    <w:rsid w:val="009F4112"/>
    <w:rsid w:val="009F45F5"/>
    <w:rsid w:val="009F5CE5"/>
    <w:rsid w:val="009F61E5"/>
    <w:rsid w:val="00A00598"/>
    <w:rsid w:val="00A01780"/>
    <w:rsid w:val="00A01A39"/>
    <w:rsid w:val="00A01EBA"/>
    <w:rsid w:val="00A0355A"/>
    <w:rsid w:val="00A05820"/>
    <w:rsid w:val="00A0648E"/>
    <w:rsid w:val="00A065D6"/>
    <w:rsid w:val="00A066D2"/>
    <w:rsid w:val="00A0704B"/>
    <w:rsid w:val="00A10BBC"/>
    <w:rsid w:val="00A1187C"/>
    <w:rsid w:val="00A131E7"/>
    <w:rsid w:val="00A13353"/>
    <w:rsid w:val="00A13614"/>
    <w:rsid w:val="00A15620"/>
    <w:rsid w:val="00A15924"/>
    <w:rsid w:val="00A1595F"/>
    <w:rsid w:val="00A1630D"/>
    <w:rsid w:val="00A20A77"/>
    <w:rsid w:val="00A21283"/>
    <w:rsid w:val="00A229FC"/>
    <w:rsid w:val="00A25881"/>
    <w:rsid w:val="00A25BCF"/>
    <w:rsid w:val="00A27A74"/>
    <w:rsid w:val="00A312D1"/>
    <w:rsid w:val="00A3167B"/>
    <w:rsid w:val="00A32525"/>
    <w:rsid w:val="00A3360E"/>
    <w:rsid w:val="00A33B85"/>
    <w:rsid w:val="00A34BCC"/>
    <w:rsid w:val="00A353F2"/>
    <w:rsid w:val="00A35661"/>
    <w:rsid w:val="00A35B5C"/>
    <w:rsid w:val="00A363D0"/>
    <w:rsid w:val="00A36729"/>
    <w:rsid w:val="00A369FA"/>
    <w:rsid w:val="00A36EEE"/>
    <w:rsid w:val="00A370DF"/>
    <w:rsid w:val="00A403A3"/>
    <w:rsid w:val="00A40830"/>
    <w:rsid w:val="00A43BD1"/>
    <w:rsid w:val="00A43FF9"/>
    <w:rsid w:val="00A44743"/>
    <w:rsid w:val="00A44FE9"/>
    <w:rsid w:val="00A451A0"/>
    <w:rsid w:val="00A45770"/>
    <w:rsid w:val="00A50841"/>
    <w:rsid w:val="00A50D94"/>
    <w:rsid w:val="00A533D1"/>
    <w:rsid w:val="00A533DA"/>
    <w:rsid w:val="00A535C8"/>
    <w:rsid w:val="00A537CD"/>
    <w:rsid w:val="00A53DE3"/>
    <w:rsid w:val="00A54EBF"/>
    <w:rsid w:val="00A572F6"/>
    <w:rsid w:val="00A57442"/>
    <w:rsid w:val="00A6051E"/>
    <w:rsid w:val="00A6115F"/>
    <w:rsid w:val="00A61865"/>
    <w:rsid w:val="00A63A2A"/>
    <w:rsid w:val="00A6472D"/>
    <w:rsid w:val="00A6508B"/>
    <w:rsid w:val="00A654DB"/>
    <w:rsid w:val="00A70639"/>
    <w:rsid w:val="00A7188D"/>
    <w:rsid w:val="00A7288E"/>
    <w:rsid w:val="00A737DD"/>
    <w:rsid w:val="00A74F02"/>
    <w:rsid w:val="00A77297"/>
    <w:rsid w:val="00A82043"/>
    <w:rsid w:val="00A82159"/>
    <w:rsid w:val="00A831F2"/>
    <w:rsid w:val="00A83888"/>
    <w:rsid w:val="00A84728"/>
    <w:rsid w:val="00A84D19"/>
    <w:rsid w:val="00A8629C"/>
    <w:rsid w:val="00A87101"/>
    <w:rsid w:val="00A8715E"/>
    <w:rsid w:val="00A87E28"/>
    <w:rsid w:val="00A90E2B"/>
    <w:rsid w:val="00A938E8"/>
    <w:rsid w:val="00A94174"/>
    <w:rsid w:val="00A945CD"/>
    <w:rsid w:val="00A96587"/>
    <w:rsid w:val="00AA04BC"/>
    <w:rsid w:val="00AA179C"/>
    <w:rsid w:val="00AA5898"/>
    <w:rsid w:val="00AA5E60"/>
    <w:rsid w:val="00AA6754"/>
    <w:rsid w:val="00AA6BCC"/>
    <w:rsid w:val="00AA745E"/>
    <w:rsid w:val="00AA7EAD"/>
    <w:rsid w:val="00AB2B91"/>
    <w:rsid w:val="00AB302F"/>
    <w:rsid w:val="00AB650C"/>
    <w:rsid w:val="00AB6702"/>
    <w:rsid w:val="00AB76A1"/>
    <w:rsid w:val="00AB7A80"/>
    <w:rsid w:val="00AC03E6"/>
    <w:rsid w:val="00AC099A"/>
    <w:rsid w:val="00AC275E"/>
    <w:rsid w:val="00AC3177"/>
    <w:rsid w:val="00AC4E1D"/>
    <w:rsid w:val="00AC57F5"/>
    <w:rsid w:val="00AD05F9"/>
    <w:rsid w:val="00AD0652"/>
    <w:rsid w:val="00AD0A79"/>
    <w:rsid w:val="00AD1740"/>
    <w:rsid w:val="00AD3CA1"/>
    <w:rsid w:val="00AD3F5A"/>
    <w:rsid w:val="00AD6637"/>
    <w:rsid w:val="00AD6BE5"/>
    <w:rsid w:val="00AD727C"/>
    <w:rsid w:val="00AD7F46"/>
    <w:rsid w:val="00AE065C"/>
    <w:rsid w:val="00AE084A"/>
    <w:rsid w:val="00AE0916"/>
    <w:rsid w:val="00AE09AB"/>
    <w:rsid w:val="00AE24FE"/>
    <w:rsid w:val="00AE2F0D"/>
    <w:rsid w:val="00AE2F33"/>
    <w:rsid w:val="00AE34CE"/>
    <w:rsid w:val="00AE4A0D"/>
    <w:rsid w:val="00AE4A67"/>
    <w:rsid w:val="00AE4C2F"/>
    <w:rsid w:val="00AE562E"/>
    <w:rsid w:val="00AE7992"/>
    <w:rsid w:val="00AF0B00"/>
    <w:rsid w:val="00AF2013"/>
    <w:rsid w:val="00AF2A2E"/>
    <w:rsid w:val="00AF3F1D"/>
    <w:rsid w:val="00AF4A65"/>
    <w:rsid w:val="00AF4AB8"/>
    <w:rsid w:val="00AF55D3"/>
    <w:rsid w:val="00AF59A0"/>
    <w:rsid w:val="00AF5AAB"/>
    <w:rsid w:val="00AF5FD8"/>
    <w:rsid w:val="00B00DBA"/>
    <w:rsid w:val="00B02717"/>
    <w:rsid w:val="00B027EC"/>
    <w:rsid w:val="00B03427"/>
    <w:rsid w:val="00B04155"/>
    <w:rsid w:val="00B0467D"/>
    <w:rsid w:val="00B04BBC"/>
    <w:rsid w:val="00B04E6D"/>
    <w:rsid w:val="00B05490"/>
    <w:rsid w:val="00B06547"/>
    <w:rsid w:val="00B06C36"/>
    <w:rsid w:val="00B071A9"/>
    <w:rsid w:val="00B07E58"/>
    <w:rsid w:val="00B107E0"/>
    <w:rsid w:val="00B1126F"/>
    <w:rsid w:val="00B12F59"/>
    <w:rsid w:val="00B1328F"/>
    <w:rsid w:val="00B145F9"/>
    <w:rsid w:val="00B14E8F"/>
    <w:rsid w:val="00B1700B"/>
    <w:rsid w:val="00B17762"/>
    <w:rsid w:val="00B17E0C"/>
    <w:rsid w:val="00B2183D"/>
    <w:rsid w:val="00B2192F"/>
    <w:rsid w:val="00B22E37"/>
    <w:rsid w:val="00B24744"/>
    <w:rsid w:val="00B25182"/>
    <w:rsid w:val="00B25BAA"/>
    <w:rsid w:val="00B2782E"/>
    <w:rsid w:val="00B30706"/>
    <w:rsid w:val="00B33C3A"/>
    <w:rsid w:val="00B3439B"/>
    <w:rsid w:val="00B36023"/>
    <w:rsid w:val="00B36112"/>
    <w:rsid w:val="00B36D15"/>
    <w:rsid w:val="00B376A0"/>
    <w:rsid w:val="00B37861"/>
    <w:rsid w:val="00B37C4B"/>
    <w:rsid w:val="00B40459"/>
    <w:rsid w:val="00B40589"/>
    <w:rsid w:val="00B40B36"/>
    <w:rsid w:val="00B43719"/>
    <w:rsid w:val="00B4379A"/>
    <w:rsid w:val="00B43A23"/>
    <w:rsid w:val="00B43B57"/>
    <w:rsid w:val="00B43DA9"/>
    <w:rsid w:val="00B447F6"/>
    <w:rsid w:val="00B44896"/>
    <w:rsid w:val="00B45743"/>
    <w:rsid w:val="00B4574F"/>
    <w:rsid w:val="00B46680"/>
    <w:rsid w:val="00B47A56"/>
    <w:rsid w:val="00B47F73"/>
    <w:rsid w:val="00B50816"/>
    <w:rsid w:val="00B517F6"/>
    <w:rsid w:val="00B51F5B"/>
    <w:rsid w:val="00B5205F"/>
    <w:rsid w:val="00B52419"/>
    <w:rsid w:val="00B54CCD"/>
    <w:rsid w:val="00B568D5"/>
    <w:rsid w:val="00B56BD4"/>
    <w:rsid w:val="00B6249F"/>
    <w:rsid w:val="00B62E30"/>
    <w:rsid w:val="00B636BE"/>
    <w:rsid w:val="00B642E4"/>
    <w:rsid w:val="00B64392"/>
    <w:rsid w:val="00B6548D"/>
    <w:rsid w:val="00B6624D"/>
    <w:rsid w:val="00B663E0"/>
    <w:rsid w:val="00B70595"/>
    <w:rsid w:val="00B70B4E"/>
    <w:rsid w:val="00B70F8F"/>
    <w:rsid w:val="00B72063"/>
    <w:rsid w:val="00B80BE5"/>
    <w:rsid w:val="00B81F08"/>
    <w:rsid w:val="00B8746D"/>
    <w:rsid w:val="00B87BEA"/>
    <w:rsid w:val="00B87C44"/>
    <w:rsid w:val="00B9084B"/>
    <w:rsid w:val="00B92E3E"/>
    <w:rsid w:val="00B92F53"/>
    <w:rsid w:val="00B93383"/>
    <w:rsid w:val="00B93693"/>
    <w:rsid w:val="00B94407"/>
    <w:rsid w:val="00B945EE"/>
    <w:rsid w:val="00B94705"/>
    <w:rsid w:val="00B96806"/>
    <w:rsid w:val="00B977D9"/>
    <w:rsid w:val="00BA0785"/>
    <w:rsid w:val="00BA0B16"/>
    <w:rsid w:val="00BA1DD9"/>
    <w:rsid w:val="00BA32B7"/>
    <w:rsid w:val="00BA36E5"/>
    <w:rsid w:val="00BA3BF4"/>
    <w:rsid w:val="00BA4753"/>
    <w:rsid w:val="00BA4799"/>
    <w:rsid w:val="00BA4A73"/>
    <w:rsid w:val="00BA4F96"/>
    <w:rsid w:val="00BA5013"/>
    <w:rsid w:val="00BA67C7"/>
    <w:rsid w:val="00BA6AA1"/>
    <w:rsid w:val="00BA7019"/>
    <w:rsid w:val="00BB0A04"/>
    <w:rsid w:val="00BB18DE"/>
    <w:rsid w:val="00BB1E42"/>
    <w:rsid w:val="00BB237B"/>
    <w:rsid w:val="00BB2B5F"/>
    <w:rsid w:val="00BB2DF5"/>
    <w:rsid w:val="00BB36FC"/>
    <w:rsid w:val="00BB39CC"/>
    <w:rsid w:val="00BB5574"/>
    <w:rsid w:val="00BB56E8"/>
    <w:rsid w:val="00BB5E95"/>
    <w:rsid w:val="00BB6451"/>
    <w:rsid w:val="00BB71C2"/>
    <w:rsid w:val="00BB7335"/>
    <w:rsid w:val="00BB7823"/>
    <w:rsid w:val="00BC03EC"/>
    <w:rsid w:val="00BC2B7B"/>
    <w:rsid w:val="00BC5B67"/>
    <w:rsid w:val="00BC74F2"/>
    <w:rsid w:val="00BC7AA3"/>
    <w:rsid w:val="00BD0C09"/>
    <w:rsid w:val="00BD3E1F"/>
    <w:rsid w:val="00BD3E4E"/>
    <w:rsid w:val="00BD5382"/>
    <w:rsid w:val="00BD55BA"/>
    <w:rsid w:val="00BD55F1"/>
    <w:rsid w:val="00BD5D0F"/>
    <w:rsid w:val="00BE2014"/>
    <w:rsid w:val="00BE241A"/>
    <w:rsid w:val="00BE25A0"/>
    <w:rsid w:val="00BE26E1"/>
    <w:rsid w:val="00BE2EC2"/>
    <w:rsid w:val="00BE416E"/>
    <w:rsid w:val="00BE4257"/>
    <w:rsid w:val="00BE6175"/>
    <w:rsid w:val="00BE6DEB"/>
    <w:rsid w:val="00BE72B2"/>
    <w:rsid w:val="00BF0B2D"/>
    <w:rsid w:val="00BF3BCC"/>
    <w:rsid w:val="00BF474D"/>
    <w:rsid w:val="00BF63B0"/>
    <w:rsid w:val="00BF68F9"/>
    <w:rsid w:val="00C006CF"/>
    <w:rsid w:val="00C0143A"/>
    <w:rsid w:val="00C019C7"/>
    <w:rsid w:val="00C01CBC"/>
    <w:rsid w:val="00C02E9E"/>
    <w:rsid w:val="00C030B8"/>
    <w:rsid w:val="00C032E8"/>
    <w:rsid w:val="00C040EF"/>
    <w:rsid w:val="00C0531F"/>
    <w:rsid w:val="00C0689A"/>
    <w:rsid w:val="00C070B3"/>
    <w:rsid w:val="00C07A60"/>
    <w:rsid w:val="00C07A6D"/>
    <w:rsid w:val="00C115A3"/>
    <w:rsid w:val="00C12A93"/>
    <w:rsid w:val="00C12B1C"/>
    <w:rsid w:val="00C13BA9"/>
    <w:rsid w:val="00C15571"/>
    <w:rsid w:val="00C16DF6"/>
    <w:rsid w:val="00C20018"/>
    <w:rsid w:val="00C20425"/>
    <w:rsid w:val="00C2055A"/>
    <w:rsid w:val="00C20D8C"/>
    <w:rsid w:val="00C21008"/>
    <w:rsid w:val="00C219A1"/>
    <w:rsid w:val="00C22500"/>
    <w:rsid w:val="00C241BD"/>
    <w:rsid w:val="00C2439D"/>
    <w:rsid w:val="00C24900"/>
    <w:rsid w:val="00C24958"/>
    <w:rsid w:val="00C2498D"/>
    <w:rsid w:val="00C24ED1"/>
    <w:rsid w:val="00C25636"/>
    <w:rsid w:val="00C26A95"/>
    <w:rsid w:val="00C2739B"/>
    <w:rsid w:val="00C302EA"/>
    <w:rsid w:val="00C3089D"/>
    <w:rsid w:val="00C324E7"/>
    <w:rsid w:val="00C33C81"/>
    <w:rsid w:val="00C33DC8"/>
    <w:rsid w:val="00C345B0"/>
    <w:rsid w:val="00C37AEB"/>
    <w:rsid w:val="00C40138"/>
    <w:rsid w:val="00C42915"/>
    <w:rsid w:val="00C43A08"/>
    <w:rsid w:val="00C470B8"/>
    <w:rsid w:val="00C5256F"/>
    <w:rsid w:val="00C52B25"/>
    <w:rsid w:val="00C52EF3"/>
    <w:rsid w:val="00C53586"/>
    <w:rsid w:val="00C53A78"/>
    <w:rsid w:val="00C56B7D"/>
    <w:rsid w:val="00C57DBD"/>
    <w:rsid w:val="00C6075D"/>
    <w:rsid w:val="00C609D8"/>
    <w:rsid w:val="00C611FF"/>
    <w:rsid w:val="00C62050"/>
    <w:rsid w:val="00C625A5"/>
    <w:rsid w:val="00C645DC"/>
    <w:rsid w:val="00C64D10"/>
    <w:rsid w:val="00C6505B"/>
    <w:rsid w:val="00C65374"/>
    <w:rsid w:val="00C671FC"/>
    <w:rsid w:val="00C67245"/>
    <w:rsid w:val="00C679C1"/>
    <w:rsid w:val="00C7012B"/>
    <w:rsid w:val="00C702DA"/>
    <w:rsid w:val="00C70DCA"/>
    <w:rsid w:val="00C70E47"/>
    <w:rsid w:val="00C719C7"/>
    <w:rsid w:val="00C71A77"/>
    <w:rsid w:val="00C71F2E"/>
    <w:rsid w:val="00C724D0"/>
    <w:rsid w:val="00C72974"/>
    <w:rsid w:val="00C73785"/>
    <w:rsid w:val="00C7489C"/>
    <w:rsid w:val="00C749C8"/>
    <w:rsid w:val="00C7564B"/>
    <w:rsid w:val="00C7768C"/>
    <w:rsid w:val="00C77695"/>
    <w:rsid w:val="00C80A49"/>
    <w:rsid w:val="00C8106B"/>
    <w:rsid w:val="00C815F7"/>
    <w:rsid w:val="00C818F6"/>
    <w:rsid w:val="00C81AED"/>
    <w:rsid w:val="00C8205B"/>
    <w:rsid w:val="00C83CF9"/>
    <w:rsid w:val="00C83EEB"/>
    <w:rsid w:val="00C84220"/>
    <w:rsid w:val="00C854BF"/>
    <w:rsid w:val="00C85A53"/>
    <w:rsid w:val="00C85C50"/>
    <w:rsid w:val="00C8695C"/>
    <w:rsid w:val="00C8794F"/>
    <w:rsid w:val="00C90905"/>
    <w:rsid w:val="00C914F0"/>
    <w:rsid w:val="00C91700"/>
    <w:rsid w:val="00C91919"/>
    <w:rsid w:val="00C926B5"/>
    <w:rsid w:val="00C92718"/>
    <w:rsid w:val="00C92934"/>
    <w:rsid w:val="00C929A0"/>
    <w:rsid w:val="00C92A80"/>
    <w:rsid w:val="00C92C92"/>
    <w:rsid w:val="00C92D82"/>
    <w:rsid w:val="00C93B6C"/>
    <w:rsid w:val="00C93C95"/>
    <w:rsid w:val="00C94315"/>
    <w:rsid w:val="00C95AD1"/>
    <w:rsid w:val="00C96198"/>
    <w:rsid w:val="00C97385"/>
    <w:rsid w:val="00C97B48"/>
    <w:rsid w:val="00CA12C6"/>
    <w:rsid w:val="00CA1E1A"/>
    <w:rsid w:val="00CA2A63"/>
    <w:rsid w:val="00CA3346"/>
    <w:rsid w:val="00CA3A88"/>
    <w:rsid w:val="00CA3D2D"/>
    <w:rsid w:val="00CA6039"/>
    <w:rsid w:val="00CA6778"/>
    <w:rsid w:val="00CA6BAB"/>
    <w:rsid w:val="00CA7B7E"/>
    <w:rsid w:val="00CA7DE6"/>
    <w:rsid w:val="00CB00C2"/>
    <w:rsid w:val="00CB0DC9"/>
    <w:rsid w:val="00CB17A7"/>
    <w:rsid w:val="00CB184B"/>
    <w:rsid w:val="00CB3C39"/>
    <w:rsid w:val="00CB3EB1"/>
    <w:rsid w:val="00CB51FF"/>
    <w:rsid w:val="00CB5446"/>
    <w:rsid w:val="00CB61D1"/>
    <w:rsid w:val="00CC2A2C"/>
    <w:rsid w:val="00CC31AF"/>
    <w:rsid w:val="00CC3333"/>
    <w:rsid w:val="00CC405A"/>
    <w:rsid w:val="00CC4749"/>
    <w:rsid w:val="00CC4FA9"/>
    <w:rsid w:val="00CC5529"/>
    <w:rsid w:val="00CC5DDC"/>
    <w:rsid w:val="00CC648E"/>
    <w:rsid w:val="00CC6759"/>
    <w:rsid w:val="00CC752B"/>
    <w:rsid w:val="00CD3B32"/>
    <w:rsid w:val="00CD4961"/>
    <w:rsid w:val="00CD4F52"/>
    <w:rsid w:val="00CD5F8B"/>
    <w:rsid w:val="00CD60B0"/>
    <w:rsid w:val="00CE0398"/>
    <w:rsid w:val="00CE0A75"/>
    <w:rsid w:val="00CE1599"/>
    <w:rsid w:val="00CE32CE"/>
    <w:rsid w:val="00CE3F69"/>
    <w:rsid w:val="00CE428F"/>
    <w:rsid w:val="00CE451E"/>
    <w:rsid w:val="00CE61B6"/>
    <w:rsid w:val="00CE6A5F"/>
    <w:rsid w:val="00CF0910"/>
    <w:rsid w:val="00CF09F4"/>
    <w:rsid w:val="00CF0A4F"/>
    <w:rsid w:val="00CF0CDB"/>
    <w:rsid w:val="00CF0E42"/>
    <w:rsid w:val="00CF1D6F"/>
    <w:rsid w:val="00CF2C94"/>
    <w:rsid w:val="00CF4B6F"/>
    <w:rsid w:val="00CF4D3B"/>
    <w:rsid w:val="00CF4D40"/>
    <w:rsid w:val="00D00CF1"/>
    <w:rsid w:val="00D014C9"/>
    <w:rsid w:val="00D03785"/>
    <w:rsid w:val="00D046AC"/>
    <w:rsid w:val="00D0484C"/>
    <w:rsid w:val="00D0656D"/>
    <w:rsid w:val="00D07B68"/>
    <w:rsid w:val="00D11FBD"/>
    <w:rsid w:val="00D1245D"/>
    <w:rsid w:val="00D139C8"/>
    <w:rsid w:val="00D1406D"/>
    <w:rsid w:val="00D145EB"/>
    <w:rsid w:val="00D14827"/>
    <w:rsid w:val="00D15790"/>
    <w:rsid w:val="00D15A60"/>
    <w:rsid w:val="00D171F4"/>
    <w:rsid w:val="00D210B5"/>
    <w:rsid w:val="00D212C2"/>
    <w:rsid w:val="00D22A1D"/>
    <w:rsid w:val="00D26899"/>
    <w:rsid w:val="00D30E93"/>
    <w:rsid w:val="00D31393"/>
    <w:rsid w:val="00D32892"/>
    <w:rsid w:val="00D32958"/>
    <w:rsid w:val="00D329A8"/>
    <w:rsid w:val="00D32A28"/>
    <w:rsid w:val="00D32BF5"/>
    <w:rsid w:val="00D32EB8"/>
    <w:rsid w:val="00D3316D"/>
    <w:rsid w:val="00D33342"/>
    <w:rsid w:val="00D33CC4"/>
    <w:rsid w:val="00D36C9F"/>
    <w:rsid w:val="00D377E6"/>
    <w:rsid w:val="00D3788E"/>
    <w:rsid w:val="00D437A2"/>
    <w:rsid w:val="00D4434E"/>
    <w:rsid w:val="00D4505E"/>
    <w:rsid w:val="00D45DCA"/>
    <w:rsid w:val="00D4673E"/>
    <w:rsid w:val="00D46B06"/>
    <w:rsid w:val="00D47CFF"/>
    <w:rsid w:val="00D51EF8"/>
    <w:rsid w:val="00D520DD"/>
    <w:rsid w:val="00D52349"/>
    <w:rsid w:val="00D52650"/>
    <w:rsid w:val="00D52B2D"/>
    <w:rsid w:val="00D53FF1"/>
    <w:rsid w:val="00D54D92"/>
    <w:rsid w:val="00D55490"/>
    <w:rsid w:val="00D5706B"/>
    <w:rsid w:val="00D60308"/>
    <w:rsid w:val="00D62298"/>
    <w:rsid w:val="00D631EE"/>
    <w:rsid w:val="00D638A7"/>
    <w:rsid w:val="00D641AA"/>
    <w:rsid w:val="00D66060"/>
    <w:rsid w:val="00D67E14"/>
    <w:rsid w:val="00D70177"/>
    <w:rsid w:val="00D71F4D"/>
    <w:rsid w:val="00D740A1"/>
    <w:rsid w:val="00D74D4A"/>
    <w:rsid w:val="00D752F6"/>
    <w:rsid w:val="00D75356"/>
    <w:rsid w:val="00D77046"/>
    <w:rsid w:val="00D778A7"/>
    <w:rsid w:val="00D7798B"/>
    <w:rsid w:val="00D77D1B"/>
    <w:rsid w:val="00D77DED"/>
    <w:rsid w:val="00D80A14"/>
    <w:rsid w:val="00D80B13"/>
    <w:rsid w:val="00D812C3"/>
    <w:rsid w:val="00D81D39"/>
    <w:rsid w:val="00D840F0"/>
    <w:rsid w:val="00D8469E"/>
    <w:rsid w:val="00D84B6E"/>
    <w:rsid w:val="00D84BAF"/>
    <w:rsid w:val="00D85687"/>
    <w:rsid w:val="00D85CC4"/>
    <w:rsid w:val="00D914DD"/>
    <w:rsid w:val="00D91CA5"/>
    <w:rsid w:val="00D928DB"/>
    <w:rsid w:val="00D93D85"/>
    <w:rsid w:val="00D93E1A"/>
    <w:rsid w:val="00D94316"/>
    <w:rsid w:val="00D96D9B"/>
    <w:rsid w:val="00DA08E5"/>
    <w:rsid w:val="00DA1933"/>
    <w:rsid w:val="00DA315B"/>
    <w:rsid w:val="00DA3ED3"/>
    <w:rsid w:val="00DA435B"/>
    <w:rsid w:val="00DA4CDC"/>
    <w:rsid w:val="00DA63C8"/>
    <w:rsid w:val="00DA6B1E"/>
    <w:rsid w:val="00DA77F6"/>
    <w:rsid w:val="00DB4553"/>
    <w:rsid w:val="00DB46E1"/>
    <w:rsid w:val="00DB513D"/>
    <w:rsid w:val="00DB56FC"/>
    <w:rsid w:val="00DB71C4"/>
    <w:rsid w:val="00DC0796"/>
    <w:rsid w:val="00DC1B71"/>
    <w:rsid w:val="00DC1BFE"/>
    <w:rsid w:val="00DC2060"/>
    <w:rsid w:val="00DC2B5D"/>
    <w:rsid w:val="00DC3076"/>
    <w:rsid w:val="00DC35F5"/>
    <w:rsid w:val="00DC3744"/>
    <w:rsid w:val="00DC3DF3"/>
    <w:rsid w:val="00DC5849"/>
    <w:rsid w:val="00DC5E63"/>
    <w:rsid w:val="00DC7381"/>
    <w:rsid w:val="00DC7EBF"/>
    <w:rsid w:val="00DC7EDB"/>
    <w:rsid w:val="00DD23B4"/>
    <w:rsid w:val="00DD3ACA"/>
    <w:rsid w:val="00DD4591"/>
    <w:rsid w:val="00DD47C3"/>
    <w:rsid w:val="00DD54C9"/>
    <w:rsid w:val="00DD7BB7"/>
    <w:rsid w:val="00DD7D9D"/>
    <w:rsid w:val="00DE1E06"/>
    <w:rsid w:val="00DE27CB"/>
    <w:rsid w:val="00DE568D"/>
    <w:rsid w:val="00DE73D5"/>
    <w:rsid w:val="00DF0565"/>
    <w:rsid w:val="00DF0E8B"/>
    <w:rsid w:val="00DF110C"/>
    <w:rsid w:val="00DF1453"/>
    <w:rsid w:val="00DF2E40"/>
    <w:rsid w:val="00DF33F8"/>
    <w:rsid w:val="00DF4100"/>
    <w:rsid w:val="00DF419E"/>
    <w:rsid w:val="00DF4EA3"/>
    <w:rsid w:val="00DF5D24"/>
    <w:rsid w:val="00DF7350"/>
    <w:rsid w:val="00DF74CC"/>
    <w:rsid w:val="00DF769C"/>
    <w:rsid w:val="00DF78DE"/>
    <w:rsid w:val="00DF799C"/>
    <w:rsid w:val="00DF7A71"/>
    <w:rsid w:val="00E002A4"/>
    <w:rsid w:val="00E00E2C"/>
    <w:rsid w:val="00E013C1"/>
    <w:rsid w:val="00E01422"/>
    <w:rsid w:val="00E01F44"/>
    <w:rsid w:val="00E03703"/>
    <w:rsid w:val="00E03A3F"/>
    <w:rsid w:val="00E03CB1"/>
    <w:rsid w:val="00E03D28"/>
    <w:rsid w:val="00E04D16"/>
    <w:rsid w:val="00E05934"/>
    <w:rsid w:val="00E062D9"/>
    <w:rsid w:val="00E076E2"/>
    <w:rsid w:val="00E10499"/>
    <w:rsid w:val="00E10803"/>
    <w:rsid w:val="00E114A3"/>
    <w:rsid w:val="00E124FF"/>
    <w:rsid w:val="00E129B0"/>
    <w:rsid w:val="00E1478D"/>
    <w:rsid w:val="00E148EE"/>
    <w:rsid w:val="00E15326"/>
    <w:rsid w:val="00E15657"/>
    <w:rsid w:val="00E16540"/>
    <w:rsid w:val="00E16B4B"/>
    <w:rsid w:val="00E20C21"/>
    <w:rsid w:val="00E2209B"/>
    <w:rsid w:val="00E22474"/>
    <w:rsid w:val="00E231A1"/>
    <w:rsid w:val="00E241F2"/>
    <w:rsid w:val="00E249A6"/>
    <w:rsid w:val="00E25EE2"/>
    <w:rsid w:val="00E26103"/>
    <w:rsid w:val="00E26872"/>
    <w:rsid w:val="00E26E69"/>
    <w:rsid w:val="00E2759B"/>
    <w:rsid w:val="00E27724"/>
    <w:rsid w:val="00E27C52"/>
    <w:rsid w:val="00E3044A"/>
    <w:rsid w:val="00E32916"/>
    <w:rsid w:val="00E32992"/>
    <w:rsid w:val="00E32F60"/>
    <w:rsid w:val="00E3527E"/>
    <w:rsid w:val="00E361C1"/>
    <w:rsid w:val="00E37548"/>
    <w:rsid w:val="00E401AC"/>
    <w:rsid w:val="00E40695"/>
    <w:rsid w:val="00E42084"/>
    <w:rsid w:val="00E4267F"/>
    <w:rsid w:val="00E4456B"/>
    <w:rsid w:val="00E447C2"/>
    <w:rsid w:val="00E47AAF"/>
    <w:rsid w:val="00E47DC8"/>
    <w:rsid w:val="00E50B48"/>
    <w:rsid w:val="00E52B40"/>
    <w:rsid w:val="00E52CB3"/>
    <w:rsid w:val="00E53494"/>
    <w:rsid w:val="00E5397E"/>
    <w:rsid w:val="00E54BA4"/>
    <w:rsid w:val="00E56AC2"/>
    <w:rsid w:val="00E6142C"/>
    <w:rsid w:val="00E61476"/>
    <w:rsid w:val="00E61CD3"/>
    <w:rsid w:val="00E62254"/>
    <w:rsid w:val="00E62844"/>
    <w:rsid w:val="00E637B5"/>
    <w:rsid w:val="00E637E8"/>
    <w:rsid w:val="00E6449D"/>
    <w:rsid w:val="00E64900"/>
    <w:rsid w:val="00E64D4F"/>
    <w:rsid w:val="00E64ECA"/>
    <w:rsid w:val="00E669B6"/>
    <w:rsid w:val="00E67B51"/>
    <w:rsid w:val="00E709C2"/>
    <w:rsid w:val="00E71EAA"/>
    <w:rsid w:val="00E738D3"/>
    <w:rsid w:val="00E73B77"/>
    <w:rsid w:val="00E746B9"/>
    <w:rsid w:val="00E75A05"/>
    <w:rsid w:val="00E768B3"/>
    <w:rsid w:val="00E76E8C"/>
    <w:rsid w:val="00E7757A"/>
    <w:rsid w:val="00E77CE8"/>
    <w:rsid w:val="00E82767"/>
    <w:rsid w:val="00E84125"/>
    <w:rsid w:val="00E86167"/>
    <w:rsid w:val="00E875F3"/>
    <w:rsid w:val="00E91E84"/>
    <w:rsid w:val="00E926FE"/>
    <w:rsid w:val="00E9419D"/>
    <w:rsid w:val="00E950D9"/>
    <w:rsid w:val="00E9524B"/>
    <w:rsid w:val="00E95ED3"/>
    <w:rsid w:val="00E960AC"/>
    <w:rsid w:val="00E96DB7"/>
    <w:rsid w:val="00E971FF"/>
    <w:rsid w:val="00E976FE"/>
    <w:rsid w:val="00E97A30"/>
    <w:rsid w:val="00EA0EE4"/>
    <w:rsid w:val="00EA214B"/>
    <w:rsid w:val="00EA22BC"/>
    <w:rsid w:val="00EA2C99"/>
    <w:rsid w:val="00EA2CBC"/>
    <w:rsid w:val="00EA2F85"/>
    <w:rsid w:val="00EA38FC"/>
    <w:rsid w:val="00EA6CA8"/>
    <w:rsid w:val="00EA6DBB"/>
    <w:rsid w:val="00EA7887"/>
    <w:rsid w:val="00EA7973"/>
    <w:rsid w:val="00EB26CE"/>
    <w:rsid w:val="00EB30A8"/>
    <w:rsid w:val="00EB3884"/>
    <w:rsid w:val="00EB41D9"/>
    <w:rsid w:val="00EB46C8"/>
    <w:rsid w:val="00EB4C23"/>
    <w:rsid w:val="00EB617D"/>
    <w:rsid w:val="00EB6987"/>
    <w:rsid w:val="00EB6D23"/>
    <w:rsid w:val="00EB6D98"/>
    <w:rsid w:val="00EB7963"/>
    <w:rsid w:val="00EB79FE"/>
    <w:rsid w:val="00EC1897"/>
    <w:rsid w:val="00EC2CF1"/>
    <w:rsid w:val="00EC3345"/>
    <w:rsid w:val="00EC46CC"/>
    <w:rsid w:val="00EC5300"/>
    <w:rsid w:val="00EC665A"/>
    <w:rsid w:val="00ED0B6D"/>
    <w:rsid w:val="00ED0E6A"/>
    <w:rsid w:val="00ED12A6"/>
    <w:rsid w:val="00ED150B"/>
    <w:rsid w:val="00ED32D0"/>
    <w:rsid w:val="00ED34A5"/>
    <w:rsid w:val="00ED395F"/>
    <w:rsid w:val="00ED4FEB"/>
    <w:rsid w:val="00ED529A"/>
    <w:rsid w:val="00ED5CF7"/>
    <w:rsid w:val="00ED60AB"/>
    <w:rsid w:val="00ED7170"/>
    <w:rsid w:val="00ED7171"/>
    <w:rsid w:val="00EE134F"/>
    <w:rsid w:val="00EE182F"/>
    <w:rsid w:val="00EE3AF3"/>
    <w:rsid w:val="00EE4383"/>
    <w:rsid w:val="00EE4676"/>
    <w:rsid w:val="00EE470B"/>
    <w:rsid w:val="00EE4FA9"/>
    <w:rsid w:val="00EE69A0"/>
    <w:rsid w:val="00EE7222"/>
    <w:rsid w:val="00EF17FD"/>
    <w:rsid w:val="00EF1AD9"/>
    <w:rsid w:val="00EF2D52"/>
    <w:rsid w:val="00EF32FF"/>
    <w:rsid w:val="00EF3393"/>
    <w:rsid w:val="00EF4409"/>
    <w:rsid w:val="00EF4732"/>
    <w:rsid w:val="00EF5BD3"/>
    <w:rsid w:val="00EF5E4B"/>
    <w:rsid w:val="00EF67B8"/>
    <w:rsid w:val="00EF7467"/>
    <w:rsid w:val="00F000AA"/>
    <w:rsid w:val="00F00687"/>
    <w:rsid w:val="00F01543"/>
    <w:rsid w:val="00F015AA"/>
    <w:rsid w:val="00F02DBF"/>
    <w:rsid w:val="00F04007"/>
    <w:rsid w:val="00F04740"/>
    <w:rsid w:val="00F04E2D"/>
    <w:rsid w:val="00F050FA"/>
    <w:rsid w:val="00F0596A"/>
    <w:rsid w:val="00F064DC"/>
    <w:rsid w:val="00F067D2"/>
    <w:rsid w:val="00F0744B"/>
    <w:rsid w:val="00F130B2"/>
    <w:rsid w:val="00F146B7"/>
    <w:rsid w:val="00F1583A"/>
    <w:rsid w:val="00F165F1"/>
    <w:rsid w:val="00F16945"/>
    <w:rsid w:val="00F17527"/>
    <w:rsid w:val="00F20276"/>
    <w:rsid w:val="00F21647"/>
    <w:rsid w:val="00F21D10"/>
    <w:rsid w:val="00F23112"/>
    <w:rsid w:val="00F2616A"/>
    <w:rsid w:val="00F30B32"/>
    <w:rsid w:val="00F30F03"/>
    <w:rsid w:val="00F312FD"/>
    <w:rsid w:val="00F320DA"/>
    <w:rsid w:val="00F34356"/>
    <w:rsid w:val="00F34690"/>
    <w:rsid w:val="00F3472A"/>
    <w:rsid w:val="00F34EC1"/>
    <w:rsid w:val="00F36E21"/>
    <w:rsid w:val="00F37D78"/>
    <w:rsid w:val="00F37F64"/>
    <w:rsid w:val="00F40AE8"/>
    <w:rsid w:val="00F4195E"/>
    <w:rsid w:val="00F42FD4"/>
    <w:rsid w:val="00F4370C"/>
    <w:rsid w:val="00F43A74"/>
    <w:rsid w:val="00F43AD1"/>
    <w:rsid w:val="00F44E8D"/>
    <w:rsid w:val="00F454D6"/>
    <w:rsid w:val="00F46671"/>
    <w:rsid w:val="00F46D1A"/>
    <w:rsid w:val="00F47335"/>
    <w:rsid w:val="00F474EA"/>
    <w:rsid w:val="00F47B65"/>
    <w:rsid w:val="00F51AAB"/>
    <w:rsid w:val="00F5248E"/>
    <w:rsid w:val="00F52EFE"/>
    <w:rsid w:val="00F53858"/>
    <w:rsid w:val="00F53909"/>
    <w:rsid w:val="00F53DCC"/>
    <w:rsid w:val="00F54A6B"/>
    <w:rsid w:val="00F54B1A"/>
    <w:rsid w:val="00F578A7"/>
    <w:rsid w:val="00F60322"/>
    <w:rsid w:val="00F60528"/>
    <w:rsid w:val="00F60E6A"/>
    <w:rsid w:val="00F6110C"/>
    <w:rsid w:val="00F63657"/>
    <w:rsid w:val="00F63B03"/>
    <w:rsid w:val="00F64B0D"/>
    <w:rsid w:val="00F64FFD"/>
    <w:rsid w:val="00F65A08"/>
    <w:rsid w:val="00F71BE4"/>
    <w:rsid w:val="00F728F8"/>
    <w:rsid w:val="00F72ADC"/>
    <w:rsid w:val="00F73309"/>
    <w:rsid w:val="00F737E6"/>
    <w:rsid w:val="00F74002"/>
    <w:rsid w:val="00F74D59"/>
    <w:rsid w:val="00F760F9"/>
    <w:rsid w:val="00F76ABA"/>
    <w:rsid w:val="00F77725"/>
    <w:rsid w:val="00F77EB6"/>
    <w:rsid w:val="00F81B9A"/>
    <w:rsid w:val="00F829A0"/>
    <w:rsid w:val="00F8305D"/>
    <w:rsid w:val="00F83E5D"/>
    <w:rsid w:val="00F8528C"/>
    <w:rsid w:val="00F858FA"/>
    <w:rsid w:val="00F85C5E"/>
    <w:rsid w:val="00F86DDD"/>
    <w:rsid w:val="00F87342"/>
    <w:rsid w:val="00F8787E"/>
    <w:rsid w:val="00F87D5F"/>
    <w:rsid w:val="00F9088D"/>
    <w:rsid w:val="00F90D06"/>
    <w:rsid w:val="00F91E55"/>
    <w:rsid w:val="00F929A3"/>
    <w:rsid w:val="00F92AF2"/>
    <w:rsid w:val="00F92B71"/>
    <w:rsid w:val="00F939F0"/>
    <w:rsid w:val="00F93AFE"/>
    <w:rsid w:val="00F93DE5"/>
    <w:rsid w:val="00F94681"/>
    <w:rsid w:val="00F94BFD"/>
    <w:rsid w:val="00F95507"/>
    <w:rsid w:val="00F95D5B"/>
    <w:rsid w:val="00F95EA5"/>
    <w:rsid w:val="00F9602D"/>
    <w:rsid w:val="00F97E2F"/>
    <w:rsid w:val="00FA22DB"/>
    <w:rsid w:val="00FA3735"/>
    <w:rsid w:val="00FA3764"/>
    <w:rsid w:val="00FA37BA"/>
    <w:rsid w:val="00FA3DF1"/>
    <w:rsid w:val="00FA53CC"/>
    <w:rsid w:val="00FA6249"/>
    <w:rsid w:val="00FA6A9E"/>
    <w:rsid w:val="00FA6C0A"/>
    <w:rsid w:val="00FB077E"/>
    <w:rsid w:val="00FB1445"/>
    <w:rsid w:val="00FB3639"/>
    <w:rsid w:val="00FB487E"/>
    <w:rsid w:val="00FB4C11"/>
    <w:rsid w:val="00FB675B"/>
    <w:rsid w:val="00FB6B38"/>
    <w:rsid w:val="00FB7CBA"/>
    <w:rsid w:val="00FC0BA1"/>
    <w:rsid w:val="00FC0F1C"/>
    <w:rsid w:val="00FC116C"/>
    <w:rsid w:val="00FC16CC"/>
    <w:rsid w:val="00FC1F9A"/>
    <w:rsid w:val="00FC356B"/>
    <w:rsid w:val="00FC380E"/>
    <w:rsid w:val="00FC4703"/>
    <w:rsid w:val="00FC58DF"/>
    <w:rsid w:val="00FC5B8F"/>
    <w:rsid w:val="00FC6118"/>
    <w:rsid w:val="00FC6C2A"/>
    <w:rsid w:val="00FD0BE9"/>
    <w:rsid w:val="00FD1E9A"/>
    <w:rsid w:val="00FD283D"/>
    <w:rsid w:val="00FD35BF"/>
    <w:rsid w:val="00FD5D2B"/>
    <w:rsid w:val="00FD5E6F"/>
    <w:rsid w:val="00FD60A2"/>
    <w:rsid w:val="00FD6944"/>
    <w:rsid w:val="00FD7224"/>
    <w:rsid w:val="00FD7B09"/>
    <w:rsid w:val="00FE0CDA"/>
    <w:rsid w:val="00FE23B4"/>
    <w:rsid w:val="00FE3203"/>
    <w:rsid w:val="00FE3D23"/>
    <w:rsid w:val="00FE4835"/>
    <w:rsid w:val="00FE5C6B"/>
    <w:rsid w:val="00FE5D37"/>
    <w:rsid w:val="00FE6B13"/>
    <w:rsid w:val="00FE6D40"/>
    <w:rsid w:val="00FE791F"/>
    <w:rsid w:val="00FE7972"/>
    <w:rsid w:val="00FE7FE5"/>
    <w:rsid w:val="00FF0044"/>
    <w:rsid w:val="00FF0203"/>
    <w:rsid w:val="00FF09F2"/>
    <w:rsid w:val="00FF1C31"/>
    <w:rsid w:val="00FF1D99"/>
    <w:rsid w:val="00FF30D0"/>
    <w:rsid w:val="00FF35BD"/>
    <w:rsid w:val="00FF3FDC"/>
    <w:rsid w:val="00FF4931"/>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5F5C81-BEE0-4ED6-9B13-39FEAD6C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72"/>
    <w:pPr>
      <w:widowControl w:val="0"/>
      <w:jc w:val="both"/>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スタイル 行間 :  1.5 行"/>
    <w:basedOn w:val="Normal"/>
    <w:rsid w:val="001303A0"/>
    <w:pPr>
      <w:spacing w:line="360" w:lineRule="auto"/>
    </w:pPr>
    <w:rPr>
      <w:rFonts w:cs="MS Mincho"/>
      <w:szCs w:val="20"/>
    </w:rPr>
  </w:style>
  <w:style w:type="character" w:styleId="Hyperlink">
    <w:name w:val="Hyperlink"/>
    <w:uiPriority w:val="99"/>
    <w:rsid w:val="00187760"/>
    <w:rPr>
      <w:color w:val="0000FF"/>
      <w:u w:val="single"/>
    </w:rPr>
  </w:style>
  <w:style w:type="character" w:styleId="Strong">
    <w:name w:val="Strong"/>
    <w:qFormat/>
    <w:rsid w:val="00187760"/>
    <w:rPr>
      <w:b/>
      <w:bCs/>
    </w:rPr>
  </w:style>
  <w:style w:type="paragraph" w:styleId="BodyText">
    <w:name w:val="Body Text"/>
    <w:basedOn w:val="Normal"/>
    <w:rsid w:val="001B54FB"/>
    <w:pPr>
      <w:spacing w:line="480" w:lineRule="auto"/>
    </w:pPr>
    <w:rPr>
      <w:sz w:val="24"/>
      <w:szCs w:val="24"/>
    </w:rPr>
  </w:style>
  <w:style w:type="paragraph" w:styleId="Header">
    <w:name w:val="header"/>
    <w:basedOn w:val="Normal"/>
    <w:link w:val="HeaderChar"/>
    <w:rsid w:val="00F53909"/>
    <w:pPr>
      <w:tabs>
        <w:tab w:val="center" w:pos="4252"/>
        <w:tab w:val="right" w:pos="8504"/>
      </w:tabs>
      <w:snapToGrid w:val="0"/>
    </w:pPr>
  </w:style>
  <w:style w:type="character" w:customStyle="1" w:styleId="HeaderChar">
    <w:name w:val="Header Char"/>
    <w:link w:val="Header"/>
    <w:rsid w:val="00F53909"/>
    <w:rPr>
      <w:kern w:val="2"/>
      <w:sz w:val="22"/>
      <w:szCs w:val="22"/>
    </w:rPr>
  </w:style>
  <w:style w:type="paragraph" w:styleId="Footer">
    <w:name w:val="footer"/>
    <w:basedOn w:val="Normal"/>
    <w:link w:val="FooterChar"/>
    <w:rsid w:val="00F53909"/>
    <w:pPr>
      <w:tabs>
        <w:tab w:val="center" w:pos="4252"/>
        <w:tab w:val="right" w:pos="8504"/>
      </w:tabs>
      <w:snapToGrid w:val="0"/>
    </w:pPr>
  </w:style>
  <w:style w:type="character" w:customStyle="1" w:styleId="FooterChar">
    <w:name w:val="Footer Char"/>
    <w:link w:val="Footer"/>
    <w:rsid w:val="00F53909"/>
    <w:rPr>
      <w:kern w:val="2"/>
      <w:sz w:val="22"/>
      <w:szCs w:val="22"/>
    </w:rPr>
  </w:style>
  <w:style w:type="paragraph" w:styleId="BalloonText">
    <w:name w:val="Balloon Text"/>
    <w:basedOn w:val="Normal"/>
    <w:link w:val="BalloonTextChar"/>
    <w:rsid w:val="0065269C"/>
    <w:rPr>
      <w:rFonts w:ascii="Arial" w:eastAsia="MS Gothic" w:hAnsi="Arial"/>
      <w:sz w:val="18"/>
      <w:szCs w:val="18"/>
    </w:rPr>
  </w:style>
  <w:style w:type="character" w:customStyle="1" w:styleId="BalloonTextChar">
    <w:name w:val="Balloon Text Char"/>
    <w:link w:val="BalloonText"/>
    <w:rsid w:val="0065269C"/>
    <w:rPr>
      <w:rFonts w:ascii="Arial" w:eastAsia="MS Gothic" w:hAnsi="Arial" w:cs="Times New Roman"/>
      <w:kern w:val="2"/>
      <w:sz w:val="18"/>
      <w:szCs w:val="18"/>
    </w:rPr>
  </w:style>
  <w:style w:type="character" w:styleId="CommentReference">
    <w:name w:val="annotation reference"/>
    <w:rsid w:val="00744AEC"/>
    <w:rPr>
      <w:sz w:val="18"/>
      <w:szCs w:val="18"/>
    </w:rPr>
  </w:style>
  <w:style w:type="paragraph" w:styleId="CommentText">
    <w:name w:val="annotation text"/>
    <w:basedOn w:val="Normal"/>
    <w:link w:val="CommentTextChar"/>
    <w:qFormat/>
    <w:rsid w:val="00744AEC"/>
    <w:pPr>
      <w:jc w:val="left"/>
    </w:pPr>
  </w:style>
  <w:style w:type="character" w:customStyle="1" w:styleId="CommentTextChar">
    <w:name w:val="Comment Text Char"/>
    <w:link w:val="CommentText"/>
    <w:rsid w:val="00744AEC"/>
    <w:rPr>
      <w:kern w:val="2"/>
      <w:sz w:val="22"/>
      <w:szCs w:val="22"/>
    </w:rPr>
  </w:style>
  <w:style w:type="paragraph" w:styleId="CommentSubject">
    <w:name w:val="annotation subject"/>
    <w:basedOn w:val="CommentText"/>
    <w:next w:val="CommentText"/>
    <w:link w:val="CommentSubjectChar"/>
    <w:rsid w:val="00744AEC"/>
    <w:rPr>
      <w:b/>
      <w:bCs/>
    </w:rPr>
  </w:style>
  <w:style w:type="character" w:customStyle="1" w:styleId="CommentSubjectChar">
    <w:name w:val="Comment Subject Char"/>
    <w:link w:val="CommentSubject"/>
    <w:rsid w:val="00744AEC"/>
    <w:rPr>
      <w:b/>
      <w:bCs/>
      <w:kern w:val="2"/>
      <w:sz w:val="22"/>
      <w:szCs w:val="22"/>
    </w:rPr>
  </w:style>
  <w:style w:type="paragraph" w:customStyle="1" w:styleId="desc">
    <w:name w:val="desc"/>
    <w:basedOn w:val="Normal"/>
    <w:rsid w:val="00D1579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D15790"/>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D15790"/>
  </w:style>
  <w:style w:type="paragraph" w:customStyle="1" w:styleId="Default">
    <w:name w:val="Default"/>
    <w:rsid w:val="00AF4A65"/>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59"/>
    <w:rsid w:val="00AA7EA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1827"/>
    <w:rPr>
      <w:kern w:val="2"/>
      <w:sz w:val="22"/>
      <w:szCs w:val="22"/>
    </w:rPr>
  </w:style>
  <w:style w:type="character" w:customStyle="1" w:styleId="1">
    <w:name w:val="未解決のメンション1"/>
    <w:basedOn w:val="DefaultParagraphFont"/>
    <w:uiPriority w:val="99"/>
    <w:semiHidden/>
    <w:unhideWhenUsed/>
    <w:rsid w:val="006D6828"/>
    <w:rPr>
      <w:color w:val="808080"/>
      <w:shd w:val="clear" w:color="auto" w:fill="E6E6E6"/>
    </w:rPr>
  </w:style>
  <w:style w:type="character" w:customStyle="1" w:styleId="2">
    <w:name w:val="未解決のメンション2"/>
    <w:basedOn w:val="DefaultParagraphFont"/>
    <w:uiPriority w:val="99"/>
    <w:semiHidden/>
    <w:unhideWhenUsed/>
    <w:rsid w:val="007C7939"/>
    <w:rPr>
      <w:color w:val="808080"/>
      <w:shd w:val="clear" w:color="auto" w:fill="E6E6E6"/>
    </w:rPr>
  </w:style>
  <w:style w:type="paragraph" w:styleId="ListParagraph">
    <w:name w:val="List Paragraph"/>
    <w:basedOn w:val="Normal"/>
    <w:uiPriority w:val="34"/>
    <w:qFormat/>
    <w:rsid w:val="000133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72">
      <w:bodyDiv w:val="1"/>
      <w:marLeft w:val="0"/>
      <w:marRight w:val="0"/>
      <w:marTop w:val="0"/>
      <w:marBottom w:val="0"/>
      <w:divBdr>
        <w:top w:val="none" w:sz="0" w:space="0" w:color="auto"/>
        <w:left w:val="none" w:sz="0" w:space="0" w:color="auto"/>
        <w:bottom w:val="none" w:sz="0" w:space="0" w:color="auto"/>
        <w:right w:val="none" w:sz="0" w:space="0" w:color="auto"/>
      </w:divBdr>
    </w:div>
    <w:div w:id="12000634">
      <w:bodyDiv w:val="1"/>
      <w:marLeft w:val="0"/>
      <w:marRight w:val="0"/>
      <w:marTop w:val="0"/>
      <w:marBottom w:val="0"/>
      <w:divBdr>
        <w:top w:val="none" w:sz="0" w:space="0" w:color="auto"/>
        <w:left w:val="none" w:sz="0" w:space="0" w:color="auto"/>
        <w:bottom w:val="none" w:sz="0" w:space="0" w:color="auto"/>
        <w:right w:val="none" w:sz="0" w:space="0" w:color="auto"/>
      </w:divBdr>
      <w:divsChild>
        <w:div w:id="1530333978">
          <w:marLeft w:val="0"/>
          <w:marRight w:val="1"/>
          <w:marTop w:val="0"/>
          <w:marBottom w:val="0"/>
          <w:divBdr>
            <w:top w:val="none" w:sz="0" w:space="0" w:color="auto"/>
            <w:left w:val="none" w:sz="0" w:space="0" w:color="auto"/>
            <w:bottom w:val="none" w:sz="0" w:space="0" w:color="auto"/>
            <w:right w:val="none" w:sz="0" w:space="0" w:color="auto"/>
          </w:divBdr>
          <w:divsChild>
            <w:div w:id="368383667">
              <w:marLeft w:val="0"/>
              <w:marRight w:val="0"/>
              <w:marTop w:val="0"/>
              <w:marBottom w:val="0"/>
              <w:divBdr>
                <w:top w:val="none" w:sz="0" w:space="0" w:color="auto"/>
                <w:left w:val="none" w:sz="0" w:space="0" w:color="auto"/>
                <w:bottom w:val="none" w:sz="0" w:space="0" w:color="auto"/>
                <w:right w:val="none" w:sz="0" w:space="0" w:color="auto"/>
              </w:divBdr>
              <w:divsChild>
                <w:div w:id="30571819">
                  <w:marLeft w:val="0"/>
                  <w:marRight w:val="1"/>
                  <w:marTop w:val="0"/>
                  <w:marBottom w:val="0"/>
                  <w:divBdr>
                    <w:top w:val="none" w:sz="0" w:space="0" w:color="auto"/>
                    <w:left w:val="none" w:sz="0" w:space="0" w:color="auto"/>
                    <w:bottom w:val="none" w:sz="0" w:space="0" w:color="auto"/>
                    <w:right w:val="none" w:sz="0" w:space="0" w:color="auto"/>
                  </w:divBdr>
                  <w:divsChild>
                    <w:div w:id="825821011">
                      <w:marLeft w:val="0"/>
                      <w:marRight w:val="0"/>
                      <w:marTop w:val="0"/>
                      <w:marBottom w:val="0"/>
                      <w:divBdr>
                        <w:top w:val="none" w:sz="0" w:space="0" w:color="auto"/>
                        <w:left w:val="none" w:sz="0" w:space="0" w:color="auto"/>
                        <w:bottom w:val="none" w:sz="0" w:space="0" w:color="auto"/>
                        <w:right w:val="none" w:sz="0" w:space="0" w:color="auto"/>
                      </w:divBdr>
                      <w:divsChild>
                        <w:div w:id="2074738866">
                          <w:marLeft w:val="0"/>
                          <w:marRight w:val="0"/>
                          <w:marTop w:val="0"/>
                          <w:marBottom w:val="0"/>
                          <w:divBdr>
                            <w:top w:val="none" w:sz="0" w:space="0" w:color="auto"/>
                            <w:left w:val="none" w:sz="0" w:space="0" w:color="auto"/>
                            <w:bottom w:val="none" w:sz="0" w:space="0" w:color="auto"/>
                            <w:right w:val="none" w:sz="0" w:space="0" w:color="auto"/>
                          </w:divBdr>
                          <w:divsChild>
                            <w:div w:id="628627724">
                              <w:marLeft w:val="0"/>
                              <w:marRight w:val="0"/>
                              <w:marTop w:val="120"/>
                              <w:marBottom w:val="360"/>
                              <w:divBdr>
                                <w:top w:val="none" w:sz="0" w:space="0" w:color="auto"/>
                                <w:left w:val="none" w:sz="0" w:space="0" w:color="auto"/>
                                <w:bottom w:val="none" w:sz="0" w:space="0" w:color="auto"/>
                                <w:right w:val="none" w:sz="0" w:space="0" w:color="auto"/>
                              </w:divBdr>
                              <w:divsChild>
                                <w:div w:id="1339885990">
                                  <w:marLeft w:val="187"/>
                                  <w:marRight w:val="0"/>
                                  <w:marTop w:val="0"/>
                                  <w:marBottom w:val="0"/>
                                  <w:divBdr>
                                    <w:top w:val="none" w:sz="0" w:space="0" w:color="auto"/>
                                    <w:left w:val="none" w:sz="0" w:space="0" w:color="auto"/>
                                    <w:bottom w:val="none" w:sz="0" w:space="0" w:color="auto"/>
                                    <w:right w:val="none" w:sz="0" w:space="0" w:color="auto"/>
                                  </w:divBdr>
                                  <w:divsChild>
                                    <w:div w:id="3596254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213">
      <w:bodyDiv w:val="1"/>
      <w:marLeft w:val="0"/>
      <w:marRight w:val="0"/>
      <w:marTop w:val="0"/>
      <w:marBottom w:val="0"/>
      <w:divBdr>
        <w:top w:val="none" w:sz="0" w:space="0" w:color="auto"/>
        <w:left w:val="none" w:sz="0" w:space="0" w:color="auto"/>
        <w:bottom w:val="none" w:sz="0" w:space="0" w:color="auto"/>
        <w:right w:val="none" w:sz="0" w:space="0" w:color="auto"/>
      </w:divBdr>
    </w:div>
    <w:div w:id="43408696">
      <w:bodyDiv w:val="1"/>
      <w:marLeft w:val="0"/>
      <w:marRight w:val="0"/>
      <w:marTop w:val="0"/>
      <w:marBottom w:val="0"/>
      <w:divBdr>
        <w:top w:val="none" w:sz="0" w:space="0" w:color="auto"/>
        <w:left w:val="none" w:sz="0" w:space="0" w:color="auto"/>
        <w:bottom w:val="none" w:sz="0" w:space="0" w:color="auto"/>
        <w:right w:val="none" w:sz="0" w:space="0" w:color="auto"/>
      </w:divBdr>
    </w:div>
    <w:div w:id="44453801">
      <w:bodyDiv w:val="1"/>
      <w:marLeft w:val="0"/>
      <w:marRight w:val="0"/>
      <w:marTop w:val="0"/>
      <w:marBottom w:val="0"/>
      <w:divBdr>
        <w:top w:val="none" w:sz="0" w:space="0" w:color="auto"/>
        <w:left w:val="none" w:sz="0" w:space="0" w:color="auto"/>
        <w:bottom w:val="none" w:sz="0" w:space="0" w:color="auto"/>
        <w:right w:val="none" w:sz="0" w:space="0" w:color="auto"/>
      </w:divBdr>
    </w:div>
    <w:div w:id="83962978">
      <w:bodyDiv w:val="1"/>
      <w:marLeft w:val="0"/>
      <w:marRight w:val="0"/>
      <w:marTop w:val="0"/>
      <w:marBottom w:val="0"/>
      <w:divBdr>
        <w:top w:val="none" w:sz="0" w:space="0" w:color="auto"/>
        <w:left w:val="none" w:sz="0" w:space="0" w:color="auto"/>
        <w:bottom w:val="none" w:sz="0" w:space="0" w:color="auto"/>
        <w:right w:val="none" w:sz="0" w:space="0" w:color="auto"/>
      </w:divBdr>
      <w:divsChild>
        <w:div w:id="496501046">
          <w:marLeft w:val="0"/>
          <w:marRight w:val="1"/>
          <w:marTop w:val="0"/>
          <w:marBottom w:val="0"/>
          <w:divBdr>
            <w:top w:val="none" w:sz="0" w:space="0" w:color="auto"/>
            <w:left w:val="none" w:sz="0" w:space="0" w:color="auto"/>
            <w:bottom w:val="none" w:sz="0" w:space="0" w:color="auto"/>
            <w:right w:val="none" w:sz="0" w:space="0" w:color="auto"/>
          </w:divBdr>
          <w:divsChild>
            <w:div w:id="353120160">
              <w:marLeft w:val="0"/>
              <w:marRight w:val="0"/>
              <w:marTop w:val="0"/>
              <w:marBottom w:val="0"/>
              <w:divBdr>
                <w:top w:val="none" w:sz="0" w:space="0" w:color="auto"/>
                <w:left w:val="none" w:sz="0" w:space="0" w:color="auto"/>
                <w:bottom w:val="none" w:sz="0" w:space="0" w:color="auto"/>
                <w:right w:val="none" w:sz="0" w:space="0" w:color="auto"/>
              </w:divBdr>
              <w:divsChild>
                <w:div w:id="874781101">
                  <w:marLeft w:val="0"/>
                  <w:marRight w:val="1"/>
                  <w:marTop w:val="0"/>
                  <w:marBottom w:val="0"/>
                  <w:divBdr>
                    <w:top w:val="none" w:sz="0" w:space="0" w:color="auto"/>
                    <w:left w:val="none" w:sz="0" w:space="0" w:color="auto"/>
                    <w:bottom w:val="none" w:sz="0" w:space="0" w:color="auto"/>
                    <w:right w:val="none" w:sz="0" w:space="0" w:color="auto"/>
                  </w:divBdr>
                  <w:divsChild>
                    <w:div w:id="183446068">
                      <w:marLeft w:val="0"/>
                      <w:marRight w:val="0"/>
                      <w:marTop w:val="0"/>
                      <w:marBottom w:val="0"/>
                      <w:divBdr>
                        <w:top w:val="none" w:sz="0" w:space="0" w:color="auto"/>
                        <w:left w:val="none" w:sz="0" w:space="0" w:color="auto"/>
                        <w:bottom w:val="none" w:sz="0" w:space="0" w:color="auto"/>
                        <w:right w:val="none" w:sz="0" w:space="0" w:color="auto"/>
                      </w:divBdr>
                      <w:divsChild>
                        <w:div w:id="1655335587">
                          <w:marLeft w:val="0"/>
                          <w:marRight w:val="0"/>
                          <w:marTop w:val="0"/>
                          <w:marBottom w:val="0"/>
                          <w:divBdr>
                            <w:top w:val="none" w:sz="0" w:space="0" w:color="auto"/>
                            <w:left w:val="none" w:sz="0" w:space="0" w:color="auto"/>
                            <w:bottom w:val="none" w:sz="0" w:space="0" w:color="auto"/>
                            <w:right w:val="none" w:sz="0" w:space="0" w:color="auto"/>
                          </w:divBdr>
                          <w:divsChild>
                            <w:div w:id="685406019">
                              <w:marLeft w:val="0"/>
                              <w:marRight w:val="0"/>
                              <w:marTop w:val="120"/>
                              <w:marBottom w:val="360"/>
                              <w:divBdr>
                                <w:top w:val="none" w:sz="0" w:space="0" w:color="auto"/>
                                <w:left w:val="none" w:sz="0" w:space="0" w:color="auto"/>
                                <w:bottom w:val="none" w:sz="0" w:space="0" w:color="auto"/>
                                <w:right w:val="none" w:sz="0" w:space="0" w:color="auto"/>
                              </w:divBdr>
                              <w:divsChild>
                                <w:div w:id="1545367154">
                                  <w:marLeft w:val="187"/>
                                  <w:marRight w:val="0"/>
                                  <w:marTop w:val="0"/>
                                  <w:marBottom w:val="0"/>
                                  <w:divBdr>
                                    <w:top w:val="none" w:sz="0" w:space="0" w:color="auto"/>
                                    <w:left w:val="none" w:sz="0" w:space="0" w:color="auto"/>
                                    <w:bottom w:val="none" w:sz="0" w:space="0" w:color="auto"/>
                                    <w:right w:val="none" w:sz="0" w:space="0" w:color="auto"/>
                                  </w:divBdr>
                                  <w:divsChild>
                                    <w:div w:id="10195022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2778">
      <w:bodyDiv w:val="1"/>
      <w:marLeft w:val="0"/>
      <w:marRight w:val="0"/>
      <w:marTop w:val="0"/>
      <w:marBottom w:val="0"/>
      <w:divBdr>
        <w:top w:val="none" w:sz="0" w:space="0" w:color="auto"/>
        <w:left w:val="none" w:sz="0" w:space="0" w:color="auto"/>
        <w:bottom w:val="none" w:sz="0" w:space="0" w:color="auto"/>
        <w:right w:val="none" w:sz="0" w:space="0" w:color="auto"/>
      </w:divBdr>
      <w:divsChild>
        <w:div w:id="923341992">
          <w:marLeft w:val="0"/>
          <w:marRight w:val="0"/>
          <w:marTop w:val="34"/>
          <w:marBottom w:val="34"/>
          <w:divBdr>
            <w:top w:val="none" w:sz="0" w:space="0" w:color="auto"/>
            <w:left w:val="none" w:sz="0" w:space="0" w:color="auto"/>
            <w:bottom w:val="none" w:sz="0" w:space="0" w:color="auto"/>
            <w:right w:val="none" w:sz="0" w:space="0" w:color="auto"/>
          </w:divBdr>
        </w:div>
      </w:divsChild>
    </w:div>
    <w:div w:id="104229353">
      <w:bodyDiv w:val="1"/>
      <w:marLeft w:val="0"/>
      <w:marRight w:val="0"/>
      <w:marTop w:val="0"/>
      <w:marBottom w:val="0"/>
      <w:divBdr>
        <w:top w:val="none" w:sz="0" w:space="0" w:color="auto"/>
        <w:left w:val="none" w:sz="0" w:space="0" w:color="auto"/>
        <w:bottom w:val="none" w:sz="0" w:space="0" w:color="auto"/>
        <w:right w:val="none" w:sz="0" w:space="0" w:color="auto"/>
      </w:divBdr>
    </w:div>
    <w:div w:id="118108615">
      <w:bodyDiv w:val="1"/>
      <w:marLeft w:val="0"/>
      <w:marRight w:val="0"/>
      <w:marTop w:val="0"/>
      <w:marBottom w:val="0"/>
      <w:divBdr>
        <w:top w:val="none" w:sz="0" w:space="0" w:color="auto"/>
        <w:left w:val="none" w:sz="0" w:space="0" w:color="auto"/>
        <w:bottom w:val="none" w:sz="0" w:space="0" w:color="auto"/>
        <w:right w:val="none" w:sz="0" w:space="0" w:color="auto"/>
      </w:divBdr>
    </w:div>
    <w:div w:id="129251547">
      <w:bodyDiv w:val="1"/>
      <w:marLeft w:val="0"/>
      <w:marRight w:val="0"/>
      <w:marTop w:val="0"/>
      <w:marBottom w:val="0"/>
      <w:divBdr>
        <w:top w:val="none" w:sz="0" w:space="0" w:color="auto"/>
        <w:left w:val="none" w:sz="0" w:space="0" w:color="auto"/>
        <w:bottom w:val="none" w:sz="0" w:space="0" w:color="auto"/>
        <w:right w:val="none" w:sz="0" w:space="0" w:color="auto"/>
      </w:divBdr>
      <w:divsChild>
        <w:div w:id="839273170">
          <w:marLeft w:val="0"/>
          <w:marRight w:val="1"/>
          <w:marTop w:val="0"/>
          <w:marBottom w:val="0"/>
          <w:divBdr>
            <w:top w:val="none" w:sz="0" w:space="0" w:color="auto"/>
            <w:left w:val="none" w:sz="0" w:space="0" w:color="auto"/>
            <w:bottom w:val="none" w:sz="0" w:space="0" w:color="auto"/>
            <w:right w:val="none" w:sz="0" w:space="0" w:color="auto"/>
          </w:divBdr>
          <w:divsChild>
            <w:div w:id="987786813">
              <w:marLeft w:val="0"/>
              <w:marRight w:val="0"/>
              <w:marTop w:val="0"/>
              <w:marBottom w:val="0"/>
              <w:divBdr>
                <w:top w:val="none" w:sz="0" w:space="0" w:color="auto"/>
                <w:left w:val="none" w:sz="0" w:space="0" w:color="auto"/>
                <w:bottom w:val="none" w:sz="0" w:space="0" w:color="auto"/>
                <w:right w:val="none" w:sz="0" w:space="0" w:color="auto"/>
              </w:divBdr>
              <w:divsChild>
                <w:div w:id="307250276">
                  <w:marLeft w:val="0"/>
                  <w:marRight w:val="1"/>
                  <w:marTop w:val="0"/>
                  <w:marBottom w:val="0"/>
                  <w:divBdr>
                    <w:top w:val="none" w:sz="0" w:space="0" w:color="auto"/>
                    <w:left w:val="none" w:sz="0" w:space="0" w:color="auto"/>
                    <w:bottom w:val="none" w:sz="0" w:space="0" w:color="auto"/>
                    <w:right w:val="none" w:sz="0" w:space="0" w:color="auto"/>
                  </w:divBdr>
                  <w:divsChild>
                    <w:div w:id="360858295">
                      <w:marLeft w:val="0"/>
                      <w:marRight w:val="0"/>
                      <w:marTop w:val="0"/>
                      <w:marBottom w:val="0"/>
                      <w:divBdr>
                        <w:top w:val="none" w:sz="0" w:space="0" w:color="auto"/>
                        <w:left w:val="none" w:sz="0" w:space="0" w:color="auto"/>
                        <w:bottom w:val="none" w:sz="0" w:space="0" w:color="auto"/>
                        <w:right w:val="none" w:sz="0" w:space="0" w:color="auto"/>
                      </w:divBdr>
                      <w:divsChild>
                        <w:div w:id="1558275546">
                          <w:marLeft w:val="0"/>
                          <w:marRight w:val="0"/>
                          <w:marTop w:val="0"/>
                          <w:marBottom w:val="0"/>
                          <w:divBdr>
                            <w:top w:val="none" w:sz="0" w:space="0" w:color="auto"/>
                            <w:left w:val="none" w:sz="0" w:space="0" w:color="auto"/>
                            <w:bottom w:val="none" w:sz="0" w:space="0" w:color="auto"/>
                            <w:right w:val="none" w:sz="0" w:space="0" w:color="auto"/>
                          </w:divBdr>
                          <w:divsChild>
                            <w:div w:id="61757021">
                              <w:marLeft w:val="0"/>
                              <w:marRight w:val="0"/>
                              <w:marTop w:val="120"/>
                              <w:marBottom w:val="360"/>
                              <w:divBdr>
                                <w:top w:val="none" w:sz="0" w:space="0" w:color="auto"/>
                                <w:left w:val="none" w:sz="0" w:space="0" w:color="auto"/>
                                <w:bottom w:val="none" w:sz="0" w:space="0" w:color="auto"/>
                                <w:right w:val="none" w:sz="0" w:space="0" w:color="auto"/>
                              </w:divBdr>
                              <w:divsChild>
                                <w:div w:id="1176699604">
                                  <w:marLeft w:val="187"/>
                                  <w:marRight w:val="0"/>
                                  <w:marTop w:val="0"/>
                                  <w:marBottom w:val="0"/>
                                  <w:divBdr>
                                    <w:top w:val="none" w:sz="0" w:space="0" w:color="auto"/>
                                    <w:left w:val="none" w:sz="0" w:space="0" w:color="auto"/>
                                    <w:bottom w:val="none" w:sz="0" w:space="0" w:color="auto"/>
                                    <w:right w:val="none" w:sz="0" w:space="0" w:color="auto"/>
                                  </w:divBdr>
                                  <w:divsChild>
                                    <w:div w:id="1044697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17478">
      <w:bodyDiv w:val="1"/>
      <w:marLeft w:val="0"/>
      <w:marRight w:val="0"/>
      <w:marTop w:val="0"/>
      <w:marBottom w:val="0"/>
      <w:divBdr>
        <w:top w:val="none" w:sz="0" w:space="0" w:color="auto"/>
        <w:left w:val="none" w:sz="0" w:space="0" w:color="auto"/>
        <w:bottom w:val="none" w:sz="0" w:space="0" w:color="auto"/>
        <w:right w:val="none" w:sz="0" w:space="0" w:color="auto"/>
      </w:divBdr>
    </w:div>
    <w:div w:id="170679255">
      <w:bodyDiv w:val="1"/>
      <w:marLeft w:val="0"/>
      <w:marRight w:val="0"/>
      <w:marTop w:val="0"/>
      <w:marBottom w:val="0"/>
      <w:divBdr>
        <w:top w:val="none" w:sz="0" w:space="0" w:color="auto"/>
        <w:left w:val="none" w:sz="0" w:space="0" w:color="auto"/>
        <w:bottom w:val="none" w:sz="0" w:space="0" w:color="auto"/>
        <w:right w:val="none" w:sz="0" w:space="0" w:color="auto"/>
      </w:divBdr>
    </w:div>
    <w:div w:id="230507735">
      <w:bodyDiv w:val="1"/>
      <w:marLeft w:val="0"/>
      <w:marRight w:val="0"/>
      <w:marTop w:val="0"/>
      <w:marBottom w:val="0"/>
      <w:divBdr>
        <w:top w:val="none" w:sz="0" w:space="0" w:color="auto"/>
        <w:left w:val="none" w:sz="0" w:space="0" w:color="auto"/>
        <w:bottom w:val="none" w:sz="0" w:space="0" w:color="auto"/>
        <w:right w:val="none" w:sz="0" w:space="0" w:color="auto"/>
      </w:divBdr>
    </w:div>
    <w:div w:id="241452326">
      <w:bodyDiv w:val="1"/>
      <w:marLeft w:val="0"/>
      <w:marRight w:val="0"/>
      <w:marTop w:val="0"/>
      <w:marBottom w:val="0"/>
      <w:divBdr>
        <w:top w:val="none" w:sz="0" w:space="0" w:color="auto"/>
        <w:left w:val="none" w:sz="0" w:space="0" w:color="auto"/>
        <w:bottom w:val="none" w:sz="0" w:space="0" w:color="auto"/>
        <w:right w:val="none" w:sz="0" w:space="0" w:color="auto"/>
      </w:divBdr>
    </w:div>
    <w:div w:id="258568552">
      <w:bodyDiv w:val="1"/>
      <w:marLeft w:val="0"/>
      <w:marRight w:val="0"/>
      <w:marTop w:val="0"/>
      <w:marBottom w:val="0"/>
      <w:divBdr>
        <w:top w:val="none" w:sz="0" w:space="0" w:color="auto"/>
        <w:left w:val="none" w:sz="0" w:space="0" w:color="auto"/>
        <w:bottom w:val="none" w:sz="0" w:space="0" w:color="auto"/>
        <w:right w:val="none" w:sz="0" w:space="0" w:color="auto"/>
      </w:divBdr>
      <w:divsChild>
        <w:div w:id="687676892">
          <w:marLeft w:val="0"/>
          <w:marRight w:val="1"/>
          <w:marTop w:val="0"/>
          <w:marBottom w:val="0"/>
          <w:divBdr>
            <w:top w:val="none" w:sz="0" w:space="0" w:color="auto"/>
            <w:left w:val="none" w:sz="0" w:space="0" w:color="auto"/>
            <w:bottom w:val="none" w:sz="0" w:space="0" w:color="auto"/>
            <w:right w:val="none" w:sz="0" w:space="0" w:color="auto"/>
          </w:divBdr>
          <w:divsChild>
            <w:div w:id="1242789547">
              <w:marLeft w:val="0"/>
              <w:marRight w:val="0"/>
              <w:marTop w:val="0"/>
              <w:marBottom w:val="0"/>
              <w:divBdr>
                <w:top w:val="none" w:sz="0" w:space="0" w:color="auto"/>
                <w:left w:val="none" w:sz="0" w:space="0" w:color="auto"/>
                <w:bottom w:val="none" w:sz="0" w:space="0" w:color="auto"/>
                <w:right w:val="none" w:sz="0" w:space="0" w:color="auto"/>
              </w:divBdr>
              <w:divsChild>
                <w:div w:id="1687903400">
                  <w:marLeft w:val="0"/>
                  <w:marRight w:val="1"/>
                  <w:marTop w:val="0"/>
                  <w:marBottom w:val="0"/>
                  <w:divBdr>
                    <w:top w:val="none" w:sz="0" w:space="0" w:color="auto"/>
                    <w:left w:val="none" w:sz="0" w:space="0" w:color="auto"/>
                    <w:bottom w:val="none" w:sz="0" w:space="0" w:color="auto"/>
                    <w:right w:val="none" w:sz="0" w:space="0" w:color="auto"/>
                  </w:divBdr>
                  <w:divsChild>
                    <w:div w:id="1756659470">
                      <w:marLeft w:val="0"/>
                      <w:marRight w:val="0"/>
                      <w:marTop w:val="0"/>
                      <w:marBottom w:val="0"/>
                      <w:divBdr>
                        <w:top w:val="none" w:sz="0" w:space="0" w:color="auto"/>
                        <w:left w:val="none" w:sz="0" w:space="0" w:color="auto"/>
                        <w:bottom w:val="none" w:sz="0" w:space="0" w:color="auto"/>
                        <w:right w:val="none" w:sz="0" w:space="0" w:color="auto"/>
                      </w:divBdr>
                      <w:divsChild>
                        <w:div w:id="1955477324">
                          <w:marLeft w:val="0"/>
                          <w:marRight w:val="0"/>
                          <w:marTop w:val="0"/>
                          <w:marBottom w:val="0"/>
                          <w:divBdr>
                            <w:top w:val="none" w:sz="0" w:space="0" w:color="auto"/>
                            <w:left w:val="none" w:sz="0" w:space="0" w:color="auto"/>
                            <w:bottom w:val="none" w:sz="0" w:space="0" w:color="auto"/>
                            <w:right w:val="none" w:sz="0" w:space="0" w:color="auto"/>
                          </w:divBdr>
                          <w:divsChild>
                            <w:div w:id="456216288">
                              <w:marLeft w:val="0"/>
                              <w:marRight w:val="0"/>
                              <w:marTop w:val="120"/>
                              <w:marBottom w:val="360"/>
                              <w:divBdr>
                                <w:top w:val="none" w:sz="0" w:space="0" w:color="auto"/>
                                <w:left w:val="none" w:sz="0" w:space="0" w:color="auto"/>
                                <w:bottom w:val="none" w:sz="0" w:space="0" w:color="auto"/>
                                <w:right w:val="none" w:sz="0" w:space="0" w:color="auto"/>
                              </w:divBdr>
                              <w:divsChild>
                                <w:div w:id="493644928">
                                  <w:marLeft w:val="187"/>
                                  <w:marRight w:val="0"/>
                                  <w:marTop w:val="0"/>
                                  <w:marBottom w:val="0"/>
                                  <w:divBdr>
                                    <w:top w:val="none" w:sz="0" w:space="0" w:color="auto"/>
                                    <w:left w:val="none" w:sz="0" w:space="0" w:color="auto"/>
                                    <w:bottom w:val="none" w:sz="0" w:space="0" w:color="auto"/>
                                    <w:right w:val="none" w:sz="0" w:space="0" w:color="auto"/>
                                  </w:divBdr>
                                  <w:divsChild>
                                    <w:div w:id="17094071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83370">
      <w:bodyDiv w:val="1"/>
      <w:marLeft w:val="0"/>
      <w:marRight w:val="0"/>
      <w:marTop w:val="0"/>
      <w:marBottom w:val="0"/>
      <w:divBdr>
        <w:top w:val="none" w:sz="0" w:space="0" w:color="auto"/>
        <w:left w:val="none" w:sz="0" w:space="0" w:color="auto"/>
        <w:bottom w:val="none" w:sz="0" w:space="0" w:color="auto"/>
        <w:right w:val="none" w:sz="0" w:space="0" w:color="auto"/>
      </w:divBdr>
      <w:divsChild>
        <w:div w:id="1758821729">
          <w:marLeft w:val="0"/>
          <w:marRight w:val="0"/>
          <w:marTop w:val="0"/>
          <w:marBottom w:val="0"/>
          <w:divBdr>
            <w:top w:val="none" w:sz="0" w:space="0" w:color="auto"/>
            <w:left w:val="none" w:sz="0" w:space="0" w:color="auto"/>
            <w:bottom w:val="none" w:sz="0" w:space="0" w:color="auto"/>
            <w:right w:val="none" w:sz="0" w:space="0" w:color="auto"/>
          </w:divBdr>
          <w:divsChild>
            <w:div w:id="338967659">
              <w:marLeft w:val="0"/>
              <w:marRight w:val="0"/>
              <w:marTop w:val="0"/>
              <w:marBottom w:val="0"/>
              <w:divBdr>
                <w:top w:val="none" w:sz="0" w:space="0" w:color="auto"/>
                <w:left w:val="none" w:sz="0" w:space="0" w:color="auto"/>
                <w:bottom w:val="none" w:sz="0" w:space="0" w:color="auto"/>
                <w:right w:val="none" w:sz="0" w:space="0" w:color="auto"/>
              </w:divBdr>
              <w:divsChild>
                <w:div w:id="444540514">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403258923">
                          <w:marLeft w:val="0"/>
                          <w:marRight w:val="0"/>
                          <w:marTop w:val="0"/>
                          <w:marBottom w:val="0"/>
                          <w:divBdr>
                            <w:top w:val="none" w:sz="0" w:space="0" w:color="auto"/>
                            <w:left w:val="none" w:sz="0" w:space="0" w:color="auto"/>
                            <w:bottom w:val="none" w:sz="0" w:space="0" w:color="auto"/>
                            <w:right w:val="none" w:sz="0" w:space="0" w:color="auto"/>
                          </w:divBdr>
                          <w:divsChild>
                            <w:div w:id="1075322784">
                              <w:marLeft w:val="0"/>
                              <w:marRight w:val="0"/>
                              <w:marTop w:val="0"/>
                              <w:marBottom w:val="0"/>
                              <w:divBdr>
                                <w:top w:val="none" w:sz="0" w:space="0" w:color="auto"/>
                                <w:left w:val="none" w:sz="0" w:space="0" w:color="auto"/>
                                <w:bottom w:val="none" w:sz="0" w:space="0" w:color="auto"/>
                                <w:right w:val="none" w:sz="0" w:space="0" w:color="auto"/>
                              </w:divBdr>
                              <w:divsChild>
                                <w:div w:id="77292559">
                                  <w:marLeft w:val="0"/>
                                  <w:marRight w:val="0"/>
                                  <w:marTop w:val="0"/>
                                  <w:marBottom w:val="0"/>
                                  <w:divBdr>
                                    <w:top w:val="none" w:sz="0" w:space="0" w:color="auto"/>
                                    <w:left w:val="none" w:sz="0" w:space="0" w:color="auto"/>
                                    <w:bottom w:val="none" w:sz="0" w:space="0" w:color="auto"/>
                                    <w:right w:val="none" w:sz="0" w:space="0" w:color="auto"/>
                                  </w:divBdr>
                                  <w:divsChild>
                                    <w:div w:id="22249107">
                                      <w:marLeft w:val="0"/>
                                      <w:marRight w:val="0"/>
                                      <w:marTop w:val="0"/>
                                      <w:marBottom w:val="0"/>
                                      <w:divBdr>
                                        <w:top w:val="none" w:sz="0" w:space="0" w:color="auto"/>
                                        <w:left w:val="none" w:sz="0" w:space="0" w:color="auto"/>
                                        <w:bottom w:val="none" w:sz="0" w:space="0" w:color="auto"/>
                                        <w:right w:val="none" w:sz="0" w:space="0" w:color="auto"/>
                                      </w:divBdr>
                                      <w:divsChild>
                                        <w:div w:id="184247426">
                                          <w:marLeft w:val="0"/>
                                          <w:marRight w:val="0"/>
                                          <w:marTop w:val="0"/>
                                          <w:marBottom w:val="0"/>
                                          <w:divBdr>
                                            <w:top w:val="none" w:sz="0" w:space="0" w:color="auto"/>
                                            <w:left w:val="none" w:sz="0" w:space="0" w:color="auto"/>
                                            <w:bottom w:val="none" w:sz="0" w:space="0" w:color="auto"/>
                                            <w:right w:val="none" w:sz="0" w:space="0" w:color="auto"/>
                                          </w:divBdr>
                                          <w:divsChild>
                                            <w:div w:id="835849831">
                                              <w:marLeft w:val="0"/>
                                              <w:marRight w:val="0"/>
                                              <w:marTop w:val="0"/>
                                              <w:marBottom w:val="0"/>
                                              <w:divBdr>
                                                <w:top w:val="none" w:sz="0" w:space="0" w:color="auto"/>
                                                <w:left w:val="none" w:sz="0" w:space="0" w:color="auto"/>
                                                <w:bottom w:val="none" w:sz="0" w:space="0" w:color="auto"/>
                                                <w:right w:val="none" w:sz="0" w:space="0" w:color="auto"/>
                                              </w:divBdr>
                                              <w:divsChild>
                                                <w:div w:id="2089306035">
                                                  <w:marLeft w:val="0"/>
                                                  <w:marRight w:val="0"/>
                                                  <w:marTop w:val="0"/>
                                                  <w:marBottom w:val="0"/>
                                                  <w:divBdr>
                                                    <w:top w:val="none" w:sz="0" w:space="0" w:color="auto"/>
                                                    <w:left w:val="none" w:sz="0" w:space="0" w:color="auto"/>
                                                    <w:bottom w:val="none" w:sz="0" w:space="0" w:color="auto"/>
                                                    <w:right w:val="none" w:sz="0" w:space="0" w:color="auto"/>
                                                  </w:divBdr>
                                                  <w:divsChild>
                                                    <w:div w:id="2024163430">
                                                      <w:marLeft w:val="0"/>
                                                      <w:marRight w:val="0"/>
                                                      <w:marTop w:val="0"/>
                                                      <w:marBottom w:val="0"/>
                                                      <w:divBdr>
                                                        <w:top w:val="none" w:sz="0" w:space="0" w:color="auto"/>
                                                        <w:left w:val="none" w:sz="0" w:space="0" w:color="auto"/>
                                                        <w:bottom w:val="none" w:sz="0" w:space="0" w:color="auto"/>
                                                        <w:right w:val="none" w:sz="0" w:space="0" w:color="auto"/>
                                                      </w:divBdr>
                                                      <w:divsChild>
                                                        <w:div w:id="2018923816">
                                                          <w:marLeft w:val="0"/>
                                                          <w:marRight w:val="0"/>
                                                          <w:marTop w:val="0"/>
                                                          <w:marBottom w:val="0"/>
                                                          <w:divBdr>
                                                            <w:top w:val="none" w:sz="0" w:space="0" w:color="auto"/>
                                                            <w:left w:val="none" w:sz="0" w:space="0" w:color="auto"/>
                                                            <w:bottom w:val="none" w:sz="0" w:space="0" w:color="auto"/>
                                                            <w:right w:val="none" w:sz="0" w:space="0" w:color="auto"/>
                                                          </w:divBdr>
                                                          <w:divsChild>
                                                            <w:div w:id="331681355">
                                                              <w:marLeft w:val="0"/>
                                                              <w:marRight w:val="0"/>
                                                              <w:marTop w:val="0"/>
                                                              <w:marBottom w:val="0"/>
                                                              <w:divBdr>
                                                                <w:top w:val="none" w:sz="0" w:space="0" w:color="auto"/>
                                                                <w:left w:val="none" w:sz="0" w:space="0" w:color="auto"/>
                                                                <w:bottom w:val="none" w:sz="0" w:space="0" w:color="auto"/>
                                                                <w:right w:val="none" w:sz="0" w:space="0" w:color="auto"/>
                                                              </w:divBdr>
                                                            </w:div>
                                                            <w:div w:id="1871063153">
                                                              <w:marLeft w:val="0"/>
                                                              <w:marRight w:val="0"/>
                                                              <w:marTop w:val="0"/>
                                                              <w:marBottom w:val="0"/>
                                                              <w:divBdr>
                                                                <w:top w:val="none" w:sz="0" w:space="0" w:color="auto"/>
                                                                <w:left w:val="none" w:sz="0" w:space="0" w:color="auto"/>
                                                                <w:bottom w:val="none" w:sz="0" w:space="0" w:color="auto"/>
                                                                <w:right w:val="none" w:sz="0" w:space="0" w:color="auto"/>
                                                              </w:divBdr>
                                                            </w:div>
                                                            <w:div w:id="1899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586105">
      <w:bodyDiv w:val="1"/>
      <w:marLeft w:val="0"/>
      <w:marRight w:val="0"/>
      <w:marTop w:val="0"/>
      <w:marBottom w:val="0"/>
      <w:divBdr>
        <w:top w:val="none" w:sz="0" w:space="0" w:color="auto"/>
        <w:left w:val="none" w:sz="0" w:space="0" w:color="auto"/>
        <w:bottom w:val="none" w:sz="0" w:space="0" w:color="auto"/>
        <w:right w:val="none" w:sz="0" w:space="0" w:color="auto"/>
      </w:divBdr>
    </w:div>
    <w:div w:id="314379786">
      <w:bodyDiv w:val="1"/>
      <w:marLeft w:val="0"/>
      <w:marRight w:val="0"/>
      <w:marTop w:val="0"/>
      <w:marBottom w:val="0"/>
      <w:divBdr>
        <w:top w:val="none" w:sz="0" w:space="0" w:color="auto"/>
        <w:left w:val="none" w:sz="0" w:space="0" w:color="auto"/>
        <w:bottom w:val="none" w:sz="0" w:space="0" w:color="auto"/>
        <w:right w:val="none" w:sz="0" w:space="0" w:color="auto"/>
      </w:divBdr>
    </w:div>
    <w:div w:id="317342109">
      <w:bodyDiv w:val="1"/>
      <w:marLeft w:val="0"/>
      <w:marRight w:val="0"/>
      <w:marTop w:val="0"/>
      <w:marBottom w:val="0"/>
      <w:divBdr>
        <w:top w:val="none" w:sz="0" w:space="0" w:color="auto"/>
        <w:left w:val="none" w:sz="0" w:space="0" w:color="auto"/>
        <w:bottom w:val="none" w:sz="0" w:space="0" w:color="auto"/>
        <w:right w:val="none" w:sz="0" w:space="0" w:color="auto"/>
      </w:divBdr>
      <w:divsChild>
        <w:div w:id="1880625087">
          <w:marLeft w:val="0"/>
          <w:marRight w:val="1"/>
          <w:marTop w:val="0"/>
          <w:marBottom w:val="0"/>
          <w:divBdr>
            <w:top w:val="none" w:sz="0" w:space="0" w:color="auto"/>
            <w:left w:val="none" w:sz="0" w:space="0" w:color="auto"/>
            <w:bottom w:val="none" w:sz="0" w:space="0" w:color="auto"/>
            <w:right w:val="none" w:sz="0" w:space="0" w:color="auto"/>
          </w:divBdr>
          <w:divsChild>
            <w:div w:id="1717007431">
              <w:marLeft w:val="0"/>
              <w:marRight w:val="0"/>
              <w:marTop w:val="0"/>
              <w:marBottom w:val="0"/>
              <w:divBdr>
                <w:top w:val="none" w:sz="0" w:space="0" w:color="auto"/>
                <w:left w:val="none" w:sz="0" w:space="0" w:color="auto"/>
                <w:bottom w:val="none" w:sz="0" w:space="0" w:color="auto"/>
                <w:right w:val="none" w:sz="0" w:space="0" w:color="auto"/>
              </w:divBdr>
              <w:divsChild>
                <w:div w:id="1355037132">
                  <w:marLeft w:val="0"/>
                  <w:marRight w:val="1"/>
                  <w:marTop w:val="0"/>
                  <w:marBottom w:val="0"/>
                  <w:divBdr>
                    <w:top w:val="none" w:sz="0" w:space="0" w:color="auto"/>
                    <w:left w:val="none" w:sz="0" w:space="0" w:color="auto"/>
                    <w:bottom w:val="none" w:sz="0" w:space="0" w:color="auto"/>
                    <w:right w:val="none" w:sz="0" w:space="0" w:color="auto"/>
                  </w:divBdr>
                  <w:divsChild>
                    <w:div w:id="1716389210">
                      <w:marLeft w:val="0"/>
                      <w:marRight w:val="0"/>
                      <w:marTop w:val="0"/>
                      <w:marBottom w:val="0"/>
                      <w:divBdr>
                        <w:top w:val="none" w:sz="0" w:space="0" w:color="auto"/>
                        <w:left w:val="none" w:sz="0" w:space="0" w:color="auto"/>
                        <w:bottom w:val="none" w:sz="0" w:space="0" w:color="auto"/>
                        <w:right w:val="none" w:sz="0" w:space="0" w:color="auto"/>
                      </w:divBdr>
                      <w:divsChild>
                        <w:div w:id="423499783">
                          <w:marLeft w:val="0"/>
                          <w:marRight w:val="0"/>
                          <w:marTop w:val="0"/>
                          <w:marBottom w:val="0"/>
                          <w:divBdr>
                            <w:top w:val="none" w:sz="0" w:space="0" w:color="auto"/>
                            <w:left w:val="none" w:sz="0" w:space="0" w:color="auto"/>
                            <w:bottom w:val="none" w:sz="0" w:space="0" w:color="auto"/>
                            <w:right w:val="none" w:sz="0" w:space="0" w:color="auto"/>
                          </w:divBdr>
                          <w:divsChild>
                            <w:div w:id="1404371789">
                              <w:marLeft w:val="0"/>
                              <w:marRight w:val="0"/>
                              <w:marTop w:val="120"/>
                              <w:marBottom w:val="360"/>
                              <w:divBdr>
                                <w:top w:val="none" w:sz="0" w:space="0" w:color="auto"/>
                                <w:left w:val="none" w:sz="0" w:space="0" w:color="auto"/>
                                <w:bottom w:val="none" w:sz="0" w:space="0" w:color="auto"/>
                                <w:right w:val="none" w:sz="0" w:space="0" w:color="auto"/>
                              </w:divBdr>
                              <w:divsChild>
                                <w:div w:id="1099330704">
                                  <w:marLeft w:val="187"/>
                                  <w:marRight w:val="0"/>
                                  <w:marTop w:val="0"/>
                                  <w:marBottom w:val="0"/>
                                  <w:divBdr>
                                    <w:top w:val="none" w:sz="0" w:space="0" w:color="auto"/>
                                    <w:left w:val="none" w:sz="0" w:space="0" w:color="auto"/>
                                    <w:bottom w:val="none" w:sz="0" w:space="0" w:color="auto"/>
                                    <w:right w:val="none" w:sz="0" w:space="0" w:color="auto"/>
                                  </w:divBdr>
                                  <w:divsChild>
                                    <w:div w:id="1360398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52381">
      <w:bodyDiv w:val="1"/>
      <w:marLeft w:val="0"/>
      <w:marRight w:val="0"/>
      <w:marTop w:val="0"/>
      <w:marBottom w:val="0"/>
      <w:divBdr>
        <w:top w:val="none" w:sz="0" w:space="0" w:color="auto"/>
        <w:left w:val="none" w:sz="0" w:space="0" w:color="auto"/>
        <w:bottom w:val="none" w:sz="0" w:space="0" w:color="auto"/>
        <w:right w:val="none" w:sz="0" w:space="0" w:color="auto"/>
      </w:divBdr>
    </w:div>
    <w:div w:id="349570461">
      <w:bodyDiv w:val="1"/>
      <w:marLeft w:val="0"/>
      <w:marRight w:val="0"/>
      <w:marTop w:val="0"/>
      <w:marBottom w:val="0"/>
      <w:divBdr>
        <w:top w:val="none" w:sz="0" w:space="0" w:color="auto"/>
        <w:left w:val="none" w:sz="0" w:space="0" w:color="auto"/>
        <w:bottom w:val="none" w:sz="0" w:space="0" w:color="auto"/>
        <w:right w:val="none" w:sz="0" w:space="0" w:color="auto"/>
      </w:divBdr>
    </w:div>
    <w:div w:id="351304781">
      <w:bodyDiv w:val="1"/>
      <w:marLeft w:val="0"/>
      <w:marRight w:val="0"/>
      <w:marTop w:val="0"/>
      <w:marBottom w:val="0"/>
      <w:divBdr>
        <w:top w:val="none" w:sz="0" w:space="0" w:color="auto"/>
        <w:left w:val="none" w:sz="0" w:space="0" w:color="auto"/>
        <w:bottom w:val="none" w:sz="0" w:space="0" w:color="auto"/>
        <w:right w:val="none" w:sz="0" w:space="0" w:color="auto"/>
      </w:divBdr>
    </w:div>
    <w:div w:id="363212985">
      <w:bodyDiv w:val="1"/>
      <w:marLeft w:val="0"/>
      <w:marRight w:val="0"/>
      <w:marTop w:val="0"/>
      <w:marBottom w:val="0"/>
      <w:divBdr>
        <w:top w:val="none" w:sz="0" w:space="0" w:color="auto"/>
        <w:left w:val="none" w:sz="0" w:space="0" w:color="auto"/>
        <w:bottom w:val="none" w:sz="0" w:space="0" w:color="auto"/>
        <w:right w:val="none" w:sz="0" w:space="0" w:color="auto"/>
      </w:divBdr>
    </w:div>
    <w:div w:id="452526514">
      <w:bodyDiv w:val="1"/>
      <w:marLeft w:val="0"/>
      <w:marRight w:val="0"/>
      <w:marTop w:val="0"/>
      <w:marBottom w:val="0"/>
      <w:divBdr>
        <w:top w:val="none" w:sz="0" w:space="0" w:color="auto"/>
        <w:left w:val="none" w:sz="0" w:space="0" w:color="auto"/>
        <w:bottom w:val="none" w:sz="0" w:space="0" w:color="auto"/>
        <w:right w:val="none" w:sz="0" w:space="0" w:color="auto"/>
      </w:divBdr>
      <w:divsChild>
        <w:div w:id="1632057031">
          <w:marLeft w:val="0"/>
          <w:marRight w:val="1"/>
          <w:marTop w:val="0"/>
          <w:marBottom w:val="0"/>
          <w:divBdr>
            <w:top w:val="none" w:sz="0" w:space="0" w:color="auto"/>
            <w:left w:val="none" w:sz="0" w:space="0" w:color="auto"/>
            <w:bottom w:val="none" w:sz="0" w:space="0" w:color="auto"/>
            <w:right w:val="none" w:sz="0" w:space="0" w:color="auto"/>
          </w:divBdr>
          <w:divsChild>
            <w:div w:id="970477382">
              <w:marLeft w:val="0"/>
              <w:marRight w:val="0"/>
              <w:marTop w:val="0"/>
              <w:marBottom w:val="0"/>
              <w:divBdr>
                <w:top w:val="none" w:sz="0" w:space="0" w:color="auto"/>
                <w:left w:val="none" w:sz="0" w:space="0" w:color="auto"/>
                <w:bottom w:val="none" w:sz="0" w:space="0" w:color="auto"/>
                <w:right w:val="none" w:sz="0" w:space="0" w:color="auto"/>
              </w:divBdr>
              <w:divsChild>
                <w:div w:id="308288262">
                  <w:marLeft w:val="0"/>
                  <w:marRight w:val="1"/>
                  <w:marTop w:val="0"/>
                  <w:marBottom w:val="0"/>
                  <w:divBdr>
                    <w:top w:val="none" w:sz="0" w:space="0" w:color="auto"/>
                    <w:left w:val="none" w:sz="0" w:space="0" w:color="auto"/>
                    <w:bottom w:val="none" w:sz="0" w:space="0" w:color="auto"/>
                    <w:right w:val="none" w:sz="0" w:space="0" w:color="auto"/>
                  </w:divBdr>
                  <w:divsChild>
                    <w:div w:id="119232775">
                      <w:marLeft w:val="0"/>
                      <w:marRight w:val="0"/>
                      <w:marTop w:val="0"/>
                      <w:marBottom w:val="0"/>
                      <w:divBdr>
                        <w:top w:val="none" w:sz="0" w:space="0" w:color="auto"/>
                        <w:left w:val="none" w:sz="0" w:space="0" w:color="auto"/>
                        <w:bottom w:val="none" w:sz="0" w:space="0" w:color="auto"/>
                        <w:right w:val="none" w:sz="0" w:space="0" w:color="auto"/>
                      </w:divBdr>
                      <w:divsChild>
                        <w:div w:id="308674874">
                          <w:marLeft w:val="0"/>
                          <w:marRight w:val="0"/>
                          <w:marTop w:val="0"/>
                          <w:marBottom w:val="0"/>
                          <w:divBdr>
                            <w:top w:val="none" w:sz="0" w:space="0" w:color="auto"/>
                            <w:left w:val="none" w:sz="0" w:space="0" w:color="auto"/>
                            <w:bottom w:val="none" w:sz="0" w:space="0" w:color="auto"/>
                            <w:right w:val="none" w:sz="0" w:space="0" w:color="auto"/>
                          </w:divBdr>
                          <w:divsChild>
                            <w:div w:id="286670022">
                              <w:marLeft w:val="0"/>
                              <w:marRight w:val="0"/>
                              <w:marTop w:val="120"/>
                              <w:marBottom w:val="360"/>
                              <w:divBdr>
                                <w:top w:val="none" w:sz="0" w:space="0" w:color="auto"/>
                                <w:left w:val="none" w:sz="0" w:space="0" w:color="auto"/>
                                <w:bottom w:val="none" w:sz="0" w:space="0" w:color="auto"/>
                                <w:right w:val="none" w:sz="0" w:space="0" w:color="auto"/>
                              </w:divBdr>
                              <w:divsChild>
                                <w:div w:id="489757915">
                                  <w:marLeft w:val="187"/>
                                  <w:marRight w:val="0"/>
                                  <w:marTop w:val="0"/>
                                  <w:marBottom w:val="0"/>
                                  <w:divBdr>
                                    <w:top w:val="none" w:sz="0" w:space="0" w:color="auto"/>
                                    <w:left w:val="none" w:sz="0" w:space="0" w:color="auto"/>
                                    <w:bottom w:val="none" w:sz="0" w:space="0" w:color="auto"/>
                                    <w:right w:val="none" w:sz="0" w:space="0" w:color="auto"/>
                                  </w:divBdr>
                                  <w:divsChild>
                                    <w:div w:id="2142375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127481">
      <w:bodyDiv w:val="1"/>
      <w:marLeft w:val="0"/>
      <w:marRight w:val="0"/>
      <w:marTop w:val="0"/>
      <w:marBottom w:val="0"/>
      <w:divBdr>
        <w:top w:val="none" w:sz="0" w:space="0" w:color="auto"/>
        <w:left w:val="none" w:sz="0" w:space="0" w:color="auto"/>
        <w:bottom w:val="none" w:sz="0" w:space="0" w:color="auto"/>
        <w:right w:val="none" w:sz="0" w:space="0" w:color="auto"/>
      </w:divBdr>
      <w:divsChild>
        <w:div w:id="1949656412">
          <w:marLeft w:val="0"/>
          <w:marRight w:val="1"/>
          <w:marTop w:val="0"/>
          <w:marBottom w:val="0"/>
          <w:divBdr>
            <w:top w:val="none" w:sz="0" w:space="0" w:color="auto"/>
            <w:left w:val="none" w:sz="0" w:space="0" w:color="auto"/>
            <w:bottom w:val="none" w:sz="0" w:space="0" w:color="auto"/>
            <w:right w:val="none" w:sz="0" w:space="0" w:color="auto"/>
          </w:divBdr>
          <w:divsChild>
            <w:div w:id="907884587">
              <w:marLeft w:val="0"/>
              <w:marRight w:val="0"/>
              <w:marTop w:val="0"/>
              <w:marBottom w:val="0"/>
              <w:divBdr>
                <w:top w:val="none" w:sz="0" w:space="0" w:color="auto"/>
                <w:left w:val="none" w:sz="0" w:space="0" w:color="auto"/>
                <w:bottom w:val="none" w:sz="0" w:space="0" w:color="auto"/>
                <w:right w:val="none" w:sz="0" w:space="0" w:color="auto"/>
              </w:divBdr>
              <w:divsChild>
                <w:div w:id="1947426937">
                  <w:marLeft w:val="0"/>
                  <w:marRight w:val="1"/>
                  <w:marTop w:val="0"/>
                  <w:marBottom w:val="0"/>
                  <w:divBdr>
                    <w:top w:val="none" w:sz="0" w:space="0" w:color="auto"/>
                    <w:left w:val="none" w:sz="0" w:space="0" w:color="auto"/>
                    <w:bottom w:val="none" w:sz="0" w:space="0" w:color="auto"/>
                    <w:right w:val="none" w:sz="0" w:space="0" w:color="auto"/>
                  </w:divBdr>
                  <w:divsChild>
                    <w:div w:id="2100902689">
                      <w:marLeft w:val="0"/>
                      <w:marRight w:val="0"/>
                      <w:marTop w:val="0"/>
                      <w:marBottom w:val="0"/>
                      <w:divBdr>
                        <w:top w:val="none" w:sz="0" w:space="0" w:color="auto"/>
                        <w:left w:val="none" w:sz="0" w:space="0" w:color="auto"/>
                        <w:bottom w:val="none" w:sz="0" w:space="0" w:color="auto"/>
                        <w:right w:val="none" w:sz="0" w:space="0" w:color="auto"/>
                      </w:divBdr>
                      <w:divsChild>
                        <w:div w:id="1119881396">
                          <w:marLeft w:val="0"/>
                          <w:marRight w:val="0"/>
                          <w:marTop w:val="0"/>
                          <w:marBottom w:val="0"/>
                          <w:divBdr>
                            <w:top w:val="none" w:sz="0" w:space="0" w:color="auto"/>
                            <w:left w:val="none" w:sz="0" w:space="0" w:color="auto"/>
                            <w:bottom w:val="none" w:sz="0" w:space="0" w:color="auto"/>
                            <w:right w:val="none" w:sz="0" w:space="0" w:color="auto"/>
                          </w:divBdr>
                          <w:divsChild>
                            <w:div w:id="875461252">
                              <w:marLeft w:val="0"/>
                              <w:marRight w:val="0"/>
                              <w:marTop w:val="120"/>
                              <w:marBottom w:val="360"/>
                              <w:divBdr>
                                <w:top w:val="none" w:sz="0" w:space="0" w:color="auto"/>
                                <w:left w:val="none" w:sz="0" w:space="0" w:color="auto"/>
                                <w:bottom w:val="none" w:sz="0" w:space="0" w:color="auto"/>
                                <w:right w:val="none" w:sz="0" w:space="0" w:color="auto"/>
                              </w:divBdr>
                              <w:divsChild>
                                <w:div w:id="1680690299">
                                  <w:marLeft w:val="187"/>
                                  <w:marRight w:val="0"/>
                                  <w:marTop w:val="0"/>
                                  <w:marBottom w:val="0"/>
                                  <w:divBdr>
                                    <w:top w:val="none" w:sz="0" w:space="0" w:color="auto"/>
                                    <w:left w:val="none" w:sz="0" w:space="0" w:color="auto"/>
                                    <w:bottom w:val="none" w:sz="0" w:space="0" w:color="auto"/>
                                    <w:right w:val="none" w:sz="0" w:space="0" w:color="auto"/>
                                  </w:divBdr>
                                  <w:divsChild>
                                    <w:div w:id="21050283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82436">
      <w:bodyDiv w:val="1"/>
      <w:marLeft w:val="0"/>
      <w:marRight w:val="0"/>
      <w:marTop w:val="0"/>
      <w:marBottom w:val="0"/>
      <w:divBdr>
        <w:top w:val="none" w:sz="0" w:space="0" w:color="auto"/>
        <w:left w:val="none" w:sz="0" w:space="0" w:color="auto"/>
        <w:bottom w:val="none" w:sz="0" w:space="0" w:color="auto"/>
        <w:right w:val="none" w:sz="0" w:space="0" w:color="auto"/>
      </w:divBdr>
      <w:divsChild>
        <w:div w:id="1887256691">
          <w:marLeft w:val="0"/>
          <w:marRight w:val="1"/>
          <w:marTop w:val="0"/>
          <w:marBottom w:val="0"/>
          <w:divBdr>
            <w:top w:val="none" w:sz="0" w:space="0" w:color="auto"/>
            <w:left w:val="none" w:sz="0" w:space="0" w:color="auto"/>
            <w:bottom w:val="none" w:sz="0" w:space="0" w:color="auto"/>
            <w:right w:val="none" w:sz="0" w:space="0" w:color="auto"/>
          </w:divBdr>
          <w:divsChild>
            <w:div w:id="1881359251">
              <w:marLeft w:val="0"/>
              <w:marRight w:val="0"/>
              <w:marTop w:val="0"/>
              <w:marBottom w:val="0"/>
              <w:divBdr>
                <w:top w:val="none" w:sz="0" w:space="0" w:color="auto"/>
                <w:left w:val="none" w:sz="0" w:space="0" w:color="auto"/>
                <w:bottom w:val="none" w:sz="0" w:space="0" w:color="auto"/>
                <w:right w:val="none" w:sz="0" w:space="0" w:color="auto"/>
              </w:divBdr>
              <w:divsChild>
                <w:div w:id="1267498376">
                  <w:marLeft w:val="0"/>
                  <w:marRight w:val="1"/>
                  <w:marTop w:val="0"/>
                  <w:marBottom w:val="0"/>
                  <w:divBdr>
                    <w:top w:val="none" w:sz="0" w:space="0" w:color="auto"/>
                    <w:left w:val="none" w:sz="0" w:space="0" w:color="auto"/>
                    <w:bottom w:val="none" w:sz="0" w:space="0" w:color="auto"/>
                    <w:right w:val="none" w:sz="0" w:space="0" w:color="auto"/>
                  </w:divBdr>
                  <w:divsChild>
                    <w:div w:id="216553637">
                      <w:marLeft w:val="0"/>
                      <w:marRight w:val="0"/>
                      <w:marTop w:val="0"/>
                      <w:marBottom w:val="0"/>
                      <w:divBdr>
                        <w:top w:val="none" w:sz="0" w:space="0" w:color="auto"/>
                        <w:left w:val="none" w:sz="0" w:space="0" w:color="auto"/>
                        <w:bottom w:val="none" w:sz="0" w:space="0" w:color="auto"/>
                        <w:right w:val="none" w:sz="0" w:space="0" w:color="auto"/>
                      </w:divBdr>
                      <w:divsChild>
                        <w:div w:id="630940919">
                          <w:marLeft w:val="0"/>
                          <w:marRight w:val="0"/>
                          <w:marTop w:val="0"/>
                          <w:marBottom w:val="0"/>
                          <w:divBdr>
                            <w:top w:val="none" w:sz="0" w:space="0" w:color="auto"/>
                            <w:left w:val="none" w:sz="0" w:space="0" w:color="auto"/>
                            <w:bottom w:val="none" w:sz="0" w:space="0" w:color="auto"/>
                            <w:right w:val="none" w:sz="0" w:space="0" w:color="auto"/>
                          </w:divBdr>
                          <w:divsChild>
                            <w:div w:id="71897333">
                              <w:marLeft w:val="0"/>
                              <w:marRight w:val="0"/>
                              <w:marTop w:val="120"/>
                              <w:marBottom w:val="360"/>
                              <w:divBdr>
                                <w:top w:val="none" w:sz="0" w:space="0" w:color="auto"/>
                                <w:left w:val="none" w:sz="0" w:space="0" w:color="auto"/>
                                <w:bottom w:val="none" w:sz="0" w:space="0" w:color="auto"/>
                                <w:right w:val="none" w:sz="0" w:space="0" w:color="auto"/>
                              </w:divBdr>
                              <w:divsChild>
                                <w:div w:id="1053624401">
                                  <w:marLeft w:val="187"/>
                                  <w:marRight w:val="0"/>
                                  <w:marTop w:val="0"/>
                                  <w:marBottom w:val="0"/>
                                  <w:divBdr>
                                    <w:top w:val="none" w:sz="0" w:space="0" w:color="auto"/>
                                    <w:left w:val="none" w:sz="0" w:space="0" w:color="auto"/>
                                    <w:bottom w:val="none" w:sz="0" w:space="0" w:color="auto"/>
                                    <w:right w:val="none" w:sz="0" w:space="0" w:color="auto"/>
                                  </w:divBdr>
                                  <w:divsChild>
                                    <w:div w:id="19162354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233936">
      <w:bodyDiv w:val="1"/>
      <w:marLeft w:val="0"/>
      <w:marRight w:val="0"/>
      <w:marTop w:val="0"/>
      <w:marBottom w:val="0"/>
      <w:divBdr>
        <w:top w:val="none" w:sz="0" w:space="0" w:color="auto"/>
        <w:left w:val="none" w:sz="0" w:space="0" w:color="auto"/>
        <w:bottom w:val="none" w:sz="0" w:space="0" w:color="auto"/>
        <w:right w:val="none" w:sz="0" w:space="0" w:color="auto"/>
      </w:divBdr>
    </w:div>
    <w:div w:id="513811370">
      <w:bodyDiv w:val="1"/>
      <w:marLeft w:val="0"/>
      <w:marRight w:val="0"/>
      <w:marTop w:val="0"/>
      <w:marBottom w:val="0"/>
      <w:divBdr>
        <w:top w:val="none" w:sz="0" w:space="0" w:color="auto"/>
        <w:left w:val="none" w:sz="0" w:space="0" w:color="auto"/>
        <w:bottom w:val="none" w:sz="0" w:space="0" w:color="auto"/>
        <w:right w:val="none" w:sz="0" w:space="0" w:color="auto"/>
      </w:divBdr>
    </w:div>
    <w:div w:id="545685454">
      <w:bodyDiv w:val="1"/>
      <w:marLeft w:val="0"/>
      <w:marRight w:val="0"/>
      <w:marTop w:val="0"/>
      <w:marBottom w:val="0"/>
      <w:divBdr>
        <w:top w:val="none" w:sz="0" w:space="0" w:color="auto"/>
        <w:left w:val="none" w:sz="0" w:space="0" w:color="auto"/>
        <w:bottom w:val="none" w:sz="0" w:space="0" w:color="auto"/>
        <w:right w:val="none" w:sz="0" w:space="0" w:color="auto"/>
      </w:divBdr>
    </w:div>
    <w:div w:id="551844141">
      <w:bodyDiv w:val="1"/>
      <w:marLeft w:val="0"/>
      <w:marRight w:val="0"/>
      <w:marTop w:val="0"/>
      <w:marBottom w:val="0"/>
      <w:divBdr>
        <w:top w:val="none" w:sz="0" w:space="0" w:color="auto"/>
        <w:left w:val="none" w:sz="0" w:space="0" w:color="auto"/>
        <w:bottom w:val="none" w:sz="0" w:space="0" w:color="auto"/>
        <w:right w:val="none" w:sz="0" w:space="0" w:color="auto"/>
      </w:divBdr>
    </w:div>
    <w:div w:id="606040839">
      <w:bodyDiv w:val="1"/>
      <w:marLeft w:val="0"/>
      <w:marRight w:val="0"/>
      <w:marTop w:val="0"/>
      <w:marBottom w:val="0"/>
      <w:divBdr>
        <w:top w:val="none" w:sz="0" w:space="0" w:color="auto"/>
        <w:left w:val="none" w:sz="0" w:space="0" w:color="auto"/>
        <w:bottom w:val="none" w:sz="0" w:space="0" w:color="auto"/>
        <w:right w:val="none" w:sz="0" w:space="0" w:color="auto"/>
      </w:divBdr>
    </w:div>
    <w:div w:id="653990793">
      <w:bodyDiv w:val="1"/>
      <w:marLeft w:val="0"/>
      <w:marRight w:val="0"/>
      <w:marTop w:val="0"/>
      <w:marBottom w:val="0"/>
      <w:divBdr>
        <w:top w:val="none" w:sz="0" w:space="0" w:color="auto"/>
        <w:left w:val="none" w:sz="0" w:space="0" w:color="auto"/>
        <w:bottom w:val="none" w:sz="0" w:space="0" w:color="auto"/>
        <w:right w:val="none" w:sz="0" w:space="0" w:color="auto"/>
      </w:divBdr>
    </w:div>
    <w:div w:id="672881130">
      <w:bodyDiv w:val="1"/>
      <w:marLeft w:val="0"/>
      <w:marRight w:val="0"/>
      <w:marTop w:val="0"/>
      <w:marBottom w:val="0"/>
      <w:divBdr>
        <w:top w:val="none" w:sz="0" w:space="0" w:color="auto"/>
        <w:left w:val="none" w:sz="0" w:space="0" w:color="auto"/>
        <w:bottom w:val="none" w:sz="0" w:space="0" w:color="auto"/>
        <w:right w:val="none" w:sz="0" w:space="0" w:color="auto"/>
      </w:divBdr>
      <w:divsChild>
        <w:div w:id="1686516981">
          <w:marLeft w:val="0"/>
          <w:marRight w:val="1"/>
          <w:marTop w:val="0"/>
          <w:marBottom w:val="0"/>
          <w:divBdr>
            <w:top w:val="none" w:sz="0" w:space="0" w:color="auto"/>
            <w:left w:val="none" w:sz="0" w:space="0" w:color="auto"/>
            <w:bottom w:val="none" w:sz="0" w:space="0" w:color="auto"/>
            <w:right w:val="none" w:sz="0" w:space="0" w:color="auto"/>
          </w:divBdr>
          <w:divsChild>
            <w:div w:id="606623729">
              <w:marLeft w:val="0"/>
              <w:marRight w:val="0"/>
              <w:marTop w:val="0"/>
              <w:marBottom w:val="0"/>
              <w:divBdr>
                <w:top w:val="none" w:sz="0" w:space="0" w:color="auto"/>
                <w:left w:val="none" w:sz="0" w:space="0" w:color="auto"/>
                <w:bottom w:val="none" w:sz="0" w:space="0" w:color="auto"/>
                <w:right w:val="none" w:sz="0" w:space="0" w:color="auto"/>
              </w:divBdr>
              <w:divsChild>
                <w:div w:id="181672702">
                  <w:marLeft w:val="0"/>
                  <w:marRight w:val="1"/>
                  <w:marTop w:val="0"/>
                  <w:marBottom w:val="0"/>
                  <w:divBdr>
                    <w:top w:val="none" w:sz="0" w:space="0" w:color="auto"/>
                    <w:left w:val="none" w:sz="0" w:space="0" w:color="auto"/>
                    <w:bottom w:val="none" w:sz="0" w:space="0" w:color="auto"/>
                    <w:right w:val="none" w:sz="0" w:space="0" w:color="auto"/>
                  </w:divBdr>
                  <w:divsChild>
                    <w:div w:id="2025859522">
                      <w:marLeft w:val="0"/>
                      <w:marRight w:val="0"/>
                      <w:marTop w:val="0"/>
                      <w:marBottom w:val="0"/>
                      <w:divBdr>
                        <w:top w:val="none" w:sz="0" w:space="0" w:color="auto"/>
                        <w:left w:val="none" w:sz="0" w:space="0" w:color="auto"/>
                        <w:bottom w:val="none" w:sz="0" w:space="0" w:color="auto"/>
                        <w:right w:val="none" w:sz="0" w:space="0" w:color="auto"/>
                      </w:divBdr>
                      <w:divsChild>
                        <w:div w:id="1151140564">
                          <w:marLeft w:val="0"/>
                          <w:marRight w:val="0"/>
                          <w:marTop w:val="0"/>
                          <w:marBottom w:val="0"/>
                          <w:divBdr>
                            <w:top w:val="none" w:sz="0" w:space="0" w:color="auto"/>
                            <w:left w:val="none" w:sz="0" w:space="0" w:color="auto"/>
                            <w:bottom w:val="none" w:sz="0" w:space="0" w:color="auto"/>
                            <w:right w:val="none" w:sz="0" w:space="0" w:color="auto"/>
                          </w:divBdr>
                          <w:divsChild>
                            <w:div w:id="1899627205">
                              <w:marLeft w:val="0"/>
                              <w:marRight w:val="0"/>
                              <w:marTop w:val="120"/>
                              <w:marBottom w:val="360"/>
                              <w:divBdr>
                                <w:top w:val="none" w:sz="0" w:space="0" w:color="auto"/>
                                <w:left w:val="none" w:sz="0" w:space="0" w:color="auto"/>
                                <w:bottom w:val="none" w:sz="0" w:space="0" w:color="auto"/>
                                <w:right w:val="none" w:sz="0" w:space="0" w:color="auto"/>
                              </w:divBdr>
                              <w:divsChild>
                                <w:div w:id="2013799593">
                                  <w:marLeft w:val="187"/>
                                  <w:marRight w:val="0"/>
                                  <w:marTop w:val="0"/>
                                  <w:marBottom w:val="0"/>
                                  <w:divBdr>
                                    <w:top w:val="none" w:sz="0" w:space="0" w:color="auto"/>
                                    <w:left w:val="none" w:sz="0" w:space="0" w:color="auto"/>
                                    <w:bottom w:val="none" w:sz="0" w:space="0" w:color="auto"/>
                                    <w:right w:val="none" w:sz="0" w:space="0" w:color="auto"/>
                                  </w:divBdr>
                                  <w:divsChild>
                                    <w:div w:id="2050833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864583">
      <w:bodyDiv w:val="1"/>
      <w:marLeft w:val="0"/>
      <w:marRight w:val="0"/>
      <w:marTop w:val="0"/>
      <w:marBottom w:val="0"/>
      <w:divBdr>
        <w:top w:val="none" w:sz="0" w:space="0" w:color="auto"/>
        <w:left w:val="none" w:sz="0" w:space="0" w:color="auto"/>
        <w:bottom w:val="none" w:sz="0" w:space="0" w:color="auto"/>
        <w:right w:val="none" w:sz="0" w:space="0" w:color="auto"/>
      </w:divBdr>
    </w:div>
    <w:div w:id="719592464">
      <w:bodyDiv w:val="1"/>
      <w:marLeft w:val="0"/>
      <w:marRight w:val="0"/>
      <w:marTop w:val="0"/>
      <w:marBottom w:val="0"/>
      <w:divBdr>
        <w:top w:val="none" w:sz="0" w:space="0" w:color="auto"/>
        <w:left w:val="none" w:sz="0" w:space="0" w:color="auto"/>
        <w:bottom w:val="none" w:sz="0" w:space="0" w:color="auto"/>
        <w:right w:val="none" w:sz="0" w:space="0" w:color="auto"/>
      </w:divBdr>
      <w:divsChild>
        <w:div w:id="1141465409">
          <w:marLeft w:val="0"/>
          <w:marRight w:val="1"/>
          <w:marTop w:val="0"/>
          <w:marBottom w:val="0"/>
          <w:divBdr>
            <w:top w:val="none" w:sz="0" w:space="0" w:color="auto"/>
            <w:left w:val="none" w:sz="0" w:space="0" w:color="auto"/>
            <w:bottom w:val="none" w:sz="0" w:space="0" w:color="auto"/>
            <w:right w:val="none" w:sz="0" w:space="0" w:color="auto"/>
          </w:divBdr>
          <w:divsChild>
            <w:div w:id="579681106">
              <w:marLeft w:val="0"/>
              <w:marRight w:val="0"/>
              <w:marTop w:val="0"/>
              <w:marBottom w:val="0"/>
              <w:divBdr>
                <w:top w:val="none" w:sz="0" w:space="0" w:color="auto"/>
                <w:left w:val="none" w:sz="0" w:space="0" w:color="auto"/>
                <w:bottom w:val="none" w:sz="0" w:space="0" w:color="auto"/>
                <w:right w:val="none" w:sz="0" w:space="0" w:color="auto"/>
              </w:divBdr>
              <w:divsChild>
                <w:div w:id="851147845">
                  <w:marLeft w:val="0"/>
                  <w:marRight w:val="1"/>
                  <w:marTop w:val="0"/>
                  <w:marBottom w:val="0"/>
                  <w:divBdr>
                    <w:top w:val="none" w:sz="0" w:space="0" w:color="auto"/>
                    <w:left w:val="none" w:sz="0" w:space="0" w:color="auto"/>
                    <w:bottom w:val="none" w:sz="0" w:space="0" w:color="auto"/>
                    <w:right w:val="none" w:sz="0" w:space="0" w:color="auto"/>
                  </w:divBdr>
                  <w:divsChild>
                    <w:div w:id="1638679818">
                      <w:marLeft w:val="0"/>
                      <w:marRight w:val="0"/>
                      <w:marTop w:val="0"/>
                      <w:marBottom w:val="0"/>
                      <w:divBdr>
                        <w:top w:val="none" w:sz="0" w:space="0" w:color="auto"/>
                        <w:left w:val="none" w:sz="0" w:space="0" w:color="auto"/>
                        <w:bottom w:val="none" w:sz="0" w:space="0" w:color="auto"/>
                        <w:right w:val="none" w:sz="0" w:space="0" w:color="auto"/>
                      </w:divBdr>
                      <w:divsChild>
                        <w:div w:id="842935415">
                          <w:marLeft w:val="0"/>
                          <w:marRight w:val="0"/>
                          <w:marTop w:val="0"/>
                          <w:marBottom w:val="0"/>
                          <w:divBdr>
                            <w:top w:val="none" w:sz="0" w:space="0" w:color="auto"/>
                            <w:left w:val="none" w:sz="0" w:space="0" w:color="auto"/>
                            <w:bottom w:val="none" w:sz="0" w:space="0" w:color="auto"/>
                            <w:right w:val="none" w:sz="0" w:space="0" w:color="auto"/>
                          </w:divBdr>
                          <w:divsChild>
                            <w:div w:id="955211904">
                              <w:marLeft w:val="0"/>
                              <w:marRight w:val="0"/>
                              <w:marTop w:val="120"/>
                              <w:marBottom w:val="360"/>
                              <w:divBdr>
                                <w:top w:val="none" w:sz="0" w:space="0" w:color="auto"/>
                                <w:left w:val="none" w:sz="0" w:space="0" w:color="auto"/>
                                <w:bottom w:val="none" w:sz="0" w:space="0" w:color="auto"/>
                                <w:right w:val="none" w:sz="0" w:space="0" w:color="auto"/>
                              </w:divBdr>
                              <w:divsChild>
                                <w:div w:id="261769589">
                                  <w:marLeft w:val="187"/>
                                  <w:marRight w:val="0"/>
                                  <w:marTop w:val="0"/>
                                  <w:marBottom w:val="0"/>
                                  <w:divBdr>
                                    <w:top w:val="none" w:sz="0" w:space="0" w:color="auto"/>
                                    <w:left w:val="none" w:sz="0" w:space="0" w:color="auto"/>
                                    <w:bottom w:val="none" w:sz="0" w:space="0" w:color="auto"/>
                                    <w:right w:val="none" w:sz="0" w:space="0" w:color="auto"/>
                                  </w:divBdr>
                                  <w:divsChild>
                                    <w:div w:id="18131313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471085">
      <w:bodyDiv w:val="1"/>
      <w:marLeft w:val="0"/>
      <w:marRight w:val="0"/>
      <w:marTop w:val="0"/>
      <w:marBottom w:val="0"/>
      <w:divBdr>
        <w:top w:val="none" w:sz="0" w:space="0" w:color="auto"/>
        <w:left w:val="none" w:sz="0" w:space="0" w:color="auto"/>
        <w:bottom w:val="none" w:sz="0" w:space="0" w:color="auto"/>
        <w:right w:val="none" w:sz="0" w:space="0" w:color="auto"/>
      </w:divBdr>
    </w:div>
    <w:div w:id="832843839">
      <w:bodyDiv w:val="1"/>
      <w:marLeft w:val="0"/>
      <w:marRight w:val="0"/>
      <w:marTop w:val="0"/>
      <w:marBottom w:val="0"/>
      <w:divBdr>
        <w:top w:val="none" w:sz="0" w:space="0" w:color="auto"/>
        <w:left w:val="none" w:sz="0" w:space="0" w:color="auto"/>
        <w:bottom w:val="none" w:sz="0" w:space="0" w:color="auto"/>
        <w:right w:val="none" w:sz="0" w:space="0" w:color="auto"/>
      </w:divBdr>
    </w:div>
    <w:div w:id="835264321">
      <w:bodyDiv w:val="1"/>
      <w:marLeft w:val="0"/>
      <w:marRight w:val="0"/>
      <w:marTop w:val="0"/>
      <w:marBottom w:val="0"/>
      <w:divBdr>
        <w:top w:val="none" w:sz="0" w:space="0" w:color="auto"/>
        <w:left w:val="none" w:sz="0" w:space="0" w:color="auto"/>
        <w:bottom w:val="none" w:sz="0" w:space="0" w:color="auto"/>
        <w:right w:val="none" w:sz="0" w:space="0" w:color="auto"/>
      </w:divBdr>
      <w:divsChild>
        <w:div w:id="282881310">
          <w:marLeft w:val="0"/>
          <w:marRight w:val="1"/>
          <w:marTop w:val="0"/>
          <w:marBottom w:val="0"/>
          <w:divBdr>
            <w:top w:val="none" w:sz="0" w:space="0" w:color="auto"/>
            <w:left w:val="none" w:sz="0" w:space="0" w:color="auto"/>
            <w:bottom w:val="none" w:sz="0" w:space="0" w:color="auto"/>
            <w:right w:val="none" w:sz="0" w:space="0" w:color="auto"/>
          </w:divBdr>
          <w:divsChild>
            <w:div w:id="429742774">
              <w:marLeft w:val="0"/>
              <w:marRight w:val="0"/>
              <w:marTop w:val="0"/>
              <w:marBottom w:val="0"/>
              <w:divBdr>
                <w:top w:val="none" w:sz="0" w:space="0" w:color="auto"/>
                <w:left w:val="none" w:sz="0" w:space="0" w:color="auto"/>
                <w:bottom w:val="none" w:sz="0" w:space="0" w:color="auto"/>
                <w:right w:val="none" w:sz="0" w:space="0" w:color="auto"/>
              </w:divBdr>
              <w:divsChild>
                <w:div w:id="614024808">
                  <w:marLeft w:val="0"/>
                  <w:marRight w:val="1"/>
                  <w:marTop w:val="0"/>
                  <w:marBottom w:val="0"/>
                  <w:divBdr>
                    <w:top w:val="none" w:sz="0" w:space="0" w:color="auto"/>
                    <w:left w:val="none" w:sz="0" w:space="0" w:color="auto"/>
                    <w:bottom w:val="none" w:sz="0" w:space="0" w:color="auto"/>
                    <w:right w:val="none" w:sz="0" w:space="0" w:color="auto"/>
                  </w:divBdr>
                  <w:divsChild>
                    <w:div w:id="497499261">
                      <w:marLeft w:val="0"/>
                      <w:marRight w:val="0"/>
                      <w:marTop w:val="0"/>
                      <w:marBottom w:val="0"/>
                      <w:divBdr>
                        <w:top w:val="none" w:sz="0" w:space="0" w:color="auto"/>
                        <w:left w:val="none" w:sz="0" w:space="0" w:color="auto"/>
                        <w:bottom w:val="none" w:sz="0" w:space="0" w:color="auto"/>
                        <w:right w:val="none" w:sz="0" w:space="0" w:color="auto"/>
                      </w:divBdr>
                      <w:divsChild>
                        <w:div w:id="165285686">
                          <w:marLeft w:val="0"/>
                          <w:marRight w:val="0"/>
                          <w:marTop w:val="0"/>
                          <w:marBottom w:val="0"/>
                          <w:divBdr>
                            <w:top w:val="none" w:sz="0" w:space="0" w:color="auto"/>
                            <w:left w:val="none" w:sz="0" w:space="0" w:color="auto"/>
                            <w:bottom w:val="none" w:sz="0" w:space="0" w:color="auto"/>
                            <w:right w:val="none" w:sz="0" w:space="0" w:color="auto"/>
                          </w:divBdr>
                          <w:divsChild>
                            <w:div w:id="849099387">
                              <w:marLeft w:val="0"/>
                              <w:marRight w:val="0"/>
                              <w:marTop w:val="120"/>
                              <w:marBottom w:val="360"/>
                              <w:divBdr>
                                <w:top w:val="none" w:sz="0" w:space="0" w:color="auto"/>
                                <w:left w:val="none" w:sz="0" w:space="0" w:color="auto"/>
                                <w:bottom w:val="none" w:sz="0" w:space="0" w:color="auto"/>
                                <w:right w:val="none" w:sz="0" w:space="0" w:color="auto"/>
                              </w:divBdr>
                              <w:divsChild>
                                <w:div w:id="1833570223">
                                  <w:marLeft w:val="187"/>
                                  <w:marRight w:val="0"/>
                                  <w:marTop w:val="0"/>
                                  <w:marBottom w:val="0"/>
                                  <w:divBdr>
                                    <w:top w:val="none" w:sz="0" w:space="0" w:color="auto"/>
                                    <w:left w:val="none" w:sz="0" w:space="0" w:color="auto"/>
                                    <w:bottom w:val="none" w:sz="0" w:space="0" w:color="auto"/>
                                    <w:right w:val="none" w:sz="0" w:space="0" w:color="auto"/>
                                  </w:divBdr>
                                  <w:divsChild>
                                    <w:div w:id="16453556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267177">
      <w:bodyDiv w:val="1"/>
      <w:marLeft w:val="0"/>
      <w:marRight w:val="0"/>
      <w:marTop w:val="0"/>
      <w:marBottom w:val="0"/>
      <w:divBdr>
        <w:top w:val="none" w:sz="0" w:space="0" w:color="auto"/>
        <w:left w:val="none" w:sz="0" w:space="0" w:color="auto"/>
        <w:bottom w:val="none" w:sz="0" w:space="0" w:color="auto"/>
        <w:right w:val="none" w:sz="0" w:space="0" w:color="auto"/>
      </w:divBdr>
    </w:div>
    <w:div w:id="838040873">
      <w:bodyDiv w:val="1"/>
      <w:marLeft w:val="0"/>
      <w:marRight w:val="0"/>
      <w:marTop w:val="0"/>
      <w:marBottom w:val="0"/>
      <w:divBdr>
        <w:top w:val="none" w:sz="0" w:space="0" w:color="auto"/>
        <w:left w:val="none" w:sz="0" w:space="0" w:color="auto"/>
        <w:bottom w:val="none" w:sz="0" w:space="0" w:color="auto"/>
        <w:right w:val="none" w:sz="0" w:space="0" w:color="auto"/>
      </w:divBdr>
    </w:div>
    <w:div w:id="841898111">
      <w:bodyDiv w:val="1"/>
      <w:marLeft w:val="0"/>
      <w:marRight w:val="0"/>
      <w:marTop w:val="0"/>
      <w:marBottom w:val="0"/>
      <w:divBdr>
        <w:top w:val="none" w:sz="0" w:space="0" w:color="auto"/>
        <w:left w:val="none" w:sz="0" w:space="0" w:color="auto"/>
        <w:bottom w:val="none" w:sz="0" w:space="0" w:color="auto"/>
        <w:right w:val="none" w:sz="0" w:space="0" w:color="auto"/>
      </w:divBdr>
    </w:div>
    <w:div w:id="867109101">
      <w:bodyDiv w:val="1"/>
      <w:marLeft w:val="0"/>
      <w:marRight w:val="0"/>
      <w:marTop w:val="0"/>
      <w:marBottom w:val="0"/>
      <w:divBdr>
        <w:top w:val="none" w:sz="0" w:space="0" w:color="auto"/>
        <w:left w:val="none" w:sz="0" w:space="0" w:color="auto"/>
        <w:bottom w:val="none" w:sz="0" w:space="0" w:color="auto"/>
        <w:right w:val="none" w:sz="0" w:space="0" w:color="auto"/>
      </w:divBdr>
    </w:div>
    <w:div w:id="869682620">
      <w:bodyDiv w:val="1"/>
      <w:marLeft w:val="0"/>
      <w:marRight w:val="0"/>
      <w:marTop w:val="0"/>
      <w:marBottom w:val="0"/>
      <w:divBdr>
        <w:top w:val="none" w:sz="0" w:space="0" w:color="auto"/>
        <w:left w:val="none" w:sz="0" w:space="0" w:color="auto"/>
        <w:bottom w:val="none" w:sz="0" w:space="0" w:color="auto"/>
        <w:right w:val="none" w:sz="0" w:space="0" w:color="auto"/>
      </w:divBdr>
    </w:div>
    <w:div w:id="881138451">
      <w:bodyDiv w:val="1"/>
      <w:marLeft w:val="0"/>
      <w:marRight w:val="0"/>
      <w:marTop w:val="0"/>
      <w:marBottom w:val="0"/>
      <w:divBdr>
        <w:top w:val="none" w:sz="0" w:space="0" w:color="auto"/>
        <w:left w:val="none" w:sz="0" w:space="0" w:color="auto"/>
        <w:bottom w:val="none" w:sz="0" w:space="0" w:color="auto"/>
        <w:right w:val="none" w:sz="0" w:space="0" w:color="auto"/>
      </w:divBdr>
    </w:div>
    <w:div w:id="888296277">
      <w:bodyDiv w:val="1"/>
      <w:marLeft w:val="0"/>
      <w:marRight w:val="0"/>
      <w:marTop w:val="0"/>
      <w:marBottom w:val="0"/>
      <w:divBdr>
        <w:top w:val="none" w:sz="0" w:space="0" w:color="auto"/>
        <w:left w:val="none" w:sz="0" w:space="0" w:color="auto"/>
        <w:bottom w:val="none" w:sz="0" w:space="0" w:color="auto"/>
        <w:right w:val="none" w:sz="0" w:space="0" w:color="auto"/>
      </w:divBdr>
    </w:div>
    <w:div w:id="916135803">
      <w:bodyDiv w:val="1"/>
      <w:marLeft w:val="0"/>
      <w:marRight w:val="0"/>
      <w:marTop w:val="0"/>
      <w:marBottom w:val="0"/>
      <w:divBdr>
        <w:top w:val="none" w:sz="0" w:space="0" w:color="auto"/>
        <w:left w:val="none" w:sz="0" w:space="0" w:color="auto"/>
        <w:bottom w:val="none" w:sz="0" w:space="0" w:color="auto"/>
        <w:right w:val="none" w:sz="0" w:space="0" w:color="auto"/>
      </w:divBdr>
    </w:div>
    <w:div w:id="925961646">
      <w:bodyDiv w:val="1"/>
      <w:marLeft w:val="0"/>
      <w:marRight w:val="0"/>
      <w:marTop w:val="0"/>
      <w:marBottom w:val="0"/>
      <w:divBdr>
        <w:top w:val="none" w:sz="0" w:space="0" w:color="auto"/>
        <w:left w:val="none" w:sz="0" w:space="0" w:color="auto"/>
        <w:bottom w:val="none" w:sz="0" w:space="0" w:color="auto"/>
        <w:right w:val="none" w:sz="0" w:space="0" w:color="auto"/>
      </w:divBdr>
    </w:div>
    <w:div w:id="996155690">
      <w:bodyDiv w:val="1"/>
      <w:marLeft w:val="0"/>
      <w:marRight w:val="0"/>
      <w:marTop w:val="0"/>
      <w:marBottom w:val="0"/>
      <w:divBdr>
        <w:top w:val="none" w:sz="0" w:space="0" w:color="auto"/>
        <w:left w:val="none" w:sz="0" w:space="0" w:color="auto"/>
        <w:bottom w:val="none" w:sz="0" w:space="0" w:color="auto"/>
        <w:right w:val="none" w:sz="0" w:space="0" w:color="auto"/>
      </w:divBdr>
    </w:div>
    <w:div w:id="1054506444">
      <w:bodyDiv w:val="1"/>
      <w:marLeft w:val="0"/>
      <w:marRight w:val="0"/>
      <w:marTop w:val="0"/>
      <w:marBottom w:val="0"/>
      <w:divBdr>
        <w:top w:val="none" w:sz="0" w:space="0" w:color="auto"/>
        <w:left w:val="none" w:sz="0" w:space="0" w:color="auto"/>
        <w:bottom w:val="none" w:sz="0" w:space="0" w:color="auto"/>
        <w:right w:val="none" w:sz="0" w:space="0" w:color="auto"/>
      </w:divBdr>
    </w:div>
    <w:div w:id="1057239697">
      <w:bodyDiv w:val="1"/>
      <w:marLeft w:val="0"/>
      <w:marRight w:val="0"/>
      <w:marTop w:val="0"/>
      <w:marBottom w:val="0"/>
      <w:divBdr>
        <w:top w:val="none" w:sz="0" w:space="0" w:color="auto"/>
        <w:left w:val="none" w:sz="0" w:space="0" w:color="auto"/>
        <w:bottom w:val="none" w:sz="0" w:space="0" w:color="auto"/>
        <w:right w:val="none" w:sz="0" w:space="0" w:color="auto"/>
      </w:divBdr>
      <w:divsChild>
        <w:div w:id="1459907433">
          <w:marLeft w:val="0"/>
          <w:marRight w:val="1"/>
          <w:marTop w:val="0"/>
          <w:marBottom w:val="0"/>
          <w:divBdr>
            <w:top w:val="none" w:sz="0" w:space="0" w:color="auto"/>
            <w:left w:val="none" w:sz="0" w:space="0" w:color="auto"/>
            <w:bottom w:val="none" w:sz="0" w:space="0" w:color="auto"/>
            <w:right w:val="none" w:sz="0" w:space="0" w:color="auto"/>
          </w:divBdr>
          <w:divsChild>
            <w:div w:id="1787501399">
              <w:marLeft w:val="0"/>
              <w:marRight w:val="0"/>
              <w:marTop w:val="0"/>
              <w:marBottom w:val="0"/>
              <w:divBdr>
                <w:top w:val="none" w:sz="0" w:space="0" w:color="auto"/>
                <w:left w:val="none" w:sz="0" w:space="0" w:color="auto"/>
                <w:bottom w:val="none" w:sz="0" w:space="0" w:color="auto"/>
                <w:right w:val="none" w:sz="0" w:space="0" w:color="auto"/>
              </w:divBdr>
              <w:divsChild>
                <w:div w:id="84348695">
                  <w:marLeft w:val="0"/>
                  <w:marRight w:val="1"/>
                  <w:marTop w:val="0"/>
                  <w:marBottom w:val="0"/>
                  <w:divBdr>
                    <w:top w:val="none" w:sz="0" w:space="0" w:color="auto"/>
                    <w:left w:val="none" w:sz="0" w:space="0" w:color="auto"/>
                    <w:bottom w:val="none" w:sz="0" w:space="0" w:color="auto"/>
                    <w:right w:val="none" w:sz="0" w:space="0" w:color="auto"/>
                  </w:divBdr>
                  <w:divsChild>
                    <w:div w:id="720598498">
                      <w:marLeft w:val="0"/>
                      <w:marRight w:val="0"/>
                      <w:marTop w:val="0"/>
                      <w:marBottom w:val="0"/>
                      <w:divBdr>
                        <w:top w:val="none" w:sz="0" w:space="0" w:color="auto"/>
                        <w:left w:val="none" w:sz="0" w:space="0" w:color="auto"/>
                        <w:bottom w:val="none" w:sz="0" w:space="0" w:color="auto"/>
                        <w:right w:val="none" w:sz="0" w:space="0" w:color="auto"/>
                      </w:divBdr>
                      <w:divsChild>
                        <w:div w:id="281306130">
                          <w:marLeft w:val="0"/>
                          <w:marRight w:val="0"/>
                          <w:marTop w:val="0"/>
                          <w:marBottom w:val="0"/>
                          <w:divBdr>
                            <w:top w:val="none" w:sz="0" w:space="0" w:color="auto"/>
                            <w:left w:val="none" w:sz="0" w:space="0" w:color="auto"/>
                            <w:bottom w:val="none" w:sz="0" w:space="0" w:color="auto"/>
                            <w:right w:val="none" w:sz="0" w:space="0" w:color="auto"/>
                          </w:divBdr>
                          <w:divsChild>
                            <w:div w:id="1267618418">
                              <w:marLeft w:val="0"/>
                              <w:marRight w:val="0"/>
                              <w:marTop w:val="120"/>
                              <w:marBottom w:val="360"/>
                              <w:divBdr>
                                <w:top w:val="none" w:sz="0" w:space="0" w:color="auto"/>
                                <w:left w:val="none" w:sz="0" w:space="0" w:color="auto"/>
                                <w:bottom w:val="none" w:sz="0" w:space="0" w:color="auto"/>
                                <w:right w:val="none" w:sz="0" w:space="0" w:color="auto"/>
                              </w:divBdr>
                              <w:divsChild>
                                <w:div w:id="705180207">
                                  <w:marLeft w:val="187"/>
                                  <w:marRight w:val="0"/>
                                  <w:marTop w:val="0"/>
                                  <w:marBottom w:val="0"/>
                                  <w:divBdr>
                                    <w:top w:val="none" w:sz="0" w:space="0" w:color="auto"/>
                                    <w:left w:val="none" w:sz="0" w:space="0" w:color="auto"/>
                                    <w:bottom w:val="none" w:sz="0" w:space="0" w:color="auto"/>
                                    <w:right w:val="none" w:sz="0" w:space="0" w:color="auto"/>
                                  </w:divBdr>
                                  <w:divsChild>
                                    <w:div w:id="9475451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72040">
      <w:bodyDiv w:val="1"/>
      <w:marLeft w:val="0"/>
      <w:marRight w:val="0"/>
      <w:marTop w:val="0"/>
      <w:marBottom w:val="0"/>
      <w:divBdr>
        <w:top w:val="none" w:sz="0" w:space="0" w:color="auto"/>
        <w:left w:val="none" w:sz="0" w:space="0" w:color="auto"/>
        <w:bottom w:val="none" w:sz="0" w:space="0" w:color="auto"/>
        <w:right w:val="none" w:sz="0" w:space="0" w:color="auto"/>
      </w:divBdr>
    </w:div>
    <w:div w:id="1078594150">
      <w:bodyDiv w:val="1"/>
      <w:marLeft w:val="0"/>
      <w:marRight w:val="0"/>
      <w:marTop w:val="0"/>
      <w:marBottom w:val="0"/>
      <w:divBdr>
        <w:top w:val="none" w:sz="0" w:space="0" w:color="auto"/>
        <w:left w:val="none" w:sz="0" w:space="0" w:color="auto"/>
        <w:bottom w:val="none" w:sz="0" w:space="0" w:color="auto"/>
        <w:right w:val="none" w:sz="0" w:space="0" w:color="auto"/>
      </w:divBdr>
    </w:div>
    <w:div w:id="1104837377">
      <w:bodyDiv w:val="1"/>
      <w:marLeft w:val="0"/>
      <w:marRight w:val="0"/>
      <w:marTop w:val="0"/>
      <w:marBottom w:val="0"/>
      <w:divBdr>
        <w:top w:val="none" w:sz="0" w:space="0" w:color="auto"/>
        <w:left w:val="none" w:sz="0" w:space="0" w:color="auto"/>
        <w:bottom w:val="none" w:sz="0" w:space="0" w:color="auto"/>
        <w:right w:val="none" w:sz="0" w:space="0" w:color="auto"/>
      </w:divBdr>
    </w:div>
    <w:div w:id="1131249543">
      <w:bodyDiv w:val="1"/>
      <w:marLeft w:val="0"/>
      <w:marRight w:val="0"/>
      <w:marTop w:val="0"/>
      <w:marBottom w:val="0"/>
      <w:divBdr>
        <w:top w:val="none" w:sz="0" w:space="0" w:color="auto"/>
        <w:left w:val="none" w:sz="0" w:space="0" w:color="auto"/>
        <w:bottom w:val="none" w:sz="0" w:space="0" w:color="auto"/>
        <w:right w:val="none" w:sz="0" w:space="0" w:color="auto"/>
      </w:divBdr>
    </w:div>
    <w:div w:id="1210141739">
      <w:bodyDiv w:val="1"/>
      <w:marLeft w:val="0"/>
      <w:marRight w:val="0"/>
      <w:marTop w:val="0"/>
      <w:marBottom w:val="0"/>
      <w:divBdr>
        <w:top w:val="none" w:sz="0" w:space="0" w:color="auto"/>
        <w:left w:val="none" w:sz="0" w:space="0" w:color="auto"/>
        <w:bottom w:val="none" w:sz="0" w:space="0" w:color="auto"/>
        <w:right w:val="none" w:sz="0" w:space="0" w:color="auto"/>
      </w:divBdr>
    </w:div>
    <w:div w:id="1216310613">
      <w:bodyDiv w:val="1"/>
      <w:marLeft w:val="0"/>
      <w:marRight w:val="0"/>
      <w:marTop w:val="0"/>
      <w:marBottom w:val="0"/>
      <w:divBdr>
        <w:top w:val="none" w:sz="0" w:space="0" w:color="auto"/>
        <w:left w:val="none" w:sz="0" w:space="0" w:color="auto"/>
        <w:bottom w:val="none" w:sz="0" w:space="0" w:color="auto"/>
        <w:right w:val="none" w:sz="0" w:space="0" w:color="auto"/>
      </w:divBdr>
    </w:div>
    <w:div w:id="1283608931">
      <w:bodyDiv w:val="1"/>
      <w:marLeft w:val="0"/>
      <w:marRight w:val="0"/>
      <w:marTop w:val="0"/>
      <w:marBottom w:val="0"/>
      <w:divBdr>
        <w:top w:val="none" w:sz="0" w:space="0" w:color="auto"/>
        <w:left w:val="none" w:sz="0" w:space="0" w:color="auto"/>
        <w:bottom w:val="none" w:sz="0" w:space="0" w:color="auto"/>
        <w:right w:val="none" w:sz="0" w:space="0" w:color="auto"/>
      </w:divBdr>
      <w:divsChild>
        <w:div w:id="2117554874">
          <w:marLeft w:val="0"/>
          <w:marRight w:val="1"/>
          <w:marTop w:val="0"/>
          <w:marBottom w:val="0"/>
          <w:divBdr>
            <w:top w:val="none" w:sz="0" w:space="0" w:color="auto"/>
            <w:left w:val="none" w:sz="0" w:space="0" w:color="auto"/>
            <w:bottom w:val="none" w:sz="0" w:space="0" w:color="auto"/>
            <w:right w:val="none" w:sz="0" w:space="0" w:color="auto"/>
          </w:divBdr>
          <w:divsChild>
            <w:div w:id="1550342210">
              <w:marLeft w:val="0"/>
              <w:marRight w:val="0"/>
              <w:marTop w:val="0"/>
              <w:marBottom w:val="0"/>
              <w:divBdr>
                <w:top w:val="none" w:sz="0" w:space="0" w:color="auto"/>
                <w:left w:val="none" w:sz="0" w:space="0" w:color="auto"/>
                <w:bottom w:val="none" w:sz="0" w:space="0" w:color="auto"/>
                <w:right w:val="none" w:sz="0" w:space="0" w:color="auto"/>
              </w:divBdr>
              <w:divsChild>
                <w:div w:id="2117938248">
                  <w:marLeft w:val="0"/>
                  <w:marRight w:val="1"/>
                  <w:marTop w:val="0"/>
                  <w:marBottom w:val="0"/>
                  <w:divBdr>
                    <w:top w:val="none" w:sz="0" w:space="0" w:color="auto"/>
                    <w:left w:val="none" w:sz="0" w:space="0" w:color="auto"/>
                    <w:bottom w:val="none" w:sz="0" w:space="0" w:color="auto"/>
                    <w:right w:val="none" w:sz="0" w:space="0" w:color="auto"/>
                  </w:divBdr>
                  <w:divsChild>
                    <w:div w:id="1359626037">
                      <w:marLeft w:val="0"/>
                      <w:marRight w:val="0"/>
                      <w:marTop w:val="0"/>
                      <w:marBottom w:val="0"/>
                      <w:divBdr>
                        <w:top w:val="none" w:sz="0" w:space="0" w:color="auto"/>
                        <w:left w:val="none" w:sz="0" w:space="0" w:color="auto"/>
                        <w:bottom w:val="none" w:sz="0" w:space="0" w:color="auto"/>
                        <w:right w:val="none" w:sz="0" w:space="0" w:color="auto"/>
                      </w:divBdr>
                      <w:divsChild>
                        <w:div w:id="733697419">
                          <w:marLeft w:val="0"/>
                          <w:marRight w:val="0"/>
                          <w:marTop w:val="0"/>
                          <w:marBottom w:val="0"/>
                          <w:divBdr>
                            <w:top w:val="none" w:sz="0" w:space="0" w:color="auto"/>
                            <w:left w:val="none" w:sz="0" w:space="0" w:color="auto"/>
                            <w:bottom w:val="none" w:sz="0" w:space="0" w:color="auto"/>
                            <w:right w:val="none" w:sz="0" w:space="0" w:color="auto"/>
                          </w:divBdr>
                          <w:divsChild>
                            <w:div w:id="327487076">
                              <w:marLeft w:val="0"/>
                              <w:marRight w:val="0"/>
                              <w:marTop w:val="120"/>
                              <w:marBottom w:val="360"/>
                              <w:divBdr>
                                <w:top w:val="none" w:sz="0" w:space="0" w:color="auto"/>
                                <w:left w:val="none" w:sz="0" w:space="0" w:color="auto"/>
                                <w:bottom w:val="none" w:sz="0" w:space="0" w:color="auto"/>
                                <w:right w:val="none" w:sz="0" w:space="0" w:color="auto"/>
                              </w:divBdr>
                              <w:divsChild>
                                <w:div w:id="1941328595">
                                  <w:marLeft w:val="187"/>
                                  <w:marRight w:val="0"/>
                                  <w:marTop w:val="0"/>
                                  <w:marBottom w:val="0"/>
                                  <w:divBdr>
                                    <w:top w:val="none" w:sz="0" w:space="0" w:color="auto"/>
                                    <w:left w:val="none" w:sz="0" w:space="0" w:color="auto"/>
                                    <w:bottom w:val="none" w:sz="0" w:space="0" w:color="auto"/>
                                    <w:right w:val="none" w:sz="0" w:space="0" w:color="auto"/>
                                  </w:divBdr>
                                  <w:divsChild>
                                    <w:div w:id="1595478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840731">
      <w:bodyDiv w:val="1"/>
      <w:marLeft w:val="0"/>
      <w:marRight w:val="0"/>
      <w:marTop w:val="0"/>
      <w:marBottom w:val="0"/>
      <w:divBdr>
        <w:top w:val="none" w:sz="0" w:space="0" w:color="auto"/>
        <w:left w:val="none" w:sz="0" w:space="0" w:color="auto"/>
        <w:bottom w:val="none" w:sz="0" w:space="0" w:color="auto"/>
        <w:right w:val="none" w:sz="0" w:space="0" w:color="auto"/>
      </w:divBdr>
      <w:divsChild>
        <w:div w:id="292949582">
          <w:marLeft w:val="0"/>
          <w:marRight w:val="1"/>
          <w:marTop w:val="0"/>
          <w:marBottom w:val="0"/>
          <w:divBdr>
            <w:top w:val="none" w:sz="0" w:space="0" w:color="auto"/>
            <w:left w:val="none" w:sz="0" w:space="0" w:color="auto"/>
            <w:bottom w:val="none" w:sz="0" w:space="0" w:color="auto"/>
            <w:right w:val="none" w:sz="0" w:space="0" w:color="auto"/>
          </w:divBdr>
          <w:divsChild>
            <w:div w:id="788351679">
              <w:marLeft w:val="0"/>
              <w:marRight w:val="0"/>
              <w:marTop w:val="0"/>
              <w:marBottom w:val="0"/>
              <w:divBdr>
                <w:top w:val="none" w:sz="0" w:space="0" w:color="auto"/>
                <w:left w:val="none" w:sz="0" w:space="0" w:color="auto"/>
                <w:bottom w:val="none" w:sz="0" w:space="0" w:color="auto"/>
                <w:right w:val="none" w:sz="0" w:space="0" w:color="auto"/>
              </w:divBdr>
              <w:divsChild>
                <w:div w:id="145128888">
                  <w:marLeft w:val="0"/>
                  <w:marRight w:val="1"/>
                  <w:marTop w:val="0"/>
                  <w:marBottom w:val="0"/>
                  <w:divBdr>
                    <w:top w:val="none" w:sz="0" w:space="0" w:color="auto"/>
                    <w:left w:val="none" w:sz="0" w:space="0" w:color="auto"/>
                    <w:bottom w:val="none" w:sz="0" w:space="0" w:color="auto"/>
                    <w:right w:val="none" w:sz="0" w:space="0" w:color="auto"/>
                  </w:divBdr>
                  <w:divsChild>
                    <w:div w:id="1156339648">
                      <w:marLeft w:val="0"/>
                      <w:marRight w:val="0"/>
                      <w:marTop w:val="0"/>
                      <w:marBottom w:val="0"/>
                      <w:divBdr>
                        <w:top w:val="none" w:sz="0" w:space="0" w:color="auto"/>
                        <w:left w:val="none" w:sz="0" w:space="0" w:color="auto"/>
                        <w:bottom w:val="none" w:sz="0" w:space="0" w:color="auto"/>
                        <w:right w:val="none" w:sz="0" w:space="0" w:color="auto"/>
                      </w:divBdr>
                      <w:divsChild>
                        <w:div w:id="221791852">
                          <w:marLeft w:val="0"/>
                          <w:marRight w:val="0"/>
                          <w:marTop w:val="0"/>
                          <w:marBottom w:val="0"/>
                          <w:divBdr>
                            <w:top w:val="none" w:sz="0" w:space="0" w:color="auto"/>
                            <w:left w:val="none" w:sz="0" w:space="0" w:color="auto"/>
                            <w:bottom w:val="none" w:sz="0" w:space="0" w:color="auto"/>
                            <w:right w:val="none" w:sz="0" w:space="0" w:color="auto"/>
                          </w:divBdr>
                          <w:divsChild>
                            <w:div w:id="429011501">
                              <w:marLeft w:val="0"/>
                              <w:marRight w:val="0"/>
                              <w:marTop w:val="120"/>
                              <w:marBottom w:val="360"/>
                              <w:divBdr>
                                <w:top w:val="none" w:sz="0" w:space="0" w:color="auto"/>
                                <w:left w:val="none" w:sz="0" w:space="0" w:color="auto"/>
                                <w:bottom w:val="none" w:sz="0" w:space="0" w:color="auto"/>
                                <w:right w:val="none" w:sz="0" w:space="0" w:color="auto"/>
                              </w:divBdr>
                              <w:divsChild>
                                <w:div w:id="1352218115">
                                  <w:marLeft w:val="187"/>
                                  <w:marRight w:val="0"/>
                                  <w:marTop w:val="0"/>
                                  <w:marBottom w:val="0"/>
                                  <w:divBdr>
                                    <w:top w:val="none" w:sz="0" w:space="0" w:color="auto"/>
                                    <w:left w:val="none" w:sz="0" w:space="0" w:color="auto"/>
                                    <w:bottom w:val="none" w:sz="0" w:space="0" w:color="auto"/>
                                    <w:right w:val="none" w:sz="0" w:space="0" w:color="auto"/>
                                  </w:divBdr>
                                  <w:divsChild>
                                    <w:div w:id="19125420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24624">
      <w:bodyDiv w:val="1"/>
      <w:marLeft w:val="0"/>
      <w:marRight w:val="0"/>
      <w:marTop w:val="0"/>
      <w:marBottom w:val="0"/>
      <w:divBdr>
        <w:top w:val="none" w:sz="0" w:space="0" w:color="auto"/>
        <w:left w:val="none" w:sz="0" w:space="0" w:color="auto"/>
        <w:bottom w:val="none" w:sz="0" w:space="0" w:color="auto"/>
        <w:right w:val="none" w:sz="0" w:space="0" w:color="auto"/>
      </w:divBdr>
    </w:div>
    <w:div w:id="1340233378">
      <w:bodyDiv w:val="1"/>
      <w:marLeft w:val="0"/>
      <w:marRight w:val="0"/>
      <w:marTop w:val="0"/>
      <w:marBottom w:val="0"/>
      <w:divBdr>
        <w:top w:val="none" w:sz="0" w:space="0" w:color="auto"/>
        <w:left w:val="none" w:sz="0" w:space="0" w:color="auto"/>
        <w:bottom w:val="none" w:sz="0" w:space="0" w:color="auto"/>
        <w:right w:val="none" w:sz="0" w:space="0" w:color="auto"/>
      </w:divBdr>
      <w:divsChild>
        <w:div w:id="1327788165">
          <w:marLeft w:val="0"/>
          <w:marRight w:val="1"/>
          <w:marTop w:val="0"/>
          <w:marBottom w:val="0"/>
          <w:divBdr>
            <w:top w:val="none" w:sz="0" w:space="0" w:color="auto"/>
            <w:left w:val="none" w:sz="0" w:space="0" w:color="auto"/>
            <w:bottom w:val="none" w:sz="0" w:space="0" w:color="auto"/>
            <w:right w:val="none" w:sz="0" w:space="0" w:color="auto"/>
          </w:divBdr>
          <w:divsChild>
            <w:div w:id="1659532849">
              <w:marLeft w:val="0"/>
              <w:marRight w:val="0"/>
              <w:marTop w:val="0"/>
              <w:marBottom w:val="0"/>
              <w:divBdr>
                <w:top w:val="none" w:sz="0" w:space="0" w:color="auto"/>
                <w:left w:val="none" w:sz="0" w:space="0" w:color="auto"/>
                <w:bottom w:val="none" w:sz="0" w:space="0" w:color="auto"/>
                <w:right w:val="none" w:sz="0" w:space="0" w:color="auto"/>
              </w:divBdr>
              <w:divsChild>
                <w:div w:id="1990092823">
                  <w:marLeft w:val="0"/>
                  <w:marRight w:val="1"/>
                  <w:marTop w:val="0"/>
                  <w:marBottom w:val="0"/>
                  <w:divBdr>
                    <w:top w:val="none" w:sz="0" w:space="0" w:color="auto"/>
                    <w:left w:val="none" w:sz="0" w:space="0" w:color="auto"/>
                    <w:bottom w:val="none" w:sz="0" w:space="0" w:color="auto"/>
                    <w:right w:val="none" w:sz="0" w:space="0" w:color="auto"/>
                  </w:divBdr>
                  <w:divsChild>
                    <w:div w:id="578175300">
                      <w:marLeft w:val="0"/>
                      <w:marRight w:val="0"/>
                      <w:marTop w:val="0"/>
                      <w:marBottom w:val="0"/>
                      <w:divBdr>
                        <w:top w:val="none" w:sz="0" w:space="0" w:color="auto"/>
                        <w:left w:val="none" w:sz="0" w:space="0" w:color="auto"/>
                        <w:bottom w:val="none" w:sz="0" w:space="0" w:color="auto"/>
                        <w:right w:val="none" w:sz="0" w:space="0" w:color="auto"/>
                      </w:divBdr>
                      <w:divsChild>
                        <w:div w:id="2056461318">
                          <w:marLeft w:val="0"/>
                          <w:marRight w:val="0"/>
                          <w:marTop w:val="0"/>
                          <w:marBottom w:val="0"/>
                          <w:divBdr>
                            <w:top w:val="none" w:sz="0" w:space="0" w:color="auto"/>
                            <w:left w:val="none" w:sz="0" w:space="0" w:color="auto"/>
                            <w:bottom w:val="none" w:sz="0" w:space="0" w:color="auto"/>
                            <w:right w:val="none" w:sz="0" w:space="0" w:color="auto"/>
                          </w:divBdr>
                          <w:divsChild>
                            <w:div w:id="949047154">
                              <w:marLeft w:val="0"/>
                              <w:marRight w:val="0"/>
                              <w:marTop w:val="120"/>
                              <w:marBottom w:val="360"/>
                              <w:divBdr>
                                <w:top w:val="none" w:sz="0" w:space="0" w:color="auto"/>
                                <w:left w:val="none" w:sz="0" w:space="0" w:color="auto"/>
                                <w:bottom w:val="none" w:sz="0" w:space="0" w:color="auto"/>
                                <w:right w:val="none" w:sz="0" w:space="0" w:color="auto"/>
                              </w:divBdr>
                              <w:divsChild>
                                <w:div w:id="920334227">
                                  <w:marLeft w:val="187"/>
                                  <w:marRight w:val="0"/>
                                  <w:marTop w:val="0"/>
                                  <w:marBottom w:val="0"/>
                                  <w:divBdr>
                                    <w:top w:val="none" w:sz="0" w:space="0" w:color="auto"/>
                                    <w:left w:val="none" w:sz="0" w:space="0" w:color="auto"/>
                                    <w:bottom w:val="none" w:sz="0" w:space="0" w:color="auto"/>
                                    <w:right w:val="none" w:sz="0" w:space="0" w:color="auto"/>
                                  </w:divBdr>
                                  <w:divsChild>
                                    <w:div w:id="15718475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213544">
      <w:bodyDiv w:val="1"/>
      <w:marLeft w:val="0"/>
      <w:marRight w:val="0"/>
      <w:marTop w:val="0"/>
      <w:marBottom w:val="0"/>
      <w:divBdr>
        <w:top w:val="none" w:sz="0" w:space="0" w:color="auto"/>
        <w:left w:val="none" w:sz="0" w:space="0" w:color="auto"/>
        <w:bottom w:val="none" w:sz="0" w:space="0" w:color="auto"/>
        <w:right w:val="none" w:sz="0" w:space="0" w:color="auto"/>
      </w:divBdr>
      <w:divsChild>
        <w:div w:id="1638341339">
          <w:marLeft w:val="0"/>
          <w:marRight w:val="1"/>
          <w:marTop w:val="0"/>
          <w:marBottom w:val="0"/>
          <w:divBdr>
            <w:top w:val="none" w:sz="0" w:space="0" w:color="auto"/>
            <w:left w:val="none" w:sz="0" w:space="0" w:color="auto"/>
            <w:bottom w:val="none" w:sz="0" w:space="0" w:color="auto"/>
            <w:right w:val="none" w:sz="0" w:space="0" w:color="auto"/>
          </w:divBdr>
          <w:divsChild>
            <w:div w:id="1034186786">
              <w:marLeft w:val="0"/>
              <w:marRight w:val="0"/>
              <w:marTop w:val="0"/>
              <w:marBottom w:val="0"/>
              <w:divBdr>
                <w:top w:val="none" w:sz="0" w:space="0" w:color="auto"/>
                <w:left w:val="none" w:sz="0" w:space="0" w:color="auto"/>
                <w:bottom w:val="none" w:sz="0" w:space="0" w:color="auto"/>
                <w:right w:val="none" w:sz="0" w:space="0" w:color="auto"/>
              </w:divBdr>
              <w:divsChild>
                <w:div w:id="1459028370">
                  <w:marLeft w:val="0"/>
                  <w:marRight w:val="1"/>
                  <w:marTop w:val="0"/>
                  <w:marBottom w:val="0"/>
                  <w:divBdr>
                    <w:top w:val="none" w:sz="0" w:space="0" w:color="auto"/>
                    <w:left w:val="none" w:sz="0" w:space="0" w:color="auto"/>
                    <w:bottom w:val="none" w:sz="0" w:space="0" w:color="auto"/>
                    <w:right w:val="none" w:sz="0" w:space="0" w:color="auto"/>
                  </w:divBdr>
                  <w:divsChild>
                    <w:div w:id="1834680933">
                      <w:marLeft w:val="0"/>
                      <w:marRight w:val="0"/>
                      <w:marTop w:val="0"/>
                      <w:marBottom w:val="0"/>
                      <w:divBdr>
                        <w:top w:val="none" w:sz="0" w:space="0" w:color="auto"/>
                        <w:left w:val="none" w:sz="0" w:space="0" w:color="auto"/>
                        <w:bottom w:val="none" w:sz="0" w:space="0" w:color="auto"/>
                        <w:right w:val="none" w:sz="0" w:space="0" w:color="auto"/>
                      </w:divBdr>
                      <w:divsChild>
                        <w:div w:id="367805314">
                          <w:marLeft w:val="0"/>
                          <w:marRight w:val="0"/>
                          <w:marTop w:val="0"/>
                          <w:marBottom w:val="0"/>
                          <w:divBdr>
                            <w:top w:val="none" w:sz="0" w:space="0" w:color="auto"/>
                            <w:left w:val="none" w:sz="0" w:space="0" w:color="auto"/>
                            <w:bottom w:val="none" w:sz="0" w:space="0" w:color="auto"/>
                            <w:right w:val="none" w:sz="0" w:space="0" w:color="auto"/>
                          </w:divBdr>
                          <w:divsChild>
                            <w:div w:id="823083126">
                              <w:marLeft w:val="0"/>
                              <w:marRight w:val="0"/>
                              <w:marTop w:val="120"/>
                              <w:marBottom w:val="360"/>
                              <w:divBdr>
                                <w:top w:val="none" w:sz="0" w:space="0" w:color="auto"/>
                                <w:left w:val="none" w:sz="0" w:space="0" w:color="auto"/>
                                <w:bottom w:val="none" w:sz="0" w:space="0" w:color="auto"/>
                                <w:right w:val="none" w:sz="0" w:space="0" w:color="auto"/>
                              </w:divBdr>
                              <w:divsChild>
                                <w:div w:id="1925916272">
                                  <w:marLeft w:val="187"/>
                                  <w:marRight w:val="0"/>
                                  <w:marTop w:val="0"/>
                                  <w:marBottom w:val="0"/>
                                  <w:divBdr>
                                    <w:top w:val="none" w:sz="0" w:space="0" w:color="auto"/>
                                    <w:left w:val="none" w:sz="0" w:space="0" w:color="auto"/>
                                    <w:bottom w:val="none" w:sz="0" w:space="0" w:color="auto"/>
                                    <w:right w:val="none" w:sz="0" w:space="0" w:color="auto"/>
                                  </w:divBdr>
                                  <w:divsChild>
                                    <w:div w:id="1535456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362258">
      <w:bodyDiv w:val="1"/>
      <w:marLeft w:val="0"/>
      <w:marRight w:val="0"/>
      <w:marTop w:val="0"/>
      <w:marBottom w:val="0"/>
      <w:divBdr>
        <w:top w:val="none" w:sz="0" w:space="0" w:color="auto"/>
        <w:left w:val="none" w:sz="0" w:space="0" w:color="auto"/>
        <w:bottom w:val="none" w:sz="0" w:space="0" w:color="auto"/>
        <w:right w:val="none" w:sz="0" w:space="0" w:color="auto"/>
      </w:divBdr>
    </w:div>
    <w:div w:id="1410226675">
      <w:bodyDiv w:val="1"/>
      <w:marLeft w:val="0"/>
      <w:marRight w:val="0"/>
      <w:marTop w:val="0"/>
      <w:marBottom w:val="0"/>
      <w:divBdr>
        <w:top w:val="none" w:sz="0" w:space="0" w:color="auto"/>
        <w:left w:val="none" w:sz="0" w:space="0" w:color="auto"/>
        <w:bottom w:val="none" w:sz="0" w:space="0" w:color="auto"/>
        <w:right w:val="none" w:sz="0" w:space="0" w:color="auto"/>
      </w:divBdr>
    </w:div>
    <w:div w:id="1410926539">
      <w:bodyDiv w:val="1"/>
      <w:marLeft w:val="0"/>
      <w:marRight w:val="0"/>
      <w:marTop w:val="0"/>
      <w:marBottom w:val="0"/>
      <w:divBdr>
        <w:top w:val="none" w:sz="0" w:space="0" w:color="auto"/>
        <w:left w:val="none" w:sz="0" w:space="0" w:color="auto"/>
        <w:bottom w:val="none" w:sz="0" w:space="0" w:color="auto"/>
        <w:right w:val="none" w:sz="0" w:space="0" w:color="auto"/>
      </w:divBdr>
    </w:div>
    <w:div w:id="1434744537">
      <w:bodyDiv w:val="1"/>
      <w:marLeft w:val="0"/>
      <w:marRight w:val="0"/>
      <w:marTop w:val="0"/>
      <w:marBottom w:val="0"/>
      <w:divBdr>
        <w:top w:val="none" w:sz="0" w:space="0" w:color="auto"/>
        <w:left w:val="none" w:sz="0" w:space="0" w:color="auto"/>
        <w:bottom w:val="none" w:sz="0" w:space="0" w:color="auto"/>
        <w:right w:val="none" w:sz="0" w:space="0" w:color="auto"/>
      </w:divBdr>
      <w:divsChild>
        <w:div w:id="1791392522">
          <w:marLeft w:val="0"/>
          <w:marRight w:val="1"/>
          <w:marTop w:val="0"/>
          <w:marBottom w:val="0"/>
          <w:divBdr>
            <w:top w:val="none" w:sz="0" w:space="0" w:color="auto"/>
            <w:left w:val="none" w:sz="0" w:space="0" w:color="auto"/>
            <w:bottom w:val="none" w:sz="0" w:space="0" w:color="auto"/>
            <w:right w:val="none" w:sz="0" w:space="0" w:color="auto"/>
          </w:divBdr>
          <w:divsChild>
            <w:div w:id="222713404">
              <w:marLeft w:val="0"/>
              <w:marRight w:val="0"/>
              <w:marTop w:val="0"/>
              <w:marBottom w:val="0"/>
              <w:divBdr>
                <w:top w:val="none" w:sz="0" w:space="0" w:color="auto"/>
                <w:left w:val="none" w:sz="0" w:space="0" w:color="auto"/>
                <w:bottom w:val="none" w:sz="0" w:space="0" w:color="auto"/>
                <w:right w:val="none" w:sz="0" w:space="0" w:color="auto"/>
              </w:divBdr>
              <w:divsChild>
                <w:div w:id="1930504238">
                  <w:marLeft w:val="0"/>
                  <w:marRight w:val="1"/>
                  <w:marTop w:val="0"/>
                  <w:marBottom w:val="0"/>
                  <w:divBdr>
                    <w:top w:val="none" w:sz="0" w:space="0" w:color="auto"/>
                    <w:left w:val="none" w:sz="0" w:space="0" w:color="auto"/>
                    <w:bottom w:val="none" w:sz="0" w:space="0" w:color="auto"/>
                    <w:right w:val="none" w:sz="0" w:space="0" w:color="auto"/>
                  </w:divBdr>
                  <w:divsChild>
                    <w:div w:id="1805461133">
                      <w:marLeft w:val="0"/>
                      <w:marRight w:val="0"/>
                      <w:marTop w:val="0"/>
                      <w:marBottom w:val="0"/>
                      <w:divBdr>
                        <w:top w:val="none" w:sz="0" w:space="0" w:color="auto"/>
                        <w:left w:val="none" w:sz="0" w:space="0" w:color="auto"/>
                        <w:bottom w:val="none" w:sz="0" w:space="0" w:color="auto"/>
                        <w:right w:val="none" w:sz="0" w:space="0" w:color="auto"/>
                      </w:divBdr>
                      <w:divsChild>
                        <w:div w:id="1604150285">
                          <w:marLeft w:val="0"/>
                          <w:marRight w:val="0"/>
                          <w:marTop w:val="0"/>
                          <w:marBottom w:val="0"/>
                          <w:divBdr>
                            <w:top w:val="none" w:sz="0" w:space="0" w:color="auto"/>
                            <w:left w:val="none" w:sz="0" w:space="0" w:color="auto"/>
                            <w:bottom w:val="none" w:sz="0" w:space="0" w:color="auto"/>
                            <w:right w:val="none" w:sz="0" w:space="0" w:color="auto"/>
                          </w:divBdr>
                          <w:divsChild>
                            <w:div w:id="2086606762">
                              <w:marLeft w:val="0"/>
                              <w:marRight w:val="0"/>
                              <w:marTop w:val="120"/>
                              <w:marBottom w:val="360"/>
                              <w:divBdr>
                                <w:top w:val="none" w:sz="0" w:space="0" w:color="auto"/>
                                <w:left w:val="none" w:sz="0" w:space="0" w:color="auto"/>
                                <w:bottom w:val="none" w:sz="0" w:space="0" w:color="auto"/>
                                <w:right w:val="none" w:sz="0" w:space="0" w:color="auto"/>
                              </w:divBdr>
                              <w:divsChild>
                                <w:div w:id="767966532">
                                  <w:marLeft w:val="187"/>
                                  <w:marRight w:val="0"/>
                                  <w:marTop w:val="0"/>
                                  <w:marBottom w:val="0"/>
                                  <w:divBdr>
                                    <w:top w:val="none" w:sz="0" w:space="0" w:color="auto"/>
                                    <w:left w:val="none" w:sz="0" w:space="0" w:color="auto"/>
                                    <w:bottom w:val="none" w:sz="0" w:space="0" w:color="auto"/>
                                    <w:right w:val="none" w:sz="0" w:space="0" w:color="auto"/>
                                  </w:divBdr>
                                  <w:divsChild>
                                    <w:div w:id="1140344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599600">
      <w:bodyDiv w:val="1"/>
      <w:marLeft w:val="0"/>
      <w:marRight w:val="0"/>
      <w:marTop w:val="0"/>
      <w:marBottom w:val="0"/>
      <w:divBdr>
        <w:top w:val="none" w:sz="0" w:space="0" w:color="auto"/>
        <w:left w:val="none" w:sz="0" w:space="0" w:color="auto"/>
        <w:bottom w:val="none" w:sz="0" w:space="0" w:color="auto"/>
        <w:right w:val="none" w:sz="0" w:space="0" w:color="auto"/>
      </w:divBdr>
    </w:div>
    <w:div w:id="1501236686">
      <w:bodyDiv w:val="1"/>
      <w:marLeft w:val="0"/>
      <w:marRight w:val="0"/>
      <w:marTop w:val="0"/>
      <w:marBottom w:val="0"/>
      <w:divBdr>
        <w:top w:val="none" w:sz="0" w:space="0" w:color="auto"/>
        <w:left w:val="none" w:sz="0" w:space="0" w:color="auto"/>
        <w:bottom w:val="none" w:sz="0" w:space="0" w:color="auto"/>
        <w:right w:val="none" w:sz="0" w:space="0" w:color="auto"/>
      </w:divBdr>
    </w:div>
    <w:div w:id="1531722581">
      <w:bodyDiv w:val="1"/>
      <w:marLeft w:val="0"/>
      <w:marRight w:val="0"/>
      <w:marTop w:val="0"/>
      <w:marBottom w:val="0"/>
      <w:divBdr>
        <w:top w:val="none" w:sz="0" w:space="0" w:color="auto"/>
        <w:left w:val="none" w:sz="0" w:space="0" w:color="auto"/>
        <w:bottom w:val="none" w:sz="0" w:space="0" w:color="auto"/>
        <w:right w:val="none" w:sz="0" w:space="0" w:color="auto"/>
      </w:divBdr>
    </w:div>
    <w:div w:id="1547258495">
      <w:bodyDiv w:val="1"/>
      <w:marLeft w:val="0"/>
      <w:marRight w:val="0"/>
      <w:marTop w:val="0"/>
      <w:marBottom w:val="0"/>
      <w:divBdr>
        <w:top w:val="none" w:sz="0" w:space="0" w:color="auto"/>
        <w:left w:val="none" w:sz="0" w:space="0" w:color="auto"/>
        <w:bottom w:val="none" w:sz="0" w:space="0" w:color="auto"/>
        <w:right w:val="none" w:sz="0" w:space="0" w:color="auto"/>
      </w:divBdr>
    </w:div>
    <w:div w:id="1622031459">
      <w:bodyDiv w:val="1"/>
      <w:marLeft w:val="0"/>
      <w:marRight w:val="0"/>
      <w:marTop w:val="0"/>
      <w:marBottom w:val="0"/>
      <w:divBdr>
        <w:top w:val="none" w:sz="0" w:space="0" w:color="auto"/>
        <w:left w:val="none" w:sz="0" w:space="0" w:color="auto"/>
        <w:bottom w:val="none" w:sz="0" w:space="0" w:color="auto"/>
        <w:right w:val="none" w:sz="0" w:space="0" w:color="auto"/>
      </w:divBdr>
    </w:div>
    <w:div w:id="1627198913">
      <w:bodyDiv w:val="1"/>
      <w:marLeft w:val="0"/>
      <w:marRight w:val="0"/>
      <w:marTop w:val="0"/>
      <w:marBottom w:val="0"/>
      <w:divBdr>
        <w:top w:val="none" w:sz="0" w:space="0" w:color="auto"/>
        <w:left w:val="none" w:sz="0" w:space="0" w:color="auto"/>
        <w:bottom w:val="none" w:sz="0" w:space="0" w:color="auto"/>
        <w:right w:val="none" w:sz="0" w:space="0" w:color="auto"/>
      </w:divBdr>
    </w:div>
    <w:div w:id="1645623020">
      <w:bodyDiv w:val="1"/>
      <w:marLeft w:val="0"/>
      <w:marRight w:val="0"/>
      <w:marTop w:val="0"/>
      <w:marBottom w:val="0"/>
      <w:divBdr>
        <w:top w:val="none" w:sz="0" w:space="0" w:color="auto"/>
        <w:left w:val="none" w:sz="0" w:space="0" w:color="auto"/>
        <w:bottom w:val="none" w:sz="0" w:space="0" w:color="auto"/>
        <w:right w:val="none" w:sz="0" w:space="0" w:color="auto"/>
      </w:divBdr>
    </w:div>
    <w:div w:id="1664239155">
      <w:bodyDiv w:val="1"/>
      <w:marLeft w:val="0"/>
      <w:marRight w:val="0"/>
      <w:marTop w:val="0"/>
      <w:marBottom w:val="0"/>
      <w:divBdr>
        <w:top w:val="none" w:sz="0" w:space="0" w:color="auto"/>
        <w:left w:val="none" w:sz="0" w:space="0" w:color="auto"/>
        <w:bottom w:val="none" w:sz="0" w:space="0" w:color="auto"/>
        <w:right w:val="none" w:sz="0" w:space="0" w:color="auto"/>
      </w:divBdr>
    </w:div>
    <w:div w:id="1682926051">
      <w:bodyDiv w:val="1"/>
      <w:marLeft w:val="0"/>
      <w:marRight w:val="0"/>
      <w:marTop w:val="0"/>
      <w:marBottom w:val="0"/>
      <w:divBdr>
        <w:top w:val="none" w:sz="0" w:space="0" w:color="auto"/>
        <w:left w:val="none" w:sz="0" w:space="0" w:color="auto"/>
        <w:bottom w:val="none" w:sz="0" w:space="0" w:color="auto"/>
        <w:right w:val="none" w:sz="0" w:space="0" w:color="auto"/>
      </w:divBdr>
    </w:div>
    <w:div w:id="1707827803">
      <w:bodyDiv w:val="1"/>
      <w:marLeft w:val="0"/>
      <w:marRight w:val="0"/>
      <w:marTop w:val="0"/>
      <w:marBottom w:val="0"/>
      <w:divBdr>
        <w:top w:val="none" w:sz="0" w:space="0" w:color="auto"/>
        <w:left w:val="none" w:sz="0" w:space="0" w:color="auto"/>
        <w:bottom w:val="none" w:sz="0" w:space="0" w:color="auto"/>
        <w:right w:val="none" w:sz="0" w:space="0" w:color="auto"/>
      </w:divBdr>
      <w:divsChild>
        <w:div w:id="688070941">
          <w:marLeft w:val="0"/>
          <w:marRight w:val="1"/>
          <w:marTop w:val="0"/>
          <w:marBottom w:val="0"/>
          <w:divBdr>
            <w:top w:val="none" w:sz="0" w:space="0" w:color="auto"/>
            <w:left w:val="none" w:sz="0" w:space="0" w:color="auto"/>
            <w:bottom w:val="none" w:sz="0" w:space="0" w:color="auto"/>
            <w:right w:val="none" w:sz="0" w:space="0" w:color="auto"/>
          </w:divBdr>
          <w:divsChild>
            <w:div w:id="142310980">
              <w:marLeft w:val="0"/>
              <w:marRight w:val="0"/>
              <w:marTop w:val="0"/>
              <w:marBottom w:val="0"/>
              <w:divBdr>
                <w:top w:val="none" w:sz="0" w:space="0" w:color="auto"/>
                <w:left w:val="none" w:sz="0" w:space="0" w:color="auto"/>
                <w:bottom w:val="none" w:sz="0" w:space="0" w:color="auto"/>
                <w:right w:val="none" w:sz="0" w:space="0" w:color="auto"/>
              </w:divBdr>
              <w:divsChild>
                <w:div w:id="732042962">
                  <w:marLeft w:val="0"/>
                  <w:marRight w:val="1"/>
                  <w:marTop w:val="0"/>
                  <w:marBottom w:val="0"/>
                  <w:divBdr>
                    <w:top w:val="none" w:sz="0" w:space="0" w:color="auto"/>
                    <w:left w:val="none" w:sz="0" w:space="0" w:color="auto"/>
                    <w:bottom w:val="none" w:sz="0" w:space="0" w:color="auto"/>
                    <w:right w:val="none" w:sz="0" w:space="0" w:color="auto"/>
                  </w:divBdr>
                  <w:divsChild>
                    <w:div w:id="50616501">
                      <w:marLeft w:val="0"/>
                      <w:marRight w:val="0"/>
                      <w:marTop w:val="0"/>
                      <w:marBottom w:val="0"/>
                      <w:divBdr>
                        <w:top w:val="none" w:sz="0" w:space="0" w:color="auto"/>
                        <w:left w:val="none" w:sz="0" w:space="0" w:color="auto"/>
                        <w:bottom w:val="none" w:sz="0" w:space="0" w:color="auto"/>
                        <w:right w:val="none" w:sz="0" w:space="0" w:color="auto"/>
                      </w:divBdr>
                      <w:divsChild>
                        <w:div w:id="171339006">
                          <w:marLeft w:val="0"/>
                          <w:marRight w:val="0"/>
                          <w:marTop w:val="0"/>
                          <w:marBottom w:val="0"/>
                          <w:divBdr>
                            <w:top w:val="none" w:sz="0" w:space="0" w:color="auto"/>
                            <w:left w:val="none" w:sz="0" w:space="0" w:color="auto"/>
                            <w:bottom w:val="none" w:sz="0" w:space="0" w:color="auto"/>
                            <w:right w:val="none" w:sz="0" w:space="0" w:color="auto"/>
                          </w:divBdr>
                          <w:divsChild>
                            <w:div w:id="553811740">
                              <w:marLeft w:val="0"/>
                              <w:marRight w:val="0"/>
                              <w:marTop w:val="120"/>
                              <w:marBottom w:val="360"/>
                              <w:divBdr>
                                <w:top w:val="none" w:sz="0" w:space="0" w:color="auto"/>
                                <w:left w:val="none" w:sz="0" w:space="0" w:color="auto"/>
                                <w:bottom w:val="none" w:sz="0" w:space="0" w:color="auto"/>
                                <w:right w:val="none" w:sz="0" w:space="0" w:color="auto"/>
                              </w:divBdr>
                              <w:divsChild>
                                <w:div w:id="1855806835">
                                  <w:marLeft w:val="187"/>
                                  <w:marRight w:val="0"/>
                                  <w:marTop w:val="0"/>
                                  <w:marBottom w:val="0"/>
                                  <w:divBdr>
                                    <w:top w:val="none" w:sz="0" w:space="0" w:color="auto"/>
                                    <w:left w:val="none" w:sz="0" w:space="0" w:color="auto"/>
                                    <w:bottom w:val="none" w:sz="0" w:space="0" w:color="auto"/>
                                    <w:right w:val="none" w:sz="0" w:space="0" w:color="auto"/>
                                  </w:divBdr>
                                  <w:divsChild>
                                    <w:div w:id="11278191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37623">
      <w:bodyDiv w:val="1"/>
      <w:marLeft w:val="0"/>
      <w:marRight w:val="0"/>
      <w:marTop w:val="0"/>
      <w:marBottom w:val="0"/>
      <w:divBdr>
        <w:top w:val="none" w:sz="0" w:space="0" w:color="auto"/>
        <w:left w:val="none" w:sz="0" w:space="0" w:color="auto"/>
        <w:bottom w:val="none" w:sz="0" w:space="0" w:color="auto"/>
        <w:right w:val="none" w:sz="0" w:space="0" w:color="auto"/>
      </w:divBdr>
    </w:div>
    <w:div w:id="1809741289">
      <w:bodyDiv w:val="1"/>
      <w:marLeft w:val="0"/>
      <w:marRight w:val="0"/>
      <w:marTop w:val="0"/>
      <w:marBottom w:val="0"/>
      <w:divBdr>
        <w:top w:val="none" w:sz="0" w:space="0" w:color="auto"/>
        <w:left w:val="none" w:sz="0" w:space="0" w:color="auto"/>
        <w:bottom w:val="none" w:sz="0" w:space="0" w:color="auto"/>
        <w:right w:val="none" w:sz="0" w:space="0" w:color="auto"/>
      </w:divBdr>
    </w:div>
    <w:div w:id="1819616580">
      <w:bodyDiv w:val="1"/>
      <w:marLeft w:val="0"/>
      <w:marRight w:val="0"/>
      <w:marTop w:val="0"/>
      <w:marBottom w:val="0"/>
      <w:divBdr>
        <w:top w:val="none" w:sz="0" w:space="0" w:color="auto"/>
        <w:left w:val="none" w:sz="0" w:space="0" w:color="auto"/>
        <w:bottom w:val="none" w:sz="0" w:space="0" w:color="auto"/>
        <w:right w:val="none" w:sz="0" w:space="0" w:color="auto"/>
      </w:divBdr>
    </w:div>
    <w:div w:id="1844929720">
      <w:bodyDiv w:val="1"/>
      <w:marLeft w:val="0"/>
      <w:marRight w:val="0"/>
      <w:marTop w:val="0"/>
      <w:marBottom w:val="0"/>
      <w:divBdr>
        <w:top w:val="none" w:sz="0" w:space="0" w:color="auto"/>
        <w:left w:val="none" w:sz="0" w:space="0" w:color="auto"/>
        <w:bottom w:val="none" w:sz="0" w:space="0" w:color="auto"/>
        <w:right w:val="none" w:sz="0" w:space="0" w:color="auto"/>
      </w:divBdr>
    </w:div>
    <w:div w:id="1914970721">
      <w:bodyDiv w:val="1"/>
      <w:marLeft w:val="0"/>
      <w:marRight w:val="0"/>
      <w:marTop w:val="0"/>
      <w:marBottom w:val="0"/>
      <w:divBdr>
        <w:top w:val="none" w:sz="0" w:space="0" w:color="auto"/>
        <w:left w:val="none" w:sz="0" w:space="0" w:color="auto"/>
        <w:bottom w:val="none" w:sz="0" w:space="0" w:color="auto"/>
        <w:right w:val="none" w:sz="0" w:space="0" w:color="auto"/>
      </w:divBdr>
      <w:divsChild>
        <w:div w:id="573126516">
          <w:marLeft w:val="0"/>
          <w:marRight w:val="1"/>
          <w:marTop w:val="0"/>
          <w:marBottom w:val="0"/>
          <w:divBdr>
            <w:top w:val="none" w:sz="0" w:space="0" w:color="auto"/>
            <w:left w:val="none" w:sz="0" w:space="0" w:color="auto"/>
            <w:bottom w:val="none" w:sz="0" w:space="0" w:color="auto"/>
            <w:right w:val="none" w:sz="0" w:space="0" w:color="auto"/>
          </w:divBdr>
          <w:divsChild>
            <w:div w:id="1573586311">
              <w:marLeft w:val="0"/>
              <w:marRight w:val="0"/>
              <w:marTop w:val="0"/>
              <w:marBottom w:val="0"/>
              <w:divBdr>
                <w:top w:val="none" w:sz="0" w:space="0" w:color="auto"/>
                <w:left w:val="none" w:sz="0" w:space="0" w:color="auto"/>
                <w:bottom w:val="none" w:sz="0" w:space="0" w:color="auto"/>
                <w:right w:val="none" w:sz="0" w:space="0" w:color="auto"/>
              </w:divBdr>
              <w:divsChild>
                <w:div w:id="42028433">
                  <w:marLeft w:val="0"/>
                  <w:marRight w:val="1"/>
                  <w:marTop w:val="0"/>
                  <w:marBottom w:val="0"/>
                  <w:divBdr>
                    <w:top w:val="none" w:sz="0" w:space="0" w:color="auto"/>
                    <w:left w:val="none" w:sz="0" w:space="0" w:color="auto"/>
                    <w:bottom w:val="none" w:sz="0" w:space="0" w:color="auto"/>
                    <w:right w:val="none" w:sz="0" w:space="0" w:color="auto"/>
                  </w:divBdr>
                  <w:divsChild>
                    <w:div w:id="1455173745">
                      <w:marLeft w:val="0"/>
                      <w:marRight w:val="0"/>
                      <w:marTop w:val="0"/>
                      <w:marBottom w:val="0"/>
                      <w:divBdr>
                        <w:top w:val="none" w:sz="0" w:space="0" w:color="auto"/>
                        <w:left w:val="none" w:sz="0" w:space="0" w:color="auto"/>
                        <w:bottom w:val="none" w:sz="0" w:space="0" w:color="auto"/>
                        <w:right w:val="none" w:sz="0" w:space="0" w:color="auto"/>
                      </w:divBdr>
                      <w:divsChild>
                        <w:div w:id="1672178024">
                          <w:marLeft w:val="0"/>
                          <w:marRight w:val="0"/>
                          <w:marTop w:val="0"/>
                          <w:marBottom w:val="0"/>
                          <w:divBdr>
                            <w:top w:val="none" w:sz="0" w:space="0" w:color="auto"/>
                            <w:left w:val="none" w:sz="0" w:space="0" w:color="auto"/>
                            <w:bottom w:val="none" w:sz="0" w:space="0" w:color="auto"/>
                            <w:right w:val="none" w:sz="0" w:space="0" w:color="auto"/>
                          </w:divBdr>
                          <w:divsChild>
                            <w:div w:id="2105496157">
                              <w:marLeft w:val="0"/>
                              <w:marRight w:val="0"/>
                              <w:marTop w:val="120"/>
                              <w:marBottom w:val="360"/>
                              <w:divBdr>
                                <w:top w:val="none" w:sz="0" w:space="0" w:color="auto"/>
                                <w:left w:val="none" w:sz="0" w:space="0" w:color="auto"/>
                                <w:bottom w:val="none" w:sz="0" w:space="0" w:color="auto"/>
                                <w:right w:val="none" w:sz="0" w:space="0" w:color="auto"/>
                              </w:divBdr>
                              <w:divsChild>
                                <w:div w:id="968583756">
                                  <w:marLeft w:val="187"/>
                                  <w:marRight w:val="0"/>
                                  <w:marTop w:val="0"/>
                                  <w:marBottom w:val="0"/>
                                  <w:divBdr>
                                    <w:top w:val="none" w:sz="0" w:space="0" w:color="auto"/>
                                    <w:left w:val="none" w:sz="0" w:space="0" w:color="auto"/>
                                    <w:bottom w:val="none" w:sz="0" w:space="0" w:color="auto"/>
                                    <w:right w:val="none" w:sz="0" w:space="0" w:color="auto"/>
                                  </w:divBdr>
                                  <w:divsChild>
                                    <w:div w:id="1599412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861297">
      <w:bodyDiv w:val="1"/>
      <w:marLeft w:val="0"/>
      <w:marRight w:val="0"/>
      <w:marTop w:val="0"/>
      <w:marBottom w:val="0"/>
      <w:divBdr>
        <w:top w:val="none" w:sz="0" w:space="0" w:color="auto"/>
        <w:left w:val="none" w:sz="0" w:space="0" w:color="auto"/>
        <w:bottom w:val="none" w:sz="0" w:space="0" w:color="auto"/>
        <w:right w:val="none" w:sz="0" w:space="0" w:color="auto"/>
      </w:divBdr>
    </w:div>
    <w:div w:id="1968120577">
      <w:bodyDiv w:val="1"/>
      <w:marLeft w:val="0"/>
      <w:marRight w:val="0"/>
      <w:marTop w:val="0"/>
      <w:marBottom w:val="0"/>
      <w:divBdr>
        <w:top w:val="none" w:sz="0" w:space="0" w:color="auto"/>
        <w:left w:val="none" w:sz="0" w:space="0" w:color="auto"/>
        <w:bottom w:val="none" w:sz="0" w:space="0" w:color="auto"/>
        <w:right w:val="none" w:sz="0" w:space="0" w:color="auto"/>
      </w:divBdr>
    </w:div>
    <w:div w:id="2010056911">
      <w:bodyDiv w:val="1"/>
      <w:marLeft w:val="0"/>
      <w:marRight w:val="0"/>
      <w:marTop w:val="0"/>
      <w:marBottom w:val="0"/>
      <w:divBdr>
        <w:top w:val="none" w:sz="0" w:space="0" w:color="auto"/>
        <w:left w:val="none" w:sz="0" w:space="0" w:color="auto"/>
        <w:bottom w:val="none" w:sz="0" w:space="0" w:color="auto"/>
        <w:right w:val="none" w:sz="0" w:space="0" w:color="auto"/>
      </w:divBdr>
    </w:div>
    <w:div w:id="2029329858">
      <w:bodyDiv w:val="1"/>
      <w:marLeft w:val="0"/>
      <w:marRight w:val="0"/>
      <w:marTop w:val="0"/>
      <w:marBottom w:val="0"/>
      <w:divBdr>
        <w:top w:val="none" w:sz="0" w:space="0" w:color="auto"/>
        <w:left w:val="none" w:sz="0" w:space="0" w:color="auto"/>
        <w:bottom w:val="none" w:sz="0" w:space="0" w:color="auto"/>
        <w:right w:val="none" w:sz="0" w:space="0" w:color="auto"/>
      </w:divBdr>
    </w:div>
    <w:div w:id="2039577029">
      <w:bodyDiv w:val="1"/>
      <w:marLeft w:val="0"/>
      <w:marRight w:val="0"/>
      <w:marTop w:val="0"/>
      <w:marBottom w:val="0"/>
      <w:divBdr>
        <w:top w:val="none" w:sz="0" w:space="0" w:color="auto"/>
        <w:left w:val="none" w:sz="0" w:space="0" w:color="auto"/>
        <w:bottom w:val="none" w:sz="0" w:space="0" w:color="auto"/>
        <w:right w:val="none" w:sz="0" w:space="0" w:color="auto"/>
      </w:divBdr>
    </w:div>
    <w:div w:id="2064669353">
      <w:bodyDiv w:val="1"/>
      <w:marLeft w:val="0"/>
      <w:marRight w:val="0"/>
      <w:marTop w:val="0"/>
      <w:marBottom w:val="0"/>
      <w:divBdr>
        <w:top w:val="none" w:sz="0" w:space="0" w:color="auto"/>
        <w:left w:val="none" w:sz="0" w:space="0" w:color="auto"/>
        <w:bottom w:val="none" w:sz="0" w:space="0" w:color="auto"/>
        <w:right w:val="none" w:sz="0" w:space="0" w:color="auto"/>
      </w:divBdr>
      <w:divsChild>
        <w:div w:id="1508251022">
          <w:marLeft w:val="0"/>
          <w:marRight w:val="1"/>
          <w:marTop w:val="0"/>
          <w:marBottom w:val="0"/>
          <w:divBdr>
            <w:top w:val="none" w:sz="0" w:space="0" w:color="auto"/>
            <w:left w:val="none" w:sz="0" w:space="0" w:color="auto"/>
            <w:bottom w:val="none" w:sz="0" w:space="0" w:color="auto"/>
            <w:right w:val="none" w:sz="0" w:space="0" w:color="auto"/>
          </w:divBdr>
          <w:divsChild>
            <w:div w:id="1496070540">
              <w:marLeft w:val="0"/>
              <w:marRight w:val="0"/>
              <w:marTop w:val="0"/>
              <w:marBottom w:val="0"/>
              <w:divBdr>
                <w:top w:val="none" w:sz="0" w:space="0" w:color="auto"/>
                <w:left w:val="none" w:sz="0" w:space="0" w:color="auto"/>
                <w:bottom w:val="none" w:sz="0" w:space="0" w:color="auto"/>
                <w:right w:val="none" w:sz="0" w:space="0" w:color="auto"/>
              </w:divBdr>
              <w:divsChild>
                <w:div w:id="258681811">
                  <w:marLeft w:val="0"/>
                  <w:marRight w:val="1"/>
                  <w:marTop w:val="0"/>
                  <w:marBottom w:val="0"/>
                  <w:divBdr>
                    <w:top w:val="none" w:sz="0" w:space="0" w:color="auto"/>
                    <w:left w:val="none" w:sz="0" w:space="0" w:color="auto"/>
                    <w:bottom w:val="none" w:sz="0" w:space="0" w:color="auto"/>
                    <w:right w:val="none" w:sz="0" w:space="0" w:color="auto"/>
                  </w:divBdr>
                  <w:divsChild>
                    <w:div w:id="752776207">
                      <w:marLeft w:val="0"/>
                      <w:marRight w:val="0"/>
                      <w:marTop w:val="0"/>
                      <w:marBottom w:val="0"/>
                      <w:divBdr>
                        <w:top w:val="none" w:sz="0" w:space="0" w:color="auto"/>
                        <w:left w:val="none" w:sz="0" w:space="0" w:color="auto"/>
                        <w:bottom w:val="none" w:sz="0" w:space="0" w:color="auto"/>
                        <w:right w:val="none" w:sz="0" w:space="0" w:color="auto"/>
                      </w:divBdr>
                      <w:divsChild>
                        <w:div w:id="1521318221">
                          <w:marLeft w:val="0"/>
                          <w:marRight w:val="0"/>
                          <w:marTop w:val="0"/>
                          <w:marBottom w:val="0"/>
                          <w:divBdr>
                            <w:top w:val="none" w:sz="0" w:space="0" w:color="auto"/>
                            <w:left w:val="none" w:sz="0" w:space="0" w:color="auto"/>
                            <w:bottom w:val="none" w:sz="0" w:space="0" w:color="auto"/>
                            <w:right w:val="none" w:sz="0" w:space="0" w:color="auto"/>
                          </w:divBdr>
                          <w:divsChild>
                            <w:div w:id="612983907">
                              <w:marLeft w:val="0"/>
                              <w:marRight w:val="0"/>
                              <w:marTop w:val="120"/>
                              <w:marBottom w:val="360"/>
                              <w:divBdr>
                                <w:top w:val="none" w:sz="0" w:space="0" w:color="auto"/>
                                <w:left w:val="none" w:sz="0" w:space="0" w:color="auto"/>
                                <w:bottom w:val="none" w:sz="0" w:space="0" w:color="auto"/>
                                <w:right w:val="none" w:sz="0" w:space="0" w:color="auto"/>
                              </w:divBdr>
                              <w:divsChild>
                                <w:div w:id="1289313834">
                                  <w:marLeft w:val="187"/>
                                  <w:marRight w:val="0"/>
                                  <w:marTop w:val="0"/>
                                  <w:marBottom w:val="0"/>
                                  <w:divBdr>
                                    <w:top w:val="none" w:sz="0" w:space="0" w:color="auto"/>
                                    <w:left w:val="none" w:sz="0" w:space="0" w:color="auto"/>
                                    <w:bottom w:val="none" w:sz="0" w:space="0" w:color="auto"/>
                                    <w:right w:val="none" w:sz="0" w:space="0" w:color="auto"/>
                                  </w:divBdr>
                                  <w:divsChild>
                                    <w:div w:id="5286857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5547">
      <w:bodyDiv w:val="1"/>
      <w:marLeft w:val="0"/>
      <w:marRight w:val="0"/>
      <w:marTop w:val="0"/>
      <w:marBottom w:val="0"/>
      <w:divBdr>
        <w:top w:val="none" w:sz="0" w:space="0" w:color="auto"/>
        <w:left w:val="none" w:sz="0" w:space="0" w:color="auto"/>
        <w:bottom w:val="none" w:sz="0" w:space="0" w:color="auto"/>
        <w:right w:val="none" w:sz="0" w:space="0" w:color="auto"/>
      </w:divBdr>
      <w:divsChild>
        <w:div w:id="1251040562">
          <w:marLeft w:val="0"/>
          <w:marRight w:val="1"/>
          <w:marTop w:val="0"/>
          <w:marBottom w:val="0"/>
          <w:divBdr>
            <w:top w:val="none" w:sz="0" w:space="0" w:color="auto"/>
            <w:left w:val="none" w:sz="0" w:space="0" w:color="auto"/>
            <w:bottom w:val="none" w:sz="0" w:space="0" w:color="auto"/>
            <w:right w:val="none" w:sz="0" w:space="0" w:color="auto"/>
          </w:divBdr>
          <w:divsChild>
            <w:div w:id="415202655">
              <w:marLeft w:val="0"/>
              <w:marRight w:val="0"/>
              <w:marTop w:val="0"/>
              <w:marBottom w:val="0"/>
              <w:divBdr>
                <w:top w:val="none" w:sz="0" w:space="0" w:color="auto"/>
                <w:left w:val="none" w:sz="0" w:space="0" w:color="auto"/>
                <w:bottom w:val="none" w:sz="0" w:space="0" w:color="auto"/>
                <w:right w:val="none" w:sz="0" w:space="0" w:color="auto"/>
              </w:divBdr>
              <w:divsChild>
                <w:div w:id="2021659273">
                  <w:marLeft w:val="0"/>
                  <w:marRight w:val="1"/>
                  <w:marTop w:val="0"/>
                  <w:marBottom w:val="0"/>
                  <w:divBdr>
                    <w:top w:val="none" w:sz="0" w:space="0" w:color="auto"/>
                    <w:left w:val="none" w:sz="0" w:space="0" w:color="auto"/>
                    <w:bottom w:val="none" w:sz="0" w:space="0" w:color="auto"/>
                    <w:right w:val="none" w:sz="0" w:space="0" w:color="auto"/>
                  </w:divBdr>
                  <w:divsChild>
                    <w:div w:id="1233271105">
                      <w:marLeft w:val="0"/>
                      <w:marRight w:val="0"/>
                      <w:marTop w:val="0"/>
                      <w:marBottom w:val="0"/>
                      <w:divBdr>
                        <w:top w:val="none" w:sz="0" w:space="0" w:color="auto"/>
                        <w:left w:val="none" w:sz="0" w:space="0" w:color="auto"/>
                        <w:bottom w:val="none" w:sz="0" w:space="0" w:color="auto"/>
                        <w:right w:val="none" w:sz="0" w:space="0" w:color="auto"/>
                      </w:divBdr>
                      <w:divsChild>
                        <w:div w:id="1409423934">
                          <w:marLeft w:val="0"/>
                          <w:marRight w:val="0"/>
                          <w:marTop w:val="0"/>
                          <w:marBottom w:val="0"/>
                          <w:divBdr>
                            <w:top w:val="none" w:sz="0" w:space="0" w:color="auto"/>
                            <w:left w:val="none" w:sz="0" w:space="0" w:color="auto"/>
                            <w:bottom w:val="none" w:sz="0" w:space="0" w:color="auto"/>
                            <w:right w:val="none" w:sz="0" w:space="0" w:color="auto"/>
                          </w:divBdr>
                          <w:divsChild>
                            <w:div w:id="1181164355">
                              <w:marLeft w:val="0"/>
                              <w:marRight w:val="0"/>
                              <w:marTop w:val="120"/>
                              <w:marBottom w:val="360"/>
                              <w:divBdr>
                                <w:top w:val="none" w:sz="0" w:space="0" w:color="auto"/>
                                <w:left w:val="none" w:sz="0" w:space="0" w:color="auto"/>
                                <w:bottom w:val="none" w:sz="0" w:space="0" w:color="auto"/>
                                <w:right w:val="none" w:sz="0" w:space="0" w:color="auto"/>
                              </w:divBdr>
                              <w:divsChild>
                                <w:div w:id="823164512">
                                  <w:marLeft w:val="187"/>
                                  <w:marRight w:val="0"/>
                                  <w:marTop w:val="0"/>
                                  <w:marBottom w:val="0"/>
                                  <w:divBdr>
                                    <w:top w:val="none" w:sz="0" w:space="0" w:color="auto"/>
                                    <w:left w:val="none" w:sz="0" w:space="0" w:color="auto"/>
                                    <w:bottom w:val="none" w:sz="0" w:space="0" w:color="auto"/>
                                    <w:right w:val="none" w:sz="0" w:space="0" w:color="auto"/>
                                  </w:divBdr>
                                  <w:divsChild>
                                    <w:div w:id="3599427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30330">
      <w:bodyDiv w:val="1"/>
      <w:marLeft w:val="0"/>
      <w:marRight w:val="0"/>
      <w:marTop w:val="0"/>
      <w:marBottom w:val="0"/>
      <w:divBdr>
        <w:top w:val="none" w:sz="0" w:space="0" w:color="auto"/>
        <w:left w:val="none" w:sz="0" w:space="0" w:color="auto"/>
        <w:bottom w:val="none" w:sz="0" w:space="0" w:color="auto"/>
        <w:right w:val="none" w:sz="0" w:space="0" w:color="auto"/>
      </w:divBdr>
    </w:div>
    <w:div w:id="2128113032">
      <w:bodyDiv w:val="1"/>
      <w:marLeft w:val="0"/>
      <w:marRight w:val="0"/>
      <w:marTop w:val="0"/>
      <w:marBottom w:val="0"/>
      <w:divBdr>
        <w:top w:val="none" w:sz="0" w:space="0" w:color="auto"/>
        <w:left w:val="none" w:sz="0" w:space="0" w:color="auto"/>
        <w:bottom w:val="none" w:sz="0" w:space="0" w:color="auto"/>
        <w:right w:val="none" w:sz="0" w:space="0" w:color="auto"/>
      </w:divBdr>
      <w:divsChild>
        <w:div w:id="1340425367">
          <w:marLeft w:val="0"/>
          <w:marRight w:val="1"/>
          <w:marTop w:val="0"/>
          <w:marBottom w:val="0"/>
          <w:divBdr>
            <w:top w:val="none" w:sz="0" w:space="0" w:color="auto"/>
            <w:left w:val="none" w:sz="0" w:space="0" w:color="auto"/>
            <w:bottom w:val="none" w:sz="0" w:space="0" w:color="auto"/>
            <w:right w:val="none" w:sz="0" w:space="0" w:color="auto"/>
          </w:divBdr>
          <w:divsChild>
            <w:div w:id="1260486353">
              <w:marLeft w:val="0"/>
              <w:marRight w:val="0"/>
              <w:marTop w:val="0"/>
              <w:marBottom w:val="0"/>
              <w:divBdr>
                <w:top w:val="none" w:sz="0" w:space="0" w:color="auto"/>
                <w:left w:val="none" w:sz="0" w:space="0" w:color="auto"/>
                <w:bottom w:val="none" w:sz="0" w:space="0" w:color="auto"/>
                <w:right w:val="none" w:sz="0" w:space="0" w:color="auto"/>
              </w:divBdr>
              <w:divsChild>
                <w:div w:id="1097484211">
                  <w:marLeft w:val="0"/>
                  <w:marRight w:val="1"/>
                  <w:marTop w:val="0"/>
                  <w:marBottom w:val="0"/>
                  <w:divBdr>
                    <w:top w:val="none" w:sz="0" w:space="0" w:color="auto"/>
                    <w:left w:val="none" w:sz="0" w:space="0" w:color="auto"/>
                    <w:bottom w:val="none" w:sz="0" w:space="0" w:color="auto"/>
                    <w:right w:val="none" w:sz="0" w:space="0" w:color="auto"/>
                  </w:divBdr>
                  <w:divsChild>
                    <w:div w:id="613639170">
                      <w:marLeft w:val="0"/>
                      <w:marRight w:val="0"/>
                      <w:marTop w:val="0"/>
                      <w:marBottom w:val="0"/>
                      <w:divBdr>
                        <w:top w:val="none" w:sz="0" w:space="0" w:color="auto"/>
                        <w:left w:val="none" w:sz="0" w:space="0" w:color="auto"/>
                        <w:bottom w:val="none" w:sz="0" w:space="0" w:color="auto"/>
                        <w:right w:val="none" w:sz="0" w:space="0" w:color="auto"/>
                      </w:divBdr>
                      <w:divsChild>
                        <w:div w:id="346560938">
                          <w:marLeft w:val="0"/>
                          <w:marRight w:val="0"/>
                          <w:marTop w:val="0"/>
                          <w:marBottom w:val="0"/>
                          <w:divBdr>
                            <w:top w:val="none" w:sz="0" w:space="0" w:color="auto"/>
                            <w:left w:val="none" w:sz="0" w:space="0" w:color="auto"/>
                            <w:bottom w:val="none" w:sz="0" w:space="0" w:color="auto"/>
                            <w:right w:val="none" w:sz="0" w:space="0" w:color="auto"/>
                          </w:divBdr>
                          <w:divsChild>
                            <w:div w:id="701707278">
                              <w:marLeft w:val="0"/>
                              <w:marRight w:val="0"/>
                              <w:marTop w:val="120"/>
                              <w:marBottom w:val="360"/>
                              <w:divBdr>
                                <w:top w:val="none" w:sz="0" w:space="0" w:color="auto"/>
                                <w:left w:val="none" w:sz="0" w:space="0" w:color="auto"/>
                                <w:bottom w:val="none" w:sz="0" w:space="0" w:color="auto"/>
                                <w:right w:val="none" w:sz="0" w:space="0" w:color="auto"/>
                              </w:divBdr>
                              <w:divsChild>
                                <w:div w:id="32193858">
                                  <w:marLeft w:val="187"/>
                                  <w:marRight w:val="0"/>
                                  <w:marTop w:val="0"/>
                                  <w:marBottom w:val="0"/>
                                  <w:divBdr>
                                    <w:top w:val="none" w:sz="0" w:space="0" w:color="auto"/>
                                    <w:left w:val="none" w:sz="0" w:space="0" w:color="auto"/>
                                    <w:bottom w:val="none" w:sz="0" w:space="0" w:color="auto"/>
                                    <w:right w:val="none" w:sz="0" w:space="0" w:color="auto"/>
                                  </w:divBdr>
                                  <w:divsChild>
                                    <w:div w:id="15941269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_kimura@shinshu-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81C6-E323-4EF0-A43D-14CC7EC7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6585</Words>
  <Characters>37535</Characters>
  <Application>Microsoft Office Word</Application>
  <DocSecurity>0</DocSecurity>
  <Lines>312</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Abstract</vt:lpstr>
      <vt:lpstr>Abstract</vt:lpstr>
    </vt:vector>
  </TitlesOfParts>
  <Company/>
  <LinksUpToDate>false</LinksUpToDate>
  <CharactersWithSpaces>44032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Tanaka</dc:creator>
  <cp:lastModifiedBy>Na Ma</cp:lastModifiedBy>
  <cp:revision>2</cp:revision>
  <cp:lastPrinted>2018-01-30T12:00:00Z</cp:lastPrinted>
  <dcterms:created xsi:type="dcterms:W3CDTF">2018-03-03T03:22:00Z</dcterms:created>
  <dcterms:modified xsi:type="dcterms:W3CDTF">2018-03-03T03:22:00Z</dcterms:modified>
</cp:coreProperties>
</file>