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F38" w:rsidRPr="0009726A" w:rsidRDefault="00A820A6" w:rsidP="00946207">
      <w:pPr>
        <w:spacing w:line="360" w:lineRule="auto"/>
        <w:outlineLvl w:val="0"/>
        <w:rPr>
          <w:rFonts w:ascii="Book Antiqua" w:hAnsi="Book Antiqua"/>
          <w:b/>
        </w:rPr>
      </w:pPr>
      <w:r w:rsidRPr="0009726A">
        <w:rPr>
          <w:rFonts w:ascii="Book Antiqua" w:hAnsi="Book Antiqua"/>
          <w:b/>
        </w:rPr>
        <w:t xml:space="preserve">Name of </w:t>
      </w:r>
      <w:r w:rsidRPr="0009726A">
        <w:rPr>
          <w:rFonts w:ascii="Book Antiqua" w:hAnsi="Book Antiqua"/>
          <w:b/>
          <w:caps/>
        </w:rPr>
        <w:t>j</w:t>
      </w:r>
      <w:r w:rsidRPr="0009726A">
        <w:rPr>
          <w:rFonts w:ascii="Book Antiqua" w:hAnsi="Book Antiqua"/>
          <w:b/>
        </w:rPr>
        <w:t xml:space="preserve">ournal: </w:t>
      </w:r>
      <w:r w:rsidRPr="0009726A">
        <w:rPr>
          <w:rFonts w:ascii="Book Antiqua" w:hAnsi="Book Antiqua"/>
          <w:b/>
          <w:i/>
        </w:rPr>
        <w:t>World Journal of Gastroenterology</w:t>
      </w:r>
    </w:p>
    <w:p w:rsidR="00A820A6" w:rsidRPr="0009726A" w:rsidRDefault="00CB4D19" w:rsidP="00946207">
      <w:pPr>
        <w:spacing w:line="360" w:lineRule="auto"/>
        <w:outlineLvl w:val="0"/>
        <w:rPr>
          <w:rFonts w:ascii="Book Antiqua" w:hAnsi="Book Antiqua"/>
          <w:b/>
        </w:rPr>
      </w:pPr>
      <w:r w:rsidRPr="0009726A">
        <w:rPr>
          <w:rFonts w:ascii="Book Antiqua" w:hAnsi="Book Antiqua"/>
          <w:b/>
        </w:rPr>
        <w:t>Manuscript No: 38690</w:t>
      </w:r>
    </w:p>
    <w:p w:rsidR="00723239" w:rsidRPr="0009726A" w:rsidRDefault="00A820A6" w:rsidP="00946207">
      <w:pPr>
        <w:spacing w:line="360" w:lineRule="auto"/>
        <w:outlineLvl w:val="0"/>
        <w:rPr>
          <w:rFonts w:ascii="Book Antiqua" w:hAnsi="Book Antiqua"/>
          <w:b/>
        </w:rPr>
      </w:pPr>
      <w:r w:rsidRPr="0009726A">
        <w:rPr>
          <w:rFonts w:ascii="Book Antiqua" w:hAnsi="Book Antiqua"/>
          <w:b/>
        </w:rPr>
        <w:t>Ma</w:t>
      </w:r>
      <w:r w:rsidR="007220A2" w:rsidRPr="0009726A">
        <w:rPr>
          <w:rFonts w:ascii="Book Antiqua" w:hAnsi="Book Antiqua"/>
          <w:b/>
        </w:rPr>
        <w:t>n</w:t>
      </w:r>
      <w:r w:rsidRPr="0009726A">
        <w:rPr>
          <w:rFonts w:ascii="Book Antiqua" w:hAnsi="Book Antiqua"/>
          <w:b/>
        </w:rPr>
        <w:t xml:space="preserve">uscript Type: </w:t>
      </w:r>
      <w:r w:rsidR="00723239" w:rsidRPr="0009726A">
        <w:rPr>
          <w:rFonts w:ascii="Book Antiqua" w:hAnsi="Book Antiqua"/>
          <w:b/>
        </w:rPr>
        <w:t>ORIGINAL ARTICLE</w:t>
      </w:r>
    </w:p>
    <w:p w:rsidR="0083147A" w:rsidRDefault="0083147A" w:rsidP="00946207">
      <w:pPr>
        <w:spacing w:line="360" w:lineRule="auto"/>
        <w:outlineLvl w:val="0"/>
        <w:rPr>
          <w:rFonts w:ascii="Book Antiqua" w:eastAsia="SimSun" w:hAnsi="Book Antiqua"/>
          <w:b/>
          <w:i/>
          <w:lang w:eastAsia="zh-CN"/>
        </w:rPr>
      </w:pPr>
    </w:p>
    <w:p w:rsidR="00A820A6" w:rsidRPr="0083147A" w:rsidRDefault="00723239" w:rsidP="00946207">
      <w:pPr>
        <w:spacing w:line="360" w:lineRule="auto"/>
        <w:outlineLvl w:val="0"/>
        <w:rPr>
          <w:rFonts w:ascii="Book Antiqua" w:hAnsi="Book Antiqua"/>
          <w:b/>
          <w:i/>
        </w:rPr>
      </w:pPr>
      <w:r w:rsidRPr="0083147A">
        <w:rPr>
          <w:rFonts w:ascii="Book Antiqua" w:hAnsi="Book Antiqua"/>
          <w:b/>
          <w:i/>
        </w:rPr>
        <w:t xml:space="preserve">Retrospective </w:t>
      </w:r>
      <w:r w:rsidRPr="00765A9A">
        <w:rPr>
          <w:rFonts w:ascii="Book Antiqua" w:hAnsi="Book Antiqua"/>
          <w:b/>
          <w:i/>
          <w:caps/>
        </w:rPr>
        <w:t>s</w:t>
      </w:r>
      <w:r w:rsidRPr="0083147A">
        <w:rPr>
          <w:rFonts w:ascii="Book Antiqua" w:hAnsi="Book Antiqua"/>
          <w:b/>
          <w:i/>
        </w:rPr>
        <w:t>tudy</w:t>
      </w:r>
    </w:p>
    <w:p w:rsidR="00AC0DDB" w:rsidRPr="0083147A" w:rsidRDefault="00C16106" w:rsidP="00946207">
      <w:pPr>
        <w:spacing w:line="360" w:lineRule="auto"/>
        <w:rPr>
          <w:rFonts w:ascii="Book Antiqua" w:hAnsi="Book Antiqua" w:cs="Times New Roman"/>
          <w:b/>
          <w:color w:val="000000" w:themeColor="text1"/>
        </w:rPr>
      </w:pPr>
      <w:proofErr w:type="spellStart"/>
      <w:r w:rsidRPr="0083147A">
        <w:rPr>
          <w:rFonts w:ascii="Book Antiqua" w:hAnsi="Book Antiqua"/>
          <w:b/>
        </w:rPr>
        <w:t>M</w:t>
      </w:r>
      <w:r w:rsidR="00347B4E" w:rsidRPr="0083147A">
        <w:rPr>
          <w:rFonts w:ascii="Book Antiqua" w:hAnsi="Book Antiqua"/>
          <w:b/>
        </w:rPr>
        <w:t>ultikinase</w:t>
      </w:r>
      <w:proofErr w:type="spellEnd"/>
      <w:r w:rsidR="00347B4E" w:rsidRPr="0083147A">
        <w:rPr>
          <w:rFonts w:ascii="Book Antiqua" w:hAnsi="Book Antiqua"/>
          <w:b/>
        </w:rPr>
        <w:t xml:space="preserve"> inhibitor-</w:t>
      </w:r>
      <w:r w:rsidRPr="0083147A">
        <w:rPr>
          <w:rFonts w:ascii="Book Antiqua" w:hAnsi="Book Antiqua"/>
          <w:b/>
        </w:rPr>
        <w:t>associated</w:t>
      </w:r>
      <w:r w:rsidR="00AC0DDB" w:rsidRPr="0083147A">
        <w:rPr>
          <w:rFonts w:ascii="Book Antiqua" w:hAnsi="Book Antiqua" w:cs="Times New Roman"/>
          <w:b/>
          <w:color w:val="000000" w:themeColor="text1"/>
        </w:rPr>
        <w:t xml:space="preserve"> </w:t>
      </w:r>
      <w:r w:rsidR="00FF67A1" w:rsidRPr="0083147A">
        <w:rPr>
          <w:rFonts w:ascii="Book Antiqua" w:hAnsi="Book Antiqua" w:cs="Times New Roman"/>
          <w:b/>
          <w:color w:val="000000" w:themeColor="text1"/>
        </w:rPr>
        <w:t>hand-foot skin reaction</w:t>
      </w:r>
      <w:r w:rsidR="00FB05EE" w:rsidRPr="0083147A">
        <w:rPr>
          <w:rFonts w:ascii="Book Antiqua" w:hAnsi="Book Antiqua" w:cs="Times New Roman"/>
          <w:b/>
          <w:color w:val="000000" w:themeColor="text1"/>
        </w:rPr>
        <w:t xml:space="preserve"> </w:t>
      </w:r>
      <w:r w:rsidR="00AC0DDB" w:rsidRPr="0083147A">
        <w:rPr>
          <w:rFonts w:ascii="Book Antiqua" w:hAnsi="Book Antiqua" w:cs="Times New Roman"/>
          <w:b/>
          <w:color w:val="000000" w:themeColor="text1"/>
        </w:rPr>
        <w:t>as a predictor of outcome</w:t>
      </w:r>
      <w:r w:rsidR="005C24BB" w:rsidRPr="0083147A">
        <w:rPr>
          <w:rFonts w:ascii="Book Antiqua" w:hAnsi="Book Antiqua" w:cs="Times New Roman"/>
          <w:b/>
          <w:color w:val="000000" w:themeColor="text1"/>
        </w:rPr>
        <w:t>s</w:t>
      </w:r>
      <w:r w:rsidR="00AC0DDB" w:rsidRPr="0083147A">
        <w:rPr>
          <w:rFonts w:ascii="Book Antiqua" w:hAnsi="Book Antiqua" w:cs="Times New Roman"/>
          <w:b/>
          <w:color w:val="000000" w:themeColor="text1"/>
        </w:rPr>
        <w:t xml:space="preserve"> in patients with hepatocellular carcinoma treated with </w:t>
      </w:r>
      <w:proofErr w:type="spellStart"/>
      <w:r w:rsidR="00AC0DDB" w:rsidRPr="0083147A">
        <w:rPr>
          <w:rFonts w:ascii="Book Antiqua" w:hAnsi="Book Antiqua" w:cs="Times New Roman"/>
          <w:b/>
          <w:color w:val="000000" w:themeColor="text1"/>
        </w:rPr>
        <w:t>sorafenib</w:t>
      </w:r>
      <w:proofErr w:type="spellEnd"/>
    </w:p>
    <w:p w:rsidR="0083147A" w:rsidRDefault="0083147A" w:rsidP="00946207">
      <w:pPr>
        <w:spacing w:line="360" w:lineRule="auto"/>
        <w:rPr>
          <w:rFonts w:ascii="Book Antiqua" w:eastAsia="SimSun" w:hAnsi="Book Antiqua" w:cs="Times New Roman"/>
          <w:color w:val="000000" w:themeColor="text1"/>
          <w:lang w:eastAsia="zh-CN"/>
        </w:rPr>
      </w:pPr>
    </w:p>
    <w:p w:rsidR="00FB05EE" w:rsidRPr="00AC0F78" w:rsidRDefault="0083147A" w:rsidP="00946207">
      <w:pPr>
        <w:spacing w:line="360" w:lineRule="auto"/>
        <w:rPr>
          <w:rFonts w:ascii="Book Antiqua" w:eastAsia="SimSun" w:hAnsi="Book Antiqua" w:cs="Times New Roman"/>
          <w:color w:val="000000" w:themeColor="text1"/>
          <w:lang w:eastAsia="zh-CN"/>
        </w:rPr>
      </w:pPr>
      <w:r w:rsidRPr="0083147A">
        <w:rPr>
          <w:rFonts w:ascii="Book Antiqua" w:hAnsi="Book Antiqua" w:cs="Times New Roman"/>
          <w:color w:val="000000" w:themeColor="text1"/>
        </w:rPr>
        <w:t>Ochi</w:t>
      </w:r>
      <w:r>
        <w:rPr>
          <w:rFonts w:ascii="Book Antiqua" w:eastAsia="SimSun" w:hAnsi="Book Antiqua" w:cs="Times New Roman" w:hint="eastAsia"/>
          <w:color w:val="000000" w:themeColor="text1"/>
          <w:lang w:eastAsia="zh-CN"/>
        </w:rPr>
        <w:t xml:space="preserve"> M </w:t>
      </w:r>
      <w:r w:rsidRPr="0083147A">
        <w:rPr>
          <w:rFonts w:ascii="Book Antiqua" w:eastAsia="SimSun" w:hAnsi="Book Antiqua" w:cs="Times New Roman" w:hint="eastAsia"/>
          <w:i/>
          <w:color w:val="000000" w:themeColor="text1"/>
          <w:lang w:eastAsia="zh-CN"/>
        </w:rPr>
        <w:t>et al</w:t>
      </w:r>
      <w:r>
        <w:rPr>
          <w:rFonts w:ascii="Book Antiqua" w:eastAsia="SimSun" w:hAnsi="Book Antiqua" w:cs="Times New Roman" w:hint="eastAsia"/>
          <w:color w:val="000000" w:themeColor="text1"/>
          <w:lang w:eastAsia="zh-CN"/>
        </w:rPr>
        <w:t>.</w:t>
      </w:r>
      <w:r w:rsidR="00AC0F78" w:rsidRPr="00AC0F78">
        <w:rPr>
          <w:rFonts w:ascii="Book Antiqua" w:hAnsi="Book Antiqua"/>
          <w:b/>
        </w:rPr>
        <w:t xml:space="preserve"> </w:t>
      </w:r>
      <w:proofErr w:type="spellStart"/>
      <w:r w:rsidR="00AC0F78" w:rsidRPr="00AC0F78">
        <w:rPr>
          <w:rFonts w:ascii="Book Antiqua" w:hAnsi="Book Antiqua"/>
        </w:rPr>
        <w:t>Multikinase</w:t>
      </w:r>
      <w:proofErr w:type="spellEnd"/>
      <w:r w:rsidR="00AC0F78" w:rsidRPr="00AC0F78">
        <w:rPr>
          <w:rFonts w:ascii="Book Antiqua" w:hAnsi="Book Antiqua"/>
        </w:rPr>
        <w:t xml:space="preserve"> inhibitor-associated</w:t>
      </w:r>
      <w:r w:rsidR="00AC0F78" w:rsidRPr="00AC0F78">
        <w:rPr>
          <w:rFonts w:ascii="Book Antiqua" w:hAnsi="Book Antiqua" w:cs="Times New Roman"/>
          <w:color w:val="000000" w:themeColor="text1"/>
        </w:rPr>
        <w:t xml:space="preserve"> hand-foot skin reaction</w:t>
      </w:r>
      <w:r w:rsidR="00AC0F78" w:rsidRPr="00AC0F78">
        <w:rPr>
          <w:rFonts w:ascii="Book Antiqua" w:eastAsia="SimSun" w:hAnsi="Book Antiqua" w:cs="Times New Roman" w:hint="eastAsia"/>
          <w:color w:val="000000" w:themeColor="text1"/>
          <w:lang w:eastAsia="zh-CN"/>
        </w:rPr>
        <w:t xml:space="preserve"> in HCC</w:t>
      </w:r>
    </w:p>
    <w:p w:rsidR="0083147A" w:rsidRPr="0083147A" w:rsidRDefault="0083147A" w:rsidP="00946207">
      <w:pPr>
        <w:spacing w:line="360" w:lineRule="auto"/>
        <w:rPr>
          <w:rFonts w:ascii="Book Antiqua" w:eastAsia="SimSun" w:hAnsi="Book Antiqua" w:cs="Times New Roman"/>
          <w:color w:val="000000" w:themeColor="text1"/>
          <w:lang w:eastAsia="zh-CN"/>
        </w:rPr>
      </w:pPr>
    </w:p>
    <w:p w:rsidR="00F0196C" w:rsidRPr="0083147A" w:rsidRDefault="00B86D02" w:rsidP="00946207">
      <w:pPr>
        <w:spacing w:line="360" w:lineRule="auto"/>
        <w:rPr>
          <w:rFonts w:ascii="Book Antiqua" w:hAnsi="Book Antiqua" w:cs="Times New Roman"/>
          <w:color w:val="000000" w:themeColor="text1"/>
        </w:rPr>
      </w:pPr>
      <w:r w:rsidRPr="0083147A">
        <w:rPr>
          <w:rFonts w:ascii="Book Antiqua" w:hAnsi="Book Antiqua" w:cs="Times New Roman"/>
          <w:color w:val="000000" w:themeColor="text1"/>
        </w:rPr>
        <w:t>M</w:t>
      </w:r>
      <w:r w:rsidR="00F0196C" w:rsidRPr="0083147A">
        <w:rPr>
          <w:rFonts w:ascii="Book Antiqua" w:hAnsi="Book Antiqua" w:cs="Times New Roman"/>
          <w:color w:val="000000" w:themeColor="text1"/>
        </w:rPr>
        <w:t>asanori</w:t>
      </w:r>
      <w:r w:rsidRPr="0083147A">
        <w:rPr>
          <w:rFonts w:ascii="Book Antiqua" w:hAnsi="Book Antiqua" w:cs="Times New Roman"/>
          <w:color w:val="000000" w:themeColor="text1"/>
        </w:rPr>
        <w:t xml:space="preserve"> O</w:t>
      </w:r>
      <w:r w:rsidR="00F0196C" w:rsidRPr="0083147A">
        <w:rPr>
          <w:rFonts w:ascii="Book Antiqua" w:hAnsi="Book Antiqua" w:cs="Times New Roman"/>
          <w:color w:val="000000" w:themeColor="text1"/>
        </w:rPr>
        <w:t>chi</w:t>
      </w:r>
      <w:r w:rsidRPr="0083147A">
        <w:rPr>
          <w:rFonts w:ascii="Book Antiqua" w:hAnsi="Book Antiqua" w:cs="Times New Roman"/>
          <w:bCs/>
          <w:color w:val="000000" w:themeColor="text1"/>
        </w:rPr>
        <w:t xml:space="preserve">, </w:t>
      </w:r>
      <w:r w:rsidRPr="0083147A">
        <w:rPr>
          <w:rFonts w:ascii="Book Antiqua" w:hAnsi="Book Antiqua" w:cs="Times New Roman"/>
          <w:color w:val="000000" w:themeColor="text1"/>
        </w:rPr>
        <w:t>T</w:t>
      </w:r>
      <w:r w:rsidR="00F0196C" w:rsidRPr="0083147A">
        <w:rPr>
          <w:rFonts w:ascii="Book Antiqua" w:hAnsi="Book Antiqua" w:cs="Times New Roman"/>
          <w:color w:val="000000" w:themeColor="text1"/>
        </w:rPr>
        <w:t>oshiro</w:t>
      </w:r>
      <w:r w:rsidRPr="0083147A">
        <w:rPr>
          <w:rFonts w:ascii="Book Antiqua" w:hAnsi="Book Antiqua" w:cs="Times New Roman"/>
          <w:color w:val="000000" w:themeColor="text1"/>
        </w:rPr>
        <w:t xml:space="preserve"> </w:t>
      </w:r>
      <w:proofErr w:type="spellStart"/>
      <w:r w:rsidRPr="0083147A">
        <w:rPr>
          <w:rFonts w:ascii="Book Antiqua" w:hAnsi="Book Antiqua" w:cs="Times New Roman"/>
          <w:color w:val="000000" w:themeColor="text1"/>
        </w:rPr>
        <w:t>K</w:t>
      </w:r>
      <w:r w:rsidR="00F0196C" w:rsidRPr="0083147A">
        <w:rPr>
          <w:rFonts w:ascii="Book Antiqua" w:hAnsi="Book Antiqua" w:cs="Times New Roman"/>
          <w:color w:val="000000" w:themeColor="text1"/>
        </w:rPr>
        <w:t>amoshida</w:t>
      </w:r>
      <w:proofErr w:type="spellEnd"/>
      <w:r w:rsidRPr="0083147A">
        <w:rPr>
          <w:rFonts w:ascii="Book Antiqua" w:hAnsi="Book Antiqua" w:cs="Times New Roman"/>
          <w:color w:val="000000" w:themeColor="text1"/>
        </w:rPr>
        <w:t>, A</w:t>
      </w:r>
      <w:r w:rsidR="00F0196C" w:rsidRPr="0083147A">
        <w:rPr>
          <w:rFonts w:ascii="Book Antiqua" w:hAnsi="Book Antiqua" w:cs="Times New Roman"/>
          <w:color w:val="000000" w:themeColor="text1"/>
        </w:rPr>
        <w:t>tsushi</w:t>
      </w:r>
      <w:r w:rsidRPr="0083147A">
        <w:rPr>
          <w:rFonts w:ascii="Book Antiqua" w:hAnsi="Book Antiqua" w:cs="Times New Roman"/>
          <w:color w:val="000000" w:themeColor="text1"/>
        </w:rPr>
        <w:t xml:space="preserve"> </w:t>
      </w:r>
      <w:proofErr w:type="spellStart"/>
      <w:r w:rsidRPr="0083147A">
        <w:rPr>
          <w:rFonts w:ascii="Book Antiqua" w:hAnsi="Book Antiqua" w:cs="Times New Roman"/>
          <w:color w:val="000000" w:themeColor="text1"/>
        </w:rPr>
        <w:t>O</w:t>
      </w:r>
      <w:r w:rsidR="00F0196C" w:rsidRPr="0083147A">
        <w:rPr>
          <w:rFonts w:ascii="Book Antiqua" w:hAnsi="Book Antiqua" w:cs="Times New Roman"/>
          <w:color w:val="000000" w:themeColor="text1"/>
        </w:rPr>
        <w:t>hkawara</w:t>
      </w:r>
      <w:proofErr w:type="spellEnd"/>
      <w:r w:rsidRPr="0083147A">
        <w:rPr>
          <w:rFonts w:ascii="Book Antiqua" w:hAnsi="Book Antiqua" w:cs="Times New Roman"/>
          <w:color w:val="000000" w:themeColor="text1"/>
        </w:rPr>
        <w:t xml:space="preserve">, </w:t>
      </w:r>
      <w:proofErr w:type="spellStart"/>
      <w:r w:rsidRPr="0083147A">
        <w:rPr>
          <w:rFonts w:ascii="Book Antiqua" w:hAnsi="Book Antiqua" w:cs="Times New Roman"/>
          <w:color w:val="000000" w:themeColor="text1"/>
        </w:rPr>
        <w:t>H</w:t>
      </w:r>
      <w:r w:rsidR="00F0196C" w:rsidRPr="0083147A">
        <w:rPr>
          <w:rFonts w:ascii="Book Antiqua" w:hAnsi="Book Antiqua" w:cs="Times New Roman"/>
          <w:color w:val="000000" w:themeColor="text1"/>
        </w:rPr>
        <w:t>aruka</w:t>
      </w:r>
      <w:proofErr w:type="spellEnd"/>
      <w:r w:rsidRPr="0083147A">
        <w:rPr>
          <w:rFonts w:ascii="Book Antiqua" w:hAnsi="Book Antiqua" w:cs="Times New Roman"/>
          <w:color w:val="000000" w:themeColor="text1"/>
        </w:rPr>
        <w:t xml:space="preserve"> </w:t>
      </w:r>
      <w:proofErr w:type="spellStart"/>
      <w:r w:rsidRPr="0083147A">
        <w:rPr>
          <w:rFonts w:ascii="Book Antiqua" w:hAnsi="Book Antiqua" w:cs="Times New Roman"/>
          <w:color w:val="000000" w:themeColor="text1"/>
        </w:rPr>
        <w:t>O</w:t>
      </w:r>
      <w:r w:rsidR="00F0196C" w:rsidRPr="0083147A">
        <w:rPr>
          <w:rFonts w:ascii="Book Antiqua" w:hAnsi="Book Antiqua" w:cs="Times New Roman"/>
          <w:color w:val="000000" w:themeColor="text1"/>
        </w:rPr>
        <w:t>hkawara</w:t>
      </w:r>
      <w:proofErr w:type="spellEnd"/>
      <w:r w:rsidRPr="0083147A">
        <w:rPr>
          <w:rFonts w:ascii="Book Antiqua" w:hAnsi="Book Antiqua" w:cs="Times New Roman"/>
          <w:color w:val="000000" w:themeColor="text1"/>
        </w:rPr>
        <w:t xml:space="preserve">, </w:t>
      </w:r>
      <w:proofErr w:type="spellStart"/>
      <w:r w:rsidRPr="0083147A">
        <w:rPr>
          <w:rFonts w:ascii="Book Antiqua" w:hAnsi="Book Antiqua" w:cs="Times New Roman"/>
          <w:color w:val="000000" w:themeColor="text1"/>
        </w:rPr>
        <w:t>N</w:t>
      </w:r>
      <w:r w:rsidR="00F0196C" w:rsidRPr="0083147A">
        <w:rPr>
          <w:rFonts w:ascii="Book Antiqua" w:hAnsi="Book Antiqua" w:cs="Times New Roman"/>
          <w:color w:val="000000" w:themeColor="text1"/>
        </w:rPr>
        <w:t>obushige</w:t>
      </w:r>
      <w:proofErr w:type="spellEnd"/>
      <w:r w:rsidR="000D1105" w:rsidRPr="0083147A">
        <w:rPr>
          <w:rFonts w:ascii="Book Antiqua" w:hAnsi="Book Antiqua" w:cs="Times New Roman"/>
          <w:color w:val="000000" w:themeColor="text1"/>
        </w:rPr>
        <w:t xml:space="preserve"> </w:t>
      </w:r>
      <w:proofErr w:type="spellStart"/>
      <w:r w:rsidRPr="0083147A">
        <w:rPr>
          <w:rFonts w:ascii="Book Antiqua" w:hAnsi="Book Antiqua" w:cs="Times New Roman"/>
          <w:color w:val="000000" w:themeColor="text1"/>
        </w:rPr>
        <w:t>K</w:t>
      </w:r>
      <w:r w:rsidR="00F0196C" w:rsidRPr="0083147A">
        <w:rPr>
          <w:rFonts w:ascii="Book Antiqua" w:hAnsi="Book Antiqua" w:cs="Times New Roman"/>
          <w:color w:val="000000" w:themeColor="text1"/>
        </w:rPr>
        <w:t>akinoki</w:t>
      </w:r>
      <w:proofErr w:type="spellEnd"/>
      <w:r w:rsidRPr="0083147A">
        <w:rPr>
          <w:rFonts w:ascii="Book Antiqua" w:hAnsi="Book Antiqua" w:cs="Times New Roman"/>
          <w:color w:val="000000" w:themeColor="text1"/>
        </w:rPr>
        <w:t>, S</w:t>
      </w:r>
      <w:r w:rsidR="00F0196C" w:rsidRPr="0083147A">
        <w:rPr>
          <w:rFonts w:ascii="Book Antiqua" w:hAnsi="Book Antiqua" w:cs="Times New Roman"/>
          <w:color w:val="000000" w:themeColor="text1"/>
        </w:rPr>
        <w:t>hinji</w:t>
      </w:r>
      <w:r w:rsidRPr="0083147A">
        <w:rPr>
          <w:rFonts w:ascii="Book Antiqua" w:hAnsi="Book Antiqua" w:cs="Times New Roman"/>
          <w:color w:val="000000" w:themeColor="text1"/>
        </w:rPr>
        <w:t xml:space="preserve"> H</w:t>
      </w:r>
      <w:r w:rsidR="00F0196C" w:rsidRPr="0083147A">
        <w:rPr>
          <w:rFonts w:ascii="Book Antiqua" w:hAnsi="Book Antiqua" w:cs="Times New Roman"/>
          <w:color w:val="000000" w:themeColor="text1"/>
        </w:rPr>
        <w:t>irai</w:t>
      </w:r>
      <w:r w:rsidRPr="0083147A">
        <w:rPr>
          <w:rFonts w:ascii="Book Antiqua" w:hAnsi="Book Antiqua" w:cs="Times New Roman"/>
          <w:color w:val="000000" w:themeColor="text1"/>
        </w:rPr>
        <w:t xml:space="preserve">, </w:t>
      </w:r>
      <w:bookmarkStart w:id="0" w:name="_Hlk506846828"/>
      <w:proofErr w:type="spellStart"/>
      <w:r w:rsidRPr="0083147A">
        <w:rPr>
          <w:rFonts w:ascii="Book Antiqua" w:hAnsi="Book Antiqua" w:cs="Times New Roman"/>
          <w:color w:val="000000" w:themeColor="text1"/>
        </w:rPr>
        <w:t>A</w:t>
      </w:r>
      <w:r w:rsidR="00F0196C" w:rsidRPr="0083147A">
        <w:rPr>
          <w:rFonts w:ascii="Book Antiqua" w:hAnsi="Book Antiqua" w:cs="Times New Roman"/>
          <w:color w:val="000000" w:themeColor="text1"/>
        </w:rPr>
        <w:t>kinori</w:t>
      </w:r>
      <w:proofErr w:type="spellEnd"/>
      <w:r w:rsidRPr="0083147A">
        <w:rPr>
          <w:rFonts w:ascii="Book Antiqua" w:hAnsi="Book Antiqua" w:cs="Times New Roman"/>
          <w:color w:val="000000" w:themeColor="text1"/>
        </w:rPr>
        <w:t xml:space="preserve"> </w:t>
      </w:r>
      <w:proofErr w:type="spellStart"/>
      <w:r w:rsidRPr="0083147A">
        <w:rPr>
          <w:rFonts w:ascii="Book Antiqua" w:hAnsi="Book Antiqua" w:cs="Times New Roman"/>
          <w:color w:val="000000" w:themeColor="text1"/>
        </w:rPr>
        <w:t>Y</w:t>
      </w:r>
      <w:r w:rsidR="00F0196C" w:rsidRPr="0083147A">
        <w:rPr>
          <w:rFonts w:ascii="Book Antiqua" w:hAnsi="Book Antiqua" w:cs="Times New Roman"/>
          <w:color w:val="000000" w:themeColor="text1"/>
        </w:rPr>
        <w:t>anaka</w:t>
      </w:r>
      <w:bookmarkEnd w:id="0"/>
      <w:proofErr w:type="spellEnd"/>
    </w:p>
    <w:p w:rsidR="00F0196C" w:rsidRPr="0083147A" w:rsidRDefault="00F0196C" w:rsidP="00946207">
      <w:pPr>
        <w:spacing w:line="360" w:lineRule="auto"/>
        <w:rPr>
          <w:rFonts w:ascii="Book Antiqua" w:hAnsi="Book Antiqua" w:cs="Times New Roman"/>
          <w:color w:val="000000" w:themeColor="text1"/>
          <w:vertAlign w:val="superscript"/>
        </w:rPr>
      </w:pPr>
    </w:p>
    <w:p w:rsidR="000D1105" w:rsidRPr="0083147A" w:rsidRDefault="000D1105" w:rsidP="00946207">
      <w:pPr>
        <w:spacing w:line="360" w:lineRule="auto"/>
        <w:rPr>
          <w:rFonts w:ascii="Book Antiqua" w:hAnsi="Book Antiqua" w:cs="Times New Roman"/>
          <w:color w:val="000000" w:themeColor="text1"/>
        </w:rPr>
      </w:pPr>
      <w:r w:rsidRPr="0083147A">
        <w:rPr>
          <w:rFonts w:ascii="Book Antiqua" w:hAnsi="Book Antiqua" w:cs="Times New Roman"/>
          <w:b/>
          <w:color w:val="000000" w:themeColor="text1"/>
        </w:rPr>
        <w:t>Masanori Ochi</w:t>
      </w:r>
      <w:r w:rsidRPr="0083147A">
        <w:rPr>
          <w:rFonts w:ascii="Book Antiqua" w:hAnsi="Book Antiqua" w:cs="Times New Roman"/>
          <w:b/>
          <w:bCs/>
          <w:color w:val="000000" w:themeColor="text1"/>
        </w:rPr>
        <w:t xml:space="preserve">, </w:t>
      </w:r>
      <w:r w:rsidRPr="0083147A">
        <w:rPr>
          <w:rFonts w:ascii="Book Antiqua" w:hAnsi="Book Antiqua" w:cs="Times New Roman"/>
          <w:b/>
          <w:color w:val="000000" w:themeColor="text1"/>
        </w:rPr>
        <w:t xml:space="preserve">Toshiro </w:t>
      </w:r>
      <w:proofErr w:type="spellStart"/>
      <w:r w:rsidRPr="0083147A">
        <w:rPr>
          <w:rFonts w:ascii="Book Antiqua" w:hAnsi="Book Antiqua" w:cs="Times New Roman"/>
          <w:b/>
          <w:color w:val="000000" w:themeColor="text1"/>
        </w:rPr>
        <w:t>Kamoshida</w:t>
      </w:r>
      <w:proofErr w:type="spellEnd"/>
      <w:r w:rsidRPr="0083147A">
        <w:rPr>
          <w:rFonts w:ascii="Book Antiqua" w:hAnsi="Book Antiqua" w:cs="Times New Roman"/>
          <w:b/>
          <w:color w:val="000000" w:themeColor="text1"/>
        </w:rPr>
        <w:t xml:space="preserve">, Atsushi </w:t>
      </w:r>
      <w:proofErr w:type="spellStart"/>
      <w:r w:rsidRPr="0083147A">
        <w:rPr>
          <w:rFonts w:ascii="Book Antiqua" w:hAnsi="Book Antiqua" w:cs="Times New Roman"/>
          <w:b/>
          <w:color w:val="000000" w:themeColor="text1"/>
        </w:rPr>
        <w:t>Ohkawara</w:t>
      </w:r>
      <w:proofErr w:type="spellEnd"/>
      <w:r w:rsidRPr="0083147A">
        <w:rPr>
          <w:rFonts w:ascii="Book Antiqua" w:hAnsi="Book Antiqua" w:cs="Times New Roman"/>
          <w:b/>
          <w:color w:val="000000" w:themeColor="text1"/>
        </w:rPr>
        <w:t xml:space="preserve">, </w:t>
      </w:r>
      <w:proofErr w:type="spellStart"/>
      <w:r w:rsidRPr="0083147A">
        <w:rPr>
          <w:rFonts w:ascii="Book Antiqua" w:hAnsi="Book Antiqua" w:cs="Times New Roman"/>
          <w:b/>
          <w:color w:val="000000" w:themeColor="text1"/>
        </w:rPr>
        <w:t>Haruka</w:t>
      </w:r>
      <w:proofErr w:type="spellEnd"/>
      <w:r w:rsidRPr="0083147A">
        <w:rPr>
          <w:rFonts w:ascii="Book Antiqua" w:hAnsi="Book Antiqua" w:cs="Times New Roman"/>
          <w:b/>
          <w:color w:val="000000" w:themeColor="text1"/>
        </w:rPr>
        <w:t xml:space="preserve"> </w:t>
      </w:r>
      <w:proofErr w:type="spellStart"/>
      <w:r w:rsidRPr="0083147A">
        <w:rPr>
          <w:rFonts w:ascii="Book Antiqua" w:hAnsi="Book Antiqua" w:cs="Times New Roman"/>
          <w:b/>
          <w:color w:val="000000" w:themeColor="text1"/>
        </w:rPr>
        <w:t>Ohkawara</w:t>
      </w:r>
      <w:proofErr w:type="spellEnd"/>
      <w:r w:rsidRPr="0083147A">
        <w:rPr>
          <w:rFonts w:ascii="Book Antiqua" w:hAnsi="Book Antiqua" w:cs="Times New Roman"/>
          <w:b/>
          <w:color w:val="000000" w:themeColor="text1"/>
        </w:rPr>
        <w:t xml:space="preserve">, </w:t>
      </w:r>
      <w:proofErr w:type="spellStart"/>
      <w:r w:rsidRPr="0083147A">
        <w:rPr>
          <w:rFonts w:ascii="Book Antiqua" w:hAnsi="Book Antiqua" w:cs="Times New Roman"/>
          <w:b/>
          <w:color w:val="000000" w:themeColor="text1"/>
        </w:rPr>
        <w:t>Nobushige</w:t>
      </w:r>
      <w:proofErr w:type="spellEnd"/>
      <w:r w:rsidRPr="0083147A">
        <w:rPr>
          <w:rFonts w:ascii="Book Antiqua" w:hAnsi="Book Antiqua" w:cs="Times New Roman"/>
          <w:b/>
          <w:color w:val="000000" w:themeColor="text1"/>
        </w:rPr>
        <w:t xml:space="preserve"> </w:t>
      </w:r>
      <w:proofErr w:type="spellStart"/>
      <w:r w:rsidRPr="0083147A">
        <w:rPr>
          <w:rFonts w:ascii="Book Antiqua" w:hAnsi="Book Antiqua" w:cs="Times New Roman"/>
          <w:b/>
          <w:color w:val="000000" w:themeColor="text1"/>
        </w:rPr>
        <w:t>Kakinoki</w:t>
      </w:r>
      <w:proofErr w:type="spellEnd"/>
      <w:r w:rsidRPr="0083147A">
        <w:rPr>
          <w:rFonts w:ascii="Book Antiqua" w:hAnsi="Book Antiqua" w:cs="Times New Roman"/>
          <w:b/>
          <w:color w:val="000000" w:themeColor="text1"/>
        </w:rPr>
        <w:t>, Shinji Hirai,</w:t>
      </w:r>
      <w:r w:rsidRPr="0083147A">
        <w:rPr>
          <w:rFonts w:ascii="Book Antiqua" w:hAnsi="Book Antiqua" w:cs="Times New Roman"/>
          <w:color w:val="000000" w:themeColor="text1"/>
        </w:rPr>
        <w:t xml:space="preserve"> </w:t>
      </w:r>
      <w:r w:rsidR="00B86D02" w:rsidRPr="0083147A">
        <w:rPr>
          <w:rFonts w:ascii="Book Antiqua" w:hAnsi="Book Antiqua" w:cs="Times New Roman"/>
          <w:color w:val="000000" w:themeColor="text1"/>
        </w:rPr>
        <w:t xml:space="preserve">Department of Gastroenterology, Hitachi General Hospital, </w:t>
      </w:r>
      <w:r w:rsidRPr="0083147A">
        <w:rPr>
          <w:rFonts w:ascii="Book Antiqua" w:hAnsi="Book Antiqua" w:cs="Times New Roman"/>
          <w:color w:val="000000" w:themeColor="text1"/>
        </w:rPr>
        <w:t>Ibaraki 317-0077</w:t>
      </w:r>
      <w:r w:rsidR="00B86D02" w:rsidRPr="0083147A">
        <w:rPr>
          <w:rFonts w:ascii="Book Antiqua" w:hAnsi="Book Antiqua" w:cs="Times New Roman"/>
          <w:color w:val="000000" w:themeColor="text1"/>
        </w:rPr>
        <w:t>, Japan</w:t>
      </w:r>
    </w:p>
    <w:p w:rsidR="000D1105" w:rsidRPr="0083147A" w:rsidRDefault="000D1105" w:rsidP="00946207">
      <w:pPr>
        <w:spacing w:line="360" w:lineRule="auto"/>
        <w:rPr>
          <w:rFonts w:ascii="Book Antiqua" w:hAnsi="Book Antiqua" w:cs="Times New Roman"/>
          <w:color w:val="000000" w:themeColor="text1"/>
        </w:rPr>
      </w:pPr>
    </w:p>
    <w:p w:rsidR="00B86D02" w:rsidRPr="0083147A" w:rsidRDefault="000D1105" w:rsidP="00946207">
      <w:pPr>
        <w:spacing w:line="360" w:lineRule="auto"/>
        <w:rPr>
          <w:rFonts w:ascii="Book Antiqua" w:hAnsi="Book Antiqua" w:cs="Times New Roman"/>
          <w:color w:val="000000" w:themeColor="text1"/>
        </w:rPr>
      </w:pPr>
      <w:proofErr w:type="spellStart"/>
      <w:r w:rsidRPr="0083147A">
        <w:rPr>
          <w:rFonts w:ascii="Book Antiqua" w:hAnsi="Book Antiqua" w:cs="Times New Roman"/>
          <w:b/>
          <w:color w:val="000000" w:themeColor="text1"/>
        </w:rPr>
        <w:t>Akinori</w:t>
      </w:r>
      <w:proofErr w:type="spellEnd"/>
      <w:r w:rsidRPr="0083147A">
        <w:rPr>
          <w:rFonts w:ascii="Book Antiqua" w:hAnsi="Book Antiqua" w:cs="Times New Roman"/>
          <w:b/>
          <w:color w:val="000000" w:themeColor="text1"/>
        </w:rPr>
        <w:t xml:space="preserve"> </w:t>
      </w:r>
      <w:proofErr w:type="spellStart"/>
      <w:r w:rsidRPr="0083147A">
        <w:rPr>
          <w:rFonts w:ascii="Book Antiqua" w:hAnsi="Book Antiqua" w:cs="Times New Roman"/>
          <w:b/>
          <w:color w:val="000000" w:themeColor="text1"/>
        </w:rPr>
        <w:t>Yanaka</w:t>
      </w:r>
      <w:proofErr w:type="spellEnd"/>
      <w:r w:rsidRPr="0083147A">
        <w:rPr>
          <w:rFonts w:ascii="Book Antiqua" w:hAnsi="Book Antiqua" w:cs="Times New Roman"/>
          <w:b/>
          <w:color w:val="000000" w:themeColor="text1"/>
        </w:rPr>
        <w:t>,</w:t>
      </w:r>
      <w:r w:rsidRPr="0083147A">
        <w:rPr>
          <w:rFonts w:ascii="Book Antiqua" w:hAnsi="Book Antiqua" w:cs="Times New Roman"/>
          <w:color w:val="000000" w:themeColor="text1"/>
        </w:rPr>
        <w:t xml:space="preserve"> </w:t>
      </w:r>
      <w:r w:rsidR="00B86D02" w:rsidRPr="0083147A">
        <w:rPr>
          <w:rFonts w:ascii="Book Antiqua" w:hAnsi="Book Antiqua" w:cs="Times New Roman"/>
          <w:color w:val="000000" w:themeColor="text1"/>
        </w:rPr>
        <w:t xml:space="preserve">Hitachi Medical Education and Research Center, University of Tsukuba, </w:t>
      </w:r>
      <w:r w:rsidRPr="0083147A">
        <w:rPr>
          <w:rFonts w:ascii="Book Antiqua" w:hAnsi="Book Antiqua" w:cs="Times New Roman"/>
          <w:color w:val="000000" w:themeColor="text1"/>
        </w:rPr>
        <w:t>Ibaraki 317-0077</w:t>
      </w:r>
      <w:r w:rsidR="00B86D02" w:rsidRPr="0083147A">
        <w:rPr>
          <w:rFonts w:ascii="Book Antiqua" w:hAnsi="Book Antiqua" w:cs="Times New Roman"/>
          <w:color w:val="000000" w:themeColor="text1"/>
        </w:rPr>
        <w:t>, Japan</w:t>
      </w:r>
    </w:p>
    <w:p w:rsidR="00AC0DDB" w:rsidRPr="0083147A" w:rsidRDefault="00AC0DDB" w:rsidP="00946207">
      <w:pPr>
        <w:spacing w:line="360" w:lineRule="auto"/>
        <w:rPr>
          <w:rFonts w:ascii="Book Antiqua" w:hAnsi="Book Antiqua" w:cs="Times New Roman"/>
          <w:color w:val="000000" w:themeColor="text1"/>
        </w:rPr>
      </w:pPr>
    </w:p>
    <w:p w:rsidR="00CC1DC7" w:rsidRPr="00016C8E" w:rsidRDefault="003860B0" w:rsidP="00946207">
      <w:pPr>
        <w:spacing w:line="360" w:lineRule="auto"/>
        <w:rPr>
          <w:rFonts w:ascii="Book Antiqua" w:eastAsia="SimSun" w:hAnsi="Book Antiqua" w:cs="Times New Roman"/>
          <w:color w:val="000000" w:themeColor="text1"/>
          <w:lang w:eastAsia="zh-CN"/>
        </w:rPr>
      </w:pPr>
      <w:r w:rsidRPr="0083147A">
        <w:rPr>
          <w:rFonts w:ascii="Book Antiqua" w:hAnsi="Book Antiqua" w:cs="Times New Roman"/>
          <w:b/>
        </w:rPr>
        <w:t>ORCID number:</w:t>
      </w:r>
      <w:r w:rsidRPr="0083147A">
        <w:rPr>
          <w:rFonts w:ascii="Book Antiqua" w:hAnsi="Book Antiqua" w:cs="Times New Roman"/>
        </w:rPr>
        <w:t xml:space="preserve"> Masanori Ochi (0000-0003-0850-6076); Toshiro </w:t>
      </w:r>
      <w:proofErr w:type="spellStart"/>
      <w:r w:rsidRPr="0083147A">
        <w:rPr>
          <w:rFonts w:ascii="Book Antiqua" w:hAnsi="Book Antiqua" w:cs="Times New Roman"/>
        </w:rPr>
        <w:t>Kamoshida</w:t>
      </w:r>
      <w:proofErr w:type="spellEnd"/>
      <w:r w:rsidRPr="0083147A">
        <w:rPr>
          <w:rFonts w:ascii="Book Antiqua" w:hAnsi="Book Antiqua" w:cs="Times New Roman"/>
        </w:rPr>
        <w:t xml:space="preserve"> (0000-0003-4930-1018); Atsushi </w:t>
      </w:r>
      <w:proofErr w:type="spellStart"/>
      <w:r w:rsidRPr="0083147A">
        <w:rPr>
          <w:rFonts w:ascii="Book Antiqua" w:hAnsi="Book Antiqua" w:cs="Times New Roman"/>
        </w:rPr>
        <w:t>Ohkawara</w:t>
      </w:r>
      <w:proofErr w:type="spellEnd"/>
      <w:r w:rsidRPr="0083147A">
        <w:rPr>
          <w:rFonts w:ascii="Book Antiqua" w:hAnsi="Book Antiqua" w:cs="Times New Roman"/>
        </w:rPr>
        <w:t xml:space="preserve"> (0000-0003-1764-565X); </w:t>
      </w:r>
      <w:proofErr w:type="spellStart"/>
      <w:r w:rsidRPr="0083147A">
        <w:rPr>
          <w:rFonts w:ascii="Book Antiqua" w:hAnsi="Book Antiqua" w:cs="Times New Roman"/>
        </w:rPr>
        <w:t>Haruka</w:t>
      </w:r>
      <w:proofErr w:type="spellEnd"/>
      <w:r w:rsidRPr="0083147A">
        <w:rPr>
          <w:rFonts w:ascii="Book Antiqua" w:hAnsi="Book Antiqua" w:cs="Times New Roman"/>
        </w:rPr>
        <w:t xml:space="preserve"> </w:t>
      </w:r>
      <w:proofErr w:type="spellStart"/>
      <w:r w:rsidRPr="0083147A">
        <w:rPr>
          <w:rFonts w:ascii="Book Antiqua" w:hAnsi="Book Antiqua" w:cs="Times New Roman"/>
        </w:rPr>
        <w:t>Ohkawara</w:t>
      </w:r>
      <w:proofErr w:type="spellEnd"/>
      <w:r w:rsidRPr="0083147A">
        <w:rPr>
          <w:rFonts w:ascii="Book Antiqua" w:hAnsi="Book Antiqua" w:cs="Times New Roman"/>
        </w:rPr>
        <w:t xml:space="preserve"> (0000-0001-8427-5826); </w:t>
      </w:r>
      <w:proofErr w:type="spellStart"/>
      <w:r w:rsidRPr="0083147A">
        <w:rPr>
          <w:rFonts w:ascii="Book Antiqua" w:hAnsi="Book Antiqua" w:cs="Times New Roman"/>
        </w:rPr>
        <w:t>Nobushige</w:t>
      </w:r>
      <w:proofErr w:type="spellEnd"/>
      <w:r w:rsidRPr="0083147A">
        <w:rPr>
          <w:rFonts w:ascii="Book Antiqua" w:hAnsi="Book Antiqua" w:cs="Times New Roman"/>
        </w:rPr>
        <w:t xml:space="preserve"> </w:t>
      </w:r>
      <w:proofErr w:type="spellStart"/>
      <w:r w:rsidRPr="0083147A">
        <w:rPr>
          <w:rFonts w:ascii="Book Antiqua" w:hAnsi="Book Antiqua" w:cs="Times New Roman"/>
        </w:rPr>
        <w:t>Kakinoki</w:t>
      </w:r>
      <w:proofErr w:type="spellEnd"/>
      <w:r w:rsidRPr="0083147A">
        <w:rPr>
          <w:rFonts w:ascii="Book Antiqua" w:hAnsi="Book Antiqua" w:cs="Times New Roman"/>
        </w:rPr>
        <w:t xml:space="preserve"> (0000-0002-1522-2226); Shinji Hirai (0000-0001-7141-0240); </w:t>
      </w:r>
      <w:proofErr w:type="spellStart"/>
      <w:r w:rsidRPr="0083147A">
        <w:rPr>
          <w:rFonts w:ascii="Book Antiqua" w:hAnsi="Book Antiqua" w:cs="Times New Roman"/>
        </w:rPr>
        <w:t>Akinori</w:t>
      </w:r>
      <w:proofErr w:type="spellEnd"/>
      <w:r w:rsidRPr="0083147A">
        <w:rPr>
          <w:rFonts w:ascii="Book Antiqua" w:hAnsi="Book Antiqua" w:cs="Times New Roman"/>
        </w:rPr>
        <w:t xml:space="preserve"> </w:t>
      </w:r>
      <w:proofErr w:type="spellStart"/>
      <w:r w:rsidRPr="0083147A">
        <w:rPr>
          <w:rFonts w:ascii="Book Antiqua" w:hAnsi="Book Antiqua" w:cs="Times New Roman"/>
        </w:rPr>
        <w:t>Yanaka</w:t>
      </w:r>
      <w:proofErr w:type="spellEnd"/>
      <w:r w:rsidRPr="0083147A">
        <w:rPr>
          <w:rFonts w:ascii="Book Antiqua" w:hAnsi="Book Antiqua" w:cs="Times New Roman"/>
        </w:rPr>
        <w:t xml:space="preserve"> (0000-0001-7967-5665)</w:t>
      </w:r>
      <w:r w:rsidR="00016C8E">
        <w:rPr>
          <w:rFonts w:ascii="Book Antiqua" w:eastAsia="SimSun" w:hAnsi="Book Antiqua" w:cs="Times New Roman" w:hint="eastAsia"/>
          <w:lang w:eastAsia="zh-CN"/>
        </w:rPr>
        <w:t>.</w:t>
      </w:r>
    </w:p>
    <w:p w:rsidR="00CC1DC7" w:rsidRPr="0083147A" w:rsidRDefault="00CC1DC7" w:rsidP="00946207">
      <w:pPr>
        <w:spacing w:line="360" w:lineRule="auto"/>
        <w:rPr>
          <w:rFonts w:ascii="Book Antiqua" w:hAnsi="Book Antiqua" w:cs="Times New Roman"/>
          <w:color w:val="000000" w:themeColor="text1"/>
        </w:rPr>
      </w:pPr>
    </w:p>
    <w:p w:rsidR="00E3390C" w:rsidRPr="0083147A" w:rsidRDefault="00E3390C" w:rsidP="00946207">
      <w:pPr>
        <w:spacing w:line="360" w:lineRule="auto"/>
        <w:rPr>
          <w:rFonts w:ascii="Book Antiqua" w:hAnsi="Book Antiqua" w:cs="Times New Roman"/>
          <w:color w:val="000000" w:themeColor="text1"/>
        </w:rPr>
      </w:pPr>
      <w:r w:rsidRPr="0083147A">
        <w:rPr>
          <w:rFonts w:ascii="Book Antiqua" w:hAnsi="Book Antiqua" w:cs="Times New Roman"/>
          <w:b/>
          <w:color w:val="000000" w:themeColor="text1"/>
        </w:rPr>
        <w:t>Author contributions:</w:t>
      </w:r>
      <w:r w:rsidRPr="0083147A">
        <w:rPr>
          <w:rFonts w:ascii="Book Antiqua" w:hAnsi="Book Antiqua" w:cs="Times New Roman"/>
          <w:color w:val="000000" w:themeColor="text1"/>
        </w:rPr>
        <w:t xml:space="preserve"> Ochi M</w:t>
      </w:r>
      <w:r w:rsidRPr="0083147A">
        <w:rPr>
          <w:rFonts w:ascii="Book Antiqua" w:hAnsi="Book Antiqua" w:cs="Times New Roman"/>
          <w:bCs/>
          <w:color w:val="000000" w:themeColor="text1"/>
        </w:rPr>
        <w:t xml:space="preserve">, </w:t>
      </w:r>
      <w:proofErr w:type="spellStart"/>
      <w:r w:rsidRPr="0083147A">
        <w:rPr>
          <w:rFonts w:ascii="Book Antiqua" w:hAnsi="Book Antiqua" w:cs="Times New Roman"/>
          <w:color w:val="000000" w:themeColor="text1"/>
        </w:rPr>
        <w:t>Kamoshida</w:t>
      </w:r>
      <w:proofErr w:type="spellEnd"/>
      <w:r w:rsidRPr="0083147A">
        <w:rPr>
          <w:rFonts w:ascii="Book Antiqua" w:hAnsi="Book Antiqua" w:cs="Times New Roman"/>
          <w:color w:val="000000" w:themeColor="text1"/>
        </w:rPr>
        <w:t xml:space="preserve"> T, </w:t>
      </w:r>
      <w:proofErr w:type="spellStart"/>
      <w:r w:rsidRPr="0083147A">
        <w:rPr>
          <w:rFonts w:ascii="Book Antiqua" w:hAnsi="Book Antiqua" w:cs="Times New Roman"/>
          <w:color w:val="000000" w:themeColor="text1"/>
        </w:rPr>
        <w:t>Ohkawara</w:t>
      </w:r>
      <w:proofErr w:type="spellEnd"/>
      <w:r w:rsidRPr="0083147A">
        <w:rPr>
          <w:rFonts w:ascii="Book Antiqua" w:hAnsi="Book Antiqua" w:cs="Times New Roman"/>
          <w:color w:val="000000" w:themeColor="text1"/>
        </w:rPr>
        <w:t xml:space="preserve"> A, </w:t>
      </w:r>
      <w:proofErr w:type="spellStart"/>
      <w:r w:rsidRPr="0083147A">
        <w:rPr>
          <w:rFonts w:ascii="Book Antiqua" w:hAnsi="Book Antiqua" w:cs="Times New Roman"/>
          <w:color w:val="000000" w:themeColor="text1"/>
        </w:rPr>
        <w:t>Ohkawara</w:t>
      </w:r>
      <w:proofErr w:type="spellEnd"/>
      <w:r w:rsidRPr="0083147A">
        <w:rPr>
          <w:rFonts w:ascii="Book Antiqua" w:hAnsi="Book Antiqua" w:cs="Times New Roman"/>
          <w:color w:val="000000" w:themeColor="text1"/>
        </w:rPr>
        <w:t xml:space="preserve"> H, </w:t>
      </w:r>
      <w:proofErr w:type="spellStart"/>
      <w:r w:rsidRPr="0083147A">
        <w:rPr>
          <w:rFonts w:ascii="Book Antiqua" w:hAnsi="Book Antiqua" w:cs="Times New Roman"/>
          <w:color w:val="000000" w:themeColor="text1"/>
        </w:rPr>
        <w:t>Kakinoki</w:t>
      </w:r>
      <w:proofErr w:type="spellEnd"/>
      <w:r w:rsidRPr="0083147A">
        <w:rPr>
          <w:rFonts w:ascii="Book Antiqua" w:hAnsi="Book Antiqua" w:cs="Times New Roman"/>
          <w:color w:val="000000" w:themeColor="text1"/>
        </w:rPr>
        <w:t xml:space="preserve"> N, Hirai S</w:t>
      </w:r>
      <w:r w:rsidR="00347B4E" w:rsidRPr="0083147A">
        <w:rPr>
          <w:rFonts w:ascii="Book Antiqua" w:hAnsi="Book Antiqua" w:cs="Times New Roman"/>
          <w:color w:val="000000" w:themeColor="text1"/>
        </w:rPr>
        <w:t xml:space="preserve"> and</w:t>
      </w:r>
      <w:r w:rsidRPr="0083147A">
        <w:rPr>
          <w:rFonts w:ascii="Book Antiqua" w:hAnsi="Book Antiqua" w:cs="Times New Roman"/>
          <w:color w:val="000000" w:themeColor="text1"/>
        </w:rPr>
        <w:t xml:space="preserve"> </w:t>
      </w:r>
      <w:proofErr w:type="spellStart"/>
      <w:r w:rsidRPr="0083147A">
        <w:rPr>
          <w:rFonts w:ascii="Book Antiqua" w:hAnsi="Book Antiqua" w:cs="Times New Roman"/>
          <w:color w:val="000000" w:themeColor="text1"/>
        </w:rPr>
        <w:t>Yanaka</w:t>
      </w:r>
      <w:proofErr w:type="spellEnd"/>
      <w:r w:rsidRPr="0083147A">
        <w:rPr>
          <w:rFonts w:ascii="Book Antiqua" w:hAnsi="Book Antiqua" w:cs="Times New Roman"/>
          <w:color w:val="000000" w:themeColor="text1"/>
        </w:rPr>
        <w:t xml:space="preserve"> A </w:t>
      </w:r>
      <w:r w:rsidR="0045000F" w:rsidRPr="0083147A">
        <w:rPr>
          <w:rFonts w:ascii="Book Antiqua" w:hAnsi="Book Antiqua" w:cs="Times New Roman"/>
          <w:color w:val="000000" w:themeColor="text1"/>
        </w:rPr>
        <w:t>c</w:t>
      </w:r>
      <w:r w:rsidR="00347B4E" w:rsidRPr="0083147A">
        <w:rPr>
          <w:rFonts w:ascii="Book Antiqua" w:hAnsi="Book Antiqua" w:cs="Times New Roman"/>
          <w:color w:val="000000" w:themeColor="text1"/>
        </w:rPr>
        <w:t>ontributed equally to this work</w:t>
      </w:r>
      <w:r w:rsidR="009F540A">
        <w:rPr>
          <w:rFonts w:ascii="Book Antiqua" w:eastAsia="SimSun" w:hAnsi="Book Antiqua" w:cs="Times New Roman" w:hint="eastAsia"/>
          <w:color w:val="000000" w:themeColor="text1"/>
          <w:lang w:eastAsia="zh-CN"/>
        </w:rPr>
        <w:t>;</w:t>
      </w:r>
      <w:r w:rsidR="0045000F" w:rsidRPr="0083147A">
        <w:rPr>
          <w:rFonts w:ascii="Book Antiqua" w:hAnsi="Book Antiqua" w:cs="Times New Roman"/>
          <w:color w:val="000000" w:themeColor="text1"/>
        </w:rPr>
        <w:t xml:space="preserve"> </w:t>
      </w:r>
      <w:r w:rsidR="00D85AE2" w:rsidRPr="0083147A">
        <w:rPr>
          <w:rFonts w:ascii="Book Antiqua" w:hAnsi="Book Antiqua" w:cs="Times New Roman"/>
          <w:color w:val="000000" w:themeColor="text1"/>
        </w:rPr>
        <w:t>Ochi M</w:t>
      </w:r>
      <w:r w:rsidR="00D85AE2" w:rsidRPr="0083147A">
        <w:rPr>
          <w:rFonts w:ascii="Book Antiqua" w:hAnsi="Book Antiqua" w:cs="Times New Roman"/>
          <w:bCs/>
          <w:color w:val="000000" w:themeColor="text1"/>
        </w:rPr>
        <w:t xml:space="preserve"> and </w:t>
      </w:r>
      <w:proofErr w:type="spellStart"/>
      <w:r w:rsidR="00D85AE2" w:rsidRPr="0083147A">
        <w:rPr>
          <w:rFonts w:ascii="Book Antiqua" w:hAnsi="Book Antiqua" w:cs="Times New Roman"/>
          <w:color w:val="000000" w:themeColor="text1"/>
        </w:rPr>
        <w:t>Kamoshida</w:t>
      </w:r>
      <w:proofErr w:type="spellEnd"/>
      <w:r w:rsidR="00D85AE2" w:rsidRPr="0083147A">
        <w:rPr>
          <w:rFonts w:ascii="Book Antiqua" w:hAnsi="Book Antiqua" w:cs="Times New Roman"/>
          <w:color w:val="000000" w:themeColor="text1"/>
        </w:rPr>
        <w:t xml:space="preserve"> T </w:t>
      </w:r>
      <w:r w:rsidR="00F341E3">
        <w:rPr>
          <w:rFonts w:ascii="Book Antiqua" w:hAnsi="Book Antiqua" w:cs="Times New Roman"/>
          <w:color w:val="000000" w:themeColor="text1"/>
        </w:rPr>
        <w:t>collected and analyzed the data</w:t>
      </w:r>
      <w:r w:rsidR="00F341E3">
        <w:rPr>
          <w:rFonts w:ascii="Book Antiqua" w:eastAsia="SimSun" w:hAnsi="Book Antiqua" w:cs="Times New Roman" w:hint="eastAsia"/>
          <w:color w:val="000000" w:themeColor="text1"/>
          <w:lang w:eastAsia="zh-CN"/>
        </w:rPr>
        <w:t>;</w:t>
      </w:r>
      <w:r w:rsidR="00D85AE2" w:rsidRPr="0083147A">
        <w:rPr>
          <w:rFonts w:ascii="Book Antiqua" w:hAnsi="Book Antiqua" w:cs="Times New Roman"/>
          <w:color w:val="000000" w:themeColor="text1"/>
        </w:rPr>
        <w:t xml:space="preserve"> O</w:t>
      </w:r>
      <w:r w:rsidR="00F341E3">
        <w:rPr>
          <w:rFonts w:ascii="Book Antiqua" w:hAnsi="Book Antiqua" w:cs="Times New Roman"/>
          <w:color w:val="000000" w:themeColor="text1"/>
        </w:rPr>
        <w:t>chi M drafted the manuscript</w:t>
      </w:r>
      <w:r w:rsidR="00F341E3">
        <w:rPr>
          <w:rFonts w:ascii="Book Antiqua" w:eastAsia="SimSun" w:hAnsi="Book Antiqua" w:cs="Times New Roman" w:hint="eastAsia"/>
          <w:color w:val="000000" w:themeColor="text1"/>
          <w:lang w:eastAsia="zh-CN"/>
        </w:rPr>
        <w:t>;</w:t>
      </w:r>
      <w:r w:rsidR="00D85AE2" w:rsidRPr="0083147A">
        <w:rPr>
          <w:rFonts w:ascii="Book Antiqua" w:hAnsi="Book Antiqua" w:cs="Times New Roman"/>
          <w:color w:val="000000" w:themeColor="text1"/>
        </w:rPr>
        <w:t xml:space="preserve"> </w:t>
      </w:r>
      <w:proofErr w:type="spellStart"/>
      <w:r w:rsidR="00D85AE2" w:rsidRPr="0083147A">
        <w:rPr>
          <w:rFonts w:ascii="Book Antiqua" w:hAnsi="Book Antiqua" w:cs="Times New Roman"/>
          <w:color w:val="000000" w:themeColor="text1"/>
        </w:rPr>
        <w:t>Kamoshida</w:t>
      </w:r>
      <w:proofErr w:type="spellEnd"/>
      <w:r w:rsidR="00D85AE2" w:rsidRPr="0083147A">
        <w:rPr>
          <w:rFonts w:ascii="Book Antiqua" w:hAnsi="Book Antiqua" w:cs="Times New Roman"/>
          <w:color w:val="000000" w:themeColor="text1"/>
        </w:rPr>
        <w:t xml:space="preserve"> T de</w:t>
      </w:r>
      <w:r w:rsidR="00347B4E" w:rsidRPr="0083147A">
        <w:rPr>
          <w:rFonts w:ascii="Book Antiqua" w:hAnsi="Book Antiqua" w:cs="Times New Roman"/>
          <w:color w:val="000000" w:themeColor="text1"/>
        </w:rPr>
        <w:t>signed and supervised the study</w:t>
      </w:r>
      <w:r w:rsidR="00F341E3">
        <w:rPr>
          <w:rFonts w:ascii="Book Antiqua" w:eastAsia="SimSun" w:hAnsi="Book Antiqua" w:cs="Times New Roman" w:hint="eastAsia"/>
          <w:color w:val="000000" w:themeColor="text1"/>
          <w:lang w:eastAsia="zh-CN"/>
        </w:rPr>
        <w:t>;</w:t>
      </w:r>
      <w:r w:rsidR="00D85AE2" w:rsidRPr="0083147A">
        <w:rPr>
          <w:rFonts w:ascii="Book Antiqua" w:hAnsi="Book Antiqua" w:cs="Times New Roman"/>
          <w:color w:val="000000" w:themeColor="text1"/>
        </w:rPr>
        <w:t xml:space="preserve"> </w:t>
      </w:r>
      <w:proofErr w:type="spellStart"/>
      <w:r w:rsidR="00D85AE2" w:rsidRPr="0083147A">
        <w:rPr>
          <w:rFonts w:ascii="Book Antiqua" w:hAnsi="Book Antiqua" w:cs="Times New Roman"/>
          <w:color w:val="000000" w:themeColor="text1"/>
        </w:rPr>
        <w:t>Ohkawara</w:t>
      </w:r>
      <w:proofErr w:type="spellEnd"/>
      <w:r w:rsidR="00D85AE2" w:rsidRPr="0083147A">
        <w:rPr>
          <w:rFonts w:ascii="Book Antiqua" w:hAnsi="Book Antiqua" w:cs="Times New Roman"/>
          <w:color w:val="000000" w:themeColor="text1"/>
        </w:rPr>
        <w:t xml:space="preserve"> A, </w:t>
      </w:r>
      <w:proofErr w:type="spellStart"/>
      <w:r w:rsidR="00D85AE2" w:rsidRPr="0083147A">
        <w:rPr>
          <w:rFonts w:ascii="Book Antiqua" w:hAnsi="Book Antiqua" w:cs="Times New Roman"/>
          <w:color w:val="000000" w:themeColor="text1"/>
        </w:rPr>
        <w:lastRenderedPageBreak/>
        <w:t>Ohkawara</w:t>
      </w:r>
      <w:proofErr w:type="spellEnd"/>
      <w:r w:rsidR="00D85AE2" w:rsidRPr="0083147A">
        <w:rPr>
          <w:rFonts w:ascii="Book Antiqua" w:hAnsi="Book Antiqua" w:cs="Times New Roman"/>
          <w:color w:val="000000" w:themeColor="text1"/>
        </w:rPr>
        <w:t xml:space="preserve"> H, </w:t>
      </w:r>
      <w:proofErr w:type="spellStart"/>
      <w:r w:rsidR="00D85AE2" w:rsidRPr="0083147A">
        <w:rPr>
          <w:rFonts w:ascii="Book Antiqua" w:hAnsi="Book Antiqua" w:cs="Times New Roman"/>
          <w:color w:val="000000" w:themeColor="text1"/>
        </w:rPr>
        <w:t>Kakinoki</w:t>
      </w:r>
      <w:proofErr w:type="spellEnd"/>
      <w:r w:rsidR="00D85AE2" w:rsidRPr="0083147A">
        <w:rPr>
          <w:rFonts w:ascii="Book Antiqua" w:hAnsi="Book Antiqua" w:cs="Times New Roman"/>
          <w:color w:val="000000" w:themeColor="text1"/>
        </w:rPr>
        <w:t xml:space="preserve"> N, Hirai S and </w:t>
      </w:r>
      <w:proofErr w:type="spellStart"/>
      <w:r w:rsidR="00D85AE2" w:rsidRPr="0083147A">
        <w:rPr>
          <w:rFonts w:ascii="Book Antiqua" w:hAnsi="Book Antiqua" w:cs="Times New Roman"/>
          <w:color w:val="000000" w:themeColor="text1"/>
        </w:rPr>
        <w:t>Yanaka</w:t>
      </w:r>
      <w:proofErr w:type="spellEnd"/>
      <w:r w:rsidR="00D85AE2" w:rsidRPr="0083147A">
        <w:rPr>
          <w:rFonts w:ascii="Book Antiqua" w:hAnsi="Book Antiqua" w:cs="Times New Roman"/>
          <w:color w:val="000000" w:themeColor="text1"/>
        </w:rPr>
        <w:t xml:space="preserve"> A offere</w:t>
      </w:r>
      <w:r w:rsidR="00347B4E" w:rsidRPr="0083147A">
        <w:rPr>
          <w:rFonts w:ascii="Book Antiqua" w:hAnsi="Book Antiqua" w:cs="Times New Roman"/>
          <w:color w:val="000000" w:themeColor="text1"/>
        </w:rPr>
        <w:t>d technical or material support</w:t>
      </w:r>
      <w:r w:rsidR="00F341E3">
        <w:rPr>
          <w:rFonts w:ascii="Book Antiqua" w:eastAsia="SimSun" w:hAnsi="Book Antiqua" w:cs="Times New Roman" w:hint="eastAsia"/>
          <w:color w:val="000000" w:themeColor="text1"/>
          <w:lang w:eastAsia="zh-CN"/>
        </w:rPr>
        <w:t>;</w:t>
      </w:r>
      <w:r w:rsidR="00D85AE2" w:rsidRPr="0083147A">
        <w:rPr>
          <w:rFonts w:ascii="Book Antiqua" w:hAnsi="Book Antiqua" w:cs="Times New Roman"/>
          <w:color w:val="000000" w:themeColor="text1"/>
        </w:rPr>
        <w:t xml:space="preserve"> </w:t>
      </w:r>
      <w:r w:rsidR="00F341E3" w:rsidRPr="0083147A">
        <w:rPr>
          <w:rFonts w:ascii="Book Antiqua" w:hAnsi="Book Antiqua" w:cs="Times New Roman"/>
          <w:color w:val="000000" w:themeColor="text1"/>
        </w:rPr>
        <w:t xml:space="preserve">all </w:t>
      </w:r>
      <w:r w:rsidR="00D85AE2" w:rsidRPr="0083147A">
        <w:rPr>
          <w:rFonts w:ascii="Book Antiqua" w:hAnsi="Book Antiqua" w:cs="Times New Roman"/>
          <w:color w:val="000000" w:themeColor="text1"/>
        </w:rPr>
        <w:t>authors have read and approved the final version to be published.</w:t>
      </w:r>
    </w:p>
    <w:p w:rsidR="00E3390C" w:rsidRPr="0083147A" w:rsidRDefault="00E3390C" w:rsidP="00946207">
      <w:pPr>
        <w:spacing w:line="360" w:lineRule="auto"/>
        <w:rPr>
          <w:rFonts w:ascii="Book Antiqua" w:hAnsi="Book Antiqua" w:cs="Times New Roman"/>
          <w:color w:val="000000" w:themeColor="text1"/>
        </w:rPr>
      </w:pPr>
    </w:p>
    <w:p w:rsidR="00250986" w:rsidRPr="0083147A" w:rsidRDefault="00250986" w:rsidP="00946207">
      <w:pPr>
        <w:spacing w:line="360" w:lineRule="auto"/>
        <w:rPr>
          <w:rFonts w:ascii="Book Antiqua" w:hAnsi="Book Antiqua" w:cs="Times New Roman"/>
          <w:color w:val="000000" w:themeColor="text1"/>
        </w:rPr>
      </w:pPr>
      <w:r w:rsidRPr="0083147A">
        <w:rPr>
          <w:rFonts w:ascii="Book Antiqua" w:hAnsi="Book Antiqua" w:cs="Times New Roman"/>
          <w:b/>
          <w:color w:val="000000" w:themeColor="text1"/>
        </w:rPr>
        <w:t>Institutional review board statement:</w:t>
      </w:r>
      <w:r w:rsidRPr="0083147A">
        <w:rPr>
          <w:rFonts w:ascii="Book Antiqua" w:hAnsi="Book Antiqua" w:cs="Times New Roman"/>
          <w:color w:val="000000" w:themeColor="text1"/>
        </w:rPr>
        <w:t xml:space="preserve"> This study was reviewed and approved by the Ethics Committee of the Hitachi General Hospital.</w:t>
      </w:r>
    </w:p>
    <w:p w:rsidR="00250986" w:rsidRPr="0083147A" w:rsidRDefault="00250986" w:rsidP="00946207">
      <w:pPr>
        <w:spacing w:line="360" w:lineRule="auto"/>
        <w:rPr>
          <w:rFonts w:ascii="Book Antiqua" w:hAnsi="Book Antiqua" w:cs="Times New Roman"/>
          <w:color w:val="000000" w:themeColor="text1"/>
        </w:rPr>
      </w:pPr>
    </w:p>
    <w:p w:rsidR="00250E43" w:rsidRPr="00250E43" w:rsidRDefault="00250E43" w:rsidP="00946207">
      <w:pPr>
        <w:spacing w:line="360" w:lineRule="auto"/>
        <w:outlineLvl w:val="0"/>
        <w:rPr>
          <w:rFonts w:ascii="Book Antiqua" w:eastAsia="SimSun" w:hAnsi="Book Antiqua"/>
          <w:iCs/>
          <w:color w:val="000000"/>
          <w:kern w:val="0"/>
          <w:lang w:eastAsia="zh-CN"/>
        </w:rPr>
      </w:pPr>
      <w:r w:rsidRPr="00A37D48">
        <w:rPr>
          <w:rFonts w:ascii="Book Antiqua" w:hAnsi="Book Antiqua"/>
          <w:b/>
        </w:rPr>
        <w:t>Informed consent statement</w:t>
      </w:r>
      <w:r w:rsidRPr="00A37D48">
        <w:rPr>
          <w:rFonts w:ascii="Book Antiqua" w:hAnsi="Book Antiqua"/>
          <w:b/>
          <w:iCs/>
          <w:color w:val="000000"/>
        </w:rPr>
        <w:t>:</w:t>
      </w:r>
      <w:r w:rsidRPr="00A37D48">
        <w:rPr>
          <w:rFonts w:ascii="Book Antiqua" w:hAnsi="Book Antiqua"/>
          <w:b/>
          <w:iCs/>
          <w:color w:val="000000"/>
          <w:kern w:val="0"/>
        </w:rPr>
        <w:t xml:space="preserve"> </w:t>
      </w:r>
      <w:r w:rsidRPr="00250E43">
        <w:rPr>
          <w:rFonts w:ascii="Book Antiqua" w:eastAsia="SimSun" w:hAnsi="Book Antiqua" w:hint="eastAsia"/>
          <w:iCs/>
          <w:color w:val="000000"/>
          <w:kern w:val="0"/>
          <w:lang w:eastAsia="zh-CN"/>
        </w:rPr>
        <w:t>Patients were not required to give informed consent to the study, because the analysis used anonymous data that were obtained after patient agreed to treatment by written consent.</w:t>
      </w:r>
    </w:p>
    <w:p w:rsidR="00250E43" w:rsidRDefault="00250E43" w:rsidP="00946207">
      <w:pPr>
        <w:spacing w:line="360" w:lineRule="auto"/>
        <w:outlineLvl w:val="0"/>
        <w:rPr>
          <w:rFonts w:ascii="Book Antiqua" w:eastAsia="SimSun" w:hAnsi="Book Antiqua"/>
          <w:b/>
          <w:lang w:eastAsia="zh-CN"/>
        </w:rPr>
      </w:pPr>
    </w:p>
    <w:p w:rsidR="00250E43" w:rsidRPr="00420D53" w:rsidRDefault="00250E43" w:rsidP="00946207">
      <w:pPr>
        <w:spacing w:line="360" w:lineRule="auto"/>
        <w:outlineLvl w:val="0"/>
        <w:rPr>
          <w:rFonts w:ascii="Book Antiqua" w:eastAsia="SimSun" w:hAnsi="Book Antiqua"/>
          <w:b/>
          <w:iCs/>
          <w:color w:val="000000"/>
          <w:kern w:val="0"/>
          <w:lang w:eastAsia="zh-CN"/>
        </w:rPr>
      </w:pPr>
      <w:r w:rsidRPr="00A37D48">
        <w:rPr>
          <w:rFonts w:ascii="Book Antiqua" w:hAnsi="Book Antiqua"/>
          <w:b/>
        </w:rPr>
        <w:t>Conflict-of-interest statement</w:t>
      </w:r>
      <w:r w:rsidRPr="00A37D48">
        <w:rPr>
          <w:rFonts w:ascii="Book Antiqua" w:hAnsi="Book Antiqua" w:cs="TimesNewRomanPS-BoldItalicMT"/>
          <w:b/>
          <w:iCs/>
          <w:color w:val="000000"/>
        </w:rPr>
        <w:t>:</w:t>
      </w:r>
      <w:r w:rsidR="00420D53" w:rsidRPr="00420D53">
        <w:rPr>
          <w:rFonts w:ascii="Book Antiqua" w:eastAsia="SimSun" w:hAnsi="Book Antiqua"/>
          <w:iCs/>
          <w:color w:val="000000"/>
          <w:kern w:val="0"/>
          <w:lang w:eastAsia="zh-CN"/>
        </w:rPr>
        <w:t xml:space="preserve"> </w:t>
      </w:r>
      <w:r w:rsidR="00420D53" w:rsidRPr="00420D53">
        <w:rPr>
          <w:rFonts w:ascii="Book Antiqua" w:eastAsia="SimSun" w:hAnsi="Book Antiqua" w:hint="eastAsia"/>
          <w:iCs/>
          <w:color w:val="000000"/>
          <w:kern w:val="0"/>
          <w:lang w:eastAsia="zh-CN"/>
        </w:rPr>
        <w:t xml:space="preserve">Authors have </w:t>
      </w:r>
      <w:r w:rsidR="00420D53" w:rsidRPr="00420D53">
        <w:rPr>
          <w:rFonts w:ascii="Book Antiqua" w:eastAsia="SimSun" w:hAnsi="Book Antiqua"/>
          <w:iCs/>
          <w:color w:val="000000"/>
          <w:kern w:val="0"/>
          <w:lang w:eastAsia="zh-CN"/>
        </w:rPr>
        <w:t>nothing to disclose</w:t>
      </w:r>
      <w:r w:rsidR="00420D53" w:rsidRPr="00420D53">
        <w:rPr>
          <w:rFonts w:ascii="Book Antiqua" w:eastAsia="SimSun" w:hAnsi="Book Antiqua" w:hint="eastAsia"/>
          <w:iCs/>
          <w:color w:val="000000"/>
          <w:kern w:val="0"/>
          <w:lang w:eastAsia="zh-CN"/>
        </w:rPr>
        <w:t>.</w:t>
      </w:r>
    </w:p>
    <w:p w:rsidR="00250E43" w:rsidRDefault="00250E43" w:rsidP="00946207">
      <w:pPr>
        <w:spacing w:line="360" w:lineRule="auto"/>
        <w:outlineLvl w:val="0"/>
        <w:rPr>
          <w:rFonts w:ascii="Book Antiqua" w:eastAsia="SimSun" w:hAnsi="Book Antiqua" w:cs="Times New Roman"/>
          <w:b/>
          <w:color w:val="000000" w:themeColor="text1"/>
          <w:lang w:eastAsia="zh-CN"/>
        </w:rPr>
      </w:pPr>
    </w:p>
    <w:p w:rsidR="00CE5142" w:rsidRPr="0083147A" w:rsidRDefault="00CE5142" w:rsidP="00946207">
      <w:pPr>
        <w:spacing w:line="360" w:lineRule="auto"/>
        <w:outlineLvl w:val="0"/>
        <w:rPr>
          <w:rFonts w:ascii="Book Antiqua" w:hAnsi="Book Antiqua" w:cs="Times New Roman"/>
          <w:color w:val="000000" w:themeColor="text1"/>
        </w:rPr>
      </w:pPr>
      <w:r w:rsidRPr="0083147A">
        <w:rPr>
          <w:rFonts w:ascii="Book Antiqua" w:hAnsi="Book Antiqua" w:cs="Times New Roman"/>
          <w:b/>
          <w:color w:val="000000" w:themeColor="text1"/>
        </w:rPr>
        <w:t xml:space="preserve">Data sharing statement: </w:t>
      </w:r>
      <w:r w:rsidRPr="0083147A">
        <w:rPr>
          <w:rFonts w:ascii="Book Antiqua" w:hAnsi="Book Antiqua" w:cs="Times New Roman"/>
          <w:color w:val="000000" w:themeColor="text1"/>
        </w:rPr>
        <w:t>No additional data are available.</w:t>
      </w:r>
    </w:p>
    <w:p w:rsidR="00DF02F6" w:rsidRPr="0083147A" w:rsidRDefault="00DF02F6" w:rsidP="00946207">
      <w:pPr>
        <w:spacing w:line="360" w:lineRule="auto"/>
        <w:rPr>
          <w:rFonts w:ascii="Book Antiqua" w:hAnsi="Book Antiqua" w:cs="Times New Roman"/>
          <w:color w:val="000000" w:themeColor="text1"/>
        </w:rPr>
      </w:pPr>
    </w:p>
    <w:p w:rsidR="00997FEA" w:rsidRPr="00A37D48" w:rsidRDefault="00997FEA" w:rsidP="00997FEA">
      <w:pPr>
        <w:widowControl/>
        <w:adjustRightInd w:val="0"/>
        <w:snapToGrid w:val="0"/>
        <w:spacing w:line="360" w:lineRule="auto"/>
        <w:rPr>
          <w:rFonts w:ascii="Book Antiqua" w:hAnsi="Book Antiqua" w:cs="SimSun"/>
          <w:kern w:val="0"/>
        </w:rPr>
      </w:pPr>
      <w:r w:rsidRPr="00A37D48">
        <w:rPr>
          <w:rFonts w:ascii="Book Antiqua" w:hAnsi="Book Antiqua"/>
          <w:b/>
          <w:color w:val="000000"/>
          <w:kern w:val="0"/>
        </w:rPr>
        <w:t xml:space="preserve">Open-Access: </w:t>
      </w:r>
      <w:r w:rsidRPr="00A37D48">
        <w:rPr>
          <w:rFonts w:ascii="Book Antiqua" w:hAnsi="Book Antiqua"/>
          <w:color w:val="000000"/>
          <w:kern w:val="0"/>
        </w:rPr>
        <w:t xml:space="preserve">This is an </w:t>
      </w:r>
      <w:r w:rsidRPr="00A37D48">
        <w:rPr>
          <w:rFonts w:ascii="Book Antiqua" w:hAnsi="Book Antiqua" w:cs="SimSun"/>
          <w:kern w:val="0"/>
        </w:rPr>
        <w:t xml:space="preserve">open-access article that was </w:t>
      </w:r>
      <w:r w:rsidRPr="00A37D48">
        <w:rPr>
          <w:rFonts w:ascii="Book Antiqua" w:hAnsi="Book Antiqua"/>
          <w:kern w:val="0"/>
        </w:rPr>
        <w:t xml:space="preserve">selected by an in-house editor and fully peer-reviewed by external reviewers. It is </w:t>
      </w:r>
      <w:r w:rsidRPr="00A37D48">
        <w:rPr>
          <w:rFonts w:ascii="Book Antiqua" w:hAnsi="Book Antiqua" w:cs="SimSun"/>
          <w:kern w:val="0"/>
        </w:rPr>
        <w:t xml:space="preserve">distributed in accordance with </w:t>
      </w:r>
      <w:r w:rsidRPr="00A37D48">
        <w:rPr>
          <w:rFonts w:ascii="Book Antiqua" w:hAnsi="Book Antiqua"/>
          <w:kern w:val="0"/>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997FEA" w:rsidRDefault="00997FEA" w:rsidP="00946207">
      <w:pPr>
        <w:spacing w:line="360" w:lineRule="auto"/>
        <w:rPr>
          <w:rFonts w:ascii="Book Antiqua" w:eastAsia="SimSun" w:hAnsi="Book Antiqua" w:cs="Times New Roman"/>
          <w:b/>
          <w:color w:val="000000" w:themeColor="text1"/>
          <w:lang w:eastAsia="zh-CN"/>
        </w:rPr>
      </w:pPr>
    </w:p>
    <w:p w:rsidR="00997FEA" w:rsidRDefault="00997FEA" w:rsidP="00946207">
      <w:pPr>
        <w:spacing w:line="360" w:lineRule="auto"/>
        <w:rPr>
          <w:rFonts w:ascii="Book Antiqua" w:eastAsia="SimSun" w:hAnsi="Book Antiqua" w:cs="Times New Roman"/>
          <w:color w:val="000000" w:themeColor="text1"/>
          <w:lang w:eastAsia="zh-CN"/>
        </w:rPr>
      </w:pPr>
      <w:r w:rsidRPr="00997FEA">
        <w:rPr>
          <w:rFonts w:ascii="Book Antiqua" w:hAnsi="Book Antiqua" w:cs="Times New Roman"/>
          <w:b/>
          <w:color w:val="000000" w:themeColor="text1"/>
        </w:rPr>
        <w:t>Manuscript source:</w:t>
      </w:r>
      <w:r w:rsidRPr="00997FEA">
        <w:t xml:space="preserve"> </w:t>
      </w:r>
      <w:r w:rsidRPr="00997FEA">
        <w:rPr>
          <w:rFonts w:ascii="Book Antiqua" w:hAnsi="Book Antiqua" w:cs="Times New Roman"/>
          <w:color w:val="000000" w:themeColor="text1"/>
        </w:rPr>
        <w:t>Unsolicited Manuscript</w:t>
      </w:r>
    </w:p>
    <w:p w:rsidR="00997FEA" w:rsidRPr="00997FEA" w:rsidRDefault="00997FEA" w:rsidP="00946207">
      <w:pPr>
        <w:spacing w:line="360" w:lineRule="auto"/>
        <w:rPr>
          <w:rFonts w:ascii="Book Antiqua" w:eastAsia="SimSun" w:hAnsi="Book Antiqua" w:cs="Times New Roman"/>
          <w:color w:val="000000" w:themeColor="text1"/>
          <w:lang w:eastAsia="zh-CN"/>
        </w:rPr>
      </w:pPr>
    </w:p>
    <w:p w:rsidR="00504B66" w:rsidRPr="00C20FB3" w:rsidRDefault="00F23E51" w:rsidP="00946207">
      <w:pPr>
        <w:spacing w:line="360" w:lineRule="auto"/>
        <w:rPr>
          <w:rFonts w:ascii="Book Antiqua" w:eastAsia="SimSun" w:hAnsi="Book Antiqua" w:cs="Times New Roman"/>
          <w:b/>
          <w:color w:val="000000" w:themeColor="text1"/>
          <w:lang w:eastAsia="zh-CN"/>
        </w:rPr>
      </w:pPr>
      <w:r w:rsidRPr="0083147A">
        <w:rPr>
          <w:rFonts w:ascii="Book Antiqua" w:hAnsi="Book Antiqua" w:cs="Times New Roman"/>
          <w:b/>
          <w:color w:val="000000" w:themeColor="text1"/>
        </w:rPr>
        <w:t xml:space="preserve">Correspondence to: </w:t>
      </w:r>
      <w:r w:rsidR="00C7167F" w:rsidRPr="0083147A">
        <w:rPr>
          <w:rFonts w:ascii="Book Antiqua" w:hAnsi="Book Antiqua" w:cs="Times New Roman"/>
          <w:b/>
          <w:color w:val="000000" w:themeColor="text1"/>
        </w:rPr>
        <w:t>Masanori Ochi</w:t>
      </w:r>
      <w:r w:rsidR="00C7167F" w:rsidRPr="0083147A">
        <w:rPr>
          <w:rFonts w:ascii="Book Antiqua" w:hAnsi="Book Antiqua" w:cs="Times New Roman"/>
          <w:b/>
          <w:bCs/>
          <w:color w:val="000000" w:themeColor="text1"/>
        </w:rPr>
        <w:t>, MD,</w:t>
      </w:r>
      <w:r w:rsidR="00C7167F" w:rsidRPr="0083147A">
        <w:rPr>
          <w:rFonts w:ascii="Book Antiqua" w:hAnsi="Book Antiqua" w:cs="Times New Roman"/>
          <w:bCs/>
          <w:color w:val="000000" w:themeColor="text1"/>
        </w:rPr>
        <w:t xml:space="preserve"> </w:t>
      </w:r>
      <w:r w:rsidR="00C20FB3" w:rsidRPr="00C20FB3">
        <w:rPr>
          <w:rFonts w:ascii="Book Antiqua" w:hAnsi="Book Antiqua" w:cs="Times New Roman"/>
          <w:b/>
          <w:bCs/>
          <w:color w:val="000000" w:themeColor="text1"/>
        </w:rPr>
        <w:t>Doctor,</w:t>
      </w:r>
      <w:r w:rsidR="00C20FB3">
        <w:rPr>
          <w:rFonts w:ascii="Book Antiqua" w:eastAsia="SimSun" w:hAnsi="Book Antiqua" w:cs="Times New Roman" w:hint="eastAsia"/>
          <w:bCs/>
          <w:color w:val="000000" w:themeColor="text1"/>
          <w:lang w:eastAsia="zh-CN"/>
        </w:rPr>
        <w:t xml:space="preserve"> </w:t>
      </w:r>
      <w:r w:rsidR="00C7167F" w:rsidRPr="0083147A">
        <w:rPr>
          <w:rFonts w:ascii="Book Antiqua" w:hAnsi="Book Antiqua" w:cs="Times New Roman"/>
          <w:color w:val="000000" w:themeColor="text1"/>
        </w:rPr>
        <w:t xml:space="preserve">Department of Gastroenterology, Hitachi General Hospital, </w:t>
      </w:r>
      <w:r w:rsidR="00C20FB3" w:rsidRPr="00C20FB3">
        <w:rPr>
          <w:rFonts w:ascii="Book Antiqua" w:hAnsi="Book Antiqua" w:cs="Times New Roman"/>
          <w:color w:val="000000" w:themeColor="text1"/>
        </w:rPr>
        <w:t xml:space="preserve">2-1-1, </w:t>
      </w:r>
      <w:proofErr w:type="spellStart"/>
      <w:r w:rsidR="00C20FB3" w:rsidRPr="00C20FB3">
        <w:rPr>
          <w:rFonts w:ascii="Book Antiqua" w:hAnsi="Book Antiqua" w:cs="Times New Roman"/>
          <w:color w:val="000000" w:themeColor="text1"/>
        </w:rPr>
        <w:t>Jonancho</w:t>
      </w:r>
      <w:proofErr w:type="spellEnd"/>
      <w:r w:rsidR="00C20FB3" w:rsidRPr="00C20FB3">
        <w:rPr>
          <w:rFonts w:ascii="Book Antiqua" w:hAnsi="Book Antiqua" w:cs="Times New Roman"/>
          <w:color w:val="000000" w:themeColor="text1"/>
        </w:rPr>
        <w:t xml:space="preserve">, </w:t>
      </w:r>
      <w:r w:rsidR="00C7167F" w:rsidRPr="0083147A">
        <w:rPr>
          <w:rFonts w:ascii="Book Antiqua" w:hAnsi="Book Antiqua" w:cs="Times New Roman"/>
          <w:color w:val="000000" w:themeColor="text1"/>
        </w:rPr>
        <w:t>Ibaraki 317-0077, Japan.</w:t>
      </w:r>
      <w:r w:rsidR="00341C98" w:rsidRPr="0083147A">
        <w:rPr>
          <w:rFonts w:ascii="Book Antiqua" w:hAnsi="Book Antiqua" w:cs="Times New Roman"/>
          <w:color w:val="000000" w:themeColor="text1"/>
        </w:rPr>
        <w:t xml:space="preserve"> </w:t>
      </w:r>
      <w:hyperlink r:id="rId8" w:history="1">
        <w:r w:rsidR="00C20FB3" w:rsidRPr="004702D7">
          <w:rPr>
            <w:rStyle w:val="Hyperlink"/>
            <w:rFonts w:ascii="Book Antiqua" w:hAnsi="Book Antiqua" w:cs="Times New Roman"/>
          </w:rPr>
          <w:t>maochi-tei@umin.ac.jp</w:t>
        </w:r>
      </w:hyperlink>
    </w:p>
    <w:p w:rsidR="00504B66" w:rsidRPr="0083147A" w:rsidRDefault="004167A2" w:rsidP="00946207">
      <w:pPr>
        <w:spacing w:line="360" w:lineRule="auto"/>
        <w:rPr>
          <w:rFonts w:ascii="Book Antiqua" w:hAnsi="Book Antiqua" w:cs="Times New Roman"/>
          <w:color w:val="000000" w:themeColor="text1"/>
        </w:rPr>
      </w:pPr>
      <w:r w:rsidRPr="0083147A">
        <w:rPr>
          <w:rFonts w:ascii="Book Antiqua" w:hAnsi="Book Antiqua" w:cs="Times New Roman"/>
          <w:b/>
          <w:color w:val="000000" w:themeColor="text1"/>
        </w:rPr>
        <w:t xml:space="preserve">Telephone: </w:t>
      </w:r>
      <w:r w:rsidR="00CF57BD" w:rsidRPr="0083147A">
        <w:rPr>
          <w:rFonts w:ascii="Book Antiqua" w:hAnsi="Book Antiqua" w:cs="Times New Roman"/>
          <w:color w:val="000000" w:themeColor="text1"/>
        </w:rPr>
        <w:t>+81-294-231111</w:t>
      </w:r>
    </w:p>
    <w:p w:rsidR="00CF57BD" w:rsidRDefault="00CF57BD" w:rsidP="00946207">
      <w:pPr>
        <w:spacing w:line="360" w:lineRule="auto"/>
        <w:rPr>
          <w:rFonts w:ascii="Book Antiqua" w:eastAsia="SimSun" w:hAnsi="Book Antiqua" w:cs="Times New Roman"/>
          <w:color w:val="000000" w:themeColor="text1"/>
          <w:lang w:eastAsia="zh-CN"/>
        </w:rPr>
      </w:pPr>
      <w:r w:rsidRPr="0083147A">
        <w:rPr>
          <w:rFonts w:ascii="Book Antiqua" w:hAnsi="Book Antiqua" w:cs="Times New Roman"/>
          <w:b/>
          <w:color w:val="000000" w:themeColor="text1"/>
        </w:rPr>
        <w:t xml:space="preserve">Fax: </w:t>
      </w:r>
      <w:r w:rsidRPr="0083147A">
        <w:rPr>
          <w:rFonts w:ascii="Book Antiqua" w:hAnsi="Book Antiqua" w:cs="Times New Roman"/>
          <w:color w:val="000000" w:themeColor="text1"/>
        </w:rPr>
        <w:t>+81-294-238351</w:t>
      </w:r>
    </w:p>
    <w:p w:rsidR="00C20FB3" w:rsidRPr="00C20FB3" w:rsidRDefault="00C20FB3" w:rsidP="00946207">
      <w:pPr>
        <w:spacing w:line="360" w:lineRule="auto"/>
        <w:rPr>
          <w:rFonts w:ascii="Book Antiqua" w:eastAsia="SimSun" w:hAnsi="Book Antiqua" w:cs="Times New Roman"/>
          <w:color w:val="000000" w:themeColor="text1"/>
          <w:lang w:eastAsia="zh-CN"/>
        </w:rPr>
      </w:pPr>
    </w:p>
    <w:p w:rsidR="00C20FB3" w:rsidRPr="00A37D48" w:rsidRDefault="00C20FB3" w:rsidP="00C20FB3">
      <w:pPr>
        <w:widowControl/>
        <w:adjustRightInd w:val="0"/>
        <w:snapToGrid w:val="0"/>
        <w:spacing w:line="360" w:lineRule="auto"/>
        <w:rPr>
          <w:rFonts w:ascii="Book Antiqua" w:hAnsi="Book Antiqua"/>
          <w:b/>
        </w:rPr>
      </w:pPr>
      <w:r w:rsidRPr="00A37D48">
        <w:rPr>
          <w:rFonts w:ascii="Book Antiqua" w:hAnsi="Book Antiqua"/>
          <w:b/>
        </w:rPr>
        <w:t xml:space="preserve">Received: </w:t>
      </w:r>
      <w:r>
        <w:rPr>
          <w:rFonts w:ascii="Book Antiqua" w:eastAsia="SimSun" w:hAnsi="Book Antiqua" w:hint="eastAsia"/>
          <w:lang w:eastAsia="zh-CN"/>
        </w:rPr>
        <w:t>March 17, 2018</w:t>
      </w:r>
      <w:r w:rsidRPr="00A37D48">
        <w:rPr>
          <w:rFonts w:ascii="Book Antiqua" w:hAnsi="Book Antiqua"/>
          <w:b/>
        </w:rPr>
        <w:t xml:space="preserve"> </w:t>
      </w:r>
    </w:p>
    <w:p w:rsidR="00C20FB3" w:rsidRPr="00A37D48" w:rsidRDefault="00C20FB3" w:rsidP="00C20FB3">
      <w:pPr>
        <w:widowControl/>
        <w:adjustRightInd w:val="0"/>
        <w:snapToGrid w:val="0"/>
        <w:spacing w:line="360" w:lineRule="auto"/>
        <w:rPr>
          <w:rFonts w:ascii="Book Antiqua" w:hAnsi="Book Antiqua"/>
          <w:b/>
          <w:lang w:eastAsia="zh-CN"/>
        </w:rPr>
      </w:pPr>
      <w:r w:rsidRPr="00A37D48">
        <w:rPr>
          <w:rFonts w:ascii="Book Antiqua" w:hAnsi="Book Antiqua"/>
          <w:b/>
        </w:rPr>
        <w:t>Peer-review started:</w:t>
      </w:r>
      <w:r w:rsidRPr="00A37D48">
        <w:rPr>
          <w:rFonts w:ascii="Book Antiqua" w:hAnsi="Book Antiqua"/>
          <w:b/>
          <w:lang w:eastAsia="zh-CN"/>
        </w:rPr>
        <w:t xml:space="preserve"> </w:t>
      </w:r>
      <w:r>
        <w:rPr>
          <w:rFonts w:ascii="Book Antiqua" w:eastAsia="SimSun" w:hAnsi="Book Antiqua" w:hint="eastAsia"/>
          <w:lang w:eastAsia="zh-CN"/>
        </w:rPr>
        <w:t>March 17, 2018</w:t>
      </w:r>
      <w:bookmarkStart w:id="1" w:name="_GoBack"/>
      <w:bookmarkEnd w:id="1"/>
    </w:p>
    <w:p w:rsidR="00C20FB3" w:rsidRPr="00C20FB3" w:rsidRDefault="00C20FB3" w:rsidP="00C20FB3">
      <w:pPr>
        <w:widowControl/>
        <w:adjustRightInd w:val="0"/>
        <w:snapToGrid w:val="0"/>
        <w:spacing w:line="360" w:lineRule="auto"/>
        <w:rPr>
          <w:rFonts w:ascii="Book Antiqua" w:eastAsia="SimSun" w:hAnsi="Book Antiqua"/>
          <w:b/>
          <w:lang w:eastAsia="zh-CN"/>
        </w:rPr>
      </w:pPr>
      <w:r w:rsidRPr="00A37D48">
        <w:rPr>
          <w:rFonts w:ascii="Book Antiqua" w:hAnsi="Book Antiqua"/>
          <w:b/>
        </w:rPr>
        <w:t>First decision:</w:t>
      </w:r>
      <w:r w:rsidRPr="00A37D48">
        <w:rPr>
          <w:rFonts w:ascii="Book Antiqua" w:hAnsi="Book Antiqua"/>
          <w:b/>
          <w:lang w:eastAsia="zh-CN"/>
        </w:rPr>
        <w:t xml:space="preserve"> </w:t>
      </w:r>
      <w:r>
        <w:rPr>
          <w:rFonts w:ascii="Book Antiqua" w:eastAsia="SimSun" w:hAnsi="Book Antiqua" w:hint="eastAsia"/>
          <w:lang w:eastAsia="zh-CN"/>
        </w:rPr>
        <w:t>April 18, 2018</w:t>
      </w:r>
    </w:p>
    <w:p w:rsidR="00C20FB3" w:rsidRPr="00C20FB3" w:rsidRDefault="00C20FB3" w:rsidP="00C20FB3">
      <w:pPr>
        <w:widowControl/>
        <w:adjustRightInd w:val="0"/>
        <w:snapToGrid w:val="0"/>
        <w:spacing w:line="360" w:lineRule="auto"/>
        <w:rPr>
          <w:rFonts w:ascii="Book Antiqua" w:eastAsia="SimSun" w:hAnsi="Book Antiqua"/>
          <w:b/>
          <w:lang w:eastAsia="zh-CN"/>
        </w:rPr>
      </w:pPr>
      <w:r w:rsidRPr="00A37D48">
        <w:rPr>
          <w:rFonts w:ascii="Book Antiqua" w:hAnsi="Book Antiqua"/>
          <w:b/>
        </w:rPr>
        <w:t xml:space="preserve">Revised: </w:t>
      </w:r>
      <w:r>
        <w:rPr>
          <w:rFonts w:ascii="Book Antiqua" w:eastAsia="SimSun" w:hAnsi="Book Antiqua" w:hint="eastAsia"/>
          <w:lang w:eastAsia="zh-CN"/>
        </w:rPr>
        <w:t>May 9, 2018</w:t>
      </w:r>
    </w:p>
    <w:p w:rsidR="00C20FB3" w:rsidRPr="00A37D48" w:rsidRDefault="00C20FB3" w:rsidP="00C20FB3">
      <w:pPr>
        <w:widowControl/>
        <w:adjustRightInd w:val="0"/>
        <w:snapToGrid w:val="0"/>
        <w:spacing w:line="360" w:lineRule="auto"/>
        <w:rPr>
          <w:rFonts w:ascii="Book Antiqua" w:hAnsi="Book Antiqua"/>
          <w:b/>
        </w:rPr>
      </w:pPr>
      <w:r w:rsidRPr="00A37D48">
        <w:rPr>
          <w:rFonts w:ascii="Book Antiqua" w:hAnsi="Book Antiqua"/>
          <w:b/>
        </w:rPr>
        <w:t>Accepted:</w:t>
      </w:r>
      <w:r w:rsidR="00DD20F9" w:rsidRPr="00DD20F9">
        <w:t xml:space="preserve"> </w:t>
      </w:r>
      <w:r w:rsidR="00DD20F9" w:rsidRPr="00DD20F9">
        <w:rPr>
          <w:rFonts w:ascii="Book Antiqua" w:hAnsi="Book Antiqua"/>
        </w:rPr>
        <w:t>June 22, 2018</w:t>
      </w:r>
      <w:r w:rsidRPr="00A37D48">
        <w:rPr>
          <w:rFonts w:ascii="Book Antiqua" w:hAnsi="Book Antiqua"/>
          <w:b/>
        </w:rPr>
        <w:t xml:space="preserve"> </w:t>
      </w:r>
    </w:p>
    <w:p w:rsidR="00C20FB3" w:rsidRPr="00A37D48" w:rsidRDefault="00C20FB3" w:rsidP="00C20FB3">
      <w:pPr>
        <w:widowControl/>
        <w:adjustRightInd w:val="0"/>
        <w:snapToGrid w:val="0"/>
        <w:spacing w:line="360" w:lineRule="auto"/>
        <w:rPr>
          <w:rFonts w:ascii="Book Antiqua" w:hAnsi="Book Antiqua"/>
          <w:b/>
        </w:rPr>
      </w:pPr>
      <w:r w:rsidRPr="00A37D48">
        <w:rPr>
          <w:rFonts w:ascii="Book Antiqua" w:hAnsi="Book Antiqua"/>
          <w:b/>
        </w:rPr>
        <w:t>Article in press:</w:t>
      </w:r>
    </w:p>
    <w:p w:rsidR="00C20FB3" w:rsidRPr="00A37D48" w:rsidRDefault="00C20FB3" w:rsidP="00C20FB3">
      <w:pPr>
        <w:widowControl/>
        <w:adjustRightInd w:val="0"/>
        <w:snapToGrid w:val="0"/>
        <w:spacing w:line="360" w:lineRule="auto"/>
        <w:rPr>
          <w:rFonts w:ascii="Book Antiqua" w:hAnsi="Book Antiqua"/>
          <w:b/>
        </w:rPr>
      </w:pPr>
      <w:r w:rsidRPr="00A37D48">
        <w:rPr>
          <w:rFonts w:ascii="Book Antiqua" w:hAnsi="Book Antiqua"/>
          <w:b/>
        </w:rPr>
        <w:t>Published online:</w:t>
      </w:r>
    </w:p>
    <w:p w:rsidR="00C20FB3" w:rsidRPr="00C20FB3" w:rsidRDefault="00C20FB3" w:rsidP="00946207">
      <w:pPr>
        <w:spacing w:line="360" w:lineRule="auto"/>
        <w:rPr>
          <w:rFonts w:ascii="Book Antiqua" w:eastAsia="SimSun" w:hAnsi="Book Antiqua" w:cs="Times New Roman"/>
          <w:b/>
          <w:color w:val="000000" w:themeColor="text1"/>
          <w:lang w:eastAsia="zh-CN"/>
        </w:rPr>
      </w:pPr>
    </w:p>
    <w:p w:rsidR="004167A2" w:rsidRPr="0083147A" w:rsidRDefault="004167A2" w:rsidP="00946207">
      <w:pPr>
        <w:spacing w:line="360" w:lineRule="auto"/>
        <w:rPr>
          <w:rFonts w:ascii="Book Antiqua" w:hAnsi="Book Antiqua" w:cs="Times New Roman"/>
          <w:color w:val="000000" w:themeColor="text1"/>
        </w:rPr>
      </w:pPr>
    </w:p>
    <w:p w:rsidR="004B7E54" w:rsidRDefault="004B7E54">
      <w:pPr>
        <w:widowControl/>
        <w:jc w:val="left"/>
        <w:rPr>
          <w:rFonts w:ascii="Book Antiqua" w:hAnsi="Book Antiqua" w:cs="Times New Roman"/>
          <w:b/>
          <w:color w:val="000000" w:themeColor="text1"/>
        </w:rPr>
      </w:pPr>
      <w:r>
        <w:rPr>
          <w:rFonts w:ascii="Book Antiqua" w:hAnsi="Book Antiqua" w:cs="Times New Roman"/>
          <w:b/>
          <w:color w:val="000000" w:themeColor="text1"/>
        </w:rPr>
        <w:br w:type="page"/>
      </w:r>
    </w:p>
    <w:p w:rsidR="00CF57BD" w:rsidRPr="0083147A" w:rsidRDefault="00CF57BD" w:rsidP="00946207">
      <w:pPr>
        <w:spacing w:line="360" w:lineRule="auto"/>
        <w:outlineLvl w:val="0"/>
        <w:rPr>
          <w:rFonts w:ascii="Book Antiqua" w:hAnsi="Book Antiqua" w:cs="Times New Roman"/>
          <w:b/>
          <w:color w:val="000000" w:themeColor="text1"/>
        </w:rPr>
      </w:pPr>
      <w:r w:rsidRPr="0083147A">
        <w:rPr>
          <w:rFonts w:ascii="Book Antiqua" w:hAnsi="Book Antiqua" w:cs="Times New Roman"/>
          <w:b/>
          <w:color w:val="000000" w:themeColor="text1"/>
        </w:rPr>
        <w:lastRenderedPageBreak/>
        <w:t>Abstract</w:t>
      </w:r>
    </w:p>
    <w:p w:rsidR="00730B08" w:rsidRPr="0083147A" w:rsidRDefault="00730B08" w:rsidP="00946207">
      <w:pPr>
        <w:spacing w:line="360" w:lineRule="auto"/>
        <w:outlineLvl w:val="0"/>
        <w:rPr>
          <w:rFonts w:ascii="Book Antiqua" w:hAnsi="Book Antiqua" w:cs="Times New Roman"/>
          <w:b/>
          <w:i/>
          <w:color w:val="000000" w:themeColor="text1"/>
        </w:rPr>
      </w:pPr>
      <w:r w:rsidRPr="0083147A">
        <w:rPr>
          <w:rFonts w:ascii="Book Antiqua" w:hAnsi="Book Antiqua" w:cs="Times New Roman"/>
          <w:b/>
          <w:i/>
          <w:color w:val="000000" w:themeColor="text1"/>
        </w:rPr>
        <w:t>AIM</w:t>
      </w:r>
    </w:p>
    <w:p w:rsidR="00C73CF3" w:rsidRPr="0083147A" w:rsidRDefault="003E37C2" w:rsidP="00946207">
      <w:pPr>
        <w:spacing w:line="360" w:lineRule="auto"/>
        <w:rPr>
          <w:rFonts w:ascii="Book Antiqua" w:hAnsi="Book Antiqua" w:cs="Times New Roman"/>
          <w:color w:val="000000" w:themeColor="text1"/>
        </w:rPr>
      </w:pPr>
      <w:r>
        <w:rPr>
          <w:rFonts w:ascii="Book Antiqua" w:eastAsia="SimSun" w:hAnsi="Book Antiqua" w:cs="Times New Roman" w:hint="eastAsia"/>
          <w:color w:val="000000" w:themeColor="text1"/>
          <w:lang w:eastAsia="zh-CN"/>
        </w:rPr>
        <w:t xml:space="preserve">To </w:t>
      </w:r>
      <w:r>
        <w:rPr>
          <w:rFonts w:ascii="Book Antiqua" w:hAnsi="Book Antiqua" w:cs="Times New Roman"/>
          <w:color w:val="000000" w:themeColor="text1"/>
        </w:rPr>
        <w:t>investigate</w:t>
      </w:r>
      <w:r w:rsidR="005C24BB" w:rsidRPr="0083147A">
        <w:rPr>
          <w:rFonts w:ascii="Book Antiqua" w:hAnsi="Book Antiqua" w:cs="Times New Roman"/>
          <w:color w:val="000000" w:themeColor="text1"/>
        </w:rPr>
        <w:t xml:space="preserve"> the relationship</w:t>
      </w:r>
      <w:r w:rsidR="00AC0DDB" w:rsidRPr="0083147A">
        <w:rPr>
          <w:rFonts w:ascii="Book Antiqua" w:hAnsi="Book Antiqua" w:cs="Times New Roman"/>
          <w:color w:val="000000" w:themeColor="text1"/>
        </w:rPr>
        <w:t xml:space="preserve"> between the </w:t>
      </w:r>
      <w:r w:rsidR="00AE4674" w:rsidRPr="0083147A">
        <w:rPr>
          <w:rFonts w:ascii="Book Antiqua" w:hAnsi="Book Antiqua" w:cs="Times New Roman"/>
          <w:color w:val="000000" w:themeColor="text1"/>
        </w:rPr>
        <w:t>onsets</w:t>
      </w:r>
      <w:r w:rsidR="00AC0DDB" w:rsidRPr="0083147A">
        <w:rPr>
          <w:rFonts w:ascii="Book Antiqua" w:hAnsi="Book Antiqua" w:cs="Times New Roman"/>
          <w:color w:val="000000" w:themeColor="text1"/>
        </w:rPr>
        <w:t xml:space="preserve"> of </w:t>
      </w:r>
      <w:proofErr w:type="spellStart"/>
      <w:r w:rsidR="00AC0DDB" w:rsidRPr="0083147A">
        <w:rPr>
          <w:rFonts w:ascii="Book Antiqua" w:hAnsi="Book Antiqua" w:cs="Times New Roman"/>
          <w:color w:val="000000" w:themeColor="text1"/>
        </w:rPr>
        <w:t>multikinase</w:t>
      </w:r>
      <w:proofErr w:type="spellEnd"/>
      <w:r w:rsidR="00AC0DDB" w:rsidRPr="0083147A">
        <w:rPr>
          <w:rFonts w:ascii="Book Antiqua" w:hAnsi="Book Antiqua" w:cs="Times New Roman"/>
          <w:color w:val="000000" w:themeColor="text1"/>
        </w:rPr>
        <w:t xml:space="preserve"> inhibitor (MKI)</w:t>
      </w:r>
      <w:r w:rsidR="00291069" w:rsidRPr="0083147A">
        <w:rPr>
          <w:rFonts w:ascii="Book Antiqua" w:hAnsi="Book Antiqua" w:cs="Times New Roman"/>
          <w:color w:val="000000" w:themeColor="text1"/>
        </w:rPr>
        <w:t>-</w:t>
      </w:r>
      <w:r w:rsidR="00FD10E9" w:rsidRPr="0083147A">
        <w:rPr>
          <w:rFonts w:ascii="Book Antiqua" w:hAnsi="Book Antiqua" w:cs="Times New Roman"/>
          <w:color w:val="000000" w:themeColor="text1"/>
        </w:rPr>
        <w:t>associated</w:t>
      </w:r>
      <w:r w:rsidR="00AC0DDB" w:rsidRPr="0083147A">
        <w:rPr>
          <w:rFonts w:ascii="Book Antiqua" w:hAnsi="Book Antiqua" w:cs="Times New Roman"/>
          <w:color w:val="000000" w:themeColor="text1"/>
        </w:rPr>
        <w:t xml:space="preserve"> </w:t>
      </w:r>
      <w:r w:rsidR="00FF67A1" w:rsidRPr="0083147A">
        <w:rPr>
          <w:rFonts w:ascii="Book Antiqua" w:hAnsi="Book Antiqua" w:cs="Times New Roman"/>
          <w:color w:val="000000" w:themeColor="text1"/>
        </w:rPr>
        <w:t xml:space="preserve">hand-foot </w:t>
      </w:r>
      <w:r w:rsidR="008F0588" w:rsidRPr="0083147A">
        <w:rPr>
          <w:rFonts w:ascii="Book Antiqua" w:hAnsi="Book Antiqua" w:cs="Times New Roman"/>
          <w:color w:val="000000" w:themeColor="text1"/>
        </w:rPr>
        <w:t xml:space="preserve">skin </w:t>
      </w:r>
      <w:r w:rsidR="00FF67A1" w:rsidRPr="0083147A">
        <w:rPr>
          <w:rFonts w:ascii="Book Antiqua" w:hAnsi="Book Antiqua" w:cs="Times New Roman"/>
          <w:color w:val="000000" w:themeColor="text1"/>
        </w:rPr>
        <w:t>reaction</w:t>
      </w:r>
      <w:r w:rsidR="006F6B9F" w:rsidRPr="0083147A">
        <w:rPr>
          <w:rFonts w:ascii="Book Antiqua" w:hAnsi="Book Antiqua" w:cs="Times New Roman"/>
          <w:color w:val="000000" w:themeColor="text1"/>
        </w:rPr>
        <w:t xml:space="preserve"> </w:t>
      </w:r>
      <w:r w:rsidR="00FF67A1" w:rsidRPr="0083147A">
        <w:rPr>
          <w:rFonts w:ascii="Book Antiqua" w:hAnsi="Book Antiqua" w:cs="Times New Roman"/>
          <w:color w:val="000000" w:themeColor="text1"/>
        </w:rPr>
        <w:t>(HFSR)</w:t>
      </w:r>
      <w:r w:rsidR="00AC0DDB" w:rsidRPr="0083147A">
        <w:rPr>
          <w:rFonts w:ascii="Book Antiqua" w:hAnsi="Book Antiqua" w:cs="Times New Roman"/>
          <w:color w:val="000000" w:themeColor="text1"/>
        </w:rPr>
        <w:t xml:space="preserve"> and prognos</w:t>
      </w:r>
      <w:r w:rsidR="00BC2419" w:rsidRPr="0083147A">
        <w:rPr>
          <w:rFonts w:ascii="Book Antiqua" w:hAnsi="Book Antiqua" w:cs="Times New Roman"/>
          <w:color w:val="000000" w:themeColor="text1"/>
        </w:rPr>
        <w:t>i</w:t>
      </w:r>
      <w:r w:rsidR="00AC0DDB" w:rsidRPr="0083147A">
        <w:rPr>
          <w:rFonts w:ascii="Book Antiqua" w:hAnsi="Book Antiqua" w:cs="Times New Roman"/>
          <w:color w:val="000000" w:themeColor="text1"/>
        </w:rPr>
        <w:t>s under</w:t>
      </w:r>
      <w:r w:rsidR="005C24BB" w:rsidRPr="0083147A">
        <w:rPr>
          <w:rFonts w:ascii="Book Antiqua" w:hAnsi="Book Antiqua" w:cs="Times New Roman"/>
          <w:color w:val="000000" w:themeColor="text1"/>
        </w:rPr>
        <w:t xml:space="preserve"> </w:t>
      </w:r>
      <w:r w:rsidR="00AC0DDB" w:rsidRPr="0083147A">
        <w:rPr>
          <w:rFonts w:ascii="Book Antiqua" w:hAnsi="Book Antiqua" w:cs="Times New Roman"/>
          <w:color w:val="000000" w:themeColor="text1"/>
        </w:rPr>
        <w:t>intervention by pharmacists after the introduction of sorafenib</w:t>
      </w:r>
      <w:r w:rsidR="00C73CF3" w:rsidRPr="0083147A">
        <w:rPr>
          <w:rFonts w:ascii="Book Antiqua" w:hAnsi="Book Antiqua" w:cs="Times New Roman"/>
          <w:color w:val="000000" w:themeColor="text1"/>
        </w:rPr>
        <w:t>.</w:t>
      </w:r>
    </w:p>
    <w:p w:rsidR="008F0588" w:rsidRPr="0083147A" w:rsidRDefault="008F0588" w:rsidP="00946207">
      <w:pPr>
        <w:spacing w:line="360" w:lineRule="auto"/>
        <w:rPr>
          <w:rFonts w:ascii="Book Antiqua" w:hAnsi="Book Antiqua" w:cs="Times New Roman"/>
          <w:color w:val="000000" w:themeColor="text1"/>
        </w:rPr>
      </w:pPr>
    </w:p>
    <w:p w:rsidR="00BC2419" w:rsidRPr="0083147A" w:rsidRDefault="00C73CF3" w:rsidP="00946207">
      <w:pPr>
        <w:spacing w:line="360" w:lineRule="auto"/>
        <w:outlineLvl w:val="0"/>
        <w:rPr>
          <w:rFonts w:ascii="Book Antiqua" w:hAnsi="Book Antiqua" w:cs="Times New Roman"/>
          <w:b/>
          <w:i/>
          <w:color w:val="000000" w:themeColor="text1"/>
        </w:rPr>
      </w:pPr>
      <w:r w:rsidRPr="0083147A">
        <w:rPr>
          <w:rFonts w:ascii="Book Antiqua" w:hAnsi="Book Antiqua" w:cs="Times New Roman"/>
          <w:b/>
          <w:i/>
          <w:color w:val="000000" w:themeColor="text1"/>
        </w:rPr>
        <w:t>M</w:t>
      </w:r>
      <w:r w:rsidR="00B77D30" w:rsidRPr="0083147A">
        <w:rPr>
          <w:rFonts w:ascii="Book Antiqua" w:hAnsi="Book Antiqua" w:cs="Times New Roman"/>
          <w:b/>
          <w:i/>
          <w:color w:val="000000" w:themeColor="text1"/>
        </w:rPr>
        <w:t>ETHODS</w:t>
      </w:r>
    </w:p>
    <w:p w:rsidR="00FD10E9" w:rsidRPr="0083147A" w:rsidRDefault="00C73CF3" w:rsidP="00946207">
      <w:pPr>
        <w:spacing w:line="360" w:lineRule="auto"/>
        <w:rPr>
          <w:rFonts w:ascii="Book Antiqua" w:hAnsi="Book Antiqua" w:cs="Times New Roman"/>
          <w:color w:val="000000" w:themeColor="text1"/>
        </w:rPr>
      </w:pPr>
      <w:r w:rsidRPr="0083147A">
        <w:rPr>
          <w:rFonts w:ascii="Book Antiqua" w:hAnsi="Book Antiqua" w:cs="Times New Roman"/>
          <w:color w:val="000000" w:themeColor="text1"/>
        </w:rPr>
        <w:t xml:space="preserve">We conducted a retrospective study involving 40 patients treated with sorafenib. </w:t>
      </w:r>
      <w:r w:rsidR="005A04C2" w:rsidRPr="0083147A">
        <w:rPr>
          <w:rFonts w:ascii="Book Antiqua" w:hAnsi="Book Antiqua" w:cs="Times New Roman"/>
          <w:color w:val="000000" w:themeColor="text1"/>
        </w:rPr>
        <w:t>I</w:t>
      </w:r>
      <w:r w:rsidRPr="0083147A">
        <w:rPr>
          <w:rFonts w:ascii="Book Antiqua" w:hAnsi="Book Antiqua" w:cs="Times New Roman"/>
          <w:color w:val="000000" w:themeColor="text1"/>
        </w:rPr>
        <w:t xml:space="preserve">ntervention by pharmacists </w:t>
      </w:r>
      <w:r w:rsidR="00347B4E" w:rsidRPr="0083147A">
        <w:rPr>
          <w:rFonts w:ascii="Book Antiqua" w:hAnsi="Book Antiqua" w:cs="Times New Roman"/>
          <w:color w:val="000000" w:themeColor="text1"/>
        </w:rPr>
        <w:t>began</w:t>
      </w:r>
      <w:r w:rsidRPr="0083147A">
        <w:rPr>
          <w:rFonts w:ascii="Book Antiqua" w:hAnsi="Book Antiqua" w:cs="Times New Roman"/>
          <w:color w:val="000000" w:themeColor="text1"/>
        </w:rPr>
        <w:t xml:space="preserve"> at the time of </w:t>
      </w:r>
      <w:r w:rsidR="005A04C2" w:rsidRPr="0083147A">
        <w:rPr>
          <w:rFonts w:ascii="Book Antiqua" w:hAnsi="Book Antiqua" w:cs="Times New Roman"/>
          <w:color w:val="000000" w:themeColor="text1"/>
        </w:rPr>
        <w:t xml:space="preserve">treatment </w:t>
      </w:r>
      <w:r w:rsidRPr="0083147A">
        <w:rPr>
          <w:rFonts w:ascii="Book Antiqua" w:hAnsi="Book Antiqua" w:cs="Times New Roman"/>
          <w:color w:val="000000" w:themeColor="text1"/>
        </w:rPr>
        <w:t xml:space="preserve">introduction and continued until </w:t>
      </w:r>
      <w:r w:rsidR="00FD10E9" w:rsidRPr="0083147A">
        <w:rPr>
          <w:rFonts w:ascii="Book Antiqua" w:hAnsi="Book Antiqua" w:cs="Times New Roman"/>
          <w:color w:val="000000" w:themeColor="text1"/>
        </w:rPr>
        <w:t xml:space="preserve">the appearance of </w:t>
      </w:r>
      <w:r w:rsidRPr="0083147A">
        <w:rPr>
          <w:rFonts w:ascii="Book Antiqua" w:hAnsi="Book Antiqua" w:cs="Times New Roman"/>
          <w:color w:val="000000" w:themeColor="text1"/>
        </w:rPr>
        <w:t>symptomatic exacerbation or non-permissible advers</w:t>
      </w:r>
      <w:r w:rsidR="00FD10E9" w:rsidRPr="0083147A">
        <w:rPr>
          <w:rFonts w:ascii="Book Antiqua" w:hAnsi="Book Antiqua" w:cs="Times New Roman"/>
          <w:color w:val="000000" w:themeColor="text1"/>
        </w:rPr>
        <w:t xml:space="preserve">e reactions. We </w:t>
      </w:r>
      <w:r w:rsidR="005C24BB" w:rsidRPr="0083147A">
        <w:rPr>
          <w:rFonts w:ascii="Book Antiqua" w:hAnsi="Book Antiqua" w:cs="Times New Roman"/>
          <w:color w:val="000000" w:themeColor="text1"/>
        </w:rPr>
        <w:t>examined</w:t>
      </w:r>
      <w:r w:rsidR="00FD10E9" w:rsidRPr="0083147A">
        <w:rPr>
          <w:rFonts w:ascii="Book Antiqua" w:hAnsi="Book Antiqua" w:cs="Times New Roman"/>
          <w:color w:val="000000" w:themeColor="text1"/>
        </w:rPr>
        <w:t xml:space="preserve"> the </w:t>
      </w:r>
      <w:r w:rsidR="005C24BB" w:rsidRPr="0083147A">
        <w:rPr>
          <w:rFonts w:ascii="Book Antiqua" w:hAnsi="Book Antiqua" w:cs="Times New Roman"/>
          <w:color w:val="000000" w:themeColor="text1"/>
        </w:rPr>
        <w:t>relationship</w:t>
      </w:r>
      <w:r w:rsidR="00291069" w:rsidRPr="0083147A">
        <w:rPr>
          <w:rFonts w:ascii="Book Antiqua" w:hAnsi="Book Antiqua" w:cs="Times New Roman"/>
          <w:color w:val="000000" w:themeColor="text1"/>
        </w:rPr>
        <w:t xml:space="preserve"> between MKI-</w:t>
      </w:r>
      <w:r w:rsidR="00FD10E9" w:rsidRPr="0083147A">
        <w:rPr>
          <w:rFonts w:ascii="Book Antiqua" w:hAnsi="Book Antiqua" w:cs="Times New Roman"/>
          <w:color w:val="000000" w:themeColor="text1"/>
        </w:rPr>
        <w:t xml:space="preserve">associated </w:t>
      </w:r>
      <w:r w:rsidR="00FF67A1" w:rsidRPr="0083147A">
        <w:rPr>
          <w:rFonts w:ascii="Book Antiqua" w:hAnsi="Book Antiqua" w:cs="Times New Roman"/>
          <w:color w:val="000000" w:themeColor="text1"/>
        </w:rPr>
        <w:t>HFSR</w:t>
      </w:r>
      <w:r w:rsidR="00FD10E9" w:rsidRPr="0083147A">
        <w:rPr>
          <w:rFonts w:ascii="Book Antiqua" w:hAnsi="Book Antiqua" w:cs="Times New Roman"/>
          <w:color w:val="000000" w:themeColor="text1"/>
        </w:rPr>
        <w:t xml:space="preserve"> and overall survival (OS) after the </w:t>
      </w:r>
      <w:r w:rsidR="001F6EAD" w:rsidRPr="0083147A">
        <w:rPr>
          <w:rFonts w:ascii="Book Antiqua" w:hAnsi="Book Antiqua" w:cs="Times New Roman"/>
          <w:color w:val="000000" w:themeColor="text1"/>
        </w:rPr>
        <w:t>initiation</w:t>
      </w:r>
      <w:r w:rsidR="00FD10E9" w:rsidRPr="0083147A">
        <w:rPr>
          <w:rFonts w:ascii="Book Antiqua" w:hAnsi="Book Antiqua" w:cs="Times New Roman"/>
          <w:color w:val="000000" w:themeColor="text1"/>
        </w:rPr>
        <w:t xml:space="preserve"> of treatment.</w:t>
      </w:r>
    </w:p>
    <w:p w:rsidR="00100A46" w:rsidRPr="0083147A" w:rsidRDefault="00100A46" w:rsidP="00946207">
      <w:pPr>
        <w:spacing w:line="360" w:lineRule="auto"/>
        <w:rPr>
          <w:rFonts w:ascii="Book Antiqua" w:hAnsi="Book Antiqua" w:cs="Times New Roman"/>
          <w:color w:val="000000" w:themeColor="text1"/>
        </w:rPr>
      </w:pPr>
    </w:p>
    <w:p w:rsidR="00727023" w:rsidRPr="0083147A" w:rsidRDefault="00FD10E9" w:rsidP="00946207">
      <w:pPr>
        <w:spacing w:line="360" w:lineRule="auto"/>
        <w:outlineLvl w:val="0"/>
        <w:rPr>
          <w:rFonts w:ascii="Book Antiqua" w:hAnsi="Book Antiqua" w:cs="Times New Roman"/>
          <w:b/>
          <w:i/>
          <w:color w:val="000000" w:themeColor="text1"/>
        </w:rPr>
      </w:pPr>
      <w:r w:rsidRPr="0083147A">
        <w:rPr>
          <w:rFonts w:ascii="Book Antiqua" w:hAnsi="Book Antiqua" w:cs="Times New Roman"/>
          <w:b/>
          <w:i/>
          <w:color w:val="000000" w:themeColor="text1"/>
        </w:rPr>
        <w:t>R</w:t>
      </w:r>
      <w:r w:rsidR="00727023" w:rsidRPr="0083147A">
        <w:rPr>
          <w:rFonts w:ascii="Book Antiqua" w:hAnsi="Book Antiqua" w:cs="Times New Roman"/>
          <w:b/>
          <w:i/>
          <w:color w:val="000000" w:themeColor="text1"/>
        </w:rPr>
        <w:t>ESULTS</w:t>
      </w:r>
    </w:p>
    <w:p w:rsidR="00E672CF" w:rsidRPr="0083147A" w:rsidRDefault="00347B4E" w:rsidP="00946207">
      <w:pPr>
        <w:spacing w:line="360" w:lineRule="auto"/>
        <w:rPr>
          <w:rFonts w:ascii="Book Antiqua" w:hAnsi="Book Antiqua" w:cs="Times New Roman"/>
        </w:rPr>
      </w:pPr>
      <w:r w:rsidRPr="0083147A">
        <w:rPr>
          <w:rFonts w:ascii="Book Antiqua" w:hAnsi="Book Antiqua" w:cs="Times New Roman"/>
          <w:color w:val="000000" w:themeColor="text1"/>
        </w:rPr>
        <w:t>The m</w:t>
      </w:r>
      <w:r w:rsidR="00385238" w:rsidRPr="0083147A">
        <w:rPr>
          <w:rFonts w:ascii="Book Antiqua" w:hAnsi="Book Antiqua" w:cs="Times New Roman"/>
          <w:color w:val="000000" w:themeColor="text1"/>
        </w:rPr>
        <w:t xml:space="preserve">edian OS was 10.9 </w:t>
      </w:r>
      <w:proofErr w:type="spellStart"/>
      <w:r w:rsidR="00385238" w:rsidRPr="0083147A">
        <w:rPr>
          <w:rFonts w:ascii="Book Antiqua" w:hAnsi="Book Antiqua" w:cs="Times New Roman"/>
          <w:color w:val="000000" w:themeColor="text1"/>
        </w:rPr>
        <w:t>mo</w:t>
      </w:r>
      <w:proofErr w:type="spellEnd"/>
      <w:r w:rsidR="00897AD8">
        <w:rPr>
          <w:rFonts w:ascii="Book Antiqua" w:eastAsia="SimSun" w:hAnsi="Book Antiqua" w:cs="Times New Roman" w:hint="eastAsia"/>
          <w:color w:val="000000" w:themeColor="text1"/>
          <w:lang w:eastAsia="zh-CN"/>
        </w:rPr>
        <w:t xml:space="preserve"> </w:t>
      </w:r>
      <w:r w:rsidR="00385238" w:rsidRPr="0083147A">
        <w:rPr>
          <w:rFonts w:ascii="Book Antiqua" w:hAnsi="Book Antiqua" w:cs="Times New Roman"/>
          <w:color w:val="000000" w:themeColor="text1"/>
        </w:rPr>
        <w:t xml:space="preserve">in </w:t>
      </w:r>
      <w:r w:rsidRPr="0083147A">
        <w:rPr>
          <w:rFonts w:ascii="Book Antiqua" w:hAnsi="Book Antiqua" w:cs="Times New Roman"/>
          <w:color w:val="000000" w:themeColor="text1"/>
        </w:rPr>
        <w:t xml:space="preserve">the </w:t>
      </w:r>
      <w:r w:rsidR="00385238" w:rsidRPr="0083147A">
        <w:rPr>
          <w:rFonts w:ascii="Book Antiqua" w:hAnsi="Book Antiqua" w:cs="Times New Roman"/>
          <w:color w:val="000000" w:themeColor="text1"/>
        </w:rPr>
        <w:t>MKI-associated</w:t>
      </w:r>
      <w:r w:rsidR="00FD10E9" w:rsidRPr="0083147A">
        <w:rPr>
          <w:rFonts w:ascii="Book Antiqua" w:hAnsi="Book Antiqua" w:cs="Times New Roman"/>
          <w:color w:val="000000" w:themeColor="text1"/>
        </w:rPr>
        <w:t xml:space="preserve"> </w:t>
      </w:r>
      <w:r w:rsidR="00FF67A1" w:rsidRPr="0083147A">
        <w:rPr>
          <w:rFonts w:ascii="Book Antiqua" w:hAnsi="Book Antiqua" w:cs="Times New Roman"/>
          <w:color w:val="000000" w:themeColor="text1"/>
        </w:rPr>
        <w:t>HFSR</w:t>
      </w:r>
      <w:r w:rsidR="00385238" w:rsidRPr="0083147A">
        <w:rPr>
          <w:rFonts w:ascii="Book Antiqua" w:hAnsi="Book Antiqua" w:cs="Times New Roman"/>
          <w:color w:val="000000" w:themeColor="text1"/>
        </w:rPr>
        <w:t xml:space="preserve"> group and 3.4 </w:t>
      </w:r>
      <w:proofErr w:type="spellStart"/>
      <w:r w:rsidR="00385238" w:rsidRPr="0083147A">
        <w:rPr>
          <w:rFonts w:ascii="Book Antiqua" w:hAnsi="Book Antiqua" w:cs="Times New Roman"/>
          <w:color w:val="000000" w:themeColor="text1"/>
        </w:rPr>
        <w:t>mo</w:t>
      </w:r>
      <w:proofErr w:type="spellEnd"/>
      <w:r w:rsidR="00897AD8">
        <w:rPr>
          <w:rFonts w:ascii="Book Antiqua" w:eastAsia="SimSun" w:hAnsi="Book Antiqua" w:cs="Times New Roman" w:hint="eastAsia"/>
          <w:color w:val="000000" w:themeColor="text1"/>
          <w:lang w:eastAsia="zh-CN"/>
        </w:rPr>
        <w:t xml:space="preserve"> </w:t>
      </w:r>
      <w:r w:rsidR="00385238" w:rsidRPr="0083147A">
        <w:rPr>
          <w:rFonts w:ascii="Book Antiqua" w:hAnsi="Book Antiqua" w:cs="Times New Roman"/>
          <w:color w:val="000000" w:themeColor="text1"/>
        </w:rPr>
        <w:t xml:space="preserve">in </w:t>
      </w:r>
      <w:r w:rsidRPr="0083147A">
        <w:rPr>
          <w:rFonts w:ascii="Book Antiqua" w:hAnsi="Book Antiqua" w:cs="Times New Roman"/>
          <w:color w:val="000000" w:themeColor="text1"/>
        </w:rPr>
        <w:t xml:space="preserve">the </w:t>
      </w:r>
      <w:r w:rsidR="004B5360" w:rsidRPr="0083147A">
        <w:rPr>
          <w:rFonts w:ascii="Book Antiqua" w:hAnsi="Book Antiqua" w:cs="Times New Roman"/>
          <w:color w:val="000000" w:themeColor="text1"/>
        </w:rPr>
        <w:t xml:space="preserve">no </w:t>
      </w:r>
      <w:r w:rsidR="00FF67A1" w:rsidRPr="0083147A">
        <w:rPr>
          <w:rFonts w:ascii="Book Antiqua" w:hAnsi="Book Antiqua" w:cs="Times New Roman"/>
          <w:color w:val="000000" w:themeColor="text1"/>
        </w:rPr>
        <w:t>HFSR</w:t>
      </w:r>
      <w:r w:rsidR="00FD10E9" w:rsidRPr="0083147A">
        <w:rPr>
          <w:rFonts w:ascii="Book Antiqua" w:hAnsi="Book Antiqua" w:cs="Times New Roman"/>
          <w:color w:val="000000" w:themeColor="text1"/>
        </w:rPr>
        <w:t xml:space="preserve"> group, sh</w:t>
      </w:r>
      <w:r w:rsidR="00385238" w:rsidRPr="0083147A">
        <w:rPr>
          <w:rFonts w:ascii="Book Antiqua" w:hAnsi="Book Antiqua" w:cs="Times New Roman"/>
          <w:color w:val="000000" w:themeColor="text1"/>
        </w:rPr>
        <w:t>owing a</w:t>
      </w:r>
      <w:r w:rsidR="00417CEA" w:rsidRPr="0083147A">
        <w:rPr>
          <w:rFonts w:ascii="Book Antiqua" w:hAnsi="Book Antiqua" w:cs="Times New Roman"/>
          <w:color w:val="000000" w:themeColor="text1"/>
        </w:rPr>
        <w:t xml:space="preserve"> </w:t>
      </w:r>
      <w:r w:rsidRPr="0083147A">
        <w:rPr>
          <w:rFonts w:ascii="Book Antiqua" w:hAnsi="Book Antiqua" w:cs="Times New Roman"/>
          <w:color w:val="000000" w:themeColor="text1"/>
        </w:rPr>
        <w:t xml:space="preserve">significant difference in </w:t>
      </w:r>
      <w:r w:rsidR="00385238" w:rsidRPr="0083147A">
        <w:rPr>
          <w:rFonts w:ascii="Book Antiqua" w:hAnsi="Book Antiqua" w:cs="Times New Roman"/>
          <w:color w:val="000000" w:themeColor="text1"/>
        </w:rPr>
        <w:t>multivariate analysis</w:t>
      </w:r>
      <w:r w:rsidR="00FD10E9" w:rsidRPr="0083147A">
        <w:rPr>
          <w:rFonts w:ascii="Book Antiqua" w:hAnsi="Book Antiqua" w:cs="Times New Roman"/>
          <w:color w:val="000000" w:themeColor="text1"/>
        </w:rPr>
        <w:t xml:space="preserve">. </w:t>
      </w:r>
      <w:r w:rsidR="005C24BB" w:rsidRPr="0083147A">
        <w:rPr>
          <w:rFonts w:ascii="Book Antiqua" w:hAnsi="Book Antiqua" w:cs="Times New Roman"/>
          <w:color w:val="000000" w:themeColor="text1"/>
        </w:rPr>
        <w:t>A m</w:t>
      </w:r>
      <w:r w:rsidR="00FD10E9" w:rsidRPr="0083147A">
        <w:rPr>
          <w:rFonts w:ascii="Book Antiqua" w:hAnsi="Book Antiqua" w:cs="Times New Roman"/>
          <w:color w:val="000000" w:themeColor="text1"/>
        </w:rPr>
        <w:t>ultivariate analysis of the</w:t>
      </w:r>
      <w:r w:rsidRPr="0083147A">
        <w:rPr>
          <w:rFonts w:ascii="Book Antiqua" w:hAnsi="Book Antiqua" w:cs="Times New Roman"/>
          <w:color w:val="000000" w:themeColor="text1"/>
        </w:rPr>
        <w:t xml:space="preserve"> time to treatment failure</w:t>
      </w:r>
      <w:r w:rsidR="00FD10E9" w:rsidRPr="0083147A">
        <w:rPr>
          <w:rFonts w:ascii="Book Antiqua" w:hAnsi="Book Antiqua" w:cs="Times New Roman"/>
          <w:color w:val="000000" w:themeColor="text1"/>
        </w:rPr>
        <w:t xml:space="preserve"> indicated that </w:t>
      </w:r>
      <w:r w:rsidR="005C24BB" w:rsidRPr="0083147A">
        <w:rPr>
          <w:rFonts w:ascii="Book Antiqua" w:hAnsi="Book Antiqua" w:cs="Times New Roman"/>
          <w:color w:val="000000" w:themeColor="text1"/>
        </w:rPr>
        <w:t xml:space="preserve">the </w:t>
      </w:r>
      <w:r w:rsidR="00FD10E9" w:rsidRPr="0083147A">
        <w:rPr>
          <w:rFonts w:ascii="Book Antiqua" w:hAnsi="Book Antiqua" w:cs="Times New Roman"/>
          <w:color w:val="000000" w:themeColor="text1"/>
        </w:rPr>
        <w:t xml:space="preserve">intervention by pharmacists and MKI-associated </w:t>
      </w:r>
      <w:r w:rsidR="00FF67A1" w:rsidRPr="0083147A">
        <w:rPr>
          <w:rFonts w:ascii="Book Antiqua" w:hAnsi="Book Antiqua" w:cs="Times New Roman"/>
          <w:color w:val="000000" w:themeColor="text1"/>
        </w:rPr>
        <w:t>HFSR</w:t>
      </w:r>
      <w:r w:rsidR="00FD10E9" w:rsidRPr="0083147A">
        <w:rPr>
          <w:rFonts w:ascii="Book Antiqua" w:hAnsi="Book Antiqua" w:cs="Times New Roman"/>
          <w:color w:val="000000" w:themeColor="text1"/>
        </w:rPr>
        <w:t xml:space="preserve"> w</w:t>
      </w:r>
      <w:r w:rsidR="006B2885" w:rsidRPr="0083147A">
        <w:rPr>
          <w:rFonts w:ascii="Book Antiqua" w:hAnsi="Book Antiqua" w:cs="Times New Roman"/>
          <w:color w:val="000000" w:themeColor="text1"/>
        </w:rPr>
        <w:t>ere</w:t>
      </w:r>
      <w:r w:rsidR="00FD10E9" w:rsidRPr="0083147A">
        <w:rPr>
          <w:rFonts w:ascii="Book Antiqua" w:hAnsi="Book Antiqua" w:cs="Times New Roman"/>
          <w:color w:val="000000" w:themeColor="text1"/>
        </w:rPr>
        <w:t xml:space="preserve"> </w:t>
      </w:r>
      <w:r w:rsidR="00417CEA" w:rsidRPr="0083147A">
        <w:rPr>
          <w:rFonts w:ascii="Book Antiqua" w:hAnsi="Book Antiqua" w:cs="Times New Roman"/>
        </w:rPr>
        <w:t>significant fa</w:t>
      </w:r>
      <w:r w:rsidR="00FD10E9" w:rsidRPr="0083147A">
        <w:rPr>
          <w:rFonts w:ascii="Book Antiqua" w:hAnsi="Book Antiqua" w:cs="Times New Roman"/>
        </w:rPr>
        <w:t>ctor</w:t>
      </w:r>
      <w:r w:rsidR="006B2885" w:rsidRPr="0083147A">
        <w:rPr>
          <w:rFonts w:ascii="Book Antiqua" w:hAnsi="Book Antiqua" w:cs="Times New Roman"/>
        </w:rPr>
        <w:t>s</w:t>
      </w:r>
      <w:r w:rsidR="00FD10E9" w:rsidRPr="0083147A">
        <w:rPr>
          <w:rFonts w:ascii="Book Antiqua" w:hAnsi="Book Antiqua" w:cs="Times New Roman"/>
        </w:rPr>
        <w:t xml:space="preserve">. </w:t>
      </w:r>
      <w:r w:rsidR="00B1547E" w:rsidRPr="0083147A">
        <w:rPr>
          <w:rFonts w:ascii="Book Antiqua" w:hAnsi="Book Antiqua" w:cs="Times New Roman"/>
        </w:rPr>
        <w:t>The median cumulative dose and the mean medication possession ratio were significantly higher in the intervention group</w:t>
      </w:r>
      <w:r w:rsidR="005570AC" w:rsidRPr="0083147A">
        <w:rPr>
          <w:rFonts w:ascii="Book Antiqua" w:hAnsi="Book Antiqua" w:cs="Times New Roman"/>
        </w:rPr>
        <w:t xml:space="preserve"> than in the non-intervention group</w:t>
      </w:r>
      <w:r w:rsidR="00B1547E" w:rsidRPr="0083147A">
        <w:rPr>
          <w:rFonts w:ascii="Book Antiqua" w:hAnsi="Book Antiqua" w:cs="Times New Roman"/>
        </w:rPr>
        <w:t>.</w:t>
      </w:r>
      <w:r w:rsidR="00E672CF" w:rsidRPr="0083147A">
        <w:rPr>
          <w:rFonts w:ascii="Book Antiqua" w:hAnsi="Book Antiqua" w:cs="Times New Roman"/>
        </w:rPr>
        <w:t xml:space="preserve"> </w:t>
      </w:r>
      <w:r w:rsidR="00CE04F7" w:rsidRPr="0083147A">
        <w:rPr>
          <w:rFonts w:ascii="Book Antiqua" w:hAnsi="Book Antiqua" w:cs="Times New Roman"/>
        </w:rPr>
        <w:t>A</w:t>
      </w:r>
      <w:r w:rsidRPr="0083147A">
        <w:rPr>
          <w:rFonts w:ascii="Book Antiqua" w:hAnsi="Book Antiqua" w:cs="Times New Roman"/>
        </w:rPr>
        <w:t xml:space="preserve"> borderline</w:t>
      </w:r>
      <w:r w:rsidR="00CE04F7" w:rsidRPr="0083147A">
        <w:rPr>
          <w:rFonts w:ascii="Book Antiqua" w:hAnsi="Book Antiqua" w:cs="Times New Roman"/>
        </w:rPr>
        <w:t xml:space="preserve"> significant difference was observed in terms of OS in this group.</w:t>
      </w:r>
    </w:p>
    <w:p w:rsidR="00FA4C91" w:rsidRPr="0083147A" w:rsidRDefault="00FA4C91" w:rsidP="00946207">
      <w:pPr>
        <w:spacing w:line="360" w:lineRule="auto"/>
        <w:rPr>
          <w:rFonts w:ascii="Book Antiqua" w:hAnsi="Book Antiqua" w:cs="Times New Roman"/>
          <w:color w:val="000000" w:themeColor="text1"/>
        </w:rPr>
      </w:pPr>
    </w:p>
    <w:p w:rsidR="002E0C88" w:rsidRPr="0083147A" w:rsidRDefault="00E672CF" w:rsidP="00946207">
      <w:pPr>
        <w:spacing w:line="360" w:lineRule="auto"/>
        <w:outlineLvl w:val="0"/>
        <w:rPr>
          <w:rFonts w:ascii="Book Antiqua" w:hAnsi="Book Antiqua" w:cs="Times New Roman"/>
          <w:b/>
          <w:i/>
          <w:color w:val="000000" w:themeColor="text1"/>
        </w:rPr>
      </w:pPr>
      <w:r w:rsidRPr="0083147A">
        <w:rPr>
          <w:rFonts w:ascii="Book Antiqua" w:hAnsi="Book Antiqua" w:cs="Times New Roman"/>
          <w:b/>
          <w:i/>
          <w:color w:val="000000" w:themeColor="text1"/>
        </w:rPr>
        <w:t>C</w:t>
      </w:r>
      <w:r w:rsidR="002E0C88" w:rsidRPr="0083147A">
        <w:rPr>
          <w:rFonts w:ascii="Book Antiqua" w:hAnsi="Book Antiqua" w:cs="Times New Roman"/>
          <w:b/>
          <w:i/>
          <w:color w:val="000000" w:themeColor="text1"/>
        </w:rPr>
        <w:t>ONCLUSION</w:t>
      </w:r>
    </w:p>
    <w:p w:rsidR="00E672CF" w:rsidRPr="0083147A" w:rsidRDefault="005A04C2" w:rsidP="00946207">
      <w:pPr>
        <w:spacing w:line="360" w:lineRule="auto"/>
        <w:rPr>
          <w:rFonts w:ascii="Book Antiqua" w:hAnsi="Book Antiqua" w:cs="Times New Roman"/>
          <w:color w:val="000000" w:themeColor="text1"/>
        </w:rPr>
      </w:pPr>
      <w:r w:rsidRPr="0083147A">
        <w:rPr>
          <w:rFonts w:ascii="Book Antiqua" w:hAnsi="Book Antiqua" w:cs="Times New Roman"/>
          <w:color w:val="000000" w:themeColor="text1"/>
        </w:rPr>
        <w:t>I</w:t>
      </w:r>
      <w:r w:rsidR="00E672CF" w:rsidRPr="0083147A">
        <w:rPr>
          <w:rFonts w:ascii="Book Antiqua" w:hAnsi="Book Antiqua" w:cs="Times New Roman"/>
          <w:color w:val="000000" w:themeColor="text1"/>
        </w:rPr>
        <w:t xml:space="preserve">ntervention by pharmacists </w:t>
      </w:r>
      <w:r w:rsidR="00A92D40" w:rsidRPr="0083147A">
        <w:rPr>
          <w:rFonts w:ascii="Book Antiqua" w:hAnsi="Book Antiqua" w:cs="Times New Roman"/>
          <w:color w:val="000000" w:themeColor="text1"/>
        </w:rPr>
        <w:t>increased</w:t>
      </w:r>
      <w:r w:rsidR="00E672CF" w:rsidRPr="0083147A">
        <w:rPr>
          <w:rFonts w:ascii="Book Antiqua" w:hAnsi="Book Antiqua" w:cs="Times New Roman"/>
          <w:color w:val="000000" w:themeColor="text1"/>
        </w:rPr>
        <w:t xml:space="preserve"> drug adherence.</w:t>
      </w:r>
      <w:r w:rsidR="005E7289">
        <w:rPr>
          <w:rFonts w:ascii="Book Antiqua" w:eastAsia="SimSun" w:hAnsi="Book Antiqua" w:cs="Times New Roman" w:hint="eastAsia"/>
          <w:color w:val="000000" w:themeColor="text1"/>
          <w:lang w:eastAsia="zh-CN"/>
        </w:rPr>
        <w:t xml:space="preserve"> </w:t>
      </w:r>
      <w:r w:rsidR="00E672CF" w:rsidRPr="0083147A">
        <w:rPr>
          <w:rFonts w:ascii="Book Antiqua" w:hAnsi="Book Antiqua" w:cs="Times New Roman"/>
          <w:color w:val="000000" w:themeColor="text1"/>
        </w:rPr>
        <w:t xml:space="preserve">Under </w:t>
      </w:r>
      <w:r w:rsidR="00A92D40" w:rsidRPr="0083147A">
        <w:rPr>
          <w:rFonts w:ascii="Book Antiqua" w:hAnsi="Book Antiqua" w:cs="Times New Roman"/>
          <w:color w:val="000000" w:themeColor="text1"/>
        </w:rPr>
        <w:t>increased</w:t>
      </w:r>
      <w:r w:rsidR="005C24BB" w:rsidRPr="0083147A">
        <w:rPr>
          <w:rFonts w:ascii="Book Antiqua" w:hAnsi="Book Antiqua" w:cs="Times New Roman"/>
          <w:color w:val="000000" w:themeColor="text1"/>
        </w:rPr>
        <w:t xml:space="preserve"> </w:t>
      </w:r>
      <w:r w:rsidR="00E672CF" w:rsidRPr="0083147A">
        <w:rPr>
          <w:rFonts w:ascii="Book Antiqua" w:hAnsi="Book Antiqua" w:cs="Times New Roman"/>
          <w:color w:val="000000" w:themeColor="text1"/>
        </w:rPr>
        <w:t xml:space="preserve">adherence, MKI-associated </w:t>
      </w:r>
      <w:r w:rsidR="00FF67A1" w:rsidRPr="0083147A">
        <w:rPr>
          <w:rFonts w:ascii="Book Antiqua" w:hAnsi="Book Antiqua" w:cs="Times New Roman"/>
          <w:color w:val="000000" w:themeColor="text1"/>
        </w:rPr>
        <w:t>HFSR</w:t>
      </w:r>
      <w:r w:rsidR="00E672CF" w:rsidRPr="0083147A">
        <w:rPr>
          <w:rFonts w:ascii="Book Antiqua" w:hAnsi="Book Antiqua" w:cs="Times New Roman"/>
          <w:color w:val="000000" w:themeColor="text1"/>
        </w:rPr>
        <w:t xml:space="preserve"> </w:t>
      </w:r>
      <w:r w:rsidR="00C5073E" w:rsidRPr="0083147A">
        <w:rPr>
          <w:rFonts w:ascii="Book Antiqua" w:hAnsi="Book Antiqua" w:cs="Times New Roman"/>
          <w:color w:val="000000" w:themeColor="text1"/>
        </w:rPr>
        <w:t>w</w:t>
      </w:r>
      <w:r w:rsidR="00F34551" w:rsidRPr="0083147A">
        <w:rPr>
          <w:rFonts w:ascii="Book Antiqua" w:hAnsi="Book Antiqua" w:cs="Times New Roman"/>
          <w:color w:val="000000" w:themeColor="text1"/>
        </w:rPr>
        <w:t>as</w:t>
      </w:r>
      <w:r w:rsidR="00E672CF" w:rsidRPr="0083147A">
        <w:rPr>
          <w:rFonts w:ascii="Book Antiqua" w:hAnsi="Book Antiqua" w:cs="Times New Roman"/>
          <w:color w:val="000000" w:themeColor="text1"/>
        </w:rPr>
        <w:t xml:space="preserve"> an advantageous surrogate marker. </w:t>
      </w:r>
      <w:r w:rsidR="00C5073E" w:rsidRPr="0083147A">
        <w:rPr>
          <w:rFonts w:ascii="Book Antiqua" w:hAnsi="Book Antiqua" w:cs="Times New Roman"/>
          <w:color w:val="000000" w:themeColor="text1"/>
        </w:rPr>
        <w:t>I</w:t>
      </w:r>
      <w:r w:rsidR="00E672CF" w:rsidRPr="0083147A">
        <w:rPr>
          <w:rFonts w:ascii="Book Antiqua" w:hAnsi="Book Antiqua" w:cs="Times New Roman"/>
          <w:color w:val="000000" w:themeColor="text1"/>
        </w:rPr>
        <w:t xml:space="preserve">ntervention by healthcare providers </w:t>
      </w:r>
      <w:r w:rsidR="00C5073E" w:rsidRPr="0083147A">
        <w:rPr>
          <w:rFonts w:ascii="Book Antiqua" w:hAnsi="Book Antiqua" w:cs="Times New Roman"/>
          <w:color w:val="000000" w:themeColor="text1"/>
        </w:rPr>
        <w:t>need</w:t>
      </w:r>
      <w:r w:rsidR="004F3B50" w:rsidRPr="0083147A">
        <w:rPr>
          <w:rFonts w:ascii="Book Antiqua" w:hAnsi="Book Antiqua" w:cs="Times New Roman"/>
          <w:color w:val="000000" w:themeColor="text1"/>
        </w:rPr>
        <w:t>s</w:t>
      </w:r>
      <w:r w:rsidR="00C5073E" w:rsidRPr="0083147A">
        <w:rPr>
          <w:rFonts w:ascii="Book Antiqua" w:hAnsi="Book Antiqua" w:cs="Times New Roman"/>
          <w:color w:val="000000" w:themeColor="text1"/>
        </w:rPr>
        <w:t xml:space="preserve"> to</w:t>
      </w:r>
      <w:r w:rsidR="00E672CF" w:rsidRPr="0083147A">
        <w:rPr>
          <w:rFonts w:ascii="Book Antiqua" w:hAnsi="Book Antiqua" w:cs="Times New Roman"/>
          <w:color w:val="000000" w:themeColor="text1"/>
        </w:rPr>
        <w:t xml:space="preserve"> be performed</w:t>
      </w:r>
      <w:r w:rsidR="00C5073E" w:rsidRPr="0083147A">
        <w:rPr>
          <w:rFonts w:ascii="Book Antiqua" w:hAnsi="Book Antiqua" w:cs="Times New Roman"/>
          <w:color w:val="000000" w:themeColor="text1"/>
        </w:rPr>
        <w:t xml:space="preserve"> f</w:t>
      </w:r>
      <w:r w:rsidR="00605DB8" w:rsidRPr="0083147A">
        <w:rPr>
          <w:rFonts w:ascii="Book Antiqua" w:hAnsi="Book Antiqua" w:cs="Times New Roman"/>
          <w:color w:val="000000" w:themeColor="text1"/>
        </w:rPr>
        <w:t>or adequate sorafenib treatment</w:t>
      </w:r>
      <w:r w:rsidR="00E672CF" w:rsidRPr="0083147A">
        <w:rPr>
          <w:rFonts w:ascii="Book Antiqua" w:hAnsi="Book Antiqua" w:cs="Times New Roman"/>
          <w:color w:val="000000" w:themeColor="text1"/>
        </w:rPr>
        <w:t>.</w:t>
      </w:r>
    </w:p>
    <w:p w:rsidR="00E672CF" w:rsidRPr="0083147A" w:rsidRDefault="00E672CF" w:rsidP="00946207">
      <w:pPr>
        <w:spacing w:line="360" w:lineRule="auto"/>
        <w:rPr>
          <w:rFonts w:ascii="Book Antiqua" w:hAnsi="Book Antiqua" w:cs="Times New Roman"/>
          <w:color w:val="000000" w:themeColor="text1"/>
        </w:rPr>
      </w:pPr>
    </w:p>
    <w:p w:rsidR="0085242A" w:rsidRPr="0083147A" w:rsidRDefault="00291069" w:rsidP="00946207">
      <w:pPr>
        <w:spacing w:line="360" w:lineRule="auto"/>
        <w:rPr>
          <w:rFonts w:ascii="Book Antiqua" w:hAnsi="Book Antiqua" w:cs="Times New Roman"/>
          <w:color w:val="000000" w:themeColor="text1"/>
        </w:rPr>
      </w:pPr>
      <w:r w:rsidRPr="0083147A">
        <w:rPr>
          <w:rFonts w:ascii="Book Antiqua" w:hAnsi="Book Antiqua" w:cs="Times New Roman"/>
          <w:b/>
          <w:color w:val="000000" w:themeColor="text1"/>
        </w:rPr>
        <w:lastRenderedPageBreak/>
        <w:t>Key words:</w:t>
      </w:r>
      <w:r w:rsidRPr="0083147A">
        <w:rPr>
          <w:rFonts w:ascii="Book Antiqua" w:hAnsi="Book Antiqua" w:cs="Times New Roman"/>
          <w:color w:val="000000" w:themeColor="text1"/>
        </w:rPr>
        <w:t xml:space="preserve"> </w:t>
      </w:r>
      <w:proofErr w:type="spellStart"/>
      <w:r w:rsidR="0085242A" w:rsidRPr="0083147A">
        <w:rPr>
          <w:rFonts w:ascii="Book Antiqua" w:hAnsi="Book Antiqua" w:cs="Times New Roman"/>
          <w:color w:val="000000" w:themeColor="text1"/>
        </w:rPr>
        <w:t>M</w:t>
      </w:r>
      <w:r w:rsidRPr="0083147A">
        <w:rPr>
          <w:rFonts w:ascii="Book Antiqua" w:hAnsi="Book Antiqua" w:cs="Times New Roman"/>
          <w:color w:val="000000" w:themeColor="text1"/>
        </w:rPr>
        <w:t>ultikinase</w:t>
      </w:r>
      <w:proofErr w:type="spellEnd"/>
      <w:r w:rsidRPr="0083147A">
        <w:rPr>
          <w:rFonts w:ascii="Book Antiqua" w:hAnsi="Book Antiqua" w:cs="Times New Roman"/>
          <w:color w:val="000000" w:themeColor="text1"/>
        </w:rPr>
        <w:t xml:space="preserve"> inhibitor</w:t>
      </w:r>
      <w:r w:rsidR="00D66987" w:rsidRPr="0083147A">
        <w:rPr>
          <w:rFonts w:ascii="Book Antiqua" w:hAnsi="Book Antiqua" w:cs="Times New Roman"/>
          <w:color w:val="000000" w:themeColor="text1"/>
        </w:rPr>
        <w:t>-</w:t>
      </w:r>
      <w:r w:rsidRPr="0083147A">
        <w:rPr>
          <w:rFonts w:ascii="Book Antiqua" w:hAnsi="Book Antiqua" w:cs="Times New Roman"/>
          <w:color w:val="000000" w:themeColor="text1"/>
        </w:rPr>
        <w:t xml:space="preserve">associated </w:t>
      </w:r>
      <w:r w:rsidR="00FF67A1" w:rsidRPr="0083147A">
        <w:rPr>
          <w:rFonts w:ascii="Book Antiqua" w:hAnsi="Book Antiqua" w:cs="Times New Roman"/>
          <w:color w:val="000000" w:themeColor="text1"/>
        </w:rPr>
        <w:t xml:space="preserve">hand-foot </w:t>
      </w:r>
      <w:r w:rsidRPr="0083147A">
        <w:rPr>
          <w:rFonts w:ascii="Book Antiqua" w:hAnsi="Book Antiqua" w:cs="Times New Roman"/>
          <w:color w:val="000000" w:themeColor="text1"/>
        </w:rPr>
        <w:t xml:space="preserve">skin </w:t>
      </w:r>
      <w:r w:rsidR="00FF67A1" w:rsidRPr="0083147A">
        <w:rPr>
          <w:rFonts w:ascii="Book Antiqua" w:hAnsi="Book Antiqua" w:cs="Times New Roman"/>
          <w:color w:val="000000" w:themeColor="text1"/>
        </w:rPr>
        <w:t>reaction</w:t>
      </w:r>
      <w:r w:rsidR="0085242A" w:rsidRPr="0083147A">
        <w:rPr>
          <w:rFonts w:ascii="Book Antiqua" w:hAnsi="Book Antiqua" w:cs="Times New Roman"/>
          <w:color w:val="000000" w:themeColor="text1"/>
        </w:rPr>
        <w:t>;</w:t>
      </w:r>
      <w:r w:rsidRPr="0083147A">
        <w:rPr>
          <w:rFonts w:ascii="Book Antiqua" w:hAnsi="Book Antiqua" w:cs="Times New Roman"/>
          <w:color w:val="000000" w:themeColor="text1"/>
        </w:rPr>
        <w:t xml:space="preserve"> </w:t>
      </w:r>
      <w:r w:rsidR="0085242A" w:rsidRPr="0083147A">
        <w:rPr>
          <w:rFonts w:ascii="Book Antiqua" w:hAnsi="Book Antiqua" w:cs="Times New Roman"/>
          <w:color w:val="000000" w:themeColor="text1"/>
        </w:rPr>
        <w:t>Hepatocellular carcinoma; Sorafenib; Surrogate marker; Intervention by pharmacists</w:t>
      </w:r>
    </w:p>
    <w:p w:rsidR="00291069" w:rsidRPr="0083147A" w:rsidRDefault="00291069" w:rsidP="00946207">
      <w:pPr>
        <w:spacing w:line="360" w:lineRule="auto"/>
        <w:rPr>
          <w:rFonts w:ascii="Book Antiqua" w:hAnsi="Book Antiqua" w:cs="Times New Roman"/>
          <w:color w:val="000000" w:themeColor="text1"/>
        </w:rPr>
      </w:pPr>
    </w:p>
    <w:p w:rsidR="00380ECF" w:rsidRPr="00A37D48" w:rsidRDefault="00380ECF" w:rsidP="00380ECF">
      <w:pPr>
        <w:adjustRightInd w:val="0"/>
        <w:snapToGrid w:val="0"/>
        <w:spacing w:line="360" w:lineRule="auto"/>
        <w:rPr>
          <w:rFonts w:ascii="Book Antiqua" w:hAnsi="Book Antiqua"/>
        </w:rPr>
      </w:pPr>
      <w:r w:rsidRPr="00A37D48">
        <w:rPr>
          <w:rFonts w:ascii="Book Antiqua" w:hAnsi="Book Antiqua"/>
          <w:b/>
        </w:rPr>
        <w:t xml:space="preserve">© The Author(s) </w:t>
      </w:r>
      <w:r>
        <w:rPr>
          <w:rFonts w:ascii="Book Antiqua" w:eastAsia="SimSun" w:hAnsi="Book Antiqua" w:hint="eastAsia"/>
          <w:b/>
          <w:lang w:eastAsia="zh-CN"/>
        </w:rPr>
        <w:t>2018</w:t>
      </w:r>
      <w:r w:rsidRPr="00A37D48">
        <w:rPr>
          <w:rFonts w:ascii="Book Antiqua" w:hAnsi="Book Antiqua"/>
          <w:b/>
        </w:rPr>
        <w:t xml:space="preserve">. </w:t>
      </w:r>
      <w:r w:rsidRPr="00A37D48">
        <w:rPr>
          <w:rFonts w:ascii="Book Antiqua" w:hAnsi="Book Antiqua"/>
        </w:rPr>
        <w:t xml:space="preserve">Published by </w:t>
      </w:r>
      <w:proofErr w:type="spellStart"/>
      <w:r w:rsidRPr="00A37D48">
        <w:rPr>
          <w:rFonts w:ascii="Book Antiqua" w:hAnsi="Book Antiqua"/>
        </w:rPr>
        <w:t>Baishideng</w:t>
      </w:r>
      <w:proofErr w:type="spellEnd"/>
      <w:r w:rsidRPr="00A37D48">
        <w:rPr>
          <w:rFonts w:ascii="Book Antiqua" w:hAnsi="Book Antiqua"/>
        </w:rPr>
        <w:t xml:space="preserve"> Publishing Group Inc. All rights reserved.</w:t>
      </w:r>
    </w:p>
    <w:p w:rsidR="00380ECF" w:rsidRDefault="00380ECF" w:rsidP="00946207">
      <w:pPr>
        <w:spacing w:line="360" w:lineRule="auto"/>
        <w:rPr>
          <w:rFonts w:ascii="Book Antiqua" w:eastAsia="SimSun" w:hAnsi="Book Antiqua" w:cs="Times New Roman"/>
          <w:b/>
          <w:color w:val="000000" w:themeColor="text1"/>
          <w:lang w:eastAsia="zh-CN"/>
        </w:rPr>
      </w:pPr>
    </w:p>
    <w:p w:rsidR="00407DF7" w:rsidRPr="0083147A" w:rsidRDefault="00407DF7" w:rsidP="00946207">
      <w:pPr>
        <w:spacing w:line="360" w:lineRule="auto"/>
        <w:rPr>
          <w:rFonts w:ascii="Book Antiqua" w:hAnsi="Book Antiqua" w:cs="Times New Roman"/>
          <w:color w:val="000000" w:themeColor="text1"/>
        </w:rPr>
      </w:pPr>
      <w:r w:rsidRPr="0083147A">
        <w:rPr>
          <w:rFonts w:ascii="Book Antiqua" w:hAnsi="Book Antiqua" w:cs="Times New Roman"/>
          <w:b/>
          <w:color w:val="000000" w:themeColor="text1"/>
        </w:rPr>
        <w:t>Core tip:</w:t>
      </w:r>
      <w:r w:rsidRPr="0083147A">
        <w:rPr>
          <w:rFonts w:ascii="Book Antiqua" w:hAnsi="Book Antiqua" w:cs="Times New Roman"/>
          <w:color w:val="000000" w:themeColor="text1"/>
        </w:rPr>
        <w:t xml:space="preserve"> </w:t>
      </w:r>
      <w:proofErr w:type="spellStart"/>
      <w:r w:rsidR="00085016" w:rsidRPr="0083147A">
        <w:rPr>
          <w:rFonts w:ascii="Book Antiqua" w:hAnsi="Book Antiqua"/>
        </w:rPr>
        <w:t>Sorafenib</w:t>
      </w:r>
      <w:proofErr w:type="spellEnd"/>
      <w:r w:rsidR="00085016" w:rsidRPr="0083147A">
        <w:rPr>
          <w:rFonts w:ascii="Book Antiqua" w:hAnsi="Book Antiqua"/>
        </w:rPr>
        <w:t xml:space="preserve"> is an oral anticancer drug associated with a high incidence of adve</w:t>
      </w:r>
      <w:r w:rsidR="009950A3" w:rsidRPr="0083147A">
        <w:rPr>
          <w:rFonts w:ascii="Book Antiqua" w:hAnsi="Book Antiqua"/>
        </w:rPr>
        <w:t>rse reactions. However, no studies have</w:t>
      </w:r>
      <w:r w:rsidR="00085016" w:rsidRPr="0083147A">
        <w:rPr>
          <w:rFonts w:ascii="Book Antiqua" w:hAnsi="Book Antiqua"/>
        </w:rPr>
        <w:t xml:space="preserve"> evaluated its therapeutic eff</w:t>
      </w:r>
      <w:r w:rsidR="009950A3" w:rsidRPr="0083147A">
        <w:rPr>
          <w:rFonts w:ascii="Book Antiqua" w:hAnsi="Book Antiqua"/>
        </w:rPr>
        <w:t>icacy</w:t>
      </w:r>
      <w:r w:rsidR="00085016" w:rsidRPr="0083147A">
        <w:rPr>
          <w:rFonts w:ascii="Book Antiqua" w:hAnsi="Book Antiqua"/>
        </w:rPr>
        <w:t xml:space="preserve"> under </w:t>
      </w:r>
      <w:r w:rsidR="009950A3" w:rsidRPr="0083147A">
        <w:rPr>
          <w:rFonts w:ascii="Book Antiqua" w:hAnsi="Book Antiqua"/>
        </w:rPr>
        <w:t xml:space="preserve">improved </w:t>
      </w:r>
      <w:r w:rsidR="00085016" w:rsidRPr="0083147A">
        <w:rPr>
          <w:rFonts w:ascii="Book Antiqua" w:hAnsi="Book Antiqua"/>
        </w:rPr>
        <w:t>adherence. A surrogate mark</w:t>
      </w:r>
      <w:r w:rsidR="009950A3" w:rsidRPr="0083147A">
        <w:rPr>
          <w:rFonts w:ascii="Book Antiqua" w:hAnsi="Book Antiqua"/>
        </w:rPr>
        <w:t>er of significant improvement in</w:t>
      </w:r>
      <w:r w:rsidR="00085016" w:rsidRPr="0083147A">
        <w:rPr>
          <w:rFonts w:ascii="Book Antiqua" w:hAnsi="Book Antiqua"/>
        </w:rPr>
        <w:t xml:space="preserve"> </w:t>
      </w:r>
      <w:r w:rsidR="00970B6E" w:rsidRPr="0083147A">
        <w:rPr>
          <w:rFonts w:ascii="Book Antiqua" w:hAnsi="Book Antiqua" w:cs="Times New Roman"/>
          <w:color w:val="000000" w:themeColor="text1"/>
        </w:rPr>
        <w:t xml:space="preserve">overall survival </w:t>
      </w:r>
      <w:r w:rsidR="00085016" w:rsidRPr="0083147A">
        <w:rPr>
          <w:rFonts w:ascii="Book Antiqua" w:hAnsi="Book Antiqua"/>
        </w:rPr>
        <w:t xml:space="preserve">under </w:t>
      </w:r>
      <w:r w:rsidR="009950A3" w:rsidRPr="0083147A">
        <w:rPr>
          <w:rFonts w:ascii="Book Antiqua" w:hAnsi="Book Antiqua"/>
        </w:rPr>
        <w:t xml:space="preserve">improved </w:t>
      </w:r>
      <w:r w:rsidR="00085016" w:rsidRPr="0083147A">
        <w:rPr>
          <w:rFonts w:ascii="Book Antiqua" w:hAnsi="Book Antiqua"/>
        </w:rPr>
        <w:t xml:space="preserve">adherence in advanced hepatocellular carcinoma patients after the introduction of </w:t>
      </w:r>
      <w:proofErr w:type="spellStart"/>
      <w:r w:rsidR="00085016" w:rsidRPr="0083147A">
        <w:rPr>
          <w:rFonts w:ascii="Book Antiqua" w:hAnsi="Book Antiqua"/>
        </w:rPr>
        <w:t>sorafenib</w:t>
      </w:r>
      <w:proofErr w:type="spellEnd"/>
      <w:r w:rsidR="00085016" w:rsidRPr="0083147A">
        <w:rPr>
          <w:rFonts w:ascii="Book Antiqua" w:hAnsi="Book Antiqua"/>
        </w:rPr>
        <w:t xml:space="preserve"> was </w:t>
      </w:r>
      <w:proofErr w:type="spellStart"/>
      <w:r w:rsidR="00D855D2">
        <w:rPr>
          <w:rFonts w:ascii="Book Antiqua" w:hAnsi="Book Antiqua" w:cs="Times New Roman"/>
          <w:color w:val="000000" w:themeColor="text1"/>
        </w:rPr>
        <w:t>multikinase</w:t>
      </w:r>
      <w:proofErr w:type="spellEnd"/>
      <w:r w:rsidR="00D855D2">
        <w:rPr>
          <w:rFonts w:ascii="Book Antiqua" w:hAnsi="Book Antiqua" w:cs="Times New Roman"/>
          <w:color w:val="000000" w:themeColor="text1"/>
        </w:rPr>
        <w:t xml:space="preserve"> inhibitor</w:t>
      </w:r>
      <w:r w:rsidR="00085016" w:rsidRPr="0083147A">
        <w:rPr>
          <w:rFonts w:ascii="Book Antiqua" w:hAnsi="Book Antiqua"/>
        </w:rPr>
        <w:t xml:space="preserve">-associated </w:t>
      </w:r>
      <w:r w:rsidR="00F373E6" w:rsidRPr="0083147A">
        <w:rPr>
          <w:rFonts w:ascii="Book Antiqua" w:hAnsi="Book Antiqua" w:cs="Times New Roman"/>
          <w:color w:val="000000" w:themeColor="text1"/>
        </w:rPr>
        <w:t>hand-foot skin reaction</w:t>
      </w:r>
      <w:r w:rsidR="00085016" w:rsidRPr="0083147A">
        <w:rPr>
          <w:rFonts w:ascii="Book Antiqua" w:hAnsi="Book Antiqua"/>
        </w:rPr>
        <w:t>. Intervention by healthcare providers, including pharmacists specia</w:t>
      </w:r>
      <w:r w:rsidR="0037617B" w:rsidRPr="0083147A">
        <w:rPr>
          <w:rFonts w:ascii="Book Antiqua" w:hAnsi="Book Antiqua"/>
        </w:rPr>
        <w:t>lizing in cancer treatment, has</w:t>
      </w:r>
      <w:r w:rsidR="00F013C3" w:rsidRPr="0083147A">
        <w:rPr>
          <w:rFonts w:ascii="Book Antiqua" w:hAnsi="Book Antiqua"/>
        </w:rPr>
        <w:t xml:space="preserve"> improved patient</w:t>
      </w:r>
      <w:r w:rsidR="00085016" w:rsidRPr="0083147A">
        <w:rPr>
          <w:rFonts w:ascii="Book Antiqua" w:hAnsi="Book Antiqua"/>
        </w:rPr>
        <w:t xml:space="preserve"> adherence, contributing to the true response to sorafenib treatment.</w:t>
      </w:r>
    </w:p>
    <w:p w:rsidR="00407DF7" w:rsidRPr="0083147A" w:rsidRDefault="00407DF7" w:rsidP="00946207">
      <w:pPr>
        <w:spacing w:line="360" w:lineRule="auto"/>
        <w:rPr>
          <w:rFonts w:ascii="Book Antiqua" w:hAnsi="Book Antiqua" w:cs="Times New Roman"/>
          <w:color w:val="000000" w:themeColor="text1"/>
        </w:rPr>
      </w:pPr>
    </w:p>
    <w:p w:rsidR="00FA56F6" w:rsidRPr="0083147A" w:rsidRDefault="001708F0" w:rsidP="00946207">
      <w:pPr>
        <w:spacing w:line="360" w:lineRule="auto"/>
        <w:rPr>
          <w:rFonts w:ascii="Book Antiqua" w:hAnsi="Book Antiqua" w:cs="Times New Roman"/>
          <w:color w:val="000000" w:themeColor="text1"/>
        </w:rPr>
      </w:pPr>
      <w:r w:rsidRPr="0083147A">
        <w:rPr>
          <w:rFonts w:ascii="Book Antiqua" w:hAnsi="Book Antiqua" w:cs="Times New Roman"/>
          <w:color w:val="000000" w:themeColor="text1"/>
        </w:rPr>
        <w:t>Ochi M</w:t>
      </w:r>
      <w:r w:rsidRPr="0083147A">
        <w:rPr>
          <w:rFonts w:ascii="Book Antiqua" w:hAnsi="Book Antiqua" w:cs="Times New Roman"/>
          <w:bCs/>
          <w:color w:val="000000" w:themeColor="text1"/>
        </w:rPr>
        <w:t xml:space="preserve">, </w:t>
      </w:r>
      <w:proofErr w:type="spellStart"/>
      <w:r w:rsidRPr="0083147A">
        <w:rPr>
          <w:rFonts w:ascii="Book Antiqua" w:hAnsi="Book Antiqua" w:cs="Times New Roman"/>
          <w:color w:val="000000" w:themeColor="text1"/>
        </w:rPr>
        <w:t>Kamoshida</w:t>
      </w:r>
      <w:proofErr w:type="spellEnd"/>
      <w:r w:rsidRPr="0083147A">
        <w:rPr>
          <w:rFonts w:ascii="Book Antiqua" w:hAnsi="Book Antiqua" w:cs="Times New Roman"/>
          <w:color w:val="000000" w:themeColor="text1"/>
        </w:rPr>
        <w:t xml:space="preserve"> T, </w:t>
      </w:r>
      <w:proofErr w:type="spellStart"/>
      <w:r w:rsidRPr="0083147A">
        <w:rPr>
          <w:rFonts w:ascii="Book Antiqua" w:hAnsi="Book Antiqua" w:cs="Times New Roman"/>
          <w:color w:val="000000" w:themeColor="text1"/>
        </w:rPr>
        <w:t>Ohkawara</w:t>
      </w:r>
      <w:proofErr w:type="spellEnd"/>
      <w:r w:rsidRPr="0083147A">
        <w:rPr>
          <w:rFonts w:ascii="Book Antiqua" w:hAnsi="Book Antiqua" w:cs="Times New Roman"/>
          <w:color w:val="000000" w:themeColor="text1"/>
        </w:rPr>
        <w:t xml:space="preserve"> A, </w:t>
      </w:r>
      <w:proofErr w:type="spellStart"/>
      <w:r w:rsidRPr="0083147A">
        <w:rPr>
          <w:rFonts w:ascii="Book Antiqua" w:hAnsi="Book Antiqua" w:cs="Times New Roman"/>
          <w:color w:val="000000" w:themeColor="text1"/>
        </w:rPr>
        <w:t>Ohkawara</w:t>
      </w:r>
      <w:proofErr w:type="spellEnd"/>
      <w:r w:rsidRPr="0083147A">
        <w:rPr>
          <w:rFonts w:ascii="Book Antiqua" w:hAnsi="Book Antiqua" w:cs="Times New Roman"/>
          <w:color w:val="000000" w:themeColor="text1"/>
        </w:rPr>
        <w:t xml:space="preserve"> H, </w:t>
      </w:r>
      <w:proofErr w:type="spellStart"/>
      <w:r w:rsidRPr="0083147A">
        <w:rPr>
          <w:rFonts w:ascii="Book Antiqua" w:hAnsi="Book Antiqua" w:cs="Times New Roman"/>
          <w:color w:val="000000" w:themeColor="text1"/>
        </w:rPr>
        <w:t>Kakinoki</w:t>
      </w:r>
      <w:proofErr w:type="spellEnd"/>
      <w:r w:rsidRPr="0083147A">
        <w:rPr>
          <w:rFonts w:ascii="Book Antiqua" w:hAnsi="Book Antiqua" w:cs="Times New Roman"/>
          <w:color w:val="000000" w:themeColor="text1"/>
        </w:rPr>
        <w:t xml:space="preserve"> N, Hirai S, </w:t>
      </w:r>
      <w:proofErr w:type="spellStart"/>
      <w:r w:rsidRPr="0083147A">
        <w:rPr>
          <w:rFonts w:ascii="Book Antiqua" w:hAnsi="Book Antiqua" w:cs="Times New Roman"/>
          <w:color w:val="000000" w:themeColor="text1"/>
        </w:rPr>
        <w:t>Yanaka</w:t>
      </w:r>
      <w:proofErr w:type="spellEnd"/>
      <w:r w:rsidRPr="0083147A">
        <w:rPr>
          <w:rFonts w:ascii="Book Antiqua" w:hAnsi="Book Antiqua" w:cs="Times New Roman"/>
          <w:color w:val="000000" w:themeColor="text1"/>
        </w:rPr>
        <w:t xml:space="preserve"> A. </w:t>
      </w:r>
      <w:proofErr w:type="spellStart"/>
      <w:r w:rsidRPr="0083147A">
        <w:rPr>
          <w:rFonts w:ascii="Book Antiqua" w:hAnsi="Book Antiqua"/>
        </w:rPr>
        <w:t>Multikinase</w:t>
      </w:r>
      <w:proofErr w:type="spellEnd"/>
      <w:r w:rsidRPr="0083147A">
        <w:rPr>
          <w:rFonts w:ascii="Book Antiqua" w:hAnsi="Book Antiqua"/>
        </w:rPr>
        <w:t xml:space="preserve"> inhibitor</w:t>
      </w:r>
      <w:r w:rsidR="008D3D97" w:rsidRPr="0083147A">
        <w:rPr>
          <w:rFonts w:ascii="Book Antiqua" w:hAnsi="Book Antiqua"/>
        </w:rPr>
        <w:t>-</w:t>
      </w:r>
      <w:r w:rsidRPr="0083147A">
        <w:rPr>
          <w:rFonts w:ascii="Book Antiqua" w:hAnsi="Book Antiqua"/>
        </w:rPr>
        <w:t>associated</w:t>
      </w:r>
      <w:r w:rsidRPr="0083147A">
        <w:rPr>
          <w:rFonts w:ascii="Book Antiqua" w:hAnsi="Book Antiqua" w:cs="Times New Roman"/>
          <w:color w:val="000000" w:themeColor="text1"/>
        </w:rPr>
        <w:t xml:space="preserve"> </w:t>
      </w:r>
      <w:r w:rsidR="00FF67A1" w:rsidRPr="0083147A">
        <w:rPr>
          <w:rFonts w:ascii="Book Antiqua" w:hAnsi="Book Antiqua" w:cs="Times New Roman"/>
          <w:color w:val="000000" w:themeColor="text1"/>
        </w:rPr>
        <w:t xml:space="preserve">hand-foot </w:t>
      </w:r>
      <w:r w:rsidRPr="0083147A">
        <w:rPr>
          <w:rFonts w:ascii="Book Antiqua" w:hAnsi="Book Antiqua" w:cs="Times New Roman"/>
          <w:color w:val="000000" w:themeColor="text1"/>
        </w:rPr>
        <w:t xml:space="preserve">skin </w:t>
      </w:r>
      <w:r w:rsidR="00FF67A1" w:rsidRPr="0083147A">
        <w:rPr>
          <w:rFonts w:ascii="Book Antiqua" w:hAnsi="Book Antiqua" w:cs="Times New Roman"/>
          <w:color w:val="000000" w:themeColor="text1"/>
        </w:rPr>
        <w:t>reaction</w:t>
      </w:r>
      <w:r w:rsidRPr="0083147A">
        <w:rPr>
          <w:rFonts w:ascii="Book Antiqua" w:hAnsi="Book Antiqua" w:cs="Times New Roman"/>
          <w:color w:val="000000" w:themeColor="text1"/>
        </w:rPr>
        <w:t xml:space="preserve"> as a predictor of outcomes in patients with hepatocellular carcinoma treated with </w:t>
      </w:r>
      <w:proofErr w:type="spellStart"/>
      <w:r w:rsidRPr="0083147A">
        <w:rPr>
          <w:rFonts w:ascii="Book Antiqua" w:hAnsi="Book Antiqua" w:cs="Times New Roman"/>
          <w:color w:val="000000" w:themeColor="text1"/>
        </w:rPr>
        <w:t>sorafenib</w:t>
      </w:r>
      <w:proofErr w:type="spellEnd"/>
      <w:r w:rsidRPr="0083147A">
        <w:rPr>
          <w:rFonts w:ascii="Book Antiqua" w:hAnsi="Book Antiqua" w:cs="Times New Roman"/>
          <w:color w:val="000000" w:themeColor="text1"/>
        </w:rPr>
        <w:t>.</w:t>
      </w:r>
      <w:r w:rsidR="002A14CD" w:rsidRPr="002A14CD">
        <w:rPr>
          <w:rFonts w:ascii="Book Antiqua" w:hAnsi="Book Antiqua"/>
          <w:i/>
          <w:color w:val="000000"/>
          <w:lang w:eastAsia="zh-CN"/>
        </w:rPr>
        <w:t xml:space="preserve"> </w:t>
      </w:r>
      <w:r w:rsidR="002A14CD" w:rsidRPr="00A37D48">
        <w:rPr>
          <w:rFonts w:ascii="Book Antiqua" w:hAnsi="Book Antiqua"/>
          <w:i/>
          <w:color w:val="000000"/>
          <w:lang w:eastAsia="zh-CN"/>
        </w:rPr>
        <w:t xml:space="preserve">World J </w:t>
      </w:r>
      <w:proofErr w:type="spellStart"/>
      <w:r w:rsidR="002A14CD" w:rsidRPr="00A37D48">
        <w:rPr>
          <w:rFonts w:ascii="Book Antiqua" w:hAnsi="Book Antiqua"/>
          <w:i/>
          <w:color w:val="000000"/>
          <w:lang w:eastAsia="zh-CN"/>
        </w:rPr>
        <w:t>Gastroenterol</w:t>
      </w:r>
      <w:proofErr w:type="spellEnd"/>
      <w:r w:rsidR="002A14CD" w:rsidRPr="00A37D48">
        <w:rPr>
          <w:rFonts w:ascii="Book Antiqua" w:hAnsi="Book Antiqua"/>
          <w:color w:val="000000"/>
          <w:lang w:eastAsia="zh-CN"/>
        </w:rPr>
        <w:t xml:space="preserve"> </w:t>
      </w:r>
      <w:r w:rsidR="002A14CD">
        <w:rPr>
          <w:rFonts w:ascii="Book Antiqua" w:eastAsia="SimSun" w:hAnsi="Book Antiqua" w:hint="eastAsia"/>
          <w:color w:val="000000"/>
          <w:lang w:eastAsia="zh-CN"/>
        </w:rPr>
        <w:t>2018</w:t>
      </w:r>
      <w:r w:rsidR="002A14CD" w:rsidRPr="00A37D48">
        <w:rPr>
          <w:rFonts w:ascii="Book Antiqua" w:hAnsi="Book Antiqua"/>
          <w:color w:val="000000"/>
          <w:lang w:eastAsia="zh-CN"/>
        </w:rPr>
        <w:t xml:space="preserve">; </w:t>
      </w:r>
      <w:proofErr w:type="gramStart"/>
      <w:r w:rsidR="002A14CD" w:rsidRPr="00A37D48">
        <w:rPr>
          <w:rFonts w:ascii="Book Antiqua" w:hAnsi="Book Antiqua"/>
          <w:color w:val="000000"/>
          <w:lang w:eastAsia="zh-CN"/>
        </w:rPr>
        <w:t>In</w:t>
      </w:r>
      <w:proofErr w:type="gramEnd"/>
      <w:r w:rsidR="002A14CD" w:rsidRPr="00A37D48">
        <w:rPr>
          <w:rFonts w:ascii="Book Antiqua" w:hAnsi="Book Antiqua"/>
          <w:color w:val="000000"/>
          <w:lang w:eastAsia="zh-CN"/>
        </w:rPr>
        <w:t xml:space="preserve"> press</w:t>
      </w:r>
    </w:p>
    <w:p w:rsidR="00FA56F6" w:rsidRPr="0083147A" w:rsidRDefault="00FA56F6" w:rsidP="00946207">
      <w:pPr>
        <w:spacing w:line="360" w:lineRule="auto"/>
        <w:rPr>
          <w:rFonts w:ascii="Book Antiqua" w:hAnsi="Book Antiqua" w:cs="Times New Roman"/>
          <w:color w:val="000000" w:themeColor="text1"/>
        </w:rPr>
      </w:pPr>
    </w:p>
    <w:p w:rsidR="00391825" w:rsidRDefault="00391825">
      <w:pPr>
        <w:widowControl/>
        <w:jc w:val="left"/>
        <w:rPr>
          <w:rFonts w:ascii="Book Antiqua" w:eastAsia="SimSun" w:hAnsi="Book Antiqua" w:cs="Times New Roman"/>
          <w:b/>
          <w:color w:val="000000" w:themeColor="text1"/>
          <w:lang w:eastAsia="zh-CN"/>
        </w:rPr>
      </w:pPr>
      <w:r>
        <w:rPr>
          <w:rFonts w:ascii="Book Antiqua" w:eastAsia="SimSun" w:hAnsi="Book Antiqua" w:cs="Times New Roman"/>
          <w:b/>
          <w:color w:val="000000" w:themeColor="text1"/>
          <w:lang w:eastAsia="zh-CN"/>
        </w:rPr>
        <w:br w:type="page"/>
      </w:r>
    </w:p>
    <w:p w:rsidR="00E672CF" w:rsidRPr="0083147A" w:rsidRDefault="001708F0" w:rsidP="00946207">
      <w:pPr>
        <w:spacing w:line="360" w:lineRule="auto"/>
        <w:outlineLvl w:val="0"/>
        <w:rPr>
          <w:rFonts w:ascii="Book Antiqua" w:hAnsi="Book Antiqua" w:cs="Times New Roman"/>
          <w:b/>
          <w:color w:val="000000" w:themeColor="text1"/>
        </w:rPr>
      </w:pPr>
      <w:r w:rsidRPr="0083147A">
        <w:rPr>
          <w:rFonts w:ascii="Book Antiqua" w:hAnsi="Book Antiqua" w:cs="Times New Roman"/>
          <w:b/>
          <w:color w:val="000000" w:themeColor="text1"/>
        </w:rPr>
        <w:lastRenderedPageBreak/>
        <w:t>INTRODUCTION</w:t>
      </w:r>
    </w:p>
    <w:p w:rsidR="001B3FB9" w:rsidRPr="0083147A" w:rsidRDefault="00E672CF" w:rsidP="00946207">
      <w:pPr>
        <w:spacing w:line="360" w:lineRule="auto"/>
        <w:rPr>
          <w:rFonts w:ascii="Book Antiqua" w:hAnsi="Book Antiqua" w:cs="Times New Roman"/>
          <w:color w:val="000000" w:themeColor="text1"/>
        </w:rPr>
      </w:pPr>
      <w:r w:rsidRPr="0083147A">
        <w:rPr>
          <w:rFonts w:ascii="Book Antiqua" w:hAnsi="Book Antiqua" w:cs="Times New Roman"/>
          <w:color w:val="000000" w:themeColor="text1"/>
        </w:rPr>
        <w:t xml:space="preserve">A double-blind, randomized phase III study of sorafenib therapy for advanced hepatocellular carcinoma </w:t>
      </w:r>
      <w:r w:rsidR="001B3FB9" w:rsidRPr="0083147A">
        <w:rPr>
          <w:rFonts w:ascii="Book Antiqua" w:hAnsi="Book Antiqua" w:cs="Times New Roman"/>
          <w:color w:val="000000" w:themeColor="text1"/>
        </w:rPr>
        <w:t xml:space="preserve">was </w:t>
      </w:r>
      <w:r w:rsidR="00C5073E" w:rsidRPr="0083147A">
        <w:rPr>
          <w:rFonts w:ascii="Book Antiqua" w:hAnsi="Book Antiqua" w:cs="Times New Roman"/>
          <w:color w:val="000000" w:themeColor="text1"/>
        </w:rPr>
        <w:t xml:space="preserve">previously </w:t>
      </w:r>
      <w:r w:rsidR="001B3FB9" w:rsidRPr="0083147A">
        <w:rPr>
          <w:rFonts w:ascii="Book Antiqua" w:hAnsi="Book Antiqua" w:cs="Times New Roman"/>
          <w:color w:val="000000" w:themeColor="text1"/>
        </w:rPr>
        <w:t xml:space="preserve">conducted. </w:t>
      </w:r>
      <w:r w:rsidR="005A04C2" w:rsidRPr="0083147A">
        <w:rPr>
          <w:rFonts w:ascii="Book Antiqua" w:hAnsi="Book Antiqua" w:cs="Times New Roman"/>
          <w:color w:val="000000" w:themeColor="text1"/>
        </w:rPr>
        <w:t>T</w:t>
      </w:r>
      <w:r w:rsidR="001B3FB9" w:rsidRPr="0083147A">
        <w:rPr>
          <w:rFonts w:ascii="Book Antiqua" w:hAnsi="Book Antiqua" w:cs="Times New Roman"/>
          <w:color w:val="000000" w:themeColor="text1"/>
        </w:rPr>
        <w:t>he time to progression (TTP) and overall survival (OS)</w:t>
      </w:r>
      <w:r w:rsidR="005A04C2" w:rsidRPr="0083147A">
        <w:rPr>
          <w:rFonts w:ascii="Book Antiqua" w:hAnsi="Book Antiqua" w:cs="Times New Roman"/>
          <w:color w:val="000000" w:themeColor="text1"/>
        </w:rPr>
        <w:t xml:space="preserve"> were</w:t>
      </w:r>
      <w:r w:rsidR="001B3FB9" w:rsidRPr="0083147A">
        <w:rPr>
          <w:rFonts w:ascii="Book Antiqua" w:hAnsi="Book Antiqua" w:cs="Times New Roman"/>
          <w:color w:val="000000" w:themeColor="text1"/>
        </w:rPr>
        <w:t xml:space="preserve"> </w:t>
      </w:r>
      <w:r w:rsidR="005A04C2" w:rsidRPr="0083147A">
        <w:rPr>
          <w:rFonts w:ascii="Book Antiqua" w:hAnsi="Book Antiqua" w:cs="Times New Roman"/>
          <w:color w:val="000000" w:themeColor="text1"/>
        </w:rPr>
        <w:t>significantly longer in the sorafenib-treated group than</w:t>
      </w:r>
      <w:r w:rsidR="00C5073E" w:rsidRPr="0083147A">
        <w:rPr>
          <w:rFonts w:ascii="Book Antiqua" w:hAnsi="Book Antiqua" w:cs="Times New Roman"/>
          <w:color w:val="000000" w:themeColor="text1"/>
        </w:rPr>
        <w:t xml:space="preserve"> in</w:t>
      </w:r>
      <w:r w:rsidR="001B3FB9" w:rsidRPr="0083147A">
        <w:rPr>
          <w:rFonts w:ascii="Book Antiqua" w:hAnsi="Book Antiqua" w:cs="Times New Roman"/>
          <w:color w:val="000000" w:themeColor="text1"/>
        </w:rPr>
        <w:t xml:space="preserve"> the placebo </w:t>
      </w:r>
      <w:proofErr w:type="gramStart"/>
      <w:r w:rsidR="001B3FB9" w:rsidRPr="0083147A">
        <w:rPr>
          <w:rFonts w:ascii="Book Antiqua" w:hAnsi="Book Antiqua" w:cs="Times New Roman"/>
          <w:color w:val="000000" w:themeColor="text1"/>
        </w:rPr>
        <w:t>group</w:t>
      </w:r>
      <w:r w:rsidR="001B3FB9" w:rsidRPr="0083147A">
        <w:rPr>
          <w:rFonts w:ascii="Book Antiqua" w:hAnsi="Book Antiqua" w:cs="Times New Roman"/>
          <w:color w:val="000000" w:themeColor="text1"/>
          <w:vertAlign w:val="superscript"/>
        </w:rPr>
        <w:t>[</w:t>
      </w:r>
      <w:proofErr w:type="gramEnd"/>
      <w:r w:rsidR="001B3FB9" w:rsidRPr="0083147A">
        <w:rPr>
          <w:rFonts w:ascii="Book Antiqua" w:hAnsi="Book Antiqua" w:cs="Times New Roman"/>
          <w:color w:val="000000" w:themeColor="text1"/>
          <w:vertAlign w:val="superscript"/>
        </w:rPr>
        <w:t>1-4]</w:t>
      </w:r>
      <w:r w:rsidR="001B3FB9" w:rsidRPr="0083147A">
        <w:rPr>
          <w:rFonts w:ascii="Book Antiqua" w:hAnsi="Book Antiqua" w:cs="Times New Roman"/>
          <w:color w:val="000000" w:themeColor="text1"/>
        </w:rPr>
        <w:t xml:space="preserve">. In addition, randomized phase III studies </w:t>
      </w:r>
      <w:r w:rsidR="009950A3" w:rsidRPr="0083147A">
        <w:rPr>
          <w:rFonts w:ascii="Book Antiqua" w:hAnsi="Book Antiqua" w:cs="Times New Roman"/>
          <w:color w:val="000000" w:themeColor="text1"/>
        </w:rPr>
        <w:t xml:space="preserve">using </w:t>
      </w:r>
      <w:proofErr w:type="spellStart"/>
      <w:r w:rsidR="009950A3" w:rsidRPr="0083147A">
        <w:rPr>
          <w:rFonts w:ascii="Book Antiqua" w:hAnsi="Book Antiqua" w:cs="Times New Roman"/>
          <w:color w:val="000000" w:themeColor="text1"/>
        </w:rPr>
        <w:t>sunitinib</w:t>
      </w:r>
      <w:proofErr w:type="spellEnd"/>
      <w:r w:rsidR="009950A3" w:rsidRPr="0083147A">
        <w:rPr>
          <w:rFonts w:ascii="Book Antiqua" w:hAnsi="Book Antiqua" w:cs="Times New Roman"/>
          <w:color w:val="000000" w:themeColor="text1"/>
        </w:rPr>
        <w:t xml:space="preserve"> or </w:t>
      </w:r>
      <w:proofErr w:type="spellStart"/>
      <w:r w:rsidR="009950A3" w:rsidRPr="0083147A">
        <w:rPr>
          <w:rFonts w:ascii="Book Antiqua" w:hAnsi="Book Antiqua" w:cs="Times New Roman"/>
          <w:color w:val="000000" w:themeColor="text1"/>
        </w:rPr>
        <w:t>brivanib</w:t>
      </w:r>
      <w:proofErr w:type="spellEnd"/>
      <w:r w:rsidR="009950A3" w:rsidRPr="0083147A">
        <w:rPr>
          <w:rFonts w:ascii="Book Antiqua" w:hAnsi="Book Antiqua" w:cs="Times New Roman"/>
          <w:color w:val="000000" w:themeColor="text1"/>
        </w:rPr>
        <w:t xml:space="preserve"> have been</w:t>
      </w:r>
      <w:r w:rsidR="001B3FB9" w:rsidRPr="0083147A">
        <w:rPr>
          <w:rFonts w:ascii="Book Antiqua" w:hAnsi="Book Antiqua" w:cs="Times New Roman"/>
          <w:color w:val="000000" w:themeColor="text1"/>
        </w:rPr>
        <w:t xml:space="preserve"> performed, </w:t>
      </w:r>
      <w:r w:rsidR="00C5073E" w:rsidRPr="0083147A">
        <w:rPr>
          <w:rFonts w:ascii="Book Antiqua" w:hAnsi="Book Antiqua" w:cs="Times New Roman"/>
          <w:color w:val="000000" w:themeColor="text1"/>
        </w:rPr>
        <w:t>and</w:t>
      </w:r>
      <w:r w:rsidR="001B3FB9" w:rsidRPr="0083147A">
        <w:rPr>
          <w:rFonts w:ascii="Book Antiqua" w:hAnsi="Book Antiqua" w:cs="Times New Roman"/>
          <w:color w:val="000000" w:themeColor="text1"/>
        </w:rPr>
        <w:t xml:space="preserve"> no significant differences </w:t>
      </w:r>
      <w:r w:rsidR="00C5073E" w:rsidRPr="0083147A">
        <w:rPr>
          <w:rFonts w:ascii="Book Antiqua" w:hAnsi="Book Antiqua" w:cs="Times New Roman"/>
          <w:color w:val="000000" w:themeColor="text1"/>
        </w:rPr>
        <w:t>were observed from</w:t>
      </w:r>
      <w:r w:rsidR="001B3FB9" w:rsidRPr="0083147A">
        <w:rPr>
          <w:rFonts w:ascii="Book Antiqua" w:hAnsi="Book Antiqua" w:cs="Times New Roman"/>
          <w:color w:val="000000" w:themeColor="text1"/>
        </w:rPr>
        <w:t xml:space="preserve"> </w:t>
      </w:r>
      <w:proofErr w:type="gramStart"/>
      <w:r w:rsidR="001B3FB9" w:rsidRPr="0083147A">
        <w:rPr>
          <w:rFonts w:ascii="Book Antiqua" w:hAnsi="Book Antiqua" w:cs="Times New Roman"/>
          <w:color w:val="000000" w:themeColor="text1"/>
        </w:rPr>
        <w:t>sorafenib</w:t>
      </w:r>
      <w:r w:rsidR="001B3FB9" w:rsidRPr="0083147A">
        <w:rPr>
          <w:rFonts w:ascii="Book Antiqua" w:hAnsi="Book Antiqua" w:cs="Times New Roman"/>
          <w:color w:val="000000" w:themeColor="text1"/>
          <w:vertAlign w:val="superscript"/>
        </w:rPr>
        <w:t>[</w:t>
      </w:r>
      <w:proofErr w:type="gramEnd"/>
      <w:r w:rsidR="001B3FB9" w:rsidRPr="0083147A">
        <w:rPr>
          <w:rFonts w:ascii="Book Antiqua" w:hAnsi="Book Antiqua" w:cs="Times New Roman"/>
          <w:color w:val="000000" w:themeColor="text1"/>
          <w:vertAlign w:val="superscript"/>
        </w:rPr>
        <w:t>5,6]</w:t>
      </w:r>
      <w:r w:rsidR="001B3FB9" w:rsidRPr="0083147A">
        <w:rPr>
          <w:rFonts w:ascii="Book Antiqua" w:hAnsi="Book Antiqua" w:cs="Times New Roman"/>
          <w:color w:val="000000" w:themeColor="text1"/>
        </w:rPr>
        <w:t xml:space="preserve">. A randomized phase III study using </w:t>
      </w:r>
      <w:r w:rsidR="006B3DE7" w:rsidRPr="0083147A">
        <w:rPr>
          <w:rFonts w:ascii="Book Antiqua" w:hAnsi="Book Antiqua" w:cs="Times New Roman"/>
          <w:color w:val="000000" w:themeColor="text1"/>
        </w:rPr>
        <w:t>regorafenib</w:t>
      </w:r>
      <w:r w:rsidR="001B3FB9" w:rsidRPr="0083147A">
        <w:rPr>
          <w:rFonts w:ascii="Book Antiqua" w:hAnsi="Book Antiqua" w:cs="Times New Roman"/>
          <w:color w:val="000000" w:themeColor="text1"/>
        </w:rPr>
        <w:t xml:space="preserve"> </w:t>
      </w:r>
      <w:r w:rsidR="00C5073E" w:rsidRPr="0083147A">
        <w:rPr>
          <w:rFonts w:ascii="Book Antiqua" w:hAnsi="Book Antiqua" w:cs="Times New Roman"/>
          <w:color w:val="000000" w:themeColor="text1"/>
        </w:rPr>
        <w:t>demonstrated</w:t>
      </w:r>
      <w:r w:rsidR="001B3FB9" w:rsidRPr="0083147A">
        <w:rPr>
          <w:rFonts w:ascii="Book Antiqua" w:hAnsi="Book Antiqua" w:cs="Times New Roman"/>
          <w:color w:val="000000" w:themeColor="text1"/>
        </w:rPr>
        <w:t xml:space="preserve"> that this drug significantly prolonged OS </w:t>
      </w:r>
      <w:r w:rsidR="009950A3" w:rsidRPr="0083147A">
        <w:rPr>
          <w:rFonts w:ascii="Book Antiqua" w:hAnsi="Book Antiqua" w:cs="Times New Roman"/>
          <w:color w:val="000000" w:themeColor="text1"/>
        </w:rPr>
        <w:t>compared with</w:t>
      </w:r>
      <w:r w:rsidR="00C5073E" w:rsidRPr="0083147A">
        <w:rPr>
          <w:rFonts w:ascii="Book Antiqua" w:hAnsi="Book Antiqua" w:cs="Times New Roman"/>
          <w:color w:val="000000" w:themeColor="text1"/>
        </w:rPr>
        <w:t xml:space="preserve"> that in</w:t>
      </w:r>
      <w:r w:rsidR="001B3FB9" w:rsidRPr="0083147A">
        <w:rPr>
          <w:rFonts w:ascii="Book Antiqua" w:hAnsi="Book Antiqua" w:cs="Times New Roman"/>
          <w:color w:val="000000" w:themeColor="text1"/>
        </w:rPr>
        <w:t xml:space="preserve"> the placebo group</w:t>
      </w:r>
      <w:r w:rsidR="00C5073E" w:rsidRPr="0083147A">
        <w:rPr>
          <w:rFonts w:ascii="Book Antiqua" w:hAnsi="Book Antiqua" w:cs="Times New Roman"/>
          <w:color w:val="000000" w:themeColor="text1"/>
        </w:rPr>
        <w:t>; however,</w:t>
      </w:r>
      <w:r w:rsidR="001B3FB9" w:rsidRPr="0083147A">
        <w:rPr>
          <w:rFonts w:ascii="Book Antiqua" w:hAnsi="Book Antiqua" w:cs="Times New Roman"/>
          <w:color w:val="000000" w:themeColor="text1"/>
        </w:rPr>
        <w:t xml:space="preserve"> there is </w:t>
      </w:r>
      <w:r w:rsidR="00C5073E" w:rsidRPr="0083147A">
        <w:rPr>
          <w:rFonts w:ascii="Book Antiqua" w:hAnsi="Book Antiqua" w:cs="Times New Roman"/>
          <w:color w:val="000000" w:themeColor="text1"/>
        </w:rPr>
        <w:t xml:space="preserve">currently </w:t>
      </w:r>
      <w:r w:rsidR="001B3FB9" w:rsidRPr="0083147A">
        <w:rPr>
          <w:rFonts w:ascii="Book Antiqua" w:hAnsi="Book Antiqua" w:cs="Times New Roman"/>
          <w:color w:val="000000" w:themeColor="text1"/>
        </w:rPr>
        <w:t xml:space="preserve">no evidence </w:t>
      </w:r>
      <w:r w:rsidR="00C5073E" w:rsidRPr="0083147A">
        <w:rPr>
          <w:rFonts w:ascii="Book Antiqua" w:hAnsi="Book Antiqua" w:cs="Times New Roman"/>
          <w:color w:val="000000" w:themeColor="text1"/>
        </w:rPr>
        <w:t>to support</w:t>
      </w:r>
      <w:r w:rsidR="001B3FB9" w:rsidRPr="0083147A">
        <w:rPr>
          <w:rFonts w:ascii="Book Antiqua" w:hAnsi="Book Antiqua" w:cs="Times New Roman"/>
          <w:color w:val="000000" w:themeColor="text1"/>
        </w:rPr>
        <w:t xml:space="preserve"> </w:t>
      </w:r>
      <w:r w:rsidR="006B3DE7" w:rsidRPr="0083147A">
        <w:rPr>
          <w:rFonts w:ascii="Book Antiqua" w:hAnsi="Book Antiqua" w:cs="Times New Roman"/>
          <w:color w:val="000000" w:themeColor="text1"/>
        </w:rPr>
        <w:t xml:space="preserve">regorafenib </w:t>
      </w:r>
      <w:r w:rsidR="001B3FB9" w:rsidRPr="0083147A">
        <w:rPr>
          <w:rFonts w:ascii="Book Antiqua" w:hAnsi="Book Antiqua" w:cs="Times New Roman"/>
          <w:color w:val="000000" w:themeColor="text1"/>
        </w:rPr>
        <w:t xml:space="preserve">as a first-choice </w:t>
      </w:r>
      <w:proofErr w:type="gramStart"/>
      <w:r w:rsidR="001B3FB9" w:rsidRPr="0083147A">
        <w:rPr>
          <w:rFonts w:ascii="Book Antiqua" w:hAnsi="Book Antiqua" w:cs="Times New Roman"/>
          <w:color w:val="000000" w:themeColor="text1"/>
        </w:rPr>
        <w:t>drug</w:t>
      </w:r>
      <w:r w:rsidR="001B3FB9" w:rsidRPr="0083147A">
        <w:rPr>
          <w:rFonts w:ascii="Book Antiqua" w:hAnsi="Book Antiqua" w:cs="Times New Roman"/>
          <w:color w:val="000000" w:themeColor="text1"/>
          <w:vertAlign w:val="superscript"/>
        </w:rPr>
        <w:t>[</w:t>
      </w:r>
      <w:proofErr w:type="gramEnd"/>
      <w:r w:rsidR="001B3FB9" w:rsidRPr="0083147A">
        <w:rPr>
          <w:rFonts w:ascii="Book Antiqua" w:hAnsi="Book Antiqua" w:cs="Times New Roman"/>
          <w:color w:val="000000" w:themeColor="text1"/>
          <w:vertAlign w:val="superscript"/>
        </w:rPr>
        <w:t>7]</w:t>
      </w:r>
      <w:r w:rsidR="001B3FB9" w:rsidRPr="0083147A">
        <w:rPr>
          <w:rFonts w:ascii="Book Antiqua" w:hAnsi="Book Antiqua" w:cs="Times New Roman"/>
          <w:color w:val="000000" w:themeColor="text1"/>
        </w:rPr>
        <w:t>.</w:t>
      </w:r>
    </w:p>
    <w:p w:rsidR="006B3DE7" w:rsidRPr="0083147A" w:rsidRDefault="00C5073E" w:rsidP="00946207">
      <w:pPr>
        <w:spacing w:line="360" w:lineRule="auto"/>
        <w:ind w:firstLine="480"/>
        <w:rPr>
          <w:rFonts w:ascii="Book Antiqua" w:hAnsi="Book Antiqua" w:cs="Times New Roman"/>
          <w:color w:val="000000" w:themeColor="text1"/>
        </w:rPr>
      </w:pPr>
      <w:r w:rsidRPr="0083147A">
        <w:rPr>
          <w:rFonts w:ascii="Book Antiqua" w:hAnsi="Book Antiqua" w:cs="Times New Roman"/>
          <w:color w:val="000000" w:themeColor="text1"/>
        </w:rPr>
        <w:t>A</w:t>
      </w:r>
      <w:r w:rsidR="006B3DE7" w:rsidRPr="0083147A">
        <w:rPr>
          <w:rFonts w:ascii="Book Antiqua" w:hAnsi="Book Antiqua" w:cs="Times New Roman"/>
          <w:color w:val="000000" w:themeColor="text1"/>
        </w:rPr>
        <w:t xml:space="preserve"> surrogate marker that reflects </w:t>
      </w:r>
      <w:r w:rsidRPr="0083147A">
        <w:rPr>
          <w:rFonts w:ascii="Book Antiqua" w:hAnsi="Book Antiqua" w:cs="Times New Roman"/>
          <w:color w:val="000000" w:themeColor="text1"/>
        </w:rPr>
        <w:t>a better</w:t>
      </w:r>
      <w:r w:rsidR="006B3DE7" w:rsidRPr="0083147A">
        <w:rPr>
          <w:rFonts w:ascii="Book Antiqua" w:hAnsi="Book Antiqua" w:cs="Times New Roman"/>
          <w:color w:val="000000" w:themeColor="text1"/>
        </w:rPr>
        <w:t xml:space="preserve"> prognosis after the introduction of sorafenib has </w:t>
      </w:r>
      <w:r w:rsidRPr="0083147A">
        <w:rPr>
          <w:rFonts w:ascii="Book Antiqua" w:hAnsi="Book Antiqua" w:cs="Times New Roman"/>
          <w:color w:val="000000" w:themeColor="text1"/>
        </w:rPr>
        <w:t xml:space="preserve">not yet </w:t>
      </w:r>
      <w:r w:rsidR="006B3DE7" w:rsidRPr="0083147A">
        <w:rPr>
          <w:rFonts w:ascii="Book Antiqua" w:hAnsi="Book Antiqua" w:cs="Times New Roman"/>
          <w:color w:val="000000" w:themeColor="text1"/>
        </w:rPr>
        <w:t xml:space="preserve">been </w:t>
      </w:r>
      <w:proofErr w:type="gramStart"/>
      <w:r w:rsidR="006B3DE7" w:rsidRPr="0083147A">
        <w:rPr>
          <w:rFonts w:ascii="Book Antiqua" w:hAnsi="Book Antiqua" w:cs="Times New Roman"/>
          <w:color w:val="000000" w:themeColor="text1"/>
        </w:rPr>
        <w:t>established</w:t>
      </w:r>
      <w:r w:rsidR="006B3DE7" w:rsidRPr="0083147A">
        <w:rPr>
          <w:rFonts w:ascii="Book Antiqua" w:hAnsi="Book Antiqua" w:cs="Times New Roman"/>
          <w:color w:val="000000" w:themeColor="text1"/>
          <w:vertAlign w:val="superscript"/>
        </w:rPr>
        <w:t>[</w:t>
      </w:r>
      <w:proofErr w:type="gramEnd"/>
      <w:r w:rsidR="006B3DE7" w:rsidRPr="0083147A">
        <w:rPr>
          <w:rFonts w:ascii="Book Antiqua" w:hAnsi="Book Antiqua" w:cs="Times New Roman"/>
          <w:color w:val="000000" w:themeColor="text1"/>
          <w:vertAlign w:val="superscript"/>
        </w:rPr>
        <w:t>8]</w:t>
      </w:r>
      <w:r w:rsidR="006B3DE7" w:rsidRPr="0083147A">
        <w:rPr>
          <w:rFonts w:ascii="Book Antiqua" w:hAnsi="Book Antiqua" w:cs="Times New Roman"/>
          <w:color w:val="000000" w:themeColor="text1"/>
        </w:rPr>
        <w:t xml:space="preserve">. Previous studies </w:t>
      </w:r>
      <w:r w:rsidR="009950A3" w:rsidRPr="0083147A">
        <w:rPr>
          <w:rFonts w:ascii="Book Antiqua" w:hAnsi="Book Antiqua" w:cs="Times New Roman"/>
          <w:color w:val="000000" w:themeColor="text1"/>
        </w:rPr>
        <w:t xml:space="preserve">have </w:t>
      </w:r>
      <w:r w:rsidR="006B3DE7" w:rsidRPr="0083147A">
        <w:rPr>
          <w:rFonts w:ascii="Book Antiqua" w:hAnsi="Book Antiqua" w:cs="Times New Roman"/>
          <w:color w:val="000000" w:themeColor="text1"/>
        </w:rPr>
        <w:t xml:space="preserve">reported </w:t>
      </w:r>
      <w:r w:rsidRPr="0083147A">
        <w:rPr>
          <w:rFonts w:ascii="Book Antiqua" w:hAnsi="Book Antiqua" w:cs="Times New Roman"/>
          <w:color w:val="000000" w:themeColor="text1"/>
        </w:rPr>
        <w:t>a relationship</w:t>
      </w:r>
      <w:r w:rsidR="006F6B9F" w:rsidRPr="0083147A">
        <w:rPr>
          <w:rFonts w:ascii="Book Antiqua" w:hAnsi="Book Antiqua" w:cs="Times New Roman"/>
          <w:color w:val="000000" w:themeColor="text1"/>
        </w:rPr>
        <w:t xml:space="preserve"> between </w:t>
      </w:r>
      <w:proofErr w:type="spellStart"/>
      <w:r w:rsidR="00CD77ED" w:rsidRPr="0083147A">
        <w:rPr>
          <w:rFonts w:ascii="Book Antiqua" w:hAnsi="Book Antiqua" w:cs="Times New Roman"/>
          <w:color w:val="000000" w:themeColor="text1"/>
        </w:rPr>
        <w:t>multikinase</w:t>
      </w:r>
      <w:proofErr w:type="spellEnd"/>
      <w:r w:rsidR="00CD77ED" w:rsidRPr="0083147A">
        <w:rPr>
          <w:rFonts w:ascii="Book Antiqua" w:hAnsi="Book Antiqua" w:cs="Times New Roman"/>
          <w:color w:val="000000" w:themeColor="text1"/>
        </w:rPr>
        <w:t xml:space="preserve"> inhibitor (MKI)</w:t>
      </w:r>
      <w:r w:rsidR="006F6B9F" w:rsidRPr="0083147A">
        <w:rPr>
          <w:rFonts w:ascii="Book Antiqua" w:hAnsi="Book Antiqua" w:cs="Times New Roman"/>
          <w:color w:val="000000" w:themeColor="text1"/>
        </w:rPr>
        <w:t xml:space="preserve">-associated </w:t>
      </w:r>
      <w:r w:rsidR="00CD77ED" w:rsidRPr="0083147A">
        <w:rPr>
          <w:rFonts w:ascii="Book Antiqua" w:hAnsi="Book Antiqua" w:cs="Times New Roman"/>
          <w:color w:val="000000" w:themeColor="text1"/>
        </w:rPr>
        <w:t>hand-foot skin reaction (HFSR)</w:t>
      </w:r>
      <w:r w:rsidR="00CD77ED">
        <w:rPr>
          <w:rFonts w:ascii="Book Antiqua" w:eastAsia="SimSun" w:hAnsi="Book Antiqua" w:cs="Times New Roman" w:hint="eastAsia"/>
          <w:color w:val="000000" w:themeColor="text1"/>
          <w:lang w:eastAsia="zh-CN"/>
        </w:rPr>
        <w:t xml:space="preserve"> </w:t>
      </w:r>
      <w:r w:rsidR="006B3DE7" w:rsidRPr="0083147A">
        <w:rPr>
          <w:rFonts w:ascii="Book Antiqua" w:hAnsi="Book Antiqua" w:cs="Times New Roman"/>
          <w:color w:val="000000" w:themeColor="text1"/>
        </w:rPr>
        <w:t>and TTP/</w:t>
      </w:r>
      <w:proofErr w:type="gramStart"/>
      <w:r w:rsidR="006B3DE7" w:rsidRPr="0083147A">
        <w:rPr>
          <w:rFonts w:ascii="Book Antiqua" w:hAnsi="Book Antiqua" w:cs="Times New Roman"/>
          <w:color w:val="000000" w:themeColor="text1"/>
        </w:rPr>
        <w:t>OS</w:t>
      </w:r>
      <w:r w:rsidR="006B3DE7" w:rsidRPr="0083147A">
        <w:rPr>
          <w:rFonts w:ascii="Book Antiqua" w:hAnsi="Book Antiqua" w:cs="Times New Roman"/>
          <w:color w:val="000000" w:themeColor="text1"/>
          <w:vertAlign w:val="superscript"/>
        </w:rPr>
        <w:t>[</w:t>
      </w:r>
      <w:proofErr w:type="gramEnd"/>
      <w:r w:rsidR="006B3DE7" w:rsidRPr="0083147A">
        <w:rPr>
          <w:rFonts w:ascii="Book Antiqua" w:hAnsi="Book Antiqua" w:cs="Times New Roman"/>
          <w:color w:val="000000" w:themeColor="text1"/>
          <w:vertAlign w:val="superscript"/>
        </w:rPr>
        <w:t>9-12]</w:t>
      </w:r>
      <w:r w:rsidR="006B3DE7" w:rsidRPr="0083147A">
        <w:rPr>
          <w:rFonts w:ascii="Book Antiqua" w:hAnsi="Book Antiqua" w:cs="Times New Roman"/>
          <w:color w:val="000000" w:themeColor="text1"/>
        </w:rPr>
        <w:t xml:space="preserve">. Sorafenib frequently induces adverse events (AEs). The most frequent AE is MKI-associated </w:t>
      </w:r>
      <w:proofErr w:type="gramStart"/>
      <w:r w:rsidR="0001683F" w:rsidRPr="0083147A">
        <w:rPr>
          <w:rFonts w:ascii="Book Antiqua" w:hAnsi="Book Antiqua" w:cs="Times New Roman"/>
          <w:color w:val="000000" w:themeColor="text1"/>
        </w:rPr>
        <w:t>HFSR</w:t>
      </w:r>
      <w:r w:rsidR="006B3DE7" w:rsidRPr="0083147A">
        <w:rPr>
          <w:rFonts w:ascii="Book Antiqua" w:hAnsi="Book Antiqua" w:cs="Times New Roman"/>
          <w:color w:val="000000" w:themeColor="text1"/>
          <w:vertAlign w:val="superscript"/>
        </w:rPr>
        <w:t>[</w:t>
      </w:r>
      <w:proofErr w:type="gramEnd"/>
      <w:r w:rsidR="006B3DE7" w:rsidRPr="0083147A">
        <w:rPr>
          <w:rFonts w:ascii="Book Antiqua" w:hAnsi="Book Antiqua" w:cs="Times New Roman"/>
          <w:color w:val="000000" w:themeColor="text1"/>
          <w:vertAlign w:val="superscript"/>
        </w:rPr>
        <w:t>1-4]</w:t>
      </w:r>
      <w:r w:rsidR="006B3DE7" w:rsidRPr="0083147A">
        <w:rPr>
          <w:rFonts w:ascii="Book Antiqua" w:hAnsi="Book Antiqua" w:cs="Times New Roman"/>
          <w:color w:val="000000" w:themeColor="text1"/>
        </w:rPr>
        <w:t xml:space="preserve">. </w:t>
      </w:r>
      <w:r w:rsidRPr="0083147A">
        <w:rPr>
          <w:rFonts w:ascii="Book Antiqua" w:hAnsi="Book Antiqua" w:cs="Times New Roman"/>
          <w:color w:val="000000" w:themeColor="text1"/>
        </w:rPr>
        <w:t xml:space="preserve">Although </w:t>
      </w:r>
      <w:r w:rsidR="0001683F" w:rsidRPr="0083147A">
        <w:rPr>
          <w:rFonts w:ascii="Book Antiqua" w:hAnsi="Book Antiqua" w:cs="Times New Roman"/>
          <w:color w:val="000000" w:themeColor="text1"/>
        </w:rPr>
        <w:t xml:space="preserve">MKI-associated </w:t>
      </w:r>
      <w:r w:rsidR="006B3DE7" w:rsidRPr="0083147A">
        <w:rPr>
          <w:rFonts w:ascii="Book Antiqua" w:hAnsi="Book Antiqua" w:cs="Times New Roman"/>
          <w:color w:val="000000" w:themeColor="text1"/>
        </w:rPr>
        <w:t>HFS</w:t>
      </w:r>
      <w:r w:rsidR="0001683F" w:rsidRPr="0083147A">
        <w:rPr>
          <w:rFonts w:ascii="Book Antiqua" w:hAnsi="Book Antiqua" w:cs="Times New Roman"/>
          <w:color w:val="000000" w:themeColor="text1"/>
        </w:rPr>
        <w:t>R</w:t>
      </w:r>
      <w:r w:rsidR="009950A3" w:rsidRPr="0083147A">
        <w:rPr>
          <w:rFonts w:ascii="Book Antiqua" w:hAnsi="Book Antiqua" w:cs="Times New Roman"/>
          <w:color w:val="000000" w:themeColor="text1"/>
        </w:rPr>
        <w:t xml:space="preserve"> is not life</w:t>
      </w:r>
      <w:r w:rsidR="0038127D" w:rsidRPr="0083147A">
        <w:rPr>
          <w:rFonts w:ascii="Book Antiqua" w:hAnsi="Book Antiqua" w:cs="Times New Roman"/>
          <w:color w:val="000000" w:themeColor="text1"/>
        </w:rPr>
        <w:t>-</w:t>
      </w:r>
      <w:r w:rsidR="006B3DE7" w:rsidRPr="0083147A">
        <w:rPr>
          <w:rFonts w:ascii="Book Antiqua" w:hAnsi="Book Antiqua" w:cs="Times New Roman"/>
          <w:color w:val="000000" w:themeColor="text1"/>
        </w:rPr>
        <w:t xml:space="preserve">threatening, its exacerbation reduces </w:t>
      </w:r>
      <w:r w:rsidR="005A04C2" w:rsidRPr="0083147A">
        <w:rPr>
          <w:rFonts w:ascii="Book Antiqua" w:hAnsi="Book Antiqua" w:cs="Times New Roman"/>
          <w:color w:val="000000" w:themeColor="text1"/>
        </w:rPr>
        <w:t xml:space="preserve">the </w:t>
      </w:r>
      <w:r w:rsidR="006B3DE7" w:rsidRPr="0083147A">
        <w:rPr>
          <w:rFonts w:ascii="Book Antiqua" w:hAnsi="Book Antiqua" w:cs="Times New Roman"/>
          <w:color w:val="000000" w:themeColor="text1"/>
        </w:rPr>
        <w:t>quality of life</w:t>
      </w:r>
      <w:r w:rsidR="00D07ECA">
        <w:rPr>
          <w:rFonts w:ascii="Book Antiqua" w:eastAsia="SimSun" w:hAnsi="Book Antiqua" w:cs="Times New Roman" w:hint="eastAsia"/>
          <w:color w:val="000000" w:themeColor="text1"/>
          <w:lang w:eastAsia="zh-CN"/>
        </w:rPr>
        <w:t xml:space="preserve"> </w:t>
      </w:r>
      <w:r w:rsidR="005A04C2" w:rsidRPr="0083147A">
        <w:rPr>
          <w:rFonts w:ascii="Book Antiqua" w:hAnsi="Book Antiqua" w:cs="Times New Roman"/>
          <w:color w:val="000000" w:themeColor="text1"/>
        </w:rPr>
        <w:t>of patients</w:t>
      </w:r>
      <w:r w:rsidR="006B3DE7" w:rsidRPr="0083147A">
        <w:rPr>
          <w:rFonts w:ascii="Book Antiqua" w:hAnsi="Book Antiqua" w:cs="Times New Roman"/>
          <w:color w:val="000000" w:themeColor="text1"/>
        </w:rPr>
        <w:t xml:space="preserve">, </w:t>
      </w:r>
      <w:r w:rsidR="005A04C2" w:rsidRPr="0083147A">
        <w:rPr>
          <w:rFonts w:ascii="Book Antiqua" w:hAnsi="Book Antiqua" w:cs="Times New Roman"/>
          <w:color w:val="000000" w:themeColor="text1"/>
        </w:rPr>
        <w:t>which affects</w:t>
      </w:r>
      <w:r w:rsidR="006B3DE7" w:rsidRPr="0083147A">
        <w:rPr>
          <w:rFonts w:ascii="Book Antiqua" w:hAnsi="Book Antiqua" w:cs="Times New Roman"/>
          <w:color w:val="000000" w:themeColor="text1"/>
        </w:rPr>
        <w:t xml:space="preserve"> adherence to sorafenib treatment</w:t>
      </w:r>
      <w:r w:rsidRPr="0083147A">
        <w:rPr>
          <w:rFonts w:ascii="Book Antiqua" w:hAnsi="Book Antiqua" w:cs="Times New Roman"/>
          <w:color w:val="000000" w:themeColor="text1"/>
        </w:rPr>
        <w:t>s</w:t>
      </w:r>
      <w:r w:rsidR="006B3DE7" w:rsidRPr="0083147A">
        <w:rPr>
          <w:rFonts w:ascii="Book Antiqua" w:hAnsi="Book Antiqua" w:cs="Times New Roman"/>
          <w:color w:val="000000" w:themeColor="text1"/>
        </w:rPr>
        <w:t xml:space="preserve">. A previous study indicated that intervention by nurses </w:t>
      </w:r>
      <w:r w:rsidR="00AD2A82" w:rsidRPr="0083147A">
        <w:rPr>
          <w:rFonts w:ascii="Book Antiqua" w:hAnsi="Book Antiqua" w:cs="Times New Roman"/>
          <w:color w:val="000000" w:themeColor="text1"/>
        </w:rPr>
        <w:t>improved</w:t>
      </w:r>
      <w:r w:rsidR="009A2FAF" w:rsidRPr="0083147A">
        <w:rPr>
          <w:rFonts w:ascii="Book Antiqua" w:hAnsi="Book Antiqua" w:cs="Times New Roman"/>
          <w:color w:val="000000" w:themeColor="text1"/>
        </w:rPr>
        <w:t xml:space="preserve"> the efficacy of sorafenib </w:t>
      </w:r>
      <w:proofErr w:type="gramStart"/>
      <w:r w:rsidR="009A2FAF" w:rsidRPr="0083147A">
        <w:rPr>
          <w:rFonts w:ascii="Book Antiqua" w:hAnsi="Book Antiqua" w:cs="Times New Roman"/>
          <w:color w:val="000000" w:themeColor="text1"/>
        </w:rPr>
        <w:t>treatment</w:t>
      </w:r>
      <w:r w:rsidR="009950A3" w:rsidRPr="0083147A">
        <w:rPr>
          <w:rFonts w:ascii="Book Antiqua" w:hAnsi="Book Antiqua" w:cs="Times New Roman"/>
          <w:color w:val="000000" w:themeColor="text1"/>
        </w:rPr>
        <w:t>s</w:t>
      </w:r>
      <w:r w:rsidR="006B3DE7" w:rsidRPr="0083147A">
        <w:rPr>
          <w:rFonts w:ascii="Book Antiqua" w:hAnsi="Book Antiqua" w:cs="Times New Roman"/>
          <w:color w:val="000000" w:themeColor="text1"/>
          <w:vertAlign w:val="superscript"/>
        </w:rPr>
        <w:t>[</w:t>
      </w:r>
      <w:proofErr w:type="gramEnd"/>
      <w:r w:rsidR="006B3DE7" w:rsidRPr="0083147A">
        <w:rPr>
          <w:rFonts w:ascii="Book Antiqua" w:hAnsi="Book Antiqua" w:cs="Times New Roman"/>
          <w:color w:val="000000" w:themeColor="text1"/>
          <w:vertAlign w:val="superscript"/>
        </w:rPr>
        <w:t>13]</w:t>
      </w:r>
      <w:r w:rsidRPr="0083147A">
        <w:rPr>
          <w:rFonts w:ascii="Book Antiqua" w:hAnsi="Book Antiqua" w:cs="Times New Roman"/>
          <w:color w:val="000000" w:themeColor="text1"/>
        </w:rPr>
        <w:t>;</w:t>
      </w:r>
      <w:r w:rsidR="006B3DE7" w:rsidRPr="0083147A">
        <w:rPr>
          <w:rFonts w:ascii="Book Antiqua" w:hAnsi="Book Antiqua" w:cs="Times New Roman"/>
          <w:color w:val="000000" w:themeColor="text1"/>
        </w:rPr>
        <w:t xml:space="preserve"> </w:t>
      </w:r>
      <w:r w:rsidRPr="0083147A">
        <w:rPr>
          <w:rFonts w:ascii="Book Antiqua" w:hAnsi="Book Antiqua" w:cs="Times New Roman"/>
          <w:color w:val="000000" w:themeColor="text1"/>
        </w:rPr>
        <w:t>however,</w:t>
      </w:r>
      <w:r w:rsidR="006B3DE7" w:rsidRPr="0083147A">
        <w:rPr>
          <w:rFonts w:ascii="Book Antiqua" w:hAnsi="Book Antiqua" w:cs="Times New Roman"/>
          <w:color w:val="000000" w:themeColor="text1"/>
        </w:rPr>
        <w:t xml:space="preserve"> intervention</w:t>
      </w:r>
      <w:r w:rsidR="009950A3" w:rsidRPr="0083147A">
        <w:rPr>
          <w:rFonts w:ascii="Book Antiqua" w:hAnsi="Book Antiqua" w:cs="Times New Roman"/>
          <w:color w:val="000000" w:themeColor="text1"/>
        </w:rPr>
        <w:t xml:space="preserve"> by pharmacists who are</w:t>
      </w:r>
      <w:r w:rsidR="006B3DE7" w:rsidRPr="0083147A">
        <w:rPr>
          <w:rFonts w:ascii="Book Antiqua" w:hAnsi="Book Antiqua" w:cs="Times New Roman"/>
          <w:color w:val="000000" w:themeColor="text1"/>
        </w:rPr>
        <w:t xml:space="preserve"> familiar with sorafenib treatment</w:t>
      </w:r>
      <w:r w:rsidR="009950A3" w:rsidRPr="0083147A">
        <w:rPr>
          <w:rFonts w:ascii="Book Antiqua" w:hAnsi="Book Antiqua" w:cs="Times New Roman"/>
          <w:color w:val="000000" w:themeColor="text1"/>
        </w:rPr>
        <w:t>s has</w:t>
      </w:r>
      <w:r w:rsidRPr="0083147A">
        <w:rPr>
          <w:rFonts w:ascii="Book Antiqua" w:hAnsi="Book Antiqua" w:cs="Times New Roman"/>
          <w:color w:val="000000" w:themeColor="text1"/>
        </w:rPr>
        <w:t xml:space="preserve"> not yet been investigated</w:t>
      </w:r>
      <w:r w:rsidR="006B3DE7" w:rsidRPr="0083147A">
        <w:rPr>
          <w:rFonts w:ascii="Book Antiqua" w:hAnsi="Book Antiqua" w:cs="Times New Roman"/>
          <w:color w:val="000000" w:themeColor="text1"/>
        </w:rPr>
        <w:t>.</w:t>
      </w:r>
    </w:p>
    <w:p w:rsidR="006B3DE7" w:rsidRPr="0083147A" w:rsidRDefault="006B3DE7" w:rsidP="00946207">
      <w:pPr>
        <w:spacing w:line="360" w:lineRule="auto"/>
        <w:ind w:firstLine="480"/>
        <w:rPr>
          <w:rFonts w:ascii="Book Antiqua" w:hAnsi="Book Antiqua" w:cs="Times New Roman"/>
          <w:color w:val="000000" w:themeColor="text1"/>
        </w:rPr>
      </w:pPr>
      <w:r w:rsidRPr="0083147A">
        <w:rPr>
          <w:rFonts w:ascii="Book Antiqua" w:hAnsi="Book Antiqua" w:cs="Times New Roman"/>
          <w:color w:val="000000" w:themeColor="text1"/>
        </w:rPr>
        <w:t xml:space="preserve">The purpose of </w:t>
      </w:r>
      <w:r w:rsidR="00C5073E" w:rsidRPr="0083147A">
        <w:rPr>
          <w:rFonts w:ascii="Book Antiqua" w:hAnsi="Book Antiqua" w:cs="Times New Roman"/>
          <w:color w:val="000000" w:themeColor="text1"/>
        </w:rPr>
        <w:t>the present</w:t>
      </w:r>
      <w:r w:rsidRPr="0083147A">
        <w:rPr>
          <w:rFonts w:ascii="Book Antiqua" w:hAnsi="Book Antiqua" w:cs="Times New Roman"/>
          <w:color w:val="000000" w:themeColor="text1"/>
        </w:rPr>
        <w:t xml:space="preserve"> study was to clarify the </w:t>
      </w:r>
      <w:r w:rsidR="00C5073E" w:rsidRPr="0083147A">
        <w:rPr>
          <w:rFonts w:ascii="Book Antiqua" w:hAnsi="Book Antiqua" w:cs="Times New Roman"/>
          <w:color w:val="000000" w:themeColor="text1"/>
        </w:rPr>
        <w:t>relationship</w:t>
      </w:r>
      <w:r w:rsidR="009950A3" w:rsidRPr="0083147A">
        <w:rPr>
          <w:rFonts w:ascii="Book Antiqua" w:hAnsi="Book Antiqua" w:cs="Times New Roman"/>
          <w:color w:val="000000" w:themeColor="text1"/>
        </w:rPr>
        <w:t xml:space="preserve"> between therapeutic efficacy</w:t>
      </w:r>
      <w:r w:rsidRPr="0083147A">
        <w:rPr>
          <w:rFonts w:ascii="Book Antiqua" w:hAnsi="Book Antiqua" w:cs="Times New Roman"/>
          <w:color w:val="000000" w:themeColor="text1"/>
        </w:rPr>
        <w:t xml:space="preserve"> and MKI-associated </w:t>
      </w:r>
      <w:r w:rsidR="0001683F" w:rsidRPr="0083147A">
        <w:rPr>
          <w:rFonts w:ascii="Book Antiqua" w:hAnsi="Book Antiqua" w:cs="Times New Roman"/>
          <w:color w:val="000000" w:themeColor="text1"/>
        </w:rPr>
        <w:t>HFSR</w:t>
      </w:r>
      <w:r w:rsidRPr="0083147A">
        <w:rPr>
          <w:rFonts w:ascii="Book Antiqua" w:hAnsi="Book Antiqua" w:cs="Times New Roman"/>
          <w:color w:val="000000" w:themeColor="text1"/>
        </w:rPr>
        <w:t xml:space="preserve"> in sorafenib-treated patients with advanced hepatocellular carcinoma. </w:t>
      </w:r>
      <w:r w:rsidR="00C5073E" w:rsidRPr="0083147A">
        <w:rPr>
          <w:rFonts w:ascii="Book Antiqua" w:hAnsi="Book Antiqua" w:cs="Times New Roman"/>
          <w:color w:val="000000" w:themeColor="text1"/>
        </w:rPr>
        <w:t>We also examined</w:t>
      </w:r>
      <w:r w:rsidRPr="0083147A">
        <w:rPr>
          <w:rFonts w:ascii="Book Antiqua" w:hAnsi="Book Antiqua" w:cs="Times New Roman"/>
          <w:color w:val="000000" w:themeColor="text1"/>
        </w:rPr>
        <w:t xml:space="preserve"> the influence of intervention by pharmacists on adherence.</w:t>
      </w:r>
    </w:p>
    <w:p w:rsidR="006B3DE7" w:rsidRPr="0083147A" w:rsidRDefault="006B3DE7" w:rsidP="00946207">
      <w:pPr>
        <w:spacing w:line="360" w:lineRule="auto"/>
        <w:rPr>
          <w:rFonts w:ascii="Book Antiqua" w:hAnsi="Book Antiqua" w:cs="Times New Roman"/>
          <w:color w:val="000000" w:themeColor="text1"/>
        </w:rPr>
      </w:pPr>
    </w:p>
    <w:p w:rsidR="006B3DE7" w:rsidRPr="0083147A" w:rsidRDefault="006B3DE7" w:rsidP="00946207">
      <w:pPr>
        <w:spacing w:line="360" w:lineRule="auto"/>
        <w:outlineLvl w:val="0"/>
        <w:rPr>
          <w:rFonts w:ascii="Book Antiqua" w:hAnsi="Book Antiqua" w:cs="Times New Roman"/>
          <w:color w:val="000000" w:themeColor="text1"/>
        </w:rPr>
      </w:pPr>
      <w:r w:rsidRPr="0083147A">
        <w:rPr>
          <w:rFonts w:ascii="Book Antiqua" w:hAnsi="Book Antiqua" w:cs="Times New Roman"/>
          <w:b/>
          <w:color w:val="000000" w:themeColor="text1"/>
        </w:rPr>
        <w:t>MATERIALS AND METHODS</w:t>
      </w:r>
    </w:p>
    <w:p w:rsidR="006B3DE7" w:rsidRPr="0083147A" w:rsidRDefault="006B3DE7" w:rsidP="00946207">
      <w:pPr>
        <w:spacing w:line="360" w:lineRule="auto"/>
        <w:outlineLvl w:val="0"/>
        <w:rPr>
          <w:rFonts w:ascii="Book Antiqua" w:hAnsi="Book Antiqua" w:cs="Times New Roman"/>
          <w:b/>
          <w:i/>
          <w:color w:val="000000" w:themeColor="text1"/>
        </w:rPr>
      </w:pPr>
      <w:r w:rsidRPr="0083147A">
        <w:rPr>
          <w:rFonts w:ascii="Book Antiqua" w:hAnsi="Book Antiqua" w:cs="Times New Roman"/>
          <w:b/>
          <w:i/>
          <w:color w:val="000000" w:themeColor="text1"/>
        </w:rPr>
        <w:t>Sorafenib therapy</w:t>
      </w:r>
    </w:p>
    <w:p w:rsidR="004055E1" w:rsidRPr="0083147A" w:rsidRDefault="006B3DE7" w:rsidP="007D4F0C">
      <w:pPr>
        <w:spacing w:line="360" w:lineRule="auto"/>
        <w:rPr>
          <w:rFonts w:ascii="Book Antiqua" w:hAnsi="Book Antiqua" w:cs="Times New Roman"/>
          <w:color w:val="000000" w:themeColor="text1"/>
        </w:rPr>
      </w:pPr>
      <w:r w:rsidRPr="0083147A">
        <w:rPr>
          <w:rFonts w:ascii="Book Antiqua" w:hAnsi="Book Antiqua" w:cs="Times New Roman"/>
          <w:color w:val="000000" w:themeColor="text1"/>
        </w:rPr>
        <w:t xml:space="preserve">This retrospective study was conducted </w:t>
      </w:r>
      <w:r w:rsidR="00C5073E" w:rsidRPr="0083147A">
        <w:rPr>
          <w:rFonts w:ascii="Book Antiqua" w:hAnsi="Book Antiqua" w:cs="Times New Roman"/>
          <w:color w:val="000000" w:themeColor="text1"/>
        </w:rPr>
        <w:t>on</w:t>
      </w:r>
      <w:r w:rsidRPr="0083147A">
        <w:rPr>
          <w:rFonts w:ascii="Book Antiqua" w:hAnsi="Book Antiqua" w:cs="Times New Roman"/>
          <w:color w:val="000000" w:themeColor="text1"/>
        </w:rPr>
        <w:t xml:space="preserve"> patients treated be</w:t>
      </w:r>
      <w:r w:rsidR="00211F23" w:rsidRPr="0083147A">
        <w:rPr>
          <w:rFonts w:ascii="Book Antiqua" w:hAnsi="Book Antiqua" w:cs="Times New Roman"/>
          <w:color w:val="000000" w:themeColor="text1"/>
        </w:rPr>
        <w:t>tween May 2009 and March 2017 at</w:t>
      </w:r>
      <w:r w:rsidRPr="0083147A">
        <w:rPr>
          <w:rFonts w:ascii="Book Antiqua" w:hAnsi="Book Antiqua" w:cs="Times New Roman"/>
          <w:color w:val="000000" w:themeColor="text1"/>
        </w:rPr>
        <w:t xml:space="preserve"> our institution based on the Barcelona Clinic Liver Cancer </w:t>
      </w:r>
      <w:r w:rsidRPr="0083147A">
        <w:rPr>
          <w:rFonts w:ascii="Book Antiqua" w:hAnsi="Book Antiqua" w:cs="Times New Roman"/>
          <w:color w:val="000000" w:themeColor="text1"/>
        </w:rPr>
        <w:lastRenderedPageBreak/>
        <w:t xml:space="preserve">(BCLC) </w:t>
      </w:r>
      <w:proofErr w:type="gramStart"/>
      <w:r w:rsidRPr="0083147A">
        <w:rPr>
          <w:rFonts w:ascii="Book Antiqua" w:hAnsi="Book Antiqua" w:cs="Times New Roman"/>
          <w:color w:val="000000" w:themeColor="text1"/>
        </w:rPr>
        <w:t>strategy</w:t>
      </w:r>
      <w:r w:rsidRPr="0083147A">
        <w:rPr>
          <w:rFonts w:ascii="Book Antiqua" w:hAnsi="Book Antiqua" w:cs="Times New Roman"/>
          <w:color w:val="000000" w:themeColor="text1"/>
          <w:vertAlign w:val="superscript"/>
        </w:rPr>
        <w:t>[</w:t>
      </w:r>
      <w:proofErr w:type="gramEnd"/>
      <w:r w:rsidRPr="0083147A">
        <w:rPr>
          <w:rFonts w:ascii="Book Antiqua" w:hAnsi="Book Antiqua" w:cs="Times New Roman"/>
          <w:color w:val="000000" w:themeColor="text1"/>
          <w:vertAlign w:val="superscript"/>
        </w:rPr>
        <w:t>14-15]</w:t>
      </w:r>
      <w:r w:rsidRPr="0083147A">
        <w:rPr>
          <w:rFonts w:ascii="Book Antiqua" w:hAnsi="Book Antiqua" w:cs="Times New Roman"/>
          <w:color w:val="000000" w:themeColor="text1"/>
        </w:rPr>
        <w:t>. Indication criteria for sorafenib</w:t>
      </w:r>
      <w:r w:rsidR="00C5073E" w:rsidRPr="0083147A">
        <w:rPr>
          <w:rFonts w:ascii="Book Antiqua" w:hAnsi="Book Antiqua" w:cs="Times New Roman"/>
          <w:color w:val="000000" w:themeColor="text1"/>
        </w:rPr>
        <w:t xml:space="preserve"> included</w:t>
      </w:r>
      <w:r w:rsidR="00BC3A1E" w:rsidRPr="0083147A">
        <w:rPr>
          <w:rFonts w:ascii="Book Antiqua" w:hAnsi="Book Antiqua" w:cs="Times New Roman"/>
          <w:color w:val="000000" w:themeColor="text1"/>
        </w:rPr>
        <w:t xml:space="preserve"> the following</w:t>
      </w:r>
      <w:r w:rsidR="00C5073E" w:rsidRPr="0083147A">
        <w:rPr>
          <w:rFonts w:ascii="Book Antiqua" w:hAnsi="Book Antiqua" w:cs="Times New Roman"/>
          <w:color w:val="000000" w:themeColor="text1"/>
        </w:rPr>
        <w:t>: (1) Child-Pugh grade,</w:t>
      </w:r>
      <w:r w:rsidRPr="0083147A">
        <w:rPr>
          <w:rFonts w:ascii="Book Antiqua" w:hAnsi="Book Antiqua" w:cs="Times New Roman"/>
          <w:color w:val="000000" w:themeColor="text1"/>
        </w:rPr>
        <w:t xml:space="preserve"> A or B; (2) Eastern Cooperative Oncology Group Performance Status, 0 or 1; (3) hemoglobin level, ≥</w:t>
      </w:r>
      <w:r w:rsidR="00BC3A1E" w:rsidRPr="0083147A">
        <w:rPr>
          <w:rFonts w:ascii="Book Antiqua" w:hAnsi="Book Antiqua" w:cs="Times New Roman"/>
          <w:color w:val="000000" w:themeColor="text1"/>
        </w:rPr>
        <w:t xml:space="preserve"> </w:t>
      </w:r>
      <w:r w:rsidRPr="0083147A">
        <w:rPr>
          <w:rFonts w:ascii="Book Antiqua" w:hAnsi="Book Antiqua" w:cs="Times New Roman"/>
          <w:color w:val="000000" w:themeColor="text1"/>
        </w:rPr>
        <w:t>8.5 g/dL; (4) neutrophil count, &gt;</w:t>
      </w:r>
      <w:r w:rsidR="00BC3A1E" w:rsidRPr="0083147A">
        <w:rPr>
          <w:rFonts w:ascii="Book Antiqua" w:hAnsi="Book Antiqua" w:cs="Times New Roman"/>
          <w:color w:val="000000" w:themeColor="text1"/>
        </w:rPr>
        <w:t xml:space="preserve"> </w:t>
      </w:r>
      <w:r w:rsidR="00287CC5">
        <w:rPr>
          <w:rFonts w:ascii="Book Antiqua" w:hAnsi="Book Antiqua" w:cs="Times New Roman"/>
          <w:color w:val="000000" w:themeColor="text1"/>
        </w:rPr>
        <w:t>1</w:t>
      </w:r>
      <w:r w:rsidRPr="0083147A">
        <w:rPr>
          <w:rFonts w:ascii="Book Antiqua" w:hAnsi="Book Antiqua" w:cs="Times New Roman"/>
          <w:color w:val="000000" w:themeColor="text1"/>
        </w:rPr>
        <w:t>500/</w:t>
      </w:r>
      <w:bookmarkStart w:id="2" w:name="OLE_LINK1"/>
      <w:bookmarkStart w:id="3" w:name="OLE_LINK2"/>
      <w:bookmarkStart w:id="4" w:name="OLE_LINK3"/>
      <w:r w:rsidRPr="0083147A">
        <w:rPr>
          <w:rFonts w:ascii="Book Antiqua" w:hAnsi="Book Antiqua" w:cs="Times New Roman"/>
          <w:color w:val="000000" w:themeColor="text1"/>
        </w:rPr>
        <w:sym w:font="Symbol" w:char="F06D"/>
      </w:r>
      <w:bookmarkEnd w:id="2"/>
      <w:bookmarkEnd w:id="3"/>
      <w:bookmarkEnd w:id="4"/>
      <w:r w:rsidRPr="0083147A">
        <w:rPr>
          <w:rFonts w:ascii="Book Antiqua" w:hAnsi="Book Antiqua" w:cs="Times New Roman"/>
          <w:color w:val="000000" w:themeColor="text1"/>
        </w:rPr>
        <w:t xml:space="preserve">L; (5) platelet count, </w:t>
      </w:r>
      <w:r w:rsidR="00B73A24" w:rsidRPr="0083147A">
        <w:rPr>
          <w:rFonts w:ascii="Book Antiqua" w:hAnsi="Book Antiqua" w:cs="Times New Roman"/>
          <w:color w:val="000000" w:themeColor="text1"/>
        </w:rPr>
        <w:t>&gt;</w:t>
      </w:r>
      <w:r w:rsidR="00BC3A1E" w:rsidRPr="0083147A">
        <w:rPr>
          <w:rFonts w:ascii="Book Antiqua" w:hAnsi="Book Antiqua" w:cs="Times New Roman"/>
          <w:color w:val="000000" w:themeColor="text1"/>
        </w:rPr>
        <w:t xml:space="preserve"> </w:t>
      </w:r>
      <w:r w:rsidR="00287CC5">
        <w:rPr>
          <w:rFonts w:ascii="Book Antiqua" w:hAnsi="Book Antiqua" w:cs="Times New Roman"/>
          <w:color w:val="000000" w:themeColor="text1"/>
        </w:rPr>
        <w:t>75</w:t>
      </w:r>
      <w:r w:rsidR="00B73A24" w:rsidRPr="0083147A">
        <w:rPr>
          <w:rFonts w:ascii="Book Antiqua" w:hAnsi="Book Antiqua" w:cs="Times New Roman"/>
          <w:color w:val="000000" w:themeColor="text1"/>
        </w:rPr>
        <w:t>000/</w:t>
      </w:r>
      <w:r w:rsidR="00B73A24" w:rsidRPr="0083147A">
        <w:rPr>
          <w:rFonts w:ascii="Book Antiqua" w:hAnsi="Book Antiqua" w:cs="Times New Roman"/>
          <w:color w:val="000000" w:themeColor="text1"/>
        </w:rPr>
        <w:sym w:font="Symbol" w:char="F06D"/>
      </w:r>
      <w:r w:rsidR="00B73A24" w:rsidRPr="0083147A">
        <w:rPr>
          <w:rFonts w:ascii="Book Antiqua" w:hAnsi="Book Antiqua" w:cs="Times New Roman"/>
          <w:color w:val="000000" w:themeColor="text1"/>
        </w:rPr>
        <w:t>L; (6) total bilirubin level, &lt;</w:t>
      </w:r>
      <w:r w:rsidR="00BC3A1E" w:rsidRPr="0083147A">
        <w:rPr>
          <w:rFonts w:ascii="Book Antiqua" w:hAnsi="Book Antiqua" w:cs="Times New Roman"/>
          <w:color w:val="000000" w:themeColor="text1"/>
        </w:rPr>
        <w:t xml:space="preserve"> </w:t>
      </w:r>
      <w:r w:rsidR="00B73A24" w:rsidRPr="0083147A">
        <w:rPr>
          <w:rFonts w:ascii="Book Antiqua" w:hAnsi="Book Antiqua" w:cs="Times New Roman"/>
          <w:color w:val="000000" w:themeColor="text1"/>
        </w:rPr>
        <w:t>2.0 mg/dL; (7) al</w:t>
      </w:r>
      <w:r w:rsidR="00C5073E" w:rsidRPr="0083147A">
        <w:rPr>
          <w:rFonts w:ascii="Book Antiqua" w:hAnsi="Book Antiqua" w:cs="Times New Roman"/>
          <w:color w:val="000000" w:themeColor="text1"/>
        </w:rPr>
        <w:t>anine and aminotransferases, &lt;</w:t>
      </w:r>
      <w:r w:rsidR="00BC3A1E" w:rsidRPr="0083147A">
        <w:rPr>
          <w:rFonts w:ascii="Book Antiqua" w:hAnsi="Book Antiqua" w:cs="Times New Roman"/>
          <w:color w:val="000000" w:themeColor="text1"/>
        </w:rPr>
        <w:t xml:space="preserve"> </w:t>
      </w:r>
      <w:r w:rsidR="00C5073E" w:rsidRPr="0083147A">
        <w:rPr>
          <w:rFonts w:ascii="Book Antiqua" w:hAnsi="Book Antiqua" w:cs="Times New Roman"/>
          <w:color w:val="000000" w:themeColor="text1"/>
        </w:rPr>
        <w:t xml:space="preserve">5-fold </w:t>
      </w:r>
      <w:r w:rsidR="00B73A24" w:rsidRPr="0083147A">
        <w:rPr>
          <w:rFonts w:ascii="Book Antiqua" w:hAnsi="Book Antiqua" w:cs="Times New Roman"/>
          <w:color w:val="000000" w:themeColor="text1"/>
        </w:rPr>
        <w:t xml:space="preserve">the upper limit of the normal range; and (8) no necessity </w:t>
      </w:r>
      <w:r w:rsidR="00C5073E" w:rsidRPr="0083147A">
        <w:rPr>
          <w:rFonts w:ascii="Book Antiqua" w:hAnsi="Book Antiqua" w:cs="Times New Roman"/>
          <w:color w:val="000000" w:themeColor="text1"/>
        </w:rPr>
        <w:t>for</w:t>
      </w:r>
      <w:r w:rsidR="00B73A24" w:rsidRPr="0083147A">
        <w:rPr>
          <w:rFonts w:ascii="Book Antiqua" w:hAnsi="Book Antiqua" w:cs="Times New Roman"/>
          <w:color w:val="000000" w:themeColor="text1"/>
        </w:rPr>
        <w:t xml:space="preserve"> dialysis. Ex</w:t>
      </w:r>
      <w:r w:rsidR="007421CA" w:rsidRPr="0083147A">
        <w:rPr>
          <w:rFonts w:ascii="Book Antiqua" w:hAnsi="Book Antiqua" w:cs="Times New Roman"/>
          <w:color w:val="000000" w:themeColor="text1"/>
        </w:rPr>
        <w:t>clusion criteria included</w:t>
      </w:r>
      <w:r w:rsidR="00BC3A1E" w:rsidRPr="0083147A">
        <w:rPr>
          <w:rFonts w:ascii="Book Antiqua" w:hAnsi="Book Antiqua" w:cs="Times New Roman"/>
          <w:color w:val="000000" w:themeColor="text1"/>
        </w:rPr>
        <w:t xml:space="preserve"> the following</w:t>
      </w:r>
      <w:r w:rsidR="007421CA" w:rsidRPr="0083147A">
        <w:rPr>
          <w:rFonts w:ascii="Book Antiqua" w:hAnsi="Book Antiqua" w:cs="Times New Roman"/>
          <w:color w:val="000000" w:themeColor="text1"/>
        </w:rPr>
        <w:t>: (1) a history of serious hypersensitivity to the component</w:t>
      </w:r>
      <w:r w:rsidR="00C5073E" w:rsidRPr="0083147A">
        <w:rPr>
          <w:rFonts w:ascii="Book Antiqua" w:hAnsi="Book Antiqua" w:cs="Times New Roman"/>
          <w:color w:val="000000" w:themeColor="text1"/>
        </w:rPr>
        <w:t>s</w:t>
      </w:r>
      <w:r w:rsidR="007421CA" w:rsidRPr="0083147A">
        <w:rPr>
          <w:rFonts w:ascii="Book Antiqua" w:hAnsi="Book Antiqua" w:cs="Times New Roman"/>
          <w:color w:val="000000" w:themeColor="text1"/>
        </w:rPr>
        <w:t xml:space="preserve"> of this drug; (2) pregnant women or those who may be pregnant; (3) a history of thrombosis or ischemic heart disease; and (4) brain metastasis. The initial dose of sorafenib was established as </w:t>
      </w:r>
      <w:r w:rsidR="00B15C00" w:rsidRPr="0083147A">
        <w:rPr>
          <w:rFonts w:ascii="Book Antiqua" w:hAnsi="Book Antiqua" w:cs="Times New Roman"/>
          <w:color w:val="000000" w:themeColor="text1"/>
        </w:rPr>
        <w:t xml:space="preserve">200, </w:t>
      </w:r>
      <w:r w:rsidR="00E72EEF" w:rsidRPr="0083147A">
        <w:rPr>
          <w:rFonts w:ascii="Book Antiqua" w:hAnsi="Book Antiqua" w:cs="Times New Roman"/>
          <w:color w:val="000000" w:themeColor="text1"/>
        </w:rPr>
        <w:t>400</w:t>
      </w:r>
      <w:r w:rsidR="00891E0A" w:rsidRPr="0083147A">
        <w:rPr>
          <w:rFonts w:ascii="Book Antiqua" w:hAnsi="Book Antiqua" w:cs="Times New Roman"/>
          <w:color w:val="000000" w:themeColor="text1"/>
        </w:rPr>
        <w:t>,</w:t>
      </w:r>
      <w:r w:rsidR="00E72EEF" w:rsidRPr="0083147A">
        <w:rPr>
          <w:rFonts w:ascii="Book Antiqua" w:hAnsi="Book Antiqua" w:cs="Times New Roman"/>
          <w:color w:val="000000" w:themeColor="text1"/>
        </w:rPr>
        <w:t xml:space="preserve"> or </w:t>
      </w:r>
      <w:r w:rsidR="007421CA" w:rsidRPr="0083147A">
        <w:rPr>
          <w:rFonts w:ascii="Book Antiqua" w:hAnsi="Book Antiqua" w:cs="Times New Roman"/>
          <w:color w:val="000000" w:themeColor="text1"/>
        </w:rPr>
        <w:t xml:space="preserve">800 mg, but </w:t>
      </w:r>
      <w:r w:rsidR="00891E0A" w:rsidRPr="0083147A">
        <w:rPr>
          <w:rFonts w:ascii="Book Antiqua" w:hAnsi="Book Antiqua" w:cs="Times New Roman"/>
          <w:color w:val="000000" w:themeColor="text1"/>
        </w:rPr>
        <w:t xml:space="preserve">it </w:t>
      </w:r>
      <w:r w:rsidR="007421CA" w:rsidRPr="0083147A">
        <w:rPr>
          <w:rFonts w:ascii="Book Antiqua" w:hAnsi="Book Antiqua" w:cs="Times New Roman"/>
          <w:color w:val="000000" w:themeColor="text1"/>
        </w:rPr>
        <w:t>was adjusted according to the criteria for dose reduction</w:t>
      </w:r>
      <w:r w:rsidR="00C5073E" w:rsidRPr="0083147A">
        <w:rPr>
          <w:rFonts w:ascii="Book Antiqua" w:hAnsi="Book Antiqua" w:cs="Times New Roman"/>
          <w:color w:val="000000" w:themeColor="text1"/>
        </w:rPr>
        <w:t>s</w:t>
      </w:r>
      <w:r w:rsidR="007421CA" w:rsidRPr="0083147A">
        <w:rPr>
          <w:rFonts w:ascii="Book Antiqua" w:hAnsi="Book Antiqua" w:cs="Times New Roman"/>
          <w:color w:val="000000" w:themeColor="text1"/>
        </w:rPr>
        <w:t xml:space="preserve"> described in the package inserts or matters recommended by pharmacists. Administration was continued until </w:t>
      </w:r>
      <w:r w:rsidR="004055E1" w:rsidRPr="0083147A">
        <w:rPr>
          <w:rFonts w:ascii="Book Antiqua" w:hAnsi="Book Antiqua" w:cs="Times New Roman"/>
          <w:color w:val="000000" w:themeColor="text1"/>
        </w:rPr>
        <w:t xml:space="preserve">the appearance of symptomatic exacerbation or non-permissible </w:t>
      </w:r>
      <w:r w:rsidR="00C5073E" w:rsidRPr="0083147A">
        <w:rPr>
          <w:rFonts w:ascii="Book Antiqua" w:hAnsi="Book Antiqua" w:cs="Times New Roman"/>
          <w:color w:val="000000" w:themeColor="text1"/>
        </w:rPr>
        <w:t>AEs</w:t>
      </w:r>
      <w:r w:rsidR="004055E1" w:rsidRPr="0083147A">
        <w:rPr>
          <w:rFonts w:ascii="Book Antiqua" w:hAnsi="Book Antiqua" w:cs="Times New Roman"/>
          <w:color w:val="000000" w:themeColor="text1"/>
        </w:rPr>
        <w:t>.</w:t>
      </w:r>
    </w:p>
    <w:p w:rsidR="004055E1" w:rsidRPr="0083147A" w:rsidRDefault="004055E1" w:rsidP="00946207">
      <w:pPr>
        <w:spacing w:line="360" w:lineRule="auto"/>
        <w:ind w:firstLine="480"/>
        <w:rPr>
          <w:rFonts w:ascii="Book Antiqua" w:hAnsi="Book Antiqua" w:cs="Times New Roman"/>
          <w:color w:val="000000" w:themeColor="text1"/>
        </w:rPr>
      </w:pPr>
      <w:r w:rsidRPr="0083147A">
        <w:rPr>
          <w:rFonts w:ascii="Book Antiqua" w:hAnsi="Book Antiqua" w:cs="Times New Roman"/>
          <w:color w:val="000000" w:themeColor="text1"/>
        </w:rPr>
        <w:t>Written informed consent was obtained from all subjects. The protocol of this study was approved by the Institutional Review Board of our hospital and was performed according to the Helsinki Declaration.</w:t>
      </w:r>
    </w:p>
    <w:p w:rsidR="004055E1" w:rsidRPr="0083147A" w:rsidRDefault="004055E1" w:rsidP="00946207">
      <w:pPr>
        <w:spacing w:line="360" w:lineRule="auto"/>
        <w:rPr>
          <w:rFonts w:ascii="Book Antiqua" w:hAnsi="Book Antiqua" w:cs="Times New Roman"/>
          <w:color w:val="000000" w:themeColor="text1"/>
        </w:rPr>
      </w:pPr>
    </w:p>
    <w:p w:rsidR="004055E1" w:rsidRPr="0083147A" w:rsidRDefault="004055E1" w:rsidP="00946207">
      <w:pPr>
        <w:spacing w:line="360" w:lineRule="auto"/>
        <w:outlineLvl w:val="0"/>
        <w:rPr>
          <w:rFonts w:ascii="Book Antiqua" w:hAnsi="Book Antiqua" w:cs="Times New Roman"/>
          <w:b/>
          <w:i/>
          <w:color w:val="000000" w:themeColor="text1"/>
        </w:rPr>
      </w:pPr>
      <w:r w:rsidRPr="0083147A">
        <w:rPr>
          <w:rFonts w:ascii="Book Antiqua" w:hAnsi="Book Antiqua" w:cs="Times New Roman"/>
          <w:b/>
          <w:i/>
          <w:color w:val="000000" w:themeColor="text1"/>
        </w:rPr>
        <w:t>Clinical evaluation</w:t>
      </w:r>
    </w:p>
    <w:p w:rsidR="004C3ECF" w:rsidRPr="0083147A" w:rsidRDefault="004055E1" w:rsidP="00287CC5">
      <w:pPr>
        <w:spacing w:line="360" w:lineRule="auto"/>
        <w:rPr>
          <w:rFonts w:ascii="Book Antiqua" w:hAnsi="Book Antiqua" w:cs="Times New Roman"/>
          <w:color w:val="000000" w:themeColor="text1"/>
        </w:rPr>
      </w:pPr>
      <w:r w:rsidRPr="0083147A">
        <w:rPr>
          <w:rFonts w:ascii="Book Antiqua" w:hAnsi="Book Antiqua" w:cs="Times New Roman"/>
          <w:color w:val="000000" w:themeColor="text1"/>
        </w:rPr>
        <w:t>The treatment response was evaluated using computed tomography or magnetic resonance imaging at 8-</w:t>
      </w:r>
      <w:r w:rsidR="00A374FF">
        <w:rPr>
          <w:rFonts w:ascii="Book Antiqua" w:eastAsia="SimSun" w:hAnsi="Book Antiqua" w:cs="Times New Roman" w:hint="eastAsia"/>
          <w:color w:val="000000" w:themeColor="text1"/>
          <w:lang w:eastAsia="zh-CN"/>
        </w:rPr>
        <w:t>wk</w:t>
      </w:r>
      <w:r w:rsidRPr="0083147A">
        <w:rPr>
          <w:rFonts w:ascii="Book Antiqua" w:hAnsi="Book Antiqua" w:cs="Times New Roman"/>
          <w:color w:val="000000" w:themeColor="text1"/>
        </w:rPr>
        <w:t xml:space="preserve"> intervals. Radiologic</w:t>
      </w:r>
      <w:r w:rsidR="00C5073E" w:rsidRPr="0083147A">
        <w:rPr>
          <w:rFonts w:ascii="Book Antiqua" w:hAnsi="Book Antiqua" w:cs="Times New Roman"/>
          <w:color w:val="000000" w:themeColor="text1"/>
        </w:rPr>
        <w:t>al</w:t>
      </w:r>
      <w:r w:rsidRPr="0083147A">
        <w:rPr>
          <w:rFonts w:ascii="Book Antiqua" w:hAnsi="Book Antiqua" w:cs="Times New Roman"/>
          <w:color w:val="000000" w:themeColor="text1"/>
        </w:rPr>
        <w:t xml:space="preserve"> evaluation</w:t>
      </w:r>
      <w:r w:rsidR="00C5073E" w:rsidRPr="0083147A">
        <w:rPr>
          <w:rFonts w:ascii="Book Antiqua" w:hAnsi="Book Antiqua" w:cs="Times New Roman"/>
          <w:color w:val="000000" w:themeColor="text1"/>
        </w:rPr>
        <w:t>s</w:t>
      </w:r>
      <w:r w:rsidRPr="0083147A">
        <w:rPr>
          <w:rFonts w:ascii="Book Antiqua" w:hAnsi="Book Antiqua" w:cs="Times New Roman"/>
          <w:color w:val="000000" w:themeColor="text1"/>
        </w:rPr>
        <w:t xml:space="preserve"> </w:t>
      </w:r>
      <w:r w:rsidR="00C5073E" w:rsidRPr="0083147A">
        <w:rPr>
          <w:rFonts w:ascii="Book Antiqua" w:hAnsi="Book Antiqua" w:cs="Times New Roman"/>
          <w:color w:val="000000" w:themeColor="text1"/>
        </w:rPr>
        <w:t>were</w:t>
      </w:r>
      <w:r w:rsidRPr="0083147A">
        <w:rPr>
          <w:rFonts w:ascii="Book Antiqua" w:hAnsi="Book Antiqua" w:cs="Times New Roman"/>
          <w:color w:val="000000" w:themeColor="text1"/>
        </w:rPr>
        <w:t xml:space="preserve"> conducted based </w:t>
      </w:r>
      <w:r w:rsidR="009A2FAF" w:rsidRPr="0083147A">
        <w:rPr>
          <w:rFonts w:ascii="Book Antiqua" w:hAnsi="Book Antiqua" w:cs="Times New Roman"/>
          <w:color w:val="000000" w:themeColor="text1"/>
        </w:rPr>
        <w:t xml:space="preserve">on the </w:t>
      </w:r>
      <w:proofErr w:type="spellStart"/>
      <w:r w:rsidR="009A2FAF" w:rsidRPr="0083147A">
        <w:rPr>
          <w:rFonts w:ascii="Book Antiqua" w:hAnsi="Book Antiqua" w:cs="Times New Roman"/>
          <w:color w:val="000000" w:themeColor="text1"/>
        </w:rPr>
        <w:t>mRECIST</w:t>
      </w:r>
      <w:proofErr w:type="spellEnd"/>
      <w:r w:rsidR="009A2FAF" w:rsidRPr="0083147A">
        <w:rPr>
          <w:rFonts w:ascii="Book Antiqua" w:hAnsi="Book Antiqua" w:cs="Times New Roman"/>
          <w:color w:val="000000" w:themeColor="text1"/>
        </w:rPr>
        <w:t xml:space="preserve"> </w:t>
      </w:r>
      <w:proofErr w:type="gramStart"/>
      <w:r w:rsidR="009A2FAF" w:rsidRPr="0083147A">
        <w:rPr>
          <w:rFonts w:ascii="Book Antiqua" w:hAnsi="Book Antiqua" w:cs="Times New Roman"/>
          <w:color w:val="000000" w:themeColor="text1"/>
        </w:rPr>
        <w:t>criteria</w:t>
      </w:r>
      <w:r w:rsidRPr="0083147A">
        <w:rPr>
          <w:rFonts w:ascii="Book Antiqua" w:hAnsi="Book Antiqua" w:cs="Times New Roman"/>
          <w:color w:val="000000" w:themeColor="text1"/>
          <w:vertAlign w:val="superscript"/>
        </w:rPr>
        <w:t>[</w:t>
      </w:r>
      <w:proofErr w:type="gramEnd"/>
      <w:r w:rsidRPr="0083147A">
        <w:rPr>
          <w:rFonts w:ascii="Book Antiqua" w:hAnsi="Book Antiqua" w:cs="Times New Roman"/>
          <w:color w:val="000000" w:themeColor="text1"/>
          <w:vertAlign w:val="superscript"/>
        </w:rPr>
        <w:t>16]</w:t>
      </w:r>
      <w:r w:rsidRPr="0083147A">
        <w:rPr>
          <w:rFonts w:ascii="Book Antiqua" w:hAnsi="Book Antiqua" w:cs="Times New Roman"/>
          <w:color w:val="000000" w:themeColor="text1"/>
        </w:rPr>
        <w:t xml:space="preserve">. </w:t>
      </w:r>
      <w:r w:rsidR="005A04C2" w:rsidRPr="0083147A">
        <w:rPr>
          <w:rFonts w:ascii="Book Antiqua" w:hAnsi="Book Antiqua" w:cs="Times New Roman"/>
          <w:color w:val="000000" w:themeColor="text1"/>
        </w:rPr>
        <w:t>T</w:t>
      </w:r>
      <w:r w:rsidRPr="0083147A">
        <w:rPr>
          <w:rFonts w:ascii="Book Antiqua" w:hAnsi="Book Antiqua" w:cs="Times New Roman"/>
          <w:color w:val="000000" w:themeColor="text1"/>
        </w:rPr>
        <w:t>he National Cancer Institute Common Toxicity Criteria for Adverse Events (NCI-CTCAE)</w:t>
      </w:r>
      <w:r w:rsidR="00B86D02" w:rsidRPr="0083147A">
        <w:rPr>
          <w:rFonts w:ascii="Book Antiqua" w:hAnsi="Book Antiqua" w:cs="Times New Roman"/>
          <w:color w:val="000000" w:themeColor="text1"/>
        </w:rPr>
        <w:t xml:space="preserve"> </w:t>
      </w:r>
      <w:r w:rsidR="00BC3A1E" w:rsidRPr="0083147A">
        <w:rPr>
          <w:rFonts w:ascii="Book Antiqua" w:hAnsi="Book Antiqua" w:cs="Times New Roman"/>
          <w:color w:val="000000" w:themeColor="text1"/>
        </w:rPr>
        <w:t>(v</w:t>
      </w:r>
      <w:r w:rsidRPr="0083147A">
        <w:rPr>
          <w:rFonts w:ascii="Book Antiqua" w:hAnsi="Book Antiqua" w:cs="Times New Roman"/>
          <w:color w:val="000000" w:themeColor="text1"/>
        </w:rPr>
        <w:t xml:space="preserve">ersion 4.0) </w:t>
      </w:r>
      <w:r w:rsidR="00C5073E" w:rsidRPr="0083147A">
        <w:rPr>
          <w:rFonts w:ascii="Book Antiqua" w:hAnsi="Book Antiqua" w:cs="Times New Roman"/>
          <w:color w:val="000000" w:themeColor="text1"/>
        </w:rPr>
        <w:t>were</w:t>
      </w:r>
      <w:r w:rsidRPr="0083147A">
        <w:rPr>
          <w:rFonts w:ascii="Book Antiqua" w:hAnsi="Book Antiqua" w:cs="Times New Roman"/>
          <w:color w:val="000000" w:themeColor="text1"/>
        </w:rPr>
        <w:t xml:space="preserve"> adopted</w:t>
      </w:r>
      <w:r w:rsidR="005A04C2" w:rsidRPr="0083147A">
        <w:rPr>
          <w:rFonts w:ascii="Book Antiqua" w:hAnsi="Book Antiqua" w:cs="Times New Roman"/>
          <w:color w:val="000000" w:themeColor="text1"/>
        </w:rPr>
        <w:t xml:space="preserve"> to assess AEs</w:t>
      </w:r>
      <w:r w:rsidRPr="0083147A">
        <w:rPr>
          <w:rFonts w:ascii="Book Antiqua" w:hAnsi="Book Antiqua" w:cs="Times New Roman"/>
          <w:color w:val="000000" w:themeColor="text1"/>
        </w:rPr>
        <w:t xml:space="preserve">. </w:t>
      </w:r>
      <w:r w:rsidR="00C5073E" w:rsidRPr="0083147A">
        <w:rPr>
          <w:rFonts w:ascii="Book Antiqua" w:hAnsi="Book Antiqua" w:cs="Times New Roman"/>
          <w:color w:val="000000" w:themeColor="text1"/>
        </w:rPr>
        <w:t>P</w:t>
      </w:r>
      <w:r w:rsidRPr="0083147A">
        <w:rPr>
          <w:rFonts w:ascii="Book Antiqua" w:hAnsi="Book Antiqua" w:cs="Times New Roman"/>
          <w:color w:val="000000" w:themeColor="text1"/>
        </w:rPr>
        <w:t xml:space="preserve">atients were divided into two groups: </w:t>
      </w:r>
      <w:r w:rsidR="004C3ECF" w:rsidRPr="0083147A">
        <w:rPr>
          <w:rFonts w:ascii="Book Antiqua" w:hAnsi="Book Antiqua" w:cs="Times New Roman"/>
          <w:color w:val="000000" w:themeColor="text1"/>
        </w:rPr>
        <w:t xml:space="preserve">patients who had developed grade 1 or higher MKI-associated </w:t>
      </w:r>
      <w:r w:rsidR="00497BB3" w:rsidRPr="0083147A">
        <w:rPr>
          <w:rFonts w:ascii="Book Antiqua" w:hAnsi="Book Antiqua" w:cs="Times New Roman"/>
          <w:color w:val="000000" w:themeColor="text1"/>
        </w:rPr>
        <w:t>HFSR</w:t>
      </w:r>
      <w:r w:rsidR="004C3ECF" w:rsidRPr="0083147A">
        <w:rPr>
          <w:rFonts w:ascii="Book Antiqua" w:hAnsi="Book Antiqua" w:cs="Times New Roman"/>
          <w:color w:val="000000" w:themeColor="text1"/>
        </w:rPr>
        <w:t xml:space="preserve"> and those </w:t>
      </w:r>
      <w:r w:rsidR="00BC3A1E" w:rsidRPr="0083147A">
        <w:rPr>
          <w:rFonts w:ascii="Book Antiqua" w:hAnsi="Book Antiqua" w:cs="Times New Roman"/>
          <w:color w:val="000000" w:themeColor="text1"/>
        </w:rPr>
        <w:t>who had</w:t>
      </w:r>
      <w:r w:rsidR="00C5073E" w:rsidRPr="0083147A">
        <w:rPr>
          <w:rFonts w:ascii="Book Antiqua" w:hAnsi="Book Antiqua" w:cs="Times New Roman"/>
          <w:color w:val="000000" w:themeColor="text1"/>
        </w:rPr>
        <w:t xml:space="preserve"> not</w:t>
      </w:r>
      <w:r w:rsidR="004C3ECF" w:rsidRPr="0083147A">
        <w:rPr>
          <w:rFonts w:ascii="Book Antiqua" w:hAnsi="Book Antiqua" w:cs="Times New Roman"/>
          <w:color w:val="000000" w:themeColor="text1"/>
        </w:rPr>
        <w:t>.</w:t>
      </w:r>
    </w:p>
    <w:p w:rsidR="004C3ECF" w:rsidRPr="0083147A" w:rsidRDefault="004C3ECF" w:rsidP="00946207">
      <w:pPr>
        <w:spacing w:line="360" w:lineRule="auto"/>
        <w:rPr>
          <w:rFonts w:ascii="Book Antiqua" w:hAnsi="Book Antiqua" w:cs="Times New Roman"/>
          <w:color w:val="000000" w:themeColor="text1"/>
        </w:rPr>
      </w:pPr>
    </w:p>
    <w:p w:rsidR="004C3ECF" w:rsidRPr="0083147A" w:rsidRDefault="004C3ECF" w:rsidP="00946207">
      <w:pPr>
        <w:spacing w:line="360" w:lineRule="auto"/>
        <w:outlineLvl w:val="0"/>
        <w:rPr>
          <w:rFonts w:ascii="Book Antiqua" w:hAnsi="Book Antiqua" w:cs="Times New Roman"/>
          <w:b/>
          <w:i/>
          <w:color w:val="000000" w:themeColor="text1"/>
        </w:rPr>
      </w:pPr>
      <w:r w:rsidRPr="0083147A">
        <w:rPr>
          <w:rFonts w:ascii="Book Antiqua" w:hAnsi="Book Antiqua" w:cs="Times New Roman"/>
          <w:b/>
          <w:i/>
          <w:color w:val="000000" w:themeColor="text1"/>
        </w:rPr>
        <w:t xml:space="preserve">Intervention by pharmacists and </w:t>
      </w:r>
      <w:bookmarkStart w:id="5" w:name="_Hlk512438505"/>
      <w:r w:rsidR="00C5073E" w:rsidRPr="0083147A">
        <w:rPr>
          <w:rFonts w:ascii="Book Antiqua" w:hAnsi="Book Antiqua" w:cs="Times New Roman"/>
          <w:b/>
          <w:i/>
          <w:color w:val="000000" w:themeColor="text1"/>
        </w:rPr>
        <w:t xml:space="preserve">the </w:t>
      </w:r>
      <w:r w:rsidRPr="0083147A">
        <w:rPr>
          <w:rFonts w:ascii="Book Antiqua" w:hAnsi="Book Antiqua" w:cs="Times New Roman"/>
          <w:b/>
          <w:i/>
          <w:color w:val="000000" w:themeColor="text1"/>
        </w:rPr>
        <w:t>double-check system</w:t>
      </w:r>
      <w:bookmarkEnd w:id="5"/>
    </w:p>
    <w:p w:rsidR="00C521BC" w:rsidRPr="0083147A" w:rsidRDefault="004C3ECF" w:rsidP="0077644F">
      <w:pPr>
        <w:spacing w:line="360" w:lineRule="auto"/>
        <w:rPr>
          <w:rFonts w:ascii="Book Antiqua" w:hAnsi="Book Antiqua" w:cs="Times New Roman"/>
          <w:color w:val="000000" w:themeColor="text1"/>
        </w:rPr>
      </w:pPr>
      <w:r w:rsidRPr="0083147A">
        <w:rPr>
          <w:rFonts w:ascii="Book Antiqua" w:hAnsi="Book Antiqua" w:cs="Times New Roman"/>
          <w:color w:val="000000" w:themeColor="text1"/>
        </w:rPr>
        <w:t xml:space="preserve">The Pharmacists’ Outpatient Clinic (primary outpatient clinic) was </w:t>
      </w:r>
      <w:r w:rsidR="00C9725F" w:rsidRPr="0083147A">
        <w:rPr>
          <w:rFonts w:ascii="Book Antiqua" w:hAnsi="Book Antiqua" w:cs="Times New Roman"/>
          <w:color w:val="000000" w:themeColor="text1"/>
        </w:rPr>
        <w:t>established through i</w:t>
      </w:r>
      <w:r w:rsidRPr="0083147A">
        <w:rPr>
          <w:rFonts w:ascii="Book Antiqua" w:hAnsi="Book Antiqua" w:cs="Times New Roman"/>
          <w:color w:val="000000" w:themeColor="text1"/>
        </w:rPr>
        <w:t>ntervention by pharmacists specializing in cancer treatment</w:t>
      </w:r>
      <w:r w:rsidR="00C9725F" w:rsidRPr="0083147A">
        <w:rPr>
          <w:rFonts w:ascii="Book Antiqua" w:hAnsi="Book Antiqua" w:cs="Times New Roman"/>
          <w:color w:val="000000" w:themeColor="text1"/>
        </w:rPr>
        <w:t xml:space="preserve">. At the primary outpatient clinic, </w:t>
      </w:r>
      <w:r w:rsidR="00C5073E" w:rsidRPr="0083147A">
        <w:rPr>
          <w:rFonts w:ascii="Book Antiqua" w:hAnsi="Book Antiqua" w:cs="Times New Roman"/>
          <w:color w:val="000000" w:themeColor="text1"/>
        </w:rPr>
        <w:t>AE</w:t>
      </w:r>
      <w:r w:rsidR="00C9725F" w:rsidRPr="0083147A">
        <w:rPr>
          <w:rFonts w:ascii="Book Antiqua" w:hAnsi="Book Antiqua" w:cs="Times New Roman"/>
          <w:color w:val="000000" w:themeColor="text1"/>
        </w:rPr>
        <w:t xml:space="preserve"> assessment/management education for patients </w:t>
      </w:r>
      <w:r w:rsidR="00C9725F" w:rsidRPr="0083147A">
        <w:rPr>
          <w:rFonts w:ascii="Book Antiqua" w:hAnsi="Book Antiqua" w:cs="Times New Roman"/>
          <w:color w:val="000000" w:themeColor="text1"/>
        </w:rPr>
        <w:lastRenderedPageBreak/>
        <w:t>and residual drug/self-management education were conducted at 2-</w:t>
      </w:r>
      <w:r w:rsidR="00C22C42">
        <w:rPr>
          <w:rFonts w:ascii="Book Antiqua" w:eastAsia="SimSun" w:hAnsi="Book Antiqua" w:cs="Times New Roman" w:hint="eastAsia"/>
          <w:color w:val="000000" w:themeColor="text1"/>
          <w:lang w:eastAsia="zh-CN"/>
        </w:rPr>
        <w:t>wk</w:t>
      </w:r>
      <w:r w:rsidR="00C9725F" w:rsidRPr="0083147A">
        <w:rPr>
          <w:rFonts w:ascii="Book Antiqua" w:hAnsi="Book Antiqua" w:cs="Times New Roman"/>
          <w:color w:val="000000" w:themeColor="text1"/>
        </w:rPr>
        <w:t xml:space="preserve"> intervals (average). The duration of </w:t>
      </w:r>
      <w:r w:rsidR="00C5073E" w:rsidRPr="0083147A">
        <w:rPr>
          <w:rFonts w:ascii="Book Antiqua" w:hAnsi="Book Antiqua" w:cs="Times New Roman"/>
          <w:color w:val="000000" w:themeColor="text1"/>
        </w:rPr>
        <w:t xml:space="preserve">a </w:t>
      </w:r>
      <w:r w:rsidR="00C9725F" w:rsidRPr="0083147A">
        <w:rPr>
          <w:rFonts w:ascii="Book Antiqua" w:hAnsi="Book Antiqua" w:cs="Times New Roman"/>
          <w:color w:val="000000" w:themeColor="text1"/>
        </w:rPr>
        <w:t xml:space="preserve">consultation at this outpatient clinic per session was 20 to 30 </w:t>
      </w:r>
      <w:r w:rsidR="00633C13">
        <w:rPr>
          <w:rFonts w:ascii="Book Antiqua" w:eastAsia="SimSun" w:hAnsi="Book Antiqua" w:cs="Times New Roman" w:hint="eastAsia"/>
          <w:color w:val="000000" w:themeColor="text1"/>
          <w:lang w:eastAsia="zh-CN"/>
        </w:rPr>
        <w:t>min</w:t>
      </w:r>
      <w:r w:rsidR="00C9725F" w:rsidRPr="0083147A">
        <w:rPr>
          <w:rFonts w:ascii="Book Antiqua" w:hAnsi="Book Antiqua" w:cs="Times New Roman"/>
          <w:color w:val="000000" w:themeColor="text1"/>
        </w:rPr>
        <w:t xml:space="preserve">. We adopted a system to summarize the results of </w:t>
      </w:r>
      <w:r w:rsidR="00C5073E" w:rsidRPr="0083147A">
        <w:rPr>
          <w:rFonts w:ascii="Book Antiqua" w:hAnsi="Book Antiqua" w:cs="Times New Roman"/>
          <w:color w:val="000000" w:themeColor="text1"/>
        </w:rPr>
        <w:t xml:space="preserve">the </w:t>
      </w:r>
      <w:r w:rsidR="00C9725F" w:rsidRPr="0083147A">
        <w:rPr>
          <w:rFonts w:ascii="Book Antiqua" w:hAnsi="Book Antiqua" w:cs="Times New Roman"/>
          <w:color w:val="000000" w:themeColor="text1"/>
        </w:rPr>
        <w:t>consultation at the primary outpatient clinic as a report and advise</w:t>
      </w:r>
      <w:r w:rsidR="00C5073E" w:rsidRPr="0083147A">
        <w:rPr>
          <w:rFonts w:ascii="Book Antiqua" w:hAnsi="Book Antiqua" w:cs="Times New Roman"/>
          <w:color w:val="000000" w:themeColor="text1"/>
        </w:rPr>
        <w:t>d</w:t>
      </w:r>
      <w:r w:rsidR="00C9725F" w:rsidRPr="0083147A">
        <w:rPr>
          <w:rFonts w:ascii="Book Antiqua" w:hAnsi="Book Antiqua" w:cs="Times New Roman"/>
          <w:color w:val="000000" w:themeColor="text1"/>
        </w:rPr>
        <w:t xml:space="preserve"> physicians responsible for outpatient care (secondary outpatient clinic). In addition, when grade 3 or higher </w:t>
      </w:r>
      <w:r w:rsidR="00C5073E" w:rsidRPr="0083147A">
        <w:rPr>
          <w:rFonts w:ascii="Book Antiqua" w:hAnsi="Book Antiqua" w:cs="Times New Roman"/>
          <w:color w:val="000000" w:themeColor="text1"/>
        </w:rPr>
        <w:t>AEs</w:t>
      </w:r>
      <w:r w:rsidR="00C9725F" w:rsidRPr="0083147A">
        <w:rPr>
          <w:rFonts w:ascii="Book Antiqua" w:hAnsi="Book Antiqua" w:cs="Times New Roman"/>
          <w:color w:val="000000" w:themeColor="text1"/>
        </w:rPr>
        <w:t xml:space="preserve"> occurred, a prompt management system </w:t>
      </w:r>
      <w:r w:rsidR="00A02F63" w:rsidRPr="0083147A">
        <w:rPr>
          <w:rFonts w:ascii="Book Antiqua" w:hAnsi="Book Antiqua" w:cs="Times New Roman"/>
          <w:color w:val="000000" w:themeColor="text1"/>
        </w:rPr>
        <w:t>to telephone or directly speak</w:t>
      </w:r>
      <w:r w:rsidR="00C9725F" w:rsidRPr="0083147A">
        <w:rPr>
          <w:rFonts w:ascii="Book Antiqua" w:hAnsi="Book Antiqua" w:cs="Times New Roman"/>
          <w:color w:val="000000" w:themeColor="text1"/>
        </w:rPr>
        <w:t xml:space="preserve"> with physicians at the secondary outpatient clinic in addition to reporting was established. At the secondary outpatient clinic, physicians responsible for outpatient care examined patients based on patient information obtained at the primary outpatient clinic and made a final decision on </w:t>
      </w:r>
      <w:r w:rsidR="005A04C2" w:rsidRPr="0083147A">
        <w:rPr>
          <w:rFonts w:ascii="Book Antiqua" w:hAnsi="Book Antiqua" w:cs="Times New Roman"/>
          <w:color w:val="000000" w:themeColor="text1"/>
        </w:rPr>
        <w:t xml:space="preserve">the administration of </w:t>
      </w:r>
      <w:r w:rsidR="00C9725F" w:rsidRPr="0083147A">
        <w:rPr>
          <w:rFonts w:ascii="Book Antiqua" w:hAnsi="Book Antiqua" w:cs="Times New Roman"/>
          <w:color w:val="000000" w:themeColor="text1"/>
        </w:rPr>
        <w:t xml:space="preserve">sorafenib. A system for physicians at the secondary outpatient clinic to promptly consult specialists belonging to each department at the onset of </w:t>
      </w:r>
      <w:r w:rsidR="00C5073E" w:rsidRPr="0083147A">
        <w:rPr>
          <w:rFonts w:ascii="Book Antiqua" w:hAnsi="Book Antiqua" w:cs="Times New Roman"/>
          <w:color w:val="000000" w:themeColor="text1"/>
        </w:rPr>
        <w:t>AEs</w:t>
      </w:r>
      <w:r w:rsidR="00C9725F" w:rsidRPr="0083147A">
        <w:rPr>
          <w:rFonts w:ascii="Book Antiqua" w:hAnsi="Book Antiqua" w:cs="Times New Roman"/>
          <w:color w:val="000000" w:themeColor="text1"/>
        </w:rPr>
        <w:t xml:space="preserve"> was establishe</w:t>
      </w:r>
      <w:r w:rsidR="00C5073E" w:rsidRPr="0083147A">
        <w:rPr>
          <w:rFonts w:ascii="Book Antiqua" w:hAnsi="Book Antiqua" w:cs="Times New Roman"/>
          <w:color w:val="000000" w:themeColor="text1"/>
        </w:rPr>
        <w:t>d. Regarding care for patient</w:t>
      </w:r>
      <w:r w:rsidR="00C9725F" w:rsidRPr="0083147A">
        <w:rPr>
          <w:rFonts w:ascii="Book Antiqua" w:hAnsi="Book Antiqua" w:cs="Times New Roman"/>
          <w:color w:val="000000" w:themeColor="text1"/>
        </w:rPr>
        <w:t xml:space="preserve"> anxiety, nurses specializing in cancer nursing </w:t>
      </w:r>
      <w:r w:rsidR="00C521BC" w:rsidRPr="0083147A">
        <w:rPr>
          <w:rFonts w:ascii="Book Antiqua" w:hAnsi="Book Antiqua" w:cs="Times New Roman"/>
          <w:color w:val="000000" w:themeColor="text1"/>
        </w:rPr>
        <w:t xml:space="preserve">arranged an interview- or telephone-based </w:t>
      </w:r>
      <w:r w:rsidR="00C9725F" w:rsidRPr="0083147A">
        <w:rPr>
          <w:rFonts w:ascii="Book Antiqua" w:hAnsi="Book Antiqua" w:cs="Times New Roman"/>
          <w:color w:val="000000" w:themeColor="text1"/>
        </w:rPr>
        <w:t xml:space="preserve">back-up </w:t>
      </w:r>
      <w:r w:rsidR="00C521BC" w:rsidRPr="0083147A">
        <w:rPr>
          <w:rFonts w:ascii="Book Antiqua" w:hAnsi="Book Antiqua" w:cs="Times New Roman"/>
          <w:color w:val="000000" w:themeColor="text1"/>
        </w:rPr>
        <w:t>support system</w:t>
      </w:r>
      <w:r w:rsidR="00C9725F" w:rsidRPr="0083147A">
        <w:rPr>
          <w:rFonts w:ascii="Book Antiqua" w:hAnsi="Book Antiqua" w:cs="Times New Roman"/>
          <w:color w:val="000000" w:themeColor="text1"/>
        </w:rPr>
        <w:t>.</w:t>
      </w:r>
      <w:r w:rsidR="00C521BC" w:rsidRPr="0083147A">
        <w:rPr>
          <w:rFonts w:ascii="Book Antiqua" w:hAnsi="Book Antiqua" w:cs="Times New Roman"/>
          <w:color w:val="000000" w:themeColor="text1"/>
        </w:rPr>
        <w:t xml:space="preserve"> Intervention by pharmacists specializing in cancer treatment</w:t>
      </w:r>
      <w:r w:rsidR="005A04C2" w:rsidRPr="0083147A">
        <w:rPr>
          <w:rFonts w:ascii="Book Antiqua" w:hAnsi="Book Antiqua" w:cs="Times New Roman"/>
          <w:color w:val="000000" w:themeColor="text1"/>
        </w:rPr>
        <w:t>s</w:t>
      </w:r>
      <w:r w:rsidR="00C521BC" w:rsidRPr="0083147A">
        <w:rPr>
          <w:rFonts w:ascii="Book Antiqua" w:hAnsi="Book Antiqua" w:cs="Times New Roman"/>
          <w:color w:val="000000" w:themeColor="text1"/>
        </w:rPr>
        <w:t xml:space="preserve"> </w:t>
      </w:r>
      <w:r w:rsidR="00A02F63" w:rsidRPr="0083147A">
        <w:rPr>
          <w:rFonts w:ascii="Book Antiqua" w:hAnsi="Book Antiqua" w:cs="Times New Roman"/>
          <w:color w:val="000000" w:themeColor="text1"/>
        </w:rPr>
        <w:t>began</w:t>
      </w:r>
      <w:r w:rsidR="00C521BC" w:rsidRPr="0083147A">
        <w:rPr>
          <w:rFonts w:ascii="Book Antiqua" w:hAnsi="Book Antiqua" w:cs="Times New Roman"/>
          <w:color w:val="000000" w:themeColor="text1"/>
        </w:rPr>
        <w:t xml:space="preserve"> at the time of treatment introduction and continued until the appearance of symptomatic exacerbation or non-permissible </w:t>
      </w:r>
      <w:r w:rsidR="00C5073E" w:rsidRPr="0083147A">
        <w:rPr>
          <w:rFonts w:ascii="Book Antiqua" w:hAnsi="Book Antiqua" w:cs="Times New Roman"/>
          <w:color w:val="000000" w:themeColor="text1"/>
        </w:rPr>
        <w:t>AEs</w:t>
      </w:r>
      <w:r w:rsidR="00C521BC" w:rsidRPr="0083147A">
        <w:rPr>
          <w:rFonts w:ascii="Book Antiqua" w:hAnsi="Book Antiqua" w:cs="Times New Roman"/>
          <w:color w:val="000000" w:themeColor="text1"/>
        </w:rPr>
        <w:t>.</w:t>
      </w:r>
    </w:p>
    <w:p w:rsidR="00C521BC" w:rsidRPr="0083147A" w:rsidRDefault="00C521BC" w:rsidP="00946207">
      <w:pPr>
        <w:spacing w:line="360" w:lineRule="auto"/>
        <w:rPr>
          <w:rFonts w:ascii="Book Antiqua" w:hAnsi="Book Antiqua" w:cs="Times New Roman"/>
          <w:color w:val="000000" w:themeColor="text1"/>
        </w:rPr>
      </w:pPr>
    </w:p>
    <w:p w:rsidR="00C521BC" w:rsidRPr="0083147A" w:rsidRDefault="00C521BC" w:rsidP="00946207">
      <w:pPr>
        <w:spacing w:line="360" w:lineRule="auto"/>
        <w:outlineLvl w:val="0"/>
        <w:rPr>
          <w:rFonts w:ascii="Book Antiqua" w:hAnsi="Book Antiqua" w:cs="Times New Roman"/>
          <w:b/>
          <w:i/>
          <w:color w:val="000000" w:themeColor="text1"/>
        </w:rPr>
      </w:pPr>
      <w:r w:rsidRPr="0083147A">
        <w:rPr>
          <w:rFonts w:ascii="Book Antiqua" w:hAnsi="Book Antiqua" w:cs="Times New Roman"/>
          <w:b/>
          <w:i/>
          <w:color w:val="000000" w:themeColor="text1"/>
        </w:rPr>
        <w:t>Statistical analysis</w:t>
      </w:r>
    </w:p>
    <w:p w:rsidR="00C521BC" w:rsidRPr="0083147A" w:rsidRDefault="00C5073E" w:rsidP="00CB5BDB">
      <w:pPr>
        <w:spacing w:line="360" w:lineRule="auto"/>
        <w:rPr>
          <w:rFonts w:ascii="Book Antiqua" w:hAnsi="Book Antiqua" w:cs="Times New Roman"/>
          <w:color w:val="000000" w:themeColor="text1"/>
        </w:rPr>
      </w:pPr>
      <w:r w:rsidRPr="0083147A">
        <w:rPr>
          <w:rFonts w:ascii="Book Antiqua" w:hAnsi="Book Antiqua" w:cs="Times New Roman"/>
          <w:color w:val="000000" w:themeColor="text1"/>
        </w:rPr>
        <w:t>In the</w:t>
      </w:r>
      <w:r w:rsidR="00C521BC" w:rsidRPr="0083147A">
        <w:rPr>
          <w:rFonts w:ascii="Book Antiqua" w:hAnsi="Book Antiqua" w:cs="Times New Roman"/>
          <w:color w:val="000000" w:themeColor="text1"/>
        </w:rPr>
        <w:t xml:space="preserve"> survival analysis,</w:t>
      </w:r>
      <w:r w:rsidRPr="0083147A">
        <w:rPr>
          <w:rFonts w:ascii="Book Antiqua" w:hAnsi="Book Antiqua" w:cs="Times New Roman"/>
          <w:color w:val="000000" w:themeColor="text1"/>
        </w:rPr>
        <w:t xml:space="preserve"> the</w:t>
      </w:r>
      <w:r w:rsidR="00C521BC" w:rsidRPr="0083147A">
        <w:rPr>
          <w:rFonts w:ascii="Book Antiqua" w:hAnsi="Book Antiqua" w:cs="Times New Roman"/>
          <w:color w:val="000000" w:themeColor="text1"/>
        </w:rPr>
        <w:t xml:space="preserve"> significance of differences in survival between two groups with and without </w:t>
      </w:r>
      <w:r w:rsidR="00497BB3" w:rsidRPr="0083147A">
        <w:rPr>
          <w:rFonts w:ascii="Book Antiqua" w:hAnsi="Book Antiqua" w:cs="Times New Roman"/>
          <w:color w:val="000000" w:themeColor="text1"/>
        </w:rPr>
        <w:t>MKI-associated HFSR</w:t>
      </w:r>
      <w:r w:rsidR="00C521BC" w:rsidRPr="0083147A">
        <w:rPr>
          <w:rFonts w:ascii="Book Antiqua" w:hAnsi="Book Antiqua" w:cs="Times New Roman"/>
          <w:color w:val="000000" w:themeColor="text1"/>
        </w:rPr>
        <w:t xml:space="preserve"> after </w:t>
      </w:r>
      <w:r w:rsidRPr="0083147A">
        <w:rPr>
          <w:rFonts w:ascii="Book Antiqua" w:hAnsi="Book Antiqua" w:cs="Times New Roman"/>
          <w:color w:val="000000" w:themeColor="text1"/>
        </w:rPr>
        <w:t xml:space="preserve">the administration of </w:t>
      </w:r>
      <w:r w:rsidR="00C521BC" w:rsidRPr="0083147A">
        <w:rPr>
          <w:rFonts w:ascii="Book Antiqua" w:hAnsi="Book Antiqua" w:cs="Times New Roman"/>
          <w:color w:val="000000" w:themeColor="text1"/>
        </w:rPr>
        <w:t xml:space="preserve">sorafenib was tested using the </w:t>
      </w:r>
      <w:r w:rsidR="005631FC" w:rsidRPr="0083147A">
        <w:rPr>
          <w:rFonts w:ascii="Book Antiqua" w:hAnsi="Book Antiqua" w:cs="Times New Roman"/>
          <w:color w:val="000000" w:themeColor="text1"/>
        </w:rPr>
        <w:t>l</w:t>
      </w:r>
      <w:r w:rsidR="009A2FAF" w:rsidRPr="0083147A">
        <w:rPr>
          <w:rFonts w:ascii="Book Antiqua" w:hAnsi="Book Antiqua" w:cs="Times New Roman"/>
          <w:color w:val="000000" w:themeColor="text1"/>
        </w:rPr>
        <w:t xml:space="preserve">og-rank </w:t>
      </w:r>
      <w:proofErr w:type="gramStart"/>
      <w:r w:rsidR="009A2FAF" w:rsidRPr="0083147A">
        <w:rPr>
          <w:rFonts w:ascii="Book Antiqua" w:hAnsi="Book Antiqua" w:cs="Times New Roman"/>
          <w:color w:val="000000" w:themeColor="text1"/>
        </w:rPr>
        <w:t>test</w:t>
      </w:r>
      <w:r w:rsidR="00C521BC" w:rsidRPr="0083147A">
        <w:rPr>
          <w:rFonts w:ascii="Book Antiqua" w:hAnsi="Book Antiqua" w:cs="Times New Roman"/>
          <w:color w:val="000000" w:themeColor="text1"/>
          <w:vertAlign w:val="superscript"/>
        </w:rPr>
        <w:t>[</w:t>
      </w:r>
      <w:proofErr w:type="gramEnd"/>
      <w:r w:rsidR="00C521BC" w:rsidRPr="0083147A">
        <w:rPr>
          <w:rFonts w:ascii="Book Antiqua" w:hAnsi="Book Antiqua" w:cs="Times New Roman"/>
          <w:color w:val="000000" w:themeColor="text1"/>
          <w:vertAlign w:val="superscript"/>
        </w:rPr>
        <w:t>17]</w:t>
      </w:r>
      <w:r w:rsidR="00C521BC" w:rsidRPr="0083147A">
        <w:rPr>
          <w:rFonts w:ascii="Book Antiqua" w:hAnsi="Book Antiqua" w:cs="Times New Roman"/>
          <w:color w:val="000000" w:themeColor="text1"/>
        </w:rPr>
        <w:t xml:space="preserve">. </w:t>
      </w:r>
      <w:r w:rsidRPr="0083147A">
        <w:rPr>
          <w:rFonts w:ascii="Book Antiqua" w:hAnsi="Book Antiqua" w:cs="Times New Roman"/>
          <w:color w:val="000000" w:themeColor="text1"/>
        </w:rPr>
        <w:t xml:space="preserve">The </w:t>
      </w:r>
      <w:r w:rsidR="005631FC" w:rsidRPr="0083147A">
        <w:rPr>
          <w:rFonts w:ascii="Book Antiqua" w:hAnsi="Book Antiqua" w:cs="Times New Roman"/>
          <w:color w:val="000000" w:themeColor="text1"/>
        </w:rPr>
        <w:t>l</w:t>
      </w:r>
      <w:r w:rsidRPr="0083147A">
        <w:rPr>
          <w:rFonts w:ascii="Book Antiqua" w:hAnsi="Book Antiqua" w:cs="Times New Roman"/>
          <w:color w:val="000000" w:themeColor="text1"/>
        </w:rPr>
        <w:t>og-rank test was also used t</w:t>
      </w:r>
      <w:r w:rsidR="00C521BC" w:rsidRPr="0083147A">
        <w:rPr>
          <w:rFonts w:ascii="Book Antiqua" w:hAnsi="Book Antiqua" w:cs="Times New Roman"/>
          <w:color w:val="000000" w:themeColor="text1"/>
        </w:rPr>
        <w:t>o compare survival between two groups with and without intervention</w:t>
      </w:r>
      <w:r w:rsidRPr="0083147A">
        <w:rPr>
          <w:rFonts w:ascii="Book Antiqua" w:hAnsi="Book Antiqua" w:cs="Times New Roman"/>
          <w:color w:val="000000" w:themeColor="text1"/>
        </w:rPr>
        <w:t xml:space="preserve"> by pharmacists</w:t>
      </w:r>
      <w:r w:rsidR="00C521BC" w:rsidRPr="0083147A">
        <w:rPr>
          <w:rFonts w:ascii="Book Antiqua" w:hAnsi="Book Antiqua" w:cs="Times New Roman"/>
          <w:color w:val="000000" w:themeColor="text1"/>
        </w:rPr>
        <w:t xml:space="preserve">. </w:t>
      </w:r>
      <w:r w:rsidRPr="0083147A">
        <w:rPr>
          <w:rFonts w:ascii="Book Antiqua" w:hAnsi="Book Antiqua" w:cs="Times New Roman"/>
          <w:color w:val="000000" w:themeColor="text1"/>
        </w:rPr>
        <w:t>In the</w:t>
      </w:r>
      <w:r w:rsidR="00C521BC" w:rsidRPr="0083147A">
        <w:rPr>
          <w:rFonts w:ascii="Book Antiqua" w:hAnsi="Book Antiqua" w:cs="Times New Roman"/>
          <w:color w:val="000000" w:themeColor="text1"/>
        </w:rPr>
        <w:t xml:space="preserve"> multivariate analysis, Cox proportional hazard</w:t>
      </w:r>
      <w:r w:rsidR="005631FC" w:rsidRPr="0083147A">
        <w:rPr>
          <w:rFonts w:ascii="Book Antiqua" w:hAnsi="Book Antiqua" w:cs="Times New Roman"/>
          <w:color w:val="000000" w:themeColor="text1"/>
        </w:rPr>
        <w:t>s</w:t>
      </w:r>
      <w:r w:rsidR="00C521BC" w:rsidRPr="0083147A">
        <w:rPr>
          <w:rFonts w:ascii="Book Antiqua" w:hAnsi="Book Antiqua" w:cs="Times New Roman"/>
          <w:color w:val="000000" w:themeColor="text1"/>
        </w:rPr>
        <w:t xml:space="preserve"> model was </w:t>
      </w:r>
      <w:proofErr w:type="gramStart"/>
      <w:r w:rsidR="00C521BC" w:rsidRPr="0083147A">
        <w:rPr>
          <w:rFonts w:ascii="Book Antiqua" w:hAnsi="Book Antiqua" w:cs="Times New Roman"/>
          <w:color w:val="000000" w:themeColor="text1"/>
        </w:rPr>
        <w:t>adopted</w:t>
      </w:r>
      <w:r w:rsidR="00C521BC" w:rsidRPr="0083147A">
        <w:rPr>
          <w:rFonts w:ascii="Book Antiqua" w:hAnsi="Book Antiqua" w:cs="Times New Roman"/>
          <w:color w:val="000000" w:themeColor="text1"/>
          <w:vertAlign w:val="superscript"/>
        </w:rPr>
        <w:t>[</w:t>
      </w:r>
      <w:proofErr w:type="gramEnd"/>
      <w:r w:rsidR="00C521BC" w:rsidRPr="0083147A">
        <w:rPr>
          <w:rFonts w:ascii="Book Antiqua" w:hAnsi="Book Antiqua" w:cs="Times New Roman"/>
          <w:color w:val="000000" w:themeColor="text1"/>
          <w:vertAlign w:val="superscript"/>
        </w:rPr>
        <w:t>18]</w:t>
      </w:r>
      <w:r w:rsidR="00C521BC" w:rsidRPr="0083147A">
        <w:rPr>
          <w:rFonts w:ascii="Book Antiqua" w:hAnsi="Book Antiqua" w:cs="Times New Roman"/>
          <w:color w:val="000000" w:themeColor="text1"/>
        </w:rPr>
        <w:t xml:space="preserve">. </w:t>
      </w:r>
      <w:r w:rsidRPr="0083147A">
        <w:rPr>
          <w:rFonts w:ascii="Book Antiqua" w:hAnsi="Book Antiqua" w:cs="Times New Roman"/>
          <w:color w:val="000000" w:themeColor="text1"/>
        </w:rPr>
        <w:t>Regarding</w:t>
      </w:r>
      <w:r w:rsidR="00C521BC" w:rsidRPr="0083147A">
        <w:rPr>
          <w:rFonts w:ascii="Book Antiqua" w:hAnsi="Book Antiqua" w:cs="Times New Roman"/>
          <w:color w:val="000000" w:themeColor="text1"/>
        </w:rPr>
        <w:t xml:space="preserve"> the presence or absence of </w:t>
      </w:r>
      <w:r w:rsidR="00497BB3" w:rsidRPr="0083147A">
        <w:rPr>
          <w:rFonts w:ascii="Book Antiqua" w:hAnsi="Book Antiqua" w:cs="Times New Roman"/>
          <w:color w:val="000000" w:themeColor="text1"/>
        </w:rPr>
        <w:t xml:space="preserve">MKI-associated HFSR </w:t>
      </w:r>
      <w:r w:rsidR="00C521BC" w:rsidRPr="0083147A">
        <w:rPr>
          <w:rFonts w:ascii="Book Antiqua" w:hAnsi="Book Antiqua" w:cs="Times New Roman"/>
          <w:color w:val="000000" w:themeColor="text1"/>
        </w:rPr>
        <w:t xml:space="preserve">and antitumor effects, </w:t>
      </w:r>
      <w:r w:rsidRPr="0083147A">
        <w:rPr>
          <w:rFonts w:ascii="Book Antiqua" w:hAnsi="Book Antiqua" w:cs="Times New Roman"/>
          <w:color w:val="000000" w:themeColor="text1"/>
        </w:rPr>
        <w:t xml:space="preserve">a </w:t>
      </w:r>
      <w:r w:rsidR="00C521BC" w:rsidRPr="0083147A">
        <w:rPr>
          <w:rFonts w:ascii="Book Antiqua" w:hAnsi="Book Antiqua" w:cs="Times New Roman"/>
          <w:color w:val="000000" w:themeColor="text1"/>
        </w:rPr>
        <w:t xml:space="preserve">landmark </w:t>
      </w:r>
      <w:proofErr w:type="gramStart"/>
      <w:r w:rsidR="00C521BC" w:rsidRPr="0083147A">
        <w:rPr>
          <w:rFonts w:ascii="Book Antiqua" w:hAnsi="Book Antiqua" w:cs="Times New Roman"/>
          <w:color w:val="000000" w:themeColor="text1"/>
        </w:rPr>
        <w:t>analysis</w:t>
      </w:r>
      <w:r w:rsidR="00C521BC" w:rsidRPr="0083147A">
        <w:rPr>
          <w:rFonts w:ascii="Book Antiqua" w:hAnsi="Book Antiqua" w:cs="Times New Roman"/>
          <w:color w:val="000000" w:themeColor="text1"/>
          <w:vertAlign w:val="superscript"/>
        </w:rPr>
        <w:t>[</w:t>
      </w:r>
      <w:proofErr w:type="gramEnd"/>
      <w:r w:rsidR="00C521BC" w:rsidRPr="0083147A">
        <w:rPr>
          <w:rFonts w:ascii="Book Antiqua" w:hAnsi="Book Antiqua" w:cs="Times New Roman"/>
          <w:color w:val="000000" w:themeColor="text1"/>
          <w:vertAlign w:val="superscript"/>
        </w:rPr>
        <w:t>19]</w:t>
      </w:r>
      <w:r w:rsidR="00C521BC" w:rsidRPr="0083147A">
        <w:rPr>
          <w:rFonts w:ascii="Book Antiqua" w:hAnsi="Book Antiqua" w:cs="Times New Roman"/>
          <w:color w:val="000000" w:themeColor="text1"/>
        </w:rPr>
        <w:t xml:space="preserve"> was conducted to minimize time-dependent bias. </w:t>
      </w:r>
      <w:r w:rsidR="005631FC" w:rsidRPr="0083147A">
        <w:rPr>
          <w:rFonts w:ascii="Book Antiqua" w:hAnsi="Book Antiqua" w:cs="Times New Roman"/>
          <w:color w:val="000000" w:themeColor="text1"/>
        </w:rPr>
        <w:t>AE</w:t>
      </w:r>
      <w:r w:rsidRPr="0083147A">
        <w:rPr>
          <w:rFonts w:ascii="Book Antiqua" w:hAnsi="Book Antiqua" w:cs="Times New Roman"/>
          <w:color w:val="000000" w:themeColor="text1"/>
        </w:rPr>
        <w:t xml:space="preserve">-free patients </w:t>
      </w:r>
      <w:r w:rsidR="00C521BC" w:rsidRPr="0083147A">
        <w:rPr>
          <w:rFonts w:ascii="Book Antiqua" w:hAnsi="Book Antiqua" w:cs="Times New Roman"/>
          <w:color w:val="000000" w:themeColor="text1"/>
        </w:rPr>
        <w:t xml:space="preserve">28 </w:t>
      </w:r>
      <w:r w:rsidR="004B6C7A">
        <w:rPr>
          <w:rFonts w:ascii="Book Antiqua" w:eastAsia="SimSun" w:hAnsi="Book Antiqua" w:cs="Times New Roman" w:hint="eastAsia"/>
          <w:color w:val="000000" w:themeColor="text1"/>
          <w:lang w:eastAsia="zh-CN"/>
        </w:rPr>
        <w:t>d</w:t>
      </w:r>
      <w:r w:rsidR="00C521BC" w:rsidRPr="0083147A">
        <w:rPr>
          <w:rFonts w:ascii="Book Antiqua" w:hAnsi="Book Antiqua" w:cs="Times New Roman"/>
          <w:color w:val="000000" w:themeColor="text1"/>
        </w:rPr>
        <w:t xml:space="preserve"> after the start of treatment, when</w:t>
      </w:r>
      <w:r w:rsidRPr="0083147A">
        <w:rPr>
          <w:rFonts w:ascii="Book Antiqua" w:hAnsi="Book Antiqua" w:cs="Times New Roman"/>
          <w:color w:val="000000" w:themeColor="text1"/>
        </w:rPr>
        <w:t xml:space="preserve"> the</w:t>
      </w:r>
      <w:r w:rsidR="00C521BC" w:rsidRPr="0083147A">
        <w:rPr>
          <w:rFonts w:ascii="Book Antiqua" w:hAnsi="Book Antiqua" w:cs="Times New Roman"/>
          <w:color w:val="000000" w:themeColor="text1"/>
        </w:rPr>
        <w:t xml:space="preserve"> highest-grade </w:t>
      </w:r>
      <w:r w:rsidR="00497BB3" w:rsidRPr="0083147A">
        <w:rPr>
          <w:rFonts w:ascii="Book Antiqua" w:hAnsi="Book Antiqua" w:cs="Times New Roman"/>
          <w:color w:val="000000" w:themeColor="text1"/>
        </w:rPr>
        <w:t xml:space="preserve">MKI-associated HFSR </w:t>
      </w:r>
      <w:r w:rsidR="00E37953" w:rsidRPr="0083147A">
        <w:rPr>
          <w:rFonts w:ascii="Book Antiqua" w:hAnsi="Book Antiqua" w:cs="Times New Roman"/>
          <w:color w:val="000000" w:themeColor="text1"/>
        </w:rPr>
        <w:t>was</w:t>
      </w:r>
      <w:r w:rsidR="00C521BC" w:rsidRPr="0083147A">
        <w:rPr>
          <w:rFonts w:ascii="Book Antiqua" w:hAnsi="Book Antiqua" w:cs="Times New Roman"/>
          <w:color w:val="000000" w:themeColor="text1"/>
        </w:rPr>
        <w:t xml:space="preserve"> noted in ≥</w:t>
      </w:r>
      <w:r w:rsidR="005631FC" w:rsidRPr="0083147A">
        <w:rPr>
          <w:rFonts w:ascii="Book Antiqua" w:hAnsi="Book Antiqua" w:cs="Times New Roman"/>
          <w:color w:val="000000" w:themeColor="text1"/>
        </w:rPr>
        <w:t xml:space="preserve"> </w:t>
      </w:r>
      <w:r w:rsidR="00C521BC" w:rsidRPr="0083147A">
        <w:rPr>
          <w:rFonts w:ascii="Book Antiqua" w:hAnsi="Book Antiqua" w:cs="Times New Roman"/>
          <w:color w:val="000000" w:themeColor="text1"/>
        </w:rPr>
        <w:t xml:space="preserve">50% of </w:t>
      </w:r>
      <w:r w:rsidR="00E37953" w:rsidRPr="0083147A">
        <w:rPr>
          <w:rFonts w:ascii="Book Antiqua" w:hAnsi="Book Antiqua" w:cs="Times New Roman"/>
          <w:color w:val="000000" w:themeColor="text1"/>
        </w:rPr>
        <w:t xml:space="preserve">the patients, </w:t>
      </w:r>
      <w:r w:rsidR="00F4702A" w:rsidRPr="0083147A">
        <w:rPr>
          <w:rFonts w:ascii="Book Antiqua" w:hAnsi="Book Antiqua" w:cs="Times New Roman"/>
          <w:color w:val="000000" w:themeColor="text1"/>
        </w:rPr>
        <w:t xml:space="preserve">was analyzed </w:t>
      </w:r>
      <w:r w:rsidR="00E37953" w:rsidRPr="0083147A">
        <w:rPr>
          <w:rFonts w:ascii="Book Antiqua" w:hAnsi="Book Antiqua" w:cs="Times New Roman"/>
          <w:color w:val="000000" w:themeColor="text1"/>
        </w:rPr>
        <w:t>as a landmark</w:t>
      </w:r>
      <w:r w:rsidR="00C521BC" w:rsidRPr="0083147A">
        <w:rPr>
          <w:rFonts w:ascii="Book Antiqua" w:hAnsi="Book Antiqua" w:cs="Times New Roman"/>
          <w:color w:val="000000" w:themeColor="text1"/>
        </w:rPr>
        <w:t>.</w:t>
      </w:r>
    </w:p>
    <w:p w:rsidR="00C521BC" w:rsidRPr="0083147A" w:rsidRDefault="00C521BC" w:rsidP="00946207">
      <w:pPr>
        <w:spacing w:line="360" w:lineRule="auto"/>
        <w:ind w:firstLine="480"/>
        <w:rPr>
          <w:rFonts w:ascii="Book Antiqua" w:hAnsi="Book Antiqua" w:cs="Times New Roman"/>
          <w:color w:val="000000" w:themeColor="text1"/>
        </w:rPr>
      </w:pPr>
      <w:r w:rsidRPr="0083147A">
        <w:rPr>
          <w:rFonts w:ascii="Book Antiqua" w:hAnsi="Book Antiqua" w:cs="Times New Roman"/>
          <w:color w:val="000000" w:themeColor="text1"/>
        </w:rPr>
        <w:lastRenderedPageBreak/>
        <w:t>Fisher’s exact test was used</w:t>
      </w:r>
      <w:r w:rsidR="00C5073E" w:rsidRPr="0083147A">
        <w:rPr>
          <w:rFonts w:ascii="Book Antiqua" w:hAnsi="Book Antiqua" w:cs="Times New Roman"/>
          <w:color w:val="000000" w:themeColor="text1"/>
        </w:rPr>
        <w:t xml:space="preserve"> for categor</w:t>
      </w:r>
      <w:r w:rsidR="00F4702A" w:rsidRPr="0083147A">
        <w:rPr>
          <w:rFonts w:ascii="Book Antiqua" w:hAnsi="Book Antiqua" w:cs="Times New Roman"/>
          <w:color w:val="000000" w:themeColor="text1"/>
        </w:rPr>
        <w:t>ical</w:t>
      </w:r>
      <w:r w:rsidR="00C5073E" w:rsidRPr="0083147A">
        <w:rPr>
          <w:rFonts w:ascii="Book Antiqua" w:hAnsi="Book Antiqua" w:cs="Times New Roman"/>
          <w:color w:val="000000" w:themeColor="text1"/>
        </w:rPr>
        <w:t xml:space="preserve"> variables</w:t>
      </w:r>
      <w:r w:rsidRPr="0083147A">
        <w:rPr>
          <w:rFonts w:ascii="Book Antiqua" w:hAnsi="Book Antiqua" w:cs="Times New Roman"/>
          <w:color w:val="000000" w:themeColor="text1"/>
        </w:rPr>
        <w:t xml:space="preserve">. </w:t>
      </w:r>
      <w:r w:rsidR="00C5073E" w:rsidRPr="0083147A">
        <w:rPr>
          <w:rFonts w:ascii="Book Antiqua" w:hAnsi="Book Antiqua" w:cs="Times New Roman"/>
          <w:color w:val="000000" w:themeColor="text1"/>
        </w:rPr>
        <w:t>T</w:t>
      </w:r>
      <w:r w:rsidRPr="0083147A">
        <w:rPr>
          <w:rFonts w:ascii="Book Antiqua" w:hAnsi="Book Antiqua" w:cs="Times New Roman"/>
          <w:color w:val="000000" w:themeColor="text1"/>
        </w:rPr>
        <w:t xml:space="preserve">he Mann-Whitney </w:t>
      </w:r>
      <w:r w:rsidRPr="00A2234F">
        <w:rPr>
          <w:rFonts w:ascii="Book Antiqua" w:hAnsi="Book Antiqua" w:cs="Times New Roman"/>
          <w:i/>
          <w:color w:val="000000" w:themeColor="text1"/>
        </w:rPr>
        <w:t>U</w:t>
      </w:r>
      <w:r w:rsidRPr="0083147A">
        <w:rPr>
          <w:rFonts w:ascii="Book Antiqua" w:hAnsi="Book Antiqua" w:cs="Times New Roman"/>
          <w:color w:val="000000" w:themeColor="text1"/>
        </w:rPr>
        <w:t>-test was adopted</w:t>
      </w:r>
      <w:r w:rsidR="00C5073E" w:rsidRPr="0083147A">
        <w:rPr>
          <w:rFonts w:ascii="Book Antiqua" w:hAnsi="Book Antiqua" w:cs="Times New Roman"/>
          <w:color w:val="000000" w:themeColor="text1"/>
        </w:rPr>
        <w:t xml:space="preserve"> for continuous variables. </w:t>
      </w:r>
      <w:r w:rsidRPr="0083147A">
        <w:rPr>
          <w:rFonts w:ascii="Book Antiqua" w:hAnsi="Book Antiqua" w:cs="Times New Roman"/>
          <w:color w:val="000000" w:themeColor="text1"/>
        </w:rPr>
        <w:t>SPSS software (version 22, SPSS, Inc., Chicago, IL) was used</w:t>
      </w:r>
      <w:r w:rsidR="00C5073E" w:rsidRPr="0083147A">
        <w:rPr>
          <w:rFonts w:ascii="Book Antiqua" w:hAnsi="Book Antiqua" w:cs="Times New Roman"/>
          <w:color w:val="000000" w:themeColor="text1"/>
        </w:rPr>
        <w:t xml:space="preserve"> for statistical analy</w:t>
      </w:r>
      <w:r w:rsidR="00AD2A82" w:rsidRPr="0083147A">
        <w:rPr>
          <w:rFonts w:ascii="Book Antiqua" w:hAnsi="Book Antiqua" w:cs="Times New Roman"/>
          <w:color w:val="000000" w:themeColor="text1"/>
        </w:rPr>
        <w:t>si</w:t>
      </w:r>
      <w:r w:rsidR="00C5073E" w:rsidRPr="0083147A">
        <w:rPr>
          <w:rFonts w:ascii="Book Antiqua" w:hAnsi="Book Antiqua" w:cs="Times New Roman"/>
          <w:color w:val="000000" w:themeColor="text1"/>
        </w:rPr>
        <w:t>s</w:t>
      </w:r>
      <w:r w:rsidR="00E63184" w:rsidRPr="0083147A">
        <w:rPr>
          <w:rFonts w:ascii="Book Antiqua" w:hAnsi="Book Antiqua" w:cs="Times New Roman"/>
          <w:color w:val="000000" w:themeColor="text1"/>
        </w:rPr>
        <w:t xml:space="preserve">. A </w:t>
      </w:r>
      <w:r w:rsidR="00E63184" w:rsidRPr="00925137">
        <w:rPr>
          <w:rFonts w:ascii="Book Antiqua" w:hAnsi="Book Antiqua" w:cs="Times New Roman"/>
          <w:i/>
          <w:color w:val="000000" w:themeColor="text1"/>
        </w:rPr>
        <w:t>P</w:t>
      </w:r>
      <w:r w:rsidRPr="0083147A">
        <w:rPr>
          <w:rFonts w:ascii="Book Antiqua" w:hAnsi="Book Antiqua" w:cs="Times New Roman"/>
          <w:color w:val="000000" w:themeColor="text1"/>
        </w:rPr>
        <w:t xml:space="preserve">-value of 0.05 </w:t>
      </w:r>
      <w:r w:rsidR="00E63184" w:rsidRPr="0083147A">
        <w:rPr>
          <w:rFonts w:ascii="Book Antiqua" w:hAnsi="Book Antiqua" w:cs="Times New Roman"/>
          <w:color w:val="000000" w:themeColor="text1"/>
        </w:rPr>
        <w:t>consider</w:t>
      </w:r>
      <w:r w:rsidRPr="0083147A">
        <w:rPr>
          <w:rFonts w:ascii="Book Antiqua" w:hAnsi="Book Antiqua" w:cs="Times New Roman"/>
          <w:color w:val="000000" w:themeColor="text1"/>
        </w:rPr>
        <w:t>ed as significant.</w:t>
      </w:r>
    </w:p>
    <w:p w:rsidR="00C521BC" w:rsidRPr="0083147A" w:rsidRDefault="00C521BC" w:rsidP="00946207">
      <w:pPr>
        <w:spacing w:line="360" w:lineRule="auto"/>
        <w:rPr>
          <w:rFonts w:ascii="Book Antiqua" w:hAnsi="Book Antiqua" w:cs="Times New Roman"/>
          <w:color w:val="000000" w:themeColor="text1"/>
        </w:rPr>
      </w:pPr>
    </w:p>
    <w:p w:rsidR="00C521BC" w:rsidRPr="0083147A" w:rsidRDefault="00C51D68" w:rsidP="00946207">
      <w:pPr>
        <w:spacing w:line="360" w:lineRule="auto"/>
        <w:outlineLvl w:val="0"/>
        <w:rPr>
          <w:rFonts w:ascii="Book Antiqua" w:hAnsi="Book Antiqua" w:cs="Times New Roman"/>
          <w:b/>
          <w:color w:val="000000" w:themeColor="text1"/>
        </w:rPr>
      </w:pPr>
      <w:r w:rsidRPr="0083147A">
        <w:rPr>
          <w:rFonts w:ascii="Book Antiqua" w:hAnsi="Book Antiqua" w:cs="Times New Roman"/>
          <w:b/>
          <w:color w:val="000000" w:themeColor="text1"/>
        </w:rPr>
        <w:t>RESULTS</w:t>
      </w:r>
    </w:p>
    <w:p w:rsidR="00C521BC" w:rsidRPr="0083147A" w:rsidRDefault="00C521BC" w:rsidP="00946207">
      <w:pPr>
        <w:spacing w:line="360" w:lineRule="auto"/>
        <w:outlineLvl w:val="0"/>
        <w:rPr>
          <w:rFonts w:ascii="Book Antiqua" w:hAnsi="Book Antiqua" w:cs="Times New Roman"/>
          <w:b/>
          <w:i/>
          <w:color w:val="000000" w:themeColor="text1"/>
        </w:rPr>
      </w:pPr>
      <w:r w:rsidRPr="0083147A">
        <w:rPr>
          <w:rFonts w:ascii="Book Antiqua" w:hAnsi="Book Antiqua" w:cs="Times New Roman"/>
          <w:b/>
          <w:i/>
          <w:color w:val="000000" w:themeColor="text1"/>
        </w:rPr>
        <w:t>Baseline characteristics</w:t>
      </w:r>
    </w:p>
    <w:p w:rsidR="00C521BC" w:rsidRPr="0083147A" w:rsidRDefault="009A2FAF" w:rsidP="00A2234F">
      <w:pPr>
        <w:spacing w:line="360" w:lineRule="auto"/>
        <w:rPr>
          <w:rFonts w:ascii="Book Antiqua" w:hAnsi="Book Antiqua" w:cs="Times New Roman"/>
          <w:color w:val="000000" w:themeColor="text1"/>
        </w:rPr>
      </w:pPr>
      <w:proofErr w:type="spellStart"/>
      <w:r w:rsidRPr="0083147A">
        <w:rPr>
          <w:rFonts w:ascii="Book Antiqua" w:hAnsi="Book Antiqua" w:cs="Times New Roman"/>
          <w:color w:val="000000" w:themeColor="text1"/>
        </w:rPr>
        <w:t>Sorafenib</w:t>
      </w:r>
      <w:proofErr w:type="spellEnd"/>
      <w:r w:rsidRPr="0083147A">
        <w:rPr>
          <w:rFonts w:ascii="Book Antiqua" w:hAnsi="Book Antiqua" w:cs="Times New Roman"/>
          <w:color w:val="000000" w:themeColor="text1"/>
        </w:rPr>
        <w:t xml:space="preserve"> treatment</w:t>
      </w:r>
      <w:r w:rsidR="00C521BC" w:rsidRPr="0083147A">
        <w:rPr>
          <w:rFonts w:ascii="Book Antiqua" w:hAnsi="Book Antiqua" w:cs="Times New Roman"/>
          <w:color w:val="000000" w:themeColor="text1"/>
        </w:rPr>
        <w:t xml:space="preserve"> was evaluated in 40 patients treated between May 2009 and March 2017. The baseline characteristics of the</w:t>
      </w:r>
      <w:r w:rsidR="008C59FC" w:rsidRPr="0083147A">
        <w:rPr>
          <w:rFonts w:ascii="Book Antiqua" w:hAnsi="Book Antiqua" w:cs="Times New Roman"/>
          <w:color w:val="000000" w:themeColor="text1"/>
        </w:rPr>
        <w:t>se</w:t>
      </w:r>
      <w:r w:rsidR="00C521BC" w:rsidRPr="0083147A">
        <w:rPr>
          <w:rFonts w:ascii="Book Antiqua" w:hAnsi="Book Antiqua" w:cs="Times New Roman"/>
          <w:color w:val="000000" w:themeColor="text1"/>
        </w:rPr>
        <w:t xml:space="preserve"> patients </w:t>
      </w:r>
      <w:r w:rsidR="00573CF0" w:rsidRPr="0083147A">
        <w:rPr>
          <w:rFonts w:ascii="Book Antiqua" w:hAnsi="Book Antiqua" w:cs="Times New Roman"/>
          <w:color w:val="000000" w:themeColor="text1"/>
        </w:rPr>
        <w:t>are</w:t>
      </w:r>
      <w:r w:rsidR="00C521BC" w:rsidRPr="0083147A">
        <w:rPr>
          <w:rFonts w:ascii="Book Antiqua" w:hAnsi="Book Antiqua" w:cs="Times New Roman"/>
          <w:color w:val="000000" w:themeColor="text1"/>
        </w:rPr>
        <w:t xml:space="preserve"> shown in Table 1. </w:t>
      </w:r>
      <w:r w:rsidR="00573CF0" w:rsidRPr="0083147A">
        <w:rPr>
          <w:rFonts w:ascii="Book Antiqua" w:hAnsi="Book Antiqua" w:cs="Times New Roman"/>
          <w:color w:val="000000" w:themeColor="text1"/>
        </w:rPr>
        <w:t>The m</w:t>
      </w:r>
      <w:r w:rsidR="00C521BC" w:rsidRPr="0083147A">
        <w:rPr>
          <w:rFonts w:ascii="Book Antiqua" w:hAnsi="Book Antiqua" w:cs="Times New Roman"/>
          <w:color w:val="000000" w:themeColor="text1"/>
        </w:rPr>
        <w:t>edian age was 71 years (range: 48-89 years). Thirty-nine patients (97</w:t>
      </w:r>
      <w:r w:rsidRPr="0083147A">
        <w:rPr>
          <w:rFonts w:ascii="Book Antiqua" w:hAnsi="Book Antiqua" w:cs="Times New Roman"/>
          <w:color w:val="000000" w:themeColor="text1"/>
        </w:rPr>
        <w:t>.5%) underwent sorafenib treatment</w:t>
      </w:r>
      <w:r w:rsidR="00C521BC" w:rsidRPr="0083147A">
        <w:rPr>
          <w:rFonts w:ascii="Book Antiqua" w:hAnsi="Book Antiqua" w:cs="Times New Roman"/>
          <w:color w:val="000000" w:themeColor="text1"/>
        </w:rPr>
        <w:t xml:space="preserve"> after hepatectomy, radiofrequency ablation, or transcatheter arterial chemoembolization (TACE), which was ineffective. The most frequent etiological factor for hepatitis was hepatitis C virus</w:t>
      </w:r>
      <w:r w:rsidR="00B86D02" w:rsidRPr="0083147A">
        <w:rPr>
          <w:rFonts w:ascii="Book Antiqua" w:hAnsi="Book Antiqua" w:cs="Times New Roman"/>
          <w:color w:val="000000" w:themeColor="text1"/>
        </w:rPr>
        <w:t xml:space="preserve"> </w:t>
      </w:r>
      <w:r w:rsidR="00C521BC" w:rsidRPr="0083147A">
        <w:rPr>
          <w:rFonts w:ascii="Book Antiqua" w:hAnsi="Book Antiqua" w:cs="Times New Roman"/>
          <w:color w:val="000000" w:themeColor="text1"/>
        </w:rPr>
        <w:t>(57.5%)</w:t>
      </w:r>
      <w:r w:rsidR="00A50ABA">
        <w:rPr>
          <w:rFonts w:ascii="Book Antiqua" w:hAnsi="Book Antiqua" w:cs="Times New Roman"/>
          <w:color w:val="000000" w:themeColor="text1"/>
        </w:rPr>
        <w:t>, followed by hepatitis B virus</w:t>
      </w:r>
      <w:r w:rsidR="00B86D02" w:rsidRPr="0083147A">
        <w:rPr>
          <w:rFonts w:ascii="Book Antiqua" w:hAnsi="Book Antiqua" w:cs="Times New Roman"/>
          <w:color w:val="000000" w:themeColor="text1"/>
        </w:rPr>
        <w:t xml:space="preserve"> </w:t>
      </w:r>
      <w:r w:rsidR="00C521BC" w:rsidRPr="0083147A">
        <w:rPr>
          <w:rFonts w:ascii="Book Antiqua" w:hAnsi="Book Antiqua" w:cs="Times New Roman"/>
          <w:color w:val="000000" w:themeColor="text1"/>
        </w:rPr>
        <w:t xml:space="preserve">(25%). </w:t>
      </w:r>
      <w:r w:rsidR="008C59FC" w:rsidRPr="0083147A">
        <w:rPr>
          <w:rFonts w:ascii="Book Antiqua" w:hAnsi="Book Antiqua" w:cs="Times New Roman"/>
          <w:color w:val="000000" w:themeColor="text1"/>
        </w:rPr>
        <w:t>E</w:t>
      </w:r>
      <w:r w:rsidR="00C521BC" w:rsidRPr="0083147A">
        <w:rPr>
          <w:rFonts w:ascii="Book Antiqua" w:hAnsi="Book Antiqua" w:cs="Times New Roman"/>
          <w:color w:val="000000" w:themeColor="text1"/>
        </w:rPr>
        <w:t>xtrahepatic metastases were detected</w:t>
      </w:r>
      <w:r w:rsidR="008C59FC" w:rsidRPr="0083147A">
        <w:rPr>
          <w:rFonts w:ascii="Book Antiqua" w:hAnsi="Book Antiqua" w:cs="Times New Roman"/>
          <w:color w:val="000000" w:themeColor="text1"/>
        </w:rPr>
        <w:t xml:space="preserve"> in 16 patients (40%),</w:t>
      </w:r>
      <w:r w:rsidR="00C521BC" w:rsidRPr="0083147A">
        <w:rPr>
          <w:rFonts w:ascii="Book Antiqua" w:hAnsi="Book Antiqua" w:cs="Times New Roman"/>
          <w:color w:val="000000" w:themeColor="text1"/>
        </w:rPr>
        <w:t xml:space="preserve"> </w:t>
      </w:r>
      <w:r w:rsidR="008C59FC" w:rsidRPr="0083147A">
        <w:rPr>
          <w:rFonts w:ascii="Book Antiqua" w:hAnsi="Book Antiqua" w:cs="Times New Roman"/>
          <w:color w:val="000000" w:themeColor="text1"/>
        </w:rPr>
        <w:t>while</w:t>
      </w:r>
      <w:r w:rsidR="00C521BC" w:rsidRPr="0083147A">
        <w:rPr>
          <w:rFonts w:ascii="Book Antiqua" w:hAnsi="Book Antiqua" w:cs="Times New Roman"/>
          <w:color w:val="000000" w:themeColor="text1"/>
        </w:rPr>
        <w:t xml:space="preserve"> tumors were localized in the liver in the other 24 patients (60%). Twenty-two patients (55%) had received intervention by pharmacists.</w:t>
      </w:r>
    </w:p>
    <w:p w:rsidR="00C521BC" w:rsidRPr="0083147A" w:rsidRDefault="00C521BC" w:rsidP="00946207">
      <w:pPr>
        <w:spacing w:line="360" w:lineRule="auto"/>
        <w:rPr>
          <w:rFonts w:ascii="Book Antiqua" w:hAnsi="Book Antiqua" w:cs="Times New Roman"/>
          <w:color w:val="000000" w:themeColor="text1"/>
        </w:rPr>
      </w:pPr>
    </w:p>
    <w:p w:rsidR="00C521BC" w:rsidRPr="0083147A" w:rsidRDefault="008C59FC" w:rsidP="00946207">
      <w:pPr>
        <w:spacing w:line="360" w:lineRule="auto"/>
        <w:outlineLvl w:val="0"/>
        <w:rPr>
          <w:rFonts w:ascii="Book Antiqua" w:hAnsi="Book Antiqua" w:cs="Times New Roman"/>
          <w:b/>
          <w:i/>
          <w:color w:val="000000" w:themeColor="text1"/>
        </w:rPr>
      </w:pPr>
      <w:r w:rsidRPr="0083147A">
        <w:rPr>
          <w:rFonts w:ascii="Book Antiqua" w:hAnsi="Book Antiqua" w:cs="Times New Roman"/>
          <w:b/>
          <w:i/>
          <w:color w:val="000000" w:themeColor="text1"/>
        </w:rPr>
        <w:t>AEs</w:t>
      </w:r>
    </w:p>
    <w:p w:rsidR="00F80158" w:rsidRPr="0083147A" w:rsidRDefault="00F80158" w:rsidP="00A50ABA">
      <w:pPr>
        <w:spacing w:line="360" w:lineRule="auto"/>
        <w:rPr>
          <w:rFonts w:ascii="Book Antiqua" w:hAnsi="Book Antiqua" w:cs="Times New Roman"/>
          <w:color w:val="000000" w:themeColor="text1"/>
        </w:rPr>
      </w:pPr>
      <w:r w:rsidRPr="0083147A">
        <w:rPr>
          <w:rFonts w:ascii="Book Antiqua" w:hAnsi="Book Antiqua" w:cs="Times New Roman"/>
          <w:color w:val="000000" w:themeColor="text1"/>
        </w:rPr>
        <w:t xml:space="preserve">AEs related to </w:t>
      </w:r>
      <w:proofErr w:type="spellStart"/>
      <w:r w:rsidRPr="0083147A">
        <w:rPr>
          <w:rFonts w:ascii="Book Antiqua" w:hAnsi="Book Antiqua" w:cs="Times New Roman"/>
          <w:color w:val="000000" w:themeColor="text1"/>
        </w:rPr>
        <w:t>sorafenib</w:t>
      </w:r>
      <w:proofErr w:type="spellEnd"/>
      <w:r w:rsidRPr="0083147A">
        <w:rPr>
          <w:rFonts w:ascii="Book Antiqua" w:hAnsi="Book Antiqua" w:cs="Times New Roman"/>
          <w:color w:val="000000" w:themeColor="text1"/>
        </w:rPr>
        <w:t xml:space="preserve"> </w:t>
      </w:r>
      <w:r w:rsidR="00573CF0" w:rsidRPr="0083147A">
        <w:rPr>
          <w:rFonts w:ascii="Book Antiqua" w:hAnsi="Book Antiqua" w:cs="Times New Roman"/>
          <w:color w:val="000000" w:themeColor="text1"/>
        </w:rPr>
        <w:t>are</w:t>
      </w:r>
      <w:r w:rsidRPr="0083147A">
        <w:rPr>
          <w:rFonts w:ascii="Book Antiqua" w:hAnsi="Book Antiqua" w:cs="Times New Roman"/>
          <w:color w:val="000000" w:themeColor="text1"/>
        </w:rPr>
        <w:t xml:space="preserve"> presented in Ta</w:t>
      </w:r>
      <w:r w:rsidR="008C59FC" w:rsidRPr="0083147A">
        <w:rPr>
          <w:rFonts w:ascii="Book Antiqua" w:hAnsi="Book Antiqua" w:cs="Times New Roman"/>
          <w:color w:val="000000" w:themeColor="text1"/>
        </w:rPr>
        <w:t>ble 2. In all patients, ≥</w:t>
      </w:r>
      <w:r w:rsidR="00573CF0" w:rsidRPr="0083147A">
        <w:rPr>
          <w:rFonts w:ascii="Book Antiqua" w:hAnsi="Book Antiqua" w:cs="Times New Roman"/>
          <w:color w:val="000000" w:themeColor="text1"/>
        </w:rPr>
        <w:t xml:space="preserve"> </w:t>
      </w:r>
      <w:r w:rsidR="008C59FC" w:rsidRPr="0083147A">
        <w:rPr>
          <w:rFonts w:ascii="Book Antiqua" w:hAnsi="Book Antiqua" w:cs="Times New Roman"/>
          <w:color w:val="000000" w:themeColor="text1"/>
        </w:rPr>
        <w:t>1 AE</w:t>
      </w:r>
      <w:r w:rsidRPr="0083147A">
        <w:rPr>
          <w:rFonts w:ascii="Book Antiqua" w:hAnsi="Book Antiqua" w:cs="Times New Roman"/>
          <w:color w:val="000000" w:themeColor="text1"/>
        </w:rPr>
        <w:t xml:space="preserve"> </w:t>
      </w:r>
      <w:r w:rsidR="008C59FC" w:rsidRPr="0083147A">
        <w:rPr>
          <w:rFonts w:ascii="Book Antiqua" w:hAnsi="Book Antiqua" w:cs="Times New Roman"/>
          <w:color w:val="000000" w:themeColor="text1"/>
        </w:rPr>
        <w:t>was</w:t>
      </w:r>
      <w:r w:rsidR="00573CF0" w:rsidRPr="0083147A">
        <w:rPr>
          <w:rFonts w:ascii="Book Antiqua" w:hAnsi="Book Antiqua" w:cs="Times New Roman"/>
          <w:color w:val="000000" w:themeColor="text1"/>
        </w:rPr>
        <w:t xml:space="preserve"> observed, but there were</w:t>
      </w:r>
      <w:r w:rsidRPr="0083147A">
        <w:rPr>
          <w:rFonts w:ascii="Book Antiqua" w:hAnsi="Book Antiqua" w:cs="Times New Roman"/>
          <w:color w:val="000000" w:themeColor="text1"/>
        </w:rPr>
        <w:t xml:space="preserve"> no grade 4 AE</w:t>
      </w:r>
      <w:r w:rsidR="00845479" w:rsidRPr="0083147A">
        <w:rPr>
          <w:rFonts w:ascii="Book Antiqua" w:hAnsi="Book Antiqua" w:cs="Times New Roman"/>
          <w:color w:val="000000" w:themeColor="text1"/>
        </w:rPr>
        <w:t>s</w:t>
      </w:r>
      <w:r w:rsidRPr="0083147A">
        <w:rPr>
          <w:rFonts w:ascii="Book Antiqua" w:hAnsi="Book Antiqua" w:cs="Times New Roman"/>
          <w:color w:val="000000" w:themeColor="text1"/>
        </w:rPr>
        <w:t xml:space="preserve">. Primary AEs consisted of </w:t>
      </w:r>
      <w:r w:rsidR="00C30930" w:rsidRPr="0083147A">
        <w:rPr>
          <w:rFonts w:ascii="Book Antiqua" w:hAnsi="Book Antiqua" w:cs="Times New Roman"/>
          <w:color w:val="000000" w:themeColor="text1"/>
        </w:rPr>
        <w:t xml:space="preserve">MKI-associated </w:t>
      </w:r>
      <w:r w:rsidR="00A50ABA">
        <w:rPr>
          <w:rFonts w:ascii="Book Antiqua" w:hAnsi="Book Antiqua" w:cs="Times New Roman"/>
          <w:color w:val="000000" w:themeColor="text1"/>
        </w:rPr>
        <w:t xml:space="preserve">HFSR </w:t>
      </w:r>
      <w:r w:rsidRPr="0083147A">
        <w:rPr>
          <w:rFonts w:ascii="Book Antiqua" w:hAnsi="Book Antiqua" w:cs="Times New Roman"/>
          <w:color w:val="000000" w:themeColor="text1"/>
        </w:rPr>
        <w:t xml:space="preserve">(55%), anemia (35%), hypertension (30%), anorexia (30%), and </w:t>
      </w:r>
      <w:proofErr w:type="spellStart"/>
      <w:r w:rsidRPr="0083147A">
        <w:rPr>
          <w:rFonts w:ascii="Book Antiqua" w:hAnsi="Book Antiqua" w:cs="Times New Roman"/>
          <w:color w:val="000000" w:themeColor="text1"/>
        </w:rPr>
        <w:t>thrombopenia</w:t>
      </w:r>
      <w:proofErr w:type="spellEnd"/>
      <w:r w:rsidRPr="0083147A">
        <w:rPr>
          <w:rFonts w:ascii="Book Antiqua" w:hAnsi="Book Antiqua" w:cs="Times New Roman"/>
          <w:color w:val="000000" w:themeColor="text1"/>
        </w:rPr>
        <w:t xml:space="preserve"> (30%). The grade</w:t>
      </w:r>
      <w:r w:rsidR="008C59FC" w:rsidRPr="0083147A">
        <w:rPr>
          <w:rFonts w:ascii="Book Antiqua" w:hAnsi="Book Antiqua" w:cs="Times New Roman"/>
          <w:color w:val="000000" w:themeColor="text1"/>
        </w:rPr>
        <w:t>s</w:t>
      </w:r>
      <w:r w:rsidRPr="0083147A">
        <w:rPr>
          <w:rFonts w:ascii="Book Antiqua" w:hAnsi="Book Antiqua" w:cs="Times New Roman"/>
          <w:color w:val="000000" w:themeColor="text1"/>
        </w:rPr>
        <w:t xml:space="preserve"> of these AEs </w:t>
      </w:r>
      <w:r w:rsidR="008C59FC" w:rsidRPr="0083147A">
        <w:rPr>
          <w:rFonts w:ascii="Book Antiqua" w:hAnsi="Book Antiqua" w:cs="Times New Roman"/>
          <w:color w:val="000000" w:themeColor="text1"/>
        </w:rPr>
        <w:t>were</w:t>
      </w:r>
      <w:r w:rsidRPr="0083147A">
        <w:rPr>
          <w:rFonts w:ascii="Book Antiqua" w:hAnsi="Book Antiqua" w:cs="Times New Roman"/>
          <w:color w:val="000000" w:themeColor="text1"/>
        </w:rPr>
        <w:t xml:space="preserve"> evaluated as 1 in 38%, 2 in 35%, and 3 in 28%</w:t>
      </w:r>
      <w:r w:rsidR="00573CF0" w:rsidRPr="0083147A">
        <w:rPr>
          <w:rFonts w:ascii="Book Antiqua" w:hAnsi="Book Antiqua" w:cs="Times New Roman"/>
          <w:color w:val="000000" w:themeColor="text1"/>
        </w:rPr>
        <w:t xml:space="preserve"> of patients</w:t>
      </w:r>
      <w:r w:rsidRPr="0083147A">
        <w:rPr>
          <w:rFonts w:ascii="Book Antiqua" w:hAnsi="Book Antiqua" w:cs="Times New Roman"/>
          <w:color w:val="000000" w:themeColor="text1"/>
        </w:rPr>
        <w:t>. In 16 patients, treatment</w:t>
      </w:r>
      <w:r w:rsidR="008C59FC" w:rsidRPr="0083147A">
        <w:rPr>
          <w:rFonts w:ascii="Book Antiqua" w:hAnsi="Book Antiqua" w:cs="Times New Roman"/>
          <w:color w:val="000000" w:themeColor="text1"/>
        </w:rPr>
        <w:t>s</w:t>
      </w:r>
      <w:r w:rsidRPr="0083147A">
        <w:rPr>
          <w:rFonts w:ascii="Book Antiqua" w:hAnsi="Book Antiqua" w:cs="Times New Roman"/>
          <w:color w:val="000000" w:themeColor="text1"/>
        </w:rPr>
        <w:t xml:space="preserve"> </w:t>
      </w:r>
      <w:r w:rsidR="008C59FC" w:rsidRPr="0083147A">
        <w:rPr>
          <w:rFonts w:ascii="Book Antiqua" w:hAnsi="Book Antiqua" w:cs="Times New Roman"/>
          <w:color w:val="000000" w:themeColor="text1"/>
        </w:rPr>
        <w:t>were</w:t>
      </w:r>
      <w:r w:rsidRPr="0083147A">
        <w:rPr>
          <w:rFonts w:ascii="Book Antiqua" w:hAnsi="Book Antiqua" w:cs="Times New Roman"/>
          <w:color w:val="000000" w:themeColor="text1"/>
        </w:rPr>
        <w:t xml:space="preserve"> postponed (definitive discontinuation) due to AEs. In 11</w:t>
      </w:r>
      <w:r w:rsidR="008C59FC" w:rsidRPr="0083147A">
        <w:rPr>
          <w:rFonts w:ascii="Book Antiqua" w:hAnsi="Book Antiqua" w:cs="Times New Roman"/>
          <w:color w:val="000000" w:themeColor="text1"/>
        </w:rPr>
        <w:t xml:space="preserve"> patients</w:t>
      </w:r>
      <w:r w:rsidRPr="0083147A">
        <w:rPr>
          <w:rFonts w:ascii="Book Antiqua" w:hAnsi="Book Antiqua" w:cs="Times New Roman"/>
          <w:color w:val="000000" w:themeColor="text1"/>
        </w:rPr>
        <w:t>, the dose was reduced after definitive discontinuation.</w:t>
      </w:r>
    </w:p>
    <w:p w:rsidR="00F80158" w:rsidRPr="0083147A" w:rsidRDefault="00F80158" w:rsidP="00946207">
      <w:pPr>
        <w:spacing w:line="360" w:lineRule="auto"/>
        <w:rPr>
          <w:rFonts w:ascii="Book Antiqua" w:hAnsi="Book Antiqua" w:cs="Times New Roman"/>
          <w:color w:val="000000" w:themeColor="text1"/>
        </w:rPr>
      </w:pPr>
    </w:p>
    <w:p w:rsidR="00F80158" w:rsidRPr="0083147A" w:rsidRDefault="00F80158" w:rsidP="00946207">
      <w:pPr>
        <w:spacing w:line="360" w:lineRule="auto"/>
        <w:outlineLvl w:val="0"/>
        <w:rPr>
          <w:rFonts w:ascii="Book Antiqua" w:hAnsi="Book Antiqua" w:cs="Times New Roman"/>
          <w:b/>
          <w:i/>
          <w:color w:val="000000" w:themeColor="text1"/>
        </w:rPr>
      </w:pPr>
      <w:r w:rsidRPr="0083147A">
        <w:rPr>
          <w:rFonts w:ascii="Book Antiqua" w:hAnsi="Book Antiqua" w:cs="Times New Roman"/>
          <w:b/>
          <w:i/>
          <w:color w:val="000000" w:themeColor="text1"/>
        </w:rPr>
        <w:t>Treatment efficacy</w:t>
      </w:r>
    </w:p>
    <w:p w:rsidR="00C571F5" w:rsidRPr="0083147A" w:rsidRDefault="00F80158" w:rsidP="00A50ABA">
      <w:pPr>
        <w:spacing w:line="360" w:lineRule="auto"/>
        <w:rPr>
          <w:rFonts w:ascii="Book Antiqua" w:hAnsi="Book Antiqua" w:cs="Times New Roman"/>
          <w:color w:val="000000" w:themeColor="text1"/>
        </w:rPr>
      </w:pPr>
      <w:r w:rsidRPr="0083147A">
        <w:rPr>
          <w:rFonts w:ascii="Book Antiqua" w:hAnsi="Book Antiqua" w:cs="Times New Roman"/>
          <w:color w:val="000000" w:themeColor="text1"/>
        </w:rPr>
        <w:t xml:space="preserve">The relationship between OS and MKI-associated </w:t>
      </w:r>
      <w:r w:rsidR="00C30930" w:rsidRPr="0083147A">
        <w:rPr>
          <w:rFonts w:ascii="Book Antiqua" w:hAnsi="Book Antiqua" w:cs="Times New Roman"/>
          <w:color w:val="000000" w:themeColor="text1"/>
        </w:rPr>
        <w:t>HFSR</w:t>
      </w:r>
      <w:r w:rsidRPr="0083147A">
        <w:rPr>
          <w:rFonts w:ascii="Book Antiqua" w:hAnsi="Book Antiqua" w:cs="Times New Roman"/>
          <w:color w:val="000000" w:themeColor="text1"/>
        </w:rPr>
        <w:t xml:space="preserve"> </w:t>
      </w:r>
      <w:r w:rsidR="00573CF0" w:rsidRPr="0083147A">
        <w:rPr>
          <w:rFonts w:ascii="Book Antiqua" w:hAnsi="Book Antiqua" w:cs="Times New Roman"/>
          <w:color w:val="000000" w:themeColor="text1"/>
        </w:rPr>
        <w:t>i</w:t>
      </w:r>
      <w:r w:rsidR="0090790F" w:rsidRPr="0083147A">
        <w:rPr>
          <w:rFonts w:ascii="Book Antiqua" w:hAnsi="Book Antiqua" w:cs="Times New Roman"/>
          <w:color w:val="000000" w:themeColor="text1"/>
        </w:rPr>
        <w:t>s</w:t>
      </w:r>
      <w:r w:rsidRPr="0083147A">
        <w:rPr>
          <w:rFonts w:ascii="Book Antiqua" w:hAnsi="Book Antiqua" w:cs="Times New Roman"/>
          <w:color w:val="000000" w:themeColor="text1"/>
        </w:rPr>
        <w:t xml:space="preserve"> shown in Figure 1. </w:t>
      </w:r>
      <w:r w:rsidR="00573CF0" w:rsidRPr="0083147A">
        <w:rPr>
          <w:rFonts w:ascii="Book Antiqua" w:hAnsi="Book Antiqua" w:cs="Times New Roman"/>
          <w:color w:val="000000" w:themeColor="text1"/>
        </w:rPr>
        <w:t>The m</w:t>
      </w:r>
      <w:r w:rsidRPr="0083147A">
        <w:rPr>
          <w:rFonts w:ascii="Book Antiqua" w:hAnsi="Book Antiqua" w:cs="Times New Roman"/>
          <w:color w:val="000000" w:themeColor="text1"/>
        </w:rPr>
        <w:t xml:space="preserve">edian OS was 222 </w:t>
      </w:r>
      <w:r w:rsidR="004D26B0">
        <w:rPr>
          <w:rFonts w:ascii="Book Antiqua" w:eastAsia="SimSun" w:hAnsi="Book Antiqua" w:cs="Times New Roman" w:hint="eastAsia"/>
          <w:color w:val="000000" w:themeColor="text1"/>
          <w:lang w:eastAsia="zh-CN"/>
        </w:rPr>
        <w:t>d</w:t>
      </w:r>
      <w:r w:rsidRPr="0083147A">
        <w:rPr>
          <w:rFonts w:ascii="Book Antiqua" w:hAnsi="Book Antiqua" w:cs="Times New Roman"/>
          <w:color w:val="000000" w:themeColor="text1"/>
        </w:rPr>
        <w:t xml:space="preserve"> (7.4 </w:t>
      </w:r>
      <w:proofErr w:type="spellStart"/>
      <w:r w:rsidR="004D26B0">
        <w:rPr>
          <w:rFonts w:ascii="Book Antiqua" w:eastAsia="SimSun" w:hAnsi="Book Antiqua" w:cs="Times New Roman" w:hint="eastAsia"/>
          <w:color w:val="000000" w:themeColor="text1"/>
          <w:lang w:eastAsia="zh-CN"/>
        </w:rPr>
        <w:t>mo</w:t>
      </w:r>
      <w:proofErr w:type="spellEnd"/>
      <w:r w:rsidRPr="0083147A">
        <w:rPr>
          <w:rFonts w:ascii="Book Antiqua" w:hAnsi="Book Antiqua" w:cs="Times New Roman"/>
          <w:color w:val="000000" w:themeColor="text1"/>
        </w:rPr>
        <w:t>)</w:t>
      </w:r>
      <w:r w:rsidR="00B86D02" w:rsidRPr="0083147A">
        <w:rPr>
          <w:rFonts w:ascii="Book Antiqua" w:hAnsi="Book Antiqua" w:cs="Times New Roman"/>
          <w:color w:val="000000" w:themeColor="text1"/>
        </w:rPr>
        <w:t xml:space="preserve"> </w:t>
      </w:r>
      <w:r w:rsidR="002B490C">
        <w:rPr>
          <w:rFonts w:ascii="Book Antiqua" w:hAnsi="Book Antiqua" w:cs="Times New Roman"/>
          <w:color w:val="000000" w:themeColor="text1"/>
        </w:rPr>
        <w:t>(95%</w:t>
      </w:r>
      <w:r w:rsidR="00A50ABA">
        <w:rPr>
          <w:rFonts w:ascii="Book Antiqua" w:hAnsi="Book Antiqua" w:cs="Times New Roman"/>
          <w:color w:val="000000" w:themeColor="text1"/>
        </w:rPr>
        <w:t>CI</w:t>
      </w:r>
      <w:r w:rsidRPr="0083147A">
        <w:rPr>
          <w:rFonts w:ascii="Book Antiqua" w:hAnsi="Book Antiqua" w:cs="Times New Roman"/>
          <w:color w:val="000000" w:themeColor="text1"/>
        </w:rPr>
        <w:t xml:space="preserve">: 175-268), range: 14-618 </w:t>
      </w:r>
      <w:r w:rsidR="00A50ABA">
        <w:rPr>
          <w:rFonts w:ascii="Book Antiqua" w:eastAsia="SimSun" w:hAnsi="Book Antiqua" w:cs="Times New Roman" w:hint="eastAsia"/>
          <w:color w:val="000000" w:themeColor="text1"/>
          <w:lang w:eastAsia="zh-CN"/>
        </w:rPr>
        <w:t>d)</w:t>
      </w:r>
      <w:r w:rsidRPr="0083147A">
        <w:rPr>
          <w:rFonts w:ascii="Book Antiqua" w:hAnsi="Book Antiqua" w:cs="Times New Roman"/>
          <w:color w:val="000000" w:themeColor="text1"/>
        </w:rPr>
        <w:t xml:space="preserve">. In the </w:t>
      </w:r>
      <w:r w:rsidRPr="0083147A">
        <w:rPr>
          <w:rFonts w:ascii="Book Antiqua" w:hAnsi="Book Antiqua" w:cs="Times New Roman"/>
          <w:color w:val="000000" w:themeColor="text1"/>
        </w:rPr>
        <w:lastRenderedPageBreak/>
        <w:t xml:space="preserve">presence of grade 1 or higher </w:t>
      </w:r>
      <w:r w:rsidR="00C30930" w:rsidRPr="0083147A">
        <w:rPr>
          <w:rFonts w:ascii="Book Antiqua" w:hAnsi="Book Antiqua" w:cs="Times New Roman"/>
          <w:color w:val="000000" w:themeColor="text1"/>
        </w:rPr>
        <w:t>MKI-associated HFSR</w:t>
      </w:r>
      <w:r w:rsidRPr="0083147A">
        <w:rPr>
          <w:rFonts w:ascii="Book Antiqua" w:hAnsi="Book Antiqua" w:cs="Times New Roman"/>
          <w:color w:val="000000" w:themeColor="text1"/>
        </w:rPr>
        <w:t xml:space="preserve">, OS </w:t>
      </w:r>
      <w:r w:rsidR="00902E3A" w:rsidRPr="0083147A">
        <w:rPr>
          <w:rFonts w:ascii="Book Antiqua" w:hAnsi="Book Antiqua" w:cs="Times New Roman"/>
          <w:color w:val="000000" w:themeColor="text1"/>
        </w:rPr>
        <w:t>was</w:t>
      </w:r>
      <w:r w:rsidRPr="0083147A">
        <w:rPr>
          <w:rFonts w:ascii="Book Antiqua" w:hAnsi="Book Antiqua" w:cs="Times New Roman"/>
          <w:color w:val="000000" w:themeColor="text1"/>
        </w:rPr>
        <w:t xml:space="preserve"> significantly prolonged. The results of </w:t>
      </w:r>
      <w:r w:rsidR="00573CF0" w:rsidRPr="0083147A">
        <w:rPr>
          <w:rFonts w:ascii="Book Antiqua" w:hAnsi="Book Antiqua" w:cs="Times New Roman"/>
          <w:color w:val="000000" w:themeColor="text1"/>
        </w:rPr>
        <w:t xml:space="preserve">the </w:t>
      </w:r>
      <w:r w:rsidRPr="0083147A">
        <w:rPr>
          <w:rFonts w:ascii="Book Antiqua" w:hAnsi="Book Antiqua" w:cs="Times New Roman"/>
          <w:color w:val="000000" w:themeColor="text1"/>
        </w:rPr>
        <w:t>uni</w:t>
      </w:r>
      <w:r w:rsidR="0097245E" w:rsidRPr="0083147A">
        <w:rPr>
          <w:rFonts w:ascii="Book Antiqua" w:hAnsi="Book Antiqua" w:cs="Times New Roman"/>
          <w:color w:val="000000" w:themeColor="text1"/>
        </w:rPr>
        <w:t>variate</w:t>
      </w:r>
      <w:r w:rsidRPr="0083147A">
        <w:rPr>
          <w:rFonts w:ascii="Book Antiqua" w:hAnsi="Book Antiqua" w:cs="Times New Roman"/>
          <w:color w:val="000000" w:themeColor="text1"/>
        </w:rPr>
        <w:t xml:space="preserve">- and multivariate analyses regarding OS </w:t>
      </w:r>
      <w:r w:rsidR="00573CF0" w:rsidRPr="0083147A">
        <w:rPr>
          <w:rFonts w:ascii="Book Antiqua" w:hAnsi="Book Antiqua" w:cs="Times New Roman"/>
          <w:color w:val="000000" w:themeColor="text1"/>
        </w:rPr>
        <w:t>a</w:t>
      </w:r>
      <w:r w:rsidRPr="0083147A">
        <w:rPr>
          <w:rFonts w:ascii="Book Antiqua" w:hAnsi="Book Antiqua" w:cs="Times New Roman"/>
          <w:color w:val="000000" w:themeColor="text1"/>
        </w:rPr>
        <w:t xml:space="preserve">re presented in Table 3. </w:t>
      </w:r>
      <w:r w:rsidR="008C59FC" w:rsidRPr="0083147A">
        <w:rPr>
          <w:rFonts w:ascii="Book Antiqua" w:hAnsi="Book Antiqua" w:cs="Times New Roman"/>
          <w:color w:val="000000" w:themeColor="text1"/>
        </w:rPr>
        <w:t xml:space="preserve">A multivariate analysis was conducted on </w:t>
      </w:r>
      <w:r w:rsidR="00573CF0" w:rsidRPr="0083147A">
        <w:rPr>
          <w:rFonts w:ascii="Book Antiqua" w:hAnsi="Book Antiqua" w:cs="Times New Roman"/>
          <w:color w:val="000000" w:themeColor="text1"/>
        </w:rPr>
        <w:t xml:space="preserve">factors with </w:t>
      </w:r>
      <w:r w:rsidR="00573CF0" w:rsidRPr="008C68AE">
        <w:rPr>
          <w:rFonts w:ascii="Book Antiqua" w:hAnsi="Book Antiqua" w:cs="Times New Roman"/>
          <w:i/>
          <w:color w:val="000000" w:themeColor="text1"/>
        </w:rPr>
        <w:t>P</w:t>
      </w:r>
      <w:r w:rsidRPr="0083147A">
        <w:rPr>
          <w:rFonts w:ascii="Book Antiqua" w:hAnsi="Book Antiqua" w:cs="Times New Roman"/>
          <w:color w:val="000000" w:themeColor="text1"/>
        </w:rPr>
        <w:t>-value</w:t>
      </w:r>
      <w:r w:rsidR="00F77FD5" w:rsidRPr="0083147A">
        <w:rPr>
          <w:rFonts w:ascii="Book Antiqua" w:hAnsi="Book Antiqua" w:cs="Times New Roman"/>
          <w:color w:val="000000" w:themeColor="text1"/>
        </w:rPr>
        <w:t>s</w:t>
      </w:r>
      <w:r w:rsidRPr="0083147A">
        <w:rPr>
          <w:rFonts w:ascii="Book Antiqua" w:hAnsi="Book Antiqua" w:cs="Times New Roman"/>
          <w:color w:val="000000" w:themeColor="text1"/>
        </w:rPr>
        <w:t xml:space="preserve"> of &lt;</w:t>
      </w:r>
      <w:r w:rsidR="00573CF0" w:rsidRPr="0083147A">
        <w:rPr>
          <w:rFonts w:ascii="Book Antiqua" w:hAnsi="Book Antiqua" w:cs="Times New Roman"/>
          <w:color w:val="000000" w:themeColor="text1"/>
        </w:rPr>
        <w:t xml:space="preserve"> </w:t>
      </w:r>
      <w:r w:rsidRPr="0083147A">
        <w:rPr>
          <w:rFonts w:ascii="Book Antiqua" w:hAnsi="Book Antiqua" w:cs="Times New Roman"/>
          <w:color w:val="000000" w:themeColor="text1"/>
        </w:rPr>
        <w:t xml:space="preserve">0.05 </w:t>
      </w:r>
      <w:r w:rsidR="008C59FC" w:rsidRPr="0083147A">
        <w:rPr>
          <w:rFonts w:ascii="Book Antiqua" w:hAnsi="Book Antiqua" w:cs="Times New Roman"/>
          <w:color w:val="000000" w:themeColor="text1"/>
        </w:rPr>
        <w:t>in the univariate analysis</w:t>
      </w:r>
      <w:r w:rsidRPr="0083147A">
        <w:rPr>
          <w:rFonts w:ascii="Book Antiqua" w:hAnsi="Book Antiqua" w:cs="Times New Roman"/>
          <w:color w:val="000000" w:themeColor="text1"/>
        </w:rPr>
        <w:t xml:space="preserve">. </w:t>
      </w:r>
      <w:bookmarkStart w:id="6" w:name="_Hlk512455237"/>
      <w:r w:rsidRPr="0083147A">
        <w:rPr>
          <w:rFonts w:ascii="Book Antiqua" w:hAnsi="Book Antiqua" w:cs="Times New Roman"/>
          <w:color w:val="000000" w:themeColor="text1"/>
        </w:rPr>
        <w:t xml:space="preserve">The results of </w:t>
      </w:r>
      <w:r w:rsidR="008C59FC" w:rsidRPr="0083147A">
        <w:rPr>
          <w:rFonts w:ascii="Book Antiqua" w:hAnsi="Book Antiqua" w:cs="Times New Roman"/>
          <w:color w:val="000000" w:themeColor="text1"/>
        </w:rPr>
        <w:t xml:space="preserve">the </w:t>
      </w:r>
      <w:r w:rsidRPr="0083147A">
        <w:rPr>
          <w:rFonts w:ascii="Book Antiqua" w:hAnsi="Book Antiqua" w:cs="Times New Roman"/>
          <w:color w:val="000000" w:themeColor="text1"/>
        </w:rPr>
        <w:t xml:space="preserve">multivariate analysis showed that the presence of MKI-associated </w:t>
      </w:r>
      <w:r w:rsidR="00C30930" w:rsidRPr="0083147A">
        <w:rPr>
          <w:rFonts w:ascii="Book Antiqua" w:hAnsi="Book Antiqua" w:cs="Times New Roman"/>
          <w:color w:val="000000" w:themeColor="text1"/>
        </w:rPr>
        <w:t xml:space="preserve">HFSR </w:t>
      </w:r>
      <w:r w:rsidR="008C68AE">
        <w:rPr>
          <w:rFonts w:ascii="Book Antiqua" w:eastAsia="SimSun" w:hAnsi="Book Antiqua" w:cs="Times New Roman" w:hint="eastAsia"/>
          <w:color w:val="000000" w:themeColor="text1"/>
          <w:lang w:eastAsia="zh-CN"/>
        </w:rPr>
        <w:t>[</w:t>
      </w:r>
      <w:r w:rsidR="00573CF0" w:rsidRPr="0083147A">
        <w:rPr>
          <w:rFonts w:ascii="Book Antiqua" w:hAnsi="Book Antiqua" w:cs="Times New Roman"/>
          <w:color w:val="000000" w:themeColor="text1"/>
        </w:rPr>
        <w:t>hazard ratio (</w:t>
      </w:r>
      <w:r w:rsidRPr="0083147A">
        <w:rPr>
          <w:rFonts w:ascii="Book Antiqua" w:hAnsi="Book Antiqua" w:cs="Times New Roman"/>
          <w:color w:val="000000" w:themeColor="text1"/>
        </w:rPr>
        <w:t>HR</w:t>
      </w:r>
      <w:r w:rsidR="00573CF0" w:rsidRPr="0083147A">
        <w:rPr>
          <w:rFonts w:ascii="Book Antiqua" w:hAnsi="Book Antiqua" w:cs="Times New Roman"/>
          <w:color w:val="000000" w:themeColor="text1"/>
        </w:rPr>
        <w:t>)</w:t>
      </w:r>
      <w:r w:rsidR="009A2FAF" w:rsidRPr="0083147A">
        <w:rPr>
          <w:rFonts w:ascii="Book Antiqua" w:hAnsi="Book Antiqua" w:cs="Times New Roman"/>
          <w:color w:val="000000" w:themeColor="text1"/>
        </w:rPr>
        <w:t xml:space="preserve"> </w:t>
      </w:r>
      <w:r w:rsidRPr="0083147A">
        <w:rPr>
          <w:rFonts w:ascii="Book Antiqua" w:hAnsi="Book Antiqua" w:cs="Times New Roman"/>
          <w:color w:val="000000" w:themeColor="text1"/>
        </w:rPr>
        <w:t>=</w:t>
      </w:r>
      <w:r w:rsidR="009A2FAF" w:rsidRPr="0083147A">
        <w:rPr>
          <w:rFonts w:ascii="Book Antiqua" w:hAnsi="Book Antiqua" w:cs="Times New Roman"/>
          <w:color w:val="000000" w:themeColor="text1"/>
        </w:rPr>
        <w:t xml:space="preserve"> </w:t>
      </w:r>
      <w:r w:rsidRPr="0083147A">
        <w:rPr>
          <w:rFonts w:ascii="Book Antiqua" w:hAnsi="Book Antiqua" w:cs="Times New Roman"/>
          <w:color w:val="000000" w:themeColor="text1"/>
        </w:rPr>
        <w:t>0.24</w:t>
      </w:r>
      <w:r w:rsidR="00CE3968" w:rsidRPr="0083147A">
        <w:rPr>
          <w:rFonts w:ascii="Book Antiqua" w:hAnsi="Book Antiqua" w:cs="Times New Roman"/>
          <w:color w:val="000000" w:themeColor="text1"/>
        </w:rPr>
        <w:t xml:space="preserve">1, 95%CI: 0.102-0.567; </w:t>
      </w:r>
      <w:r w:rsidR="00CE3968" w:rsidRPr="008C68AE">
        <w:rPr>
          <w:rFonts w:ascii="Book Antiqua" w:hAnsi="Book Antiqua" w:cs="Times New Roman"/>
          <w:i/>
          <w:color w:val="000000" w:themeColor="text1"/>
        </w:rPr>
        <w:t>P</w:t>
      </w:r>
      <w:r w:rsidR="009A2FAF" w:rsidRPr="0083147A">
        <w:rPr>
          <w:rFonts w:ascii="Book Antiqua" w:hAnsi="Book Antiqua" w:cs="Times New Roman"/>
          <w:color w:val="000000" w:themeColor="text1"/>
        </w:rPr>
        <w:t xml:space="preserve"> </w:t>
      </w:r>
      <w:r w:rsidR="00CE3968" w:rsidRPr="0083147A">
        <w:rPr>
          <w:rFonts w:ascii="Book Antiqua" w:hAnsi="Book Antiqua" w:cs="Times New Roman"/>
          <w:color w:val="000000" w:themeColor="text1"/>
        </w:rPr>
        <w:t>=</w:t>
      </w:r>
      <w:r w:rsidR="009A2FAF" w:rsidRPr="0083147A">
        <w:rPr>
          <w:rFonts w:ascii="Book Antiqua" w:hAnsi="Book Antiqua" w:cs="Times New Roman"/>
          <w:color w:val="000000" w:themeColor="text1"/>
        </w:rPr>
        <w:t xml:space="preserve"> </w:t>
      </w:r>
      <w:r w:rsidR="00CE3968" w:rsidRPr="0083147A">
        <w:rPr>
          <w:rFonts w:ascii="Book Antiqua" w:hAnsi="Book Antiqua" w:cs="Times New Roman"/>
          <w:color w:val="000000" w:themeColor="text1"/>
        </w:rPr>
        <w:t>0.001</w:t>
      </w:r>
      <w:r w:rsidR="008C68AE">
        <w:rPr>
          <w:rFonts w:ascii="Book Antiqua" w:eastAsia="SimSun" w:hAnsi="Book Antiqua" w:cs="Times New Roman" w:hint="eastAsia"/>
          <w:color w:val="000000" w:themeColor="text1"/>
          <w:lang w:eastAsia="zh-CN"/>
        </w:rPr>
        <w:t>]</w:t>
      </w:r>
      <w:r w:rsidR="00CE3968" w:rsidRPr="0083147A">
        <w:rPr>
          <w:rFonts w:ascii="Book Antiqua" w:hAnsi="Book Antiqua" w:cs="Times New Roman"/>
          <w:color w:val="000000" w:themeColor="text1"/>
        </w:rPr>
        <w:t xml:space="preserve"> and</w:t>
      </w:r>
      <w:r w:rsidRPr="0083147A">
        <w:rPr>
          <w:rFonts w:ascii="Book Antiqua" w:hAnsi="Book Antiqua" w:cs="Times New Roman"/>
          <w:color w:val="000000" w:themeColor="text1"/>
        </w:rPr>
        <w:t xml:space="preserve"> BCLC B </w:t>
      </w:r>
      <w:r w:rsidR="00CE3968" w:rsidRPr="0083147A">
        <w:rPr>
          <w:rFonts w:ascii="Book Antiqua" w:hAnsi="Book Antiqua" w:cs="Times New Roman"/>
          <w:color w:val="000000" w:themeColor="text1"/>
        </w:rPr>
        <w:t>(</w:t>
      </w:r>
      <w:r w:rsidRPr="0083147A">
        <w:rPr>
          <w:rFonts w:ascii="Book Antiqua" w:hAnsi="Book Antiqua" w:cs="Times New Roman"/>
          <w:color w:val="000000" w:themeColor="text1"/>
        </w:rPr>
        <w:t>HR</w:t>
      </w:r>
      <w:r w:rsidR="009A2FAF" w:rsidRPr="0083147A">
        <w:rPr>
          <w:rFonts w:ascii="Book Antiqua" w:hAnsi="Book Antiqua" w:cs="Times New Roman"/>
          <w:color w:val="000000" w:themeColor="text1"/>
        </w:rPr>
        <w:t xml:space="preserve"> </w:t>
      </w:r>
      <w:r w:rsidR="00CE3968" w:rsidRPr="0083147A">
        <w:rPr>
          <w:rFonts w:ascii="Book Antiqua" w:hAnsi="Book Antiqua" w:cs="Times New Roman"/>
          <w:color w:val="000000" w:themeColor="text1"/>
        </w:rPr>
        <w:t>=</w:t>
      </w:r>
      <w:r w:rsidR="009A2FAF" w:rsidRPr="0083147A">
        <w:rPr>
          <w:rFonts w:ascii="Book Antiqua" w:hAnsi="Book Antiqua" w:cs="Times New Roman"/>
          <w:color w:val="000000" w:themeColor="text1"/>
        </w:rPr>
        <w:t xml:space="preserve"> </w:t>
      </w:r>
      <w:r w:rsidR="00CE3968" w:rsidRPr="0083147A">
        <w:rPr>
          <w:rFonts w:ascii="Book Antiqua" w:hAnsi="Book Antiqua" w:cs="Times New Roman"/>
          <w:color w:val="000000" w:themeColor="text1"/>
        </w:rPr>
        <w:t xml:space="preserve">0.404, 95%CI: 0.170-0.964; </w:t>
      </w:r>
      <w:r w:rsidR="00CE3968" w:rsidRPr="002B490C">
        <w:rPr>
          <w:rFonts w:ascii="Book Antiqua" w:hAnsi="Book Antiqua" w:cs="Times New Roman"/>
          <w:i/>
          <w:color w:val="000000" w:themeColor="text1"/>
        </w:rPr>
        <w:t>P</w:t>
      </w:r>
      <w:r w:rsidR="009A2FAF" w:rsidRPr="0083147A">
        <w:rPr>
          <w:rFonts w:ascii="Book Antiqua" w:hAnsi="Book Antiqua" w:cs="Times New Roman"/>
          <w:color w:val="000000" w:themeColor="text1"/>
        </w:rPr>
        <w:t xml:space="preserve"> </w:t>
      </w:r>
      <w:r w:rsidR="00CE3968" w:rsidRPr="0083147A">
        <w:rPr>
          <w:rFonts w:ascii="Book Antiqua" w:hAnsi="Book Antiqua" w:cs="Times New Roman"/>
          <w:color w:val="000000" w:themeColor="text1"/>
        </w:rPr>
        <w:t>=</w:t>
      </w:r>
      <w:r w:rsidR="009A2FAF" w:rsidRPr="0083147A">
        <w:rPr>
          <w:rFonts w:ascii="Book Antiqua" w:hAnsi="Book Antiqua" w:cs="Times New Roman"/>
          <w:color w:val="000000" w:themeColor="text1"/>
        </w:rPr>
        <w:t xml:space="preserve"> </w:t>
      </w:r>
      <w:r w:rsidR="00CE3968" w:rsidRPr="0083147A">
        <w:rPr>
          <w:rFonts w:ascii="Book Antiqua" w:hAnsi="Book Antiqua" w:cs="Times New Roman"/>
          <w:color w:val="000000" w:themeColor="text1"/>
        </w:rPr>
        <w:t>0.04</w:t>
      </w:r>
      <w:r w:rsidRPr="0083147A">
        <w:rPr>
          <w:rFonts w:ascii="Book Antiqua" w:hAnsi="Book Antiqua" w:cs="Times New Roman"/>
          <w:color w:val="000000" w:themeColor="text1"/>
        </w:rPr>
        <w:t>1)</w:t>
      </w:r>
      <w:r w:rsidR="00CE3968" w:rsidRPr="0083147A">
        <w:rPr>
          <w:rFonts w:ascii="Book Antiqua" w:hAnsi="Book Antiqua" w:cs="Times New Roman"/>
          <w:color w:val="000000" w:themeColor="text1"/>
        </w:rPr>
        <w:t xml:space="preserve"> were </w:t>
      </w:r>
      <w:r w:rsidR="006A3F90" w:rsidRPr="0083147A">
        <w:rPr>
          <w:rFonts w:ascii="Book Antiqua" w:hAnsi="Book Antiqua" w:cs="Times New Roman"/>
        </w:rPr>
        <w:t>significant</w:t>
      </w:r>
      <w:r w:rsidR="00CE3968" w:rsidRPr="0083147A">
        <w:rPr>
          <w:rFonts w:ascii="Book Antiqua" w:hAnsi="Book Antiqua" w:cs="Times New Roman"/>
          <w:color w:val="000000" w:themeColor="text1"/>
        </w:rPr>
        <w:t xml:space="preserve"> predictive factors for the prolongation of OS.</w:t>
      </w:r>
      <w:bookmarkEnd w:id="6"/>
      <w:r w:rsidR="00CE3968" w:rsidRPr="0083147A">
        <w:rPr>
          <w:rFonts w:ascii="Book Antiqua" w:hAnsi="Book Antiqua" w:cs="Times New Roman"/>
          <w:color w:val="000000" w:themeColor="text1"/>
        </w:rPr>
        <w:t xml:space="preserve"> </w:t>
      </w:r>
      <w:r w:rsidR="008C59FC" w:rsidRPr="0083147A">
        <w:rPr>
          <w:rFonts w:ascii="Book Antiqua" w:hAnsi="Book Antiqua" w:cs="Times New Roman"/>
          <w:color w:val="000000" w:themeColor="text1"/>
        </w:rPr>
        <w:t>N</w:t>
      </w:r>
      <w:r w:rsidR="00CE3968" w:rsidRPr="0083147A">
        <w:rPr>
          <w:rFonts w:ascii="Book Antiqua" w:hAnsi="Book Antiqua" w:cs="Times New Roman"/>
          <w:color w:val="000000" w:themeColor="text1"/>
        </w:rPr>
        <w:t xml:space="preserve">o significant differences </w:t>
      </w:r>
      <w:r w:rsidR="008C59FC" w:rsidRPr="0083147A">
        <w:rPr>
          <w:rFonts w:ascii="Book Antiqua" w:hAnsi="Book Antiqua" w:cs="Times New Roman"/>
          <w:color w:val="000000" w:themeColor="text1"/>
        </w:rPr>
        <w:t xml:space="preserve">were observed </w:t>
      </w:r>
      <w:r w:rsidR="00CE3968" w:rsidRPr="0083147A">
        <w:rPr>
          <w:rFonts w:ascii="Book Antiqua" w:hAnsi="Book Antiqua" w:cs="Times New Roman"/>
          <w:color w:val="000000" w:themeColor="text1"/>
        </w:rPr>
        <w:t>in the rate of decrease</w:t>
      </w:r>
      <w:r w:rsidR="00573CF0" w:rsidRPr="0083147A">
        <w:rPr>
          <w:rFonts w:ascii="Book Antiqua" w:hAnsi="Book Antiqua" w:cs="Times New Roman"/>
          <w:color w:val="000000" w:themeColor="text1"/>
        </w:rPr>
        <w:t>d</w:t>
      </w:r>
      <w:r w:rsidR="00CE3968" w:rsidRPr="0083147A">
        <w:rPr>
          <w:rFonts w:ascii="Book Antiqua" w:hAnsi="Book Antiqua" w:cs="Times New Roman"/>
          <w:color w:val="000000" w:themeColor="text1"/>
        </w:rPr>
        <w:t xml:space="preserve"> alpha-fetoprotein</w:t>
      </w:r>
      <w:r w:rsidR="00573CF0" w:rsidRPr="0083147A">
        <w:rPr>
          <w:rFonts w:ascii="Book Antiqua" w:hAnsi="Book Antiqua" w:cs="Times New Roman"/>
          <w:color w:val="000000" w:themeColor="text1"/>
        </w:rPr>
        <w:t xml:space="preserve"> (AFP)</w:t>
      </w:r>
      <w:r w:rsidR="00CE3968" w:rsidRPr="0083147A">
        <w:rPr>
          <w:rFonts w:ascii="Book Antiqua" w:hAnsi="Book Antiqua" w:cs="Times New Roman"/>
          <w:color w:val="000000" w:themeColor="text1"/>
        </w:rPr>
        <w:t xml:space="preserve"> level</w:t>
      </w:r>
      <w:r w:rsidR="008C59FC" w:rsidRPr="0083147A">
        <w:rPr>
          <w:rFonts w:ascii="Book Antiqua" w:hAnsi="Book Antiqua" w:cs="Times New Roman"/>
          <w:color w:val="000000" w:themeColor="text1"/>
        </w:rPr>
        <w:t>s</w:t>
      </w:r>
      <w:r w:rsidR="00CE3968" w:rsidRPr="0083147A">
        <w:rPr>
          <w:rFonts w:ascii="Book Antiqua" w:hAnsi="Book Antiqua" w:cs="Times New Roman"/>
          <w:color w:val="000000" w:themeColor="text1"/>
        </w:rPr>
        <w:t xml:space="preserve"> in the early stage, diarrhea, or hypertension.</w:t>
      </w:r>
      <w:r w:rsidR="00CE3968" w:rsidRPr="0083147A">
        <w:rPr>
          <w:rFonts w:ascii="Book Antiqua" w:hAnsi="Book Antiqua" w:cs="Times New Roman"/>
          <w:color w:val="FF0000"/>
        </w:rPr>
        <w:t xml:space="preserve"> </w:t>
      </w:r>
      <w:r w:rsidR="00B9178A" w:rsidRPr="0083147A">
        <w:rPr>
          <w:rFonts w:ascii="Book Antiqua" w:hAnsi="Book Antiqua" w:cs="Times New Roman"/>
        </w:rPr>
        <w:t>A borderline significant</w:t>
      </w:r>
      <w:r w:rsidR="00CE3968" w:rsidRPr="0083147A">
        <w:rPr>
          <w:rFonts w:ascii="Book Antiqua" w:hAnsi="Book Antiqua" w:cs="Times New Roman"/>
        </w:rPr>
        <w:t xml:space="preserve"> difference </w:t>
      </w:r>
      <w:r w:rsidR="00194E37" w:rsidRPr="0083147A">
        <w:rPr>
          <w:rFonts w:ascii="Book Antiqua" w:hAnsi="Book Antiqua" w:cs="Times New Roman"/>
        </w:rPr>
        <w:t>was observed</w:t>
      </w:r>
      <w:r w:rsidR="005A04C2" w:rsidRPr="0083147A">
        <w:rPr>
          <w:rFonts w:ascii="Book Antiqua" w:hAnsi="Book Antiqua" w:cs="Times New Roman"/>
        </w:rPr>
        <w:t xml:space="preserve"> in </w:t>
      </w:r>
      <w:r w:rsidR="00194E37" w:rsidRPr="0083147A">
        <w:rPr>
          <w:rFonts w:ascii="Book Antiqua" w:hAnsi="Book Antiqua" w:cs="Times New Roman"/>
        </w:rPr>
        <w:t xml:space="preserve">terms of </w:t>
      </w:r>
      <w:r w:rsidR="005A04C2" w:rsidRPr="0083147A">
        <w:rPr>
          <w:rFonts w:ascii="Book Antiqua" w:hAnsi="Book Antiqua" w:cs="Times New Roman"/>
        </w:rPr>
        <w:t>OS</w:t>
      </w:r>
      <w:r w:rsidR="008C59FC" w:rsidRPr="0083147A">
        <w:rPr>
          <w:rFonts w:ascii="Book Antiqua" w:hAnsi="Book Antiqua" w:cs="Times New Roman"/>
        </w:rPr>
        <w:t xml:space="preserve"> </w:t>
      </w:r>
      <w:r w:rsidR="00CE3968" w:rsidRPr="0083147A">
        <w:rPr>
          <w:rFonts w:ascii="Book Antiqua" w:hAnsi="Book Antiqua" w:cs="Times New Roman"/>
        </w:rPr>
        <w:t>between patients with and witho</w:t>
      </w:r>
      <w:r w:rsidR="00B80225" w:rsidRPr="0083147A">
        <w:rPr>
          <w:rFonts w:ascii="Book Antiqua" w:hAnsi="Book Antiqua" w:cs="Times New Roman"/>
        </w:rPr>
        <w:t>ut intervention by</w:t>
      </w:r>
      <w:r w:rsidR="00CE4612">
        <w:rPr>
          <w:rFonts w:ascii="Book Antiqua" w:hAnsi="Book Antiqua" w:cs="Times New Roman"/>
        </w:rPr>
        <w:t xml:space="preserve"> pharmacists </w:t>
      </w:r>
      <w:r w:rsidR="00CE4612">
        <w:rPr>
          <w:rFonts w:ascii="Book Antiqua" w:eastAsia="SimSun" w:hAnsi="Book Antiqua" w:cs="Times New Roman" w:hint="eastAsia"/>
          <w:lang w:eastAsia="zh-CN"/>
        </w:rPr>
        <w:t>(</w:t>
      </w:r>
      <w:r w:rsidR="00CE3968" w:rsidRPr="0083147A">
        <w:rPr>
          <w:rFonts w:ascii="Book Antiqua" w:hAnsi="Book Antiqua" w:cs="Times New Roman"/>
        </w:rPr>
        <w:t xml:space="preserve">5.2 </w:t>
      </w:r>
      <w:proofErr w:type="spellStart"/>
      <w:r w:rsidR="00CE4612">
        <w:rPr>
          <w:rFonts w:ascii="Book Antiqua" w:eastAsia="SimSun" w:hAnsi="Book Antiqua" w:cs="Times New Roman" w:hint="eastAsia"/>
          <w:lang w:eastAsia="zh-CN"/>
        </w:rPr>
        <w:t>mo</w:t>
      </w:r>
      <w:proofErr w:type="spellEnd"/>
      <w:r w:rsidR="00CE3968" w:rsidRPr="0083147A">
        <w:rPr>
          <w:rFonts w:ascii="Book Antiqua" w:hAnsi="Book Antiqua" w:cs="Times New Roman"/>
        </w:rPr>
        <w:t xml:space="preserve"> in the </w:t>
      </w:r>
      <w:r w:rsidR="002367A9" w:rsidRPr="0083147A">
        <w:rPr>
          <w:rFonts w:ascii="Book Antiqua" w:hAnsi="Book Antiqua" w:cs="Times New Roman"/>
        </w:rPr>
        <w:t>non-intervention</w:t>
      </w:r>
      <w:r w:rsidR="00CE3968" w:rsidRPr="0083147A">
        <w:rPr>
          <w:rFonts w:ascii="Book Antiqua" w:hAnsi="Book Antiqua" w:cs="Times New Roman"/>
        </w:rPr>
        <w:t xml:space="preserve"> group </w:t>
      </w:r>
      <w:r w:rsidR="00CE4612" w:rsidRPr="00CE4612">
        <w:rPr>
          <w:rFonts w:ascii="Book Antiqua" w:eastAsia="SimSun" w:hAnsi="Book Antiqua" w:cs="Times New Roman" w:hint="eastAsia"/>
          <w:i/>
          <w:lang w:eastAsia="zh-CN"/>
        </w:rPr>
        <w:t>vs</w:t>
      </w:r>
      <w:r w:rsidR="00CE3968" w:rsidRPr="0083147A">
        <w:rPr>
          <w:rFonts w:ascii="Book Antiqua" w:hAnsi="Book Antiqua" w:cs="Times New Roman"/>
        </w:rPr>
        <w:t xml:space="preserve"> 9.7 </w:t>
      </w:r>
      <w:proofErr w:type="spellStart"/>
      <w:r w:rsidR="00CE4612">
        <w:rPr>
          <w:rFonts w:ascii="Book Antiqua" w:eastAsia="SimSun" w:hAnsi="Book Antiqua" w:cs="Times New Roman" w:hint="eastAsia"/>
          <w:lang w:eastAsia="zh-CN"/>
        </w:rPr>
        <w:t>mo</w:t>
      </w:r>
      <w:proofErr w:type="spellEnd"/>
      <w:r w:rsidR="00CE3968" w:rsidRPr="0083147A">
        <w:rPr>
          <w:rFonts w:ascii="Book Antiqua" w:hAnsi="Book Antiqua" w:cs="Times New Roman"/>
        </w:rPr>
        <w:t xml:space="preserve"> in </w:t>
      </w:r>
      <w:r w:rsidR="00CE4612">
        <w:rPr>
          <w:rFonts w:ascii="Book Antiqua" w:hAnsi="Book Antiqua" w:cs="Times New Roman"/>
        </w:rPr>
        <w:t>the intervention group</w:t>
      </w:r>
      <w:r w:rsidR="00CE4612">
        <w:rPr>
          <w:rFonts w:ascii="Book Antiqua" w:eastAsia="SimSun" w:hAnsi="Book Antiqua" w:cs="Times New Roman" w:hint="eastAsia"/>
          <w:lang w:eastAsia="zh-CN"/>
        </w:rPr>
        <w:t>,</w:t>
      </w:r>
      <w:r w:rsidR="00CE4612">
        <w:rPr>
          <w:rFonts w:ascii="Book Antiqua" w:hAnsi="Book Antiqua" w:cs="Times New Roman"/>
        </w:rPr>
        <w:t xml:space="preserve"> </w:t>
      </w:r>
      <w:r w:rsidR="00B80225" w:rsidRPr="00CE4612">
        <w:rPr>
          <w:rFonts w:ascii="Book Antiqua" w:hAnsi="Book Antiqua" w:cs="Times New Roman"/>
          <w:i/>
        </w:rPr>
        <w:t>P</w:t>
      </w:r>
      <w:r w:rsidR="009A2FAF" w:rsidRPr="0083147A">
        <w:rPr>
          <w:rFonts w:ascii="Book Antiqua" w:hAnsi="Book Antiqua" w:cs="Times New Roman"/>
        </w:rPr>
        <w:t xml:space="preserve"> </w:t>
      </w:r>
      <w:r w:rsidR="00CE3968" w:rsidRPr="0083147A">
        <w:rPr>
          <w:rFonts w:ascii="Book Antiqua" w:hAnsi="Book Antiqua" w:cs="Times New Roman"/>
        </w:rPr>
        <w:t>=</w:t>
      </w:r>
      <w:r w:rsidR="009A2FAF" w:rsidRPr="0083147A">
        <w:rPr>
          <w:rFonts w:ascii="Book Antiqua" w:hAnsi="Book Antiqua" w:cs="Times New Roman"/>
        </w:rPr>
        <w:t xml:space="preserve"> </w:t>
      </w:r>
      <w:r w:rsidR="00B80225" w:rsidRPr="0083147A">
        <w:rPr>
          <w:rFonts w:ascii="Book Antiqua" w:hAnsi="Book Antiqua" w:cs="Times New Roman"/>
        </w:rPr>
        <w:t>0.097)</w:t>
      </w:r>
      <w:r w:rsidR="00CE3968" w:rsidRPr="0083147A">
        <w:rPr>
          <w:rFonts w:ascii="Book Antiqua" w:hAnsi="Book Antiqua" w:cs="Times New Roman"/>
        </w:rPr>
        <w:t>.</w:t>
      </w:r>
      <w:r w:rsidR="00C571F5" w:rsidRPr="0083147A">
        <w:rPr>
          <w:rFonts w:ascii="Book Antiqua" w:hAnsi="Book Antiqua" w:cs="Times New Roman"/>
          <w:color w:val="FF0000"/>
        </w:rPr>
        <w:t xml:space="preserve"> </w:t>
      </w:r>
      <w:r w:rsidR="00C571F5" w:rsidRPr="0083147A">
        <w:rPr>
          <w:rFonts w:ascii="Book Antiqua" w:hAnsi="Book Antiqua" w:cs="Times New Roman"/>
          <w:color w:val="000000" w:themeColor="text1"/>
        </w:rPr>
        <w:t>Th</w:t>
      </w:r>
      <w:r w:rsidR="00B80225" w:rsidRPr="0083147A">
        <w:rPr>
          <w:rFonts w:ascii="Book Antiqua" w:hAnsi="Book Antiqua" w:cs="Times New Roman"/>
          <w:color w:val="000000" w:themeColor="text1"/>
        </w:rPr>
        <w:t>e disease control rate was 33% [</w:t>
      </w:r>
      <w:r w:rsidR="00C571F5" w:rsidRPr="0083147A">
        <w:rPr>
          <w:rFonts w:ascii="Book Antiqua" w:hAnsi="Book Antiqua" w:cs="Times New Roman"/>
          <w:color w:val="000000" w:themeColor="text1"/>
        </w:rPr>
        <w:t>partia</w:t>
      </w:r>
      <w:r w:rsidR="00781D73">
        <w:rPr>
          <w:rFonts w:ascii="Book Antiqua" w:hAnsi="Book Antiqua" w:cs="Times New Roman"/>
          <w:color w:val="000000" w:themeColor="text1"/>
        </w:rPr>
        <w:t>l response</w:t>
      </w:r>
      <w:r w:rsidR="00B80225" w:rsidRPr="0083147A">
        <w:rPr>
          <w:rFonts w:ascii="Book Antiqua" w:hAnsi="Book Antiqua" w:cs="Times New Roman"/>
          <w:color w:val="000000" w:themeColor="text1"/>
        </w:rPr>
        <w:t>: 1 patient (3%);</w:t>
      </w:r>
      <w:r w:rsidR="00C571F5" w:rsidRPr="0083147A">
        <w:rPr>
          <w:rFonts w:ascii="Book Antiqua" w:hAnsi="Book Antiqua" w:cs="Times New Roman"/>
          <w:color w:val="000000" w:themeColor="text1"/>
        </w:rPr>
        <w:t xml:space="preserve"> stable </w:t>
      </w:r>
      <w:r w:rsidR="00781D73">
        <w:rPr>
          <w:rFonts w:ascii="Book Antiqua" w:hAnsi="Book Antiqua" w:cs="Times New Roman"/>
          <w:color w:val="000000" w:themeColor="text1"/>
        </w:rPr>
        <w:t>disease</w:t>
      </w:r>
      <w:r w:rsidR="00B80225" w:rsidRPr="0083147A">
        <w:rPr>
          <w:rFonts w:ascii="Book Antiqua" w:hAnsi="Book Antiqua" w:cs="Times New Roman"/>
          <w:color w:val="000000" w:themeColor="text1"/>
        </w:rPr>
        <w:t>: 12 patients (30%)]</w:t>
      </w:r>
      <w:r w:rsidR="00C571F5" w:rsidRPr="0083147A">
        <w:rPr>
          <w:rFonts w:ascii="Book Antiqua" w:hAnsi="Book Antiqua" w:cs="Times New Roman"/>
          <w:color w:val="000000" w:themeColor="text1"/>
        </w:rPr>
        <w:t>.</w:t>
      </w:r>
    </w:p>
    <w:p w:rsidR="00C571F5" w:rsidRPr="00781D73" w:rsidRDefault="00C571F5" w:rsidP="00946207">
      <w:pPr>
        <w:spacing w:line="360" w:lineRule="auto"/>
        <w:rPr>
          <w:rFonts w:ascii="Book Antiqua" w:hAnsi="Book Antiqua" w:cs="Times New Roman"/>
          <w:color w:val="000000" w:themeColor="text1"/>
        </w:rPr>
      </w:pPr>
    </w:p>
    <w:p w:rsidR="00C571F5" w:rsidRPr="0083147A" w:rsidRDefault="00C571F5" w:rsidP="00946207">
      <w:pPr>
        <w:spacing w:line="360" w:lineRule="auto"/>
        <w:outlineLvl w:val="0"/>
        <w:rPr>
          <w:rFonts w:ascii="Book Antiqua" w:hAnsi="Book Antiqua" w:cs="Times New Roman"/>
          <w:b/>
          <w:i/>
          <w:color w:val="000000" w:themeColor="text1"/>
        </w:rPr>
      </w:pPr>
      <w:r w:rsidRPr="0083147A">
        <w:rPr>
          <w:rFonts w:ascii="Book Antiqua" w:hAnsi="Book Antiqua" w:cs="Times New Roman"/>
          <w:b/>
          <w:i/>
          <w:color w:val="000000" w:themeColor="text1"/>
        </w:rPr>
        <w:t>Treatment and intervention by pharmacists</w:t>
      </w:r>
    </w:p>
    <w:p w:rsidR="00D941A5" w:rsidRPr="0083147A" w:rsidRDefault="005A02EC" w:rsidP="00781D73">
      <w:pPr>
        <w:spacing w:line="360" w:lineRule="auto"/>
        <w:rPr>
          <w:rFonts w:ascii="Book Antiqua" w:hAnsi="Book Antiqua" w:cs="Times New Roman"/>
          <w:color w:val="000000" w:themeColor="text1"/>
        </w:rPr>
      </w:pPr>
      <w:r w:rsidRPr="0083147A">
        <w:rPr>
          <w:rFonts w:ascii="Book Antiqua" w:hAnsi="Book Antiqua" w:cs="Times New Roman"/>
          <w:color w:val="000000" w:themeColor="text1"/>
        </w:rPr>
        <w:t>The m</w:t>
      </w:r>
      <w:r w:rsidR="00C571F5" w:rsidRPr="0083147A">
        <w:rPr>
          <w:rFonts w:ascii="Book Antiqua" w:hAnsi="Book Antiqua" w:cs="Times New Roman"/>
          <w:color w:val="000000" w:themeColor="text1"/>
        </w:rPr>
        <w:t xml:space="preserve">edian </w:t>
      </w:r>
      <w:r w:rsidR="00E438E3" w:rsidRPr="0083147A">
        <w:rPr>
          <w:rFonts w:ascii="Book Antiqua" w:hAnsi="Book Antiqua" w:cs="Times New Roman"/>
          <w:color w:val="000000" w:themeColor="text1"/>
        </w:rPr>
        <w:t>time to treatment failure (</w:t>
      </w:r>
      <w:r w:rsidR="00C571F5" w:rsidRPr="0083147A">
        <w:rPr>
          <w:rFonts w:ascii="Book Antiqua" w:hAnsi="Book Antiqua" w:cs="Times New Roman"/>
          <w:color w:val="000000" w:themeColor="text1"/>
        </w:rPr>
        <w:t>TTF</w:t>
      </w:r>
      <w:r w:rsidR="00E438E3" w:rsidRPr="0083147A">
        <w:rPr>
          <w:rFonts w:ascii="Book Antiqua" w:hAnsi="Book Antiqua" w:cs="Times New Roman"/>
          <w:color w:val="000000" w:themeColor="text1"/>
        </w:rPr>
        <w:t>)</w:t>
      </w:r>
      <w:r w:rsidR="00C571F5" w:rsidRPr="0083147A">
        <w:rPr>
          <w:rFonts w:ascii="Book Antiqua" w:hAnsi="Book Antiqua" w:cs="Times New Roman"/>
          <w:color w:val="000000" w:themeColor="text1"/>
        </w:rPr>
        <w:t xml:space="preserve"> was 65 </w:t>
      </w:r>
      <w:r w:rsidR="00781D73">
        <w:rPr>
          <w:rFonts w:ascii="Book Antiqua" w:eastAsia="SimSun" w:hAnsi="Book Antiqua" w:cs="Times New Roman" w:hint="eastAsia"/>
          <w:color w:val="000000" w:themeColor="text1"/>
          <w:lang w:eastAsia="zh-CN"/>
        </w:rPr>
        <w:t>d</w:t>
      </w:r>
      <w:r w:rsidR="00C571F5" w:rsidRPr="0083147A">
        <w:rPr>
          <w:rFonts w:ascii="Book Antiqua" w:hAnsi="Book Antiqua" w:cs="Times New Roman"/>
          <w:color w:val="000000" w:themeColor="text1"/>
        </w:rPr>
        <w:t xml:space="preserve"> (2.2 </w:t>
      </w:r>
      <w:proofErr w:type="spellStart"/>
      <w:r w:rsidR="00781D73">
        <w:rPr>
          <w:rFonts w:ascii="Book Antiqua" w:eastAsia="SimSun" w:hAnsi="Book Antiqua" w:cs="Times New Roman" w:hint="eastAsia"/>
          <w:color w:val="000000" w:themeColor="text1"/>
          <w:lang w:eastAsia="zh-CN"/>
        </w:rPr>
        <w:t>mo</w:t>
      </w:r>
      <w:proofErr w:type="spellEnd"/>
      <w:r w:rsidR="00C571F5" w:rsidRPr="0083147A">
        <w:rPr>
          <w:rFonts w:ascii="Book Antiqua" w:hAnsi="Book Antiqua" w:cs="Times New Roman"/>
          <w:color w:val="000000" w:themeColor="text1"/>
        </w:rPr>
        <w:t>)</w:t>
      </w:r>
      <w:r w:rsidR="00B86D02" w:rsidRPr="0083147A">
        <w:rPr>
          <w:rFonts w:ascii="Book Antiqua" w:hAnsi="Book Antiqua" w:cs="Times New Roman"/>
          <w:color w:val="000000" w:themeColor="text1"/>
        </w:rPr>
        <w:t xml:space="preserve"> </w:t>
      </w:r>
      <w:r w:rsidR="00C571F5" w:rsidRPr="0083147A">
        <w:rPr>
          <w:rFonts w:ascii="Book Antiqua" w:hAnsi="Book Antiqua" w:cs="Times New Roman"/>
          <w:color w:val="000000" w:themeColor="text1"/>
        </w:rPr>
        <w:t>(95%</w:t>
      </w:r>
      <w:r w:rsidR="008C59FC" w:rsidRPr="0083147A">
        <w:rPr>
          <w:rFonts w:ascii="Book Antiqua" w:hAnsi="Book Antiqua" w:cs="Times New Roman"/>
          <w:color w:val="000000" w:themeColor="text1"/>
        </w:rPr>
        <w:t xml:space="preserve"> </w:t>
      </w:r>
      <w:r w:rsidR="0046769E">
        <w:rPr>
          <w:rFonts w:ascii="Book Antiqua" w:hAnsi="Book Antiqua" w:cs="Times New Roman"/>
          <w:color w:val="000000" w:themeColor="text1"/>
        </w:rPr>
        <w:t>CI: 44-86</w:t>
      </w:r>
      <w:r w:rsidR="00C571F5" w:rsidRPr="0083147A">
        <w:rPr>
          <w:rFonts w:ascii="Book Antiqua" w:hAnsi="Book Antiqua" w:cs="Times New Roman"/>
          <w:color w:val="000000" w:themeColor="text1"/>
        </w:rPr>
        <w:t xml:space="preserve">, range: 7-347 </w:t>
      </w:r>
      <w:r w:rsidR="00781D73">
        <w:rPr>
          <w:rFonts w:ascii="Book Antiqua" w:eastAsia="SimSun" w:hAnsi="Book Antiqua" w:cs="Times New Roman" w:hint="eastAsia"/>
          <w:color w:val="000000" w:themeColor="text1"/>
          <w:lang w:eastAsia="zh-CN"/>
        </w:rPr>
        <w:t>d</w:t>
      </w:r>
      <w:r w:rsidR="0046769E">
        <w:rPr>
          <w:rFonts w:ascii="Book Antiqua" w:eastAsia="SimSun" w:hAnsi="Book Antiqua" w:cs="Times New Roman" w:hint="eastAsia"/>
          <w:color w:val="000000" w:themeColor="text1"/>
          <w:lang w:eastAsia="zh-CN"/>
        </w:rPr>
        <w:t>)</w:t>
      </w:r>
      <w:r w:rsidR="00C571F5" w:rsidRPr="0083147A">
        <w:rPr>
          <w:rFonts w:ascii="Book Antiqua" w:hAnsi="Book Antiqua" w:cs="Times New Roman"/>
          <w:color w:val="000000" w:themeColor="text1"/>
        </w:rPr>
        <w:t xml:space="preserve">. The median cumulative dose </w:t>
      </w:r>
      <w:r w:rsidR="000B0F22">
        <w:rPr>
          <w:rFonts w:ascii="Book Antiqua" w:hAnsi="Book Antiqua" w:cs="Times New Roman"/>
          <w:color w:val="000000" w:themeColor="text1"/>
        </w:rPr>
        <w:t>was 20000 mg (range: 2800-146</w:t>
      </w:r>
      <w:r w:rsidR="00C571F5" w:rsidRPr="0083147A">
        <w:rPr>
          <w:rFonts w:ascii="Book Antiqua" w:hAnsi="Book Antiqua" w:cs="Times New Roman"/>
          <w:color w:val="000000" w:themeColor="text1"/>
        </w:rPr>
        <w:t xml:space="preserve">400 mg). </w:t>
      </w:r>
      <w:r w:rsidR="0012689F" w:rsidRPr="0083147A">
        <w:rPr>
          <w:rFonts w:ascii="Book Antiqua" w:hAnsi="Book Antiqua" w:cs="Times New Roman"/>
          <w:color w:val="000000" w:themeColor="text1"/>
        </w:rPr>
        <w:t>The median cumulative dose</w:t>
      </w:r>
      <w:r w:rsidR="003E7E25" w:rsidRPr="0083147A">
        <w:rPr>
          <w:rFonts w:ascii="Book Antiqua" w:hAnsi="Book Antiqua" w:cs="Times New Roman"/>
          <w:color w:val="000000" w:themeColor="text1"/>
        </w:rPr>
        <w:t>s</w:t>
      </w:r>
      <w:r w:rsidR="0012689F" w:rsidRPr="0083147A">
        <w:rPr>
          <w:rFonts w:ascii="Book Antiqua" w:hAnsi="Book Antiqua" w:cs="Times New Roman"/>
        </w:rPr>
        <w:t xml:space="preserve"> </w:t>
      </w:r>
      <w:r w:rsidR="0012689F" w:rsidRPr="0083147A">
        <w:rPr>
          <w:rFonts w:ascii="Book Antiqua" w:hAnsi="Book Antiqua" w:cs="Times New Roman"/>
          <w:color w:val="000000" w:themeColor="text1"/>
        </w:rPr>
        <w:t xml:space="preserve">in the intervention </w:t>
      </w:r>
      <w:r w:rsidR="00362A9D" w:rsidRPr="0083147A">
        <w:rPr>
          <w:rFonts w:ascii="Book Antiqua" w:hAnsi="Book Antiqua" w:cs="Times New Roman"/>
          <w:color w:val="000000" w:themeColor="text1"/>
        </w:rPr>
        <w:t>and non-intervention</w:t>
      </w:r>
      <w:r w:rsidR="0012689F" w:rsidRPr="0083147A">
        <w:rPr>
          <w:rFonts w:ascii="Book Antiqua" w:hAnsi="Book Antiqua" w:cs="Times New Roman"/>
          <w:color w:val="000000" w:themeColor="text1"/>
        </w:rPr>
        <w:t xml:space="preserve"> groups w</w:t>
      </w:r>
      <w:r w:rsidR="003E7E25" w:rsidRPr="0083147A">
        <w:rPr>
          <w:rFonts w:ascii="Book Antiqua" w:hAnsi="Book Antiqua" w:cs="Times New Roman"/>
          <w:color w:val="000000" w:themeColor="text1"/>
        </w:rPr>
        <w:t>ere</w:t>
      </w:r>
      <w:r w:rsidR="000B0F22">
        <w:rPr>
          <w:rFonts w:ascii="Book Antiqua" w:hAnsi="Book Antiqua" w:cs="Times New Roman"/>
          <w:color w:val="000000" w:themeColor="text1"/>
        </w:rPr>
        <w:t xml:space="preserve"> 32200 mg and 17</w:t>
      </w:r>
      <w:r w:rsidR="0012689F" w:rsidRPr="0083147A">
        <w:rPr>
          <w:rFonts w:ascii="Book Antiqua" w:hAnsi="Book Antiqua" w:cs="Times New Roman"/>
          <w:color w:val="000000" w:themeColor="text1"/>
        </w:rPr>
        <w:t>400 mg, respectively, showing a significant difference (</w:t>
      </w:r>
      <w:r w:rsidR="0012689F" w:rsidRPr="000B0F22">
        <w:rPr>
          <w:rFonts w:ascii="Book Antiqua" w:hAnsi="Book Antiqua" w:cs="Times New Roman"/>
          <w:i/>
          <w:color w:val="000000" w:themeColor="text1"/>
        </w:rPr>
        <w:t>P</w:t>
      </w:r>
      <w:r w:rsidR="0012689F" w:rsidRPr="0083147A">
        <w:rPr>
          <w:rFonts w:ascii="Book Antiqua" w:hAnsi="Book Antiqua" w:cs="Times New Roman"/>
          <w:color w:val="000000" w:themeColor="text1"/>
        </w:rPr>
        <w:t xml:space="preserve"> = 0.047). </w:t>
      </w:r>
      <w:r w:rsidR="00C571F5" w:rsidRPr="0083147A">
        <w:rPr>
          <w:rFonts w:ascii="Book Antiqua" w:hAnsi="Book Antiqua" w:cs="Times New Roman"/>
          <w:color w:val="000000" w:themeColor="text1"/>
        </w:rPr>
        <w:t xml:space="preserve">The median daily dose was 480 mg (range: 392-800 mg). </w:t>
      </w:r>
      <w:r w:rsidR="008C59FC" w:rsidRPr="0083147A">
        <w:rPr>
          <w:rFonts w:ascii="Book Antiqua" w:hAnsi="Book Antiqua" w:cs="Times New Roman"/>
          <w:color w:val="000000" w:themeColor="text1"/>
        </w:rPr>
        <w:t>The administration of s</w:t>
      </w:r>
      <w:r w:rsidR="00C571F5" w:rsidRPr="0083147A">
        <w:rPr>
          <w:rFonts w:ascii="Book Antiqua" w:hAnsi="Book Antiqua" w:cs="Times New Roman"/>
          <w:color w:val="000000" w:themeColor="text1"/>
        </w:rPr>
        <w:t>orafenib was discontinued in 38 patients</w:t>
      </w:r>
      <w:r w:rsidR="00D941A5" w:rsidRPr="0083147A">
        <w:rPr>
          <w:rFonts w:ascii="Book Antiqua" w:hAnsi="Book Antiqua" w:cs="Times New Roman"/>
          <w:color w:val="000000" w:themeColor="text1"/>
        </w:rPr>
        <w:t xml:space="preserve"> for the following reasons</w:t>
      </w:r>
      <w:r w:rsidR="00C571F5" w:rsidRPr="0083147A">
        <w:rPr>
          <w:rFonts w:ascii="Book Antiqua" w:hAnsi="Book Antiqua" w:cs="Times New Roman"/>
          <w:color w:val="000000" w:themeColor="text1"/>
        </w:rPr>
        <w:t xml:space="preserve">: </w:t>
      </w:r>
      <w:r w:rsidR="00D941A5" w:rsidRPr="0083147A">
        <w:rPr>
          <w:rFonts w:ascii="Book Antiqua" w:hAnsi="Book Antiqua" w:cs="Times New Roman"/>
          <w:color w:val="000000" w:themeColor="text1"/>
        </w:rPr>
        <w:t xml:space="preserve">a reduction in the effects of administration </w:t>
      </w:r>
      <w:r w:rsidR="00C571F5" w:rsidRPr="0083147A">
        <w:rPr>
          <w:rFonts w:ascii="Book Antiqua" w:hAnsi="Book Antiqua" w:cs="Times New Roman"/>
          <w:color w:val="000000" w:themeColor="text1"/>
        </w:rPr>
        <w:t xml:space="preserve">in 16 </w:t>
      </w:r>
      <w:r w:rsidR="00D941A5" w:rsidRPr="0083147A">
        <w:rPr>
          <w:rFonts w:ascii="Book Antiqua" w:hAnsi="Book Antiqua" w:cs="Times New Roman"/>
          <w:color w:val="000000" w:themeColor="text1"/>
        </w:rPr>
        <w:t>(42%)</w:t>
      </w:r>
      <w:r w:rsidR="0058424E" w:rsidRPr="0083147A">
        <w:rPr>
          <w:rFonts w:ascii="Book Antiqua" w:hAnsi="Book Antiqua" w:cs="Times New Roman"/>
          <w:color w:val="000000" w:themeColor="text1"/>
        </w:rPr>
        <w:t>;</w:t>
      </w:r>
      <w:r w:rsidR="00D941A5" w:rsidRPr="0083147A">
        <w:rPr>
          <w:rFonts w:ascii="Book Antiqua" w:hAnsi="Book Antiqua" w:cs="Times New Roman"/>
          <w:color w:val="000000" w:themeColor="text1"/>
        </w:rPr>
        <w:t xml:space="preserve"> grade 3 or higher AEs in 14 (36%)</w:t>
      </w:r>
      <w:r w:rsidR="0058424E" w:rsidRPr="0083147A">
        <w:rPr>
          <w:rFonts w:ascii="Book Antiqua" w:hAnsi="Book Antiqua" w:cs="Times New Roman"/>
          <w:color w:val="000000" w:themeColor="text1"/>
        </w:rPr>
        <w:t>;</w:t>
      </w:r>
      <w:r w:rsidR="00D941A5" w:rsidRPr="0083147A">
        <w:rPr>
          <w:rFonts w:ascii="Book Antiqua" w:hAnsi="Book Antiqua" w:cs="Times New Roman"/>
          <w:color w:val="000000" w:themeColor="text1"/>
        </w:rPr>
        <w:t xml:space="preserve"> exacerbation of the general condition in 4 (11%)</w:t>
      </w:r>
      <w:r w:rsidR="0058424E" w:rsidRPr="0083147A">
        <w:rPr>
          <w:rFonts w:ascii="Book Antiqua" w:hAnsi="Book Antiqua" w:cs="Times New Roman"/>
          <w:color w:val="000000" w:themeColor="text1"/>
        </w:rPr>
        <w:t>;</w:t>
      </w:r>
      <w:r w:rsidR="00D941A5" w:rsidRPr="0083147A">
        <w:rPr>
          <w:rFonts w:ascii="Book Antiqua" w:hAnsi="Book Antiqua" w:cs="Times New Roman"/>
          <w:color w:val="000000" w:themeColor="text1"/>
        </w:rPr>
        <w:t xml:space="preserve"> and other factors in 4 (11%). </w:t>
      </w:r>
      <w:r w:rsidR="00197C0D" w:rsidRPr="0083147A">
        <w:rPr>
          <w:rFonts w:ascii="Book Antiqua" w:hAnsi="Book Antiqua" w:cs="Times New Roman"/>
          <w:color w:val="000000" w:themeColor="text1"/>
        </w:rPr>
        <w:t xml:space="preserve">The </w:t>
      </w:r>
      <w:r w:rsidR="00197C0D" w:rsidRPr="0083147A">
        <w:rPr>
          <w:rFonts w:ascii="Book Antiqua" w:hAnsi="Book Antiqua" w:cs="Times New Roman"/>
        </w:rPr>
        <w:t>m</w:t>
      </w:r>
      <w:r w:rsidR="0058424E" w:rsidRPr="0083147A">
        <w:rPr>
          <w:rFonts w:ascii="Book Antiqua" w:hAnsi="Book Antiqua" w:cs="Times New Roman"/>
        </w:rPr>
        <w:t>ean medication possession ratio</w:t>
      </w:r>
      <w:r w:rsidR="00113341" w:rsidRPr="0083147A">
        <w:rPr>
          <w:rFonts w:ascii="Book Antiqua" w:hAnsi="Book Antiqua" w:cs="Times New Roman"/>
        </w:rPr>
        <w:t>s</w:t>
      </w:r>
      <w:r w:rsidR="0058424E" w:rsidRPr="0083147A">
        <w:rPr>
          <w:rFonts w:ascii="Book Antiqua" w:hAnsi="Book Antiqua" w:cs="Times New Roman"/>
          <w:color w:val="000000" w:themeColor="text1"/>
        </w:rPr>
        <w:t xml:space="preserve"> (</w:t>
      </w:r>
      <w:r w:rsidR="00D941A5" w:rsidRPr="0083147A">
        <w:rPr>
          <w:rFonts w:ascii="Book Antiqua" w:hAnsi="Book Antiqua" w:cs="Times New Roman"/>
          <w:color w:val="000000" w:themeColor="text1"/>
        </w:rPr>
        <w:t>MPR</w:t>
      </w:r>
      <w:r w:rsidR="00113341" w:rsidRPr="0083147A">
        <w:rPr>
          <w:rFonts w:ascii="Book Antiqua" w:hAnsi="Book Antiqua" w:cs="Times New Roman"/>
          <w:color w:val="000000" w:themeColor="text1"/>
        </w:rPr>
        <w:t>s</w:t>
      </w:r>
      <w:r w:rsidR="0058424E" w:rsidRPr="0083147A">
        <w:rPr>
          <w:rFonts w:ascii="Book Antiqua" w:hAnsi="Book Antiqua" w:cs="Times New Roman"/>
          <w:color w:val="000000" w:themeColor="text1"/>
        </w:rPr>
        <w:t>)</w:t>
      </w:r>
      <w:r w:rsidR="00D941A5" w:rsidRPr="0083147A">
        <w:rPr>
          <w:rFonts w:ascii="Book Antiqua" w:hAnsi="Book Antiqua" w:cs="Times New Roman"/>
          <w:color w:val="000000" w:themeColor="text1"/>
        </w:rPr>
        <w:t xml:space="preserve"> in the intervention and </w:t>
      </w:r>
      <w:r w:rsidR="002367A9" w:rsidRPr="0083147A">
        <w:rPr>
          <w:rFonts w:ascii="Book Antiqua" w:hAnsi="Book Antiqua" w:cs="Times New Roman"/>
          <w:color w:val="000000" w:themeColor="text1"/>
        </w:rPr>
        <w:t>non-intervention</w:t>
      </w:r>
      <w:r w:rsidR="00D941A5" w:rsidRPr="0083147A">
        <w:rPr>
          <w:rFonts w:ascii="Book Antiqua" w:hAnsi="Book Antiqua" w:cs="Times New Roman"/>
          <w:color w:val="000000" w:themeColor="text1"/>
        </w:rPr>
        <w:t xml:space="preserve"> groups w</w:t>
      </w:r>
      <w:r w:rsidR="00113341" w:rsidRPr="0083147A">
        <w:rPr>
          <w:rFonts w:ascii="Book Antiqua" w:hAnsi="Book Antiqua" w:cs="Times New Roman"/>
          <w:color w:val="000000" w:themeColor="text1"/>
        </w:rPr>
        <w:t>ere</w:t>
      </w:r>
      <w:r w:rsidR="00D941A5" w:rsidRPr="0083147A">
        <w:rPr>
          <w:rFonts w:ascii="Book Antiqua" w:hAnsi="Book Antiqua" w:cs="Times New Roman"/>
          <w:color w:val="000000" w:themeColor="text1"/>
        </w:rPr>
        <w:t xml:space="preserve"> 97</w:t>
      </w:r>
      <w:r w:rsidR="003F021B">
        <w:rPr>
          <w:rFonts w:ascii="Book Antiqua" w:eastAsia="SimSun" w:hAnsi="Book Antiqua" w:cs="Times New Roman" w:hint="eastAsia"/>
          <w:color w:val="000000" w:themeColor="text1"/>
          <w:lang w:eastAsia="zh-CN"/>
        </w:rPr>
        <w:t>%</w:t>
      </w:r>
      <w:r w:rsidR="00D941A5" w:rsidRPr="0083147A">
        <w:rPr>
          <w:rFonts w:ascii="Book Antiqua" w:hAnsi="Book Antiqua" w:cs="Times New Roman"/>
          <w:color w:val="000000" w:themeColor="text1"/>
        </w:rPr>
        <w:t xml:space="preserve"> and 85%, respectively, showing a significant differe</w:t>
      </w:r>
      <w:r w:rsidR="0058424E" w:rsidRPr="0083147A">
        <w:rPr>
          <w:rFonts w:ascii="Book Antiqua" w:hAnsi="Book Antiqua" w:cs="Times New Roman"/>
          <w:color w:val="000000" w:themeColor="text1"/>
        </w:rPr>
        <w:t>nce (</w:t>
      </w:r>
      <w:r w:rsidR="0058424E" w:rsidRPr="003F021B">
        <w:rPr>
          <w:rFonts w:ascii="Book Antiqua" w:hAnsi="Book Antiqua" w:cs="Times New Roman"/>
          <w:i/>
          <w:color w:val="000000" w:themeColor="text1"/>
        </w:rPr>
        <w:t>P</w:t>
      </w:r>
      <w:r w:rsidR="00C63975" w:rsidRPr="0083147A">
        <w:rPr>
          <w:rFonts w:ascii="Book Antiqua" w:hAnsi="Book Antiqua" w:cs="Times New Roman"/>
          <w:color w:val="000000" w:themeColor="text1"/>
        </w:rPr>
        <w:t xml:space="preserve"> </w:t>
      </w:r>
      <w:r w:rsidR="00D941A5" w:rsidRPr="0083147A">
        <w:rPr>
          <w:rFonts w:ascii="Book Antiqua" w:hAnsi="Book Antiqua" w:cs="Times New Roman"/>
          <w:color w:val="000000" w:themeColor="text1"/>
        </w:rPr>
        <w:t>&lt;</w:t>
      </w:r>
      <w:r w:rsidR="00C63975" w:rsidRPr="0083147A">
        <w:rPr>
          <w:rFonts w:ascii="Book Antiqua" w:hAnsi="Book Antiqua" w:cs="Times New Roman"/>
          <w:color w:val="000000" w:themeColor="text1"/>
        </w:rPr>
        <w:t xml:space="preserve"> </w:t>
      </w:r>
      <w:r w:rsidR="00D941A5" w:rsidRPr="0083147A">
        <w:rPr>
          <w:rFonts w:ascii="Book Antiqua" w:hAnsi="Book Antiqua" w:cs="Times New Roman"/>
          <w:color w:val="000000" w:themeColor="text1"/>
        </w:rPr>
        <w:t>0.001).</w:t>
      </w:r>
    </w:p>
    <w:p w:rsidR="00F63C59" w:rsidRPr="0083147A" w:rsidRDefault="0090790F" w:rsidP="00946207">
      <w:pPr>
        <w:spacing w:line="360" w:lineRule="auto"/>
        <w:ind w:firstLine="480"/>
        <w:rPr>
          <w:rFonts w:ascii="Book Antiqua" w:hAnsi="Book Antiqua" w:cs="Times New Roman"/>
          <w:color w:val="000000" w:themeColor="text1"/>
        </w:rPr>
      </w:pPr>
      <w:r w:rsidRPr="0083147A">
        <w:rPr>
          <w:rFonts w:ascii="Book Antiqua" w:hAnsi="Book Antiqua" w:cs="Times New Roman"/>
          <w:color w:val="000000" w:themeColor="text1"/>
        </w:rPr>
        <w:t xml:space="preserve">The results of </w:t>
      </w:r>
      <w:r w:rsidR="0058424E" w:rsidRPr="0083147A">
        <w:rPr>
          <w:rFonts w:ascii="Book Antiqua" w:hAnsi="Book Antiqua" w:cs="Times New Roman"/>
          <w:color w:val="000000" w:themeColor="text1"/>
        </w:rPr>
        <w:t xml:space="preserve">the </w:t>
      </w:r>
      <w:r w:rsidRPr="0083147A">
        <w:rPr>
          <w:rFonts w:ascii="Book Antiqua" w:hAnsi="Book Antiqua" w:cs="Times New Roman"/>
          <w:color w:val="000000" w:themeColor="text1"/>
        </w:rPr>
        <w:t>uni</w:t>
      </w:r>
      <w:r w:rsidR="00D73AC3" w:rsidRPr="0083147A">
        <w:rPr>
          <w:rFonts w:ascii="Book Antiqua" w:hAnsi="Book Antiqua" w:cs="Times New Roman"/>
          <w:color w:val="000000" w:themeColor="text1"/>
        </w:rPr>
        <w:t>variate</w:t>
      </w:r>
      <w:r w:rsidRPr="0083147A">
        <w:rPr>
          <w:rFonts w:ascii="Book Antiqua" w:hAnsi="Book Antiqua" w:cs="Times New Roman"/>
          <w:color w:val="000000" w:themeColor="text1"/>
        </w:rPr>
        <w:t xml:space="preserve">- and multivariate analyses regarding </w:t>
      </w:r>
      <w:r w:rsidR="0058424E" w:rsidRPr="0083147A">
        <w:rPr>
          <w:rFonts w:ascii="Book Antiqua" w:hAnsi="Book Antiqua" w:cs="Times New Roman"/>
          <w:color w:val="000000" w:themeColor="text1"/>
        </w:rPr>
        <w:t xml:space="preserve">the </w:t>
      </w:r>
      <w:r w:rsidRPr="0083147A">
        <w:rPr>
          <w:rFonts w:ascii="Book Antiqua" w:hAnsi="Book Antiqua" w:cs="Times New Roman"/>
          <w:color w:val="000000" w:themeColor="text1"/>
        </w:rPr>
        <w:t xml:space="preserve">TTF </w:t>
      </w:r>
      <w:r w:rsidR="0058424E" w:rsidRPr="0083147A">
        <w:rPr>
          <w:rFonts w:ascii="Book Antiqua" w:hAnsi="Book Antiqua" w:cs="Times New Roman"/>
          <w:color w:val="000000" w:themeColor="text1"/>
        </w:rPr>
        <w:t>a</w:t>
      </w:r>
      <w:r w:rsidRPr="0083147A">
        <w:rPr>
          <w:rFonts w:ascii="Book Antiqua" w:hAnsi="Book Antiqua" w:cs="Times New Roman"/>
          <w:color w:val="000000" w:themeColor="text1"/>
        </w:rPr>
        <w:t xml:space="preserve">re presented in Table 4. </w:t>
      </w:r>
      <w:r w:rsidR="008C59FC" w:rsidRPr="0083147A">
        <w:rPr>
          <w:rFonts w:ascii="Book Antiqua" w:hAnsi="Book Antiqua" w:cs="Times New Roman"/>
        </w:rPr>
        <w:t>The m</w:t>
      </w:r>
      <w:r w:rsidR="00D941A5" w:rsidRPr="0083147A">
        <w:rPr>
          <w:rFonts w:ascii="Book Antiqua" w:hAnsi="Book Antiqua" w:cs="Times New Roman"/>
        </w:rPr>
        <w:t xml:space="preserve">ultivariate analysis showed that </w:t>
      </w:r>
      <w:r w:rsidR="00A955F1" w:rsidRPr="0083147A">
        <w:rPr>
          <w:rFonts w:ascii="Book Antiqua" w:hAnsi="Book Antiqua" w:cs="Times New Roman"/>
        </w:rPr>
        <w:t>significant fac</w:t>
      </w:r>
      <w:r w:rsidR="00F63C59" w:rsidRPr="0083147A">
        <w:rPr>
          <w:rFonts w:ascii="Book Antiqua" w:hAnsi="Book Antiqua" w:cs="Times New Roman"/>
        </w:rPr>
        <w:t xml:space="preserve">tors for TTF </w:t>
      </w:r>
      <w:r w:rsidR="0058424E" w:rsidRPr="0083147A">
        <w:rPr>
          <w:rFonts w:ascii="Book Antiqua" w:hAnsi="Book Antiqua" w:cs="Times New Roman"/>
        </w:rPr>
        <w:t xml:space="preserve">prolongation </w:t>
      </w:r>
      <w:r w:rsidR="00F63C59" w:rsidRPr="0083147A">
        <w:rPr>
          <w:rFonts w:ascii="Book Antiqua" w:hAnsi="Book Antiqua" w:cs="Times New Roman"/>
        </w:rPr>
        <w:t xml:space="preserve">included </w:t>
      </w:r>
      <w:r w:rsidR="00D941A5" w:rsidRPr="0083147A">
        <w:rPr>
          <w:rFonts w:ascii="Book Antiqua" w:hAnsi="Book Antiqua" w:cs="Times New Roman"/>
        </w:rPr>
        <w:t>intervention by pharmacists (HR</w:t>
      </w:r>
      <w:r w:rsidR="00C63975" w:rsidRPr="0083147A">
        <w:rPr>
          <w:rFonts w:ascii="Book Antiqua" w:hAnsi="Book Antiqua" w:cs="Times New Roman"/>
        </w:rPr>
        <w:t xml:space="preserve"> </w:t>
      </w:r>
      <w:r w:rsidR="00D941A5" w:rsidRPr="0083147A">
        <w:rPr>
          <w:rFonts w:ascii="Book Antiqua" w:hAnsi="Book Antiqua" w:cs="Times New Roman"/>
        </w:rPr>
        <w:t>=</w:t>
      </w:r>
      <w:r w:rsidR="00C63975" w:rsidRPr="0083147A">
        <w:rPr>
          <w:rFonts w:ascii="Book Antiqua" w:hAnsi="Book Antiqua" w:cs="Times New Roman"/>
        </w:rPr>
        <w:t xml:space="preserve"> </w:t>
      </w:r>
      <w:r w:rsidR="00D941A5" w:rsidRPr="0083147A">
        <w:rPr>
          <w:rFonts w:ascii="Book Antiqua" w:hAnsi="Book Antiqua" w:cs="Times New Roman"/>
        </w:rPr>
        <w:t xml:space="preserve">0.425, </w:t>
      </w:r>
      <w:r w:rsidR="00D941A5" w:rsidRPr="0083147A">
        <w:rPr>
          <w:rFonts w:ascii="Book Antiqua" w:hAnsi="Book Antiqua" w:cs="Times New Roman"/>
        </w:rPr>
        <w:lastRenderedPageBreak/>
        <w:t xml:space="preserve">95%CI: 0.186-0.971; </w:t>
      </w:r>
      <w:r w:rsidR="00D941A5" w:rsidRPr="001A17DA">
        <w:rPr>
          <w:rFonts w:ascii="Book Antiqua" w:hAnsi="Book Antiqua" w:cs="Times New Roman"/>
          <w:i/>
        </w:rPr>
        <w:t>P</w:t>
      </w:r>
      <w:r w:rsidR="00C63975" w:rsidRPr="0083147A">
        <w:rPr>
          <w:rFonts w:ascii="Book Antiqua" w:hAnsi="Book Antiqua" w:cs="Times New Roman"/>
        </w:rPr>
        <w:t xml:space="preserve"> </w:t>
      </w:r>
      <w:r w:rsidR="00D941A5" w:rsidRPr="0083147A">
        <w:rPr>
          <w:rFonts w:ascii="Book Antiqua" w:hAnsi="Book Antiqua" w:cs="Times New Roman"/>
        </w:rPr>
        <w:t>=</w:t>
      </w:r>
      <w:r w:rsidR="00C63975" w:rsidRPr="0083147A">
        <w:rPr>
          <w:rFonts w:ascii="Book Antiqua" w:hAnsi="Book Antiqua" w:cs="Times New Roman"/>
        </w:rPr>
        <w:t xml:space="preserve"> </w:t>
      </w:r>
      <w:r w:rsidR="00D941A5" w:rsidRPr="0083147A">
        <w:rPr>
          <w:rFonts w:ascii="Book Antiqua" w:hAnsi="Book Antiqua" w:cs="Times New Roman"/>
        </w:rPr>
        <w:t xml:space="preserve">0.042) and MKI-associated </w:t>
      </w:r>
      <w:r w:rsidR="006A3F90" w:rsidRPr="0083147A">
        <w:rPr>
          <w:rFonts w:ascii="Book Antiqua" w:hAnsi="Book Antiqua" w:cs="Times New Roman"/>
        </w:rPr>
        <w:t>HFSR</w:t>
      </w:r>
      <w:r w:rsidR="00D941A5" w:rsidRPr="0083147A">
        <w:rPr>
          <w:rFonts w:ascii="Book Antiqua" w:hAnsi="Book Antiqua" w:cs="Times New Roman"/>
        </w:rPr>
        <w:t xml:space="preserve"> </w:t>
      </w:r>
      <w:r w:rsidR="00D941A5" w:rsidRPr="0083147A">
        <w:rPr>
          <w:rFonts w:ascii="Book Antiqua" w:hAnsi="Book Antiqua" w:cs="Times New Roman"/>
          <w:color w:val="000000" w:themeColor="text1"/>
        </w:rPr>
        <w:t>(</w:t>
      </w:r>
      <w:r w:rsidR="00F63C59" w:rsidRPr="0083147A">
        <w:rPr>
          <w:rFonts w:ascii="Book Antiqua" w:hAnsi="Book Antiqua" w:cs="Times New Roman"/>
          <w:color w:val="000000" w:themeColor="text1"/>
        </w:rPr>
        <w:t>HR</w:t>
      </w:r>
      <w:r w:rsidR="00C63975" w:rsidRPr="0083147A">
        <w:rPr>
          <w:rFonts w:ascii="Book Antiqua" w:hAnsi="Book Antiqua" w:cs="Times New Roman"/>
          <w:color w:val="000000" w:themeColor="text1"/>
        </w:rPr>
        <w:t xml:space="preserve"> </w:t>
      </w:r>
      <w:r w:rsidR="00F63C59" w:rsidRPr="0083147A">
        <w:rPr>
          <w:rFonts w:ascii="Book Antiqua" w:hAnsi="Book Antiqua" w:cs="Times New Roman"/>
          <w:color w:val="000000" w:themeColor="text1"/>
        </w:rPr>
        <w:t>=</w:t>
      </w:r>
      <w:r w:rsidR="00C63975" w:rsidRPr="0083147A">
        <w:rPr>
          <w:rFonts w:ascii="Book Antiqua" w:hAnsi="Book Antiqua" w:cs="Times New Roman"/>
          <w:color w:val="000000" w:themeColor="text1"/>
        </w:rPr>
        <w:t xml:space="preserve"> </w:t>
      </w:r>
      <w:r w:rsidR="00F63C59" w:rsidRPr="0083147A">
        <w:rPr>
          <w:rFonts w:ascii="Book Antiqua" w:hAnsi="Book Antiqua" w:cs="Times New Roman"/>
          <w:color w:val="000000" w:themeColor="text1"/>
        </w:rPr>
        <w:t xml:space="preserve">0.418, 95%CI: 0.175-0.994; </w:t>
      </w:r>
      <w:r w:rsidR="00F63C59" w:rsidRPr="001A17DA">
        <w:rPr>
          <w:rFonts w:ascii="Book Antiqua" w:hAnsi="Book Antiqua" w:cs="Times New Roman"/>
          <w:i/>
          <w:color w:val="000000" w:themeColor="text1"/>
        </w:rPr>
        <w:t>P</w:t>
      </w:r>
      <w:r w:rsidR="00C63975" w:rsidRPr="0083147A">
        <w:rPr>
          <w:rFonts w:ascii="Book Antiqua" w:hAnsi="Book Antiqua" w:cs="Times New Roman"/>
          <w:color w:val="000000" w:themeColor="text1"/>
        </w:rPr>
        <w:t xml:space="preserve"> </w:t>
      </w:r>
      <w:r w:rsidR="00F63C59" w:rsidRPr="0083147A">
        <w:rPr>
          <w:rFonts w:ascii="Book Antiqua" w:hAnsi="Book Antiqua" w:cs="Times New Roman"/>
          <w:color w:val="000000" w:themeColor="text1"/>
        </w:rPr>
        <w:t>=</w:t>
      </w:r>
      <w:r w:rsidR="00C63975" w:rsidRPr="0083147A">
        <w:rPr>
          <w:rFonts w:ascii="Book Antiqua" w:hAnsi="Book Antiqua" w:cs="Times New Roman"/>
          <w:color w:val="000000" w:themeColor="text1"/>
        </w:rPr>
        <w:t xml:space="preserve"> </w:t>
      </w:r>
      <w:r w:rsidR="00F63C59" w:rsidRPr="0083147A">
        <w:rPr>
          <w:rFonts w:ascii="Book Antiqua" w:hAnsi="Book Antiqua" w:cs="Times New Roman"/>
          <w:color w:val="000000" w:themeColor="text1"/>
        </w:rPr>
        <w:t>0.048</w:t>
      </w:r>
      <w:r w:rsidR="00D941A5" w:rsidRPr="0083147A">
        <w:rPr>
          <w:rFonts w:ascii="Book Antiqua" w:hAnsi="Book Antiqua" w:cs="Times New Roman"/>
          <w:color w:val="000000" w:themeColor="text1"/>
        </w:rPr>
        <w:t>)</w:t>
      </w:r>
      <w:r w:rsidR="00F63C59" w:rsidRPr="0083147A">
        <w:rPr>
          <w:rFonts w:ascii="Book Antiqua" w:hAnsi="Book Antiqua" w:cs="Times New Roman"/>
          <w:color w:val="000000" w:themeColor="text1"/>
        </w:rPr>
        <w:t xml:space="preserve">. </w:t>
      </w:r>
      <w:r w:rsidR="0058424E" w:rsidRPr="0083147A">
        <w:rPr>
          <w:rFonts w:ascii="Book Antiqua" w:hAnsi="Book Antiqua" w:cs="Times New Roman"/>
          <w:color w:val="000000" w:themeColor="text1"/>
        </w:rPr>
        <w:t>The m</w:t>
      </w:r>
      <w:r w:rsidR="00F63C59" w:rsidRPr="0083147A">
        <w:rPr>
          <w:rFonts w:ascii="Book Antiqua" w:hAnsi="Book Antiqua" w:cs="Times New Roman"/>
          <w:color w:val="000000" w:themeColor="text1"/>
        </w:rPr>
        <w:t>edian TTF</w:t>
      </w:r>
      <w:r w:rsidR="00854E95" w:rsidRPr="0083147A">
        <w:rPr>
          <w:rFonts w:ascii="Book Antiqua" w:hAnsi="Book Antiqua" w:cs="Times New Roman"/>
          <w:color w:val="000000" w:themeColor="text1"/>
        </w:rPr>
        <w:t>s</w:t>
      </w:r>
      <w:r w:rsidR="00F63C59" w:rsidRPr="0083147A">
        <w:rPr>
          <w:rFonts w:ascii="Book Antiqua" w:hAnsi="Book Antiqua" w:cs="Times New Roman"/>
          <w:color w:val="000000" w:themeColor="text1"/>
        </w:rPr>
        <w:t xml:space="preserve"> w</w:t>
      </w:r>
      <w:r w:rsidR="00854E95" w:rsidRPr="0083147A">
        <w:rPr>
          <w:rFonts w:ascii="Book Antiqua" w:hAnsi="Book Antiqua" w:cs="Times New Roman"/>
          <w:color w:val="000000" w:themeColor="text1"/>
        </w:rPr>
        <w:t>ere</w:t>
      </w:r>
      <w:r w:rsidR="00F63C59" w:rsidRPr="0083147A">
        <w:rPr>
          <w:rFonts w:ascii="Book Antiqua" w:hAnsi="Book Antiqua" w:cs="Times New Roman"/>
          <w:color w:val="000000" w:themeColor="text1"/>
        </w:rPr>
        <w:t xml:space="preserve"> 145 </w:t>
      </w:r>
      <w:r w:rsidR="001A17DA">
        <w:rPr>
          <w:rFonts w:ascii="Book Antiqua" w:eastAsia="SimSun" w:hAnsi="Book Antiqua" w:cs="Times New Roman" w:hint="eastAsia"/>
          <w:color w:val="000000" w:themeColor="text1"/>
          <w:lang w:eastAsia="zh-CN"/>
        </w:rPr>
        <w:t>d</w:t>
      </w:r>
      <w:r w:rsidR="00F63C59" w:rsidRPr="0083147A">
        <w:rPr>
          <w:rFonts w:ascii="Book Antiqua" w:hAnsi="Book Antiqua" w:cs="Times New Roman"/>
          <w:color w:val="000000" w:themeColor="text1"/>
        </w:rPr>
        <w:t xml:space="preserve"> (4.8 </w:t>
      </w:r>
      <w:proofErr w:type="spellStart"/>
      <w:r w:rsidR="00F63C59" w:rsidRPr="0083147A">
        <w:rPr>
          <w:rFonts w:ascii="Book Antiqua" w:hAnsi="Book Antiqua" w:cs="Times New Roman"/>
          <w:color w:val="000000" w:themeColor="text1"/>
        </w:rPr>
        <w:t>mo</w:t>
      </w:r>
      <w:r w:rsidR="001A17DA">
        <w:rPr>
          <w:rFonts w:ascii="Book Antiqua" w:eastAsia="SimSun" w:hAnsi="Book Antiqua" w:cs="Times New Roman" w:hint="eastAsia"/>
          <w:color w:val="000000" w:themeColor="text1"/>
          <w:lang w:eastAsia="zh-CN"/>
        </w:rPr>
        <w:t>mo</w:t>
      </w:r>
      <w:r w:rsidR="00F63C59" w:rsidRPr="0083147A">
        <w:rPr>
          <w:rFonts w:ascii="Book Antiqua" w:hAnsi="Book Antiqua" w:cs="Times New Roman"/>
          <w:color w:val="000000" w:themeColor="text1"/>
        </w:rPr>
        <w:t>nths</w:t>
      </w:r>
      <w:proofErr w:type="spellEnd"/>
      <w:r w:rsidR="00F63C59" w:rsidRPr="0083147A">
        <w:rPr>
          <w:rFonts w:ascii="Book Antiqua" w:hAnsi="Book Antiqua" w:cs="Times New Roman"/>
          <w:color w:val="000000" w:themeColor="text1"/>
        </w:rPr>
        <w:t xml:space="preserve">) in the intervention group and 43 </w:t>
      </w:r>
      <w:r w:rsidR="001A17DA">
        <w:rPr>
          <w:rFonts w:ascii="Book Antiqua" w:eastAsia="SimSun" w:hAnsi="Book Antiqua" w:cs="Times New Roman" w:hint="eastAsia"/>
          <w:color w:val="000000" w:themeColor="text1"/>
          <w:lang w:eastAsia="zh-CN"/>
        </w:rPr>
        <w:t>d</w:t>
      </w:r>
      <w:r w:rsidR="00F63C59" w:rsidRPr="0083147A">
        <w:rPr>
          <w:rFonts w:ascii="Book Antiqua" w:hAnsi="Book Antiqua" w:cs="Times New Roman"/>
          <w:color w:val="000000" w:themeColor="text1"/>
        </w:rPr>
        <w:t xml:space="preserve"> (1.4 </w:t>
      </w:r>
      <w:proofErr w:type="spellStart"/>
      <w:r w:rsidR="001A17DA">
        <w:rPr>
          <w:rFonts w:ascii="Book Antiqua" w:eastAsia="SimSun" w:hAnsi="Book Antiqua" w:cs="Times New Roman" w:hint="eastAsia"/>
          <w:color w:val="000000" w:themeColor="text1"/>
          <w:lang w:eastAsia="zh-CN"/>
        </w:rPr>
        <w:t>mo</w:t>
      </w:r>
      <w:proofErr w:type="spellEnd"/>
      <w:r w:rsidR="00F63C59" w:rsidRPr="0083147A">
        <w:rPr>
          <w:rFonts w:ascii="Book Antiqua" w:hAnsi="Book Antiqua" w:cs="Times New Roman"/>
          <w:color w:val="000000" w:themeColor="text1"/>
        </w:rPr>
        <w:t xml:space="preserve">) in the </w:t>
      </w:r>
      <w:r w:rsidR="002367A9" w:rsidRPr="0083147A">
        <w:rPr>
          <w:rFonts w:ascii="Book Antiqua" w:hAnsi="Book Antiqua" w:cs="Times New Roman"/>
          <w:color w:val="000000" w:themeColor="text1"/>
        </w:rPr>
        <w:t>non-intervention</w:t>
      </w:r>
      <w:r w:rsidR="00F63C59" w:rsidRPr="0083147A">
        <w:rPr>
          <w:rFonts w:ascii="Book Antiqua" w:hAnsi="Book Antiqua" w:cs="Times New Roman"/>
          <w:color w:val="000000" w:themeColor="text1"/>
        </w:rPr>
        <w:t xml:space="preserve"> group.</w:t>
      </w:r>
    </w:p>
    <w:p w:rsidR="00F63C59" w:rsidRPr="0083147A" w:rsidRDefault="00F63C59" w:rsidP="00946207">
      <w:pPr>
        <w:spacing w:line="360" w:lineRule="auto"/>
        <w:rPr>
          <w:rFonts w:ascii="Book Antiqua" w:hAnsi="Book Antiqua" w:cs="Times New Roman"/>
          <w:color w:val="000000" w:themeColor="text1"/>
        </w:rPr>
      </w:pPr>
    </w:p>
    <w:p w:rsidR="00F63C59" w:rsidRPr="0083147A" w:rsidRDefault="00983CCC" w:rsidP="00946207">
      <w:pPr>
        <w:spacing w:line="360" w:lineRule="auto"/>
        <w:outlineLvl w:val="0"/>
        <w:rPr>
          <w:rFonts w:ascii="Book Antiqua" w:hAnsi="Book Antiqua" w:cs="Times New Roman"/>
          <w:b/>
          <w:color w:val="000000" w:themeColor="text1"/>
        </w:rPr>
      </w:pPr>
      <w:r w:rsidRPr="0083147A">
        <w:rPr>
          <w:rFonts w:ascii="Book Antiqua" w:hAnsi="Book Antiqua" w:cs="Times New Roman"/>
          <w:b/>
          <w:color w:val="000000" w:themeColor="text1"/>
        </w:rPr>
        <w:t>DISCUSSION</w:t>
      </w:r>
    </w:p>
    <w:p w:rsidR="0010296D" w:rsidRPr="0083147A" w:rsidRDefault="00C63975" w:rsidP="00BD02B6">
      <w:pPr>
        <w:spacing w:line="360" w:lineRule="auto"/>
        <w:rPr>
          <w:rFonts w:ascii="Book Antiqua" w:hAnsi="Book Antiqua" w:cs="Times New Roman"/>
          <w:color w:val="000000" w:themeColor="text1"/>
          <w:highlight w:val="yellow"/>
        </w:rPr>
      </w:pPr>
      <w:proofErr w:type="spellStart"/>
      <w:r w:rsidRPr="0083147A">
        <w:rPr>
          <w:rFonts w:ascii="Book Antiqua" w:hAnsi="Book Antiqua" w:cs="Times New Roman"/>
          <w:color w:val="000000" w:themeColor="text1"/>
        </w:rPr>
        <w:t>Sorafenib</w:t>
      </w:r>
      <w:proofErr w:type="spellEnd"/>
      <w:r w:rsidRPr="0083147A">
        <w:rPr>
          <w:rFonts w:ascii="Book Antiqua" w:hAnsi="Book Antiqua" w:cs="Times New Roman"/>
          <w:color w:val="000000" w:themeColor="text1"/>
        </w:rPr>
        <w:t xml:space="preserve"> treatment</w:t>
      </w:r>
      <w:r w:rsidR="00F63C59" w:rsidRPr="0083147A">
        <w:rPr>
          <w:rFonts w:ascii="Book Antiqua" w:hAnsi="Book Antiqua" w:cs="Times New Roman"/>
          <w:color w:val="000000" w:themeColor="text1"/>
        </w:rPr>
        <w:t xml:space="preserve"> is performed </w:t>
      </w:r>
      <w:r w:rsidR="008C59FC" w:rsidRPr="0083147A">
        <w:rPr>
          <w:rFonts w:ascii="Book Antiqua" w:hAnsi="Book Antiqua" w:cs="Times New Roman"/>
          <w:color w:val="000000" w:themeColor="text1"/>
        </w:rPr>
        <w:t xml:space="preserve">worldwide </w:t>
      </w:r>
      <w:r w:rsidR="00F63C59" w:rsidRPr="0083147A">
        <w:rPr>
          <w:rFonts w:ascii="Book Antiqua" w:hAnsi="Book Antiqua" w:cs="Times New Roman"/>
          <w:color w:val="000000" w:themeColor="text1"/>
        </w:rPr>
        <w:t>as evidence-based chemotherapy for ad</w:t>
      </w:r>
      <w:r w:rsidRPr="0083147A">
        <w:rPr>
          <w:rFonts w:ascii="Book Antiqua" w:hAnsi="Book Antiqua" w:cs="Times New Roman"/>
          <w:color w:val="000000" w:themeColor="text1"/>
        </w:rPr>
        <w:t xml:space="preserve">vanced hepatocellular </w:t>
      </w:r>
      <w:proofErr w:type="gramStart"/>
      <w:r w:rsidRPr="0083147A">
        <w:rPr>
          <w:rFonts w:ascii="Book Antiqua" w:hAnsi="Book Antiqua" w:cs="Times New Roman"/>
          <w:color w:val="000000" w:themeColor="text1"/>
        </w:rPr>
        <w:t>carcinoma</w:t>
      </w:r>
      <w:r w:rsidR="00F63C59" w:rsidRPr="0083147A">
        <w:rPr>
          <w:rFonts w:ascii="Book Antiqua" w:hAnsi="Book Antiqua" w:cs="Times New Roman"/>
          <w:color w:val="000000" w:themeColor="text1"/>
          <w:vertAlign w:val="superscript"/>
        </w:rPr>
        <w:t>[</w:t>
      </w:r>
      <w:proofErr w:type="gramEnd"/>
      <w:r w:rsidR="00F63C59" w:rsidRPr="0083147A">
        <w:rPr>
          <w:rFonts w:ascii="Book Antiqua" w:hAnsi="Book Antiqua" w:cs="Times New Roman"/>
          <w:color w:val="000000" w:themeColor="text1"/>
          <w:vertAlign w:val="superscript"/>
        </w:rPr>
        <w:t>1-4]</w:t>
      </w:r>
      <w:r w:rsidR="00F63C59" w:rsidRPr="0083147A">
        <w:rPr>
          <w:rFonts w:ascii="Book Antiqua" w:hAnsi="Book Antiqua" w:cs="Times New Roman"/>
          <w:color w:val="000000" w:themeColor="text1"/>
        </w:rPr>
        <w:t xml:space="preserve">. </w:t>
      </w:r>
      <w:r w:rsidR="004E62F8" w:rsidRPr="0083147A">
        <w:rPr>
          <w:rFonts w:ascii="Book Antiqua" w:hAnsi="Book Antiqua" w:cs="Times New Roman"/>
          <w:color w:val="000000" w:themeColor="text1"/>
        </w:rPr>
        <w:t xml:space="preserve">A </w:t>
      </w:r>
      <w:r w:rsidR="008C59FC" w:rsidRPr="0083147A">
        <w:rPr>
          <w:rFonts w:ascii="Book Antiqua" w:hAnsi="Book Antiqua" w:cs="Times New Roman"/>
          <w:color w:val="000000" w:themeColor="text1"/>
        </w:rPr>
        <w:t xml:space="preserve">previous </w:t>
      </w:r>
      <w:r w:rsidR="004E62F8" w:rsidRPr="0083147A">
        <w:rPr>
          <w:rFonts w:ascii="Book Antiqua" w:hAnsi="Book Antiqua" w:cs="Times New Roman"/>
          <w:color w:val="000000" w:themeColor="text1"/>
        </w:rPr>
        <w:t>study reported that the rate of decrease</w:t>
      </w:r>
      <w:r w:rsidR="00833B10" w:rsidRPr="0083147A">
        <w:rPr>
          <w:rFonts w:ascii="Book Antiqua" w:hAnsi="Book Antiqua" w:cs="Times New Roman"/>
          <w:color w:val="000000" w:themeColor="text1"/>
        </w:rPr>
        <w:t>d</w:t>
      </w:r>
      <w:r w:rsidR="004E62F8" w:rsidRPr="0083147A">
        <w:rPr>
          <w:rFonts w:ascii="Book Antiqua" w:hAnsi="Book Antiqua" w:cs="Times New Roman"/>
          <w:color w:val="000000" w:themeColor="text1"/>
        </w:rPr>
        <w:t xml:space="preserve"> in </w:t>
      </w:r>
      <w:r w:rsidR="00833B10" w:rsidRPr="0083147A">
        <w:rPr>
          <w:rFonts w:ascii="Book Antiqua" w:hAnsi="Book Antiqua" w:cs="Times New Roman"/>
          <w:color w:val="000000" w:themeColor="text1"/>
        </w:rPr>
        <w:t>AFP</w:t>
      </w:r>
      <w:r w:rsidR="004E62F8" w:rsidRPr="0083147A">
        <w:rPr>
          <w:rFonts w:ascii="Book Antiqua" w:hAnsi="Book Antiqua" w:cs="Times New Roman"/>
          <w:color w:val="000000" w:themeColor="text1"/>
        </w:rPr>
        <w:t xml:space="preserve"> level</w:t>
      </w:r>
      <w:r w:rsidR="008C59FC" w:rsidRPr="0083147A">
        <w:rPr>
          <w:rFonts w:ascii="Book Antiqua" w:hAnsi="Book Antiqua" w:cs="Times New Roman"/>
          <w:color w:val="000000" w:themeColor="text1"/>
        </w:rPr>
        <w:t>s</w:t>
      </w:r>
      <w:r w:rsidR="004E62F8" w:rsidRPr="0083147A">
        <w:rPr>
          <w:rFonts w:ascii="Book Antiqua" w:hAnsi="Book Antiqua" w:cs="Times New Roman"/>
          <w:color w:val="000000" w:themeColor="text1"/>
        </w:rPr>
        <w:t xml:space="preserve"> early after the start of treatment was useful as a surroga</w:t>
      </w:r>
      <w:r w:rsidRPr="0083147A">
        <w:rPr>
          <w:rFonts w:ascii="Book Antiqua" w:hAnsi="Book Antiqua" w:cs="Times New Roman"/>
          <w:color w:val="000000" w:themeColor="text1"/>
        </w:rPr>
        <w:t xml:space="preserve">te marker for sorafenib </w:t>
      </w:r>
      <w:proofErr w:type="gramStart"/>
      <w:r w:rsidRPr="0083147A">
        <w:rPr>
          <w:rFonts w:ascii="Book Antiqua" w:hAnsi="Book Antiqua" w:cs="Times New Roman"/>
          <w:color w:val="000000" w:themeColor="text1"/>
        </w:rPr>
        <w:t>therapy</w:t>
      </w:r>
      <w:r w:rsidR="004E62F8" w:rsidRPr="0083147A">
        <w:rPr>
          <w:rFonts w:ascii="Book Antiqua" w:hAnsi="Book Antiqua" w:cs="Times New Roman"/>
          <w:color w:val="000000" w:themeColor="text1"/>
          <w:vertAlign w:val="superscript"/>
        </w:rPr>
        <w:t>[</w:t>
      </w:r>
      <w:proofErr w:type="gramEnd"/>
      <w:r w:rsidR="004E62F8" w:rsidRPr="0083147A">
        <w:rPr>
          <w:rFonts w:ascii="Book Antiqua" w:hAnsi="Book Antiqua" w:cs="Times New Roman"/>
          <w:color w:val="000000" w:themeColor="text1"/>
          <w:vertAlign w:val="superscript"/>
        </w:rPr>
        <w:t>20]</w:t>
      </w:r>
      <w:r w:rsidR="004E62F8" w:rsidRPr="0083147A">
        <w:rPr>
          <w:rFonts w:ascii="Book Antiqua" w:hAnsi="Book Antiqua" w:cs="Times New Roman"/>
          <w:color w:val="000000" w:themeColor="text1"/>
        </w:rPr>
        <w:t xml:space="preserve">. </w:t>
      </w:r>
      <w:r w:rsidR="008C59FC" w:rsidRPr="0083147A">
        <w:rPr>
          <w:rFonts w:ascii="Book Antiqua" w:hAnsi="Book Antiqua" w:cs="Times New Roman"/>
          <w:color w:val="000000" w:themeColor="text1"/>
        </w:rPr>
        <w:t>A number of</w:t>
      </w:r>
      <w:r w:rsidR="00395563" w:rsidRPr="0083147A">
        <w:rPr>
          <w:rFonts w:ascii="Book Antiqua" w:hAnsi="Book Antiqua" w:cs="Times New Roman"/>
          <w:color w:val="000000" w:themeColor="text1"/>
        </w:rPr>
        <w:t xml:space="preserve"> studies </w:t>
      </w:r>
      <w:r w:rsidR="008C59FC" w:rsidRPr="0083147A">
        <w:rPr>
          <w:rFonts w:ascii="Book Antiqua" w:hAnsi="Book Antiqua" w:cs="Times New Roman"/>
          <w:color w:val="000000" w:themeColor="text1"/>
        </w:rPr>
        <w:t xml:space="preserve">have </w:t>
      </w:r>
      <w:r w:rsidR="00395563" w:rsidRPr="0083147A">
        <w:rPr>
          <w:rFonts w:ascii="Book Antiqua" w:hAnsi="Book Antiqua" w:cs="Times New Roman"/>
          <w:color w:val="000000" w:themeColor="text1"/>
        </w:rPr>
        <w:t xml:space="preserve">indicated </w:t>
      </w:r>
      <w:r w:rsidR="008C59FC" w:rsidRPr="0083147A">
        <w:rPr>
          <w:rFonts w:ascii="Book Antiqua" w:hAnsi="Book Antiqua" w:cs="Times New Roman"/>
          <w:color w:val="000000" w:themeColor="text1"/>
        </w:rPr>
        <w:t>that a relationship exists</w:t>
      </w:r>
      <w:r w:rsidR="00395563" w:rsidRPr="0083147A">
        <w:rPr>
          <w:rFonts w:ascii="Book Antiqua" w:hAnsi="Book Antiqua" w:cs="Times New Roman"/>
          <w:color w:val="000000" w:themeColor="text1"/>
        </w:rPr>
        <w:t xml:space="preserve"> between AEs after the start of sorafenib administration and antitumor effects</w:t>
      </w:r>
      <w:r w:rsidR="008C59FC" w:rsidRPr="0083147A">
        <w:rPr>
          <w:rFonts w:ascii="Book Antiqua" w:hAnsi="Book Antiqua" w:cs="Times New Roman"/>
          <w:color w:val="000000" w:themeColor="text1"/>
        </w:rPr>
        <w:t>; however, this</w:t>
      </w:r>
      <w:r w:rsidR="008D2459" w:rsidRPr="0083147A">
        <w:rPr>
          <w:rFonts w:ascii="Book Antiqua" w:hAnsi="Book Antiqua" w:cs="Times New Roman"/>
          <w:color w:val="000000" w:themeColor="text1"/>
        </w:rPr>
        <w:t xml:space="preserve"> relationship</w:t>
      </w:r>
      <w:r w:rsidR="008C59FC" w:rsidRPr="0083147A">
        <w:rPr>
          <w:rFonts w:ascii="Book Antiqua" w:hAnsi="Book Antiqua" w:cs="Times New Roman"/>
          <w:color w:val="000000" w:themeColor="text1"/>
        </w:rPr>
        <w:t xml:space="preserve"> has not yet been confirmed</w:t>
      </w:r>
      <w:r w:rsidR="00395563" w:rsidRPr="0083147A">
        <w:rPr>
          <w:rFonts w:ascii="Book Antiqua" w:hAnsi="Book Antiqua" w:cs="Times New Roman"/>
          <w:color w:val="000000" w:themeColor="text1"/>
        </w:rPr>
        <w:t xml:space="preserve">. </w:t>
      </w:r>
      <w:r w:rsidR="008C59FC" w:rsidRPr="0083147A">
        <w:rPr>
          <w:rFonts w:ascii="Book Antiqua" w:hAnsi="Book Antiqua" w:cs="Times New Roman"/>
          <w:color w:val="000000" w:themeColor="text1"/>
        </w:rPr>
        <w:t>A</w:t>
      </w:r>
      <w:r w:rsidR="00395563" w:rsidRPr="0083147A">
        <w:rPr>
          <w:rFonts w:ascii="Book Antiqua" w:hAnsi="Book Antiqua" w:cs="Times New Roman"/>
          <w:color w:val="000000" w:themeColor="text1"/>
        </w:rPr>
        <w:t xml:space="preserve">n international multicenter cooperative study showed </w:t>
      </w:r>
      <w:r w:rsidR="0007310C" w:rsidRPr="0083147A">
        <w:rPr>
          <w:rFonts w:ascii="Book Antiqua" w:hAnsi="Book Antiqua" w:cs="Times New Roman"/>
          <w:color w:val="000000" w:themeColor="text1"/>
        </w:rPr>
        <w:t xml:space="preserve">by multivariate analysis </w:t>
      </w:r>
      <w:r w:rsidR="00395563" w:rsidRPr="0083147A">
        <w:rPr>
          <w:rFonts w:ascii="Book Antiqua" w:hAnsi="Book Antiqua" w:cs="Times New Roman"/>
          <w:color w:val="000000" w:themeColor="text1"/>
        </w:rPr>
        <w:t>that diarrhea, hypertension, and HFS</w:t>
      </w:r>
      <w:r w:rsidR="00640483" w:rsidRPr="0083147A">
        <w:rPr>
          <w:rFonts w:ascii="Book Antiqua" w:hAnsi="Book Antiqua" w:cs="Times New Roman"/>
          <w:color w:val="000000" w:themeColor="text1"/>
        </w:rPr>
        <w:t>R</w:t>
      </w:r>
      <w:r w:rsidR="00395563" w:rsidRPr="0083147A">
        <w:rPr>
          <w:rFonts w:ascii="Book Antiqua" w:hAnsi="Book Antiqua" w:cs="Times New Roman"/>
          <w:color w:val="000000" w:themeColor="text1"/>
        </w:rPr>
        <w:t xml:space="preserve"> were significant</w:t>
      </w:r>
      <w:r w:rsidR="00633A36" w:rsidRPr="0083147A">
        <w:rPr>
          <w:rFonts w:ascii="Book Antiqua" w:hAnsi="Book Antiqua" w:cs="Times New Roman"/>
          <w:color w:val="000000" w:themeColor="text1"/>
        </w:rPr>
        <w:t>,</w:t>
      </w:r>
      <w:r w:rsidR="00395563" w:rsidRPr="0083147A">
        <w:rPr>
          <w:rFonts w:ascii="Book Antiqua" w:hAnsi="Book Antiqua" w:cs="Times New Roman"/>
          <w:color w:val="000000" w:themeColor="text1"/>
        </w:rPr>
        <w:t xml:space="preserve"> independent fac</w:t>
      </w:r>
      <w:r w:rsidR="0007310C" w:rsidRPr="0083147A">
        <w:rPr>
          <w:rFonts w:ascii="Book Antiqua" w:hAnsi="Book Antiqua" w:cs="Times New Roman"/>
          <w:color w:val="000000" w:themeColor="text1"/>
        </w:rPr>
        <w:t xml:space="preserve">tors associated with </w:t>
      </w:r>
      <w:proofErr w:type="gramStart"/>
      <w:r w:rsidR="0007310C" w:rsidRPr="0083147A">
        <w:rPr>
          <w:rFonts w:ascii="Book Antiqua" w:hAnsi="Book Antiqua" w:cs="Times New Roman"/>
          <w:color w:val="000000" w:themeColor="text1"/>
        </w:rPr>
        <w:t>OS</w:t>
      </w:r>
      <w:r w:rsidR="00395563" w:rsidRPr="0083147A">
        <w:rPr>
          <w:rFonts w:ascii="Book Antiqua" w:hAnsi="Book Antiqua" w:cs="Times New Roman"/>
          <w:color w:val="000000" w:themeColor="text1"/>
          <w:vertAlign w:val="superscript"/>
        </w:rPr>
        <w:t>[</w:t>
      </w:r>
      <w:proofErr w:type="gramEnd"/>
      <w:r w:rsidR="00395563" w:rsidRPr="0083147A">
        <w:rPr>
          <w:rFonts w:ascii="Book Antiqua" w:hAnsi="Book Antiqua" w:cs="Times New Roman"/>
          <w:color w:val="000000" w:themeColor="text1"/>
          <w:vertAlign w:val="superscript"/>
        </w:rPr>
        <w:t>21]</w:t>
      </w:r>
      <w:r w:rsidR="00395563" w:rsidRPr="0083147A">
        <w:rPr>
          <w:rFonts w:ascii="Book Antiqua" w:hAnsi="Book Antiqua" w:cs="Times New Roman"/>
          <w:color w:val="000000" w:themeColor="text1"/>
        </w:rPr>
        <w:t>.</w:t>
      </w:r>
      <w:r w:rsidR="00784760" w:rsidRPr="0083147A">
        <w:rPr>
          <w:rFonts w:ascii="Book Antiqua" w:hAnsi="Book Antiqua" w:cs="Times New Roman"/>
          <w:color w:val="000000" w:themeColor="text1"/>
        </w:rPr>
        <w:t xml:space="preserve"> </w:t>
      </w:r>
      <w:r w:rsidR="0010296D" w:rsidRPr="0083147A">
        <w:rPr>
          <w:rFonts w:ascii="Book Antiqua" w:hAnsi="Book Antiqua" w:cs="Times New Roman"/>
          <w:color w:val="000000" w:themeColor="text1"/>
        </w:rPr>
        <w:t xml:space="preserve">In addition, a meta-analysis of the data obtained from 1017 subjects, involving 12 cohort studies, showed that HFSR was a beneficial indicator that improves the </w:t>
      </w:r>
      <w:proofErr w:type="gramStart"/>
      <w:r w:rsidR="0010296D" w:rsidRPr="0083147A">
        <w:rPr>
          <w:rFonts w:ascii="Book Antiqua" w:hAnsi="Book Antiqua" w:cs="Times New Roman"/>
          <w:color w:val="000000" w:themeColor="text1"/>
        </w:rPr>
        <w:t>prognosis</w:t>
      </w:r>
      <w:r w:rsidR="0010296D" w:rsidRPr="0083147A">
        <w:rPr>
          <w:rFonts w:ascii="Book Antiqua" w:hAnsi="Book Antiqua" w:cs="Times New Roman"/>
          <w:color w:val="000000" w:themeColor="text1"/>
          <w:vertAlign w:val="superscript"/>
        </w:rPr>
        <w:t>[</w:t>
      </w:r>
      <w:proofErr w:type="gramEnd"/>
      <w:r w:rsidR="0010296D" w:rsidRPr="0083147A">
        <w:rPr>
          <w:rFonts w:ascii="Book Antiqua" w:hAnsi="Book Antiqua" w:cs="Times New Roman"/>
          <w:color w:val="000000" w:themeColor="text1"/>
          <w:vertAlign w:val="superscript"/>
        </w:rPr>
        <w:t>22]</w:t>
      </w:r>
      <w:r w:rsidR="0010296D" w:rsidRPr="0083147A">
        <w:rPr>
          <w:rFonts w:ascii="Book Antiqua" w:hAnsi="Book Antiqua" w:cs="Times New Roman"/>
          <w:color w:val="000000" w:themeColor="text1"/>
        </w:rPr>
        <w:t>.</w:t>
      </w:r>
    </w:p>
    <w:p w:rsidR="0010296D" w:rsidRPr="0083147A" w:rsidRDefault="00395563" w:rsidP="00946207">
      <w:pPr>
        <w:spacing w:line="360" w:lineRule="auto"/>
        <w:ind w:firstLine="480"/>
        <w:rPr>
          <w:rFonts w:ascii="Book Antiqua" w:hAnsi="Book Antiqua" w:cs="Times New Roman"/>
          <w:color w:val="000000" w:themeColor="text1"/>
          <w:highlight w:val="yellow"/>
        </w:rPr>
      </w:pPr>
      <w:r w:rsidRPr="0083147A">
        <w:rPr>
          <w:rFonts w:ascii="Book Antiqua" w:hAnsi="Book Antiqua" w:cs="Times New Roman"/>
          <w:color w:val="000000" w:themeColor="text1"/>
        </w:rPr>
        <w:t xml:space="preserve">In </w:t>
      </w:r>
      <w:r w:rsidR="008C59FC" w:rsidRPr="0083147A">
        <w:rPr>
          <w:rFonts w:ascii="Book Antiqua" w:hAnsi="Book Antiqua" w:cs="Times New Roman"/>
          <w:color w:val="000000" w:themeColor="text1"/>
        </w:rPr>
        <w:t>the present</w:t>
      </w:r>
      <w:r w:rsidRPr="0083147A">
        <w:rPr>
          <w:rFonts w:ascii="Book Antiqua" w:hAnsi="Book Antiqua" w:cs="Times New Roman"/>
          <w:color w:val="000000" w:themeColor="text1"/>
        </w:rPr>
        <w:t xml:space="preserve"> study, </w:t>
      </w:r>
      <w:r w:rsidR="008C59FC" w:rsidRPr="0083147A">
        <w:rPr>
          <w:rFonts w:ascii="Book Antiqua" w:hAnsi="Book Antiqua" w:cs="Times New Roman"/>
          <w:color w:val="000000" w:themeColor="text1"/>
        </w:rPr>
        <w:t xml:space="preserve">the </w:t>
      </w:r>
      <w:r w:rsidR="00C10B49" w:rsidRPr="0083147A">
        <w:rPr>
          <w:rFonts w:ascii="Book Antiqua" w:hAnsi="Book Antiqua" w:cs="Times New Roman"/>
          <w:color w:val="000000" w:themeColor="text1"/>
        </w:rPr>
        <w:t xml:space="preserve">multivariate analysis </w:t>
      </w:r>
      <w:r w:rsidR="0007310C" w:rsidRPr="0083147A">
        <w:rPr>
          <w:rFonts w:ascii="Book Antiqua" w:hAnsi="Book Antiqua" w:cs="Times New Roman"/>
          <w:color w:val="000000" w:themeColor="text1"/>
        </w:rPr>
        <w:t>of</w:t>
      </w:r>
      <w:r w:rsidR="00C10B49" w:rsidRPr="0083147A">
        <w:rPr>
          <w:rFonts w:ascii="Book Antiqua" w:hAnsi="Book Antiqua" w:cs="Times New Roman"/>
          <w:color w:val="000000" w:themeColor="text1"/>
        </w:rPr>
        <w:t xml:space="preserve"> OS showed that MKI-associated </w:t>
      </w:r>
      <w:r w:rsidR="00640483" w:rsidRPr="0083147A">
        <w:rPr>
          <w:rFonts w:ascii="Book Antiqua" w:hAnsi="Book Antiqua" w:cs="Times New Roman"/>
          <w:color w:val="000000" w:themeColor="text1"/>
        </w:rPr>
        <w:t xml:space="preserve">HFSR and BCLC B were </w:t>
      </w:r>
      <w:r w:rsidR="00640483" w:rsidRPr="0083147A">
        <w:rPr>
          <w:rFonts w:ascii="Book Antiqua" w:hAnsi="Book Antiqua" w:cs="Times New Roman"/>
        </w:rPr>
        <w:t>significant</w:t>
      </w:r>
      <w:r w:rsidR="00C10B49" w:rsidRPr="0083147A">
        <w:rPr>
          <w:rFonts w:ascii="Book Antiqua" w:hAnsi="Book Antiqua" w:cs="Times New Roman"/>
          <w:color w:val="000000" w:themeColor="text1"/>
        </w:rPr>
        <w:t xml:space="preserve"> predictive factors for the prolongation of OS.</w:t>
      </w:r>
      <w:r w:rsidR="001C19CF" w:rsidRPr="0083147A">
        <w:rPr>
          <w:rFonts w:ascii="Book Antiqua" w:hAnsi="Book Antiqua" w:cs="Times New Roman"/>
          <w:color w:val="000000" w:themeColor="text1"/>
        </w:rPr>
        <w:t xml:space="preserve"> A previous study also indicated that OS was significantly prolonged in the BCLC B group (8.4 </w:t>
      </w:r>
      <w:proofErr w:type="spellStart"/>
      <w:r w:rsidR="0019048C">
        <w:rPr>
          <w:rFonts w:ascii="Book Antiqua" w:eastAsia="SimSun" w:hAnsi="Book Antiqua" w:cs="Times New Roman" w:hint="eastAsia"/>
          <w:color w:val="000000" w:themeColor="text1"/>
          <w:lang w:eastAsia="zh-CN"/>
        </w:rPr>
        <w:t>mo</w:t>
      </w:r>
      <w:proofErr w:type="spellEnd"/>
      <w:r w:rsidR="001C19CF" w:rsidRPr="0083147A">
        <w:rPr>
          <w:rFonts w:ascii="Book Antiqua" w:hAnsi="Book Antiqua" w:cs="Times New Roman"/>
          <w:color w:val="000000" w:themeColor="text1"/>
        </w:rPr>
        <w:t xml:space="preserve"> in BCLC C </w:t>
      </w:r>
      <w:r w:rsidR="0019048C" w:rsidRPr="0019048C">
        <w:rPr>
          <w:rFonts w:ascii="Book Antiqua" w:eastAsia="SimSun" w:hAnsi="Book Antiqua" w:cs="Times New Roman" w:hint="eastAsia"/>
          <w:i/>
          <w:color w:val="000000" w:themeColor="text1"/>
          <w:lang w:eastAsia="zh-CN"/>
        </w:rPr>
        <w:t>vs</w:t>
      </w:r>
      <w:r w:rsidR="001C19CF" w:rsidRPr="0083147A">
        <w:rPr>
          <w:rFonts w:ascii="Book Antiqua" w:hAnsi="Book Antiqua" w:cs="Times New Roman"/>
          <w:color w:val="000000" w:themeColor="text1"/>
        </w:rPr>
        <w:t xml:space="preserve"> 2</w:t>
      </w:r>
      <w:r w:rsidR="0007310C" w:rsidRPr="0083147A">
        <w:rPr>
          <w:rFonts w:ascii="Book Antiqua" w:hAnsi="Book Antiqua" w:cs="Times New Roman"/>
          <w:color w:val="000000" w:themeColor="text1"/>
        </w:rPr>
        <w:t xml:space="preserve">0.6 </w:t>
      </w:r>
      <w:proofErr w:type="spellStart"/>
      <w:r w:rsidR="0019048C">
        <w:rPr>
          <w:rFonts w:ascii="Book Antiqua" w:eastAsia="SimSun" w:hAnsi="Book Antiqua" w:cs="Times New Roman" w:hint="eastAsia"/>
          <w:color w:val="000000" w:themeColor="text1"/>
          <w:lang w:eastAsia="zh-CN"/>
        </w:rPr>
        <w:t>mo</w:t>
      </w:r>
      <w:proofErr w:type="spellEnd"/>
      <w:r w:rsidR="0007310C" w:rsidRPr="0083147A">
        <w:rPr>
          <w:rFonts w:ascii="Book Antiqua" w:hAnsi="Book Antiqua" w:cs="Times New Roman"/>
          <w:color w:val="000000" w:themeColor="text1"/>
        </w:rPr>
        <w:t xml:space="preserve"> in BCLC B patients (</w:t>
      </w:r>
      <w:r w:rsidR="0007310C" w:rsidRPr="0019048C">
        <w:rPr>
          <w:rFonts w:ascii="Book Antiqua" w:hAnsi="Book Antiqua" w:cs="Times New Roman"/>
          <w:i/>
          <w:color w:val="000000" w:themeColor="text1"/>
        </w:rPr>
        <w:t>P</w:t>
      </w:r>
      <w:r w:rsidR="00C63975" w:rsidRPr="0083147A">
        <w:rPr>
          <w:rFonts w:ascii="Book Antiqua" w:hAnsi="Book Antiqua" w:cs="Times New Roman"/>
          <w:color w:val="000000" w:themeColor="text1"/>
        </w:rPr>
        <w:t xml:space="preserve"> </w:t>
      </w:r>
      <w:r w:rsidR="001C19CF" w:rsidRPr="0083147A">
        <w:rPr>
          <w:rFonts w:ascii="Book Antiqua" w:hAnsi="Book Antiqua" w:cs="Times New Roman"/>
          <w:color w:val="000000" w:themeColor="text1"/>
        </w:rPr>
        <w:t>&lt;</w:t>
      </w:r>
      <w:r w:rsidR="00C63975" w:rsidRPr="0083147A">
        <w:rPr>
          <w:rFonts w:ascii="Book Antiqua" w:hAnsi="Book Antiqua" w:cs="Times New Roman"/>
          <w:color w:val="000000" w:themeColor="text1"/>
        </w:rPr>
        <w:t xml:space="preserve"> </w:t>
      </w:r>
      <w:r w:rsidR="001C19CF" w:rsidRPr="0083147A">
        <w:rPr>
          <w:rFonts w:ascii="Book Antiqua" w:hAnsi="Book Antiqua" w:cs="Times New Roman"/>
          <w:color w:val="000000" w:themeColor="text1"/>
        </w:rPr>
        <w:t>0.0001)</w:t>
      </w:r>
      <w:proofErr w:type="gramStart"/>
      <w:r w:rsidR="001C19CF" w:rsidRPr="0083147A">
        <w:rPr>
          <w:rFonts w:ascii="Book Antiqua" w:hAnsi="Book Antiqua" w:cs="Times New Roman"/>
          <w:color w:val="000000" w:themeColor="text1"/>
        </w:rPr>
        <w:t>)</w:t>
      </w:r>
      <w:r w:rsidR="001C19CF" w:rsidRPr="0083147A">
        <w:rPr>
          <w:rFonts w:ascii="Book Antiqua" w:hAnsi="Book Antiqua" w:cs="Times New Roman"/>
          <w:color w:val="000000" w:themeColor="text1"/>
          <w:vertAlign w:val="superscript"/>
        </w:rPr>
        <w:t>[</w:t>
      </w:r>
      <w:proofErr w:type="gramEnd"/>
      <w:r w:rsidR="001C19CF" w:rsidRPr="0083147A">
        <w:rPr>
          <w:rFonts w:ascii="Book Antiqua" w:hAnsi="Book Antiqua" w:cs="Times New Roman"/>
          <w:color w:val="000000" w:themeColor="text1"/>
          <w:vertAlign w:val="superscript"/>
        </w:rPr>
        <w:t>2</w:t>
      </w:r>
      <w:r w:rsidR="002E7C87" w:rsidRPr="0083147A">
        <w:rPr>
          <w:rFonts w:ascii="Book Antiqua" w:hAnsi="Book Antiqua" w:cs="Times New Roman"/>
          <w:color w:val="000000" w:themeColor="text1"/>
          <w:vertAlign w:val="superscript"/>
        </w:rPr>
        <w:t>3</w:t>
      </w:r>
      <w:r w:rsidR="001C19CF" w:rsidRPr="0083147A">
        <w:rPr>
          <w:rFonts w:ascii="Book Antiqua" w:hAnsi="Book Antiqua" w:cs="Times New Roman"/>
          <w:color w:val="000000" w:themeColor="text1"/>
          <w:vertAlign w:val="superscript"/>
        </w:rPr>
        <w:t>]</w:t>
      </w:r>
      <w:r w:rsidR="001C19CF" w:rsidRPr="0083147A">
        <w:rPr>
          <w:rFonts w:ascii="Book Antiqua" w:hAnsi="Book Antiqua" w:cs="Times New Roman"/>
          <w:color w:val="000000" w:themeColor="text1"/>
        </w:rPr>
        <w:t xml:space="preserve">. In </w:t>
      </w:r>
      <w:r w:rsidR="008C59FC" w:rsidRPr="0083147A">
        <w:rPr>
          <w:rFonts w:ascii="Book Antiqua" w:hAnsi="Book Antiqua" w:cs="Times New Roman"/>
          <w:color w:val="000000" w:themeColor="text1"/>
        </w:rPr>
        <w:t>the present</w:t>
      </w:r>
      <w:r w:rsidR="001C19CF" w:rsidRPr="0083147A">
        <w:rPr>
          <w:rFonts w:ascii="Book Antiqua" w:hAnsi="Book Antiqua" w:cs="Times New Roman"/>
          <w:color w:val="000000" w:themeColor="text1"/>
        </w:rPr>
        <w:t xml:space="preserve"> study, all patients</w:t>
      </w:r>
      <w:r w:rsidR="0007310C" w:rsidRPr="0083147A">
        <w:rPr>
          <w:rFonts w:ascii="Book Antiqua" w:hAnsi="Book Antiqua" w:cs="Times New Roman"/>
          <w:color w:val="000000" w:themeColor="text1"/>
        </w:rPr>
        <w:t xml:space="preserve"> previously underwent TACE</w:t>
      </w:r>
      <w:r w:rsidR="008C59FC" w:rsidRPr="0083147A">
        <w:rPr>
          <w:rFonts w:ascii="Book Antiqua" w:hAnsi="Book Antiqua" w:cs="Times New Roman"/>
          <w:color w:val="000000" w:themeColor="text1"/>
        </w:rPr>
        <w:t>,</w:t>
      </w:r>
      <w:r w:rsidR="001C19CF" w:rsidRPr="0083147A">
        <w:rPr>
          <w:rFonts w:ascii="Book Antiqua" w:hAnsi="Book Antiqua" w:cs="Times New Roman"/>
          <w:color w:val="000000" w:themeColor="text1"/>
        </w:rPr>
        <w:t xml:space="preserve"> </w:t>
      </w:r>
      <w:r w:rsidR="008C59FC" w:rsidRPr="0083147A">
        <w:rPr>
          <w:rFonts w:ascii="Book Antiqua" w:hAnsi="Book Antiqua" w:cs="Times New Roman"/>
          <w:color w:val="000000" w:themeColor="text1"/>
        </w:rPr>
        <w:t>except for</w:t>
      </w:r>
      <w:r w:rsidR="008B04B3" w:rsidRPr="0083147A">
        <w:rPr>
          <w:rFonts w:ascii="Book Antiqua" w:hAnsi="Book Antiqua" w:cs="Times New Roman"/>
          <w:color w:val="000000" w:themeColor="text1"/>
        </w:rPr>
        <w:t xml:space="preserve"> one</w:t>
      </w:r>
      <w:r w:rsidR="0007310C" w:rsidRPr="0083147A">
        <w:rPr>
          <w:rFonts w:ascii="Book Antiqua" w:hAnsi="Book Antiqua" w:cs="Times New Roman"/>
          <w:color w:val="000000" w:themeColor="text1"/>
        </w:rPr>
        <w:t xml:space="preserve"> patient</w:t>
      </w:r>
      <w:r w:rsidR="008C59FC" w:rsidRPr="0083147A">
        <w:rPr>
          <w:rFonts w:ascii="Book Antiqua" w:hAnsi="Book Antiqua" w:cs="Times New Roman"/>
          <w:color w:val="000000" w:themeColor="text1"/>
        </w:rPr>
        <w:t>,</w:t>
      </w:r>
      <w:r w:rsidR="001C19CF" w:rsidRPr="0083147A">
        <w:rPr>
          <w:rFonts w:ascii="Book Antiqua" w:hAnsi="Book Antiqua" w:cs="Times New Roman"/>
          <w:color w:val="000000" w:themeColor="text1"/>
        </w:rPr>
        <w:t xml:space="preserve"> in the BCLC B group (14/15: 93%). </w:t>
      </w:r>
      <w:r w:rsidR="008C59FC" w:rsidRPr="0083147A">
        <w:rPr>
          <w:rFonts w:ascii="Book Antiqua" w:hAnsi="Book Antiqua" w:cs="Times New Roman"/>
          <w:color w:val="000000" w:themeColor="text1"/>
        </w:rPr>
        <w:t>Although t</w:t>
      </w:r>
      <w:r w:rsidR="001C19CF" w:rsidRPr="0083147A">
        <w:rPr>
          <w:rFonts w:ascii="Book Antiqua" w:hAnsi="Book Antiqua" w:cs="Times New Roman"/>
          <w:color w:val="000000" w:themeColor="text1"/>
        </w:rPr>
        <w:t>he introduction of sorafenib for non-responders to TACE may be a good option, the timing of</w:t>
      </w:r>
      <w:r w:rsidR="008C59FC" w:rsidRPr="0083147A">
        <w:rPr>
          <w:rFonts w:ascii="Book Antiqua" w:hAnsi="Book Antiqua" w:cs="Times New Roman"/>
          <w:color w:val="000000" w:themeColor="text1"/>
        </w:rPr>
        <w:t xml:space="preserve"> its</w:t>
      </w:r>
      <w:r w:rsidR="001C19CF" w:rsidRPr="0083147A">
        <w:rPr>
          <w:rFonts w:ascii="Book Antiqua" w:hAnsi="Book Antiqua" w:cs="Times New Roman"/>
          <w:color w:val="000000" w:themeColor="text1"/>
        </w:rPr>
        <w:t xml:space="preserve"> introduction </w:t>
      </w:r>
      <w:r w:rsidR="008C59FC" w:rsidRPr="0083147A">
        <w:rPr>
          <w:rFonts w:ascii="Book Antiqua" w:hAnsi="Book Antiqua" w:cs="Times New Roman"/>
          <w:color w:val="000000" w:themeColor="text1"/>
        </w:rPr>
        <w:t>has not yet been established</w:t>
      </w:r>
      <w:r w:rsidR="001C19CF" w:rsidRPr="0083147A">
        <w:rPr>
          <w:rFonts w:ascii="Book Antiqua" w:hAnsi="Book Antiqua" w:cs="Times New Roman"/>
          <w:color w:val="000000" w:themeColor="text1"/>
        </w:rPr>
        <w:t>.</w:t>
      </w:r>
      <w:r w:rsidR="00D00DA8" w:rsidRPr="0083147A">
        <w:rPr>
          <w:rFonts w:ascii="Book Antiqua" w:hAnsi="Book Antiqua" w:cs="Times New Roman"/>
          <w:color w:val="000000" w:themeColor="text1"/>
          <w:u w:val="single"/>
        </w:rPr>
        <w:t xml:space="preserve"> </w:t>
      </w:r>
      <w:r w:rsidR="0010296D" w:rsidRPr="0083147A">
        <w:rPr>
          <w:rFonts w:ascii="Book Antiqua" w:hAnsi="Book Antiqua" w:cs="Times New Roman"/>
          <w:color w:val="000000" w:themeColor="text1"/>
        </w:rPr>
        <w:t xml:space="preserve">Furthermore, a study reported that the combination of sorafenib and TACE improved the </w:t>
      </w:r>
      <w:proofErr w:type="gramStart"/>
      <w:r w:rsidR="0010296D" w:rsidRPr="0083147A">
        <w:rPr>
          <w:rFonts w:ascii="Book Antiqua" w:hAnsi="Book Antiqua" w:cs="Times New Roman"/>
          <w:color w:val="000000" w:themeColor="text1"/>
        </w:rPr>
        <w:t>TTP</w:t>
      </w:r>
      <w:r w:rsidR="0010296D" w:rsidRPr="0083147A">
        <w:rPr>
          <w:rFonts w:ascii="Book Antiqua" w:hAnsi="Book Antiqua" w:cs="Times New Roman"/>
          <w:color w:val="000000" w:themeColor="text1"/>
          <w:vertAlign w:val="superscript"/>
        </w:rPr>
        <w:t>[</w:t>
      </w:r>
      <w:proofErr w:type="gramEnd"/>
      <w:r w:rsidR="0010296D" w:rsidRPr="0083147A">
        <w:rPr>
          <w:rFonts w:ascii="Book Antiqua" w:hAnsi="Book Antiqua" w:cs="Times New Roman"/>
          <w:color w:val="000000" w:themeColor="text1"/>
          <w:vertAlign w:val="superscript"/>
        </w:rPr>
        <w:t>24]</w:t>
      </w:r>
      <w:r w:rsidR="0010296D" w:rsidRPr="0083147A">
        <w:rPr>
          <w:rFonts w:ascii="Book Antiqua" w:hAnsi="Book Antiqua" w:cs="Times New Roman"/>
          <w:color w:val="000000" w:themeColor="text1"/>
        </w:rPr>
        <w:t xml:space="preserve">. We did not combine sorafenib therapy with other treatments, such as TACE; a surrogate marker for an improvement in OS was obtained by monotherapy with sorafenib. We established a double-check system consisting of primary outpatient care by pharmacists specializing in cancer treatment and secondary </w:t>
      </w:r>
      <w:r w:rsidR="0010296D" w:rsidRPr="0083147A">
        <w:rPr>
          <w:rFonts w:ascii="Book Antiqua" w:hAnsi="Book Antiqua" w:cs="Times New Roman"/>
          <w:color w:val="000000" w:themeColor="text1"/>
        </w:rPr>
        <w:lastRenderedPageBreak/>
        <w:t xml:space="preserve">outpatient care by physicians. </w:t>
      </w:r>
      <w:r w:rsidR="00362A9D" w:rsidRPr="0083147A">
        <w:rPr>
          <w:rFonts w:ascii="Book Antiqua" w:hAnsi="Book Antiqua" w:cs="Times New Roman"/>
          <w:color w:val="000000" w:themeColor="text1"/>
        </w:rPr>
        <w:t>The findings</w:t>
      </w:r>
      <w:r w:rsidR="0010296D" w:rsidRPr="0083147A">
        <w:rPr>
          <w:rFonts w:ascii="Book Antiqua" w:hAnsi="Book Antiqua" w:cs="Times New Roman"/>
          <w:color w:val="000000" w:themeColor="text1"/>
        </w:rPr>
        <w:t xml:space="preserve"> indicated that MKI-associated HFSR was a surrogate marker for OS </w:t>
      </w:r>
      <w:r w:rsidR="002E0DCF" w:rsidRPr="0083147A">
        <w:rPr>
          <w:rFonts w:ascii="Book Antiqua" w:hAnsi="Book Antiqua" w:cs="Times New Roman"/>
          <w:color w:val="000000" w:themeColor="text1"/>
        </w:rPr>
        <w:t xml:space="preserve">and its </w:t>
      </w:r>
      <w:r w:rsidR="0010296D" w:rsidRPr="0083147A">
        <w:rPr>
          <w:rFonts w:ascii="Book Antiqua" w:hAnsi="Book Antiqua" w:cs="Times New Roman"/>
          <w:color w:val="000000" w:themeColor="text1"/>
        </w:rPr>
        <w:t xml:space="preserve">improvement </w:t>
      </w:r>
      <w:r w:rsidR="002E0DCF" w:rsidRPr="0083147A">
        <w:rPr>
          <w:rFonts w:ascii="Book Antiqua" w:hAnsi="Book Antiqua" w:cs="Times New Roman"/>
          <w:color w:val="000000" w:themeColor="text1"/>
        </w:rPr>
        <w:t>with</w:t>
      </w:r>
      <w:r w:rsidR="0010296D" w:rsidRPr="0083147A">
        <w:rPr>
          <w:rFonts w:ascii="Book Antiqua" w:hAnsi="Book Antiqua" w:cs="Times New Roman"/>
          <w:color w:val="000000" w:themeColor="text1"/>
        </w:rPr>
        <w:t xml:space="preserve"> adherence.</w:t>
      </w:r>
    </w:p>
    <w:p w:rsidR="001F2C5F" w:rsidRPr="0083147A" w:rsidRDefault="008C59FC" w:rsidP="00946207">
      <w:pPr>
        <w:spacing w:line="360" w:lineRule="auto"/>
        <w:ind w:firstLine="480"/>
        <w:rPr>
          <w:rFonts w:ascii="Book Antiqua" w:hAnsi="Book Antiqua" w:cs="Times New Roman"/>
          <w:color w:val="000000" w:themeColor="text1"/>
        </w:rPr>
      </w:pPr>
      <w:r w:rsidRPr="0083147A">
        <w:rPr>
          <w:rFonts w:ascii="Book Antiqua" w:hAnsi="Book Antiqua" w:cs="Times New Roman"/>
          <w:color w:val="000000" w:themeColor="text1"/>
        </w:rPr>
        <w:t>Regarding</w:t>
      </w:r>
      <w:r w:rsidR="001C19CF" w:rsidRPr="0083147A">
        <w:rPr>
          <w:rFonts w:ascii="Book Antiqua" w:hAnsi="Book Antiqua" w:cs="Times New Roman"/>
          <w:color w:val="000000" w:themeColor="text1"/>
        </w:rPr>
        <w:t xml:space="preserve"> </w:t>
      </w:r>
      <w:r w:rsidR="0007310C" w:rsidRPr="0083147A">
        <w:rPr>
          <w:rFonts w:ascii="Book Antiqua" w:hAnsi="Book Antiqua" w:cs="Times New Roman"/>
          <w:color w:val="000000" w:themeColor="text1"/>
        </w:rPr>
        <w:t xml:space="preserve">the </w:t>
      </w:r>
      <w:r w:rsidR="001C19CF" w:rsidRPr="0083147A">
        <w:rPr>
          <w:rFonts w:ascii="Book Antiqua" w:hAnsi="Book Antiqua" w:cs="Times New Roman"/>
          <w:color w:val="000000" w:themeColor="text1"/>
        </w:rPr>
        <w:t>TTF,</w:t>
      </w:r>
      <w:r w:rsidRPr="0083147A">
        <w:rPr>
          <w:rFonts w:ascii="Book Antiqua" w:hAnsi="Book Antiqua" w:cs="Times New Roman"/>
          <w:color w:val="000000" w:themeColor="text1"/>
        </w:rPr>
        <w:t xml:space="preserve"> the</w:t>
      </w:r>
      <w:r w:rsidR="001C19CF" w:rsidRPr="0083147A">
        <w:rPr>
          <w:rFonts w:ascii="Book Antiqua" w:hAnsi="Book Antiqua" w:cs="Times New Roman"/>
          <w:color w:val="000000" w:themeColor="text1"/>
        </w:rPr>
        <w:t xml:space="preserve"> multivariate analysis</w:t>
      </w:r>
      <w:r w:rsidR="0084631A" w:rsidRPr="0083147A">
        <w:rPr>
          <w:rFonts w:ascii="Book Antiqua" w:hAnsi="Book Antiqua" w:cs="Times New Roman"/>
          <w:color w:val="000000" w:themeColor="text1"/>
        </w:rPr>
        <w:t xml:space="preserve"> showed that intervention by pharmacists and MK</w:t>
      </w:r>
      <w:r w:rsidR="00FB1C0F" w:rsidRPr="0083147A">
        <w:rPr>
          <w:rFonts w:ascii="Book Antiqua" w:hAnsi="Book Antiqua" w:cs="Times New Roman"/>
          <w:color w:val="000000" w:themeColor="text1"/>
        </w:rPr>
        <w:t xml:space="preserve">I-associated </w:t>
      </w:r>
      <w:r w:rsidR="00640483" w:rsidRPr="0083147A">
        <w:rPr>
          <w:rFonts w:ascii="Book Antiqua" w:hAnsi="Book Antiqua" w:cs="Times New Roman"/>
          <w:color w:val="000000" w:themeColor="text1"/>
        </w:rPr>
        <w:t>HFSR</w:t>
      </w:r>
      <w:r w:rsidR="00FB1C0F" w:rsidRPr="0083147A">
        <w:rPr>
          <w:rFonts w:ascii="Book Antiqua" w:hAnsi="Book Antiqua" w:cs="Times New Roman"/>
          <w:color w:val="000000" w:themeColor="text1"/>
        </w:rPr>
        <w:t xml:space="preserve"> </w:t>
      </w:r>
      <w:r w:rsidR="00C1315B" w:rsidRPr="0083147A">
        <w:rPr>
          <w:rFonts w:ascii="Book Antiqua" w:hAnsi="Book Antiqua" w:cs="Times New Roman"/>
          <w:color w:val="000000" w:themeColor="text1"/>
        </w:rPr>
        <w:t>significant</w:t>
      </w:r>
      <w:r w:rsidR="00FB1C0F" w:rsidRPr="0083147A">
        <w:rPr>
          <w:rFonts w:ascii="Book Antiqua" w:hAnsi="Book Antiqua" w:cs="Times New Roman"/>
          <w:color w:val="000000" w:themeColor="text1"/>
        </w:rPr>
        <w:t>ly extended</w:t>
      </w:r>
      <w:r w:rsidRPr="0083147A">
        <w:rPr>
          <w:rFonts w:ascii="Book Antiqua" w:hAnsi="Book Antiqua" w:cs="Times New Roman"/>
          <w:color w:val="000000" w:themeColor="text1"/>
        </w:rPr>
        <w:t xml:space="preserve"> </w:t>
      </w:r>
      <w:r w:rsidR="00FB1C0F" w:rsidRPr="0083147A">
        <w:rPr>
          <w:rFonts w:ascii="Book Antiqua" w:hAnsi="Book Antiqua" w:cs="Times New Roman"/>
          <w:color w:val="000000" w:themeColor="text1"/>
        </w:rPr>
        <w:t>the treatment duration</w:t>
      </w:r>
      <w:r w:rsidR="0084631A" w:rsidRPr="0083147A">
        <w:rPr>
          <w:rFonts w:ascii="Book Antiqua" w:hAnsi="Book Antiqua" w:cs="Times New Roman"/>
          <w:color w:val="000000" w:themeColor="text1"/>
        </w:rPr>
        <w:t xml:space="preserve">. </w:t>
      </w:r>
      <w:r w:rsidR="001F2C5F" w:rsidRPr="0083147A">
        <w:rPr>
          <w:rFonts w:ascii="Book Antiqua" w:hAnsi="Book Antiqua" w:cs="Times New Roman"/>
          <w:color w:val="000000" w:themeColor="text1"/>
        </w:rPr>
        <w:t>This</w:t>
      </w:r>
      <w:r w:rsidR="0007310C" w:rsidRPr="0083147A">
        <w:rPr>
          <w:rFonts w:ascii="Book Antiqua" w:hAnsi="Book Antiqua" w:cs="Times New Roman"/>
          <w:color w:val="000000" w:themeColor="text1"/>
        </w:rPr>
        <w:t xml:space="preserve"> finding i</w:t>
      </w:r>
      <w:r w:rsidR="001F2C5F" w:rsidRPr="0083147A">
        <w:rPr>
          <w:rFonts w:ascii="Book Antiqua" w:hAnsi="Book Antiqua" w:cs="Times New Roman"/>
          <w:color w:val="000000" w:themeColor="text1"/>
        </w:rPr>
        <w:t xml:space="preserve">s consistent with the </w:t>
      </w:r>
      <w:r w:rsidRPr="0083147A">
        <w:rPr>
          <w:rFonts w:ascii="Book Antiqua" w:hAnsi="Book Antiqua" w:cs="Times New Roman"/>
          <w:color w:val="000000" w:themeColor="text1"/>
        </w:rPr>
        <w:t xml:space="preserve">findings of a </w:t>
      </w:r>
      <w:r w:rsidR="00C63975" w:rsidRPr="0083147A">
        <w:rPr>
          <w:rFonts w:ascii="Book Antiqua" w:hAnsi="Book Antiqua" w:cs="Times New Roman"/>
          <w:color w:val="000000" w:themeColor="text1"/>
        </w:rPr>
        <w:t xml:space="preserve">previous </w:t>
      </w:r>
      <w:r w:rsidRPr="0083147A">
        <w:rPr>
          <w:rFonts w:ascii="Book Antiqua" w:hAnsi="Book Antiqua" w:cs="Times New Roman"/>
          <w:color w:val="000000" w:themeColor="text1"/>
        </w:rPr>
        <w:t xml:space="preserve">study </w:t>
      </w:r>
      <w:r w:rsidR="0007310C" w:rsidRPr="0083147A">
        <w:rPr>
          <w:rFonts w:ascii="Book Antiqua" w:hAnsi="Book Antiqua" w:cs="Times New Roman"/>
          <w:color w:val="000000" w:themeColor="text1"/>
        </w:rPr>
        <w:t>indicating</w:t>
      </w:r>
      <w:r w:rsidR="00C63975" w:rsidRPr="0083147A">
        <w:rPr>
          <w:rFonts w:ascii="Book Antiqua" w:hAnsi="Book Antiqua" w:cs="Times New Roman"/>
          <w:color w:val="000000" w:themeColor="text1"/>
        </w:rPr>
        <w:t xml:space="preserve"> that intervention by nurses improved the efficacy of sorafenib </w:t>
      </w:r>
      <w:proofErr w:type="gramStart"/>
      <w:r w:rsidR="00C63975" w:rsidRPr="0083147A">
        <w:rPr>
          <w:rFonts w:ascii="Book Antiqua" w:hAnsi="Book Antiqua" w:cs="Times New Roman"/>
          <w:color w:val="000000" w:themeColor="text1"/>
        </w:rPr>
        <w:t>treatment</w:t>
      </w:r>
      <w:r w:rsidR="001F2C5F" w:rsidRPr="0083147A">
        <w:rPr>
          <w:rFonts w:ascii="Book Antiqua" w:hAnsi="Book Antiqua" w:cs="Times New Roman"/>
          <w:color w:val="000000" w:themeColor="text1"/>
          <w:vertAlign w:val="superscript"/>
        </w:rPr>
        <w:t>[</w:t>
      </w:r>
      <w:proofErr w:type="gramEnd"/>
      <w:r w:rsidR="001F2C5F" w:rsidRPr="0083147A">
        <w:rPr>
          <w:rFonts w:ascii="Book Antiqua" w:hAnsi="Book Antiqua" w:cs="Times New Roman"/>
          <w:color w:val="000000" w:themeColor="text1"/>
          <w:vertAlign w:val="superscript"/>
        </w:rPr>
        <w:t>13]</w:t>
      </w:r>
      <w:r w:rsidR="001F2C5F" w:rsidRPr="0083147A">
        <w:rPr>
          <w:rFonts w:ascii="Book Antiqua" w:hAnsi="Book Antiqua" w:cs="Times New Roman"/>
          <w:color w:val="000000" w:themeColor="text1"/>
        </w:rPr>
        <w:t>.</w:t>
      </w:r>
    </w:p>
    <w:p w:rsidR="00962C62" w:rsidRPr="0083147A" w:rsidRDefault="001F2C5F" w:rsidP="00946207">
      <w:pPr>
        <w:spacing w:line="360" w:lineRule="auto"/>
        <w:ind w:firstLine="480"/>
        <w:rPr>
          <w:rFonts w:ascii="Book Antiqua" w:hAnsi="Book Antiqua" w:cs="Times New Roman"/>
          <w:color w:val="000000" w:themeColor="text1"/>
        </w:rPr>
      </w:pPr>
      <w:r w:rsidRPr="0083147A">
        <w:rPr>
          <w:rFonts w:ascii="Book Antiqua" w:hAnsi="Book Antiqua" w:cs="Times New Roman"/>
          <w:color w:val="000000" w:themeColor="text1"/>
        </w:rPr>
        <w:t>Sorafenib</w:t>
      </w:r>
      <w:r w:rsidR="008C59FC" w:rsidRPr="0083147A">
        <w:rPr>
          <w:rFonts w:ascii="Book Antiqua" w:hAnsi="Book Antiqua" w:cs="Times New Roman"/>
          <w:color w:val="000000" w:themeColor="text1"/>
        </w:rPr>
        <w:t xml:space="preserve"> is a</w:t>
      </w:r>
      <w:r w:rsidR="0007310C" w:rsidRPr="0083147A">
        <w:rPr>
          <w:rFonts w:ascii="Book Antiqua" w:hAnsi="Book Antiqua" w:cs="Times New Roman"/>
          <w:color w:val="000000" w:themeColor="text1"/>
        </w:rPr>
        <w:t>n</w:t>
      </w:r>
      <w:r w:rsidR="008C59FC" w:rsidRPr="0083147A">
        <w:rPr>
          <w:rFonts w:ascii="Book Antiqua" w:hAnsi="Book Antiqua" w:cs="Times New Roman"/>
          <w:color w:val="000000" w:themeColor="text1"/>
        </w:rPr>
        <w:t xml:space="preserve"> </w:t>
      </w:r>
      <w:r w:rsidR="0007310C" w:rsidRPr="0083147A">
        <w:rPr>
          <w:rFonts w:ascii="Book Antiqua" w:hAnsi="Book Antiqua" w:cs="Times New Roman"/>
          <w:color w:val="000000" w:themeColor="text1"/>
        </w:rPr>
        <w:t>MKI</w:t>
      </w:r>
      <w:r w:rsidR="00375470" w:rsidRPr="0083147A">
        <w:rPr>
          <w:rFonts w:ascii="Book Antiqua" w:hAnsi="Book Antiqua" w:cs="Times New Roman"/>
          <w:color w:val="000000" w:themeColor="text1"/>
        </w:rPr>
        <w:t xml:space="preserve"> </w:t>
      </w:r>
      <w:r w:rsidR="00F41F3A" w:rsidRPr="0083147A">
        <w:rPr>
          <w:rFonts w:ascii="Book Antiqua" w:hAnsi="Book Antiqua" w:cs="Times New Roman"/>
          <w:color w:val="000000" w:themeColor="text1"/>
        </w:rPr>
        <w:t xml:space="preserve">with a high incidence of </w:t>
      </w:r>
      <w:r w:rsidR="008C59FC" w:rsidRPr="0083147A">
        <w:rPr>
          <w:rFonts w:ascii="Book Antiqua" w:hAnsi="Book Antiqua" w:cs="Times New Roman"/>
          <w:color w:val="000000" w:themeColor="text1"/>
        </w:rPr>
        <w:t>AEs</w:t>
      </w:r>
      <w:r w:rsidR="00F41F3A" w:rsidRPr="0083147A">
        <w:rPr>
          <w:rFonts w:ascii="Book Antiqua" w:hAnsi="Book Antiqua" w:cs="Times New Roman"/>
          <w:color w:val="000000" w:themeColor="text1"/>
        </w:rPr>
        <w:t>.</w:t>
      </w:r>
      <w:r w:rsidR="00375470" w:rsidRPr="0083147A">
        <w:rPr>
          <w:rFonts w:ascii="Book Antiqua" w:hAnsi="Book Antiqua" w:cs="Times New Roman"/>
          <w:color w:val="000000" w:themeColor="text1"/>
        </w:rPr>
        <w:t xml:space="preserve"> Primary </w:t>
      </w:r>
      <w:r w:rsidR="008C59FC" w:rsidRPr="0083147A">
        <w:rPr>
          <w:rFonts w:ascii="Book Antiqua" w:hAnsi="Book Antiqua" w:cs="Times New Roman"/>
          <w:color w:val="000000" w:themeColor="text1"/>
        </w:rPr>
        <w:t>AEs</w:t>
      </w:r>
      <w:r w:rsidR="00375470" w:rsidRPr="0083147A">
        <w:rPr>
          <w:rFonts w:ascii="Book Antiqua" w:hAnsi="Book Antiqua" w:cs="Times New Roman"/>
          <w:color w:val="000000" w:themeColor="text1"/>
        </w:rPr>
        <w:t xml:space="preserve"> include </w:t>
      </w:r>
      <w:r w:rsidR="00640483" w:rsidRPr="0083147A">
        <w:rPr>
          <w:rFonts w:ascii="Book Antiqua" w:hAnsi="Book Antiqua" w:cs="Times New Roman"/>
          <w:color w:val="000000" w:themeColor="text1"/>
        </w:rPr>
        <w:t>HFSR</w:t>
      </w:r>
      <w:r w:rsidR="00375470" w:rsidRPr="0083147A">
        <w:rPr>
          <w:rFonts w:ascii="Book Antiqua" w:hAnsi="Book Antiqua" w:cs="Times New Roman"/>
          <w:color w:val="000000" w:themeColor="text1"/>
        </w:rPr>
        <w:t xml:space="preserve">, diarrhea, hypertension, nausea, and hemorrhage. </w:t>
      </w:r>
      <w:r w:rsidR="00640483" w:rsidRPr="0083147A">
        <w:rPr>
          <w:rFonts w:ascii="Book Antiqua" w:hAnsi="Book Antiqua" w:cs="Times New Roman"/>
          <w:color w:val="000000" w:themeColor="text1"/>
        </w:rPr>
        <w:t>MKI-associated HFSR</w:t>
      </w:r>
      <w:r w:rsidR="008C59FC" w:rsidRPr="0083147A">
        <w:rPr>
          <w:rFonts w:ascii="Book Antiqua" w:hAnsi="Book Antiqua" w:cs="Times New Roman"/>
          <w:color w:val="000000" w:themeColor="text1"/>
        </w:rPr>
        <w:t xml:space="preserve"> occur</w:t>
      </w:r>
      <w:r w:rsidR="000B7667" w:rsidRPr="0083147A">
        <w:rPr>
          <w:rFonts w:ascii="Book Antiqua" w:hAnsi="Book Antiqua" w:cs="Times New Roman"/>
          <w:color w:val="000000" w:themeColor="text1"/>
        </w:rPr>
        <w:t>s</w:t>
      </w:r>
      <w:r w:rsidR="00375470" w:rsidRPr="0083147A">
        <w:rPr>
          <w:rFonts w:ascii="Book Antiqua" w:hAnsi="Book Antiqua" w:cs="Times New Roman"/>
          <w:color w:val="000000" w:themeColor="text1"/>
        </w:rPr>
        <w:t xml:space="preserve"> in approximately 1/3 of </w:t>
      </w:r>
      <w:proofErr w:type="gramStart"/>
      <w:r w:rsidR="00375470" w:rsidRPr="0083147A">
        <w:rPr>
          <w:rFonts w:ascii="Book Antiqua" w:hAnsi="Book Antiqua" w:cs="Times New Roman"/>
          <w:color w:val="000000" w:themeColor="text1"/>
        </w:rPr>
        <w:t>patients</w:t>
      </w:r>
      <w:r w:rsidR="000B7667" w:rsidRPr="0083147A">
        <w:rPr>
          <w:rFonts w:ascii="Book Antiqua" w:hAnsi="Book Antiqua" w:cs="Times New Roman"/>
          <w:color w:val="000000" w:themeColor="text1"/>
          <w:vertAlign w:val="superscript"/>
        </w:rPr>
        <w:t>[</w:t>
      </w:r>
      <w:proofErr w:type="gramEnd"/>
      <w:r w:rsidR="000B7667" w:rsidRPr="0083147A">
        <w:rPr>
          <w:rFonts w:ascii="Book Antiqua" w:hAnsi="Book Antiqua" w:cs="Times New Roman"/>
          <w:color w:val="000000" w:themeColor="text1"/>
          <w:vertAlign w:val="superscript"/>
        </w:rPr>
        <w:t>2</w:t>
      </w:r>
      <w:r w:rsidR="00425DBC" w:rsidRPr="0083147A">
        <w:rPr>
          <w:rFonts w:ascii="Book Antiqua" w:hAnsi="Book Antiqua" w:cs="Times New Roman"/>
          <w:color w:val="000000" w:themeColor="text1"/>
          <w:vertAlign w:val="superscript"/>
        </w:rPr>
        <w:t>5</w:t>
      </w:r>
      <w:r w:rsidR="000B7667" w:rsidRPr="0083147A">
        <w:rPr>
          <w:rFonts w:ascii="Book Antiqua" w:hAnsi="Book Antiqua" w:cs="Times New Roman"/>
          <w:color w:val="000000" w:themeColor="text1"/>
          <w:vertAlign w:val="superscript"/>
        </w:rPr>
        <w:t>,</w:t>
      </w:r>
      <w:r w:rsidR="00375470" w:rsidRPr="0083147A">
        <w:rPr>
          <w:rFonts w:ascii="Book Antiqua" w:hAnsi="Book Antiqua" w:cs="Times New Roman"/>
          <w:color w:val="000000" w:themeColor="text1"/>
          <w:vertAlign w:val="superscript"/>
        </w:rPr>
        <w:t>2</w:t>
      </w:r>
      <w:r w:rsidR="00425DBC" w:rsidRPr="0083147A">
        <w:rPr>
          <w:rFonts w:ascii="Book Antiqua" w:hAnsi="Book Antiqua" w:cs="Times New Roman"/>
          <w:color w:val="000000" w:themeColor="text1"/>
          <w:vertAlign w:val="superscript"/>
        </w:rPr>
        <w:t>6</w:t>
      </w:r>
      <w:r w:rsidR="00375470" w:rsidRPr="0083147A">
        <w:rPr>
          <w:rFonts w:ascii="Book Antiqua" w:hAnsi="Book Antiqua" w:cs="Times New Roman"/>
          <w:color w:val="000000" w:themeColor="text1"/>
          <w:vertAlign w:val="superscript"/>
        </w:rPr>
        <w:t>]</w:t>
      </w:r>
      <w:r w:rsidR="00375470" w:rsidRPr="0083147A">
        <w:rPr>
          <w:rFonts w:ascii="Book Antiqua" w:hAnsi="Book Antiqua" w:cs="Times New Roman"/>
          <w:color w:val="000000" w:themeColor="text1"/>
        </w:rPr>
        <w:t xml:space="preserve">. </w:t>
      </w:r>
      <w:r w:rsidR="008C59FC" w:rsidRPr="0083147A">
        <w:rPr>
          <w:rFonts w:ascii="Book Antiqua" w:hAnsi="Book Antiqua" w:cs="Times New Roman"/>
          <w:color w:val="000000" w:themeColor="text1"/>
        </w:rPr>
        <w:t>Furthermore</w:t>
      </w:r>
      <w:r w:rsidR="00375470" w:rsidRPr="0083147A">
        <w:rPr>
          <w:rFonts w:ascii="Book Antiqua" w:hAnsi="Book Antiqua" w:cs="Times New Roman"/>
          <w:color w:val="000000" w:themeColor="text1"/>
        </w:rPr>
        <w:t xml:space="preserve">, MKI-associated </w:t>
      </w:r>
      <w:r w:rsidR="00640483" w:rsidRPr="0083147A">
        <w:rPr>
          <w:rFonts w:ascii="Book Antiqua" w:hAnsi="Book Antiqua" w:cs="Times New Roman"/>
          <w:color w:val="000000" w:themeColor="text1"/>
        </w:rPr>
        <w:t>HFSR</w:t>
      </w:r>
      <w:r w:rsidR="001A1680" w:rsidRPr="0083147A">
        <w:rPr>
          <w:rFonts w:ascii="Book Antiqua" w:hAnsi="Book Antiqua" w:cs="Times New Roman"/>
          <w:color w:val="000000" w:themeColor="text1"/>
        </w:rPr>
        <w:t xml:space="preserve"> differ</w:t>
      </w:r>
      <w:r w:rsidR="000B3CC6" w:rsidRPr="0083147A">
        <w:rPr>
          <w:rFonts w:ascii="Book Antiqua" w:hAnsi="Book Antiqua" w:cs="Times New Roman"/>
          <w:color w:val="000000" w:themeColor="text1"/>
        </w:rPr>
        <w:t>s</w:t>
      </w:r>
      <w:r w:rsidR="00375470" w:rsidRPr="0083147A">
        <w:rPr>
          <w:rFonts w:ascii="Book Antiqua" w:hAnsi="Book Antiqua" w:cs="Times New Roman"/>
          <w:color w:val="000000" w:themeColor="text1"/>
        </w:rPr>
        <w:t xml:space="preserve"> from </w:t>
      </w:r>
      <w:r w:rsidR="001A1680" w:rsidRPr="0083147A">
        <w:rPr>
          <w:rFonts w:ascii="Book Antiqua" w:hAnsi="Book Antiqua" w:cs="Times New Roman"/>
          <w:color w:val="000000" w:themeColor="text1"/>
        </w:rPr>
        <w:t xml:space="preserve">previously reported </w:t>
      </w:r>
      <w:r w:rsidR="00640483" w:rsidRPr="0083147A">
        <w:rPr>
          <w:rFonts w:ascii="Book Antiqua" w:hAnsi="Book Antiqua" w:cs="Times New Roman"/>
          <w:color w:val="000000" w:themeColor="text1"/>
        </w:rPr>
        <w:t>HFSR</w:t>
      </w:r>
      <w:r w:rsidR="0007310C" w:rsidRPr="0083147A">
        <w:rPr>
          <w:rFonts w:ascii="Book Antiqua" w:hAnsi="Book Antiqua" w:cs="Times New Roman"/>
          <w:color w:val="000000" w:themeColor="text1"/>
        </w:rPr>
        <w:t xml:space="preserve"> induced by chemotherapy</w:t>
      </w:r>
      <w:r w:rsidR="00375470" w:rsidRPr="0083147A">
        <w:rPr>
          <w:rFonts w:ascii="Book Antiqua" w:hAnsi="Book Antiqua" w:cs="Times New Roman"/>
          <w:color w:val="000000" w:themeColor="text1"/>
        </w:rPr>
        <w:t xml:space="preserve"> (</w:t>
      </w:r>
      <w:r w:rsidR="00375470" w:rsidRPr="000868A3">
        <w:rPr>
          <w:rFonts w:ascii="Book Antiqua" w:hAnsi="Book Antiqua" w:cs="Times New Roman"/>
          <w:i/>
          <w:color w:val="000000" w:themeColor="text1"/>
        </w:rPr>
        <w:t>e.g.</w:t>
      </w:r>
      <w:r w:rsidR="00375470" w:rsidRPr="0083147A">
        <w:rPr>
          <w:rFonts w:ascii="Book Antiqua" w:hAnsi="Book Antiqua" w:cs="Times New Roman"/>
          <w:color w:val="000000" w:themeColor="text1"/>
        </w:rPr>
        <w:t xml:space="preserve">, </w:t>
      </w:r>
      <w:proofErr w:type="spellStart"/>
      <w:r w:rsidR="00375470" w:rsidRPr="0083147A">
        <w:rPr>
          <w:rFonts w:ascii="Book Antiqua" w:hAnsi="Book Antiqua" w:cs="Times New Roman"/>
          <w:color w:val="000000" w:themeColor="text1"/>
        </w:rPr>
        <w:t>capecitabine</w:t>
      </w:r>
      <w:proofErr w:type="spellEnd"/>
      <w:r w:rsidR="00375470" w:rsidRPr="0083147A">
        <w:rPr>
          <w:rFonts w:ascii="Book Antiqua" w:hAnsi="Book Antiqua" w:cs="Times New Roman"/>
          <w:color w:val="000000" w:themeColor="text1"/>
        </w:rPr>
        <w:t>, 5-fluorouracil, or doxorubicin</w:t>
      </w:r>
      <w:proofErr w:type="gramStart"/>
      <w:r w:rsidR="00375470" w:rsidRPr="0083147A">
        <w:rPr>
          <w:rFonts w:ascii="Book Antiqua" w:hAnsi="Book Antiqua" w:cs="Times New Roman"/>
          <w:color w:val="000000" w:themeColor="text1"/>
        </w:rPr>
        <w:t>)</w:t>
      </w:r>
      <w:r w:rsidR="000B3CC6" w:rsidRPr="0083147A">
        <w:rPr>
          <w:rFonts w:ascii="Book Antiqua" w:hAnsi="Book Antiqua" w:cs="Times New Roman"/>
          <w:color w:val="000000" w:themeColor="text1"/>
          <w:vertAlign w:val="superscript"/>
        </w:rPr>
        <w:t>[</w:t>
      </w:r>
      <w:proofErr w:type="gramEnd"/>
      <w:r w:rsidR="000B3CC6" w:rsidRPr="0083147A">
        <w:rPr>
          <w:rFonts w:ascii="Book Antiqua" w:hAnsi="Book Antiqua" w:cs="Times New Roman"/>
          <w:color w:val="000000" w:themeColor="text1"/>
          <w:vertAlign w:val="superscript"/>
        </w:rPr>
        <w:t>2</w:t>
      </w:r>
      <w:r w:rsidR="00C538E5" w:rsidRPr="0083147A">
        <w:rPr>
          <w:rFonts w:ascii="Book Antiqua" w:hAnsi="Book Antiqua" w:cs="Times New Roman"/>
          <w:color w:val="000000" w:themeColor="text1"/>
          <w:vertAlign w:val="superscript"/>
        </w:rPr>
        <w:t>7</w:t>
      </w:r>
      <w:r w:rsidR="000B3CC6" w:rsidRPr="0083147A">
        <w:rPr>
          <w:rFonts w:ascii="Book Antiqua" w:hAnsi="Book Antiqua" w:cs="Times New Roman"/>
          <w:color w:val="000000" w:themeColor="text1"/>
          <w:vertAlign w:val="superscript"/>
        </w:rPr>
        <w:t>,</w:t>
      </w:r>
      <w:r w:rsidR="00375470" w:rsidRPr="0083147A">
        <w:rPr>
          <w:rFonts w:ascii="Book Antiqua" w:hAnsi="Book Antiqua" w:cs="Times New Roman"/>
          <w:color w:val="000000" w:themeColor="text1"/>
          <w:vertAlign w:val="superscript"/>
        </w:rPr>
        <w:t>2</w:t>
      </w:r>
      <w:r w:rsidR="00C538E5" w:rsidRPr="0083147A">
        <w:rPr>
          <w:rFonts w:ascii="Book Antiqua" w:hAnsi="Book Antiqua" w:cs="Times New Roman"/>
          <w:color w:val="000000" w:themeColor="text1"/>
          <w:vertAlign w:val="superscript"/>
        </w:rPr>
        <w:t>8</w:t>
      </w:r>
      <w:r w:rsidR="00375470" w:rsidRPr="0083147A">
        <w:rPr>
          <w:rFonts w:ascii="Book Antiqua" w:hAnsi="Book Antiqua" w:cs="Times New Roman"/>
          <w:color w:val="000000" w:themeColor="text1"/>
          <w:vertAlign w:val="superscript"/>
        </w:rPr>
        <w:t>]</w:t>
      </w:r>
      <w:r w:rsidR="00375470" w:rsidRPr="0083147A">
        <w:rPr>
          <w:rFonts w:ascii="Book Antiqua" w:hAnsi="Book Antiqua" w:cs="Times New Roman"/>
          <w:color w:val="000000" w:themeColor="text1"/>
        </w:rPr>
        <w:t xml:space="preserve">. </w:t>
      </w:r>
      <w:r w:rsidR="001A1680" w:rsidRPr="0083147A">
        <w:rPr>
          <w:rFonts w:ascii="Book Antiqua" w:hAnsi="Book Antiqua" w:cs="Times New Roman"/>
          <w:color w:val="000000" w:themeColor="text1"/>
        </w:rPr>
        <w:t>T</w:t>
      </w:r>
      <w:r w:rsidR="0007310C" w:rsidRPr="0083147A">
        <w:rPr>
          <w:rFonts w:ascii="Book Antiqua" w:hAnsi="Book Antiqua" w:cs="Times New Roman"/>
          <w:color w:val="000000" w:themeColor="text1"/>
        </w:rPr>
        <w:t>he t</w:t>
      </w:r>
      <w:r w:rsidR="00C63975" w:rsidRPr="0083147A">
        <w:rPr>
          <w:rFonts w:ascii="Book Antiqua" w:hAnsi="Book Antiqua" w:cs="Times New Roman"/>
          <w:color w:val="000000" w:themeColor="text1"/>
        </w:rPr>
        <w:t>ime to onset</w:t>
      </w:r>
      <w:r w:rsidR="00375470" w:rsidRPr="0083147A">
        <w:rPr>
          <w:rFonts w:ascii="Book Antiqua" w:hAnsi="Book Antiqua" w:cs="Times New Roman"/>
          <w:color w:val="000000" w:themeColor="text1"/>
        </w:rPr>
        <w:t xml:space="preserve"> of MKI-associated </w:t>
      </w:r>
      <w:r w:rsidR="00640483" w:rsidRPr="0083147A">
        <w:rPr>
          <w:rFonts w:ascii="Book Antiqua" w:hAnsi="Book Antiqua" w:cs="Times New Roman"/>
          <w:color w:val="000000" w:themeColor="text1"/>
        </w:rPr>
        <w:t>HFSR</w:t>
      </w:r>
      <w:r w:rsidR="00375470" w:rsidRPr="0083147A">
        <w:rPr>
          <w:rFonts w:ascii="Book Antiqua" w:hAnsi="Book Antiqua" w:cs="Times New Roman"/>
          <w:color w:val="000000" w:themeColor="text1"/>
        </w:rPr>
        <w:t xml:space="preserve"> (14-28 </w:t>
      </w:r>
      <w:r w:rsidR="00741B86">
        <w:rPr>
          <w:rFonts w:ascii="Book Antiqua" w:eastAsia="SimSun" w:hAnsi="Book Antiqua" w:cs="Times New Roman" w:hint="eastAsia"/>
          <w:color w:val="000000" w:themeColor="text1"/>
          <w:lang w:eastAsia="zh-CN"/>
        </w:rPr>
        <w:t>d</w:t>
      </w:r>
      <w:r w:rsidR="00375470" w:rsidRPr="0083147A">
        <w:rPr>
          <w:rFonts w:ascii="Book Antiqua" w:hAnsi="Book Antiqua" w:cs="Times New Roman"/>
          <w:color w:val="000000" w:themeColor="text1"/>
        </w:rPr>
        <w:t xml:space="preserve">) is </w:t>
      </w:r>
      <w:r w:rsidR="00C63975" w:rsidRPr="0083147A">
        <w:rPr>
          <w:rFonts w:ascii="Book Antiqua" w:hAnsi="Book Antiqua" w:cs="Times New Roman"/>
          <w:color w:val="000000" w:themeColor="text1"/>
        </w:rPr>
        <w:t xml:space="preserve">much </w:t>
      </w:r>
      <w:r w:rsidR="00375470" w:rsidRPr="0083147A">
        <w:rPr>
          <w:rFonts w:ascii="Book Antiqua" w:hAnsi="Book Antiqua" w:cs="Times New Roman"/>
          <w:color w:val="000000" w:themeColor="text1"/>
        </w:rPr>
        <w:t xml:space="preserve">shorter than that of </w:t>
      </w:r>
      <w:r w:rsidR="00640483" w:rsidRPr="0083147A">
        <w:rPr>
          <w:rFonts w:ascii="Book Antiqua" w:hAnsi="Book Antiqua" w:cs="Times New Roman"/>
          <w:color w:val="000000" w:themeColor="text1"/>
        </w:rPr>
        <w:t>HFSR</w:t>
      </w:r>
      <w:r w:rsidR="0007310C" w:rsidRPr="0083147A">
        <w:rPr>
          <w:rFonts w:ascii="Book Antiqua" w:hAnsi="Book Antiqua" w:cs="Times New Roman"/>
          <w:color w:val="000000" w:themeColor="text1"/>
        </w:rPr>
        <w:t xml:space="preserve"> induced by chemotherapy</w:t>
      </w:r>
      <w:r w:rsidR="00375470" w:rsidRPr="0083147A">
        <w:rPr>
          <w:rFonts w:ascii="Book Antiqua" w:hAnsi="Book Antiqua" w:cs="Times New Roman"/>
          <w:color w:val="000000" w:themeColor="text1"/>
        </w:rPr>
        <w:t xml:space="preserve">, and </w:t>
      </w:r>
      <w:r w:rsidR="001A1680" w:rsidRPr="0083147A">
        <w:rPr>
          <w:rFonts w:ascii="Book Antiqua" w:hAnsi="Book Antiqua" w:cs="Times New Roman"/>
          <w:color w:val="000000" w:themeColor="text1"/>
        </w:rPr>
        <w:t>the</w:t>
      </w:r>
      <w:r w:rsidR="00962C62" w:rsidRPr="0083147A">
        <w:rPr>
          <w:rFonts w:ascii="Book Antiqua" w:hAnsi="Book Antiqua" w:cs="Times New Roman"/>
          <w:color w:val="000000" w:themeColor="text1"/>
        </w:rPr>
        <w:t xml:space="preserve"> site is localized (</w:t>
      </w:r>
      <w:r w:rsidR="00C63975" w:rsidRPr="006F0303">
        <w:rPr>
          <w:rFonts w:ascii="Book Antiqua" w:hAnsi="Book Antiqua" w:cs="Times New Roman"/>
          <w:i/>
          <w:color w:val="000000" w:themeColor="text1"/>
        </w:rPr>
        <w:t>e.g.</w:t>
      </w:r>
      <w:r w:rsidR="00C63975" w:rsidRPr="0083147A">
        <w:rPr>
          <w:rFonts w:ascii="Book Antiqua" w:hAnsi="Book Antiqua" w:cs="Times New Roman"/>
          <w:color w:val="000000" w:themeColor="text1"/>
        </w:rPr>
        <w:t xml:space="preserve">, </w:t>
      </w:r>
      <w:r w:rsidR="00962C62" w:rsidRPr="0083147A">
        <w:rPr>
          <w:rFonts w:ascii="Book Antiqua" w:hAnsi="Book Antiqua" w:cs="Times New Roman"/>
          <w:color w:val="000000" w:themeColor="text1"/>
        </w:rPr>
        <w:t xml:space="preserve">areas in contact with shoes). </w:t>
      </w:r>
      <w:r w:rsidR="00F36222" w:rsidRPr="0083147A">
        <w:rPr>
          <w:rFonts w:ascii="Book Antiqua" w:hAnsi="Book Antiqua" w:cs="Times New Roman"/>
          <w:color w:val="000000" w:themeColor="text1"/>
        </w:rPr>
        <w:t>MKI-associated c</w:t>
      </w:r>
      <w:r w:rsidR="00962C62" w:rsidRPr="0083147A">
        <w:rPr>
          <w:rFonts w:ascii="Book Antiqua" w:hAnsi="Book Antiqua" w:cs="Times New Roman"/>
          <w:color w:val="000000" w:themeColor="text1"/>
        </w:rPr>
        <w:t xml:space="preserve">ornification is </w:t>
      </w:r>
      <w:r w:rsidR="001A1680" w:rsidRPr="0083147A">
        <w:rPr>
          <w:rFonts w:ascii="Book Antiqua" w:hAnsi="Book Antiqua" w:cs="Times New Roman"/>
          <w:color w:val="000000" w:themeColor="text1"/>
        </w:rPr>
        <w:t>also prominent</w:t>
      </w:r>
      <w:r w:rsidR="00962C62" w:rsidRPr="0083147A">
        <w:rPr>
          <w:rFonts w:ascii="Book Antiqua" w:hAnsi="Book Antiqua" w:cs="Times New Roman"/>
          <w:color w:val="000000" w:themeColor="text1"/>
        </w:rPr>
        <w:t>. Furthermore, there is no evidence</w:t>
      </w:r>
      <w:r w:rsidR="001A15E6" w:rsidRPr="0083147A">
        <w:rPr>
          <w:rFonts w:ascii="Book Antiqua" w:hAnsi="Book Antiqua" w:cs="Times New Roman"/>
          <w:color w:val="000000" w:themeColor="text1"/>
        </w:rPr>
        <w:t>-based rationale</w:t>
      </w:r>
      <w:r w:rsidR="00962C62" w:rsidRPr="0083147A">
        <w:rPr>
          <w:rFonts w:ascii="Book Antiqua" w:hAnsi="Book Antiqua" w:cs="Times New Roman"/>
          <w:color w:val="000000" w:themeColor="text1"/>
        </w:rPr>
        <w:t xml:space="preserve"> to </w:t>
      </w:r>
      <w:r w:rsidR="001A15E6" w:rsidRPr="0083147A">
        <w:rPr>
          <w:rFonts w:ascii="Book Antiqua" w:hAnsi="Book Antiqua" w:cs="Times New Roman"/>
          <w:color w:val="000000" w:themeColor="text1"/>
        </w:rPr>
        <w:t xml:space="preserve">advocate for any of preventive measures for </w:t>
      </w:r>
      <w:r w:rsidR="00640483" w:rsidRPr="0083147A">
        <w:rPr>
          <w:rFonts w:ascii="Book Antiqua" w:hAnsi="Book Antiqua" w:cs="Times New Roman"/>
          <w:color w:val="000000" w:themeColor="text1"/>
        </w:rPr>
        <w:t>HFSR</w:t>
      </w:r>
      <w:r w:rsidR="001A15E6" w:rsidRPr="0083147A">
        <w:rPr>
          <w:rFonts w:ascii="Book Antiqua" w:hAnsi="Book Antiqua" w:cs="Times New Roman"/>
          <w:color w:val="000000" w:themeColor="text1"/>
        </w:rPr>
        <w:t xml:space="preserve"> </w:t>
      </w:r>
      <w:r w:rsidR="0007310C" w:rsidRPr="0083147A">
        <w:rPr>
          <w:rFonts w:ascii="Book Antiqua" w:hAnsi="Book Antiqua" w:cs="Times New Roman"/>
          <w:color w:val="000000" w:themeColor="text1"/>
        </w:rPr>
        <w:t xml:space="preserve">induced by chemotherapy </w:t>
      </w:r>
      <w:r w:rsidR="00A57C36" w:rsidRPr="0083147A">
        <w:rPr>
          <w:rFonts w:ascii="Book Antiqua" w:hAnsi="Book Antiqua" w:cs="Times New Roman"/>
          <w:color w:val="000000" w:themeColor="text1"/>
        </w:rPr>
        <w:t xml:space="preserve">for </w:t>
      </w:r>
      <w:r w:rsidR="0007310C" w:rsidRPr="0083147A">
        <w:rPr>
          <w:rFonts w:ascii="Book Antiqua" w:hAnsi="Book Antiqua" w:cs="Times New Roman"/>
          <w:color w:val="000000" w:themeColor="text1"/>
        </w:rPr>
        <w:t xml:space="preserve">the </w:t>
      </w:r>
      <w:r w:rsidR="001A15E6" w:rsidRPr="0083147A">
        <w:rPr>
          <w:rFonts w:ascii="Book Antiqua" w:hAnsi="Book Antiqua" w:cs="Times New Roman"/>
          <w:color w:val="000000" w:themeColor="text1"/>
        </w:rPr>
        <w:t xml:space="preserve">prophylaxis of MKI-associated </w:t>
      </w:r>
      <w:proofErr w:type="gramStart"/>
      <w:r w:rsidR="00640483" w:rsidRPr="0083147A">
        <w:rPr>
          <w:rFonts w:ascii="Book Antiqua" w:hAnsi="Book Antiqua" w:cs="Times New Roman"/>
          <w:color w:val="000000" w:themeColor="text1"/>
        </w:rPr>
        <w:t>HFSR</w:t>
      </w:r>
      <w:r w:rsidR="00962C62" w:rsidRPr="0083147A">
        <w:rPr>
          <w:rFonts w:ascii="Book Antiqua" w:hAnsi="Book Antiqua" w:cs="Times New Roman"/>
          <w:color w:val="000000" w:themeColor="text1"/>
          <w:vertAlign w:val="superscript"/>
        </w:rPr>
        <w:t>[</w:t>
      </w:r>
      <w:proofErr w:type="gramEnd"/>
      <w:r w:rsidR="00962C62" w:rsidRPr="0083147A">
        <w:rPr>
          <w:rFonts w:ascii="Book Antiqua" w:hAnsi="Book Antiqua" w:cs="Times New Roman"/>
          <w:color w:val="000000" w:themeColor="text1"/>
          <w:vertAlign w:val="superscript"/>
        </w:rPr>
        <w:t>2</w:t>
      </w:r>
      <w:r w:rsidR="00201927" w:rsidRPr="0083147A">
        <w:rPr>
          <w:rFonts w:ascii="Book Antiqua" w:hAnsi="Book Antiqua" w:cs="Times New Roman"/>
          <w:color w:val="000000" w:themeColor="text1"/>
          <w:vertAlign w:val="superscript"/>
        </w:rPr>
        <w:t>9</w:t>
      </w:r>
      <w:r w:rsidR="00962C62" w:rsidRPr="0083147A">
        <w:rPr>
          <w:rFonts w:ascii="Book Antiqua" w:hAnsi="Book Antiqua" w:cs="Times New Roman"/>
          <w:color w:val="000000" w:themeColor="text1"/>
          <w:vertAlign w:val="superscript"/>
        </w:rPr>
        <w:t>]</w:t>
      </w:r>
      <w:r w:rsidR="00962C62" w:rsidRPr="0083147A">
        <w:rPr>
          <w:rFonts w:ascii="Book Antiqua" w:hAnsi="Book Antiqua" w:cs="Times New Roman"/>
          <w:color w:val="000000" w:themeColor="text1"/>
        </w:rPr>
        <w:t>.</w:t>
      </w:r>
    </w:p>
    <w:p w:rsidR="002B1E4B" w:rsidRPr="0083147A" w:rsidRDefault="00203018" w:rsidP="00946207">
      <w:pPr>
        <w:spacing w:line="360" w:lineRule="auto"/>
        <w:ind w:firstLine="480"/>
        <w:rPr>
          <w:rFonts w:ascii="Book Antiqua" w:hAnsi="Book Antiqua" w:cs="Times New Roman"/>
          <w:color w:val="000000" w:themeColor="text1"/>
        </w:rPr>
      </w:pPr>
      <w:r w:rsidRPr="0083147A">
        <w:rPr>
          <w:rFonts w:ascii="Book Antiqua" w:hAnsi="Book Antiqua" w:cs="Times New Roman"/>
          <w:color w:val="000000" w:themeColor="text1"/>
        </w:rPr>
        <w:t>Patients receiving anticancer therapies</w:t>
      </w:r>
      <w:r w:rsidR="00962C62" w:rsidRPr="0083147A">
        <w:rPr>
          <w:rFonts w:ascii="Book Antiqua" w:hAnsi="Book Antiqua" w:cs="Times New Roman"/>
          <w:color w:val="000000" w:themeColor="text1"/>
        </w:rPr>
        <w:t xml:space="preserve"> </w:t>
      </w:r>
      <w:r w:rsidR="00F83CCD" w:rsidRPr="0083147A">
        <w:rPr>
          <w:rFonts w:ascii="Book Antiqua" w:hAnsi="Book Antiqua" w:cs="Times New Roman"/>
          <w:color w:val="000000" w:themeColor="text1"/>
        </w:rPr>
        <w:t>have been considered to achieve a high</w:t>
      </w:r>
      <w:r w:rsidR="001A1680" w:rsidRPr="0083147A">
        <w:rPr>
          <w:rFonts w:ascii="Book Antiqua" w:hAnsi="Book Antiqua" w:cs="Times New Roman"/>
          <w:color w:val="000000" w:themeColor="text1"/>
        </w:rPr>
        <w:t>er</w:t>
      </w:r>
      <w:r w:rsidR="00F83CCD" w:rsidRPr="0083147A">
        <w:rPr>
          <w:rFonts w:ascii="Book Antiqua" w:hAnsi="Book Antiqua" w:cs="Times New Roman"/>
          <w:color w:val="000000" w:themeColor="text1"/>
        </w:rPr>
        <w:t xml:space="preserve"> </w:t>
      </w:r>
      <w:r w:rsidR="00962C62" w:rsidRPr="0083147A">
        <w:rPr>
          <w:rFonts w:ascii="Book Antiqua" w:hAnsi="Book Antiqua" w:cs="Times New Roman"/>
          <w:color w:val="000000" w:themeColor="text1"/>
        </w:rPr>
        <w:t xml:space="preserve">adherence rate </w:t>
      </w:r>
      <w:r w:rsidR="001A1680" w:rsidRPr="0083147A">
        <w:rPr>
          <w:rFonts w:ascii="Book Antiqua" w:hAnsi="Book Antiqua" w:cs="Times New Roman"/>
          <w:color w:val="000000" w:themeColor="text1"/>
        </w:rPr>
        <w:t>than</w:t>
      </w:r>
      <w:r w:rsidR="00962C62" w:rsidRPr="0083147A">
        <w:rPr>
          <w:rFonts w:ascii="Book Antiqua" w:hAnsi="Book Antiqua" w:cs="Times New Roman"/>
          <w:color w:val="000000" w:themeColor="text1"/>
        </w:rPr>
        <w:t xml:space="preserve"> those with other chronic diseases.</w:t>
      </w:r>
      <w:r w:rsidR="00F83CCD" w:rsidRPr="0083147A">
        <w:rPr>
          <w:rFonts w:ascii="Book Antiqua" w:hAnsi="Book Antiqua" w:cs="Times New Roman"/>
          <w:color w:val="000000" w:themeColor="text1"/>
        </w:rPr>
        <w:t xml:space="preserve"> However, many studies </w:t>
      </w:r>
      <w:r w:rsidR="0007310C" w:rsidRPr="0083147A">
        <w:rPr>
          <w:rFonts w:ascii="Book Antiqua" w:hAnsi="Book Antiqua" w:cs="Times New Roman"/>
          <w:color w:val="000000" w:themeColor="text1"/>
        </w:rPr>
        <w:t xml:space="preserve">have </w:t>
      </w:r>
      <w:r w:rsidR="00F83CCD" w:rsidRPr="0083147A">
        <w:rPr>
          <w:rFonts w:ascii="Book Antiqua" w:hAnsi="Book Antiqua" w:cs="Times New Roman"/>
          <w:color w:val="000000" w:themeColor="text1"/>
        </w:rPr>
        <w:t>indi</w:t>
      </w:r>
      <w:r w:rsidR="0007310C" w:rsidRPr="0083147A">
        <w:rPr>
          <w:rFonts w:ascii="Book Antiqua" w:hAnsi="Book Antiqua" w:cs="Times New Roman"/>
          <w:color w:val="000000" w:themeColor="text1"/>
        </w:rPr>
        <w:t>cated that the adherence rate i</w:t>
      </w:r>
      <w:r w:rsidR="00F83CCD" w:rsidRPr="0083147A">
        <w:rPr>
          <w:rFonts w:ascii="Book Antiqua" w:hAnsi="Book Antiqua" w:cs="Times New Roman"/>
          <w:color w:val="000000" w:themeColor="text1"/>
        </w:rPr>
        <w:t>s not 100%</w:t>
      </w:r>
      <w:r w:rsidR="001A1680" w:rsidRPr="0083147A">
        <w:rPr>
          <w:rFonts w:ascii="Book Antiqua" w:hAnsi="Book Antiqua" w:cs="Times New Roman"/>
          <w:color w:val="000000" w:themeColor="text1"/>
        </w:rPr>
        <w:t>,</w:t>
      </w:r>
      <w:r w:rsidR="00F83CCD" w:rsidRPr="0083147A">
        <w:rPr>
          <w:rFonts w:ascii="Book Antiqua" w:hAnsi="Book Antiqua" w:cs="Times New Roman"/>
          <w:color w:val="000000" w:themeColor="text1"/>
        </w:rPr>
        <w:t xml:space="preserve"> even in cancer patients receiving anticancer </w:t>
      </w:r>
      <w:proofErr w:type="gramStart"/>
      <w:r w:rsidR="00F83CCD" w:rsidRPr="0083147A">
        <w:rPr>
          <w:rFonts w:ascii="Book Antiqua" w:hAnsi="Book Antiqua" w:cs="Times New Roman"/>
          <w:color w:val="000000" w:themeColor="text1"/>
        </w:rPr>
        <w:t>drugs</w:t>
      </w:r>
      <w:r w:rsidR="00F83CCD" w:rsidRPr="0083147A">
        <w:rPr>
          <w:rFonts w:ascii="Book Antiqua" w:hAnsi="Book Antiqua" w:cs="Times New Roman"/>
          <w:color w:val="000000" w:themeColor="text1"/>
          <w:vertAlign w:val="superscript"/>
        </w:rPr>
        <w:t>[</w:t>
      </w:r>
      <w:proofErr w:type="gramEnd"/>
      <w:r w:rsidR="00705D98" w:rsidRPr="0083147A">
        <w:rPr>
          <w:rFonts w:ascii="Book Antiqua" w:hAnsi="Book Antiqua" w:cs="Times New Roman"/>
          <w:color w:val="000000" w:themeColor="text1"/>
          <w:vertAlign w:val="superscript"/>
        </w:rPr>
        <w:t>30</w:t>
      </w:r>
      <w:r w:rsidR="00F83CCD" w:rsidRPr="0083147A">
        <w:rPr>
          <w:rFonts w:ascii="Book Antiqua" w:hAnsi="Book Antiqua" w:cs="Times New Roman"/>
          <w:color w:val="000000" w:themeColor="text1"/>
          <w:vertAlign w:val="superscript"/>
        </w:rPr>
        <w:t>-3</w:t>
      </w:r>
      <w:r w:rsidR="0013782C" w:rsidRPr="0083147A">
        <w:rPr>
          <w:rFonts w:ascii="Book Antiqua" w:hAnsi="Book Antiqua" w:cs="Times New Roman"/>
          <w:color w:val="000000" w:themeColor="text1"/>
          <w:vertAlign w:val="superscript"/>
        </w:rPr>
        <w:t>2</w:t>
      </w:r>
      <w:r w:rsidR="00F83CCD" w:rsidRPr="0083147A">
        <w:rPr>
          <w:rFonts w:ascii="Book Antiqua" w:hAnsi="Book Antiqua" w:cs="Times New Roman"/>
          <w:color w:val="000000" w:themeColor="text1"/>
          <w:vertAlign w:val="superscript"/>
        </w:rPr>
        <w:t>]</w:t>
      </w:r>
      <w:r w:rsidR="00F83CCD" w:rsidRPr="0083147A">
        <w:rPr>
          <w:rFonts w:ascii="Book Antiqua" w:hAnsi="Book Antiqua" w:cs="Times New Roman"/>
          <w:color w:val="000000" w:themeColor="text1"/>
        </w:rPr>
        <w:t xml:space="preserve">. </w:t>
      </w:r>
      <w:r w:rsidR="008A2DDD" w:rsidRPr="0083147A">
        <w:rPr>
          <w:rFonts w:ascii="Book Antiqua" w:hAnsi="Book Antiqua" w:cs="Times New Roman"/>
          <w:color w:val="000000" w:themeColor="text1"/>
        </w:rPr>
        <w:t xml:space="preserve">Concerning </w:t>
      </w:r>
      <w:r w:rsidR="001A1680" w:rsidRPr="0083147A">
        <w:rPr>
          <w:rFonts w:ascii="Book Antiqua" w:hAnsi="Book Antiqua" w:cs="Times New Roman"/>
          <w:color w:val="000000" w:themeColor="text1"/>
        </w:rPr>
        <w:t xml:space="preserve">the adherence of cancer patients </w:t>
      </w:r>
      <w:r w:rsidR="00A92D40" w:rsidRPr="0083147A">
        <w:rPr>
          <w:rFonts w:ascii="Book Antiqua" w:hAnsi="Book Antiqua" w:cs="Times New Roman"/>
          <w:color w:val="000000" w:themeColor="text1"/>
        </w:rPr>
        <w:t xml:space="preserve">to their </w:t>
      </w:r>
      <w:r w:rsidR="001A1680" w:rsidRPr="0083147A">
        <w:rPr>
          <w:rFonts w:ascii="Book Antiqua" w:hAnsi="Book Antiqua" w:cs="Times New Roman"/>
          <w:color w:val="000000" w:themeColor="text1"/>
        </w:rPr>
        <w:t>treat</w:t>
      </w:r>
      <w:r w:rsidR="00A92D40" w:rsidRPr="0083147A">
        <w:rPr>
          <w:rFonts w:ascii="Book Antiqua" w:hAnsi="Book Antiqua" w:cs="Times New Roman"/>
          <w:color w:val="000000" w:themeColor="text1"/>
        </w:rPr>
        <w:t>ment</w:t>
      </w:r>
      <w:r w:rsidR="001A1680" w:rsidRPr="0083147A">
        <w:rPr>
          <w:rFonts w:ascii="Book Antiqua" w:hAnsi="Book Antiqua" w:cs="Times New Roman"/>
          <w:color w:val="000000" w:themeColor="text1"/>
        </w:rPr>
        <w:t xml:space="preserve"> with </w:t>
      </w:r>
      <w:r w:rsidR="008A2DDD" w:rsidRPr="0083147A">
        <w:rPr>
          <w:rFonts w:ascii="Book Antiqua" w:hAnsi="Book Antiqua" w:cs="Times New Roman"/>
          <w:color w:val="000000" w:themeColor="text1"/>
        </w:rPr>
        <w:t>oral</w:t>
      </w:r>
      <w:r w:rsidR="001A1680" w:rsidRPr="0083147A">
        <w:rPr>
          <w:rFonts w:ascii="Book Antiqua" w:hAnsi="Book Antiqua" w:cs="Times New Roman"/>
          <w:color w:val="000000" w:themeColor="text1"/>
        </w:rPr>
        <w:t xml:space="preserve"> </w:t>
      </w:r>
      <w:r w:rsidR="008A2DDD" w:rsidRPr="0083147A">
        <w:rPr>
          <w:rFonts w:ascii="Book Antiqua" w:hAnsi="Book Antiqua" w:cs="Times New Roman"/>
          <w:color w:val="000000" w:themeColor="text1"/>
        </w:rPr>
        <w:t>anticancer</w:t>
      </w:r>
      <w:r w:rsidR="001A1680" w:rsidRPr="0083147A">
        <w:rPr>
          <w:rFonts w:ascii="Book Antiqua" w:hAnsi="Book Antiqua" w:cs="Times New Roman"/>
          <w:color w:val="000000" w:themeColor="text1"/>
        </w:rPr>
        <w:t xml:space="preserve"> </w:t>
      </w:r>
      <w:r w:rsidR="008A2DDD" w:rsidRPr="0083147A">
        <w:rPr>
          <w:rFonts w:ascii="Book Antiqua" w:hAnsi="Book Antiqua" w:cs="Times New Roman"/>
          <w:color w:val="000000" w:themeColor="text1"/>
        </w:rPr>
        <w:t>drug</w:t>
      </w:r>
      <w:r w:rsidR="001A1680" w:rsidRPr="0083147A">
        <w:rPr>
          <w:rFonts w:ascii="Book Antiqua" w:hAnsi="Book Antiqua" w:cs="Times New Roman"/>
          <w:color w:val="000000" w:themeColor="text1"/>
        </w:rPr>
        <w:t>s</w:t>
      </w:r>
      <w:r w:rsidR="008A2DDD" w:rsidRPr="0083147A">
        <w:rPr>
          <w:rFonts w:ascii="Book Antiqua" w:hAnsi="Book Antiqua" w:cs="Times New Roman"/>
          <w:color w:val="000000" w:themeColor="text1"/>
        </w:rPr>
        <w:t xml:space="preserve">, a </w:t>
      </w:r>
      <w:r w:rsidR="00A92D40" w:rsidRPr="0083147A">
        <w:rPr>
          <w:rFonts w:ascii="Book Antiqua" w:hAnsi="Book Antiqua" w:cs="Times New Roman"/>
          <w:color w:val="000000" w:themeColor="text1"/>
        </w:rPr>
        <w:t xml:space="preserve">previous </w:t>
      </w:r>
      <w:r w:rsidR="008A2DDD" w:rsidRPr="0083147A">
        <w:rPr>
          <w:rFonts w:ascii="Book Antiqua" w:hAnsi="Book Antiqua" w:cs="Times New Roman"/>
          <w:color w:val="000000" w:themeColor="text1"/>
        </w:rPr>
        <w:t xml:space="preserve">study investigated breast cancer patients </w:t>
      </w:r>
      <w:r w:rsidR="001A1680" w:rsidRPr="0083147A">
        <w:rPr>
          <w:rFonts w:ascii="Book Antiqua" w:hAnsi="Book Antiqua" w:cs="Times New Roman"/>
          <w:color w:val="000000" w:themeColor="text1"/>
        </w:rPr>
        <w:t>receiving oral anticancer drugs</w:t>
      </w:r>
      <w:r w:rsidR="008A2DDD" w:rsidRPr="0083147A">
        <w:rPr>
          <w:rFonts w:ascii="Book Antiqua" w:hAnsi="Book Antiqua" w:cs="Times New Roman"/>
          <w:color w:val="000000" w:themeColor="text1"/>
        </w:rPr>
        <w:t xml:space="preserve"> and reported that treatment-associated toxicities affected effective cancer treatment</w:t>
      </w:r>
      <w:r w:rsidR="001A1680" w:rsidRPr="0083147A">
        <w:rPr>
          <w:rFonts w:ascii="Book Antiqua" w:hAnsi="Book Antiqua" w:cs="Times New Roman"/>
          <w:color w:val="000000" w:themeColor="text1"/>
        </w:rPr>
        <w:t>s</w:t>
      </w:r>
      <w:r w:rsidR="008A2DDD" w:rsidRPr="0083147A">
        <w:rPr>
          <w:rFonts w:ascii="Book Antiqua" w:hAnsi="Book Antiqua" w:cs="Times New Roman"/>
          <w:color w:val="000000" w:themeColor="text1"/>
        </w:rPr>
        <w:t>, suggesting th</w:t>
      </w:r>
      <w:r w:rsidR="00E304E6" w:rsidRPr="0083147A">
        <w:rPr>
          <w:rFonts w:ascii="Book Antiqua" w:hAnsi="Book Antiqua" w:cs="Times New Roman"/>
          <w:color w:val="000000" w:themeColor="text1"/>
        </w:rPr>
        <w:t xml:space="preserve">e usefulness of </w:t>
      </w:r>
      <w:r w:rsidR="008A2DDD" w:rsidRPr="0083147A">
        <w:rPr>
          <w:rFonts w:ascii="Book Antiqua" w:hAnsi="Book Antiqua" w:cs="Times New Roman"/>
          <w:color w:val="000000" w:themeColor="text1"/>
        </w:rPr>
        <w:t>adequate intervention</w:t>
      </w:r>
      <w:r w:rsidR="00182CDD" w:rsidRPr="0083147A">
        <w:rPr>
          <w:rFonts w:ascii="Book Antiqua" w:hAnsi="Book Antiqua" w:cs="Times New Roman"/>
          <w:color w:val="000000" w:themeColor="text1"/>
        </w:rPr>
        <w:t>s</w:t>
      </w:r>
      <w:r w:rsidR="008A2DDD" w:rsidRPr="0083147A">
        <w:rPr>
          <w:rFonts w:ascii="Book Antiqua" w:hAnsi="Book Antiqua" w:cs="Times New Roman"/>
          <w:color w:val="000000" w:themeColor="text1"/>
        </w:rPr>
        <w:t xml:space="preserve"> </w:t>
      </w:r>
      <w:r w:rsidR="00E304E6" w:rsidRPr="0083147A">
        <w:rPr>
          <w:rFonts w:ascii="Book Antiqua" w:hAnsi="Book Antiqua" w:cs="Times New Roman"/>
          <w:color w:val="000000" w:themeColor="text1"/>
        </w:rPr>
        <w:t xml:space="preserve">for </w:t>
      </w:r>
      <w:r w:rsidR="00A92D40" w:rsidRPr="0083147A">
        <w:rPr>
          <w:rFonts w:ascii="Book Antiqua" w:hAnsi="Book Antiqua" w:cs="Times New Roman"/>
          <w:color w:val="000000" w:themeColor="text1"/>
        </w:rPr>
        <w:t>increasing</w:t>
      </w:r>
      <w:r w:rsidR="00E304E6" w:rsidRPr="0083147A">
        <w:rPr>
          <w:rFonts w:ascii="Book Antiqua" w:hAnsi="Book Antiqua" w:cs="Times New Roman"/>
          <w:color w:val="000000" w:themeColor="text1"/>
        </w:rPr>
        <w:t xml:space="preserve"> </w:t>
      </w:r>
      <w:proofErr w:type="gramStart"/>
      <w:r w:rsidR="008A2DDD" w:rsidRPr="0083147A">
        <w:rPr>
          <w:rFonts w:ascii="Book Antiqua" w:hAnsi="Book Antiqua" w:cs="Times New Roman"/>
          <w:color w:val="000000" w:themeColor="text1"/>
        </w:rPr>
        <w:t>adherence</w:t>
      </w:r>
      <w:r w:rsidR="00E304E6" w:rsidRPr="0083147A">
        <w:rPr>
          <w:rFonts w:ascii="Book Antiqua" w:hAnsi="Book Antiqua" w:cs="Times New Roman"/>
          <w:color w:val="000000" w:themeColor="text1"/>
          <w:vertAlign w:val="superscript"/>
        </w:rPr>
        <w:t>[</w:t>
      </w:r>
      <w:proofErr w:type="gramEnd"/>
      <w:r w:rsidR="00E304E6" w:rsidRPr="0083147A">
        <w:rPr>
          <w:rFonts w:ascii="Book Antiqua" w:hAnsi="Book Antiqua" w:cs="Times New Roman"/>
          <w:color w:val="000000" w:themeColor="text1"/>
          <w:vertAlign w:val="superscript"/>
        </w:rPr>
        <w:t>3</w:t>
      </w:r>
      <w:r w:rsidR="006B6B50" w:rsidRPr="0083147A">
        <w:rPr>
          <w:rFonts w:ascii="Book Antiqua" w:hAnsi="Book Antiqua" w:cs="Times New Roman"/>
          <w:color w:val="000000" w:themeColor="text1"/>
          <w:vertAlign w:val="superscript"/>
        </w:rPr>
        <w:t>3</w:t>
      </w:r>
      <w:r w:rsidR="00E304E6" w:rsidRPr="0083147A">
        <w:rPr>
          <w:rFonts w:ascii="Book Antiqua" w:hAnsi="Book Antiqua" w:cs="Times New Roman"/>
          <w:color w:val="000000" w:themeColor="text1"/>
          <w:vertAlign w:val="superscript"/>
        </w:rPr>
        <w:t>]</w:t>
      </w:r>
      <w:r w:rsidR="008A2DDD" w:rsidRPr="0083147A">
        <w:rPr>
          <w:rFonts w:ascii="Book Antiqua" w:hAnsi="Book Antiqua" w:cs="Times New Roman"/>
          <w:color w:val="000000" w:themeColor="text1"/>
        </w:rPr>
        <w:t>.</w:t>
      </w:r>
      <w:r w:rsidR="00E304E6" w:rsidRPr="0083147A">
        <w:rPr>
          <w:rFonts w:ascii="Book Antiqua" w:hAnsi="Book Antiqua" w:cs="Times New Roman"/>
          <w:color w:val="000000" w:themeColor="text1"/>
        </w:rPr>
        <w:t xml:space="preserve"> </w:t>
      </w:r>
      <w:r w:rsidR="00CF589B" w:rsidRPr="0083147A">
        <w:rPr>
          <w:rFonts w:ascii="Book Antiqua" w:hAnsi="Book Antiqua" w:cs="Times New Roman"/>
          <w:color w:val="000000" w:themeColor="text1"/>
        </w:rPr>
        <w:t xml:space="preserve">Furthermore, another study indicated that long-term therapy with oral anticancer drugs reduced the risk of death, </w:t>
      </w:r>
      <w:r w:rsidR="001A1680" w:rsidRPr="0083147A">
        <w:rPr>
          <w:rFonts w:ascii="Book Antiqua" w:hAnsi="Book Antiqua" w:cs="Times New Roman"/>
          <w:color w:val="000000" w:themeColor="text1"/>
        </w:rPr>
        <w:t>while</w:t>
      </w:r>
      <w:r w:rsidR="00CF589B" w:rsidRPr="0083147A">
        <w:rPr>
          <w:rFonts w:ascii="Book Antiqua" w:hAnsi="Book Antiqua" w:cs="Times New Roman"/>
          <w:color w:val="000000" w:themeColor="text1"/>
        </w:rPr>
        <w:t xml:space="preserve"> a low adherence r</w:t>
      </w:r>
      <w:r w:rsidR="00A453B3" w:rsidRPr="0083147A">
        <w:rPr>
          <w:rFonts w:ascii="Book Antiqua" w:hAnsi="Book Antiqua" w:cs="Times New Roman"/>
          <w:color w:val="000000" w:themeColor="text1"/>
        </w:rPr>
        <w:t xml:space="preserve">ate increased the risk of </w:t>
      </w:r>
      <w:proofErr w:type="gramStart"/>
      <w:r w:rsidR="00A453B3" w:rsidRPr="0083147A">
        <w:rPr>
          <w:rFonts w:ascii="Book Antiqua" w:hAnsi="Book Antiqua" w:cs="Times New Roman"/>
          <w:color w:val="000000" w:themeColor="text1"/>
        </w:rPr>
        <w:t>death</w:t>
      </w:r>
      <w:r w:rsidR="00CF589B" w:rsidRPr="0083147A">
        <w:rPr>
          <w:rFonts w:ascii="Book Antiqua" w:hAnsi="Book Antiqua" w:cs="Times New Roman"/>
          <w:color w:val="000000" w:themeColor="text1"/>
          <w:vertAlign w:val="superscript"/>
        </w:rPr>
        <w:t>[</w:t>
      </w:r>
      <w:proofErr w:type="gramEnd"/>
      <w:r w:rsidR="00CF589B" w:rsidRPr="0083147A">
        <w:rPr>
          <w:rFonts w:ascii="Book Antiqua" w:hAnsi="Book Antiqua" w:cs="Times New Roman"/>
          <w:color w:val="000000" w:themeColor="text1"/>
          <w:vertAlign w:val="superscript"/>
        </w:rPr>
        <w:t>3</w:t>
      </w:r>
      <w:r w:rsidR="00985526" w:rsidRPr="0083147A">
        <w:rPr>
          <w:rFonts w:ascii="Book Antiqua" w:hAnsi="Book Antiqua" w:cs="Times New Roman"/>
          <w:color w:val="000000" w:themeColor="text1"/>
          <w:vertAlign w:val="superscript"/>
        </w:rPr>
        <w:t>4</w:t>
      </w:r>
      <w:r w:rsidR="00CF589B" w:rsidRPr="0083147A">
        <w:rPr>
          <w:rFonts w:ascii="Book Antiqua" w:hAnsi="Book Antiqua" w:cs="Times New Roman"/>
          <w:color w:val="000000" w:themeColor="text1"/>
          <w:vertAlign w:val="superscript"/>
        </w:rPr>
        <w:t>]</w:t>
      </w:r>
      <w:r w:rsidR="00CF589B" w:rsidRPr="0083147A">
        <w:rPr>
          <w:rFonts w:ascii="Book Antiqua" w:hAnsi="Book Antiqua" w:cs="Times New Roman"/>
          <w:color w:val="000000" w:themeColor="text1"/>
        </w:rPr>
        <w:t xml:space="preserve">. In addition, </w:t>
      </w:r>
      <w:r w:rsidR="002B1E4B" w:rsidRPr="0083147A">
        <w:rPr>
          <w:rFonts w:ascii="Book Antiqua" w:hAnsi="Book Antiqua" w:cs="Times New Roman"/>
          <w:color w:val="000000" w:themeColor="text1"/>
        </w:rPr>
        <w:t xml:space="preserve">a decrease in </w:t>
      </w:r>
      <w:r w:rsidR="000F3FF6" w:rsidRPr="0083147A">
        <w:rPr>
          <w:rFonts w:ascii="Book Antiqua" w:hAnsi="Book Antiqua" w:cs="Times New Roman"/>
          <w:color w:val="000000" w:themeColor="text1"/>
        </w:rPr>
        <w:t xml:space="preserve">the </w:t>
      </w:r>
      <w:r w:rsidR="002B1E4B" w:rsidRPr="0083147A">
        <w:rPr>
          <w:rFonts w:ascii="Book Antiqua" w:hAnsi="Book Antiqua" w:cs="Times New Roman"/>
          <w:color w:val="000000" w:themeColor="text1"/>
        </w:rPr>
        <w:t>adherence rate</w:t>
      </w:r>
      <w:r w:rsidR="001A1680" w:rsidRPr="0083147A">
        <w:rPr>
          <w:rFonts w:ascii="Book Antiqua" w:hAnsi="Book Antiqua" w:cs="Times New Roman"/>
          <w:color w:val="000000" w:themeColor="text1"/>
        </w:rPr>
        <w:t>s</w:t>
      </w:r>
      <w:r w:rsidR="002B1E4B" w:rsidRPr="0083147A">
        <w:rPr>
          <w:rFonts w:ascii="Book Antiqua" w:hAnsi="Book Antiqua" w:cs="Times New Roman"/>
          <w:color w:val="000000" w:themeColor="text1"/>
        </w:rPr>
        <w:t xml:space="preserve"> </w:t>
      </w:r>
      <w:r w:rsidR="001A1680" w:rsidRPr="0083147A">
        <w:rPr>
          <w:rFonts w:ascii="Book Antiqua" w:hAnsi="Book Antiqua" w:cs="Times New Roman"/>
          <w:color w:val="000000" w:themeColor="text1"/>
        </w:rPr>
        <w:t xml:space="preserve">was shown to </w:t>
      </w:r>
      <w:r w:rsidR="002B1E4B" w:rsidRPr="0083147A">
        <w:rPr>
          <w:rFonts w:ascii="Book Antiqua" w:hAnsi="Book Antiqua" w:cs="Times New Roman"/>
          <w:color w:val="000000" w:themeColor="text1"/>
        </w:rPr>
        <w:t>re</w:t>
      </w:r>
      <w:r w:rsidR="001A1680" w:rsidRPr="0083147A">
        <w:rPr>
          <w:rFonts w:ascii="Book Antiqua" w:hAnsi="Book Antiqua" w:cs="Times New Roman"/>
          <w:color w:val="000000" w:themeColor="text1"/>
        </w:rPr>
        <w:t>duce</w:t>
      </w:r>
      <w:r w:rsidR="002B1E4B" w:rsidRPr="0083147A">
        <w:rPr>
          <w:rFonts w:ascii="Book Antiqua" w:hAnsi="Book Antiqua" w:cs="Times New Roman"/>
          <w:color w:val="000000" w:themeColor="text1"/>
        </w:rPr>
        <w:t xml:space="preserve"> treatment response</w:t>
      </w:r>
      <w:r w:rsidR="001A1680" w:rsidRPr="0083147A">
        <w:rPr>
          <w:rFonts w:ascii="Book Antiqua" w:hAnsi="Book Antiqua" w:cs="Times New Roman"/>
          <w:color w:val="000000" w:themeColor="text1"/>
        </w:rPr>
        <w:t>s</w:t>
      </w:r>
      <w:r w:rsidR="002B1E4B" w:rsidRPr="0083147A">
        <w:rPr>
          <w:rFonts w:ascii="Book Antiqua" w:hAnsi="Book Antiqua" w:cs="Times New Roman"/>
          <w:color w:val="000000" w:themeColor="text1"/>
        </w:rPr>
        <w:t xml:space="preserve"> in </w:t>
      </w:r>
      <w:r w:rsidR="00CF589B" w:rsidRPr="0083147A">
        <w:rPr>
          <w:rFonts w:ascii="Book Antiqua" w:hAnsi="Book Antiqua" w:cs="Times New Roman"/>
          <w:color w:val="000000" w:themeColor="text1"/>
        </w:rPr>
        <w:t xml:space="preserve">imatinib-treated patients with </w:t>
      </w:r>
      <w:r w:rsidR="00182CDD" w:rsidRPr="0083147A">
        <w:rPr>
          <w:rFonts w:ascii="Book Antiqua" w:hAnsi="Book Antiqua" w:cs="Times New Roman"/>
          <w:color w:val="000000" w:themeColor="text1"/>
        </w:rPr>
        <w:t xml:space="preserve">chronic </w:t>
      </w:r>
      <w:r w:rsidR="00182CDD" w:rsidRPr="0083147A">
        <w:rPr>
          <w:rFonts w:ascii="Book Antiqua" w:hAnsi="Book Antiqua" w:cs="Times New Roman"/>
          <w:color w:val="000000" w:themeColor="text1"/>
        </w:rPr>
        <w:lastRenderedPageBreak/>
        <w:t>myeloid</w:t>
      </w:r>
      <w:r w:rsidR="002B1E4B" w:rsidRPr="0083147A">
        <w:rPr>
          <w:rFonts w:ascii="Book Antiqua" w:hAnsi="Book Antiqua" w:cs="Times New Roman"/>
          <w:color w:val="000000" w:themeColor="text1"/>
        </w:rPr>
        <w:t xml:space="preserve"> </w:t>
      </w:r>
      <w:proofErr w:type="gramStart"/>
      <w:r w:rsidR="002B1E4B" w:rsidRPr="0083147A">
        <w:rPr>
          <w:rFonts w:ascii="Book Antiqua" w:hAnsi="Book Antiqua" w:cs="Times New Roman"/>
          <w:color w:val="000000" w:themeColor="text1"/>
        </w:rPr>
        <w:t>leukemia</w:t>
      </w:r>
      <w:r w:rsidR="002B1E4B" w:rsidRPr="0083147A">
        <w:rPr>
          <w:rFonts w:ascii="Book Antiqua" w:hAnsi="Book Antiqua" w:cs="Times New Roman"/>
          <w:color w:val="000000" w:themeColor="text1"/>
          <w:vertAlign w:val="superscript"/>
        </w:rPr>
        <w:t>[</w:t>
      </w:r>
      <w:proofErr w:type="gramEnd"/>
      <w:r w:rsidR="002B1E4B" w:rsidRPr="0083147A">
        <w:rPr>
          <w:rFonts w:ascii="Book Antiqua" w:hAnsi="Book Antiqua" w:cs="Times New Roman"/>
          <w:color w:val="000000" w:themeColor="text1"/>
          <w:vertAlign w:val="superscript"/>
        </w:rPr>
        <w:t>3</w:t>
      </w:r>
      <w:r w:rsidR="00105C30" w:rsidRPr="0083147A">
        <w:rPr>
          <w:rFonts w:ascii="Book Antiqua" w:hAnsi="Book Antiqua" w:cs="Times New Roman"/>
          <w:color w:val="000000" w:themeColor="text1"/>
          <w:vertAlign w:val="superscript"/>
        </w:rPr>
        <w:t>2</w:t>
      </w:r>
      <w:r w:rsidR="002B1E4B" w:rsidRPr="0083147A">
        <w:rPr>
          <w:rFonts w:ascii="Book Antiqua" w:hAnsi="Book Antiqua" w:cs="Times New Roman"/>
          <w:color w:val="000000" w:themeColor="text1"/>
          <w:vertAlign w:val="superscript"/>
        </w:rPr>
        <w:t>,3</w:t>
      </w:r>
      <w:r w:rsidR="00105C30" w:rsidRPr="0083147A">
        <w:rPr>
          <w:rFonts w:ascii="Book Antiqua" w:hAnsi="Book Antiqua" w:cs="Times New Roman"/>
          <w:color w:val="000000" w:themeColor="text1"/>
          <w:vertAlign w:val="superscript"/>
        </w:rPr>
        <w:t>5</w:t>
      </w:r>
      <w:r w:rsidR="002B1E4B" w:rsidRPr="0083147A">
        <w:rPr>
          <w:rFonts w:ascii="Book Antiqua" w:hAnsi="Book Antiqua" w:cs="Times New Roman"/>
          <w:color w:val="000000" w:themeColor="text1"/>
          <w:vertAlign w:val="superscript"/>
        </w:rPr>
        <w:t>]</w:t>
      </w:r>
      <w:r w:rsidR="002B1E4B" w:rsidRPr="0083147A">
        <w:rPr>
          <w:rFonts w:ascii="Book Antiqua" w:hAnsi="Book Antiqua" w:cs="Times New Roman"/>
          <w:color w:val="000000" w:themeColor="text1"/>
        </w:rPr>
        <w:t>.</w:t>
      </w:r>
    </w:p>
    <w:p w:rsidR="00CC3358" w:rsidRPr="0083147A" w:rsidRDefault="002B1E4B" w:rsidP="00946207">
      <w:pPr>
        <w:spacing w:line="360" w:lineRule="auto"/>
        <w:ind w:firstLine="480"/>
        <w:rPr>
          <w:rFonts w:ascii="Book Antiqua" w:hAnsi="Book Antiqua" w:cs="Times New Roman"/>
          <w:color w:val="000000" w:themeColor="text1"/>
        </w:rPr>
      </w:pPr>
      <w:r w:rsidRPr="0083147A">
        <w:rPr>
          <w:rFonts w:ascii="Book Antiqua" w:hAnsi="Book Antiqua" w:cs="Times New Roman"/>
          <w:color w:val="000000" w:themeColor="text1"/>
        </w:rPr>
        <w:t>Insufficient adherence may hinder the effects of oral anticancer drugs. If physicians responsible for prescription</w:t>
      </w:r>
      <w:r w:rsidR="001A1680" w:rsidRPr="0083147A">
        <w:rPr>
          <w:rFonts w:ascii="Book Antiqua" w:hAnsi="Book Antiqua" w:cs="Times New Roman"/>
          <w:color w:val="000000" w:themeColor="text1"/>
        </w:rPr>
        <w:t>s</w:t>
      </w:r>
      <w:r w:rsidRPr="0083147A">
        <w:rPr>
          <w:rFonts w:ascii="Book Antiqua" w:hAnsi="Book Antiqua" w:cs="Times New Roman"/>
          <w:color w:val="000000" w:themeColor="text1"/>
        </w:rPr>
        <w:t xml:space="preserve"> </w:t>
      </w:r>
      <w:r w:rsidR="00DF49F5" w:rsidRPr="0083147A">
        <w:rPr>
          <w:rFonts w:ascii="Book Antiqua" w:hAnsi="Book Antiqua" w:cs="Times New Roman"/>
          <w:color w:val="000000" w:themeColor="text1"/>
        </w:rPr>
        <w:t xml:space="preserve">are unaware of poor </w:t>
      </w:r>
      <w:r w:rsidR="00FF3666" w:rsidRPr="0083147A">
        <w:rPr>
          <w:rFonts w:ascii="Book Antiqua" w:hAnsi="Book Antiqua" w:cs="Times New Roman"/>
          <w:color w:val="000000" w:themeColor="text1"/>
        </w:rPr>
        <w:t>adherence</w:t>
      </w:r>
      <w:r w:rsidR="00DF49F5" w:rsidRPr="0083147A">
        <w:rPr>
          <w:rFonts w:ascii="Book Antiqua" w:hAnsi="Book Antiqua" w:cs="Times New Roman"/>
          <w:color w:val="000000" w:themeColor="text1"/>
        </w:rPr>
        <w:t>, they may change the regimen unnecessarily based on a misunderstanding of disease progression related to insufficient drug effects. Factors associated with non-adherence for a recommended treatment regi</w:t>
      </w:r>
      <w:r w:rsidR="001A1680" w:rsidRPr="0083147A">
        <w:rPr>
          <w:rFonts w:ascii="Book Antiqua" w:hAnsi="Book Antiqua" w:cs="Times New Roman"/>
          <w:color w:val="000000" w:themeColor="text1"/>
        </w:rPr>
        <w:t>men include individual patient</w:t>
      </w:r>
      <w:r w:rsidR="00DF49F5" w:rsidRPr="0083147A">
        <w:rPr>
          <w:rFonts w:ascii="Book Antiqua" w:hAnsi="Book Antiqua" w:cs="Times New Roman"/>
          <w:color w:val="000000" w:themeColor="text1"/>
        </w:rPr>
        <w:t xml:space="preserve"> characteristics, the features of the disease and treatment regimen, and asp</w:t>
      </w:r>
      <w:r w:rsidR="00A453B3" w:rsidRPr="0083147A">
        <w:rPr>
          <w:rFonts w:ascii="Book Antiqua" w:hAnsi="Book Antiqua" w:cs="Times New Roman"/>
          <w:color w:val="000000" w:themeColor="text1"/>
        </w:rPr>
        <w:t xml:space="preserve">ects of the medical care </w:t>
      </w:r>
      <w:proofErr w:type="gramStart"/>
      <w:r w:rsidR="00A453B3" w:rsidRPr="0083147A">
        <w:rPr>
          <w:rFonts w:ascii="Book Antiqua" w:hAnsi="Book Antiqua" w:cs="Times New Roman"/>
          <w:color w:val="000000" w:themeColor="text1"/>
        </w:rPr>
        <w:t>system</w:t>
      </w:r>
      <w:r w:rsidR="00DF49F5" w:rsidRPr="0083147A">
        <w:rPr>
          <w:rFonts w:ascii="Book Antiqua" w:hAnsi="Book Antiqua" w:cs="Times New Roman"/>
          <w:color w:val="000000" w:themeColor="text1"/>
          <w:vertAlign w:val="superscript"/>
        </w:rPr>
        <w:t>[</w:t>
      </w:r>
      <w:proofErr w:type="gramEnd"/>
      <w:r w:rsidR="00DF49F5" w:rsidRPr="0083147A">
        <w:rPr>
          <w:rFonts w:ascii="Book Antiqua" w:hAnsi="Book Antiqua" w:cs="Times New Roman"/>
          <w:color w:val="000000" w:themeColor="text1"/>
          <w:vertAlign w:val="superscript"/>
        </w:rPr>
        <w:t>3</w:t>
      </w:r>
      <w:r w:rsidR="00AB7A1C" w:rsidRPr="0083147A">
        <w:rPr>
          <w:rFonts w:ascii="Book Antiqua" w:hAnsi="Book Antiqua" w:cs="Times New Roman"/>
          <w:color w:val="000000" w:themeColor="text1"/>
          <w:vertAlign w:val="superscript"/>
        </w:rPr>
        <w:t>6</w:t>
      </w:r>
      <w:r w:rsidR="00DF49F5" w:rsidRPr="0083147A">
        <w:rPr>
          <w:rFonts w:ascii="Book Antiqua" w:hAnsi="Book Antiqua" w:cs="Times New Roman"/>
          <w:color w:val="000000" w:themeColor="text1"/>
          <w:vertAlign w:val="superscript"/>
        </w:rPr>
        <w:t>]</w:t>
      </w:r>
      <w:r w:rsidR="00DF49F5" w:rsidRPr="0083147A">
        <w:rPr>
          <w:rFonts w:ascii="Book Antiqua" w:hAnsi="Book Antiqua" w:cs="Times New Roman"/>
          <w:color w:val="000000" w:themeColor="text1"/>
        </w:rPr>
        <w:t xml:space="preserve">. </w:t>
      </w:r>
      <w:r w:rsidR="000F3FF6" w:rsidRPr="0083147A">
        <w:rPr>
          <w:rFonts w:ascii="Book Antiqua" w:hAnsi="Book Antiqua" w:cs="Times New Roman"/>
          <w:color w:val="000000" w:themeColor="text1"/>
        </w:rPr>
        <w:t>Individual factors form</w:t>
      </w:r>
      <w:r w:rsidR="00F85036" w:rsidRPr="0083147A">
        <w:rPr>
          <w:rFonts w:ascii="Book Antiqua" w:hAnsi="Book Antiqua" w:cs="Times New Roman"/>
          <w:color w:val="000000" w:themeColor="text1"/>
        </w:rPr>
        <w:t xml:space="preserve"> a system by influencing each other, and if </w:t>
      </w:r>
      <w:r w:rsidR="001A1680" w:rsidRPr="0083147A">
        <w:rPr>
          <w:rFonts w:ascii="Book Antiqua" w:hAnsi="Book Antiqua" w:cs="Times New Roman"/>
          <w:color w:val="000000" w:themeColor="text1"/>
        </w:rPr>
        <w:t>a</w:t>
      </w:r>
      <w:r w:rsidR="00F85036" w:rsidRPr="0083147A">
        <w:rPr>
          <w:rFonts w:ascii="Book Antiqua" w:hAnsi="Book Antiqua" w:cs="Times New Roman"/>
          <w:color w:val="000000" w:themeColor="text1"/>
        </w:rPr>
        <w:t xml:space="preserve"> patient’s disease is not regarded as a system abnormality, effective treatment may not be achieved. </w:t>
      </w:r>
      <w:r w:rsidR="000B255E" w:rsidRPr="0083147A">
        <w:rPr>
          <w:rFonts w:ascii="Book Antiqua" w:hAnsi="Book Antiqua" w:cs="Times New Roman"/>
          <w:color w:val="000000" w:themeColor="text1"/>
        </w:rPr>
        <w:t>T</w:t>
      </w:r>
      <w:r w:rsidR="000F3FF6" w:rsidRPr="0083147A">
        <w:rPr>
          <w:rFonts w:ascii="Book Antiqua" w:hAnsi="Book Antiqua" w:cs="Times New Roman"/>
          <w:color w:val="000000" w:themeColor="text1"/>
        </w:rPr>
        <w:t>he t</w:t>
      </w:r>
      <w:r w:rsidR="000B255E" w:rsidRPr="0083147A">
        <w:rPr>
          <w:rFonts w:ascii="Book Antiqua" w:hAnsi="Book Antiqua" w:cs="Times New Roman"/>
          <w:color w:val="000000" w:themeColor="text1"/>
        </w:rPr>
        <w:t xml:space="preserve">ime to onset of MKI-associated HFSR is much shorter than for </w:t>
      </w:r>
      <w:r w:rsidR="000F3FF6" w:rsidRPr="0083147A">
        <w:rPr>
          <w:rFonts w:ascii="Book Antiqua" w:hAnsi="Book Antiqua" w:cs="Times New Roman"/>
          <w:color w:val="000000" w:themeColor="text1"/>
        </w:rPr>
        <w:t xml:space="preserve">that of </w:t>
      </w:r>
      <w:r w:rsidR="000B255E" w:rsidRPr="0083147A">
        <w:rPr>
          <w:rFonts w:ascii="Book Antiqua" w:hAnsi="Book Antiqua" w:cs="Times New Roman"/>
          <w:color w:val="000000" w:themeColor="text1"/>
        </w:rPr>
        <w:t>HFSR</w:t>
      </w:r>
      <w:r w:rsidR="000F3FF6" w:rsidRPr="0083147A">
        <w:rPr>
          <w:rFonts w:ascii="Book Antiqua" w:hAnsi="Book Antiqua" w:cs="Times New Roman"/>
          <w:color w:val="000000" w:themeColor="text1"/>
        </w:rPr>
        <w:t xml:space="preserve"> induced by chemotherapy</w:t>
      </w:r>
      <w:r w:rsidR="002A746C" w:rsidRPr="0083147A">
        <w:rPr>
          <w:rFonts w:ascii="Book Antiqua" w:hAnsi="Book Antiqua" w:cs="Times New Roman"/>
          <w:color w:val="000000" w:themeColor="text1"/>
        </w:rPr>
        <w:t xml:space="preserve">. </w:t>
      </w:r>
      <w:r w:rsidR="002A746C" w:rsidRPr="0083147A">
        <w:rPr>
          <w:rFonts w:ascii="Book Antiqua" w:hAnsi="Book Antiqua" w:cs="Times New Roman"/>
        </w:rPr>
        <w:t>Moreover, there is no evidence-based rationale to advocate for preventive measures for MKI-associated HFSR.</w:t>
      </w:r>
      <w:r w:rsidR="005B0E57" w:rsidRPr="0083147A">
        <w:rPr>
          <w:rFonts w:ascii="Book Antiqua" w:hAnsi="Book Antiqua" w:cs="Times New Roman"/>
          <w:color w:val="000000" w:themeColor="text1"/>
        </w:rPr>
        <w:t xml:space="preserve"> </w:t>
      </w:r>
      <w:r w:rsidR="00A453B3" w:rsidRPr="0083147A">
        <w:rPr>
          <w:rFonts w:ascii="Book Antiqua" w:hAnsi="Book Antiqua" w:cs="Times New Roman"/>
          <w:color w:val="000000" w:themeColor="text1"/>
        </w:rPr>
        <w:t>Sorafenib treatment</w:t>
      </w:r>
      <w:r w:rsidR="009E5A5F" w:rsidRPr="0083147A">
        <w:rPr>
          <w:rFonts w:ascii="Book Antiqua" w:hAnsi="Book Antiqua" w:cs="Times New Roman"/>
          <w:color w:val="000000" w:themeColor="text1"/>
        </w:rPr>
        <w:t xml:space="preserve"> is less effective for tumor shrinkage;</w:t>
      </w:r>
      <w:r w:rsidR="00F85036" w:rsidRPr="0083147A">
        <w:rPr>
          <w:rFonts w:ascii="Book Antiqua" w:hAnsi="Book Antiqua" w:cs="Times New Roman"/>
          <w:color w:val="000000" w:themeColor="text1"/>
        </w:rPr>
        <w:t xml:space="preserve"> </w:t>
      </w:r>
      <w:r w:rsidR="009E5A5F" w:rsidRPr="0083147A">
        <w:rPr>
          <w:rFonts w:ascii="Book Antiqua" w:hAnsi="Book Antiqua" w:cs="Times New Roman"/>
          <w:color w:val="000000" w:themeColor="text1"/>
        </w:rPr>
        <w:t>however</w:t>
      </w:r>
      <w:r w:rsidR="00A453B3" w:rsidRPr="0083147A">
        <w:rPr>
          <w:rFonts w:ascii="Book Antiqua" w:hAnsi="Book Antiqua" w:cs="Times New Roman"/>
          <w:color w:val="000000" w:themeColor="text1"/>
        </w:rPr>
        <w:t>,</w:t>
      </w:r>
      <w:r w:rsidR="00F85036" w:rsidRPr="0083147A">
        <w:rPr>
          <w:rFonts w:ascii="Book Antiqua" w:hAnsi="Book Antiqua" w:cs="Times New Roman"/>
          <w:color w:val="000000" w:themeColor="text1"/>
        </w:rPr>
        <w:t xml:space="preserve"> intervention by healthcare providers</w:t>
      </w:r>
      <w:r w:rsidR="00521530" w:rsidRPr="0083147A">
        <w:rPr>
          <w:rFonts w:ascii="Book Antiqua" w:hAnsi="Book Antiqua" w:cs="Times New Roman"/>
          <w:color w:val="000000" w:themeColor="text1"/>
        </w:rPr>
        <w:t>,</w:t>
      </w:r>
      <w:r w:rsidR="00F85036" w:rsidRPr="0083147A">
        <w:rPr>
          <w:rFonts w:ascii="Book Antiqua" w:hAnsi="Book Antiqua" w:cs="Times New Roman"/>
          <w:color w:val="000000" w:themeColor="text1"/>
        </w:rPr>
        <w:t xml:space="preserve"> including pharmacists with special knowledge, </w:t>
      </w:r>
      <w:r w:rsidR="00F56C6B" w:rsidRPr="0083147A">
        <w:rPr>
          <w:rFonts w:ascii="Book Antiqua" w:hAnsi="Book Antiqua" w:cs="Times New Roman"/>
          <w:color w:val="000000" w:themeColor="text1"/>
        </w:rPr>
        <w:t>can</w:t>
      </w:r>
      <w:r w:rsidR="0085112B" w:rsidRPr="0083147A">
        <w:rPr>
          <w:rFonts w:ascii="Book Antiqua" w:hAnsi="Book Antiqua" w:cs="Times New Roman"/>
          <w:color w:val="000000" w:themeColor="text1"/>
        </w:rPr>
        <w:t xml:space="preserve"> cover </w:t>
      </w:r>
      <w:r w:rsidR="00F56C6B" w:rsidRPr="0083147A">
        <w:rPr>
          <w:rFonts w:ascii="Book Antiqua" w:hAnsi="Book Antiqua" w:cs="Times New Roman"/>
          <w:color w:val="000000" w:themeColor="text1"/>
        </w:rPr>
        <w:t xml:space="preserve">these </w:t>
      </w:r>
      <w:r w:rsidR="0085112B" w:rsidRPr="0083147A">
        <w:rPr>
          <w:rFonts w:ascii="Book Antiqua" w:hAnsi="Book Antiqua" w:cs="Times New Roman"/>
          <w:color w:val="000000" w:themeColor="text1"/>
        </w:rPr>
        <w:t>individual factors</w:t>
      </w:r>
      <w:r w:rsidR="00F85036" w:rsidRPr="0083147A">
        <w:rPr>
          <w:rFonts w:ascii="Book Antiqua" w:hAnsi="Book Antiqua" w:cs="Times New Roman"/>
          <w:color w:val="000000" w:themeColor="text1"/>
        </w:rPr>
        <w:t>.</w:t>
      </w:r>
      <w:r w:rsidR="0085112B" w:rsidRPr="0083147A">
        <w:rPr>
          <w:rFonts w:ascii="Book Antiqua" w:hAnsi="Book Antiqua" w:cs="Times New Roman"/>
          <w:color w:val="000000" w:themeColor="text1"/>
        </w:rPr>
        <w:t xml:space="preserve"> In </w:t>
      </w:r>
      <w:r w:rsidR="001A1680" w:rsidRPr="0083147A">
        <w:rPr>
          <w:rFonts w:ascii="Book Antiqua" w:hAnsi="Book Antiqua" w:cs="Times New Roman"/>
          <w:color w:val="000000" w:themeColor="text1"/>
        </w:rPr>
        <w:t>the present</w:t>
      </w:r>
      <w:r w:rsidR="0085112B" w:rsidRPr="0083147A">
        <w:rPr>
          <w:rFonts w:ascii="Book Antiqua" w:hAnsi="Book Antiqua" w:cs="Times New Roman"/>
          <w:color w:val="000000" w:themeColor="text1"/>
        </w:rPr>
        <w:t xml:space="preserve"> study, </w:t>
      </w:r>
      <w:r w:rsidR="0010296D" w:rsidRPr="0083147A">
        <w:rPr>
          <w:rFonts w:ascii="Book Antiqua" w:hAnsi="Book Antiqua" w:cs="Times New Roman"/>
          <w:color w:val="000000" w:themeColor="text1"/>
        </w:rPr>
        <w:t>t</w:t>
      </w:r>
      <w:r w:rsidR="00A040F6" w:rsidRPr="0083147A">
        <w:rPr>
          <w:rFonts w:ascii="Book Antiqua" w:hAnsi="Book Antiqua" w:cs="Times New Roman"/>
          <w:color w:val="000000" w:themeColor="text1"/>
        </w:rPr>
        <w:t>he median cumulative dose</w:t>
      </w:r>
      <w:r w:rsidR="005E1F24" w:rsidRPr="0083147A">
        <w:rPr>
          <w:rFonts w:ascii="Book Antiqua" w:hAnsi="Book Antiqua" w:cs="Times New Roman"/>
          <w:color w:val="000000" w:themeColor="text1"/>
        </w:rPr>
        <w:t>s</w:t>
      </w:r>
      <w:r w:rsidR="00A040F6" w:rsidRPr="0083147A">
        <w:rPr>
          <w:rFonts w:ascii="Book Antiqua" w:hAnsi="Book Antiqua" w:cs="Times New Roman"/>
        </w:rPr>
        <w:t xml:space="preserve"> </w:t>
      </w:r>
      <w:r w:rsidR="00A040F6" w:rsidRPr="0083147A">
        <w:rPr>
          <w:rFonts w:ascii="Book Antiqua" w:hAnsi="Book Antiqua" w:cs="Times New Roman"/>
          <w:color w:val="000000" w:themeColor="text1"/>
        </w:rPr>
        <w:t xml:space="preserve">in the intervention and the </w:t>
      </w:r>
      <w:r w:rsidR="00362A9D" w:rsidRPr="0083147A">
        <w:rPr>
          <w:rFonts w:ascii="Book Antiqua" w:hAnsi="Book Antiqua" w:cs="Times New Roman"/>
          <w:color w:val="000000" w:themeColor="text1"/>
        </w:rPr>
        <w:t>non-</w:t>
      </w:r>
      <w:r w:rsidR="00A040F6" w:rsidRPr="0083147A">
        <w:rPr>
          <w:rFonts w:ascii="Book Antiqua" w:hAnsi="Book Antiqua" w:cs="Times New Roman"/>
          <w:color w:val="000000" w:themeColor="text1"/>
        </w:rPr>
        <w:t>intervention groups w</w:t>
      </w:r>
      <w:r w:rsidR="005E1F24" w:rsidRPr="0083147A">
        <w:rPr>
          <w:rFonts w:ascii="Book Antiqua" w:hAnsi="Book Antiqua" w:cs="Times New Roman"/>
          <w:color w:val="000000" w:themeColor="text1"/>
        </w:rPr>
        <w:t>ere</w:t>
      </w:r>
      <w:r w:rsidR="00B91278">
        <w:rPr>
          <w:rFonts w:ascii="Book Antiqua" w:hAnsi="Book Antiqua" w:cs="Times New Roman"/>
          <w:color w:val="000000" w:themeColor="text1"/>
        </w:rPr>
        <w:t xml:space="preserve"> 32200 mg and 17</w:t>
      </w:r>
      <w:r w:rsidR="00A040F6" w:rsidRPr="0083147A">
        <w:rPr>
          <w:rFonts w:ascii="Book Antiqua" w:hAnsi="Book Antiqua" w:cs="Times New Roman"/>
          <w:color w:val="000000" w:themeColor="text1"/>
        </w:rPr>
        <w:t>400 mg, respectively, showing a significant difference (</w:t>
      </w:r>
      <w:r w:rsidR="00A040F6" w:rsidRPr="00B91278">
        <w:rPr>
          <w:rFonts w:ascii="Book Antiqua" w:hAnsi="Book Antiqua" w:cs="Times New Roman"/>
          <w:i/>
          <w:color w:val="000000" w:themeColor="text1"/>
        </w:rPr>
        <w:t>P</w:t>
      </w:r>
      <w:r w:rsidR="00A040F6" w:rsidRPr="0083147A">
        <w:rPr>
          <w:rFonts w:ascii="Book Antiqua" w:hAnsi="Book Antiqua" w:cs="Times New Roman"/>
          <w:color w:val="000000" w:themeColor="text1"/>
        </w:rPr>
        <w:t xml:space="preserve"> = 0.047). </w:t>
      </w:r>
      <w:r w:rsidR="000E4657" w:rsidRPr="0083147A">
        <w:rPr>
          <w:rFonts w:ascii="Book Antiqua" w:hAnsi="Book Antiqua" w:cs="Times New Roman"/>
          <w:color w:val="000000" w:themeColor="text1"/>
        </w:rPr>
        <w:t>T</w:t>
      </w:r>
      <w:r w:rsidR="000F3FF6" w:rsidRPr="0083147A">
        <w:rPr>
          <w:rFonts w:ascii="Book Antiqua" w:hAnsi="Book Antiqua" w:cs="Times New Roman"/>
          <w:color w:val="000000" w:themeColor="text1"/>
        </w:rPr>
        <w:t xml:space="preserve">he </w:t>
      </w:r>
      <w:r w:rsidR="00CC3358" w:rsidRPr="0083147A">
        <w:rPr>
          <w:rFonts w:ascii="Book Antiqua" w:hAnsi="Book Antiqua" w:cs="Times New Roman"/>
          <w:color w:val="000000" w:themeColor="text1"/>
        </w:rPr>
        <w:t>MPR</w:t>
      </w:r>
      <w:r w:rsidR="000F3FF6" w:rsidRPr="0083147A">
        <w:rPr>
          <w:rFonts w:ascii="Book Antiqua" w:hAnsi="Book Antiqua" w:cs="Times New Roman"/>
          <w:color w:val="000000" w:themeColor="text1"/>
        </w:rPr>
        <w:t xml:space="preserve"> was significantly greater</w:t>
      </w:r>
      <w:r w:rsidR="00CC3358" w:rsidRPr="0083147A">
        <w:rPr>
          <w:rFonts w:ascii="Book Antiqua" w:hAnsi="Book Antiqua" w:cs="Times New Roman"/>
          <w:color w:val="000000" w:themeColor="text1"/>
        </w:rPr>
        <w:t xml:space="preserve"> in the intervention </w:t>
      </w:r>
      <w:r w:rsidR="00825E5A" w:rsidRPr="0083147A">
        <w:rPr>
          <w:rFonts w:ascii="Book Antiqua" w:hAnsi="Book Antiqua" w:cs="Times New Roman"/>
          <w:color w:val="000000" w:themeColor="text1"/>
        </w:rPr>
        <w:t xml:space="preserve">group than </w:t>
      </w:r>
      <w:r w:rsidR="00CC3358" w:rsidRPr="0083147A">
        <w:rPr>
          <w:rFonts w:ascii="Book Antiqua" w:hAnsi="Book Antiqua" w:cs="Times New Roman"/>
          <w:color w:val="000000" w:themeColor="text1"/>
        </w:rPr>
        <w:t xml:space="preserve">and </w:t>
      </w:r>
      <w:r w:rsidR="00825E5A" w:rsidRPr="0083147A">
        <w:rPr>
          <w:rFonts w:ascii="Book Antiqua" w:hAnsi="Book Antiqua" w:cs="Times New Roman"/>
          <w:color w:val="000000" w:themeColor="text1"/>
        </w:rPr>
        <w:t xml:space="preserve">the </w:t>
      </w:r>
      <w:r w:rsidR="002367A9" w:rsidRPr="0083147A">
        <w:rPr>
          <w:rFonts w:ascii="Book Antiqua" w:hAnsi="Book Antiqua" w:cs="Times New Roman"/>
          <w:color w:val="000000" w:themeColor="text1"/>
        </w:rPr>
        <w:t>non-intervention</w:t>
      </w:r>
      <w:r w:rsidR="00CC3358" w:rsidRPr="0083147A">
        <w:rPr>
          <w:rFonts w:ascii="Book Antiqua" w:hAnsi="Book Antiqua" w:cs="Times New Roman"/>
          <w:color w:val="000000" w:themeColor="text1"/>
        </w:rPr>
        <w:t xml:space="preserve"> g</w:t>
      </w:r>
      <w:r w:rsidR="00825E5A" w:rsidRPr="0083147A">
        <w:rPr>
          <w:rFonts w:ascii="Book Antiqua" w:hAnsi="Book Antiqua" w:cs="Times New Roman"/>
          <w:color w:val="000000" w:themeColor="text1"/>
        </w:rPr>
        <w:t>roup, at 97</w:t>
      </w:r>
      <w:r w:rsidR="00B91278">
        <w:rPr>
          <w:rFonts w:ascii="Book Antiqua" w:eastAsia="SimSun" w:hAnsi="Book Antiqua" w:cs="Times New Roman" w:hint="eastAsia"/>
          <w:color w:val="000000" w:themeColor="text1"/>
          <w:lang w:eastAsia="zh-CN"/>
        </w:rPr>
        <w:t>%</w:t>
      </w:r>
      <w:r w:rsidR="00825E5A" w:rsidRPr="0083147A">
        <w:rPr>
          <w:rFonts w:ascii="Book Antiqua" w:hAnsi="Book Antiqua" w:cs="Times New Roman"/>
          <w:color w:val="000000" w:themeColor="text1"/>
        </w:rPr>
        <w:t xml:space="preserve"> and 85% respectively, </w:t>
      </w:r>
      <w:r w:rsidR="00CC3358" w:rsidRPr="0083147A">
        <w:rPr>
          <w:rFonts w:ascii="Book Antiqua" w:hAnsi="Book Antiqua" w:cs="Times New Roman"/>
          <w:color w:val="000000" w:themeColor="text1"/>
        </w:rPr>
        <w:t>sho</w:t>
      </w:r>
      <w:r w:rsidR="00825E5A" w:rsidRPr="0083147A">
        <w:rPr>
          <w:rFonts w:ascii="Book Antiqua" w:hAnsi="Book Antiqua" w:cs="Times New Roman"/>
          <w:color w:val="000000" w:themeColor="text1"/>
        </w:rPr>
        <w:t>wing a significant difference (</w:t>
      </w:r>
      <w:r w:rsidR="00825E5A" w:rsidRPr="00B91278">
        <w:rPr>
          <w:rFonts w:ascii="Book Antiqua" w:hAnsi="Book Antiqua" w:cs="Times New Roman"/>
          <w:i/>
          <w:color w:val="000000" w:themeColor="text1"/>
        </w:rPr>
        <w:t>P</w:t>
      </w:r>
      <w:r w:rsidR="00A453B3" w:rsidRPr="0083147A">
        <w:rPr>
          <w:rFonts w:ascii="Book Antiqua" w:hAnsi="Book Antiqua" w:cs="Times New Roman"/>
          <w:color w:val="000000" w:themeColor="text1"/>
        </w:rPr>
        <w:t xml:space="preserve"> </w:t>
      </w:r>
      <w:r w:rsidR="00CC3358" w:rsidRPr="0083147A">
        <w:rPr>
          <w:rFonts w:ascii="Book Antiqua" w:hAnsi="Book Antiqua" w:cs="Times New Roman"/>
          <w:color w:val="000000" w:themeColor="text1"/>
        </w:rPr>
        <w:t>&lt;</w:t>
      </w:r>
      <w:r w:rsidR="00A453B3" w:rsidRPr="0083147A">
        <w:rPr>
          <w:rFonts w:ascii="Book Antiqua" w:hAnsi="Book Antiqua" w:cs="Times New Roman"/>
          <w:color w:val="000000" w:themeColor="text1"/>
        </w:rPr>
        <w:t xml:space="preserve"> </w:t>
      </w:r>
      <w:r w:rsidR="00825E5A" w:rsidRPr="0083147A">
        <w:rPr>
          <w:rFonts w:ascii="Book Antiqua" w:hAnsi="Book Antiqua" w:cs="Times New Roman"/>
          <w:color w:val="000000" w:themeColor="text1"/>
        </w:rPr>
        <w:t>0.001)</w:t>
      </w:r>
      <w:r w:rsidR="004A14BD" w:rsidRPr="0083147A">
        <w:rPr>
          <w:rFonts w:ascii="Book Antiqua" w:hAnsi="Book Antiqua" w:cs="Times New Roman"/>
          <w:color w:val="000000" w:themeColor="text1"/>
        </w:rPr>
        <w:t>;</w:t>
      </w:r>
      <w:r w:rsidR="00825E5A" w:rsidRPr="0083147A">
        <w:rPr>
          <w:rFonts w:ascii="Book Antiqua" w:hAnsi="Book Antiqua" w:cs="Times New Roman"/>
          <w:color w:val="000000" w:themeColor="text1"/>
        </w:rPr>
        <w:t xml:space="preserve"> i</w:t>
      </w:r>
      <w:r w:rsidR="00CC3358" w:rsidRPr="0083147A">
        <w:rPr>
          <w:rFonts w:ascii="Book Antiqua" w:hAnsi="Book Antiqua" w:cs="Times New Roman"/>
          <w:color w:val="000000" w:themeColor="text1"/>
        </w:rPr>
        <w:t>ntervention</w:t>
      </w:r>
      <w:r w:rsidR="00B3474F" w:rsidRPr="0083147A">
        <w:rPr>
          <w:rFonts w:ascii="Book Antiqua" w:hAnsi="Book Antiqua" w:cs="Times New Roman"/>
          <w:color w:val="000000" w:themeColor="text1"/>
        </w:rPr>
        <w:t xml:space="preserve"> by pharmacists </w:t>
      </w:r>
      <w:r w:rsidR="00CC3358" w:rsidRPr="0083147A">
        <w:rPr>
          <w:rFonts w:ascii="Book Antiqua" w:hAnsi="Book Antiqua" w:cs="Times New Roman"/>
          <w:color w:val="000000" w:themeColor="text1"/>
        </w:rPr>
        <w:t xml:space="preserve">contributed to </w:t>
      </w:r>
      <w:r w:rsidR="00825E5A" w:rsidRPr="0083147A">
        <w:rPr>
          <w:rFonts w:ascii="Book Antiqua" w:hAnsi="Book Antiqua" w:cs="Times New Roman"/>
          <w:color w:val="000000" w:themeColor="text1"/>
        </w:rPr>
        <w:t xml:space="preserve">this </w:t>
      </w:r>
      <w:r w:rsidR="00A92D40" w:rsidRPr="0083147A">
        <w:rPr>
          <w:rFonts w:ascii="Book Antiqua" w:hAnsi="Book Antiqua" w:cs="Times New Roman"/>
          <w:color w:val="000000" w:themeColor="text1"/>
        </w:rPr>
        <w:t>increased</w:t>
      </w:r>
      <w:r w:rsidR="00CC3358" w:rsidRPr="0083147A">
        <w:rPr>
          <w:rFonts w:ascii="Book Antiqua" w:hAnsi="Book Antiqua" w:cs="Times New Roman"/>
          <w:color w:val="000000" w:themeColor="text1"/>
        </w:rPr>
        <w:t xml:space="preserve"> adherence.</w:t>
      </w:r>
    </w:p>
    <w:p w:rsidR="00CC3358" w:rsidRPr="00F178CE" w:rsidRDefault="00825E5A" w:rsidP="00F178CE">
      <w:pPr>
        <w:spacing w:line="360" w:lineRule="auto"/>
        <w:ind w:firstLine="480"/>
        <w:rPr>
          <w:rFonts w:ascii="Book Antiqua" w:eastAsia="SimSun" w:hAnsi="Book Antiqua" w:cs="Times New Roman"/>
          <w:color w:val="000000" w:themeColor="text1"/>
          <w:lang w:eastAsia="zh-CN"/>
        </w:rPr>
      </w:pPr>
      <w:r w:rsidRPr="0083147A">
        <w:rPr>
          <w:rFonts w:ascii="Book Antiqua" w:hAnsi="Book Antiqua" w:cs="Times New Roman"/>
          <w:color w:val="000000" w:themeColor="text1"/>
        </w:rPr>
        <w:t>T</w:t>
      </w:r>
      <w:r w:rsidR="00CC3358" w:rsidRPr="0083147A">
        <w:rPr>
          <w:rFonts w:ascii="Book Antiqua" w:hAnsi="Book Antiqua" w:cs="Times New Roman"/>
          <w:color w:val="000000" w:themeColor="text1"/>
        </w:rPr>
        <w:t xml:space="preserve">o evaluate the role of MKI-associated </w:t>
      </w:r>
      <w:r w:rsidR="00A722CD" w:rsidRPr="0083147A">
        <w:rPr>
          <w:rFonts w:ascii="Book Antiqua" w:hAnsi="Book Antiqua" w:cs="Times New Roman"/>
          <w:color w:val="000000" w:themeColor="text1"/>
        </w:rPr>
        <w:t>HFSR</w:t>
      </w:r>
      <w:r w:rsidR="00CC3358" w:rsidRPr="0083147A">
        <w:rPr>
          <w:rFonts w:ascii="Book Antiqua" w:hAnsi="Book Antiqua" w:cs="Times New Roman"/>
          <w:color w:val="000000" w:themeColor="text1"/>
        </w:rPr>
        <w:t xml:space="preserve"> as a surrogate marker for therapeutic effects, we conducted </w:t>
      </w:r>
      <w:r w:rsidR="001A1680" w:rsidRPr="0083147A">
        <w:rPr>
          <w:rFonts w:ascii="Book Antiqua" w:hAnsi="Book Antiqua" w:cs="Times New Roman"/>
          <w:color w:val="000000" w:themeColor="text1"/>
        </w:rPr>
        <w:t xml:space="preserve">a </w:t>
      </w:r>
      <w:r w:rsidR="00CC3358" w:rsidRPr="0083147A">
        <w:rPr>
          <w:rFonts w:ascii="Book Antiqua" w:hAnsi="Book Antiqua" w:cs="Times New Roman"/>
          <w:color w:val="000000" w:themeColor="text1"/>
        </w:rPr>
        <w:t>retrospective analysis involving advanced hepatocellular carcinoma patients wh</w:t>
      </w:r>
      <w:r w:rsidR="00A453B3" w:rsidRPr="0083147A">
        <w:rPr>
          <w:rFonts w:ascii="Book Antiqua" w:hAnsi="Book Antiqua" w:cs="Times New Roman"/>
          <w:color w:val="000000" w:themeColor="text1"/>
        </w:rPr>
        <w:t>o had received sorafenib treatment</w:t>
      </w:r>
      <w:r w:rsidR="00CC3358" w:rsidRPr="0083147A">
        <w:rPr>
          <w:rFonts w:ascii="Book Antiqua" w:hAnsi="Book Antiqua" w:cs="Times New Roman"/>
          <w:color w:val="000000" w:themeColor="text1"/>
        </w:rPr>
        <w:t xml:space="preserve"> under intervent</w:t>
      </w:r>
      <w:r w:rsidR="00A722CD" w:rsidRPr="0083147A">
        <w:rPr>
          <w:rFonts w:ascii="Book Antiqua" w:hAnsi="Book Antiqua" w:cs="Times New Roman"/>
          <w:color w:val="000000" w:themeColor="text1"/>
        </w:rPr>
        <w:t>ion by pharmacists. The results</w:t>
      </w:r>
      <w:r w:rsidR="001A1680" w:rsidRPr="0083147A">
        <w:rPr>
          <w:rFonts w:ascii="Book Antiqua" w:hAnsi="Book Antiqua" w:cs="Times New Roman"/>
          <w:color w:val="000000" w:themeColor="text1"/>
        </w:rPr>
        <w:t xml:space="preserve"> </w:t>
      </w:r>
      <w:r w:rsidR="00CC3358" w:rsidRPr="0083147A">
        <w:rPr>
          <w:rFonts w:ascii="Book Antiqua" w:hAnsi="Book Antiqua" w:cs="Times New Roman"/>
          <w:color w:val="000000" w:themeColor="text1"/>
        </w:rPr>
        <w:t xml:space="preserve">indicated that MKI-associated </w:t>
      </w:r>
      <w:r w:rsidR="00A722CD" w:rsidRPr="0083147A">
        <w:rPr>
          <w:rFonts w:ascii="Book Antiqua" w:hAnsi="Book Antiqua" w:cs="Times New Roman"/>
          <w:color w:val="000000" w:themeColor="text1"/>
        </w:rPr>
        <w:t>HFSR</w:t>
      </w:r>
      <w:r w:rsidR="00CC3358" w:rsidRPr="0083147A">
        <w:rPr>
          <w:rFonts w:ascii="Book Antiqua" w:hAnsi="Book Antiqua" w:cs="Times New Roman"/>
          <w:color w:val="000000" w:themeColor="text1"/>
        </w:rPr>
        <w:t xml:space="preserve"> </w:t>
      </w:r>
      <w:r w:rsidR="00A722CD" w:rsidRPr="0083147A">
        <w:rPr>
          <w:rFonts w:ascii="Book Antiqua" w:hAnsi="Book Antiqua" w:cs="Times New Roman"/>
          <w:color w:val="000000" w:themeColor="text1"/>
        </w:rPr>
        <w:t>was</w:t>
      </w:r>
      <w:r w:rsidR="00CC3358" w:rsidRPr="0083147A">
        <w:rPr>
          <w:rFonts w:ascii="Book Antiqua" w:hAnsi="Book Antiqua" w:cs="Times New Roman"/>
          <w:color w:val="000000" w:themeColor="text1"/>
        </w:rPr>
        <w:t xml:space="preserve"> a surrogate marker for OS under </w:t>
      </w:r>
      <w:r w:rsidR="00A92D40" w:rsidRPr="0083147A">
        <w:rPr>
          <w:rFonts w:ascii="Book Antiqua" w:hAnsi="Book Antiqua" w:cs="Times New Roman"/>
          <w:color w:val="000000" w:themeColor="text1"/>
        </w:rPr>
        <w:t>increased</w:t>
      </w:r>
      <w:r w:rsidR="001A1680" w:rsidRPr="0083147A">
        <w:rPr>
          <w:rFonts w:ascii="Book Antiqua" w:hAnsi="Book Antiqua" w:cs="Times New Roman"/>
          <w:color w:val="000000" w:themeColor="text1"/>
        </w:rPr>
        <w:t xml:space="preserve"> </w:t>
      </w:r>
      <w:r w:rsidR="00CC3358" w:rsidRPr="0083147A">
        <w:rPr>
          <w:rFonts w:ascii="Book Antiqua" w:hAnsi="Book Antiqua" w:cs="Times New Roman"/>
          <w:color w:val="000000" w:themeColor="text1"/>
        </w:rPr>
        <w:t xml:space="preserve">adherence. Neither the rate of decrease in </w:t>
      </w:r>
      <w:r w:rsidR="0012231D" w:rsidRPr="0083147A">
        <w:rPr>
          <w:rFonts w:ascii="Book Antiqua" w:hAnsi="Book Antiqua" w:cs="Times New Roman"/>
          <w:color w:val="000000" w:themeColor="text1"/>
        </w:rPr>
        <w:t xml:space="preserve">AFP </w:t>
      </w:r>
      <w:r w:rsidR="00CC3358" w:rsidRPr="0083147A">
        <w:rPr>
          <w:rFonts w:ascii="Book Antiqua" w:hAnsi="Book Antiqua" w:cs="Times New Roman"/>
          <w:color w:val="000000" w:themeColor="text1"/>
        </w:rPr>
        <w:t>level</w:t>
      </w:r>
      <w:r w:rsidR="001A1680" w:rsidRPr="0083147A">
        <w:rPr>
          <w:rFonts w:ascii="Book Antiqua" w:hAnsi="Book Antiqua" w:cs="Times New Roman"/>
          <w:color w:val="000000" w:themeColor="text1"/>
        </w:rPr>
        <w:t>s</w:t>
      </w:r>
      <w:r w:rsidR="00CC3358" w:rsidRPr="0083147A">
        <w:rPr>
          <w:rFonts w:ascii="Book Antiqua" w:hAnsi="Book Antiqua" w:cs="Times New Roman"/>
          <w:color w:val="000000" w:themeColor="text1"/>
        </w:rPr>
        <w:t xml:space="preserve"> in the early stage nor diarrhea/hypertension w</w:t>
      </w:r>
      <w:r w:rsidR="00486D08" w:rsidRPr="0083147A">
        <w:rPr>
          <w:rFonts w:ascii="Book Antiqua" w:hAnsi="Book Antiqua" w:cs="Times New Roman"/>
          <w:color w:val="000000" w:themeColor="text1"/>
        </w:rPr>
        <w:t>as</w:t>
      </w:r>
      <w:r w:rsidR="00CC3358" w:rsidRPr="0083147A">
        <w:rPr>
          <w:rFonts w:ascii="Book Antiqua" w:hAnsi="Book Antiqua" w:cs="Times New Roman"/>
          <w:color w:val="000000" w:themeColor="text1"/>
        </w:rPr>
        <w:t xml:space="preserve"> </w:t>
      </w:r>
      <w:r w:rsidR="00486D08" w:rsidRPr="0083147A">
        <w:rPr>
          <w:rFonts w:ascii="Book Antiqua" w:hAnsi="Book Antiqua" w:cs="Times New Roman"/>
          <w:color w:val="000000" w:themeColor="text1"/>
        </w:rPr>
        <w:t xml:space="preserve">a </w:t>
      </w:r>
      <w:r w:rsidR="00CC3358" w:rsidRPr="0083147A">
        <w:rPr>
          <w:rFonts w:ascii="Book Antiqua" w:hAnsi="Book Antiqua" w:cs="Times New Roman"/>
          <w:color w:val="000000" w:themeColor="text1"/>
        </w:rPr>
        <w:t xml:space="preserve">surrogate marker. Intervention by pharmacists prolonged </w:t>
      </w:r>
      <w:r w:rsidR="0012231D" w:rsidRPr="0083147A">
        <w:rPr>
          <w:rFonts w:ascii="Book Antiqua" w:hAnsi="Book Antiqua" w:cs="Times New Roman"/>
          <w:color w:val="000000" w:themeColor="text1"/>
        </w:rPr>
        <w:t xml:space="preserve">the </w:t>
      </w:r>
      <w:r w:rsidR="00CC3358" w:rsidRPr="0083147A">
        <w:rPr>
          <w:rFonts w:ascii="Book Antiqua" w:hAnsi="Book Antiqua" w:cs="Times New Roman"/>
          <w:color w:val="000000" w:themeColor="text1"/>
        </w:rPr>
        <w:t xml:space="preserve">TTF and increased </w:t>
      </w:r>
      <w:r w:rsidR="00B94B56" w:rsidRPr="0083147A">
        <w:rPr>
          <w:rFonts w:ascii="Book Antiqua" w:hAnsi="Book Antiqua" w:cs="Times New Roman"/>
          <w:color w:val="000000" w:themeColor="text1"/>
        </w:rPr>
        <w:t xml:space="preserve">the median cumulative dose and </w:t>
      </w:r>
      <w:r w:rsidR="0012231D" w:rsidRPr="0083147A">
        <w:rPr>
          <w:rFonts w:ascii="Book Antiqua" w:hAnsi="Book Antiqua" w:cs="Times New Roman"/>
          <w:color w:val="000000" w:themeColor="text1"/>
        </w:rPr>
        <w:t xml:space="preserve">the </w:t>
      </w:r>
      <w:r w:rsidR="00CC3358" w:rsidRPr="0083147A">
        <w:rPr>
          <w:rFonts w:ascii="Book Antiqua" w:hAnsi="Book Antiqua" w:cs="Times New Roman"/>
          <w:color w:val="000000" w:themeColor="text1"/>
        </w:rPr>
        <w:t xml:space="preserve">MPR, </w:t>
      </w:r>
      <w:r w:rsidR="001A1680" w:rsidRPr="0083147A">
        <w:rPr>
          <w:rFonts w:ascii="Book Antiqua" w:hAnsi="Book Antiqua" w:cs="Times New Roman"/>
          <w:color w:val="000000" w:themeColor="text1"/>
        </w:rPr>
        <w:t>resulting in better</w:t>
      </w:r>
      <w:r w:rsidR="00CC3358" w:rsidRPr="0083147A">
        <w:rPr>
          <w:rFonts w:ascii="Book Antiqua" w:hAnsi="Book Antiqua" w:cs="Times New Roman"/>
          <w:color w:val="000000" w:themeColor="text1"/>
        </w:rPr>
        <w:t xml:space="preserve"> </w:t>
      </w:r>
      <w:r w:rsidR="00CC3358" w:rsidRPr="0083147A">
        <w:rPr>
          <w:rFonts w:ascii="Book Antiqua" w:hAnsi="Book Antiqua" w:cs="Times New Roman"/>
          <w:color w:val="000000" w:themeColor="text1"/>
        </w:rPr>
        <w:lastRenderedPageBreak/>
        <w:t xml:space="preserve">adherence. </w:t>
      </w:r>
      <w:r w:rsidR="007F2FE3" w:rsidRPr="0083147A">
        <w:rPr>
          <w:rFonts w:ascii="Book Antiqua" w:hAnsi="Book Antiqua" w:cs="Times New Roman"/>
        </w:rPr>
        <w:t xml:space="preserve">A borderline significant difference </w:t>
      </w:r>
      <w:r w:rsidR="00194E37" w:rsidRPr="0083147A">
        <w:rPr>
          <w:rFonts w:ascii="Book Antiqua" w:hAnsi="Book Antiqua" w:cs="Times New Roman"/>
        </w:rPr>
        <w:t>was observ</w:t>
      </w:r>
      <w:r w:rsidR="007F2FE3" w:rsidRPr="0083147A">
        <w:rPr>
          <w:rFonts w:ascii="Book Antiqua" w:hAnsi="Book Antiqua" w:cs="Times New Roman"/>
        </w:rPr>
        <w:t xml:space="preserve">ed in </w:t>
      </w:r>
      <w:r w:rsidR="00194E37" w:rsidRPr="0083147A">
        <w:rPr>
          <w:rFonts w:ascii="Book Antiqua" w:hAnsi="Book Antiqua" w:cs="Times New Roman"/>
        </w:rPr>
        <w:t xml:space="preserve">terms of </w:t>
      </w:r>
      <w:r w:rsidR="007F2FE3" w:rsidRPr="0083147A">
        <w:rPr>
          <w:rFonts w:ascii="Book Antiqua" w:hAnsi="Book Antiqua" w:cs="Times New Roman"/>
        </w:rPr>
        <w:t>OS between patients with and without intervention by pharmacists</w:t>
      </w:r>
      <w:r w:rsidR="00C77BAE" w:rsidRPr="0083147A">
        <w:rPr>
          <w:rFonts w:ascii="Book Antiqua" w:hAnsi="Book Antiqua" w:cs="Times New Roman"/>
        </w:rPr>
        <w:t>.</w:t>
      </w:r>
      <w:r w:rsidR="007F2FE3" w:rsidRPr="0083147A">
        <w:rPr>
          <w:rFonts w:ascii="Book Antiqua" w:hAnsi="Book Antiqua" w:cs="Times New Roman"/>
          <w:color w:val="FF0000"/>
        </w:rPr>
        <w:t xml:space="preserve"> </w:t>
      </w:r>
      <w:r w:rsidR="001A1680" w:rsidRPr="0083147A">
        <w:rPr>
          <w:rFonts w:ascii="Book Antiqua" w:hAnsi="Book Antiqua" w:cs="Times New Roman"/>
          <w:color w:val="000000" w:themeColor="text1"/>
        </w:rPr>
        <w:t>The present</w:t>
      </w:r>
      <w:r w:rsidR="00CC3358" w:rsidRPr="0083147A">
        <w:rPr>
          <w:rFonts w:ascii="Book Antiqua" w:hAnsi="Book Antiqua" w:cs="Times New Roman"/>
          <w:color w:val="000000" w:themeColor="text1"/>
        </w:rPr>
        <w:t xml:space="preserve"> study </w:t>
      </w:r>
      <w:r w:rsidR="001A1680" w:rsidRPr="0083147A">
        <w:rPr>
          <w:rFonts w:ascii="Book Antiqua" w:hAnsi="Book Antiqua" w:cs="Times New Roman"/>
          <w:color w:val="000000" w:themeColor="text1"/>
        </w:rPr>
        <w:t>had the following</w:t>
      </w:r>
      <w:r w:rsidR="00CC3358" w:rsidRPr="0083147A">
        <w:rPr>
          <w:rFonts w:ascii="Book Antiqua" w:hAnsi="Book Antiqua" w:cs="Times New Roman"/>
          <w:color w:val="000000" w:themeColor="text1"/>
        </w:rPr>
        <w:t xml:space="preserve"> limitations: our data are based on a retrosp</w:t>
      </w:r>
      <w:r w:rsidR="0012231D" w:rsidRPr="0083147A">
        <w:rPr>
          <w:rFonts w:ascii="Book Antiqua" w:hAnsi="Book Antiqua" w:cs="Times New Roman"/>
          <w:color w:val="000000" w:themeColor="text1"/>
        </w:rPr>
        <w:t>ective study, and the sample</w:t>
      </w:r>
      <w:r w:rsidR="00CC3358" w:rsidRPr="0083147A">
        <w:rPr>
          <w:rFonts w:ascii="Book Antiqua" w:hAnsi="Book Antiqua" w:cs="Times New Roman"/>
          <w:color w:val="000000" w:themeColor="text1"/>
        </w:rPr>
        <w:t xml:space="preserve"> size was small.</w:t>
      </w:r>
    </w:p>
    <w:p w:rsidR="0000356D" w:rsidRPr="00F178CE" w:rsidRDefault="00F178CE" w:rsidP="00F178CE">
      <w:pPr>
        <w:spacing w:line="360" w:lineRule="auto"/>
        <w:ind w:firstLineChars="100" w:firstLine="240"/>
        <w:outlineLvl w:val="0"/>
        <w:rPr>
          <w:rFonts w:ascii="Book Antiqua" w:eastAsia="SimSun" w:hAnsi="Book Antiqua" w:cs="Times New Roman"/>
          <w:b/>
          <w:color w:val="000000" w:themeColor="text1"/>
          <w:lang w:eastAsia="zh-CN"/>
        </w:rPr>
      </w:pPr>
      <w:r w:rsidRPr="00F178CE">
        <w:rPr>
          <w:rFonts w:ascii="Book Antiqua" w:eastAsia="SimSun" w:hAnsi="Book Antiqua" w:cs="Times New Roman" w:hint="eastAsia"/>
          <w:color w:val="000000" w:themeColor="text1"/>
          <w:lang w:eastAsia="zh-CN"/>
        </w:rPr>
        <w:t xml:space="preserve">In </w:t>
      </w:r>
      <w:r w:rsidRPr="00F178CE">
        <w:rPr>
          <w:rFonts w:ascii="Book Antiqua" w:hAnsi="Book Antiqua" w:cs="Times New Roman"/>
          <w:color w:val="000000" w:themeColor="text1"/>
        </w:rPr>
        <w:t>conclusion</w:t>
      </w:r>
      <w:r w:rsidRPr="00F178CE">
        <w:rPr>
          <w:rFonts w:ascii="Book Antiqua" w:eastAsia="SimSun" w:hAnsi="Book Antiqua" w:cs="Times New Roman" w:hint="eastAsia"/>
          <w:color w:val="000000" w:themeColor="text1"/>
          <w:lang w:eastAsia="zh-CN"/>
        </w:rPr>
        <w:t>,</w:t>
      </w:r>
      <w:r>
        <w:rPr>
          <w:rFonts w:ascii="Book Antiqua" w:eastAsia="SimSun" w:hAnsi="Book Antiqua" w:cs="Times New Roman" w:hint="eastAsia"/>
          <w:b/>
          <w:color w:val="000000" w:themeColor="text1"/>
          <w:lang w:eastAsia="zh-CN"/>
        </w:rPr>
        <w:t xml:space="preserve"> </w:t>
      </w:r>
      <w:r w:rsidRPr="0083147A">
        <w:rPr>
          <w:rFonts w:ascii="Book Antiqua" w:hAnsi="Book Antiqua" w:cs="Times New Roman"/>
        </w:rPr>
        <w:t xml:space="preserve">intervention </w:t>
      </w:r>
      <w:r w:rsidR="0010296D" w:rsidRPr="0083147A">
        <w:rPr>
          <w:rFonts w:ascii="Book Antiqua" w:hAnsi="Book Antiqua" w:cs="Times New Roman"/>
        </w:rPr>
        <w:t xml:space="preserve">by pharmacists using the double-check system improved drug adherence. </w:t>
      </w:r>
      <w:r w:rsidR="00E55D93" w:rsidRPr="0083147A">
        <w:rPr>
          <w:rFonts w:ascii="Book Antiqua" w:hAnsi="Book Antiqua" w:cs="Times New Roman"/>
          <w:color w:val="000000" w:themeColor="text1"/>
        </w:rPr>
        <w:t xml:space="preserve">Under increased adherence, </w:t>
      </w:r>
      <w:r w:rsidR="001A1680" w:rsidRPr="0083147A">
        <w:rPr>
          <w:rFonts w:ascii="Book Antiqua" w:hAnsi="Book Antiqua" w:cs="Times New Roman"/>
          <w:color w:val="000000" w:themeColor="text1"/>
        </w:rPr>
        <w:t xml:space="preserve">MKI-associated </w:t>
      </w:r>
      <w:r w:rsidR="00D11DDB" w:rsidRPr="0083147A">
        <w:rPr>
          <w:rFonts w:ascii="Book Antiqua" w:hAnsi="Book Antiqua" w:cs="Times New Roman"/>
          <w:color w:val="000000" w:themeColor="text1"/>
        </w:rPr>
        <w:t>HFSR</w:t>
      </w:r>
      <w:r w:rsidR="00CC42EC" w:rsidRPr="0083147A">
        <w:rPr>
          <w:rFonts w:ascii="Book Antiqua" w:hAnsi="Book Antiqua" w:cs="Times New Roman"/>
          <w:color w:val="000000" w:themeColor="text1"/>
        </w:rPr>
        <w:t xml:space="preserve"> </w:t>
      </w:r>
      <w:r w:rsidR="001A1680" w:rsidRPr="0083147A">
        <w:rPr>
          <w:rFonts w:ascii="Book Antiqua" w:hAnsi="Book Antiqua" w:cs="Times New Roman"/>
          <w:color w:val="000000" w:themeColor="text1"/>
        </w:rPr>
        <w:t>in patients</w:t>
      </w:r>
      <w:r w:rsidR="00A453B3" w:rsidRPr="0083147A">
        <w:rPr>
          <w:rFonts w:ascii="Book Antiqua" w:hAnsi="Book Antiqua" w:cs="Times New Roman"/>
          <w:color w:val="000000" w:themeColor="text1"/>
        </w:rPr>
        <w:t xml:space="preserve"> receiving sorafenib treatment</w:t>
      </w:r>
      <w:r w:rsidR="00161EC1" w:rsidRPr="0083147A">
        <w:rPr>
          <w:rFonts w:ascii="Book Antiqua" w:hAnsi="Book Antiqua" w:cs="Times New Roman"/>
          <w:color w:val="000000" w:themeColor="text1"/>
        </w:rPr>
        <w:t xml:space="preserve"> was</w:t>
      </w:r>
      <w:r w:rsidR="00CC3358" w:rsidRPr="0083147A">
        <w:rPr>
          <w:rFonts w:ascii="Book Antiqua" w:hAnsi="Book Antiqua" w:cs="Times New Roman"/>
          <w:color w:val="000000" w:themeColor="text1"/>
        </w:rPr>
        <w:t xml:space="preserve"> a surrogate marker reflecting </w:t>
      </w:r>
      <w:r w:rsidR="001A1680" w:rsidRPr="0083147A">
        <w:rPr>
          <w:rFonts w:ascii="Book Antiqua" w:hAnsi="Book Antiqua" w:cs="Times New Roman"/>
          <w:color w:val="000000" w:themeColor="text1"/>
        </w:rPr>
        <w:t>a better</w:t>
      </w:r>
      <w:r w:rsidR="00CC3358" w:rsidRPr="0083147A">
        <w:rPr>
          <w:rFonts w:ascii="Book Antiqua" w:hAnsi="Book Antiqua" w:cs="Times New Roman"/>
          <w:color w:val="000000" w:themeColor="text1"/>
        </w:rPr>
        <w:t xml:space="preserve"> prognosis. </w:t>
      </w:r>
      <w:r w:rsidR="001A1680" w:rsidRPr="0083147A">
        <w:rPr>
          <w:rFonts w:ascii="Book Antiqua" w:hAnsi="Book Antiqua" w:cs="Times New Roman"/>
          <w:color w:val="000000" w:themeColor="text1"/>
        </w:rPr>
        <w:t>I</w:t>
      </w:r>
      <w:r w:rsidR="00CC3358" w:rsidRPr="0083147A">
        <w:rPr>
          <w:rFonts w:ascii="Book Antiqua" w:hAnsi="Book Antiqua" w:cs="Times New Roman"/>
          <w:color w:val="000000" w:themeColor="text1"/>
        </w:rPr>
        <w:t xml:space="preserve">ntervention by healthcare providers, including pharmacists with special knowledge, </w:t>
      </w:r>
      <w:r w:rsidR="001A1680" w:rsidRPr="0083147A">
        <w:rPr>
          <w:rFonts w:ascii="Book Antiqua" w:hAnsi="Book Antiqua" w:cs="Times New Roman"/>
          <w:color w:val="000000" w:themeColor="text1"/>
        </w:rPr>
        <w:t>need</w:t>
      </w:r>
      <w:r w:rsidR="00CC42EC" w:rsidRPr="0083147A">
        <w:rPr>
          <w:rFonts w:ascii="Book Antiqua" w:hAnsi="Book Antiqua" w:cs="Times New Roman"/>
          <w:color w:val="000000" w:themeColor="text1"/>
        </w:rPr>
        <w:t>s</w:t>
      </w:r>
      <w:r w:rsidR="001A1680" w:rsidRPr="0083147A">
        <w:rPr>
          <w:rFonts w:ascii="Book Antiqua" w:hAnsi="Book Antiqua" w:cs="Times New Roman"/>
          <w:color w:val="000000" w:themeColor="text1"/>
        </w:rPr>
        <w:t xml:space="preserve"> to</w:t>
      </w:r>
      <w:r w:rsidR="00CC3358" w:rsidRPr="0083147A">
        <w:rPr>
          <w:rFonts w:ascii="Book Antiqua" w:hAnsi="Book Antiqua" w:cs="Times New Roman"/>
          <w:color w:val="000000" w:themeColor="text1"/>
        </w:rPr>
        <w:t xml:space="preserve"> be performed</w:t>
      </w:r>
      <w:r w:rsidR="001A1680" w:rsidRPr="0083147A">
        <w:rPr>
          <w:rFonts w:ascii="Book Antiqua" w:hAnsi="Book Antiqua" w:cs="Times New Roman"/>
          <w:color w:val="000000" w:themeColor="text1"/>
        </w:rPr>
        <w:t xml:space="preserve"> f</w:t>
      </w:r>
      <w:r w:rsidR="00A453B3" w:rsidRPr="0083147A">
        <w:rPr>
          <w:rFonts w:ascii="Book Antiqua" w:hAnsi="Book Antiqua" w:cs="Times New Roman"/>
          <w:color w:val="000000" w:themeColor="text1"/>
        </w:rPr>
        <w:t>or adequate sorafenib treatment</w:t>
      </w:r>
      <w:r w:rsidR="00CC3358" w:rsidRPr="0083147A">
        <w:rPr>
          <w:rFonts w:ascii="Book Antiqua" w:hAnsi="Book Antiqua" w:cs="Times New Roman"/>
          <w:color w:val="000000" w:themeColor="text1"/>
        </w:rPr>
        <w:t>.</w:t>
      </w:r>
    </w:p>
    <w:p w:rsidR="00E74D30" w:rsidRPr="0083147A" w:rsidRDefault="00E74D30" w:rsidP="00946207">
      <w:pPr>
        <w:spacing w:line="360" w:lineRule="auto"/>
        <w:rPr>
          <w:rFonts w:ascii="Book Antiqua" w:hAnsi="Book Antiqua" w:cs="Times New Roman"/>
          <w:color w:val="000000" w:themeColor="text1"/>
        </w:rPr>
      </w:pPr>
    </w:p>
    <w:p w:rsidR="00954D6A" w:rsidRPr="0083147A" w:rsidRDefault="00954D6A" w:rsidP="00946207">
      <w:pPr>
        <w:spacing w:line="360" w:lineRule="auto"/>
        <w:outlineLvl w:val="0"/>
        <w:rPr>
          <w:rFonts w:ascii="Book Antiqua" w:hAnsi="Book Antiqua" w:cs="Times New Roman"/>
          <w:b/>
          <w:color w:val="000000" w:themeColor="text1"/>
        </w:rPr>
      </w:pPr>
      <w:r w:rsidRPr="0083147A">
        <w:rPr>
          <w:rFonts w:ascii="Book Antiqua" w:hAnsi="Book Antiqua" w:cs="Times New Roman"/>
          <w:b/>
          <w:color w:val="000000" w:themeColor="text1"/>
        </w:rPr>
        <w:t>ART</w:t>
      </w:r>
      <w:r w:rsidR="00241455" w:rsidRPr="0083147A">
        <w:rPr>
          <w:rFonts w:ascii="Book Antiqua" w:hAnsi="Book Antiqua" w:cs="Times New Roman"/>
          <w:b/>
          <w:color w:val="000000" w:themeColor="text1"/>
        </w:rPr>
        <w:t>I</w:t>
      </w:r>
      <w:r w:rsidRPr="0083147A">
        <w:rPr>
          <w:rFonts w:ascii="Book Antiqua" w:hAnsi="Book Antiqua" w:cs="Times New Roman"/>
          <w:b/>
          <w:color w:val="000000" w:themeColor="text1"/>
        </w:rPr>
        <w:t>CLE HIGHLIGHTS</w:t>
      </w:r>
    </w:p>
    <w:p w:rsidR="00954D6A" w:rsidRPr="0083147A" w:rsidRDefault="0017390D" w:rsidP="00946207">
      <w:pPr>
        <w:spacing w:line="360" w:lineRule="auto"/>
        <w:outlineLvl w:val="0"/>
        <w:rPr>
          <w:rFonts w:ascii="Book Antiqua" w:hAnsi="Book Antiqua" w:cs="Times New Roman"/>
          <w:b/>
          <w:i/>
          <w:color w:val="000000" w:themeColor="text1"/>
        </w:rPr>
      </w:pPr>
      <w:r w:rsidRPr="0083147A">
        <w:rPr>
          <w:rFonts w:ascii="Book Antiqua" w:hAnsi="Book Antiqua" w:cs="Times New Roman"/>
          <w:b/>
          <w:i/>
          <w:color w:val="000000" w:themeColor="text1"/>
        </w:rPr>
        <w:t>Research background</w:t>
      </w:r>
    </w:p>
    <w:p w:rsidR="0017390D" w:rsidRPr="0083147A" w:rsidRDefault="00DC521D" w:rsidP="00946207">
      <w:pPr>
        <w:spacing w:line="360" w:lineRule="auto"/>
        <w:rPr>
          <w:rFonts w:ascii="Book Antiqua" w:hAnsi="Book Antiqua" w:cs="Times New Roman"/>
          <w:color w:val="000000" w:themeColor="text1"/>
        </w:rPr>
      </w:pPr>
      <w:r w:rsidRPr="0083147A">
        <w:rPr>
          <w:rFonts w:ascii="Book Antiqua" w:hAnsi="Book Antiqua" w:cs="Times New Roman"/>
          <w:color w:val="000000" w:themeColor="text1"/>
        </w:rPr>
        <w:t>A surrogate marker that reflects a better prognosis after the introduction of sorafenib has not yet been established.</w:t>
      </w:r>
    </w:p>
    <w:p w:rsidR="00A5732E" w:rsidRPr="0083147A" w:rsidRDefault="00A5732E" w:rsidP="00946207">
      <w:pPr>
        <w:spacing w:line="360" w:lineRule="auto"/>
        <w:rPr>
          <w:rFonts w:ascii="Book Antiqua" w:hAnsi="Book Antiqua" w:cs="Times New Roman"/>
          <w:color w:val="000000" w:themeColor="text1"/>
        </w:rPr>
      </w:pPr>
    </w:p>
    <w:p w:rsidR="00A5732E" w:rsidRPr="0083147A" w:rsidRDefault="00B10ECD" w:rsidP="00946207">
      <w:pPr>
        <w:spacing w:line="360" w:lineRule="auto"/>
        <w:outlineLvl w:val="0"/>
        <w:rPr>
          <w:rFonts w:ascii="Book Antiqua" w:hAnsi="Book Antiqua" w:cs="Times New Roman"/>
          <w:b/>
          <w:i/>
          <w:color w:val="000000" w:themeColor="text1"/>
        </w:rPr>
      </w:pPr>
      <w:r w:rsidRPr="0083147A">
        <w:rPr>
          <w:rFonts w:ascii="Book Antiqua" w:hAnsi="Book Antiqua" w:cs="Times New Roman"/>
          <w:b/>
          <w:i/>
          <w:color w:val="000000" w:themeColor="text1"/>
        </w:rPr>
        <w:t>Research motivation</w:t>
      </w:r>
    </w:p>
    <w:p w:rsidR="0010296D" w:rsidRPr="0083147A" w:rsidRDefault="0010296D" w:rsidP="00946207">
      <w:pPr>
        <w:spacing w:line="360" w:lineRule="auto"/>
        <w:rPr>
          <w:rFonts w:ascii="Book Antiqua" w:hAnsi="Book Antiqua" w:cs="Times New Roman"/>
        </w:rPr>
      </w:pPr>
      <w:r w:rsidRPr="0083147A">
        <w:rPr>
          <w:rFonts w:ascii="Book Antiqua" w:hAnsi="Book Antiqua" w:cs="Times New Roman"/>
        </w:rPr>
        <w:t>The incidence of adverse events after sorafenib introduction is high, reducing drug adherence.</w:t>
      </w:r>
    </w:p>
    <w:p w:rsidR="00B10ECD" w:rsidRPr="0083147A" w:rsidRDefault="00B10ECD" w:rsidP="00946207">
      <w:pPr>
        <w:spacing w:line="360" w:lineRule="auto"/>
        <w:rPr>
          <w:rFonts w:ascii="Book Antiqua" w:hAnsi="Book Antiqua" w:cs="Times New Roman"/>
        </w:rPr>
      </w:pPr>
    </w:p>
    <w:p w:rsidR="00DA204E" w:rsidRPr="0083147A" w:rsidRDefault="00DA204E" w:rsidP="00946207">
      <w:pPr>
        <w:spacing w:line="360" w:lineRule="auto"/>
        <w:outlineLvl w:val="0"/>
        <w:rPr>
          <w:rFonts w:ascii="Book Antiqua" w:hAnsi="Book Antiqua" w:cs="Times New Roman"/>
          <w:b/>
          <w:i/>
          <w:color w:val="000000" w:themeColor="text1"/>
        </w:rPr>
      </w:pPr>
      <w:r w:rsidRPr="0083147A">
        <w:rPr>
          <w:rFonts w:ascii="Book Antiqua" w:hAnsi="Book Antiqua" w:cs="Times New Roman"/>
          <w:b/>
          <w:i/>
          <w:color w:val="000000" w:themeColor="text1"/>
        </w:rPr>
        <w:t>Research objectives</w:t>
      </w:r>
    </w:p>
    <w:p w:rsidR="0010296D" w:rsidRPr="0083147A" w:rsidRDefault="00112519" w:rsidP="00946207">
      <w:pPr>
        <w:spacing w:line="360" w:lineRule="auto"/>
        <w:rPr>
          <w:rFonts w:ascii="Book Antiqua" w:hAnsi="Book Antiqua" w:cs="Times New Roman"/>
          <w:highlight w:val="yellow"/>
        </w:rPr>
      </w:pPr>
      <w:r>
        <w:rPr>
          <w:rFonts w:ascii="Book Antiqua" w:eastAsia="SimSun" w:hAnsi="Book Antiqua" w:cs="Times New Roman" w:hint="eastAsia"/>
          <w:lang w:eastAsia="zh-CN"/>
        </w:rPr>
        <w:t>The authors</w:t>
      </w:r>
      <w:r w:rsidR="0010296D" w:rsidRPr="0083147A">
        <w:rPr>
          <w:rFonts w:ascii="Book Antiqua" w:hAnsi="Book Antiqua" w:cs="Times New Roman"/>
        </w:rPr>
        <w:t xml:space="preserve"> performed intervention by pharmacists using the double-check system to improve drug adherence. In addition, </w:t>
      </w:r>
      <w:r>
        <w:rPr>
          <w:rFonts w:ascii="Book Antiqua" w:eastAsia="SimSun" w:hAnsi="Book Antiqua" w:cs="Times New Roman" w:hint="eastAsia"/>
          <w:lang w:eastAsia="zh-CN"/>
        </w:rPr>
        <w:t>they</w:t>
      </w:r>
      <w:r w:rsidR="0010296D" w:rsidRPr="0083147A">
        <w:rPr>
          <w:rFonts w:ascii="Book Antiqua" w:hAnsi="Book Antiqua" w:cs="Times New Roman"/>
        </w:rPr>
        <w:t xml:space="preserve"> evaluated a surrogate marker reflecting a better prognosis after sorafenib introduction </w:t>
      </w:r>
      <w:r w:rsidR="00362A9D" w:rsidRPr="0083147A">
        <w:rPr>
          <w:rFonts w:ascii="Book Antiqua" w:hAnsi="Book Antiqua" w:cs="Times New Roman"/>
        </w:rPr>
        <w:t>with</w:t>
      </w:r>
      <w:r w:rsidR="0010296D" w:rsidRPr="0083147A">
        <w:rPr>
          <w:rFonts w:ascii="Book Antiqua" w:hAnsi="Book Antiqua" w:cs="Times New Roman"/>
        </w:rPr>
        <w:t xml:space="preserve"> an improvement in adherence.</w:t>
      </w:r>
    </w:p>
    <w:p w:rsidR="00954D6A" w:rsidRPr="003C6B58" w:rsidRDefault="00954D6A" w:rsidP="00946207">
      <w:pPr>
        <w:spacing w:line="360" w:lineRule="auto"/>
        <w:rPr>
          <w:rFonts w:ascii="Book Antiqua" w:hAnsi="Book Antiqua" w:cs="Times New Roman"/>
          <w:color w:val="000000" w:themeColor="text1"/>
        </w:rPr>
      </w:pPr>
    </w:p>
    <w:p w:rsidR="0058320D" w:rsidRPr="0083147A" w:rsidRDefault="003E5B48" w:rsidP="00946207">
      <w:pPr>
        <w:spacing w:line="360" w:lineRule="auto"/>
        <w:outlineLvl w:val="0"/>
        <w:rPr>
          <w:rFonts w:ascii="Book Antiqua" w:hAnsi="Book Antiqua" w:cs="Times New Roman"/>
          <w:b/>
          <w:i/>
          <w:color w:val="000000" w:themeColor="text1"/>
        </w:rPr>
      </w:pPr>
      <w:r w:rsidRPr="0083147A">
        <w:rPr>
          <w:rFonts w:ascii="Book Antiqua" w:hAnsi="Book Antiqua" w:cs="Times New Roman"/>
          <w:b/>
          <w:i/>
          <w:color w:val="000000" w:themeColor="text1"/>
        </w:rPr>
        <w:t>Research methods</w:t>
      </w:r>
    </w:p>
    <w:p w:rsidR="0010296D" w:rsidRPr="0083147A" w:rsidRDefault="0010296D" w:rsidP="00946207">
      <w:pPr>
        <w:spacing w:line="360" w:lineRule="auto"/>
        <w:rPr>
          <w:rFonts w:ascii="Book Antiqua" w:hAnsi="Book Antiqua" w:cs="Times New Roman"/>
          <w:highlight w:val="yellow"/>
        </w:rPr>
      </w:pPr>
      <w:r w:rsidRPr="0083147A">
        <w:rPr>
          <w:rFonts w:ascii="Book Antiqua" w:hAnsi="Book Antiqua" w:cs="Times New Roman"/>
        </w:rPr>
        <w:t xml:space="preserve">This retrospective study was conducted </w:t>
      </w:r>
      <w:r w:rsidR="00B75C74" w:rsidRPr="0083147A">
        <w:rPr>
          <w:rFonts w:ascii="Book Antiqua" w:hAnsi="Book Antiqua" w:cs="Times New Roman"/>
        </w:rPr>
        <w:t xml:space="preserve">on advanced </w:t>
      </w:r>
      <w:r w:rsidR="00DE2A93" w:rsidRPr="0083147A">
        <w:rPr>
          <w:rFonts w:ascii="Book Antiqua" w:hAnsi="Book Antiqua" w:cs="Times New Roman"/>
        </w:rPr>
        <w:t>hepatocellular carcinoma</w:t>
      </w:r>
      <w:r w:rsidR="00B75C74" w:rsidRPr="0083147A">
        <w:rPr>
          <w:rFonts w:ascii="Book Antiqua" w:hAnsi="Book Antiqua" w:cs="Times New Roman"/>
        </w:rPr>
        <w:t xml:space="preserve"> </w:t>
      </w:r>
      <w:r w:rsidRPr="0083147A">
        <w:rPr>
          <w:rFonts w:ascii="Book Antiqua" w:hAnsi="Book Antiqua" w:cs="Times New Roman"/>
        </w:rPr>
        <w:t xml:space="preserve">patients who had been treated </w:t>
      </w:r>
      <w:r w:rsidR="00B75C74" w:rsidRPr="0083147A">
        <w:rPr>
          <w:rFonts w:ascii="Book Antiqua" w:hAnsi="Book Antiqua" w:cs="Times New Roman"/>
        </w:rPr>
        <w:t xml:space="preserve">with sorafenib </w:t>
      </w:r>
      <w:r w:rsidRPr="0083147A">
        <w:rPr>
          <w:rFonts w:ascii="Book Antiqua" w:hAnsi="Book Antiqua" w:cs="Times New Roman"/>
        </w:rPr>
        <w:t xml:space="preserve">between May 2009 and March </w:t>
      </w:r>
      <w:r w:rsidRPr="0083147A">
        <w:rPr>
          <w:rFonts w:ascii="Book Antiqua" w:hAnsi="Book Antiqua" w:cs="Times New Roman"/>
        </w:rPr>
        <w:lastRenderedPageBreak/>
        <w:t xml:space="preserve">2017. Establishing the </w:t>
      </w:r>
      <w:r w:rsidR="00AF3DA5" w:rsidRPr="0083147A">
        <w:rPr>
          <w:rFonts w:ascii="Book Antiqua" w:hAnsi="Book Antiqua" w:cs="Times New Roman"/>
          <w:color w:val="000000" w:themeColor="text1"/>
        </w:rPr>
        <w:t>overall survival (OS)</w:t>
      </w:r>
      <w:r w:rsidR="00AF3DA5">
        <w:rPr>
          <w:rFonts w:ascii="Book Antiqua" w:eastAsia="SimSun" w:hAnsi="Book Antiqua" w:cs="Times New Roman" w:hint="eastAsia"/>
          <w:color w:val="000000" w:themeColor="text1"/>
          <w:lang w:eastAsia="zh-CN"/>
        </w:rPr>
        <w:t xml:space="preserve"> </w:t>
      </w:r>
      <w:r w:rsidRPr="0083147A">
        <w:rPr>
          <w:rFonts w:ascii="Book Antiqua" w:hAnsi="Book Antiqua" w:cs="Times New Roman"/>
        </w:rPr>
        <w:t xml:space="preserve">as a primary endpoint, </w:t>
      </w:r>
      <w:r w:rsidR="003C6B58">
        <w:rPr>
          <w:rFonts w:ascii="Book Antiqua" w:eastAsia="SimSun" w:hAnsi="Book Antiqua" w:cs="Times New Roman" w:hint="eastAsia"/>
          <w:lang w:eastAsia="zh-CN"/>
        </w:rPr>
        <w:t>the authors</w:t>
      </w:r>
      <w:r w:rsidRPr="0083147A">
        <w:rPr>
          <w:rFonts w:ascii="Book Antiqua" w:hAnsi="Book Antiqua" w:cs="Times New Roman"/>
        </w:rPr>
        <w:t xml:space="preserve"> evaluated a surrogate marker using multivariate analysis. Furthermore, the effects of intervention by pharmacists on drug adherence were assessed using the </w:t>
      </w:r>
      <w:r w:rsidR="00744901" w:rsidRPr="0083147A">
        <w:rPr>
          <w:rFonts w:ascii="Book Antiqua" w:hAnsi="Book Antiqua" w:cs="Times New Roman"/>
          <w:color w:val="000000" w:themeColor="text1"/>
        </w:rPr>
        <w:t>time to treatment failure (TTF)</w:t>
      </w:r>
      <w:r w:rsidRPr="0083147A">
        <w:rPr>
          <w:rFonts w:ascii="Book Antiqua" w:hAnsi="Book Antiqua" w:cs="Times New Roman"/>
        </w:rPr>
        <w:t xml:space="preserve">, median cumulative dose, and </w:t>
      </w:r>
      <w:r w:rsidR="00C83DF9" w:rsidRPr="0083147A">
        <w:rPr>
          <w:rFonts w:ascii="Book Antiqua" w:hAnsi="Book Antiqua" w:cs="Times New Roman"/>
        </w:rPr>
        <w:t>medication possession ratio</w:t>
      </w:r>
      <w:r w:rsidR="00C83DF9" w:rsidRPr="0083147A">
        <w:rPr>
          <w:rFonts w:ascii="Book Antiqua" w:hAnsi="Book Antiqua" w:cs="Times New Roman"/>
          <w:color w:val="000000" w:themeColor="text1"/>
        </w:rPr>
        <w:t xml:space="preserve"> (MPR)</w:t>
      </w:r>
      <w:r w:rsidRPr="0083147A">
        <w:rPr>
          <w:rFonts w:ascii="Book Antiqua" w:hAnsi="Book Antiqua" w:cs="Times New Roman"/>
        </w:rPr>
        <w:t>.</w:t>
      </w:r>
    </w:p>
    <w:p w:rsidR="003E5B48" w:rsidRPr="00C83DF9" w:rsidRDefault="003E5B48" w:rsidP="00946207">
      <w:pPr>
        <w:spacing w:line="360" w:lineRule="auto"/>
        <w:rPr>
          <w:rFonts w:ascii="Book Antiqua" w:hAnsi="Book Antiqua" w:cs="Times New Roman"/>
          <w:color w:val="000000" w:themeColor="text1"/>
        </w:rPr>
      </w:pPr>
    </w:p>
    <w:p w:rsidR="00020A39" w:rsidRPr="0083147A" w:rsidRDefault="00020A39" w:rsidP="00946207">
      <w:pPr>
        <w:spacing w:line="360" w:lineRule="auto"/>
        <w:outlineLvl w:val="0"/>
        <w:rPr>
          <w:rFonts w:ascii="Book Antiqua" w:hAnsi="Book Antiqua" w:cs="Times New Roman"/>
          <w:b/>
          <w:i/>
          <w:color w:val="000000" w:themeColor="text1"/>
        </w:rPr>
      </w:pPr>
      <w:r w:rsidRPr="0083147A">
        <w:rPr>
          <w:rFonts w:ascii="Book Antiqua" w:hAnsi="Book Antiqua" w:cs="Times New Roman"/>
          <w:b/>
          <w:i/>
          <w:color w:val="000000" w:themeColor="text1"/>
        </w:rPr>
        <w:t>Research results</w:t>
      </w:r>
    </w:p>
    <w:p w:rsidR="004616CB" w:rsidRPr="0083147A" w:rsidRDefault="0010296D" w:rsidP="00946207">
      <w:pPr>
        <w:spacing w:line="360" w:lineRule="auto"/>
        <w:rPr>
          <w:rFonts w:ascii="Book Antiqua" w:hAnsi="Book Antiqua" w:cs="Times New Roman"/>
          <w:color w:val="FF0000"/>
        </w:rPr>
      </w:pPr>
      <w:r w:rsidRPr="0083147A">
        <w:rPr>
          <w:rFonts w:ascii="Book Antiqua" w:hAnsi="Book Antiqua" w:cs="Times New Roman"/>
        </w:rPr>
        <w:t xml:space="preserve">The subjects were 40 patients who had undergone sorafenib therapy. </w:t>
      </w:r>
      <w:r w:rsidR="007635BC" w:rsidRPr="0083147A">
        <w:rPr>
          <w:rFonts w:ascii="Book Antiqua" w:hAnsi="Book Antiqua" w:cs="Times New Roman"/>
        </w:rPr>
        <w:t xml:space="preserve">In the presence of grade 1 or higher </w:t>
      </w:r>
      <w:proofErr w:type="spellStart"/>
      <w:r w:rsidR="00BC14CB" w:rsidRPr="0083147A">
        <w:rPr>
          <w:rFonts w:ascii="Book Antiqua" w:hAnsi="Book Antiqua" w:cs="Times New Roman"/>
          <w:color w:val="000000" w:themeColor="text1"/>
        </w:rPr>
        <w:t>multikinase</w:t>
      </w:r>
      <w:proofErr w:type="spellEnd"/>
      <w:r w:rsidR="00BC14CB" w:rsidRPr="0083147A">
        <w:rPr>
          <w:rFonts w:ascii="Book Antiqua" w:hAnsi="Book Antiqua" w:cs="Times New Roman"/>
          <w:color w:val="000000" w:themeColor="text1"/>
        </w:rPr>
        <w:t xml:space="preserve"> inhibitor (MKI)-associated hand-foot skin reaction (HFSR)</w:t>
      </w:r>
      <w:r w:rsidR="007635BC" w:rsidRPr="0083147A">
        <w:rPr>
          <w:rFonts w:ascii="Book Antiqua" w:hAnsi="Book Antiqua" w:cs="Times New Roman"/>
        </w:rPr>
        <w:t xml:space="preserve">, OS </w:t>
      </w:r>
      <w:r w:rsidR="00362A9D" w:rsidRPr="0083147A">
        <w:rPr>
          <w:rFonts w:ascii="Book Antiqua" w:hAnsi="Book Antiqua" w:cs="Times New Roman"/>
        </w:rPr>
        <w:t>was</w:t>
      </w:r>
      <w:r w:rsidR="007635BC" w:rsidRPr="0083147A">
        <w:rPr>
          <w:rFonts w:ascii="Book Antiqua" w:hAnsi="Book Antiqua" w:cs="Times New Roman"/>
        </w:rPr>
        <w:t xml:space="preserve"> significantly prolonged. The results of multivariate analysis showed that the presence of MKI-associated HFSR </w:t>
      </w:r>
      <w:r w:rsidR="000577B8">
        <w:rPr>
          <w:rFonts w:ascii="Book Antiqua" w:hAnsi="Book Antiqua" w:cs="Times New Roman"/>
        </w:rPr>
        <w:t>(hazard ratio = 0.241, 95%</w:t>
      </w:r>
      <w:r w:rsidR="007635BC" w:rsidRPr="0083147A">
        <w:rPr>
          <w:rFonts w:ascii="Book Antiqua" w:hAnsi="Book Antiqua" w:cs="Times New Roman"/>
        </w:rPr>
        <w:t xml:space="preserve">CI: 0.102-0.567; </w:t>
      </w:r>
      <w:r w:rsidR="007635BC" w:rsidRPr="000577B8">
        <w:rPr>
          <w:rFonts w:ascii="Book Antiqua" w:hAnsi="Book Antiqua" w:cs="Times New Roman"/>
          <w:i/>
        </w:rPr>
        <w:t>P</w:t>
      </w:r>
      <w:r w:rsidR="007635BC" w:rsidRPr="0083147A">
        <w:rPr>
          <w:rFonts w:ascii="Book Antiqua" w:hAnsi="Book Antiqua" w:cs="Times New Roman"/>
        </w:rPr>
        <w:t xml:space="preserve"> = 0.001) </w:t>
      </w:r>
      <w:r w:rsidR="009013CE" w:rsidRPr="0083147A">
        <w:rPr>
          <w:rFonts w:ascii="Book Antiqua" w:hAnsi="Book Antiqua" w:cs="Times New Roman"/>
        </w:rPr>
        <w:t>was one of</w:t>
      </w:r>
      <w:r w:rsidR="00362A9D" w:rsidRPr="0083147A">
        <w:rPr>
          <w:rFonts w:ascii="Book Antiqua" w:hAnsi="Book Antiqua" w:cs="Times New Roman"/>
        </w:rPr>
        <w:t xml:space="preserve"> the</w:t>
      </w:r>
      <w:r w:rsidR="009013CE" w:rsidRPr="0083147A">
        <w:rPr>
          <w:rFonts w:ascii="Book Antiqua" w:hAnsi="Book Antiqua" w:cs="Times New Roman"/>
        </w:rPr>
        <w:t xml:space="preserve"> </w:t>
      </w:r>
      <w:r w:rsidR="007635BC" w:rsidRPr="0083147A">
        <w:rPr>
          <w:rFonts w:ascii="Book Antiqua" w:hAnsi="Book Antiqua" w:cs="Times New Roman"/>
        </w:rPr>
        <w:t>significant predictive factors for the prolongation of OS.</w:t>
      </w:r>
      <w:r w:rsidR="0034439C" w:rsidRPr="0083147A">
        <w:rPr>
          <w:rFonts w:ascii="Book Antiqua" w:hAnsi="Book Antiqua" w:cs="Times New Roman"/>
        </w:rPr>
        <w:t xml:space="preserve"> </w:t>
      </w:r>
      <w:r w:rsidRPr="0083147A">
        <w:rPr>
          <w:rFonts w:ascii="Book Antiqua" w:hAnsi="Book Antiqua" w:cs="Times New Roman"/>
        </w:rPr>
        <w:t>There were significant differences in the TTF, median cumulative dose, and MPR between the intervention and non-intervention groups.</w:t>
      </w:r>
    </w:p>
    <w:p w:rsidR="004616CB" w:rsidRPr="002E1E5D" w:rsidRDefault="004616CB" w:rsidP="00946207">
      <w:pPr>
        <w:spacing w:line="360" w:lineRule="auto"/>
        <w:rPr>
          <w:rFonts w:ascii="Book Antiqua" w:hAnsi="Book Antiqua" w:cs="Times New Roman"/>
          <w:b/>
          <w:color w:val="000000" w:themeColor="text1"/>
        </w:rPr>
      </w:pPr>
    </w:p>
    <w:p w:rsidR="00A46686" w:rsidRPr="0083147A" w:rsidRDefault="00DF422B" w:rsidP="00946207">
      <w:pPr>
        <w:spacing w:line="360" w:lineRule="auto"/>
        <w:outlineLvl w:val="0"/>
        <w:rPr>
          <w:rFonts w:ascii="Book Antiqua" w:hAnsi="Book Antiqua" w:cs="Times New Roman"/>
          <w:b/>
          <w:i/>
          <w:color w:val="000000" w:themeColor="text1"/>
        </w:rPr>
      </w:pPr>
      <w:r w:rsidRPr="0083147A">
        <w:rPr>
          <w:rFonts w:ascii="Book Antiqua" w:hAnsi="Book Antiqua" w:cs="Times New Roman"/>
          <w:b/>
          <w:i/>
          <w:color w:val="000000" w:themeColor="text1"/>
        </w:rPr>
        <w:t>Research conclusion</w:t>
      </w:r>
      <w:r w:rsidR="00F67EE6" w:rsidRPr="0083147A">
        <w:rPr>
          <w:rFonts w:ascii="Book Antiqua" w:hAnsi="Book Antiqua" w:cs="Times New Roman"/>
          <w:b/>
          <w:i/>
          <w:color w:val="000000" w:themeColor="text1"/>
        </w:rPr>
        <w:t>s</w:t>
      </w:r>
    </w:p>
    <w:p w:rsidR="00A46686" w:rsidRPr="0083147A" w:rsidRDefault="009B1EF9" w:rsidP="00946207">
      <w:pPr>
        <w:spacing w:line="360" w:lineRule="auto"/>
        <w:rPr>
          <w:rFonts w:ascii="Book Antiqua" w:hAnsi="Book Antiqua" w:cs="Times New Roman"/>
          <w:b/>
          <w:color w:val="000000" w:themeColor="text1"/>
        </w:rPr>
      </w:pPr>
      <w:r w:rsidRPr="0083147A">
        <w:rPr>
          <w:rFonts w:ascii="Book Antiqua" w:hAnsi="Book Antiqua" w:cs="Times New Roman"/>
        </w:rPr>
        <w:t xml:space="preserve">Intervention by pharmacists increased </w:t>
      </w:r>
      <w:r w:rsidR="0027639B">
        <w:rPr>
          <w:rFonts w:ascii="Book Antiqua" w:eastAsia="SimSun" w:hAnsi="Book Antiqua" w:cs="Times New Roman" w:hint="eastAsia"/>
          <w:lang w:eastAsia="zh-CN"/>
        </w:rPr>
        <w:t xml:space="preserve">the </w:t>
      </w:r>
      <w:r w:rsidRPr="0083147A">
        <w:rPr>
          <w:rFonts w:ascii="Book Antiqua" w:hAnsi="Book Antiqua" w:cs="Times New Roman"/>
        </w:rPr>
        <w:t xml:space="preserve">drug adherence. </w:t>
      </w:r>
      <w:r w:rsidR="00932B37">
        <w:rPr>
          <w:rFonts w:ascii="Book Antiqua" w:eastAsia="SimSun" w:hAnsi="Book Antiqua" w:cs="Times New Roman"/>
          <w:lang w:eastAsia="zh-CN"/>
        </w:rPr>
        <w:t xml:space="preserve">The </w:t>
      </w:r>
      <w:r w:rsidRPr="0083147A">
        <w:rPr>
          <w:rFonts w:ascii="Book Antiqua" w:hAnsi="Book Antiqua" w:cs="Times New Roman"/>
        </w:rPr>
        <w:t>MKI-associated HFSR was an advantageous surrogate marker</w:t>
      </w:r>
      <w:r w:rsidR="00932B37">
        <w:rPr>
          <w:rFonts w:ascii="Book Antiqua" w:eastAsia="SimSun" w:hAnsi="Book Antiqua" w:cs="Times New Roman" w:hint="eastAsia"/>
          <w:lang w:eastAsia="zh-CN"/>
        </w:rPr>
        <w:t xml:space="preserve">, </w:t>
      </w:r>
      <w:r w:rsidR="00932B37" w:rsidRPr="0083147A">
        <w:rPr>
          <w:rFonts w:ascii="Book Antiqua" w:hAnsi="Book Antiqua" w:cs="Times New Roman"/>
        </w:rPr>
        <w:t xml:space="preserve">under </w:t>
      </w:r>
      <w:r w:rsidR="00932B37">
        <w:rPr>
          <w:rFonts w:ascii="Book Antiqua" w:hAnsi="Book Antiqua" w:cs="Times New Roman"/>
        </w:rPr>
        <w:t>increased adherence</w:t>
      </w:r>
      <w:r w:rsidRPr="0083147A">
        <w:rPr>
          <w:rFonts w:ascii="Book Antiqua" w:hAnsi="Book Antiqua" w:cs="Times New Roman"/>
        </w:rPr>
        <w:t xml:space="preserve">. </w:t>
      </w:r>
      <w:bookmarkStart w:id="7" w:name="_Hlk512466190"/>
      <w:r w:rsidRPr="0083147A">
        <w:rPr>
          <w:rFonts w:ascii="Book Antiqua" w:hAnsi="Book Antiqua" w:cs="Times New Roman"/>
        </w:rPr>
        <w:t>Intervention by healthcare providers</w:t>
      </w:r>
      <w:bookmarkEnd w:id="7"/>
      <w:r w:rsidRPr="0083147A">
        <w:rPr>
          <w:rFonts w:ascii="Book Antiqua" w:hAnsi="Book Antiqua" w:cs="Times New Roman"/>
        </w:rPr>
        <w:t xml:space="preserve"> needs to be performed for adequate sorafenib treatment.</w:t>
      </w:r>
    </w:p>
    <w:p w:rsidR="00DF422B" w:rsidRPr="0083147A" w:rsidRDefault="00DF422B" w:rsidP="00946207">
      <w:pPr>
        <w:spacing w:line="360" w:lineRule="auto"/>
        <w:rPr>
          <w:rFonts w:ascii="Book Antiqua" w:hAnsi="Book Antiqua" w:cs="Times New Roman"/>
          <w:b/>
          <w:color w:val="000000" w:themeColor="text1"/>
        </w:rPr>
      </w:pPr>
    </w:p>
    <w:p w:rsidR="009B1EF9" w:rsidRPr="0083147A" w:rsidRDefault="005E6E66" w:rsidP="00946207">
      <w:pPr>
        <w:spacing w:line="360" w:lineRule="auto"/>
        <w:outlineLvl w:val="0"/>
        <w:rPr>
          <w:rFonts w:ascii="Book Antiqua" w:hAnsi="Book Antiqua" w:cs="Times New Roman"/>
          <w:b/>
          <w:i/>
          <w:color w:val="000000" w:themeColor="text1"/>
        </w:rPr>
      </w:pPr>
      <w:r w:rsidRPr="0083147A">
        <w:rPr>
          <w:rFonts w:ascii="Book Antiqua" w:hAnsi="Book Antiqua" w:cs="Times New Roman"/>
          <w:b/>
          <w:i/>
          <w:color w:val="000000" w:themeColor="text1"/>
        </w:rPr>
        <w:t>Research perspectives</w:t>
      </w:r>
    </w:p>
    <w:p w:rsidR="0010296D" w:rsidRPr="0083147A" w:rsidRDefault="0010296D" w:rsidP="00946207">
      <w:pPr>
        <w:spacing w:line="360" w:lineRule="auto"/>
        <w:rPr>
          <w:rFonts w:ascii="Book Antiqua" w:hAnsi="Book Antiqua" w:cs="Times New Roman"/>
          <w:highlight w:val="yellow"/>
        </w:rPr>
      </w:pPr>
      <w:r w:rsidRPr="0083147A">
        <w:rPr>
          <w:rFonts w:ascii="Book Antiqua" w:hAnsi="Book Antiqua" w:cs="Times New Roman"/>
        </w:rPr>
        <w:t xml:space="preserve">It remains to be clarified whether intervention by healthcare providers improves the prognosis of </w:t>
      </w:r>
      <w:r w:rsidR="00C65B6A" w:rsidRPr="0083147A">
        <w:rPr>
          <w:rFonts w:ascii="Book Antiqua" w:hAnsi="Book Antiqua" w:cs="Times New Roman"/>
        </w:rPr>
        <w:t>hepatocellular carcinoma</w:t>
      </w:r>
      <w:r w:rsidRPr="0083147A">
        <w:rPr>
          <w:rFonts w:ascii="Book Antiqua" w:hAnsi="Book Antiqua" w:cs="Times New Roman"/>
        </w:rPr>
        <w:t xml:space="preserve"> patients after sorafenib introduction. Therefore, the double-check system should be further improved, and a larger number of patients should be evaluated. Furthermore, a prospective study should be conducted.</w:t>
      </w:r>
    </w:p>
    <w:p w:rsidR="00584BC1" w:rsidRDefault="00584BC1" w:rsidP="00946207">
      <w:pPr>
        <w:spacing w:line="360" w:lineRule="auto"/>
        <w:outlineLvl w:val="0"/>
        <w:rPr>
          <w:rFonts w:ascii="Book Antiqua" w:eastAsia="SimSun" w:hAnsi="Book Antiqua" w:cs="Times New Roman"/>
          <w:b/>
          <w:color w:val="000000" w:themeColor="text1"/>
          <w:lang w:eastAsia="zh-CN"/>
        </w:rPr>
      </w:pPr>
    </w:p>
    <w:p w:rsidR="005F0724" w:rsidRPr="0083147A" w:rsidRDefault="002B2125" w:rsidP="00946207">
      <w:pPr>
        <w:spacing w:line="360" w:lineRule="auto"/>
        <w:outlineLvl w:val="0"/>
        <w:rPr>
          <w:rFonts w:ascii="Book Antiqua" w:hAnsi="Book Antiqua" w:cs="Times New Roman"/>
          <w:b/>
          <w:color w:val="000000" w:themeColor="text1"/>
        </w:rPr>
      </w:pPr>
      <w:r w:rsidRPr="0083147A">
        <w:rPr>
          <w:rFonts w:ascii="Book Antiqua" w:hAnsi="Book Antiqua" w:cs="Times New Roman"/>
          <w:b/>
          <w:color w:val="000000" w:themeColor="text1"/>
        </w:rPr>
        <w:lastRenderedPageBreak/>
        <w:t>ACKNOWLEDGMENTS</w:t>
      </w:r>
    </w:p>
    <w:p w:rsidR="0010296D" w:rsidRPr="0083147A" w:rsidRDefault="0010296D" w:rsidP="00946207">
      <w:pPr>
        <w:spacing w:line="360" w:lineRule="auto"/>
        <w:rPr>
          <w:rFonts w:ascii="Book Antiqua" w:hAnsi="Book Antiqua" w:cs="Times New Roman"/>
          <w:color w:val="000000" w:themeColor="text1"/>
          <w:highlight w:val="yellow"/>
        </w:rPr>
      </w:pPr>
      <w:r w:rsidRPr="0083147A">
        <w:rPr>
          <w:rFonts w:ascii="Book Antiqua" w:hAnsi="Book Antiqua" w:cs="Times New Roman"/>
          <w:color w:val="000000" w:themeColor="text1"/>
        </w:rPr>
        <w:t xml:space="preserve">We thank Ms. </w:t>
      </w:r>
      <w:proofErr w:type="spellStart"/>
      <w:r w:rsidRPr="0083147A">
        <w:rPr>
          <w:rFonts w:ascii="Book Antiqua" w:hAnsi="Book Antiqua" w:cs="Times New Roman"/>
          <w:color w:val="000000" w:themeColor="text1"/>
        </w:rPr>
        <w:t>Aemono</w:t>
      </w:r>
      <w:proofErr w:type="spellEnd"/>
      <w:r w:rsidRPr="0083147A">
        <w:rPr>
          <w:rFonts w:ascii="Book Antiqua" w:hAnsi="Book Antiqua" w:cs="Times New Roman"/>
          <w:color w:val="000000" w:themeColor="text1"/>
        </w:rPr>
        <w:t xml:space="preserve"> (Department of Pharmacy, Hitachi General Hospital) for her advice.</w:t>
      </w:r>
    </w:p>
    <w:p w:rsidR="005F0724" w:rsidRPr="0083147A" w:rsidRDefault="005F0724" w:rsidP="00946207">
      <w:pPr>
        <w:spacing w:line="360" w:lineRule="auto"/>
        <w:rPr>
          <w:rFonts w:ascii="Book Antiqua" w:hAnsi="Book Antiqua" w:cs="Times New Roman"/>
          <w:b/>
          <w:color w:val="000000" w:themeColor="text1"/>
        </w:rPr>
      </w:pPr>
    </w:p>
    <w:p w:rsidR="005E7289" w:rsidRDefault="005E7289">
      <w:pPr>
        <w:widowControl/>
        <w:jc w:val="left"/>
        <w:rPr>
          <w:rFonts w:ascii="Book Antiqua" w:hAnsi="Book Antiqua" w:cs="Times New Roman"/>
          <w:b/>
          <w:color w:val="000000" w:themeColor="text1"/>
        </w:rPr>
      </w:pPr>
      <w:r>
        <w:rPr>
          <w:rFonts w:ascii="Book Antiqua" w:hAnsi="Book Antiqua" w:cs="Times New Roman"/>
          <w:b/>
          <w:color w:val="000000" w:themeColor="text1"/>
        </w:rPr>
        <w:br w:type="page"/>
      </w:r>
    </w:p>
    <w:p w:rsidR="00E74D30" w:rsidRPr="0083147A" w:rsidRDefault="00E74D30" w:rsidP="00946207">
      <w:pPr>
        <w:spacing w:line="360" w:lineRule="auto"/>
        <w:outlineLvl w:val="0"/>
        <w:rPr>
          <w:rFonts w:ascii="Book Antiqua" w:hAnsi="Book Antiqua" w:cs="Times New Roman"/>
          <w:b/>
          <w:color w:val="000000" w:themeColor="text1"/>
        </w:rPr>
      </w:pPr>
      <w:r w:rsidRPr="0083147A">
        <w:rPr>
          <w:rFonts w:ascii="Book Antiqua" w:hAnsi="Book Antiqua" w:cs="Times New Roman"/>
          <w:b/>
          <w:color w:val="000000" w:themeColor="text1"/>
        </w:rPr>
        <w:lastRenderedPageBreak/>
        <w:t>REFERENCES</w:t>
      </w:r>
    </w:p>
    <w:p w:rsidR="007E1F75" w:rsidRPr="007E1F75" w:rsidRDefault="007E1F75" w:rsidP="007E1F75">
      <w:pPr>
        <w:spacing w:line="360" w:lineRule="auto"/>
        <w:rPr>
          <w:rFonts w:ascii="Book Antiqua" w:hAnsi="Book Antiqua"/>
        </w:rPr>
      </w:pPr>
      <w:r w:rsidRPr="007E1F75">
        <w:rPr>
          <w:rFonts w:ascii="Book Antiqua" w:hAnsi="Book Antiqua"/>
        </w:rPr>
        <w:t xml:space="preserve">1 </w:t>
      </w:r>
      <w:proofErr w:type="spellStart"/>
      <w:r w:rsidRPr="007E1F75">
        <w:rPr>
          <w:rFonts w:ascii="Book Antiqua" w:hAnsi="Book Antiqua"/>
          <w:b/>
        </w:rPr>
        <w:t>Bruix</w:t>
      </w:r>
      <w:proofErr w:type="spellEnd"/>
      <w:r w:rsidRPr="007E1F75">
        <w:rPr>
          <w:rFonts w:ascii="Book Antiqua" w:hAnsi="Book Antiqua"/>
          <w:b/>
        </w:rPr>
        <w:t xml:space="preserve"> J</w:t>
      </w:r>
      <w:r w:rsidRPr="007E1F75">
        <w:rPr>
          <w:rFonts w:ascii="Book Antiqua" w:hAnsi="Book Antiqua"/>
        </w:rPr>
        <w:t xml:space="preserve">, Raoul JL, Sherman M, </w:t>
      </w:r>
      <w:proofErr w:type="spellStart"/>
      <w:r w:rsidRPr="007E1F75">
        <w:rPr>
          <w:rFonts w:ascii="Book Antiqua" w:hAnsi="Book Antiqua"/>
        </w:rPr>
        <w:t>Mazzaferro</w:t>
      </w:r>
      <w:proofErr w:type="spellEnd"/>
      <w:r w:rsidRPr="007E1F75">
        <w:rPr>
          <w:rFonts w:ascii="Book Antiqua" w:hAnsi="Book Antiqua"/>
        </w:rPr>
        <w:t xml:space="preserve"> V, </w:t>
      </w:r>
      <w:proofErr w:type="spellStart"/>
      <w:r w:rsidRPr="007E1F75">
        <w:rPr>
          <w:rFonts w:ascii="Book Antiqua" w:hAnsi="Book Antiqua"/>
        </w:rPr>
        <w:t>Bolondi</w:t>
      </w:r>
      <w:proofErr w:type="spellEnd"/>
      <w:r w:rsidRPr="007E1F75">
        <w:rPr>
          <w:rFonts w:ascii="Book Antiqua" w:hAnsi="Book Antiqua"/>
        </w:rPr>
        <w:t xml:space="preserve"> L, </w:t>
      </w:r>
      <w:proofErr w:type="spellStart"/>
      <w:r w:rsidRPr="007E1F75">
        <w:rPr>
          <w:rFonts w:ascii="Book Antiqua" w:hAnsi="Book Antiqua"/>
        </w:rPr>
        <w:t>Craxi</w:t>
      </w:r>
      <w:proofErr w:type="spellEnd"/>
      <w:r w:rsidRPr="007E1F75">
        <w:rPr>
          <w:rFonts w:ascii="Book Antiqua" w:hAnsi="Book Antiqua"/>
        </w:rPr>
        <w:t xml:space="preserve"> A, Galle PR, Santoro A, </w:t>
      </w:r>
      <w:proofErr w:type="spellStart"/>
      <w:r w:rsidRPr="007E1F75">
        <w:rPr>
          <w:rFonts w:ascii="Book Antiqua" w:hAnsi="Book Antiqua"/>
        </w:rPr>
        <w:t>Beaugrand</w:t>
      </w:r>
      <w:proofErr w:type="spellEnd"/>
      <w:r w:rsidRPr="007E1F75">
        <w:rPr>
          <w:rFonts w:ascii="Book Antiqua" w:hAnsi="Book Antiqua"/>
        </w:rPr>
        <w:t xml:space="preserve"> M, </w:t>
      </w:r>
      <w:proofErr w:type="spellStart"/>
      <w:r w:rsidRPr="007E1F75">
        <w:rPr>
          <w:rFonts w:ascii="Book Antiqua" w:hAnsi="Book Antiqua"/>
        </w:rPr>
        <w:t>Sangiovanni</w:t>
      </w:r>
      <w:proofErr w:type="spellEnd"/>
      <w:r w:rsidRPr="007E1F75">
        <w:rPr>
          <w:rFonts w:ascii="Book Antiqua" w:hAnsi="Book Antiqua"/>
        </w:rPr>
        <w:t xml:space="preserve"> A, Porta C, </w:t>
      </w:r>
      <w:proofErr w:type="spellStart"/>
      <w:r w:rsidRPr="007E1F75">
        <w:rPr>
          <w:rFonts w:ascii="Book Antiqua" w:hAnsi="Book Antiqua"/>
        </w:rPr>
        <w:t>Gerken</w:t>
      </w:r>
      <w:proofErr w:type="spellEnd"/>
      <w:r w:rsidRPr="007E1F75">
        <w:rPr>
          <w:rFonts w:ascii="Book Antiqua" w:hAnsi="Book Antiqua"/>
        </w:rPr>
        <w:t xml:space="preserve"> G, Marrero JA, </w:t>
      </w:r>
      <w:proofErr w:type="spellStart"/>
      <w:r w:rsidRPr="007E1F75">
        <w:rPr>
          <w:rFonts w:ascii="Book Antiqua" w:hAnsi="Book Antiqua"/>
        </w:rPr>
        <w:t>Nadel</w:t>
      </w:r>
      <w:proofErr w:type="spellEnd"/>
      <w:r w:rsidRPr="007E1F75">
        <w:rPr>
          <w:rFonts w:ascii="Book Antiqua" w:hAnsi="Book Antiqua"/>
        </w:rPr>
        <w:t xml:space="preserve"> A, Shan M, Moscovici M, </w:t>
      </w:r>
      <w:proofErr w:type="spellStart"/>
      <w:r w:rsidRPr="007E1F75">
        <w:rPr>
          <w:rFonts w:ascii="Book Antiqua" w:hAnsi="Book Antiqua"/>
        </w:rPr>
        <w:t>Voliotis</w:t>
      </w:r>
      <w:proofErr w:type="spellEnd"/>
      <w:r w:rsidRPr="007E1F75">
        <w:rPr>
          <w:rFonts w:ascii="Book Antiqua" w:hAnsi="Book Antiqua"/>
        </w:rPr>
        <w:t xml:space="preserve"> D, </w:t>
      </w:r>
      <w:proofErr w:type="spellStart"/>
      <w:r w:rsidRPr="007E1F75">
        <w:rPr>
          <w:rFonts w:ascii="Book Antiqua" w:hAnsi="Book Antiqua"/>
        </w:rPr>
        <w:t>Llovet</w:t>
      </w:r>
      <w:proofErr w:type="spellEnd"/>
      <w:r w:rsidRPr="007E1F75">
        <w:rPr>
          <w:rFonts w:ascii="Book Antiqua" w:hAnsi="Book Antiqua"/>
        </w:rPr>
        <w:t xml:space="preserve"> JM. Efficacy and safety of </w:t>
      </w:r>
      <w:proofErr w:type="spellStart"/>
      <w:r w:rsidRPr="007E1F75">
        <w:rPr>
          <w:rFonts w:ascii="Book Antiqua" w:hAnsi="Book Antiqua"/>
        </w:rPr>
        <w:t>sorafenib</w:t>
      </w:r>
      <w:proofErr w:type="spellEnd"/>
      <w:r w:rsidRPr="007E1F75">
        <w:rPr>
          <w:rFonts w:ascii="Book Antiqua" w:hAnsi="Book Antiqua"/>
        </w:rPr>
        <w:t xml:space="preserve"> in patients with advanced hepatocellular carcinoma: </w:t>
      </w:r>
      <w:proofErr w:type="spellStart"/>
      <w:r w:rsidRPr="007E1F75">
        <w:rPr>
          <w:rFonts w:ascii="Book Antiqua" w:hAnsi="Book Antiqua"/>
        </w:rPr>
        <w:t>subanalyses</w:t>
      </w:r>
      <w:proofErr w:type="spellEnd"/>
      <w:r w:rsidRPr="007E1F75">
        <w:rPr>
          <w:rFonts w:ascii="Book Antiqua" w:hAnsi="Book Antiqua"/>
        </w:rPr>
        <w:t xml:space="preserve"> of a phase III trial. </w:t>
      </w:r>
      <w:r w:rsidRPr="007E1F75">
        <w:rPr>
          <w:rFonts w:ascii="Book Antiqua" w:hAnsi="Book Antiqua"/>
          <w:i/>
        </w:rPr>
        <w:t xml:space="preserve">J </w:t>
      </w:r>
      <w:proofErr w:type="spellStart"/>
      <w:r w:rsidRPr="007E1F75">
        <w:rPr>
          <w:rFonts w:ascii="Book Antiqua" w:hAnsi="Book Antiqua"/>
          <w:i/>
        </w:rPr>
        <w:t>Hepatol</w:t>
      </w:r>
      <w:proofErr w:type="spellEnd"/>
      <w:r w:rsidRPr="007E1F75">
        <w:rPr>
          <w:rFonts w:ascii="Book Antiqua" w:hAnsi="Book Antiqua"/>
        </w:rPr>
        <w:t xml:space="preserve"> 2012; </w:t>
      </w:r>
      <w:r w:rsidRPr="007E1F75">
        <w:rPr>
          <w:rFonts w:ascii="Book Antiqua" w:hAnsi="Book Antiqua"/>
          <w:b/>
        </w:rPr>
        <w:t>57</w:t>
      </w:r>
      <w:r w:rsidRPr="007E1F75">
        <w:rPr>
          <w:rFonts w:ascii="Book Antiqua" w:hAnsi="Book Antiqua"/>
        </w:rPr>
        <w:t>: 821-829 [PMID: 22727733 DOI: 10.1016/j.jhep.2012.06.014]</w:t>
      </w:r>
    </w:p>
    <w:p w:rsidR="007E1F75" w:rsidRPr="007E1F75" w:rsidRDefault="007E1F75" w:rsidP="007E1F75">
      <w:pPr>
        <w:spacing w:line="360" w:lineRule="auto"/>
        <w:rPr>
          <w:rFonts w:ascii="Book Antiqua" w:hAnsi="Book Antiqua"/>
        </w:rPr>
      </w:pPr>
      <w:r w:rsidRPr="007E1F75">
        <w:rPr>
          <w:rFonts w:ascii="Book Antiqua" w:hAnsi="Book Antiqua"/>
        </w:rPr>
        <w:t xml:space="preserve">2 </w:t>
      </w:r>
      <w:proofErr w:type="spellStart"/>
      <w:r w:rsidRPr="007E1F75">
        <w:rPr>
          <w:rFonts w:ascii="Book Antiqua" w:hAnsi="Book Antiqua"/>
          <w:b/>
        </w:rPr>
        <w:t>Llovet</w:t>
      </w:r>
      <w:proofErr w:type="spellEnd"/>
      <w:r w:rsidRPr="007E1F75">
        <w:rPr>
          <w:rFonts w:ascii="Book Antiqua" w:hAnsi="Book Antiqua"/>
          <w:b/>
        </w:rPr>
        <w:t xml:space="preserve"> JM</w:t>
      </w:r>
      <w:r w:rsidRPr="007E1F75">
        <w:rPr>
          <w:rFonts w:ascii="Book Antiqua" w:hAnsi="Book Antiqua"/>
        </w:rPr>
        <w:t xml:space="preserve">, Ricci S, </w:t>
      </w:r>
      <w:proofErr w:type="spellStart"/>
      <w:r w:rsidRPr="007E1F75">
        <w:rPr>
          <w:rFonts w:ascii="Book Antiqua" w:hAnsi="Book Antiqua"/>
        </w:rPr>
        <w:t>Mazzaferro</w:t>
      </w:r>
      <w:proofErr w:type="spellEnd"/>
      <w:r w:rsidRPr="007E1F75">
        <w:rPr>
          <w:rFonts w:ascii="Book Antiqua" w:hAnsi="Book Antiqua"/>
        </w:rPr>
        <w:t xml:space="preserve"> V, </w:t>
      </w:r>
      <w:proofErr w:type="spellStart"/>
      <w:r w:rsidRPr="007E1F75">
        <w:rPr>
          <w:rFonts w:ascii="Book Antiqua" w:hAnsi="Book Antiqua"/>
        </w:rPr>
        <w:t>Hilgard</w:t>
      </w:r>
      <w:proofErr w:type="spellEnd"/>
      <w:r w:rsidRPr="007E1F75">
        <w:rPr>
          <w:rFonts w:ascii="Book Antiqua" w:hAnsi="Book Antiqua"/>
        </w:rPr>
        <w:t xml:space="preserve"> P, </w:t>
      </w:r>
      <w:proofErr w:type="spellStart"/>
      <w:r w:rsidRPr="007E1F75">
        <w:rPr>
          <w:rFonts w:ascii="Book Antiqua" w:hAnsi="Book Antiqua"/>
        </w:rPr>
        <w:t>Gane</w:t>
      </w:r>
      <w:proofErr w:type="spellEnd"/>
      <w:r w:rsidRPr="007E1F75">
        <w:rPr>
          <w:rFonts w:ascii="Book Antiqua" w:hAnsi="Book Antiqua"/>
        </w:rPr>
        <w:t xml:space="preserve"> E, Blanc JF, de Oliveira AC, Santoro A, Raoul JL, </w:t>
      </w:r>
      <w:proofErr w:type="spellStart"/>
      <w:r w:rsidRPr="007E1F75">
        <w:rPr>
          <w:rFonts w:ascii="Book Antiqua" w:hAnsi="Book Antiqua"/>
        </w:rPr>
        <w:t>Forner</w:t>
      </w:r>
      <w:proofErr w:type="spellEnd"/>
      <w:r w:rsidRPr="007E1F75">
        <w:rPr>
          <w:rFonts w:ascii="Book Antiqua" w:hAnsi="Book Antiqua"/>
        </w:rPr>
        <w:t xml:space="preserve"> A, Schwartz M, Porta C, </w:t>
      </w:r>
      <w:proofErr w:type="spellStart"/>
      <w:r w:rsidRPr="007E1F75">
        <w:rPr>
          <w:rFonts w:ascii="Book Antiqua" w:hAnsi="Book Antiqua"/>
        </w:rPr>
        <w:t>Zeuzem</w:t>
      </w:r>
      <w:proofErr w:type="spellEnd"/>
      <w:r w:rsidRPr="007E1F75">
        <w:rPr>
          <w:rFonts w:ascii="Book Antiqua" w:hAnsi="Book Antiqua"/>
        </w:rPr>
        <w:t xml:space="preserve"> S, </w:t>
      </w:r>
      <w:proofErr w:type="spellStart"/>
      <w:r w:rsidRPr="007E1F75">
        <w:rPr>
          <w:rFonts w:ascii="Book Antiqua" w:hAnsi="Book Antiqua"/>
        </w:rPr>
        <w:t>Bolondi</w:t>
      </w:r>
      <w:proofErr w:type="spellEnd"/>
      <w:r w:rsidRPr="007E1F75">
        <w:rPr>
          <w:rFonts w:ascii="Book Antiqua" w:hAnsi="Book Antiqua"/>
        </w:rPr>
        <w:t xml:space="preserve"> L, </w:t>
      </w:r>
      <w:proofErr w:type="spellStart"/>
      <w:r w:rsidRPr="007E1F75">
        <w:rPr>
          <w:rFonts w:ascii="Book Antiqua" w:hAnsi="Book Antiqua"/>
        </w:rPr>
        <w:t>Greten</w:t>
      </w:r>
      <w:proofErr w:type="spellEnd"/>
      <w:r w:rsidRPr="007E1F75">
        <w:rPr>
          <w:rFonts w:ascii="Book Antiqua" w:hAnsi="Book Antiqua"/>
        </w:rPr>
        <w:t xml:space="preserve"> TF, Galle PR, Seitz JF, </w:t>
      </w:r>
      <w:proofErr w:type="spellStart"/>
      <w:r w:rsidRPr="007E1F75">
        <w:rPr>
          <w:rFonts w:ascii="Book Antiqua" w:hAnsi="Book Antiqua"/>
        </w:rPr>
        <w:t>Borbath</w:t>
      </w:r>
      <w:proofErr w:type="spellEnd"/>
      <w:r w:rsidRPr="007E1F75">
        <w:rPr>
          <w:rFonts w:ascii="Book Antiqua" w:hAnsi="Book Antiqua"/>
        </w:rPr>
        <w:t xml:space="preserve"> I, </w:t>
      </w:r>
      <w:proofErr w:type="spellStart"/>
      <w:r w:rsidRPr="007E1F75">
        <w:rPr>
          <w:rFonts w:ascii="Book Antiqua" w:hAnsi="Book Antiqua"/>
        </w:rPr>
        <w:t>Häussinger</w:t>
      </w:r>
      <w:proofErr w:type="spellEnd"/>
      <w:r w:rsidRPr="007E1F75">
        <w:rPr>
          <w:rFonts w:ascii="Book Antiqua" w:hAnsi="Book Antiqua"/>
        </w:rPr>
        <w:t xml:space="preserve"> D, </w:t>
      </w:r>
      <w:proofErr w:type="spellStart"/>
      <w:r w:rsidRPr="007E1F75">
        <w:rPr>
          <w:rFonts w:ascii="Book Antiqua" w:hAnsi="Book Antiqua"/>
        </w:rPr>
        <w:t>Giannaris</w:t>
      </w:r>
      <w:proofErr w:type="spellEnd"/>
      <w:r w:rsidRPr="007E1F75">
        <w:rPr>
          <w:rFonts w:ascii="Book Antiqua" w:hAnsi="Book Antiqua"/>
        </w:rPr>
        <w:t xml:space="preserve"> T, Shan M, Moscovici M, </w:t>
      </w:r>
      <w:proofErr w:type="spellStart"/>
      <w:r w:rsidRPr="007E1F75">
        <w:rPr>
          <w:rFonts w:ascii="Book Antiqua" w:hAnsi="Book Antiqua"/>
        </w:rPr>
        <w:t>Voliotis</w:t>
      </w:r>
      <w:proofErr w:type="spellEnd"/>
      <w:r w:rsidRPr="007E1F75">
        <w:rPr>
          <w:rFonts w:ascii="Book Antiqua" w:hAnsi="Book Antiqua"/>
        </w:rPr>
        <w:t xml:space="preserve"> D, </w:t>
      </w:r>
      <w:proofErr w:type="spellStart"/>
      <w:r w:rsidRPr="007E1F75">
        <w:rPr>
          <w:rFonts w:ascii="Book Antiqua" w:hAnsi="Book Antiqua"/>
        </w:rPr>
        <w:t>Bruix</w:t>
      </w:r>
      <w:proofErr w:type="spellEnd"/>
      <w:r w:rsidRPr="007E1F75">
        <w:rPr>
          <w:rFonts w:ascii="Book Antiqua" w:hAnsi="Book Antiqua"/>
        </w:rPr>
        <w:t xml:space="preserve"> J; SHARP Investigators Study Group. </w:t>
      </w:r>
      <w:proofErr w:type="spellStart"/>
      <w:r w:rsidRPr="007E1F75">
        <w:rPr>
          <w:rFonts w:ascii="Book Antiqua" w:hAnsi="Book Antiqua"/>
        </w:rPr>
        <w:t>Sorafenib</w:t>
      </w:r>
      <w:proofErr w:type="spellEnd"/>
      <w:r w:rsidRPr="007E1F75">
        <w:rPr>
          <w:rFonts w:ascii="Book Antiqua" w:hAnsi="Book Antiqua"/>
        </w:rPr>
        <w:t xml:space="preserve"> in advanced hepatocellular carcinoma. </w:t>
      </w:r>
      <w:r w:rsidRPr="007E1F75">
        <w:rPr>
          <w:rFonts w:ascii="Book Antiqua" w:hAnsi="Book Antiqua"/>
          <w:i/>
        </w:rPr>
        <w:t xml:space="preserve">N </w:t>
      </w:r>
      <w:proofErr w:type="spellStart"/>
      <w:r w:rsidRPr="007E1F75">
        <w:rPr>
          <w:rFonts w:ascii="Book Antiqua" w:hAnsi="Book Antiqua"/>
          <w:i/>
        </w:rPr>
        <w:t>Engl</w:t>
      </w:r>
      <w:proofErr w:type="spellEnd"/>
      <w:r w:rsidRPr="007E1F75">
        <w:rPr>
          <w:rFonts w:ascii="Book Antiqua" w:hAnsi="Book Antiqua"/>
          <w:i/>
        </w:rPr>
        <w:t xml:space="preserve"> J Med</w:t>
      </w:r>
      <w:r w:rsidRPr="007E1F75">
        <w:rPr>
          <w:rFonts w:ascii="Book Antiqua" w:hAnsi="Book Antiqua"/>
        </w:rPr>
        <w:t xml:space="preserve"> 2008; </w:t>
      </w:r>
      <w:r w:rsidRPr="007E1F75">
        <w:rPr>
          <w:rFonts w:ascii="Book Antiqua" w:hAnsi="Book Antiqua"/>
          <w:b/>
        </w:rPr>
        <w:t>359</w:t>
      </w:r>
      <w:r w:rsidRPr="007E1F75">
        <w:rPr>
          <w:rFonts w:ascii="Book Antiqua" w:hAnsi="Book Antiqua"/>
        </w:rPr>
        <w:t>: 378-390 [PMID: 18650514 DOI: 10.1056/NEJMoa0708857]</w:t>
      </w:r>
    </w:p>
    <w:p w:rsidR="007E1F75" w:rsidRPr="007E1F75" w:rsidRDefault="007E1F75" w:rsidP="007E1F75">
      <w:pPr>
        <w:spacing w:line="360" w:lineRule="auto"/>
        <w:rPr>
          <w:rFonts w:ascii="Book Antiqua" w:hAnsi="Book Antiqua"/>
        </w:rPr>
      </w:pPr>
      <w:r w:rsidRPr="007E1F75">
        <w:rPr>
          <w:rFonts w:ascii="Book Antiqua" w:hAnsi="Book Antiqua"/>
        </w:rPr>
        <w:t xml:space="preserve">3 </w:t>
      </w:r>
      <w:r w:rsidRPr="007E1F75">
        <w:rPr>
          <w:rFonts w:ascii="Book Antiqua" w:hAnsi="Book Antiqua"/>
          <w:b/>
        </w:rPr>
        <w:t>Cheng AL</w:t>
      </w:r>
      <w:r w:rsidRPr="007E1F75">
        <w:rPr>
          <w:rFonts w:ascii="Book Antiqua" w:hAnsi="Book Antiqua"/>
        </w:rPr>
        <w:t xml:space="preserve">, Guan Z, Chen Z, </w:t>
      </w:r>
      <w:proofErr w:type="spellStart"/>
      <w:r w:rsidRPr="007E1F75">
        <w:rPr>
          <w:rFonts w:ascii="Book Antiqua" w:hAnsi="Book Antiqua"/>
        </w:rPr>
        <w:t>Tsao</w:t>
      </w:r>
      <w:proofErr w:type="spellEnd"/>
      <w:r w:rsidRPr="007E1F75">
        <w:rPr>
          <w:rFonts w:ascii="Book Antiqua" w:hAnsi="Book Antiqua"/>
        </w:rPr>
        <w:t xml:space="preserve"> CJ, Qin S, Kim JS, Yang TS, </w:t>
      </w:r>
      <w:proofErr w:type="spellStart"/>
      <w:r w:rsidRPr="007E1F75">
        <w:rPr>
          <w:rFonts w:ascii="Book Antiqua" w:hAnsi="Book Antiqua"/>
        </w:rPr>
        <w:t>Tak</w:t>
      </w:r>
      <w:proofErr w:type="spellEnd"/>
      <w:r w:rsidRPr="007E1F75">
        <w:rPr>
          <w:rFonts w:ascii="Book Antiqua" w:hAnsi="Book Antiqua"/>
        </w:rPr>
        <w:t xml:space="preserve"> WY, Pan H, Yu S, Xu J, Fang F, Zou J, </w:t>
      </w:r>
      <w:proofErr w:type="spellStart"/>
      <w:r w:rsidRPr="007E1F75">
        <w:rPr>
          <w:rFonts w:ascii="Book Antiqua" w:hAnsi="Book Antiqua"/>
        </w:rPr>
        <w:t>Lentini</w:t>
      </w:r>
      <w:proofErr w:type="spellEnd"/>
      <w:r w:rsidRPr="007E1F75">
        <w:rPr>
          <w:rFonts w:ascii="Book Antiqua" w:hAnsi="Book Antiqua"/>
        </w:rPr>
        <w:t xml:space="preserve"> G, </w:t>
      </w:r>
      <w:proofErr w:type="spellStart"/>
      <w:r w:rsidRPr="007E1F75">
        <w:rPr>
          <w:rFonts w:ascii="Book Antiqua" w:hAnsi="Book Antiqua"/>
        </w:rPr>
        <w:t>Voliotis</w:t>
      </w:r>
      <w:proofErr w:type="spellEnd"/>
      <w:r w:rsidRPr="007E1F75">
        <w:rPr>
          <w:rFonts w:ascii="Book Antiqua" w:hAnsi="Book Antiqua"/>
        </w:rPr>
        <w:t xml:space="preserve"> D, Kang YK. Efficacy and safety of </w:t>
      </w:r>
      <w:proofErr w:type="spellStart"/>
      <w:r w:rsidRPr="007E1F75">
        <w:rPr>
          <w:rFonts w:ascii="Book Antiqua" w:hAnsi="Book Antiqua"/>
        </w:rPr>
        <w:t>sorafenib</w:t>
      </w:r>
      <w:proofErr w:type="spellEnd"/>
      <w:r w:rsidRPr="007E1F75">
        <w:rPr>
          <w:rFonts w:ascii="Book Antiqua" w:hAnsi="Book Antiqua"/>
        </w:rPr>
        <w:t xml:space="preserve"> in patients with advanced hepatocellular carcinoma according to baseline status: subset analyses of the phase III </w:t>
      </w:r>
      <w:proofErr w:type="spellStart"/>
      <w:r w:rsidRPr="007E1F75">
        <w:rPr>
          <w:rFonts w:ascii="Book Antiqua" w:hAnsi="Book Antiqua"/>
        </w:rPr>
        <w:t>Sorafenib</w:t>
      </w:r>
      <w:proofErr w:type="spellEnd"/>
      <w:r w:rsidRPr="007E1F75">
        <w:rPr>
          <w:rFonts w:ascii="Book Antiqua" w:hAnsi="Book Antiqua"/>
        </w:rPr>
        <w:t xml:space="preserve"> Asia-Pacific trial. </w:t>
      </w:r>
      <w:proofErr w:type="spellStart"/>
      <w:r w:rsidRPr="007E1F75">
        <w:rPr>
          <w:rFonts w:ascii="Book Antiqua" w:hAnsi="Book Antiqua"/>
          <w:i/>
        </w:rPr>
        <w:t>Eur</w:t>
      </w:r>
      <w:proofErr w:type="spellEnd"/>
      <w:r w:rsidRPr="007E1F75">
        <w:rPr>
          <w:rFonts w:ascii="Book Antiqua" w:hAnsi="Book Antiqua"/>
          <w:i/>
        </w:rPr>
        <w:t xml:space="preserve"> J Cancer</w:t>
      </w:r>
      <w:r w:rsidRPr="007E1F75">
        <w:rPr>
          <w:rFonts w:ascii="Book Antiqua" w:hAnsi="Book Antiqua"/>
        </w:rPr>
        <w:t xml:space="preserve"> 2012; </w:t>
      </w:r>
      <w:r w:rsidRPr="007E1F75">
        <w:rPr>
          <w:rFonts w:ascii="Book Antiqua" w:hAnsi="Book Antiqua"/>
          <w:b/>
        </w:rPr>
        <w:t>48</w:t>
      </w:r>
      <w:r w:rsidRPr="007E1F75">
        <w:rPr>
          <w:rFonts w:ascii="Book Antiqua" w:hAnsi="Book Antiqua"/>
        </w:rPr>
        <w:t>: 1452-1465 [PMID: 22240282 DOI: 10.1016/j.ejca.2011.12.006]</w:t>
      </w:r>
    </w:p>
    <w:p w:rsidR="007E1F75" w:rsidRPr="007E1F75" w:rsidRDefault="007E1F75" w:rsidP="007E1F75">
      <w:pPr>
        <w:spacing w:line="360" w:lineRule="auto"/>
        <w:rPr>
          <w:rFonts w:ascii="Book Antiqua" w:hAnsi="Book Antiqua"/>
        </w:rPr>
      </w:pPr>
      <w:r w:rsidRPr="007E1F75">
        <w:rPr>
          <w:rFonts w:ascii="Book Antiqua" w:hAnsi="Book Antiqua"/>
        </w:rPr>
        <w:t xml:space="preserve">4 </w:t>
      </w:r>
      <w:r w:rsidRPr="007E1F75">
        <w:rPr>
          <w:rFonts w:ascii="Book Antiqua" w:hAnsi="Book Antiqua"/>
          <w:b/>
        </w:rPr>
        <w:t>Cheng AL</w:t>
      </w:r>
      <w:r w:rsidRPr="007E1F75">
        <w:rPr>
          <w:rFonts w:ascii="Book Antiqua" w:hAnsi="Book Antiqua"/>
        </w:rPr>
        <w:t xml:space="preserve">, Kang YK, Chen Z, </w:t>
      </w:r>
      <w:proofErr w:type="spellStart"/>
      <w:r w:rsidRPr="007E1F75">
        <w:rPr>
          <w:rFonts w:ascii="Book Antiqua" w:hAnsi="Book Antiqua"/>
        </w:rPr>
        <w:t>Tsao</w:t>
      </w:r>
      <w:proofErr w:type="spellEnd"/>
      <w:r w:rsidRPr="007E1F75">
        <w:rPr>
          <w:rFonts w:ascii="Book Antiqua" w:hAnsi="Book Antiqua"/>
        </w:rPr>
        <w:t xml:space="preserve"> CJ, Qin S, Kim JS, Luo R, Feng J, Ye S, Yang TS, Xu J, Sun Y, Liang H, Liu J, Wang J, </w:t>
      </w:r>
      <w:proofErr w:type="spellStart"/>
      <w:r w:rsidRPr="007E1F75">
        <w:rPr>
          <w:rFonts w:ascii="Book Antiqua" w:hAnsi="Book Antiqua"/>
        </w:rPr>
        <w:t>Tak</w:t>
      </w:r>
      <w:proofErr w:type="spellEnd"/>
      <w:r w:rsidRPr="007E1F75">
        <w:rPr>
          <w:rFonts w:ascii="Book Antiqua" w:hAnsi="Book Antiqua"/>
        </w:rPr>
        <w:t xml:space="preserve"> WY, Pan H, </w:t>
      </w:r>
      <w:proofErr w:type="spellStart"/>
      <w:r w:rsidRPr="007E1F75">
        <w:rPr>
          <w:rFonts w:ascii="Book Antiqua" w:hAnsi="Book Antiqua"/>
        </w:rPr>
        <w:t>Burock</w:t>
      </w:r>
      <w:proofErr w:type="spellEnd"/>
      <w:r w:rsidRPr="007E1F75">
        <w:rPr>
          <w:rFonts w:ascii="Book Antiqua" w:hAnsi="Book Antiqua"/>
        </w:rPr>
        <w:t xml:space="preserve"> K, Zou J, </w:t>
      </w:r>
      <w:proofErr w:type="spellStart"/>
      <w:r w:rsidRPr="007E1F75">
        <w:rPr>
          <w:rFonts w:ascii="Book Antiqua" w:hAnsi="Book Antiqua"/>
        </w:rPr>
        <w:t>Voliotis</w:t>
      </w:r>
      <w:proofErr w:type="spellEnd"/>
      <w:r w:rsidRPr="007E1F75">
        <w:rPr>
          <w:rFonts w:ascii="Book Antiqua" w:hAnsi="Book Antiqua"/>
        </w:rPr>
        <w:t xml:space="preserve"> D, Guan Z. Efficacy and safety of </w:t>
      </w:r>
      <w:proofErr w:type="spellStart"/>
      <w:r w:rsidRPr="007E1F75">
        <w:rPr>
          <w:rFonts w:ascii="Book Antiqua" w:hAnsi="Book Antiqua"/>
        </w:rPr>
        <w:t>sorafenib</w:t>
      </w:r>
      <w:proofErr w:type="spellEnd"/>
      <w:r w:rsidRPr="007E1F75">
        <w:rPr>
          <w:rFonts w:ascii="Book Antiqua" w:hAnsi="Book Antiqua"/>
        </w:rPr>
        <w:t xml:space="preserve"> in patients in the Asia-Pacific region with advanced hepatocellular carcinoma: a phase III </w:t>
      </w:r>
      <w:proofErr w:type="spellStart"/>
      <w:r w:rsidRPr="007E1F75">
        <w:rPr>
          <w:rFonts w:ascii="Book Antiqua" w:hAnsi="Book Antiqua"/>
        </w:rPr>
        <w:t>randomised</w:t>
      </w:r>
      <w:proofErr w:type="spellEnd"/>
      <w:r w:rsidRPr="007E1F75">
        <w:rPr>
          <w:rFonts w:ascii="Book Antiqua" w:hAnsi="Book Antiqua"/>
        </w:rPr>
        <w:t xml:space="preserve">, double-blind, placebo-controlled trial. </w:t>
      </w:r>
      <w:r w:rsidRPr="007E1F75">
        <w:rPr>
          <w:rFonts w:ascii="Book Antiqua" w:hAnsi="Book Antiqua"/>
          <w:i/>
        </w:rPr>
        <w:t xml:space="preserve">Lancet </w:t>
      </w:r>
      <w:proofErr w:type="spellStart"/>
      <w:r w:rsidRPr="007E1F75">
        <w:rPr>
          <w:rFonts w:ascii="Book Antiqua" w:hAnsi="Book Antiqua"/>
          <w:i/>
        </w:rPr>
        <w:t>Oncol</w:t>
      </w:r>
      <w:proofErr w:type="spellEnd"/>
      <w:r w:rsidRPr="007E1F75">
        <w:rPr>
          <w:rFonts w:ascii="Book Antiqua" w:hAnsi="Book Antiqua"/>
        </w:rPr>
        <w:t xml:space="preserve"> 2009; </w:t>
      </w:r>
      <w:r w:rsidRPr="007E1F75">
        <w:rPr>
          <w:rFonts w:ascii="Book Antiqua" w:hAnsi="Book Antiqua"/>
          <w:b/>
        </w:rPr>
        <w:t>10</w:t>
      </w:r>
      <w:r w:rsidRPr="007E1F75">
        <w:rPr>
          <w:rFonts w:ascii="Book Antiqua" w:hAnsi="Book Antiqua"/>
        </w:rPr>
        <w:t>: 25-34 [PMID: 19095497 DOI: 10.1016/S1470-2045(08)70285-7]</w:t>
      </w:r>
    </w:p>
    <w:p w:rsidR="007E1F75" w:rsidRPr="007E1F75" w:rsidRDefault="007E1F75" w:rsidP="007E1F75">
      <w:pPr>
        <w:spacing w:line="360" w:lineRule="auto"/>
        <w:rPr>
          <w:rFonts w:ascii="Book Antiqua" w:hAnsi="Book Antiqua"/>
        </w:rPr>
      </w:pPr>
      <w:r w:rsidRPr="007E1F75">
        <w:rPr>
          <w:rFonts w:ascii="Book Antiqua" w:hAnsi="Book Antiqua"/>
        </w:rPr>
        <w:t xml:space="preserve">5 </w:t>
      </w:r>
      <w:r w:rsidRPr="007E1F75">
        <w:rPr>
          <w:rFonts w:ascii="Book Antiqua" w:hAnsi="Book Antiqua"/>
          <w:b/>
        </w:rPr>
        <w:t>Cheng AL</w:t>
      </w:r>
      <w:r w:rsidRPr="007E1F75">
        <w:rPr>
          <w:rFonts w:ascii="Book Antiqua" w:hAnsi="Book Antiqua"/>
        </w:rPr>
        <w:t xml:space="preserve">, Kang YK, Lin DY, Park JW, Kudo M, Qin S, Chung HC, Song X, Xu J, Poggi G, </w:t>
      </w:r>
      <w:proofErr w:type="spellStart"/>
      <w:r w:rsidRPr="007E1F75">
        <w:rPr>
          <w:rFonts w:ascii="Book Antiqua" w:hAnsi="Book Antiqua"/>
        </w:rPr>
        <w:t>Omata</w:t>
      </w:r>
      <w:proofErr w:type="spellEnd"/>
      <w:r w:rsidRPr="007E1F75">
        <w:rPr>
          <w:rFonts w:ascii="Book Antiqua" w:hAnsi="Book Antiqua"/>
        </w:rPr>
        <w:t xml:space="preserve"> M, Pitman </w:t>
      </w:r>
      <w:proofErr w:type="spellStart"/>
      <w:r w:rsidRPr="007E1F75">
        <w:rPr>
          <w:rFonts w:ascii="Book Antiqua" w:hAnsi="Book Antiqua"/>
        </w:rPr>
        <w:t>Lowenthal</w:t>
      </w:r>
      <w:proofErr w:type="spellEnd"/>
      <w:r w:rsidRPr="007E1F75">
        <w:rPr>
          <w:rFonts w:ascii="Book Antiqua" w:hAnsi="Book Antiqua"/>
        </w:rPr>
        <w:t xml:space="preserve"> S, </w:t>
      </w:r>
      <w:proofErr w:type="spellStart"/>
      <w:r w:rsidRPr="007E1F75">
        <w:rPr>
          <w:rFonts w:ascii="Book Antiqua" w:hAnsi="Book Antiqua"/>
        </w:rPr>
        <w:t>Lanzalone</w:t>
      </w:r>
      <w:proofErr w:type="spellEnd"/>
      <w:r w:rsidRPr="007E1F75">
        <w:rPr>
          <w:rFonts w:ascii="Book Antiqua" w:hAnsi="Book Antiqua"/>
        </w:rPr>
        <w:t xml:space="preserve"> S, Yang L, </w:t>
      </w:r>
      <w:proofErr w:type="spellStart"/>
      <w:r w:rsidRPr="007E1F75">
        <w:rPr>
          <w:rFonts w:ascii="Book Antiqua" w:hAnsi="Book Antiqua"/>
        </w:rPr>
        <w:t>Lechuga</w:t>
      </w:r>
      <w:proofErr w:type="spellEnd"/>
      <w:r w:rsidRPr="007E1F75">
        <w:rPr>
          <w:rFonts w:ascii="Book Antiqua" w:hAnsi="Book Antiqua"/>
        </w:rPr>
        <w:t xml:space="preserve"> MJ, Raymond E. </w:t>
      </w:r>
      <w:proofErr w:type="spellStart"/>
      <w:r w:rsidRPr="007E1F75">
        <w:rPr>
          <w:rFonts w:ascii="Book Antiqua" w:hAnsi="Book Antiqua"/>
        </w:rPr>
        <w:t>Sunitinib</w:t>
      </w:r>
      <w:proofErr w:type="spellEnd"/>
      <w:r w:rsidRPr="007E1F75">
        <w:rPr>
          <w:rFonts w:ascii="Book Antiqua" w:hAnsi="Book Antiqua"/>
        </w:rPr>
        <w:t xml:space="preserve"> versus </w:t>
      </w:r>
      <w:proofErr w:type="spellStart"/>
      <w:r w:rsidRPr="007E1F75">
        <w:rPr>
          <w:rFonts w:ascii="Book Antiqua" w:hAnsi="Book Antiqua"/>
        </w:rPr>
        <w:t>sorafenib</w:t>
      </w:r>
      <w:proofErr w:type="spellEnd"/>
      <w:r w:rsidRPr="007E1F75">
        <w:rPr>
          <w:rFonts w:ascii="Book Antiqua" w:hAnsi="Book Antiqua"/>
        </w:rPr>
        <w:t xml:space="preserve"> in advanced hepatocellular cancer: results of a randomized phase III trial. </w:t>
      </w:r>
      <w:r w:rsidRPr="007E1F75">
        <w:rPr>
          <w:rFonts w:ascii="Book Antiqua" w:hAnsi="Book Antiqua"/>
          <w:i/>
        </w:rPr>
        <w:t xml:space="preserve">J </w:t>
      </w:r>
      <w:proofErr w:type="spellStart"/>
      <w:r w:rsidRPr="007E1F75">
        <w:rPr>
          <w:rFonts w:ascii="Book Antiqua" w:hAnsi="Book Antiqua"/>
          <w:i/>
        </w:rPr>
        <w:t>Clin</w:t>
      </w:r>
      <w:proofErr w:type="spellEnd"/>
      <w:r w:rsidRPr="007E1F75">
        <w:rPr>
          <w:rFonts w:ascii="Book Antiqua" w:hAnsi="Book Antiqua"/>
          <w:i/>
        </w:rPr>
        <w:t xml:space="preserve"> </w:t>
      </w:r>
      <w:proofErr w:type="spellStart"/>
      <w:r w:rsidRPr="007E1F75">
        <w:rPr>
          <w:rFonts w:ascii="Book Antiqua" w:hAnsi="Book Antiqua"/>
          <w:i/>
        </w:rPr>
        <w:t>Oncol</w:t>
      </w:r>
      <w:proofErr w:type="spellEnd"/>
      <w:r w:rsidRPr="007E1F75">
        <w:rPr>
          <w:rFonts w:ascii="Book Antiqua" w:hAnsi="Book Antiqua"/>
        </w:rPr>
        <w:t xml:space="preserve"> 2013; </w:t>
      </w:r>
      <w:r w:rsidRPr="007E1F75">
        <w:rPr>
          <w:rFonts w:ascii="Book Antiqua" w:hAnsi="Book Antiqua"/>
          <w:b/>
        </w:rPr>
        <w:t>31</w:t>
      </w:r>
      <w:r w:rsidRPr="007E1F75">
        <w:rPr>
          <w:rFonts w:ascii="Book Antiqua" w:hAnsi="Book Antiqua"/>
        </w:rPr>
        <w:t>: 4067-4075 [PMID: 24081937 DOI: 10.1200/JCO.2012.45.8372]</w:t>
      </w:r>
    </w:p>
    <w:p w:rsidR="007E1F75" w:rsidRPr="007E1F75" w:rsidRDefault="007E1F75" w:rsidP="007E1F75">
      <w:pPr>
        <w:spacing w:line="360" w:lineRule="auto"/>
        <w:rPr>
          <w:rFonts w:ascii="Book Antiqua" w:hAnsi="Book Antiqua"/>
        </w:rPr>
      </w:pPr>
      <w:r w:rsidRPr="007E1F75">
        <w:rPr>
          <w:rFonts w:ascii="Book Antiqua" w:hAnsi="Book Antiqua"/>
        </w:rPr>
        <w:lastRenderedPageBreak/>
        <w:t xml:space="preserve">6 </w:t>
      </w:r>
      <w:r w:rsidRPr="007E1F75">
        <w:rPr>
          <w:rFonts w:ascii="Book Antiqua" w:hAnsi="Book Antiqua"/>
          <w:b/>
        </w:rPr>
        <w:t>Johnson PJ</w:t>
      </w:r>
      <w:r w:rsidRPr="007E1F75">
        <w:rPr>
          <w:rFonts w:ascii="Book Antiqua" w:hAnsi="Book Antiqua"/>
        </w:rPr>
        <w:t xml:space="preserve">, Qin S, Park JW, Poon RT, Raoul JL, Philip PA, Hsu CH, Hu TH, </w:t>
      </w:r>
      <w:proofErr w:type="spellStart"/>
      <w:r w:rsidRPr="007E1F75">
        <w:rPr>
          <w:rFonts w:ascii="Book Antiqua" w:hAnsi="Book Antiqua"/>
        </w:rPr>
        <w:t>Heo</w:t>
      </w:r>
      <w:proofErr w:type="spellEnd"/>
      <w:r w:rsidRPr="007E1F75">
        <w:rPr>
          <w:rFonts w:ascii="Book Antiqua" w:hAnsi="Book Antiqua"/>
        </w:rPr>
        <w:t xml:space="preserve"> J, Xu J, Lu L, Chao Y, Boucher E, Han KH, Paik SW, Robles-</w:t>
      </w:r>
      <w:proofErr w:type="spellStart"/>
      <w:r w:rsidRPr="007E1F75">
        <w:rPr>
          <w:rFonts w:ascii="Book Antiqua" w:hAnsi="Book Antiqua"/>
        </w:rPr>
        <w:t>Aviña</w:t>
      </w:r>
      <w:proofErr w:type="spellEnd"/>
      <w:r w:rsidRPr="007E1F75">
        <w:rPr>
          <w:rFonts w:ascii="Book Antiqua" w:hAnsi="Book Antiqua"/>
        </w:rPr>
        <w:t xml:space="preserve"> J, Kudo M, Yan L, </w:t>
      </w:r>
      <w:proofErr w:type="spellStart"/>
      <w:r w:rsidRPr="007E1F75">
        <w:rPr>
          <w:rFonts w:ascii="Book Antiqua" w:hAnsi="Book Antiqua"/>
        </w:rPr>
        <w:t>Sobhonslidsuk</w:t>
      </w:r>
      <w:proofErr w:type="spellEnd"/>
      <w:r w:rsidRPr="007E1F75">
        <w:rPr>
          <w:rFonts w:ascii="Book Antiqua" w:hAnsi="Book Antiqua"/>
        </w:rPr>
        <w:t xml:space="preserve"> A, </w:t>
      </w:r>
      <w:proofErr w:type="spellStart"/>
      <w:r w:rsidRPr="007E1F75">
        <w:rPr>
          <w:rFonts w:ascii="Book Antiqua" w:hAnsi="Book Antiqua"/>
        </w:rPr>
        <w:t>Komov</w:t>
      </w:r>
      <w:proofErr w:type="spellEnd"/>
      <w:r w:rsidRPr="007E1F75">
        <w:rPr>
          <w:rFonts w:ascii="Book Antiqua" w:hAnsi="Book Antiqua"/>
        </w:rPr>
        <w:t xml:space="preserve"> D, </w:t>
      </w:r>
      <w:proofErr w:type="spellStart"/>
      <w:r w:rsidRPr="007E1F75">
        <w:rPr>
          <w:rFonts w:ascii="Book Antiqua" w:hAnsi="Book Antiqua"/>
        </w:rPr>
        <w:t>Decaens</w:t>
      </w:r>
      <w:proofErr w:type="spellEnd"/>
      <w:r w:rsidRPr="007E1F75">
        <w:rPr>
          <w:rFonts w:ascii="Book Antiqua" w:hAnsi="Book Antiqua"/>
        </w:rPr>
        <w:t xml:space="preserve"> T, </w:t>
      </w:r>
      <w:proofErr w:type="spellStart"/>
      <w:r w:rsidRPr="007E1F75">
        <w:rPr>
          <w:rFonts w:ascii="Book Antiqua" w:hAnsi="Book Antiqua"/>
        </w:rPr>
        <w:t>Tak</w:t>
      </w:r>
      <w:proofErr w:type="spellEnd"/>
      <w:r w:rsidRPr="007E1F75">
        <w:rPr>
          <w:rFonts w:ascii="Book Antiqua" w:hAnsi="Book Antiqua"/>
        </w:rPr>
        <w:t xml:space="preserve"> WY, </w:t>
      </w:r>
      <w:proofErr w:type="spellStart"/>
      <w:r w:rsidRPr="007E1F75">
        <w:rPr>
          <w:rFonts w:ascii="Book Antiqua" w:hAnsi="Book Antiqua"/>
        </w:rPr>
        <w:t>Jeng</w:t>
      </w:r>
      <w:proofErr w:type="spellEnd"/>
      <w:r w:rsidRPr="007E1F75">
        <w:rPr>
          <w:rFonts w:ascii="Book Antiqua" w:hAnsi="Book Antiqua"/>
        </w:rPr>
        <w:t xml:space="preserve"> LB, Liu D, </w:t>
      </w:r>
      <w:proofErr w:type="spellStart"/>
      <w:r w:rsidRPr="007E1F75">
        <w:rPr>
          <w:rFonts w:ascii="Book Antiqua" w:hAnsi="Book Antiqua"/>
        </w:rPr>
        <w:t>Ezzeddine</w:t>
      </w:r>
      <w:proofErr w:type="spellEnd"/>
      <w:r w:rsidRPr="007E1F75">
        <w:rPr>
          <w:rFonts w:ascii="Book Antiqua" w:hAnsi="Book Antiqua"/>
        </w:rPr>
        <w:t xml:space="preserve"> R, Walters I, Cheng AL. </w:t>
      </w:r>
      <w:proofErr w:type="spellStart"/>
      <w:r w:rsidRPr="007E1F75">
        <w:rPr>
          <w:rFonts w:ascii="Book Antiqua" w:hAnsi="Book Antiqua"/>
        </w:rPr>
        <w:t>Brivanib</w:t>
      </w:r>
      <w:proofErr w:type="spellEnd"/>
      <w:r w:rsidRPr="007E1F75">
        <w:rPr>
          <w:rFonts w:ascii="Book Antiqua" w:hAnsi="Book Antiqua"/>
        </w:rPr>
        <w:t xml:space="preserve"> versus </w:t>
      </w:r>
      <w:proofErr w:type="spellStart"/>
      <w:r w:rsidRPr="007E1F75">
        <w:rPr>
          <w:rFonts w:ascii="Book Antiqua" w:hAnsi="Book Antiqua"/>
        </w:rPr>
        <w:t>sorafenib</w:t>
      </w:r>
      <w:proofErr w:type="spellEnd"/>
      <w:r w:rsidRPr="007E1F75">
        <w:rPr>
          <w:rFonts w:ascii="Book Antiqua" w:hAnsi="Book Antiqua"/>
        </w:rPr>
        <w:t xml:space="preserve"> as first-line therapy in patients with </w:t>
      </w:r>
      <w:proofErr w:type="spellStart"/>
      <w:r w:rsidRPr="007E1F75">
        <w:rPr>
          <w:rFonts w:ascii="Book Antiqua" w:hAnsi="Book Antiqua"/>
        </w:rPr>
        <w:t>unresectable</w:t>
      </w:r>
      <w:proofErr w:type="spellEnd"/>
      <w:r w:rsidRPr="007E1F75">
        <w:rPr>
          <w:rFonts w:ascii="Book Antiqua" w:hAnsi="Book Antiqua"/>
        </w:rPr>
        <w:t xml:space="preserve">, advanced hepatocellular carcinoma: results from the randomized phase III BRISK-FL study. </w:t>
      </w:r>
      <w:r w:rsidRPr="007E1F75">
        <w:rPr>
          <w:rFonts w:ascii="Book Antiqua" w:hAnsi="Book Antiqua"/>
          <w:i/>
        </w:rPr>
        <w:t xml:space="preserve">J </w:t>
      </w:r>
      <w:proofErr w:type="spellStart"/>
      <w:r w:rsidRPr="007E1F75">
        <w:rPr>
          <w:rFonts w:ascii="Book Antiqua" w:hAnsi="Book Antiqua"/>
          <w:i/>
        </w:rPr>
        <w:t>Clin</w:t>
      </w:r>
      <w:proofErr w:type="spellEnd"/>
      <w:r w:rsidRPr="007E1F75">
        <w:rPr>
          <w:rFonts w:ascii="Book Antiqua" w:hAnsi="Book Antiqua"/>
          <w:i/>
        </w:rPr>
        <w:t xml:space="preserve"> </w:t>
      </w:r>
      <w:proofErr w:type="spellStart"/>
      <w:r w:rsidRPr="007E1F75">
        <w:rPr>
          <w:rFonts w:ascii="Book Antiqua" w:hAnsi="Book Antiqua"/>
          <w:i/>
        </w:rPr>
        <w:t>Oncol</w:t>
      </w:r>
      <w:proofErr w:type="spellEnd"/>
      <w:r w:rsidRPr="007E1F75">
        <w:rPr>
          <w:rFonts w:ascii="Book Antiqua" w:hAnsi="Book Antiqua"/>
        </w:rPr>
        <w:t xml:space="preserve"> 2013; </w:t>
      </w:r>
      <w:r w:rsidRPr="007E1F75">
        <w:rPr>
          <w:rFonts w:ascii="Book Antiqua" w:hAnsi="Book Antiqua"/>
          <w:b/>
        </w:rPr>
        <w:t>31</w:t>
      </w:r>
      <w:r w:rsidRPr="007E1F75">
        <w:rPr>
          <w:rFonts w:ascii="Book Antiqua" w:hAnsi="Book Antiqua"/>
        </w:rPr>
        <w:t>: 3517-3524 [PMID: 23980084 DOI: 10.1200/JCO.2012.48.4410]</w:t>
      </w:r>
    </w:p>
    <w:p w:rsidR="007E1F75" w:rsidRPr="007E1F75" w:rsidRDefault="007E1F75" w:rsidP="007E1F75">
      <w:pPr>
        <w:spacing w:line="360" w:lineRule="auto"/>
        <w:rPr>
          <w:rFonts w:ascii="Book Antiqua" w:hAnsi="Book Antiqua"/>
        </w:rPr>
      </w:pPr>
      <w:r w:rsidRPr="007E1F75">
        <w:rPr>
          <w:rFonts w:ascii="Book Antiqua" w:hAnsi="Book Antiqua"/>
        </w:rPr>
        <w:t xml:space="preserve">7 </w:t>
      </w:r>
      <w:proofErr w:type="spellStart"/>
      <w:r w:rsidRPr="007E1F75">
        <w:rPr>
          <w:rFonts w:ascii="Book Antiqua" w:hAnsi="Book Antiqua"/>
          <w:b/>
        </w:rPr>
        <w:t>Bruix</w:t>
      </w:r>
      <w:proofErr w:type="spellEnd"/>
      <w:r w:rsidRPr="007E1F75">
        <w:rPr>
          <w:rFonts w:ascii="Book Antiqua" w:hAnsi="Book Antiqua"/>
          <w:b/>
        </w:rPr>
        <w:t xml:space="preserve"> J</w:t>
      </w:r>
      <w:r w:rsidRPr="007E1F75">
        <w:rPr>
          <w:rFonts w:ascii="Book Antiqua" w:hAnsi="Book Antiqua"/>
        </w:rPr>
        <w:t xml:space="preserve">, Qin S, Merle P, </w:t>
      </w:r>
      <w:proofErr w:type="spellStart"/>
      <w:r w:rsidRPr="007E1F75">
        <w:rPr>
          <w:rFonts w:ascii="Book Antiqua" w:hAnsi="Book Antiqua"/>
        </w:rPr>
        <w:t>Granito</w:t>
      </w:r>
      <w:proofErr w:type="spellEnd"/>
      <w:r w:rsidRPr="007E1F75">
        <w:rPr>
          <w:rFonts w:ascii="Book Antiqua" w:hAnsi="Book Antiqua"/>
        </w:rPr>
        <w:t xml:space="preserve"> A, Huang YH, </w:t>
      </w:r>
      <w:proofErr w:type="spellStart"/>
      <w:r w:rsidRPr="007E1F75">
        <w:rPr>
          <w:rFonts w:ascii="Book Antiqua" w:hAnsi="Book Antiqua"/>
        </w:rPr>
        <w:t>Bodoky</w:t>
      </w:r>
      <w:proofErr w:type="spellEnd"/>
      <w:r w:rsidRPr="007E1F75">
        <w:rPr>
          <w:rFonts w:ascii="Book Antiqua" w:hAnsi="Book Antiqua"/>
        </w:rPr>
        <w:t xml:space="preserve"> G, </w:t>
      </w:r>
      <w:proofErr w:type="spellStart"/>
      <w:r w:rsidRPr="007E1F75">
        <w:rPr>
          <w:rFonts w:ascii="Book Antiqua" w:hAnsi="Book Antiqua"/>
        </w:rPr>
        <w:t>Pracht</w:t>
      </w:r>
      <w:proofErr w:type="spellEnd"/>
      <w:r w:rsidRPr="007E1F75">
        <w:rPr>
          <w:rFonts w:ascii="Book Antiqua" w:hAnsi="Book Antiqua"/>
        </w:rPr>
        <w:t xml:space="preserve"> M, Yokosuka O, </w:t>
      </w:r>
      <w:proofErr w:type="spellStart"/>
      <w:r w:rsidRPr="007E1F75">
        <w:rPr>
          <w:rFonts w:ascii="Book Antiqua" w:hAnsi="Book Antiqua"/>
        </w:rPr>
        <w:t>Rosmorduc</w:t>
      </w:r>
      <w:proofErr w:type="spellEnd"/>
      <w:r w:rsidRPr="007E1F75">
        <w:rPr>
          <w:rFonts w:ascii="Book Antiqua" w:hAnsi="Book Antiqua"/>
        </w:rPr>
        <w:t xml:space="preserve"> O, </w:t>
      </w:r>
      <w:proofErr w:type="spellStart"/>
      <w:r w:rsidRPr="007E1F75">
        <w:rPr>
          <w:rFonts w:ascii="Book Antiqua" w:hAnsi="Book Antiqua"/>
        </w:rPr>
        <w:t>Breder</w:t>
      </w:r>
      <w:proofErr w:type="spellEnd"/>
      <w:r w:rsidRPr="007E1F75">
        <w:rPr>
          <w:rFonts w:ascii="Book Antiqua" w:hAnsi="Book Antiqua"/>
        </w:rPr>
        <w:t xml:space="preserve"> V, </w:t>
      </w:r>
      <w:proofErr w:type="spellStart"/>
      <w:r w:rsidRPr="007E1F75">
        <w:rPr>
          <w:rFonts w:ascii="Book Antiqua" w:hAnsi="Book Antiqua"/>
        </w:rPr>
        <w:t>Gerolami</w:t>
      </w:r>
      <w:proofErr w:type="spellEnd"/>
      <w:r w:rsidRPr="007E1F75">
        <w:rPr>
          <w:rFonts w:ascii="Book Antiqua" w:hAnsi="Book Antiqua"/>
        </w:rPr>
        <w:t xml:space="preserve"> R, </w:t>
      </w:r>
      <w:proofErr w:type="spellStart"/>
      <w:r w:rsidRPr="007E1F75">
        <w:rPr>
          <w:rFonts w:ascii="Book Antiqua" w:hAnsi="Book Antiqua"/>
        </w:rPr>
        <w:t>Masi</w:t>
      </w:r>
      <w:proofErr w:type="spellEnd"/>
      <w:r w:rsidRPr="007E1F75">
        <w:rPr>
          <w:rFonts w:ascii="Book Antiqua" w:hAnsi="Book Antiqua"/>
        </w:rPr>
        <w:t xml:space="preserve"> G, Ross PJ, Song T, </w:t>
      </w:r>
      <w:proofErr w:type="spellStart"/>
      <w:r w:rsidRPr="007E1F75">
        <w:rPr>
          <w:rFonts w:ascii="Book Antiqua" w:hAnsi="Book Antiqua"/>
        </w:rPr>
        <w:t>Bronowicki</w:t>
      </w:r>
      <w:proofErr w:type="spellEnd"/>
      <w:r w:rsidRPr="007E1F75">
        <w:rPr>
          <w:rFonts w:ascii="Book Antiqua" w:hAnsi="Book Antiqua"/>
        </w:rPr>
        <w:t xml:space="preserve"> JP, </w:t>
      </w:r>
      <w:proofErr w:type="spellStart"/>
      <w:r w:rsidRPr="007E1F75">
        <w:rPr>
          <w:rFonts w:ascii="Book Antiqua" w:hAnsi="Book Antiqua"/>
        </w:rPr>
        <w:t>Ollivier-Hourmand</w:t>
      </w:r>
      <w:proofErr w:type="spellEnd"/>
      <w:r w:rsidRPr="007E1F75">
        <w:rPr>
          <w:rFonts w:ascii="Book Antiqua" w:hAnsi="Book Antiqua"/>
        </w:rPr>
        <w:t xml:space="preserve"> I, Kudo M, Cheng AL, </w:t>
      </w:r>
      <w:proofErr w:type="spellStart"/>
      <w:r w:rsidRPr="007E1F75">
        <w:rPr>
          <w:rFonts w:ascii="Book Antiqua" w:hAnsi="Book Antiqua"/>
        </w:rPr>
        <w:t>Llovet</w:t>
      </w:r>
      <w:proofErr w:type="spellEnd"/>
      <w:r w:rsidRPr="007E1F75">
        <w:rPr>
          <w:rFonts w:ascii="Book Antiqua" w:hAnsi="Book Antiqua"/>
        </w:rPr>
        <w:t xml:space="preserve"> JM, Finn RS, </w:t>
      </w:r>
      <w:proofErr w:type="spellStart"/>
      <w:r w:rsidRPr="007E1F75">
        <w:rPr>
          <w:rFonts w:ascii="Book Antiqua" w:hAnsi="Book Antiqua"/>
        </w:rPr>
        <w:t>LeBerre</w:t>
      </w:r>
      <w:proofErr w:type="spellEnd"/>
      <w:r w:rsidRPr="007E1F75">
        <w:rPr>
          <w:rFonts w:ascii="Book Antiqua" w:hAnsi="Book Antiqua"/>
        </w:rPr>
        <w:t xml:space="preserve"> MA, </w:t>
      </w:r>
      <w:proofErr w:type="spellStart"/>
      <w:r w:rsidRPr="007E1F75">
        <w:rPr>
          <w:rFonts w:ascii="Book Antiqua" w:hAnsi="Book Antiqua"/>
        </w:rPr>
        <w:t>Baumhauer</w:t>
      </w:r>
      <w:proofErr w:type="spellEnd"/>
      <w:r w:rsidRPr="007E1F75">
        <w:rPr>
          <w:rFonts w:ascii="Book Antiqua" w:hAnsi="Book Antiqua"/>
        </w:rPr>
        <w:t xml:space="preserve"> A, </w:t>
      </w:r>
      <w:proofErr w:type="spellStart"/>
      <w:r w:rsidRPr="007E1F75">
        <w:rPr>
          <w:rFonts w:ascii="Book Antiqua" w:hAnsi="Book Antiqua"/>
        </w:rPr>
        <w:t>Meinhardt</w:t>
      </w:r>
      <w:proofErr w:type="spellEnd"/>
      <w:r w:rsidRPr="007E1F75">
        <w:rPr>
          <w:rFonts w:ascii="Book Antiqua" w:hAnsi="Book Antiqua"/>
        </w:rPr>
        <w:t xml:space="preserve"> G, Han G; RESORCE Investigators. </w:t>
      </w:r>
      <w:proofErr w:type="spellStart"/>
      <w:r w:rsidRPr="007E1F75">
        <w:rPr>
          <w:rFonts w:ascii="Book Antiqua" w:hAnsi="Book Antiqua"/>
        </w:rPr>
        <w:t>Regorafenib</w:t>
      </w:r>
      <w:proofErr w:type="spellEnd"/>
      <w:r w:rsidRPr="007E1F75">
        <w:rPr>
          <w:rFonts w:ascii="Book Antiqua" w:hAnsi="Book Antiqua"/>
        </w:rPr>
        <w:t xml:space="preserve"> for patients with hepatocellular carcinoma who progressed on </w:t>
      </w:r>
      <w:proofErr w:type="spellStart"/>
      <w:r w:rsidRPr="007E1F75">
        <w:rPr>
          <w:rFonts w:ascii="Book Antiqua" w:hAnsi="Book Antiqua"/>
        </w:rPr>
        <w:t>sorafenib</w:t>
      </w:r>
      <w:proofErr w:type="spellEnd"/>
      <w:r w:rsidRPr="007E1F75">
        <w:rPr>
          <w:rFonts w:ascii="Book Antiqua" w:hAnsi="Book Antiqua"/>
        </w:rPr>
        <w:t xml:space="preserve"> treatment (RESORCE): a </w:t>
      </w:r>
      <w:proofErr w:type="spellStart"/>
      <w:r w:rsidRPr="007E1F75">
        <w:rPr>
          <w:rFonts w:ascii="Book Antiqua" w:hAnsi="Book Antiqua"/>
        </w:rPr>
        <w:t>randomised</w:t>
      </w:r>
      <w:proofErr w:type="spellEnd"/>
      <w:r w:rsidRPr="007E1F75">
        <w:rPr>
          <w:rFonts w:ascii="Book Antiqua" w:hAnsi="Book Antiqua"/>
        </w:rPr>
        <w:t xml:space="preserve">, double-blind, placebo-controlled, phase 3 trial. </w:t>
      </w:r>
      <w:r w:rsidRPr="007E1F75">
        <w:rPr>
          <w:rFonts w:ascii="Book Antiqua" w:hAnsi="Book Antiqua"/>
          <w:i/>
        </w:rPr>
        <w:t>Lancet</w:t>
      </w:r>
      <w:r w:rsidRPr="007E1F75">
        <w:rPr>
          <w:rFonts w:ascii="Book Antiqua" w:hAnsi="Book Antiqua"/>
        </w:rPr>
        <w:t xml:space="preserve"> 2017; </w:t>
      </w:r>
      <w:r w:rsidRPr="007E1F75">
        <w:rPr>
          <w:rFonts w:ascii="Book Antiqua" w:hAnsi="Book Antiqua"/>
          <w:b/>
        </w:rPr>
        <w:t>389</w:t>
      </w:r>
      <w:r w:rsidRPr="007E1F75">
        <w:rPr>
          <w:rFonts w:ascii="Book Antiqua" w:hAnsi="Book Antiqua"/>
        </w:rPr>
        <w:t>: 56-66 [PMID: 27932229 DOI: 10.1016/S0140-6736(16)32453-9]</w:t>
      </w:r>
    </w:p>
    <w:p w:rsidR="007E1F75" w:rsidRPr="007E1F75" w:rsidRDefault="007E1F75" w:rsidP="007E1F75">
      <w:pPr>
        <w:spacing w:line="360" w:lineRule="auto"/>
        <w:rPr>
          <w:rFonts w:ascii="Book Antiqua" w:hAnsi="Book Antiqua"/>
        </w:rPr>
      </w:pPr>
      <w:r w:rsidRPr="007E1F75">
        <w:rPr>
          <w:rFonts w:ascii="Book Antiqua" w:hAnsi="Book Antiqua"/>
        </w:rPr>
        <w:t xml:space="preserve">8 </w:t>
      </w:r>
      <w:proofErr w:type="spellStart"/>
      <w:r w:rsidRPr="007E1F75">
        <w:rPr>
          <w:rFonts w:ascii="Book Antiqua" w:hAnsi="Book Antiqua"/>
          <w:b/>
        </w:rPr>
        <w:t>Llovet</w:t>
      </w:r>
      <w:proofErr w:type="spellEnd"/>
      <w:r w:rsidRPr="007E1F75">
        <w:rPr>
          <w:rFonts w:ascii="Book Antiqua" w:hAnsi="Book Antiqua"/>
          <w:b/>
        </w:rPr>
        <w:t xml:space="preserve"> JM</w:t>
      </w:r>
      <w:r w:rsidRPr="007E1F75">
        <w:rPr>
          <w:rFonts w:ascii="Book Antiqua" w:hAnsi="Book Antiqua"/>
        </w:rPr>
        <w:t xml:space="preserve">, Peña CE, </w:t>
      </w:r>
      <w:proofErr w:type="spellStart"/>
      <w:r w:rsidRPr="007E1F75">
        <w:rPr>
          <w:rFonts w:ascii="Book Antiqua" w:hAnsi="Book Antiqua"/>
        </w:rPr>
        <w:t>Lathia</w:t>
      </w:r>
      <w:proofErr w:type="spellEnd"/>
      <w:r w:rsidRPr="007E1F75">
        <w:rPr>
          <w:rFonts w:ascii="Book Antiqua" w:hAnsi="Book Antiqua"/>
        </w:rPr>
        <w:t xml:space="preserve"> CD, Shan M, </w:t>
      </w:r>
      <w:proofErr w:type="spellStart"/>
      <w:r w:rsidRPr="007E1F75">
        <w:rPr>
          <w:rFonts w:ascii="Book Antiqua" w:hAnsi="Book Antiqua"/>
        </w:rPr>
        <w:t>Meinhardt</w:t>
      </w:r>
      <w:proofErr w:type="spellEnd"/>
      <w:r w:rsidRPr="007E1F75">
        <w:rPr>
          <w:rFonts w:ascii="Book Antiqua" w:hAnsi="Book Antiqua"/>
        </w:rPr>
        <w:t xml:space="preserve"> G, </w:t>
      </w:r>
      <w:proofErr w:type="spellStart"/>
      <w:r w:rsidRPr="007E1F75">
        <w:rPr>
          <w:rFonts w:ascii="Book Antiqua" w:hAnsi="Book Antiqua"/>
        </w:rPr>
        <w:t>Bruix</w:t>
      </w:r>
      <w:proofErr w:type="spellEnd"/>
      <w:r w:rsidRPr="007E1F75">
        <w:rPr>
          <w:rFonts w:ascii="Book Antiqua" w:hAnsi="Book Antiqua"/>
        </w:rPr>
        <w:t xml:space="preserve"> J; SHARP Investigators Study Group. Plasma biomarkers as predictors of outcome in patients with advanced hepatocellular carcinoma. </w:t>
      </w:r>
      <w:proofErr w:type="spellStart"/>
      <w:r w:rsidRPr="007E1F75">
        <w:rPr>
          <w:rFonts w:ascii="Book Antiqua" w:hAnsi="Book Antiqua"/>
          <w:i/>
        </w:rPr>
        <w:t>Clin</w:t>
      </w:r>
      <w:proofErr w:type="spellEnd"/>
      <w:r w:rsidRPr="007E1F75">
        <w:rPr>
          <w:rFonts w:ascii="Book Antiqua" w:hAnsi="Book Antiqua"/>
          <w:i/>
        </w:rPr>
        <w:t xml:space="preserve"> Cancer Res</w:t>
      </w:r>
      <w:r w:rsidRPr="007E1F75">
        <w:rPr>
          <w:rFonts w:ascii="Book Antiqua" w:hAnsi="Book Antiqua"/>
        </w:rPr>
        <w:t xml:space="preserve"> 2012; </w:t>
      </w:r>
      <w:r w:rsidRPr="007E1F75">
        <w:rPr>
          <w:rFonts w:ascii="Book Antiqua" w:hAnsi="Book Antiqua"/>
          <w:b/>
        </w:rPr>
        <w:t>18</w:t>
      </w:r>
      <w:r w:rsidRPr="007E1F75">
        <w:rPr>
          <w:rFonts w:ascii="Book Antiqua" w:hAnsi="Book Antiqua"/>
        </w:rPr>
        <w:t>: 2290-2300 [PMID: 22374331 DOI: 10.1158/1078-0432.CCR-11-2175]</w:t>
      </w:r>
    </w:p>
    <w:p w:rsidR="007E1F75" w:rsidRPr="007E1F75" w:rsidRDefault="007E1F75" w:rsidP="007E1F75">
      <w:pPr>
        <w:spacing w:line="360" w:lineRule="auto"/>
        <w:rPr>
          <w:rFonts w:ascii="Book Antiqua" w:hAnsi="Book Antiqua"/>
        </w:rPr>
      </w:pPr>
      <w:r w:rsidRPr="007E1F75">
        <w:rPr>
          <w:rFonts w:ascii="Book Antiqua" w:hAnsi="Book Antiqua"/>
        </w:rPr>
        <w:t xml:space="preserve">9 </w:t>
      </w:r>
      <w:proofErr w:type="spellStart"/>
      <w:r w:rsidRPr="007E1F75">
        <w:rPr>
          <w:rFonts w:ascii="Book Antiqua" w:hAnsi="Book Antiqua"/>
          <w:b/>
        </w:rPr>
        <w:t>Vincenzi</w:t>
      </w:r>
      <w:proofErr w:type="spellEnd"/>
      <w:r w:rsidRPr="007E1F75">
        <w:rPr>
          <w:rFonts w:ascii="Book Antiqua" w:hAnsi="Book Antiqua"/>
          <w:b/>
        </w:rPr>
        <w:t xml:space="preserve"> B</w:t>
      </w:r>
      <w:r w:rsidRPr="007E1F75">
        <w:rPr>
          <w:rFonts w:ascii="Book Antiqua" w:hAnsi="Book Antiqua"/>
        </w:rPr>
        <w:t xml:space="preserve">, </w:t>
      </w:r>
      <w:proofErr w:type="spellStart"/>
      <w:r w:rsidRPr="007E1F75">
        <w:rPr>
          <w:rFonts w:ascii="Book Antiqua" w:hAnsi="Book Antiqua"/>
        </w:rPr>
        <w:t>Santini</w:t>
      </w:r>
      <w:proofErr w:type="spellEnd"/>
      <w:r w:rsidRPr="007E1F75">
        <w:rPr>
          <w:rFonts w:ascii="Book Antiqua" w:hAnsi="Book Antiqua"/>
        </w:rPr>
        <w:t xml:space="preserve"> D, Russo A, </w:t>
      </w:r>
      <w:proofErr w:type="spellStart"/>
      <w:r w:rsidRPr="007E1F75">
        <w:rPr>
          <w:rFonts w:ascii="Book Antiqua" w:hAnsi="Book Antiqua"/>
        </w:rPr>
        <w:t>Addeo</w:t>
      </w:r>
      <w:proofErr w:type="spellEnd"/>
      <w:r w:rsidRPr="007E1F75">
        <w:rPr>
          <w:rFonts w:ascii="Book Antiqua" w:hAnsi="Book Antiqua"/>
        </w:rPr>
        <w:t xml:space="preserve"> R, Giuliani F, </w:t>
      </w:r>
      <w:proofErr w:type="spellStart"/>
      <w:r w:rsidRPr="007E1F75">
        <w:rPr>
          <w:rFonts w:ascii="Book Antiqua" w:hAnsi="Book Antiqua"/>
        </w:rPr>
        <w:t>Montella</w:t>
      </w:r>
      <w:proofErr w:type="spellEnd"/>
      <w:r w:rsidRPr="007E1F75">
        <w:rPr>
          <w:rFonts w:ascii="Book Antiqua" w:hAnsi="Book Antiqua"/>
        </w:rPr>
        <w:t xml:space="preserve"> L, Rizzo S, </w:t>
      </w:r>
      <w:proofErr w:type="spellStart"/>
      <w:r w:rsidRPr="007E1F75">
        <w:rPr>
          <w:rFonts w:ascii="Book Antiqua" w:hAnsi="Book Antiqua"/>
        </w:rPr>
        <w:t>Venditti</w:t>
      </w:r>
      <w:proofErr w:type="spellEnd"/>
      <w:r w:rsidRPr="007E1F75">
        <w:rPr>
          <w:rFonts w:ascii="Book Antiqua" w:hAnsi="Book Antiqua"/>
        </w:rPr>
        <w:t xml:space="preserve"> O, </w:t>
      </w:r>
      <w:proofErr w:type="spellStart"/>
      <w:r w:rsidRPr="007E1F75">
        <w:rPr>
          <w:rFonts w:ascii="Book Antiqua" w:hAnsi="Book Antiqua"/>
        </w:rPr>
        <w:t>Frezza</w:t>
      </w:r>
      <w:proofErr w:type="spellEnd"/>
      <w:r w:rsidRPr="007E1F75">
        <w:rPr>
          <w:rFonts w:ascii="Book Antiqua" w:hAnsi="Book Antiqua"/>
        </w:rPr>
        <w:t xml:space="preserve"> AM, </w:t>
      </w:r>
      <w:proofErr w:type="spellStart"/>
      <w:r w:rsidRPr="007E1F75">
        <w:rPr>
          <w:rFonts w:ascii="Book Antiqua" w:hAnsi="Book Antiqua"/>
        </w:rPr>
        <w:t>Caraglia</w:t>
      </w:r>
      <w:proofErr w:type="spellEnd"/>
      <w:r w:rsidRPr="007E1F75">
        <w:rPr>
          <w:rFonts w:ascii="Book Antiqua" w:hAnsi="Book Antiqua"/>
        </w:rPr>
        <w:t xml:space="preserve"> M, </w:t>
      </w:r>
      <w:proofErr w:type="spellStart"/>
      <w:r w:rsidRPr="007E1F75">
        <w:rPr>
          <w:rFonts w:ascii="Book Antiqua" w:hAnsi="Book Antiqua"/>
        </w:rPr>
        <w:t>Colucci</w:t>
      </w:r>
      <w:proofErr w:type="spellEnd"/>
      <w:r w:rsidRPr="007E1F75">
        <w:rPr>
          <w:rFonts w:ascii="Book Antiqua" w:hAnsi="Book Antiqua"/>
        </w:rPr>
        <w:t xml:space="preserve"> G, Del </w:t>
      </w:r>
      <w:proofErr w:type="spellStart"/>
      <w:r w:rsidRPr="007E1F75">
        <w:rPr>
          <w:rFonts w:ascii="Book Antiqua" w:hAnsi="Book Antiqua"/>
        </w:rPr>
        <w:t>Prete</w:t>
      </w:r>
      <w:proofErr w:type="spellEnd"/>
      <w:r w:rsidRPr="007E1F75">
        <w:rPr>
          <w:rFonts w:ascii="Book Antiqua" w:hAnsi="Book Antiqua"/>
        </w:rPr>
        <w:t xml:space="preserve"> S, </w:t>
      </w:r>
      <w:proofErr w:type="spellStart"/>
      <w:r w:rsidRPr="007E1F75">
        <w:rPr>
          <w:rFonts w:ascii="Book Antiqua" w:hAnsi="Book Antiqua"/>
        </w:rPr>
        <w:t>Tonini</w:t>
      </w:r>
      <w:proofErr w:type="spellEnd"/>
      <w:r w:rsidRPr="007E1F75">
        <w:rPr>
          <w:rFonts w:ascii="Book Antiqua" w:hAnsi="Book Antiqua"/>
        </w:rPr>
        <w:t xml:space="preserve"> G. Early skin toxicity as a predictive factor for tumor control in hepatocellular carcinoma patients treated with </w:t>
      </w:r>
      <w:proofErr w:type="spellStart"/>
      <w:r w:rsidRPr="007E1F75">
        <w:rPr>
          <w:rFonts w:ascii="Book Antiqua" w:hAnsi="Book Antiqua"/>
        </w:rPr>
        <w:t>sorafenib</w:t>
      </w:r>
      <w:proofErr w:type="spellEnd"/>
      <w:r w:rsidRPr="007E1F75">
        <w:rPr>
          <w:rFonts w:ascii="Book Antiqua" w:hAnsi="Book Antiqua"/>
        </w:rPr>
        <w:t xml:space="preserve">. </w:t>
      </w:r>
      <w:r w:rsidRPr="007E1F75">
        <w:rPr>
          <w:rFonts w:ascii="Book Antiqua" w:hAnsi="Book Antiqua"/>
          <w:i/>
        </w:rPr>
        <w:t>Oncologist</w:t>
      </w:r>
      <w:r w:rsidRPr="007E1F75">
        <w:rPr>
          <w:rFonts w:ascii="Book Antiqua" w:hAnsi="Book Antiqua"/>
        </w:rPr>
        <w:t xml:space="preserve"> 2010; </w:t>
      </w:r>
      <w:r w:rsidRPr="007E1F75">
        <w:rPr>
          <w:rFonts w:ascii="Book Antiqua" w:hAnsi="Book Antiqua"/>
          <w:b/>
        </w:rPr>
        <w:t>15</w:t>
      </w:r>
      <w:r w:rsidRPr="007E1F75">
        <w:rPr>
          <w:rFonts w:ascii="Book Antiqua" w:hAnsi="Book Antiqua"/>
        </w:rPr>
        <w:t>: 85-92 [PMID: 20051477 DOI: 10.1634/theoncologist.2009-0143]</w:t>
      </w:r>
    </w:p>
    <w:p w:rsidR="007E1F75" w:rsidRPr="007E1F75" w:rsidRDefault="007E1F75" w:rsidP="007E1F75">
      <w:pPr>
        <w:spacing w:line="360" w:lineRule="auto"/>
        <w:rPr>
          <w:rFonts w:ascii="Book Antiqua" w:hAnsi="Book Antiqua"/>
        </w:rPr>
      </w:pPr>
      <w:r w:rsidRPr="007E1F75">
        <w:rPr>
          <w:rFonts w:ascii="Book Antiqua" w:hAnsi="Book Antiqua"/>
        </w:rPr>
        <w:t xml:space="preserve">10 </w:t>
      </w:r>
      <w:r w:rsidRPr="007E1F75">
        <w:rPr>
          <w:rFonts w:ascii="Book Antiqua" w:hAnsi="Book Antiqua"/>
          <w:b/>
        </w:rPr>
        <w:t>Otsuka T</w:t>
      </w:r>
      <w:r w:rsidRPr="007E1F75">
        <w:rPr>
          <w:rFonts w:ascii="Book Antiqua" w:hAnsi="Book Antiqua"/>
        </w:rPr>
        <w:t xml:space="preserve">, </w:t>
      </w:r>
      <w:proofErr w:type="spellStart"/>
      <w:r w:rsidRPr="007E1F75">
        <w:rPr>
          <w:rFonts w:ascii="Book Antiqua" w:hAnsi="Book Antiqua"/>
        </w:rPr>
        <w:t>Eguchi</w:t>
      </w:r>
      <w:proofErr w:type="spellEnd"/>
      <w:r w:rsidRPr="007E1F75">
        <w:rPr>
          <w:rFonts w:ascii="Book Antiqua" w:hAnsi="Book Antiqua"/>
        </w:rPr>
        <w:t xml:space="preserve"> Y, Kawazoe S, </w:t>
      </w:r>
      <w:proofErr w:type="spellStart"/>
      <w:r w:rsidRPr="007E1F75">
        <w:rPr>
          <w:rFonts w:ascii="Book Antiqua" w:hAnsi="Book Antiqua"/>
        </w:rPr>
        <w:t>Yanagita</w:t>
      </w:r>
      <w:proofErr w:type="spellEnd"/>
      <w:r w:rsidRPr="007E1F75">
        <w:rPr>
          <w:rFonts w:ascii="Book Antiqua" w:hAnsi="Book Antiqua"/>
        </w:rPr>
        <w:t xml:space="preserve"> K, </w:t>
      </w:r>
      <w:proofErr w:type="spellStart"/>
      <w:r w:rsidRPr="007E1F75">
        <w:rPr>
          <w:rFonts w:ascii="Book Antiqua" w:hAnsi="Book Antiqua"/>
        </w:rPr>
        <w:t>Ario</w:t>
      </w:r>
      <w:proofErr w:type="spellEnd"/>
      <w:r w:rsidRPr="007E1F75">
        <w:rPr>
          <w:rFonts w:ascii="Book Antiqua" w:hAnsi="Book Antiqua"/>
        </w:rPr>
        <w:t xml:space="preserve"> K, </w:t>
      </w:r>
      <w:proofErr w:type="spellStart"/>
      <w:r w:rsidRPr="007E1F75">
        <w:rPr>
          <w:rFonts w:ascii="Book Antiqua" w:hAnsi="Book Antiqua"/>
        </w:rPr>
        <w:t>Kitahara</w:t>
      </w:r>
      <w:proofErr w:type="spellEnd"/>
      <w:r w:rsidRPr="007E1F75">
        <w:rPr>
          <w:rFonts w:ascii="Book Antiqua" w:hAnsi="Book Antiqua"/>
        </w:rPr>
        <w:t xml:space="preserve"> K, Kawasoe H, Kato H, Mizuta T; Saga Liver Cancer Study Group. Skin toxicities and survival in advanced hepatocellular carcinoma patients treated with </w:t>
      </w:r>
      <w:proofErr w:type="spellStart"/>
      <w:r w:rsidRPr="007E1F75">
        <w:rPr>
          <w:rFonts w:ascii="Book Antiqua" w:hAnsi="Book Antiqua"/>
        </w:rPr>
        <w:t>sorafenib</w:t>
      </w:r>
      <w:proofErr w:type="spellEnd"/>
      <w:r w:rsidRPr="007E1F75">
        <w:rPr>
          <w:rFonts w:ascii="Book Antiqua" w:hAnsi="Book Antiqua"/>
        </w:rPr>
        <w:t xml:space="preserve">. </w:t>
      </w:r>
      <w:proofErr w:type="spellStart"/>
      <w:r w:rsidRPr="007E1F75">
        <w:rPr>
          <w:rFonts w:ascii="Book Antiqua" w:hAnsi="Book Antiqua"/>
          <w:i/>
        </w:rPr>
        <w:t>Hepatol</w:t>
      </w:r>
      <w:proofErr w:type="spellEnd"/>
      <w:r w:rsidRPr="007E1F75">
        <w:rPr>
          <w:rFonts w:ascii="Book Antiqua" w:hAnsi="Book Antiqua"/>
          <w:i/>
        </w:rPr>
        <w:t xml:space="preserve"> Res</w:t>
      </w:r>
      <w:r w:rsidRPr="007E1F75">
        <w:rPr>
          <w:rFonts w:ascii="Book Antiqua" w:hAnsi="Book Antiqua"/>
        </w:rPr>
        <w:t xml:space="preserve"> 2012; </w:t>
      </w:r>
      <w:r w:rsidRPr="007E1F75">
        <w:rPr>
          <w:rFonts w:ascii="Book Antiqua" w:hAnsi="Book Antiqua"/>
          <w:b/>
        </w:rPr>
        <w:t>42</w:t>
      </w:r>
      <w:r w:rsidRPr="007E1F75">
        <w:rPr>
          <w:rFonts w:ascii="Book Antiqua" w:hAnsi="Book Antiqua"/>
        </w:rPr>
        <w:t>: 879-886 [PMID: 22469363 DOI: 10.1111/j.1872-034X.2012.00991.x]</w:t>
      </w:r>
    </w:p>
    <w:p w:rsidR="007E1F75" w:rsidRPr="007E1F75" w:rsidRDefault="007E1F75" w:rsidP="007E1F75">
      <w:pPr>
        <w:spacing w:line="360" w:lineRule="auto"/>
        <w:rPr>
          <w:rFonts w:ascii="Book Antiqua" w:hAnsi="Book Antiqua"/>
        </w:rPr>
      </w:pPr>
      <w:r w:rsidRPr="007E1F75">
        <w:rPr>
          <w:rFonts w:ascii="Book Antiqua" w:hAnsi="Book Antiqua"/>
        </w:rPr>
        <w:t xml:space="preserve">11 </w:t>
      </w:r>
      <w:r w:rsidRPr="007E1F75">
        <w:rPr>
          <w:rFonts w:ascii="Book Antiqua" w:hAnsi="Book Antiqua"/>
          <w:b/>
        </w:rPr>
        <w:t>Di Costanzo GG</w:t>
      </w:r>
      <w:r w:rsidRPr="007E1F75">
        <w:rPr>
          <w:rFonts w:ascii="Book Antiqua" w:hAnsi="Book Antiqua"/>
        </w:rPr>
        <w:t xml:space="preserve">, </w:t>
      </w:r>
      <w:proofErr w:type="spellStart"/>
      <w:r w:rsidRPr="007E1F75">
        <w:rPr>
          <w:rFonts w:ascii="Book Antiqua" w:hAnsi="Book Antiqua"/>
        </w:rPr>
        <w:t>Tortora</w:t>
      </w:r>
      <w:proofErr w:type="spellEnd"/>
      <w:r w:rsidRPr="007E1F75">
        <w:rPr>
          <w:rFonts w:ascii="Book Antiqua" w:hAnsi="Book Antiqua"/>
        </w:rPr>
        <w:t xml:space="preserve"> R, </w:t>
      </w:r>
      <w:proofErr w:type="spellStart"/>
      <w:r w:rsidRPr="007E1F75">
        <w:rPr>
          <w:rFonts w:ascii="Book Antiqua" w:hAnsi="Book Antiqua"/>
        </w:rPr>
        <w:t>Iodice</w:t>
      </w:r>
      <w:proofErr w:type="spellEnd"/>
      <w:r w:rsidRPr="007E1F75">
        <w:rPr>
          <w:rFonts w:ascii="Book Antiqua" w:hAnsi="Book Antiqua"/>
        </w:rPr>
        <w:t xml:space="preserve"> L, Lanza AG, </w:t>
      </w:r>
      <w:proofErr w:type="spellStart"/>
      <w:r w:rsidRPr="007E1F75">
        <w:rPr>
          <w:rFonts w:ascii="Book Antiqua" w:hAnsi="Book Antiqua"/>
        </w:rPr>
        <w:t>Lampasi</w:t>
      </w:r>
      <w:proofErr w:type="spellEnd"/>
      <w:r w:rsidRPr="007E1F75">
        <w:rPr>
          <w:rFonts w:ascii="Book Antiqua" w:hAnsi="Book Antiqua"/>
        </w:rPr>
        <w:t xml:space="preserve"> F, </w:t>
      </w:r>
      <w:proofErr w:type="spellStart"/>
      <w:r w:rsidRPr="007E1F75">
        <w:rPr>
          <w:rFonts w:ascii="Book Antiqua" w:hAnsi="Book Antiqua"/>
        </w:rPr>
        <w:t>Tartaglione</w:t>
      </w:r>
      <w:proofErr w:type="spellEnd"/>
      <w:r w:rsidRPr="007E1F75">
        <w:rPr>
          <w:rFonts w:ascii="Book Antiqua" w:hAnsi="Book Antiqua"/>
        </w:rPr>
        <w:t xml:space="preserve"> MT, </w:t>
      </w:r>
      <w:proofErr w:type="spellStart"/>
      <w:r w:rsidRPr="007E1F75">
        <w:rPr>
          <w:rFonts w:ascii="Book Antiqua" w:hAnsi="Book Antiqua"/>
        </w:rPr>
        <w:t>Picciotto</w:t>
      </w:r>
      <w:proofErr w:type="spellEnd"/>
      <w:r w:rsidRPr="007E1F75">
        <w:rPr>
          <w:rFonts w:ascii="Book Antiqua" w:hAnsi="Book Antiqua"/>
        </w:rPr>
        <w:t xml:space="preserve"> FP, </w:t>
      </w:r>
      <w:proofErr w:type="spellStart"/>
      <w:r w:rsidRPr="007E1F75">
        <w:rPr>
          <w:rFonts w:ascii="Book Antiqua" w:hAnsi="Book Antiqua"/>
        </w:rPr>
        <w:t>Mattera</w:t>
      </w:r>
      <w:proofErr w:type="spellEnd"/>
      <w:r w:rsidRPr="007E1F75">
        <w:rPr>
          <w:rFonts w:ascii="Book Antiqua" w:hAnsi="Book Antiqua"/>
        </w:rPr>
        <w:t xml:space="preserve"> S, De Luca M. Safety and effectiveness of </w:t>
      </w:r>
      <w:proofErr w:type="spellStart"/>
      <w:r w:rsidRPr="007E1F75">
        <w:rPr>
          <w:rFonts w:ascii="Book Antiqua" w:hAnsi="Book Antiqua"/>
        </w:rPr>
        <w:t>sorafenib</w:t>
      </w:r>
      <w:proofErr w:type="spellEnd"/>
      <w:r w:rsidRPr="007E1F75">
        <w:rPr>
          <w:rFonts w:ascii="Book Antiqua" w:hAnsi="Book Antiqua"/>
        </w:rPr>
        <w:t xml:space="preserve"> in </w:t>
      </w:r>
      <w:r w:rsidRPr="007E1F75">
        <w:rPr>
          <w:rFonts w:ascii="Book Antiqua" w:hAnsi="Book Antiqua"/>
        </w:rPr>
        <w:lastRenderedPageBreak/>
        <w:t xml:space="preserve">patients with hepatocellular carcinoma in clinical practice. </w:t>
      </w:r>
      <w:r w:rsidRPr="007E1F75">
        <w:rPr>
          <w:rFonts w:ascii="Book Antiqua" w:hAnsi="Book Antiqua"/>
          <w:i/>
        </w:rPr>
        <w:t>Dig Liver Dis</w:t>
      </w:r>
      <w:r w:rsidRPr="007E1F75">
        <w:rPr>
          <w:rFonts w:ascii="Book Antiqua" w:hAnsi="Book Antiqua"/>
        </w:rPr>
        <w:t xml:space="preserve"> 2012; </w:t>
      </w:r>
      <w:r w:rsidRPr="007E1F75">
        <w:rPr>
          <w:rFonts w:ascii="Book Antiqua" w:hAnsi="Book Antiqua"/>
          <w:b/>
        </w:rPr>
        <w:t>44</w:t>
      </w:r>
      <w:r w:rsidRPr="007E1F75">
        <w:rPr>
          <w:rFonts w:ascii="Book Antiqua" w:hAnsi="Book Antiqua"/>
        </w:rPr>
        <w:t>: 788-792 [PMID: 22579445 DOI: 10.1016/j.dld.2012.04.001]</w:t>
      </w:r>
    </w:p>
    <w:p w:rsidR="007E1F75" w:rsidRPr="007E1F75" w:rsidRDefault="007E1F75" w:rsidP="007E1F75">
      <w:pPr>
        <w:spacing w:line="360" w:lineRule="auto"/>
        <w:rPr>
          <w:rFonts w:ascii="Book Antiqua" w:hAnsi="Book Antiqua"/>
        </w:rPr>
      </w:pPr>
      <w:r w:rsidRPr="007E1F75">
        <w:rPr>
          <w:rFonts w:ascii="Book Antiqua" w:hAnsi="Book Antiqua"/>
        </w:rPr>
        <w:t xml:space="preserve">12 </w:t>
      </w:r>
      <w:proofErr w:type="spellStart"/>
      <w:r w:rsidRPr="007E1F75">
        <w:rPr>
          <w:rFonts w:ascii="Book Antiqua" w:hAnsi="Book Antiqua"/>
          <w:b/>
        </w:rPr>
        <w:t>Reig</w:t>
      </w:r>
      <w:proofErr w:type="spellEnd"/>
      <w:r w:rsidRPr="007E1F75">
        <w:rPr>
          <w:rFonts w:ascii="Book Antiqua" w:hAnsi="Book Antiqua"/>
          <w:b/>
        </w:rPr>
        <w:t xml:space="preserve"> M</w:t>
      </w:r>
      <w:r w:rsidRPr="007E1F75">
        <w:rPr>
          <w:rFonts w:ascii="Book Antiqua" w:hAnsi="Book Antiqua"/>
        </w:rPr>
        <w:t xml:space="preserve">, Torres F, Rodriguez-Lope C, </w:t>
      </w:r>
      <w:proofErr w:type="spellStart"/>
      <w:r w:rsidRPr="007E1F75">
        <w:rPr>
          <w:rFonts w:ascii="Book Antiqua" w:hAnsi="Book Antiqua"/>
        </w:rPr>
        <w:t>Forner</w:t>
      </w:r>
      <w:proofErr w:type="spellEnd"/>
      <w:r w:rsidRPr="007E1F75">
        <w:rPr>
          <w:rFonts w:ascii="Book Antiqua" w:hAnsi="Book Antiqua"/>
        </w:rPr>
        <w:t xml:space="preserve"> A, </w:t>
      </w:r>
      <w:proofErr w:type="spellStart"/>
      <w:r w:rsidRPr="007E1F75">
        <w:rPr>
          <w:rFonts w:ascii="Book Antiqua" w:hAnsi="Book Antiqua"/>
        </w:rPr>
        <w:t>LLarch</w:t>
      </w:r>
      <w:proofErr w:type="spellEnd"/>
      <w:r w:rsidRPr="007E1F75">
        <w:rPr>
          <w:rFonts w:ascii="Book Antiqua" w:hAnsi="Book Antiqua"/>
        </w:rPr>
        <w:t xml:space="preserve"> N, </w:t>
      </w:r>
      <w:proofErr w:type="spellStart"/>
      <w:r w:rsidRPr="007E1F75">
        <w:rPr>
          <w:rFonts w:ascii="Book Antiqua" w:hAnsi="Book Antiqua"/>
        </w:rPr>
        <w:t>Rimola</w:t>
      </w:r>
      <w:proofErr w:type="spellEnd"/>
      <w:r w:rsidRPr="007E1F75">
        <w:rPr>
          <w:rFonts w:ascii="Book Antiqua" w:hAnsi="Book Antiqua"/>
        </w:rPr>
        <w:t xml:space="preserve"> J, Darnell A, Ríos J, </w:t>
      </w:r>
      <w:proofErr w:type="spellStart"/>
      <w:r w:rsidRPr="007E1F75">
        <w:rPr>
          <w:rFonts w:ascii="Book Antiqua" w:hAnsi="Book Antiqua"/>
        </w:rPr>
        <w:t>Ayuso</w:t>
      </w:r>
      <w:proofErr w:type="spellEnd"/>
      <w:r w:rsidRPr="007E1F75">
        <w:rPr>
          <w:rFonts w:ascii="Book Antiqua" w:hAnsi="Book Antiqua"/>
        </w:rPr>
        <w:t xml:space="preserve"> C, </w:t>
      </w:r>
      <w:proofErr w:type="spellStart"/>
      <w:r w:rsidRPr="007E1F75">
        <w:rPr>
          <w:rFonts w:ascii="Book Antiqua" w:hAnsi="Book Antiqua"/>
        </w:rPr>
        <w:t>Bruix</w:t>
      </w:r>
      <w:proofErr w:type="spellEnd"/>
      <w:r w:rsidRPr="007E1F75">
        <w:rPr>
          <w:rFonts w:ascii="Book Antiqua" w:hAnsi="Book Antiqua"/>
        </w:rPr>
        <w:t xml:space="preserve"> J. Early dermatologic adverse events predict better outcome in HCC patients treated with </w:t>
      </w:r>
      <w:proofErr w:type="spellStart"/>
      <w:r w:rsidRPr="007E1F75">
        <w:rPr>
          <w:rFonts w:ascii="Book Antiqua" w:hAnsi="Book Antiqua"/>
        </w:rPr>
        <w:t>sorafenib</w:t>
      </w:r>
      <w:proofErr w:type="spellEnd"/>
      <w:r w:rsidRPr="007E1F75">
        <w:rPr>
          <w:rFonts w:ascii="Book Antiqua" w:hAnsi="Book Antiqua"/>
        </w:rPr>
        <w:t xml:space="preserve">. </w:t>
      </w:r>
      <w:r w:rsidRPr="007E1F75">
        <w:rPr>
          <w:rFonts w:ascii="Book Antiqua" w:hAnsi="Book Antiqua"/>
          <w:i/>
        </w:rPr>
        <w:t xml:space="preserve">J </w:t>
      </w:r>
      <w:proofErr w:type="spellStart"/>
      <w:r w:rsidRPr="007E1F75">
        <w:rPr>
          <w:rFonts w:ascii="Book Antiqua" w:hAnsi="Book Antiqua"/>
          <w:i/>
        </w:rPr>
        <w:t>Hepatol</w:t>
      </w:r>
      <w:proofErr w:type="spellEnd"/>
      <w:r w:rsidRPr="007E1F75">
        <w:rPr>
          <w:rFonts w:ascii="Book Antiqua" w:hAnsi="Book Antiqua"/>
        </w:rPr>
        <w:t xml:space="preserve"> 2014; </w:t>
      </w:r>
      <w:r w:rsidRPr="007E1F75">
        <w:rPr>
          <w:rFonts w:ascii="Book Antiqua" w:hAnsi="Book Antiqua"/>
          <w:b/>
        </w:rPr>
        <w:t>61</w:t>
      </w:r>
      <w:r w:rsidRPr="007E1F75">
        <w:rPr>
          <w:rFonts w:ascii="Book Antiqua" w:hAnsi="Book Antiqua"/>
        </w:rPr>
        <w:t>: 318-324 [PMID: 24703956 DOI: 10.1016/j.jhep.2014.03.030]</w:t>
      </w:r>
    </w:p>
    <w:p w:rsidR="007E1F75" w:rsidRPr="007E1F75" w:rsidRDefault="007E1F75" w:rsidP="007E1F75">
      <w:pPr>
        <w:spacing w:line="360" w:lineRule="auto"/>
        <w:rPr>
          <w:rFonts w:ascii="Book Antiqua" w:hAnsi="Book Antiqua"/>
        </w:rPr>
      </w:pPr>
      <w:r w:rsidRPr="007E1F75">
        <w:rPr>
          <w:rFonts w:ascii="Book Antiqua" w:hAnsi="Book Antiqua"/>
        </w:rPr>
        <w:t xml:space="preserve">13 </w:t>
      </w:r>
      <w:proofErr w:type="spellStart"/>
      <w:r w:rsidRPr="007E1F75">
        <w:rPr>
          <w:rFonts w:ascii="Book Antiqua" w:hAnsi="Book Antiqua"/>
          <w:b/>
        </w:rPr>
        <w:t>Shomura</w:t>
      </w:r>
      <w:proofErr w:type="spellEnd"/>
      <w:r w:rsidRPr="007E1F75">
        <w:rPr>
          <w:rFonts w:ascii="Book Antiqua" w:hAnsi="Book Antiqua"/>
          <w:b/>
        </w:rPr>
        <w:t xml:space="preserve"> M</w:t>
      </w:r>
      <w:r w:rsidRPr="007E1F75">
        <w:rPr>
          <w:rFonts w:ascii="Book Antiqua" w:hAnsi="Book Antiqua"/>
        </w:rPr>
        <w:t xml:space="preserve">, Kagawa T, </w:t>
      </w:r>
      <w:proofErr w:type="spellStart"/>
      <w:r w:rsidRPr="007E1F75">
        <w:rPr>
          <w:rFonts w:ascii="Book Antiqua" w:hAnsi="Book Antiqua"/>
        </w:rPr>
        <w:t>Shiraishi</w:t>
      </w:r>
      <w:proofErr w:type="spellEnd"/>
      <w:r w:rsidRPr="007E1F75">
        <w:rPr>
          <w:rFonts w:ascii="Book Antiqua" w:hAnsi="Book Antiqua"/>
        </w:rPr>
        <w:t xml:space="preserve"> K, Hirose S, Arase Y, Koizumi J, Mine T. Skin toxicity predicts efficacy to </w:t>
      </w:r>
      <w:proofErr w:type="spellStart"/>
      <w:r w:rsidRPr="007E1F75">
        <w:rPr>
          <w:rFonts w:ascii="Book Antiqua" w:hAnsi="Book Antiqua"/>
        </w:rPr>
        <w:t>sorafenib</w:t>
      </w:r>
      <w:proofErr w:type="spellEnd"/>
      <w:r w:rsidRPr="007E1F75">
        <w:rPr>
          <w:rFonts w:ascii="Book Antiqua" w:hAnsi="Book Antiqua"/>
        </w:rPr>
        <w:t xml:space="preserve"> in patients with advanced hepatocellular carcinoma. </w:t>
      </w:r>
      <w:r w:rsidRPr="007E1F75">
        <w:rPr>
          <w:rFonts w:ascii="Book Antiqua" w:hAnsi="Book Antiqua"/>
          <w:i/>
        </w:rPr>
        <w:t xml:space="preserve">World J </w:t>
      </w:r>
      <w:proofErr w:type="spellStart"/>
      <w:r w:rsidRPr="007E1F75">
        <w:rPr>
          <w:rFonts w:ascii="Book Antiqua" w:hAnsi="Book Antiqua"/>
          <w:i/>
        </w:rPr>
        <w:t>Hepatol</w:t>
      </w:r>
      <w:proofErr w:type="spellEnd"/>
      <w:r w:rsidRPr="007E1F75">
        <w:rPr>
          <w:rFonts w:ascii="Book Antiqua" w:hAnsi="Book Antiqua"/>
        </w:rPr>
        <w:t xml:space="preserve"> 2014; </w:t>
      </w:r>
      <w:r w:rsidRPr="007E1F75">
        <w:rPr>
          <w:rFonts w:ascii="Book Antiqua" w:hAnsi="Book Antiqua"/>
          <w:b/>
        </w:rPr>
        <w:t>6</w:t>
      </w:r>
      <w:r w:rsidRPr="007E1F75">
        <w:rPr>
          <w:rFonts w:ascii="Book Antiqua" w:hAnsi="Book Antiqua"/>
        </w:rPr>
        <w:t>: 670-676 [PMID: 25276283 DOI: 10.4254/wjh.v6.i9.670]</w:t>
      </w:r>
    </w:p>
    <w:p w:rsidR="007E1F75" w:rsidRPr="007E1F75" w:rsidRDefault="007E1F75" w:rsidP="007E1F75">
      <w:pPr>
        <w:spacing w:line="360" w:lineRule="auto"/>
        <w:rPr>
          <w:rFonts w:ascii="Book Antiqua" w:hAnsi="Book Antiqua"/>
        </w:rPr>
      </w:pPr>
      <w:r w:rsidRPr="007E1F75">
        <w:rPr>
          <w:rFonts w:ascii="Book Antiqua" w:hAnsi="Book Antiqua"/>
        </w:rPr>
        <w:t xml:space="preserve">14 </w:t>
      </w:r>
      <w:proofErr w:type="spellStart"/>
      <w:r w:rsidRPr="007E1F75">
        <w:rPr>
          <w:rFonts w:ascii="Book Antiqua" w:hAnsi="Book Antiqua"/>
          <w:b/>
        </w:rPr>
        <w:t>Bruix</w:t>
      </w:r>
      <w:proofErr w:type="spellEnd"/>
      <w:r w:rsidRPr="007E1F75">
        <w:rPr>
          <w:rFonts w:ascii="Book Antiqua" w:hAnsi="Book Antiqua"/>
          <w:b/>
        </w:rPr>
        <w:t xml:space="preserve"> J</w:t>
      </w:r>
      <w:r w:rsidRPr="007E1F75">
        <w:rPr>
          <w:rFonts w:ascii="Book Antiqua" w:hAnsi="Book Antiqua"/>
        </w:rPr>
        <w:t xml:space="preserve">, Sherman M; American Association for the Study of Liver Diseases. Management of hepatocellular carcinoma: an update. </w:t>
      </w:r>
      <w:r w:rsidRPr="007E1F75">
        <w:rPr>
          <w:rFonts w:ascii="Book Antiqua" w:hAnsi="Book Antiqua"/>
          <w:i/>
        </w:rPr>
        <w:t>Hepatology</w:t>
      </w:r>
      <w:r w:rsidRPr="007E1F75">
        <w:rPr>
          <w:rFonts w:ascii="Book Antiqua" w:hAnsi="Book Antiqua"/>
        </w:rPr>
        <w:t xml:space="preserve"> 2011; </w:t>
      </w:r>
      <w:r w:rsidRPr="007E1F75">
        <w:rPr>
          <w:rFonts w:ascii="Book Antiqua" w:hAnsi="Book Antiqua"/>
          <w:b/>
        </w:rPr>
        <w:t>53</w:t>
      </w:r>
      <w:r w:rsidRPr="007E1F75">
        <w:rPr>
          <w:rFonts w:ascii="Book Antiqua" w:hAnsi="Book Antiqua"/>
        </w:rPr>
        <w:t>: 1020-1022 [PMID: 21374666 DOI: 10.1002/hep.24199]</w:t>
      </w:r>
    </w:p>
    <w:p w:rsidR="007E1F75" w:rsidRPr="007E1F75" w:rsidRDefault="007E1F75" w:rsidP="007E1F75">
      <w:pPr>
        <w:spacing w:line="360" w:lineRule="auto"/>
        <w:rPr>
          <w:rFonts w:ascii="Book Antiqua" w:hAnsi="Book Antiqua"/>
        </w:rPr>
      </w:pPr>
      <w:r w:rsidRPr="007E1F75">
        <w:rPr>
          <w:rFonts w:ascii="Book Antiqua" w:hAnsi="Book Antiqua"/>
        </w:rPr>
        <w:t xml:space="preserve">15 </w:t>
      </w:r>
      <w:proofErr w:type="spellStart"/>
      <w:r w:rsidRPr="007E1F75">
        <w:rPr>
          <w:rFonts w:ascii="Book Antiqua" w:hAnsi="Book Antiqua"/>
          <w:b/>
        </w:rPr>
        <w:t>Forner</w:t>
      </w:r>
      <w:proofErr w:type="spellEnd"/>
      <w:r w:rsidRPr="007E1F75">
        <w:rPr>
          <w:rFonts w:ascii="Book Antiqua" w:hAnsi="Book Antiqua"/>
          <w:b/>
        </w:rPr>
        <w:t xml:space="preserve"> A</w:t>
      </w:r>
      <w:r w:rsidRPr="007E1F75">
        <w:rPr>
          <w:rFonts w:ascii="Book Antiqua" w:hAnsi="Book Antiqua"/>
        </w:rPr>
        <w:t xml:space="preserve">, </w:t>
      </w:r>
      <w:proofErr w:type="spellStart"/>
      <w:r w:rsidRPr="007E1F75">
        <w:rPr>
          <w:rFonts w:ascii="Book Antiqua" w:hAnsi="Book Antiqua"/>
        </w:rPr>
        <w:t>Llovet</w:t>
      </w:r>
      <w:proofErr w:type="spellEnd"/>
      <w:r w:rsidRPr="007E1F75">
        <w:rPr>
          <w:rFonts w:ascii="Book Antiqua" w:hAnsi="Book Antiqua"/>
        </w:rPr>
        <w:t xml:space="preserve"> JM, </w:t>
      </w:r>
      <w:proofErr w:type="spellStart"/>
      <w:r w:rsidRPr="007E1F75">
        <w:rPr>
          <w:rFonts w:ascii="Book Antiqua" w:hAnsi="Book Antiqua"/>
        </w:rPr>
        <w:t>Bruix</w:t>
      </w:r>
      <w:proofErr w:type="spellEnd"/>
      <w:r w:rsidRPr="007E1F75">
        <w:rPr>
          <w:rFonts w:ascii="Book Antiqua" w:hAnsi="Book Antiqua"/>
        </w:rPr>
        <w:t xml:space="preserve"> J. Hepatocellular carcinoma. </w:t>
      </w:r>
      <w:r w:rsidRPr="007E1F75">
        <w:rPr>
          <w:rFonts w:ascii="Book Antiqua" w:hAnsi="Book Antiqua"/>
          <w:i/>
        </w:rPr>
        <w:t>Lancet</w:t>
      </w:r>
      <w:r w:rsidRPr="007E1F75">
        <w:rPr>
          <w:rFonts w:ascii="Book Antiqua" w:hAnsi="Book Antiqua"/>
        </w:rPr>
        <w:t xml:space="preserve"> 2012; </w:t>
      </w:r>
      <w:r w:rsidRPr="007E1F75">
        <w:rPr>
          <w:rFonts w:ascii="Book Antiqua" w:hAnsi="Book Antiqua"/>
          <w:b/>
        </w:rPr>
        <w:t>379</w:t>
      </w:r>
      <w:r w:rsidRPr="007E1F75">
        <w:rPr>
          <w:rFonts w:ascii="Book Antiqua" w:hAnsi="Book Antiqua"/>
        </w:rPr>
        <w:t>: 1245-1255 [PMID: 22353262 DOI: 10.1016/S0140-6736(11)61347-0]</w:t>
      </w:r>
    </w:p>
    <w:p w:rsidR="007E1F75" w:rsidRPr="007E1F75" w:rsidRDefault="007E1F75" w:rsidP="007E1F75">
      <w:pPr>
        <w:spacing w:line="360" w:lineRule="auto"/>
        <w:rPr>
          <w:rFonts w:ascii="Book Antiqua" w:hAnsi="Book Antiqua"/>
        </w:rPr>
      </w:pPr>
      <w:r w:rsidRPr="007E1F75">
        <w:rPr>
          <w:rFonts w:ascii="Book Antiqua" w:hAnsi="Book Antiqua"/>
        </w:rPr>
        <w:t xml:space="preserve">16 </w:t>
      </w:r>
      <w:proofErr w:type="spellStart"/>
      <w:r w:rsidRPr="007E1F75">
        <w:rPr>
          <w:rFonts w:ascii="Book Antiqua" w:hAnsi="Book Antiqua"/>
          <w:b/>
        </w:rPr>
        <w:t>Lencioni</w:t>
      </w:r>
      <w:proofErr w:type="spellEnd"/>
      <w:r w:rsidRPr="007E1F75">
        <w:rPr>
          <w:rFonts w:ascii="Book Antiqua" w:hAnsi="Book Antiqua"/>
          <w:b/>
        </w:rPr>
        <w:t xml:space="preserve"> R</w:t>
      </w:r>
      <w:r w:rsidRPr="007E1F75">
        <w:rPr>
          <w:rFonts w:ascii="Book Antiqua" w:hAnsi="Book Antiqua"/>
        </w:rPr>
        <w:t xml:space="preserve">, </w:t>
      </w:r>
      <w:proofErr w:type="spellStart"/>
      <w:r w:rsidRPr="007E1F75">
        <w:rPr>
          <w:rFonts w:ascii="Book Antiqua" w:hAnsi="Book Antiqua"/>
        </w:rPr>
        <w:t>Llovet</w:t>
      </w:r>
      <w:proofErr w:type="spellEnd"/>
      <w:r w:rsidRPr="007E1F75">
        <w:rPr>
          <w:rFonts w:ascii="Book Antiqua" w:hAnsi="Book Antiqua"/>
        </w:rPr>
        <w:t xml:space="preserve"> JM. Modified RECIST (</w:t>
      </w:r>
      <w:proofErr w:type="spellStart"/>
      <w:r w:rsidRPr="007E1F75">
        <w:rPr>
          <w:rFonts w:ascii="Book Antiqua" w:hAnsi="Book Antiqua"/>
        </w:rPr>
        <w:t>mRECIST</w:t>
      </w:r>
      <w:proofErr w:type="spellEnd"/>
      <w:r w:rsidRPr="007E1F75">
        <w:rPr>
          <w:rFonts w:ascii="Book Antiqua" w:hAnsi="Book Antiqua"/>
        </w:rPr>
        <w:t xml:space="preserve">) assessment for hepatocellular carcinoma. </w:t>
      </w:r>
      <w:proofErr w:type="spellStart"/>
      <w:r w:rsidRPr="007E1F75">
        <w:rPr>
          <w:rFonts w:ascii="Book Antiqua" w:hAnsi="Book Antiqua"/>
          <w:i/>
        </w:rPr>
        <w:t>Semin</w:t>
      </w:r>
      <w:proofErr w:type="spellEnd"/>
      <w:r w:rsidRPr="007E1F75">
        <w:rPr>
          <w:rFonts w:ascii="Book Antiqua" w:hAnsi="Book Antiqua"/>
          <w:i/>
        </w:rPr>
        <w:t xml:space="preserve"> Liver Dis</w:t>
      </w:r>
      <w:r w:rsidRPr="007E1F75">
        <w:rPr>
          <w:rFonts w:ascii="Book Antiqua" w:hAnsi="Book Antiqua"/>
        </w:rPr>
        <w:t xml:space="preserve"> 2010; </w:t>
      </w:r>
      <w:r w:rsidRPr="007E1F75">
        <w:rPr>
          <w:rFonts w:ascii="Book Antiqua" w:hAnsi="Book Antiqua"/>
          <w:b/>
        </w:rPr>
        <w:t>30</w:t>
      </w:r>
      <w:r w:rsidRPr="007E1F75">
        <w:rPr>
          <w:rFonts w:ascii="Book Antiqua" w:hAnsi="Book Antiqua"/>
        </w:rPr>
        <w:t>: 52-60 [PMID: 20175033 DOI: 10.1055/s-0030-1247132]</w:t>
      </w:r>
    </w:p>
    <w:p w:rsidR="007E1F75" w:rsidRPr="007E1F75" w:rsidRDefault="007E1F75" w:rsidP="007E1F75">
      <w:pPr>
        <w:spacing w:line="360" w:lineRule="auto"/>
        <w:rPr>
          <w:rFonts w:ascii="Book Antiqua" w:hAnsi="Book Antiqua"/>
        </w:rPr>
      </w:pPr>
      <w:r w:rsidRPr="007E1F75">
        <w:rPr>
          <w:rFonts w:ascii="Book Antiqua" w:hAnsi="Book Antiqua"/>
        </w:rPr>
        <w:t xml:space="preserve">17 </w:t>
      </w:r>
      <w:proofErr w:type="spellStart"/>
      <w:r w:rsidRPr="007E1F75">
        <w:rPr>
          <w:rFonts w:ascii="Book Antiqua" w:hAnsi="Book Antiqua"/>
          <w:b/>
        </w:rPr>
        <w:t>Peto</w:t>
      </w:r>
      <w:proofErr w:type="spellEnd"/>
      <w:r w:rsidRPr="007E1F75">
        <w:rPr>
          <w:rFonts w:ascii="Book Antiqua" w:hAnsi="Book Antiqua"/>
          <w:b/>
        </w:rPr>
        <w:t xml:space="preserve"> R</w:t>
      </w:r>
      <w:r w:rsidRPr="007E1F75">
        <w:rPr>
          <w:rFonts w:ascii="Book Antiqua" w:hAnsi="Book Antiqua"/>
        </w:rPr>
        <w:t xml:space="preserve">, Pike MC, Armitage P, Breslow NE, Cox DR, Howard SV, Mantel N, McPherson K, </w:t>
      </w:r>
      <w:proofErr w:type="spellStart"/>
      <w:r w:rsidRPr="007E1F75">
        <w:rPr>
          <w:rFonts w:ascii="Book Antiqua" w:hAnsi="Book Antiqua"/>
        </w:rPr>
        <w:t>Peto</w:t>
      </w:r>
      <w:proofErr w:type="spellEnd"/>
      <w:r w:rsidRPr="007E1F75">
        <w:rPr>
          <w:rFonts w:ascii="Book Antiqua" w:hAnsi="Book Antiqua"/>
        </w:rPr>
        <w:t xml:space="preserve"> J, Smith PG. Design and analysis of randomized clinical trials requiring prolonged observation of each patient. II. </w:t>
      </w:r>
      <w:proofErr w:type="gramStart"/>
      <w:r w:rsidRPr="007E1F75">
        <w:rPr>
          <w:rFonts w:ascii="Book Antiqua" w:hAnsi="Book Antiqua"/>
        </w:rPr>
        <w:t>analysis</w:t>
      </w:r>
      <w:proofErr w:type="gramEnd"/>
      <w:r w:rsidRPr="007E1F75">
        <w:rPr>
          <w:rFonts w:ascii="Book Antiqua" w:hAnsi="Book Antiqua"/>
        </w:rPr>
        <w:t xml:space="preserve"> and examples. </w:t>
      </w:r>
      <w:r w:rsidRPr="007E1F75">
        <w:rPr>
          <w:rFonts w:ascii="Book Antiqua" w:hAnsi="Book Antiqua"/>
          <w:i/>
        </w:rPr>
        <w:t>Br J Cancer</w:t>
      </w:r>
      <w:r w:rsidRPr="007E1F75">
        <w:rPr>
          <w:rFonts w:ascii="Book Antiqua" w:hAnsi="Book Antiqua"/>
        </w:rPr>
        <w:t xml:space="preserve"> 1977; </w:t>
      </w:r>
      <w:r w:rsidRPr="007E1F75">
        <w:rPr>
          <w:rFonts w:ascii="Book Antiqua" w:hAnsi="Book Antiqua"/>
          <w:b/>
        </w:rPr>
        <w:t>35</w:t>
      </w:r>
      <w:r w:rsidRPr="007E1F75">
        <w:rPr>
          <w:rFonts w:ascii="Book Antiqua" w:hAnsi="Book Antiqua"/>
        </w:rPr>
        <w:t>: 1-39 [PMID: 831755]</w:t>
      </w:r>
    </w:p>
    <w:p w:rsidR="007E1F75" w:rsidRPr="007E1F75" w:rsidRDefault="007E1F75" w:rsidP="007E1F75">
      <w:pPr>
        <w:spacing w:line="360" w:lineRule="auto"/>
        <w:rPr>
          <w:rFonts w:ascii="Book Antiqua" w:hAnsi="Book Antiqua"/>
        </w:rPr>
      </w:pPr>
      <w:r w:rsidRPr="007E1F75">
        <w:rPr>
          <w:rFonts w:ascii="Book Antiqua" w:hAnsi="Book Antiqua"/>
        </w:rPr>
        <w:t xml:space="preserve">18 </w:t>
      </w:r>
      <w:r w:rsidRPr="006C22CD">
        <w:rPr>
          <w:rFonts w:ascii="Book Antiqua" w:hAnsi="Book Antiqua"/>
          <w:b/>
        </w:rPr>
        <w:t>Cox DR</w:t>
      </w:r>
      <w:r w:rsidRPr="007E1F75">
        <w:rPr>
          <w:rFonts w:ascii="Book Antiqua" w:hAnsi="Book Antiqua"/>
        </w:rPr>
        <w:t>. Regression models and life tables.</w:t>
      </w:r>
      <w:r w:rsidRPr="006C22CD">
        <w:rPr>
          <w:rFonts w:ascii="Book Antiqua" w:hAnsi="Book Antiqua"/>
          <w:i/>
        </w:rPr>
        <w:t xml:space="preserve"> J R Stat </w:t>
      </w:r>
      <w:proofErr w:type="spellStart"/>
      <w:r w:rsidRPr="006C22CD">
        <w:rPr>
          <w:rFonts w:ascii="Book Antiqua" w:hAnsi="Book Antiqua"/>
          <w:i/>
        </w:rPr>
        <w:t>Soc</w:t>
      </w:r>
      <w:proofErr w:type="spellEnd"/>
      <w:r w:rsidRPr="006C22CD">
        <w:rPr>
          <w:rFonts w:ascii="Book Antiqua" w:hAnsi="Book Antiqua"/>
          <w:i/>
        </w:rPr>
        <w:t xml:space="preserve"> B</w:t>
      </w:r>
      <w:r w:rsidRPr="007E1F75">
        <w:rPr>
          <w:rFonts w:ascii="Book Antiqua" w:hAnsi="Book Antiqua"/>
        </w:rPr>
        <w:t xml:space="preserve"> 1972; </w:t>
      </w:r>
      <w:r w:rsidRPr="006C22CD">
        <w:rPr>
          <w:rFonts w:ascii="Book Antiqua" w:hAnsi="Book Antiqua"/>
          <w:b/>
        </w:rPr>
        <w:t>34</w:t>
      </w:r>
      <w:r w:rsidRPr="007E1F75">
        <w:rPr>
          <w:rFonts w:ascii="Book Antiqua" w:hAnsi="Book Antiqua"/>
        </w:rPr>
        <w:t>: 187-220</w:t>
      </w:r>
    </w:p>
    <w:p w:rsidR="007E1F75" w:rsidRPr="007E1F75" w:rsidRDefault="007E1F75" w:rsidP="007E1F75">
      <w:pPr>
        <w:spacing w:line="360" w:lineRule="auto"/>
        <w:rPr>
          <w:rFonts w:ascii="Book Antiqua" w:hAnsi="Book Antiqua"/>
        </w:rPr>
      </w:pPr>
      <w:r w:rsidRPr="007E1F75">
        <w:rPr>
          <w:rFonts w:ascii="Book Antiqua" w:hAnsi="Book Antiqua"/>
        </w:rPr>
        <w:t xml:space="preserve">19 </w:t>
      </w:r>
      <w:r w:rsidRPr="007E1F75">
        <w:rPr>
          <w:rFonts w:ascii="Book Antiqua" w:hAnsi="Book Antiqua"/>
          <w:b/>
        </w:rPr>
        <w:t>Anderson JR</w:t>
      </w:r>
      <w:r w:rsidRPr="007E1F75">
        <w:rPr>
          <w:rFonts w:ascii="Book Antiqua" w:hAnsi="Book Antiqua"/>
        </w:rPr>
        <w:t xml:space="preserve">, Cain KC, </w:t>
      </w:r>
      <w:proofErr w:type="spellStart"/>
      <w:r w:rsidRPr="007E1F75">
        <w:rPr>
          <w:rFonts w:ascii="Book Antiqua" w:hAnsi="Book Antiqua"/>
        </w:rPr>
        <w:t>Gelber</w:t>
      </w:r>
      <w:proofErr w:type="spellEnd"/>
      <w:r w:rsidRPr="007E1F75">
        <w:rPr>
          <w:rFonts w:ascii="Book Antiqua" w:hAnsi="Book Antiqua"/>
        </w:rPr>
        <w:t xml:space="preserve"> RD. Analysis of survival by tumor response. </w:t>
      </w:r>
      <w:r w:rsidRPr="007E1F75">
        <w:rPr>
          <w:rFonts w:ascii="Book Antiqua" w:hAnsi="Book Antiqua"/>
          <w:i/>
        </w:rPr>
        <w:t xml:space="preserve">J </w:t>
      </w:r>
      <w:proofErr w:type="spellStart"/>
      <w:r w:rsidRPr="007E1F75">
        <w:rPr>
          <w:rFonts w:ascii="Book Antiqua" w:hAnsi="Book Antiqua"/>
          <w:i/>
        </w:rPr>
        <w:t>Clin</w:t>
      </w:r>
      <w:proofErr w:type="spellEnd"/>
      <w:r w:rsidRPr="007E1F75">
        <w:rPr>
          <w:rFonts w:ascii="Book Antiqua" w:hAnsi="Book Antiqua"/>
          <w:i/>
        </w:rPr>
        <w:t xml:space="preserve"> </w:t>
      </w:r>
      <w:proofErr w:type="spellStart"/>
      <w:r w:rsidRPr="007E1F75">
        <w:rPr>
          <w:rFonts w:ascii="Book Antiqua" w:hAnsi="Book Antiqua"/>
          <w:i/>
        </w:rPr>
        <w:t>Oncol</w:t>
      </w:r>
      <w:proofErr w:type="spellEnd"/>
      <w:r w:rsidRPr="007E1F75">
        <w:rPr>
          <w:rFonts w:ascii="Book Antiqua" w:hAnsi="Book Antiqua"/>
        </w:rPr>
        <w:t xml:space="preserve"> 1983; </w:t>
      </w:r>
      <w:r w:rsidRPr="007E1F75">
        <w:rPr>
          <w:rFonts w:ascii="Book Antiqua" w:hAnsi="Book Antiqua"/>
          <w:b/>
        </w:rPr>
        <w:t>1</w:t>
      </w:r>
      <w:r w:rsidRPr="007E1F75">
        <w:rPr>
          <w:rFonts w:ascii="Book Antiqua" w:hAnsi="Book Antiqua"/>
        </w:rPr>
        <w:t>: 710-719 [PMID: 6668489 DOI: 10.1200/JCO.1983.1.11.710]</w:t>
      </w:r>
    </w:p>
    <w:p w:rsidR="007E1F75" w:rsidRPr="007E1F75" w:rsidRDefault="007E1F75" w:rsidP="007E1F75">
      <w:pPr>
        <w:spacing w:line="360" w:lineRule="auto"/>
        <w:rPr>
          <w:rFonts w:ascii="Book Antiqua" w:hAnsi="Book Antiqua"/>
        </w:rPr>
      </w:pPr>
      <w:r w:rsidRPr="007E1F75">
        <w:rPr>
          <w:rFonts w:ascii="Book Antiqua" w:hAnsi="Book Antiqua"/>
        </w:rPr>
        <w:t xml:space="preserve">20 </w:t>
      </w:r>
      <w:proofErr w:type="spellStart"/>
      <w:r w:rsidRPr="007E1F75">
        <w:rPr>
          <w:rFonts w:ascii="Book Antiqua" w:hAnsi="Book Antiqua"/>
          <w:b/>
        </w:rPr>
        <w:t>Personeni</w:t>
      </w:r>
      <w:proofErr w:type="spellEnd"/>
      <w:r w:rsidRPr="007E1F75">
        <w:rPr>
          <w:rFonts w:ascii="Book Antiqua" w:hAnsi="Book Antiqua"/>
          <w:b/>
        </w:rPr>
        <w:t xml:space="preserve"> N</w:t>
      </w:r>
      <w:r w:rsidRPr="007E1F75">
        <w:rPr>
          <w:rFonts w:ascii="Book Antiqua" w:hAnsi="Book Antiqua"/>
        </w:rPr>
        <w:t xml:space="preserve">, </w:t>
      </w:r>
      <w:proofErr w:type="spellStart"/>
      <w:r w:rsidRPr="007E1F75">
        <w:rPr>
          <w:rFonts w:ascii="Book Antiqua" w:hAnsi="Book Antiqua"/>
        </w:rPr>
        <w:t>Bozzarelli</w:t>
      </w:r>
      <w:proofErr w:type="spellEnd"/>
      <w:r w:rsidRPr="007E1F75">
        <w:rPr>
          <w:rFonts w:ascii="Book Antiqua" w:hAnsi="Book Antiqua"/>
        </w:rPr>
        <w:t xml:space="preserve"> S, </w:t>
      </w:r>
      <w:proofErr w:type="spellStart"/>
      <w:r w:rsidRPr="007E1F75">
        <w:rPr>
          <w:rFonts w:ascii="Book Antiqua" w:hAnsi="Book Antiqua"/>
        </w:rPr>
        <w:t>Pressiani</w:t>
      </w:r>
      <w:proofErr w:type="spellEnd"/>
      <w:r w:rsidRPr="007E1F75">
        <w:rPr>
          <w:rFonts w:ascii="Book Antiqua" w:hAnsi="Book Antiqua"/>
        </w:rPr>
        <w:t xml:space="preserve"> T, </w:t>
      </w:r>
      <w:proofErr w:type="spellStart"/>
      <w:r w:rsidRPr="007E1F75">
        <w:rPr>
          <w:rFonts w:ascii="Book Antiqua" w:hAnsi="Book Antiqua"/>
        </w:rPr>
        <w:t>Rimassa</w:t>
      </w:r>
      <w:proofErr w:type="spellEnd"/>
      <w:r w:rsidRPr="007E1F75">
        <w:rPr>
          <w:rFonts w:ascii="Book Antiqua" w:hAnsi="Book Antiqua"/>
        </w:rPr>
        <w:t xml:space="preserve"> L, </w:t>
      </w:r>
      <w:proofErr w:type="spellStart"/>
      <w:r w:rsidRPr="007E1F75">
        <w:rPr>
          <w:rFonts w:ascii="Book Antiqua" w:hAnsi="Book Antiqua"/>
        </w:rPr>
        <w:t>Tronconi</w:t>
      </w:r>
      <w:proofErr w:type="spellEnd"/>
      <w:r w:rsidRPr="007E1F75">
        <w:rPr>
          <w:rFonts w:ascii="Book Antiqua" w:hAnsi="Book Antiqua"/>
        </w:rPr>
        <w:t xml:space="preserve"> MC, </w:t>
      </w:r>
      <w:proofErr w:type="spellStart"/>
      <w:r w:rsidRPr="007E1F75">
        <w:rPr>
          <w:rFonts w:ascii="Book Antiqua" w:hAnsi="Book Antiqua"/>
        </w:rPr>
        <w:t>Sclafani</w:t>
      </w:r>
      <w:proofErr w:type="spellEnd"/>
      <w:r w:rsidRPr="007E1F75">
        <w:rPr>
          <w:rFonts w:ascii="Book Antiqua" w:hAnsi="Book Antiqua"/>
        </w:rPr>
        <w:t xml:space="preserve"> F, </w:t>
      </w:r>
      <w:proofErr w:type="spellStart"/>
      <w:r w:rsidRPr="007E1F75">
        <w:rPr>
          <w:rFonts w:ascii="Book Antiqua" w:hAnsi="Book Antiqua"/>
        </w:rPr>
        <w:t>Carnaghi</w:t>
      </w:r>
      <w:proofErr w:type="spellEnd"/>
      <w:r w:rsidRPr="007E1F75">
        <w:rPr>
          <w:rFonts w:ascii="Book Antiqua" w:hAnsi="Book Antiqua"/>
        </w:rPr>
        <w:t xml:space="preserve"> C, </w:t>
      </w:r>
      <w:proofErr w:type="spellStart"/>
      <w:r w:rsidRPr="007E1F75">
        <w:rPr>
          <w:rFonts w:ascii="Book Antiqua" w:hAnsi="Book Antiqua"/>
        </w:rPr>
        <w:t>Pedicini</w:t>
      </w:r>
      <w:proofErr w:type="spellEnd"/>
      <w:r w:rsidRPr="007E1F75">
        <w:rPr>
          <w:rFonts w:ascii="Book Antiqua" w:hAnsi="Book Antiqua"/>
        </w:rPr>
        <w:t xml:space="preserve"> V, Giordano L, Santoro A. Usefulness of alpha-fetoprotein response in patients treated with </w:t>
      </w:r>
      <w:proofErr w:type="spellStart"/>
      <w:r w:rsidRPr="007E1F75">
        <w:rPr>
          <w:rFonts w:ascii="Book Antiqua" w:hAnsi="Book Antiqua"/>
        </w:rPr>
        <w:t>sorafenib</w:t>
      </w:r>
      <w:proofErr w:type="spellEnd"/>
      <w:r w:rsidRPr="007E1F75">
        <w:rPr>
          <w:rFonts w:ascii="Book Antiqua" w:hAnsi="Book Antiqua"/>
        </w:rPr>
        <w:t xml:space="preserve"> for advanced hepatocellular carcinoma. </w:t>
      </w:r>
      <w:r w:rsidRPr="007E1F75">
        <w:rPr>
          <w:rFonts w:ascii="Book Antiqua" w:hAnsi="Book Antiqua"/>
          <w:i/>
        </w:rPr>
        <w:t xml:space="preserve">J </w:t>
      </w:r>
      <w:proofErr w:type="spellStart"/>
      <w:r w:rsidRPr="007E1F75">
        <w:rPr>
          <w:rFonts w:ascii="Book Antiqua" w:hAnsi="Book Antiqua"/>
          <w:i/>
        </w:rPr>
        <w:t>Hepatol</w:t>
      </w:r>
      <w:proofErr w:type="spellEnd"/>
      <w:r w:rsidRPr="007E1F75">
        <w:rPr>
          <w:rFonts w:ascii="Book Antiqua" w:hAnsi="Book Antiqua"/>
        </w:rPr>
        <w:t xml:space="preserve"> 2012; </w:t>
      </w:r>
      <w:r w:rsidRPr="007E1F75">
        <w:rPr>
          <w:rFonts w:ascii="Book Antiqua" w:hAnsi="Book Antiqua"/>
          <w:b/>
        </w:rPr>
        <w:t>57</w:t>
      </w:r>
      <w:r w:rsidRPr="007E1F75">
        <w:rPr>
          <w:rFonts w:ascii="Book Antiqua" w:hAnsi="Book Antiqua"/>
        </w:rPr>
        <w:t xml:space="preserve">: 101-107 [PMID: 22414760 DOI: </w:t>
      </w:r>
      <w:r w:rsidRPr="007E1F75">
        <w:rPr>
          <w:rFonts w:ascii="Book Antiqua" w:hAnsi="Book Antiqua"/>
        </w:rPr>
        <w:lastRenderedPageBreak/>
        <w:t>10.1016/j.jhep.2012.02.016]</w:t>
      </w:r>
    </w:p>
    <w:p w:rsidR="007E1F75" w:rsidRPr="007E1F75" w:rsidRDefault="007E1F75" w:rsidP="007E1F75">
      <w:pPr>
        <w:spacing w:line="360" w:lineRule="auto"/>
        <w:rPr>
          <w:rFonts w:ascii="Book Antiqua" w:hAnsi="Book Antiqua"/>
        </w:rPr>
      </w:pPr>
      <w:r w:rsidRPr="007E1F75">
        <w:rPr>
          <w:rFonts w:ascii="Book Antiqua" w:hAnsi="Book Antiqua"/>
        </w:rPr>
        <w:t xml:space="preserve">21 </w:t>
      </w:r>
      <w:r w:rsidRPr="007E1F75">
        <w:rPr>
          <w:rFonts w:ascii="Book Antiqua" w:hAnsi="Book Antiqua"/>
          <w:b/>
        </w:rPr>
        <w:t>Howell J</w:t>
      </w:r>
      <w:r w:rsidRPr="007E1F75">
        <w:rPr>
          <w:rFonts w:ascii="Book Antiqua" w:hAnsi="Book Antiqua"/>
        </w:rPr>
        <w:t xml:space="preserve">, </w:t>
      </w:r>
      <w:proofErr w:type="spellStart"/>
      <w:r w:rsidRPr="007E1F75">
        <w:rPr>
          <w:rFonts w:ascii="Book Antiqua" w:hAnsi="Book Antiqua"/>
        </w:rPr>
        <w:t>Pinato</w:t>
      </w:r>
      <w:proofErr w:type="spellEnd"/>
      <w:r w:rsidRPr="007E1F75">
        <w:rPr>
          <w:rFonts w:ascii="Book Antiqua" w:hAnsi="Book Antiqua"/>
        </w:rPr>
        <w:t xml:space="preserve"> DJ, </w:t>
      </w:r>
      <w:proofErr w:type="spellStart"/>
      <w:r w:rsidRPr="007E1F75">
        <w:rPr>
          <w:rFonts w:ascii="Book Antiqua" w:hAnsi="Book Antiqua"/>
        </w:rPr>
        <w:t>Ramaswami</w:t>
      </w:r>
      <w:proofErr w:type="spellEnd"/>
      <w:r w:rsidRPr="007E1F75">
        <w:rPr>
          <w:rFonts w:ascii="Book Antiqua" w:hAnsi="Book Antiqua"/>
        </w:rPr>
        <w:t xml:space="preserve"> R, </w:t>
      </w:r>
      <w:proofErr w:type="spellStart"/>
      <w:r w:rsidRPr="007E1F75">
        <w:rPr>
          <w:rFonts w:ascii="Book Antiqua" w:hAnsi="Book Antiqua"/>
        </w:rPr>
        <w:t>Bettinger</w:t>
      </w:r>
      <w:proofErr w:type="spellEnd"/>
      <w:r w:rsidRPr="007E1F75">
        <w:rPr>
          <w:rFonts w:ascii="Book Antiqua" w:hAnsi="Book Antiqua"/>
        </w:rPr>
        <w:t xml:space="preserve"> D, </w:t>
      </w:r>
      <w:proofErr w:type="spellStart"/>
      <w:r w:rsidRPr="007E1F75">
        <w:rPr>
          <w:rFonts w:ascii="Book Antiqua" w:hAnsi="Book Antiqua"/>
        </w:rPr>
        <w:t>Arizumi</w:t>
      </w:r>
      <w:proofErr w:type="spellEnd"/>
      <w:r w:rsidRPr="007E1F75">
        <w:rPr>
          <w:rFonts w:ascii="Book Antiqua" w:hAnsi="Book Antiqua"/>
        </w:rPr>
        <w:t xml:space="preserve"> T, Ferrari C, Yen C, </w:t>
      </w:r>
      <w:proofErr w:type="spellStart"/>
      <w:r w:rsidRPr="007E1F75">
        <w:rPr>
          <w:rFonts w:ascii="Book Antiqua" w:hAnsi="Book Antiqua"/>
        </w:rPr>
        <w:t>Gibbin</w:t>
      </w:r>
      <w:proofErr w:type="spellEnd"/>
      <w:r w:rsidRPr="007E1F75">
        <w:rPr>
          <w:rFonts w:ascii="Book Antiqua" w:hAnsi="Book Antiqua"/>
        </w:rPr>
        <w:t xml:space="preserve"> A, </w:t>
      </w:r>
      <w:proofErr w:type="spellStart"/>
      <w:r w:rsidRPr="007E1F75">
        <w:rPr>
          <w:rFonts w:ascii="Book Antiqua" w:hAnsi="Book Antiqua"/>
        </w:rPr>
        <w:t>Burlone</w:t>
      </w:r>
      <w:proofErr w:type="spellEnd"/>
      <w:r w:rsidRPr="007E1F75">
        <w:rPr>
          <w:rFonts w:ascii="Book Antiqua" w:hAnsi="Book Antiqua"/>
        </w:rPr>
        <w:t xml:space="preserve"> ME, </w:t>
      </w:r>
      <w:proofErr w:type="spellStart"/>
      <w:r w:rsidRPr="007E1F75">
        <w:rPr>
          <w:rFonts w:ascii="Book Antiqua" w:hAnsi="Book Antiqua"/>
        </w:rPr>
        <w:t>Guaschino</w:t>
      </w:r>
      <w:proofErr w:type="spellEnd"/>
      <w:r w:rsidRPr="007E1F75">
        <w:rPr>
          <w:rFonts w:ascii="Book Antiqua" w:hAnsi="Book Antiqua"/>
        </w:rPr>
        <w:t xml:space="preserve"> G, Sellers L, Black J, </w:t>
      </w:r>
      <w:proofErr w:type="spellStart"/>
      <w:r w:rsidRPr="007E1F75">
        <w:rPr>
          <w:rFonts w:ascii="Book Antiqua" w:hAnsi="Book Antiqua"/>
        </w:rPr>
        <w:t>Pirisi</w:t>
      </w:r>
      <w:proofErr w:type="spellEnd"/>
      <w:r w:rsidRPr="007E1F75">
        <w:rPr>
          <w:rFonts w:ascii="Book Antiqua" w:hAnsi="Book Antiqua"/>
        </w:rPr>
        <w:t xml:space="preserve"> M, Kudo M, </w:t>
      </w:r>
      <w:proofErr w:type="spellStart"/>
      <w:r w:rsidRPr="007E1F75">
        <w:rPr>
          <w:rFonts w:ascii="Book Antiqua" w:hAnsi="Book Antiqua"/>
        </w:rPr>
        <w:t>Thimme</w:t>
      </w:r>
      <w:proofErr w:type="spellEnd"/>
      <w:r w:rsidRPr="007E1F75">
        <w:rPr>
          <w:rFonts w:ascii="Book Antiqua" w:hAnsi="Book Antiqua"/>
        </w:rPr>
        <w:t xml:space="preserve"> R, Park JW, Sharma R. On-target </w:t>
      </w:r>
      <w:proofErr w:type="spellStart"/>
      <w:r w:rsidRPr="007E1F75">
        <w:rPr>
          <w:rFonts w:ascii="Book Antiqua" w:hAnsi="Book Antiqua"/>
        </w:rPr>
        <w:t>sorafenib</w:t>
      </w:r>
      <w:proofErr w:type="spellEnd"/>
      <w:r w:rsidRPr="007E1F75">
        <w:rPr>
          <w:rFonts w:ascii="Book Antiqua" w:hAnsi="Book Antiqua"/>
        </w:rPr>
        <w:t xml:space="preserve"> toxicity predicts improved survival in hepatocellular carcinoma: a multi-</w:t>
      </w:r>
      <w:proofErr w:type="spellStart"/>
      <w:r w:rsidRPr="007E1F75">
        <w:rPr>
          <w:rFonts w:ascii="Book Antiqua" w:hAnsi="Book Antiqua"/>
        </w:rPr>
        <w:t>centre</w:t>
      </w:r>
      <w:proofErr w:type="spellEnd"/>
      <w:r w:rsidRPr="007E1F75">
        <w:rPr>
          <w:rFonts w:ascii="Book Antiqua" w:hAnsi="Book Antiqua"/>
        </w:rPr>
        <w:t xml:space="preserve">, prospective study. </w:t>
      </w:r>
      <w:r w:rsidRPr="007E1F75">
        <w:rPr>
          <w:rFonts w:ascii="Book Antiqua" w:hAnsi="Book Antiqua"/>
          <w:i/>
        </w:rPr>
        <w:t xml:space="preserve">Aliment </w:t>
      </w:r>
      <w:proofErr w:type="spellStart"/>
      <w:r w:rsidRPr="007E1F75">
        <w:rPr>
          <w:rFonts w:ascii="Book Antiqua" w:hAnsi="Book Antiqua"/>
          <w:i/>
        </w:rPr>
        <w:t>Pharmacol</w:t>
      </w:r>
      <w:proofErr w:type="spellEnd"/>
      <w:r w:rsidRPr="007E1F75">
        <w:rPr>
          <w:rFonts w:ascii="Book Antiqua" w:hAnsi="Book Antiqua"/>
          <w:i/>
        </w:rPr>
        <w:t xml:space="preserve"> </w:t>
      </w:r>
      <w:proofErr w:type="spellStart"/>
      <w:r w:rsidRPr="007E1F75">
        <w:rPr>
          <w:rFonts w:ascii="Book Antiqua" w:hAnsi="Book Antiqua"/>
          <w:i/>
        </w:rPr>
        <w:t>Ther</w:t>
      </w:r>
      <w:proofErr w:type="spellEnd"/>
      <w:r w:rsidRPr="007E1F75">
        <w:rPr>
          <w:rFonts w:ascii="Book Antiqua" w:hAnsi="Book Antiqua"/>
        </w:rPr>
        <w:t xml:space="preserve"> 2017; </w:t>
      </w:r>
      <w:r w:rsidRPr="007E1F75">
        <w:rPr>
          <w:rFonts w:ascii="Book Antiqua" w:hAnsi="Book Antiqua"/>
          <w:b/>
        </w:rPr>
        <w:t>45</w:t>
      </w:r>
      <w:r w:rsidRPr="007E1F75">
        <w:rPr>
          <w:rFonts w:ascii="Book Antiqua" w:hAnsi="Book Antiqua"/>
        </w:rPr>
        <w:t>: 1146-1155 [PMID: 28252185 DOI: 10.1111/apt.13977]</w:t>
      </w:r>
    </w:p>
    <w:p w:rsidR="007E1F75" w:rsidRPr="007E1F75" w:rsidRDefault="007E1F75" w:rsidP="007E1F75">
      <w:pPr>
        <w:spacing w:line="360" w:lineRule="auto"/>
        <w:rPr>
          <w:rFonts w:ascii="Book Antiqua" w:hAnsi="Book Antiqua"/>
        </w:rPr>
      </w:pPr>
      <w:r w:rsidRPr="007E1F75">
        <w:rPr>
          <w:rFonts w:ascii="Book Antiqua" w:hAnsi="Book Antiqua"/>
        </w:rPr>
        <w:t xml:space="preserve">22 </w:t>
      </w:r>
      <w:r w:rsidRPr="007E1F75">
        <w:rPr>
          <w:rFonts w:ascii="Book Antiqua" w:hAnsi="Book Antiqua"/>
          <w:b/>
        </w:rPr>
        <w:t>Wang P</w:t>
      </w:r>
      <w:r w:rsidRPr="007E1F75">
        <w:rPr>
          <w:rFonts w:ascii="Book Antiqua" w:hAnsi="Book Antiqua"/>
        </w:rPr>
        <w:t xml:space="preserve">, Tan G, Zhu M, Li W, </w:t>
      </w:r>
      <w:proofErr w:type="spellStart"/>
      <w:r w:rsidRPr="007E1F75">
        <w:rPr>
          <w:rFonts w:ascii="Book Antiqua" w:hAnsi="Book Antiqua"/>
        </w:rPr>
        <w:t>Zhai</w:t>
      </w:r>
      <w:proofErr w:type="spellEnd"/>
      <w:r w:rsidRPr="007E1F75">
        <w:rPr>
          <w:rFonts w:ascii="Book Antiqua" w:hAnsi="Book Antiqua"/>
        </w:rPr>
        <w:t xml:space="preserve"> B, Sun X. Hand-foot skin reaction is a beneficial indicator of </w:t>
      </w:r>
      <w:proofErr w:type="spellStart"/>
      <w:r w:rsidRPr="007E1F75">
        <w:rPr>
          <w:rFonts w:ascii="Book Antiqua" w:hAnsi="Book Antiqua"/>
        </w:rPr>
        <w:t>sorafenib</w:t>
      </w:r>
      <w:proofErr w:type="spellEnd"/>
      <w:r w:rsidRPr="007E1F75">
        <w:rPr>
          <w:rFonts w:ascii="Book Antiqua" w:hAnsi="Book Antiqua"/>
        </w:rPr>
        <w:t xml:space="preserve"> therapy for patients with hepatocellular carcinoma: a systemic review and meta-analysis. </w:t>
      </w:r>
      <w:r w:rsidRPr="007E1F75">
        <w:rPr>
          <w:rFonts w:ascii="Book Antiqua" w:hAnsi="Book Antiqua"/>
          <w:i/>
        </w:rPr>
        <w:t xml:space="preserve">Expert Rev </w:t>
      </w:r>
      <w:proofErr w:type="spellStart"/>
      <w:r w:rsidRPr="007E1F75">
        <w:rPr>
          <w:rFonts w:ascii="Book Antiqua" w:hAnsi="Book Antiqua"/>
          <w:i/>
        </w:rPr>
        <w:t>Gastroenterol</w:t>
      </w:r>
      <w:proofErr w:type="spellEnd"/>
      <w:r w:rsidRPr="007E1F75">
        <w:rPr>
          <w:rFonts w:ascii="Book Antiqua" w:hAnsi="Book Antiqua"/>
          <w:i/>
        </w:rPr>
        <w:t xml:space="preserve"> </w:t>
      </w:r>
      <w:proofErr w:type="spellStart"/>
      <w:r w:rsidRPr="007E1F75">
        <w:rPr>
          <w:rFonts w:ascii="Book Antiqua" w:hAnsi="Book Antiqua"/>
          <w:i/>
        </w:rPr>
        <w:t>Hepatol</w:t>
      </w:r>
      <w:proofErr w:type="spellEnd"/>
      <w:r w:rsidRPr="007E1F75">
        <w:rPr>
          <w:rFonts w:ascii="Book Antiqua" w:hAnsi="Book Antiqua"/>
        </w:rPr>
        <w:t xml:space="preserve"> 2018; </w:t>
      </w:r>
      <w:r w:rsidRPr="007E1F75">
        <w:rPr>
          <w:rFonts w:ascii="Book Antiqua" w:hAnsi="Book Antiqua"/>
          <w:b/>
        </w:rPr>
        <w:t>12</w:t>
      </w:r>
      <w:r w:rsidRPr="007E1F75">
        <w:rPr>
          <w:rFonts w:ascii="Book Antiqua" w:hAnsi="Book Antiqua"/>
        </w:rPr>
        <w:t>: 1-8 [PMID: 28847184 DOI: 10.1080/17474124.2017.1373018]</w:t>
      </w:r>
    </w:p>
    <w:p w:rsidR="007E1F75" w:rsidRPr="007E1F75" w:rsidRDefault="007E1F75" w:rsidP="007E1F75">
      <w:pPr>
        <w:spacing w:line="360" w:lineRule="auto"/>
        <w:rPr>
          <w:rFonts w:ascii="Book Antiqua" w:hAnsi="Book Antiqua"/>
        </w:rPr>
      </w:pPr>
      <w:r w:rsidRPr="007E1F75">
        <w:rPr>
          <w:rFonts w:ascii="Book Antiqua" w:hAnsi="Book Antiqua"/>
        </w:rPr>
        <w:t xml:space="preserve">23 </w:t>
      </w:r>
      <w:proofErr w:type="spellStart"/>
      <w:r w:rsidRPr="007E1F75">
        <w:rPr>
          <w:rFonts w:ascii="Book Antiqua" w:hAnsi="Book Antiqua"/>
          <w:b/>
        </w:rPr>
        <w:t>Iavarone</w:t>
      </w:r>
      <w:proofErr w:type="spellEnd"/>
      <w:r w:rsidRPr="007E1F75">
        <w:rPr>
          <w:rFonts w:ascii="Book Antiqua" w:hAnsi="Book Antiqua"/>
          <w:b/>
        </w:rPr>
        <w:t xml:space="preserve"> M</w:t>
      </w:r>
      <w:r w:rsidRPr="007E1F75">
        <w:rPr>
          <w:rFonts w:ascii="Book Antiqua" w:hAnsi="Book Antiqua"/>
        </w:rPr>
        <w:t xml:space="preserve">, </w:t>
      </w:r>
      <w:proofErr w:type="spellStart"/>
      <w:r w:rsidRPr="007E1F75">
        <w:rPr>
          <w:rFonts w:ascii="Book Antiqua" w:hAnsi="Book Antiqua"/>
        </w:rPr>
        <w:t>Cabibbo</w:t>
      </w:r>
      <w:proofErr w:type="spellEnd"/>
      <w:r w:rsidRPr="007E1F75">
        <w:rPr>
          <w:rFonts w:ascii="Book Antiqua" w:hAnsi="Book Antiqua"/>
        </w:rPr>
        <w:t xml:space="preserve"> G, </w:t>
      </w:r>
      <w:proofErr w:type="spellStart"/>
      <w:r w:rsidRPr="007E1F75">
        <w:rPr>
          <w:rFonts w:ascii="Book Antiqua" w:hAnsi="Book Antiqua"/>
        </w:rPr>
        <w:t>Piscaglia</w:t>
      </w:r>
      <w:proofErr w:type="spellEnd"/>
      <w:r w:rsidRPr="007E1F75">
        <w:rPr>
          <w:rFonts w:ascii="Book Antiqua" w:hAnsi="Book Antiqua"/>
        </w:rPr>
        <w:t xml:space="preserve"> F, </w:t>
      </w:r>
      <w:proofErr w:type="spellStart"/>
      <w:r w:rsidRPr="007E1F75">
        <w:rPr>
          <w:rFonts w:ascii="Book Antiqua" w:hAnsi="Book Antiqua"/>
        </w:rPr>
        <w:t>Zavaglia</w:t>
      </w:r>
      <w:proofErr w:type="spellEnd"/>
      <w:r w:rsidRPr="007E1F75">
        <w:rPr>
          <w:rFonts w:ascii="Book Antiqua" w:hAnsi="Book Antiqua"/>
        </w:rPr>
        <w:t xml:space="preserve"> C, </w:t>
      </w:r>
      <w:proofErr w:type="spellStart"/>
      <w:r w:rsidRPr="007E1F75">
        <w:rPr>
          <w:rFonts w:ascii="Book Antiqua" w:hAnsi="Book Antiqua"/>
        </w:rPr>
        <w:t>Grieco</w:t>
      </w:r>
      <w:proofErr w:type="spellEnd"/>
      <w:r w:rsidRPr="007E1F75">
        <w:rPr>
          <w:rFonts w:ascii="Book Antiqua" w:hAnsi="Book Antiqua"/>
        </w:rPr>
        <w:t xml:space="preserve"> A, Villa E, </w:t>
      </w:r>
      <w:proofErr w:type="spellStart"/>
      <w:r w:rsidRPr="007E1F75">
        <w:rPr>
          <w:rFonts w:ascii="Book Antiqua" w:hAnsi="Book Antiqua"/>
        </w:rPr>
        <w:t>Cammà</w:t>
      </w:r>
      <w:proofErr w:type="spellEnd"/>
      <w:r w:rsidRPr="007E1F75">
        <w:rPr>
          <w:rFonts w:ascii="Book Antiqua" w:hAnsi="Book Antiqua"/>
        </w:rPr>
        <w:t xml:space="preserve"> C, Colombo M; SOFIA (</w:t>
      </w:r>
      <w:proofErr w:type="spellStart"/>
      <w:r w:rsidRPr="007E1F75">
        <w:rPr>
          <w:rFonts w:ascii="Book Antiqua" w:hAnsi="Book Antiqua"/>
        </w:rPr>
        <w:t>SOraFenib</w:t>
      </w:r>
      <w:proofErr w:type="spellEnd"/>
      <w:r w:rsidRPr="007E1F75">
        <w:rPr>
          <w:rFonts w:ascii="Book Antiqua" w:hAnsi="Book Antiqua"/>
        </w:rPr>
        <w:t xml:space="preserve"> Italian Assessment) study group. Field-practice study of </w:t>
      </w:r>
      <w:proofErr w:type="spellStart"/>
      <w:r w:rsidRPr="007E1F75">
        <w:rPr>
          <w:rFonts w:ascii="Book Antiqua" w:hAnsi="Book Antiqua"/>
        </w:rPr>
        <w:t>sorafenib</w:t>
      </w:r>
      <w:proofErr w:type="spellEnd"/>
      <w:r w:rsidRPr="007E1F75">
        <w:rPr>
          <w:rFonts w:ascii="Book Antiqua" w:hAnsi="Book Antiqua"/>
        </w:rPr>
        <w:t xml:space="preserve"> therapy for hepatocellular carcinoma: a prospective multicenter study in Italy. </w:t>
      </w:r>
      <w:r w:rsidRPr="007E1F75">
        <w:rPr>
          <w:rFonts w:ascii="Book Antiqua" w:hAnsi="Book Antiqua"/>
          <w:i/>
        </w:rPr>
        <w:t>Hepatology</w:t>
      </w:r>
      <w:r w:rsidRPr="007E1F75">
        <w:rPr>
          <w:rFonts w:ascii="Book Antiqua" w:hAnsi="Book Antiqua"/>
        </w:rPr>
        <w:t xml:space="preserve"> 2011; </w:t>
      </w:r>
      <w:r w:rsidRPr="007E1F75">
        <w:rPr>
          <w:rFonts w:ascii="Book Antiqua" w:hAnsi="Book Antiqua"/>
          <w:b/>
        </w:rPr>
        <w:t>54</w:t>
      </w:r>
      <w:r w:rsidRPr="007E1F75">
        <w:rPr>
          <w:rFonts w:ascii="Book Antiqua" w:hAnsi="Book Antiqua"/>
        </w:rPr>
        <w:t>: 2055-2063 [PMID: 21898496 DOI: 10.1002/hep.24644]</w:t>
      </w:r>
    </w:p>
    <w:p w:rsidR="007E1F75" w:rsidRPr="007E1F75" w:rsidRDefault="007E1F75" w:rsidP="007E1F75">
      <w:pPr>
        <w:spacing w:line="360" w:lineRule="auto"/>
        <w:rPr>
          <w:rFonts w:ascii="Book Antiqua" w:hAnsi="Book Antiqua"/>
        </w:rPr>
      </w:pPr>
      <w:r w:rsidRPr="007E1F75">
        <w:rPr>
          <w:rFonts w:ascii="Book Antiqua" w:hAnsi="Book Antiqua"/>
        </w:rPr>
        <w:t xml:space="preserve">24 </w:t>
      </w:r>
      <w:r w:rsidRPr="007E1F75">
        <w:rPr>
          <w:rFonts w:ascii="Book Antiqua" w:hAnsi="Book Antiqua"/>
          <w:b/>
        </w:rPr>
        <w:t>Li J</w:t>
      </w:r>
      <w:r w:rsidRPr="007E1F75">
        <w:rPr>
          <w:rFonts w:ascii="Book Antiqua" w:hAnsi="Book Antiqua"/>
        </w:rPr>
        <w:t xml:space="preserve">, Liu W, Zhu W, Wu Y, Wu B. </w:t>
      </w:r>
      <w:proofErr w:type="spellStart"/>
      <w:r w:rsidRPr="007E1F75">
        <w:rPr>
          <w:rFonts w:ascii="Book Antiqua" w:hAnsi="Book Antiqua"/>
        </w:rPr>
        <w:t>Transcatheter</w:t>
      </w:r>
      <w:proofErr w:type="spellEnd"/>
      <w:r w:rsidRPr="007E1F75">
        <w:rPr>
          <w:rFonts w:ascii="Book Antiqua" w:hAnsi="Book Antiqua"/>
        </w:rPr>
        <w:t xml:space="preserve"> hepatic arterial chemoembolization and </w:t>
      </w:r>
      <w:proofErr w:type="spellStart"/>
      <w:r w:rsidRPr="007E1F75">
        <w:rPr>
          <w:rFonts w:ascii="Book Antiqua" w:hAnsi="Book Antiqua"/>
        </w:rPr>
        <w:t>sorafenib</w:t>
      </w:r>
      <w:proofErr w:type="spellEnd"/>
      <w:r w:rsidRPr="007E1F75">
        <w:rPr>
          <w:rFonts w:ascii="Book Antiqua" w:hAnsi="Book Antiqua"/>
        </w:rPr>
        <w:t xml:space="preserve"> for hepatocellular carcinoma: a meta-analysis of randomized, double-blind controlled trials. </w:t>
      </w:r>
      <w:proofErr w:type="spellStart"/>
      <w:r w:rsidRPr="007E1F75">
        <w:rPr>
          <w:rFonts w:ascii="Book Antiqua" w:hAnsi="Book Antiqua"/>
          <w:i/>
        </w:rPr>
        <w:t>Oncotarget</w:t>
      </w:r>
      <w:proofErr w:type="spellEnd"/>
      <w:r w:rsidRPr="007E1F75">
        <w:rPr>
          <w:rFonts w:ascii="Book Antiqua" w:hAnsi="Book Antiqua"/>
        </w:rPr>
        <w:t xml:space="preserve"> 2017; </w:t>
      </w:r>
      <w:r w:rsidRPr="007E1F75">
        <w:rPr>
          <w:rFonts w:ascii="Book Antiqua" w:hAnsi="Book Antiqua"/>
          <w:b/>
        </w:rPr>
        <w:t>8</w:t>
      </w:r>
      <w:r w:rsidRPr="007E1F75">
        <w:rPr>
          <w:rFonts w:ascii="Book Antiqua" w:hAnsi="Book Antiqua"/>
        </w:rPr>
        <w:t>: 59601-59608 [PMID: 28938663 DOI: 10.18632/oncotarget.19334]</w:t>
      </w:r>
    </w:p>
    <w:p w:rsidR="007E1F75" w:rsidRPr="007E1F75" w:rsidRDefault="007E1F75" w:rsidP="007E1F75">
      <w:pPr>
        <w:spacing w:line="360" w:lineRule="auto"/>
        <w:rPr>
          <w:rFonts w:ascii="Book Antiqua" w:hAnsi="Book Antiqua"/>
        </w:rPr>
      </w:pPr>
      <w:r w:rsidRPr="007E1F75">
        <w:rPr>
          <w:rFonts w:ascii="Book Antiqua" w:hAnsi="Book Antiqua"/>
        </w:rPr>
        <w:t xml:space="preserve">25 </w:t>
      </w:r>
      <w:r w:rsidRPr="007E1F75">
        <w:rPr>
          <w:rFonts w:ascii="Book Antiqua" w:hAnsi="Book Antiqua"/>
          <w:b/>
        </w:rPr>
        <w:t>Chu D</w:t>
      </w:r>
      <w:r w:rsidRPr="007E1F75">
        <w:rPr>
          <w:rFonts w:ascii="Book Antiqua" w:hAnsi="Book Antiqua"/>
        </w:rPr>
        <w:t xml:space="preserve">, </w:t>
      </w:r>
      <w:proofErr w:type="spellStart"/>
      <w:r w:rsidRPr="007E1F75">
        <w:rPr>
          <w:rFonts w:ascii="Book Antiqua" w:hAnsi="Book Antiqua"/>
        </w:rPr>
        <w:t>Lacouture</w:t>
      </w:r>
      <w:proofErr w:type="spellEnd"/>
      <w:r w:rsidRPr="007E1F75">
        <w:rPr>
          <w:rFonts w:ascii="Book Antiqua" w:hAnsi="Book Antiqua"/>
        </w:rPr>
        <w:t xml:space="preserve"> ME, </w:t>
      </w:r>
      <w:proofErr w:type="spellStart"/>
      <w:r w:rsidRPr="007E1F75">
        <w:rPr>
          <w:rFonts w:ascii="Book Antiqua" w:hAnsi="Book Antiqua"/>
        </w:rPr>
        <w:t>Fillos</w:t>
      </w:r>
      <w:proofErr w:type="spellEnd"/>
      <w:r w:rsidRPr="007E1F75">
        <w:rPr>
          <w:rFonts w:ascii="Book Antiqua" w:hAnsi="Book Antiqua"/>
        </w:rPr>
        <w:t xml:space="preserve"> T, Wu S. Risk of hand-foot skin reaction with </w:t>
      </w:r>
      <w:proofErr w:type="spellStart"/>
      <w:r w:rsidRPr="007E1F75">
        <w:rPr>
          <w:rFonts w:ascii="Book Antiqua" w:hAnsi="Book Antiqua"/>
        </w:rPr>
        <w:t>sorafenib</w:t>
      </w:r>
      <w:proofErr w:type="spellEnd"/>
      <w:r w:rsidRPr="007E1F75">
        <w:rPr>
          <w:rFonts w:ascii="Book Antiqua" w:hAnsi="Book Antiqua"/>
        </w:rPr>
        <w:t xml:space="preserve">: a systematic review and meta-analysis. </w:t>
      </w:r>
      <w:proofErr w:type="spellStart"/>
      <w:r w:rsidRPr="007E1F75">
        <w:rPr>
          <w:rFonts w:ascii="Book Antiqua" w:hAnsi="Book Antiqua"/>
          <w:i/>
        </w:rPr>
        <w:t>Acta</w:t>
      </w:r>
      <w:proofErr w:type="spellEnd"/>
      <w:r w:rsidRPr="007E1F75">
        <w:rPr>
          <w:rFonts w:ascii="Book Antiqua" w:hAnsi="Book Antiqua"/>
          <w:i/>
        </w:rPr>
        <w:t xml:space="preserve"> </w:t>
      </w:r>
      <w:proofErr w:type="spellStart"/>
      <w:r w:rsidRPr="007E1F75">
        <w:rPr>
          <w:rFonts w:ascii="Book Antiqua" w:hAnsi="Book Antiqua"/>
          <w:i/>
        </w:rPr>
        <w:t>Oncol</w:t>
      </w:r>
      <w:proofErr w:type="spellEnd"/>
      <w:r w:rsidRPr="007E1F75">
        <w:rPr>
          <w:rFonts w:ascii="Book Antiqua" w:hAnsi="Book Antiqua"/>
        </w:rPr>
        <w:t xml:space="preserve"> 2008; </w:t>
      </w:r>
      <w:r w:rsidRPr="007E1F75">
        <w:rPr>
          <w:rFonts w:ascii="Book Antiqua" w:hAnsi="Book Antiqua"/>
          <w:b/>
        </w:rPr>
        <w:t>47</w:t>
      </w:r>
      <w:r w:rsidRPr="007E1F75">
        <w:rPr>
          <w:rFonts w:ascii="Book Antiqua" w:hAnsi="Book Antiqua"/>
        </w:rPr>
        <w:t>: 176-186 [PMID: 18210295 DOI: 10.1080/02841860701765675]</w:t>
      </w:r>
    </w:p>
    <w:p w:rsidR="007E1F75" w:rsidRPr="007E1F75" w:rsidRDefault="007E1F75" w:rsidP="007E1F75">
      <w:pPr>
        <w:spacing w:line="360" w:lineRule="auto"/>
        <w:rPr>
          <w:rFonts w:ascii="Book Antiqua" w:hAnsi="Book Antiqua"/>
        </w:rPr>
      </w:pPr>
      <w:r w:rsidRPr="007E1F75">
        <w:rPr>
          <w:rFonts w:ascii="Book Antiqua" w:hAnsi="Book Antiqua"/>
        </w:rPr>
        <w:t xml:space="preserve">26 </w:t>
      </w:r>
      <w:proofErr w:type="spellStart"/>
      <w:r w:rsidRPr="007E1F75">
        <w:rPr>
          <w:rFonts w:ascii="Book Antiqua" w:hAnsi="Book Antiqua"/>
          <w:b/>
        </w:rPr>
        <w:t>Lacouture</w:t>
      </w:r>
      <w:proofErr w:type="spellEnd"/>
      <w:r w:rsidRPr="007E1F75">
        <w:rPr>
          <w:rFonts w:ascii="Book Antiqua" w:hAnsi="Book Antiqua"/>
          <w:b/>
        </w:rPr>
        <w:t xml:space="preserve"> ME</w:t>
      </w:r>
      <w:r w:rsidRPr="007E1F75">
        <w:rPr>
          <w:rFonts w:ascii="Book Antiqua" w:hAnsi="Book Antiqua"/>
        </w:rPr>
        <w:t xml:space="preserve">, Wu S, Robert C, Atkins MB, Kong HH, </w:t>
      </w:r>
      <w:proofErr w:type="spellStart"/>
      <w:r w:rsidRPr="007E1F75">
        <w:rPr>
          <w:rFonts w:ascii="Book Antiqua" w:hAnsi="Book Antiqua"/>
        </w:rPr>
        <w:t>Guitart</w:t>
      </w:r>
      <w:proofErr w:type="spellEnd"/>
      <w:r w:rsidRPr="007E1F75">
        <w:rPr>
          <w:rFonts w:ascii="Book Antiqua" w:hAnsi="Book Antiqua"/>
        </w:rPr>
        <w:t xml:space="preserve"> J, </w:t>
      </w:r>
      <w:proofErr w:type="spellStart"/>
      <w:r w:rsidRPr="007E1F75">
        <w:rPr>
          <w:rFonts w:ascii="Book Antiqua" w:hAnsi="Book Antiqua"/>
        </w:rPr>
        <w:t>Garbe</w:t>
      </w:r>
      <w:proofErr w:type="spellEnd"/>
      <w:r w:rsidRPr="007E1F75">
        <w:rPr>
          <w:rFonts w:ascii="Book Antiqua" w:hAnsi="Book Antiqua"/>
        </w:rPr>
        <w:t xml:space="preserve"> C, </w:t>
      </w:r>
      <w:proofErr w:type="spellStart"/>
      <w:r w:rsidRPr="007E1F75">
        <w:rPr>
          <w:rFonts w:ascii="Book Antiqua" w:hAnsi="Book Antiqua"/>
        </w:rPr>
        <w:t>Hauschild</w:t>
      </w:r>
      <w:proofErr w:type="spellEnd"/>
      <w:r w:rsidRPr="007E1F75">
        <w:rPr>
          <w:rFonts w:ascii="Book Antiqua" w:hAnsi="Book Antiqua"/>
        </w:rPr>
        <w:t xml:space="preserve"> A, </w:t>
      </w:r>
      <w:proofErr w:type="spellStart"/>
      <w:r w:rsidRPr="007E1F75">
        <w:rPr>
          <w:rFonts w:ascii="Book Antiqua" w:hAnsi="Book Antiqua"/>
        </w:rPr>
        <w:t>Puzanov</w:t>
      </w:r>
      <w:proofErr w:type="spellEnd"/>
      <w:r w:rsidRPr="007E1F75">
        <w:rPr>
          <w:rFonts w:ascii="Book Antiqua" w:hAnsi="Book Antiqua"/>
        </w:rPr>
        <w:t xml:space="preserve"> I, </w:t>
      </w:r>
      <w:proofErr w:type="spellStart"/>
      <w:r w:rsidRPr="007E1F75">
        <w:rPr>
          <w:rFonts w:ascii="Book Antiqua" w:hAnsi="Book Antiqua"/>
        </w:rPr>
        <w:t>Alexandrescu</w:t>
      </w:r>
      <w:proofErr w:type="spellEnd"/>
      <w:r w:rsidRPr="007E1F75">
        <w:rPr>
          <w:rFonts w:ascii="Book Antiqua" w:hAnsi="Book Antiqua"/>
        </w:rPr>
        <w:t xml:space="preserve"> DT, Anderson RT, Wood L, Dutcher JP. Evolving strategies for the management of hand-foot skin reaction associated with the </w:t>
      </w:r>
      <w:proofErr w:type="spellStart"/>
      <w:r w:rsidRPr="007E1F75">
        <w:rPr>
          <w:rFonts w:ascii="Book Antiqua" w:hAnsi="Book Antiqua"/>
        </w:rPr>
        <w:t>multitargeted</w:t>
      </w:r>
      <w:proofErr w:type="spellEnd"/>
      <w:r w:rsidRPr="007E1F75">
        <w:rPr>
          <w:rFonts w:ascii="Book Antiqua" w:hAnsi="Book Antiqua"/>
        </w:rPr>
        <w:t xml:space="preserve"> kinase inhibitors </w:t>
      </w:r>
      <w:proofErr w:type="spellStart"/>
      <w:r w:rsidRPr="007E1F75">
        <w:rPr>
          <w:rFonts w:ascii="Book Antiqua" w:hAnsi="Book Antiqua"/>
        </w:rPr>
        <w:t>sorafenib</w:t>
      </w:r>
      <w:proofErr w:type="spellEnd"/>
      <w:r w:rsidRPr="007E1F75">
        <w:rPr>
          <w:rFonts w:ascii="Book Antiqua" w:hAnsi="Book Antiqua"/>
        </w:rPr>
        <w:t xml:space="preserve"> and </w:t>
      </w:r>
      <w:proofErr w:type="spellStart"/>
      <w:r w:rsidRPr="007E1F75">
        <w:rPr>
          <w:rFonts w:ascii="Book Antiqua" w:hAnsi="Book Antiqua"/>
        </w:rPr>
        <w:t>sunitinib</w:t>
      </w:r>
      <w:proofErr w:type="spellEnd"/>
      <w:r w:rsidRPr="007E1F75">
        <w:rPr>
          <w:rFonts w:ascii="Book Antiqua" w:hAnsi="Book Antiqua"/>
        </w:rPr>
        <w:t xml:space="preserve">. </w:t>
      </w:r>
      <w:r w:rsidRPr="007E1F75">
        <w:rPr>
          <w:rFonts w:ascii="Book Antiqua" w:hAnsi="Book Antiqua"/>
          <w:i/>
        </w:rPr>
        <w:t>Oncologist</w:t>
      </w:r>
      <w:r w:rsidRPr="007E1F75">
        <w:rPr>
          <w:rFonts w:ascii="Book Antiqua" w:hAnsi="Book Antiqua"/>
        </w:rPr>
        <w:t xml:space="preserve"> 2008; </w:t>
      </w:r>
      <w:r w:rsidRPr="007E1F75">
        <w:rPr>
          <w:rFonts w:ascii="Book Antiqua" w:hAnsi="Book Antiqua"/>
          <w:b/>
        </w:rPr>
        <w:t>13</w:t>
      </w:r>
      <w:r w:rsidRPr="007E1F75">
        <w:rPr>
          <w:rFonts w:ascii="Book Antiqua" w:hAnsi="Book Antiqua"/>
        </w:rPr>
        <w:t>: 1001-1011 [PMID: 18779536 DOI: 10.1634/theoncologist.2008-0131]</w:t>
      </w:r>
    </w:p>
    <w:p w:rsidR="007E1F75" w:rsidRPr="007E1F75" w:rsidRDefault="007E1F75" w:rsidP="007E1F75">
      <w:pPr>
        <w:spacing w:line="360" w:lineRule="auto"/>
        <w:rPr>
          <w:rFonts w:ascii="Book Antiqua" w:hAnsi="Book Antiqua"/>
        </w:rPr>
      </w:pPr>
      <w:r w:rsidRPr="007E1F75">
        <w:rPr>
          <w:rFonts w:ascii="Book Antiqua" w:hAnsi="Book Antiqua"/>
        </w:rPr>
        <w:t xml:space="preserve">27 </w:t>
      </w:r>
      <w:proofErr w:type="spellStart"/>
      <w:r w:rsidRPr="007E1F75">
        <w:rPr>
          <w:rFonts w:ascii="Book Antiqua" w:hAnsi="Book Antiqua"/>
          <w:b/>
        </w:rPr>
        <w:t>Autier</w:t>
      </w:r>
      <w:proofErr w:type="spellEnd"/>
      <w:r w:rsidRPr="007E1F75">
        <w:rPr>
          <w:rFonts w:ascii="Book Antiqua" w:hAnsi="Book Antiqua"/>
          <w:b/>
        </w:rPr>
        <w:t xml:space="preserve"> J</w:t>
      </w:r>
      <w:r w:rsidRPr="007E1F75">
        <w:rPr>
          <w:rFonts w:ascii="Book Antiqua" w:hAnsi="Book Antiqua"/>
        </w:rPr>
        <w:t xml:space="preserve">, </w:t>
      </w:r>
      <w:proofErr w:type="spellStart"/>
      <w:r w:rsidRPr="007E1F75">
        <w:rPr>
          <w:rFonts w:ascii="Book Antiqua" w:hAnsi="Book Antiqua"/>
        </w:rPr>
        <w:t>Mateus</w:t>
      </w:r>
      <w:proofErr w:type="spellEnd"/>
      <w:r w:rsidRPr="007E1F75">
        <w:rPr>
          <w:rFonts w:ascii="Book Antiqua" w:hAnsi="Book Antiqua"/>
        </w:rPr>
        <w:t xml:space="preserve"> C, Wechsler J, </w:t>
      </w:r>
      <w:proofErr w:type="spellStart"/>
      <w:r w:rsidRPr="007E1F75">
        <w:rPr>
          <w:rFonts w:ascii="Book Antiqua" w:hAnsi="Book Antiqua"/>
        </w:rPr>
        <w:t>Spatz</w:t>
      </w:r>
      <w:proofErr w:type="spellEnd"/>
      <w:r w:rsidRPr="007E1F75">
        <w:rPr>
          <w:rFonts w:ascii="Book Antiqua" w:hAnsi="Book Antiqua"/>
        </w:rPr>
        <w:t xml:space="preserve"> A, Robert C. [Cutaneous side effects of </w:t>
      </w:r>
      <w:proofErr w:type="spellStart"/>
      <w:r w:rsidRPr="007E1F75">
        <w:rPr>
          <w:rFonts w:ascii="Book Antiqua" w:hAnsi="Book Antiqua"/>
        </w:rPr>
        <w:t>sorafenib</w:t>
      </w:r>
      <w:proofErr w:type="spellEnd"/>
      <w:r w:rsidRPr="007E1F75">
        <w:rPr>
          <w:rFonts w:ascii="Book Antiqua" w:hAnsi="Book Antiqua"/>
        </w:rPr>
        <w:t xml:space="preserve"> and </w:t>
      </w:r>
      <w:proofErr w:type="spellStart"/>
      <w:r w:rsidRPr="007E1F75">
        <w:rPr>
          <w:rFonts w:ascii="Book Antiqua" w:hAnsi="Book Antiqua"/>
        </w:rPr>
        <w:t>sunitinib</w:t>
      </w:r>
      <w:proofErr w:type="spellEnd"/>
      <w:r w:rsidRPr="007E1F75">
        <w:rPr>
          <w:rFonts w:ascii="Book Antiqua" w:hAnsi="Book Antiqua"/>
        </w:rPr>
        <w:t xml:space="preserve">]. </w:t>
      </w:r>
      <w:r w:rsidRPr="007E1F75">
        <w:rPr>
          <w:rFonts w:ascii="Book Antiqua" w:hAnsi="Book Antiqua"/>
          <w:i/>
        </w:rPr>
        <w:t xml:space="preserve">Ann </w:t>
      </w:r>
      <w:proofErr w:type="spellStart"/>
      <w:r w:rsidRPr="007E1F75">
        <w:rPr>
          <w:rFonts w:ascii="Book Antiqua" w:hAnsi="Book Antiqua"/>
          <w:i/>
        </w:rPr>
        <w:t>Dermatol</w:t>
      </w:r>
      <w:proofErr w:type="spellEnd"/>
      <w:r w:rsidRPr="007E1F75">
        <w:rPr>
          <w:rFonts w:ascii="Book Antiqua" w:hAnsi="Book Antiqua"/>
          <w:i/>
        </w:rPr>
        <w:t xml:space="preserve"> </w:t>
      </w:r>
      <w:proofErr w:type="spellStart"/>
      <w:r w:rsidRPr="007E1F75">
        <w:rPr>
          <w:rFonts w:ascii="Book Antiqua" w:hAnsi="Book Antiqua"/>
          <w:i/>
        </w:rPr>
        <w:t>Venereol</w:t>
      </w:r>
      <w:proofErr w:type="spellEnd"/>
      <w:r w:rsidRPr="007E1F75">
        <w:rPr>
          <w:rFonts w:ascii="Book Antiqua" w:hAnsi="Book Antiqua"/>
        </w:rPr>
        <w:t xml:space="preserve"> 2008; </w:t>
      </w:r>
      <w:r w:rsidRPr="007E1F75">
        <w:rPr>
          <w:rFonts w:ascii="Book Antiqua" w:hAnsi="Book Antiqua"/>
          <w:b/>
        </w:rPr>
        <w:t>135</w:t>
      </w:r>
      <w:r w:rsidRPr="007E1F75">
        <w:rPr>
          <w:rFonts w:ascii="Book Antiqua" w:hAnsi="Book Antiqua"/>
        </w:rPr>
        <w:t xml:space="preserve">: 148-53; quiz 147, 154 </w:t>
      </w:r>
      <w:r w:rsidRPr="007E1F75">
        <w:rPr>
          <w:rFonts w:ascii="Book Antiqua" w:hAnsi="Book Antiqua"/>
        </w:rPr>
        <w:lastRenderedPageBreak/>
        <w:t>[PMID: 18342102 DOI: 10.1016/j.annder.2007.12.006]</w:t>
      </w:r>
    </w:p>
    <w:p w:rsidR="007E1F75" w:rsidRPr="007E1F75" w:rsidRDefault="007E1F75" w:rsidP="007E1F75">
      <w:pPr>
        <w:spacing w:line="360" w:lineRule="auto"/>
        <w:rPr>
          <w:rFonts w:ascii="Book Antiqua" w:hAnsi="Book Antiqua"/>
        </w:rPr>
      </w:pPr>
      <w:r w:rsidRPr="007E1F75">
        <w:rPr>
          <w:rFonts w:ascii="Book Antiqua" w:hAnsi="Book Antiqua"/>
        </w:rPr>
        <w:t xml:space="preserve">28 </w:t>
      </w:r>
      <w:proofErr w:type="spellStart"/>
      <w:r w:rsidRPr="007E1F75">
        <w:rPr>
          <w:rFonts w:ascii="Book Antiqua" w:hAnsi="Book Antiqua"/>
          <w:b/>
        </w:rPr>
        <w:t>Heidary</w:t>
      </w:r>
      <w:proofErr w:type="spellEnd"/>
      <w:r w:rsidRPr="007E1F75">
        <w:rPr>
          <w:rFonts w:ascii="Book Antiqua" w:hAnsi="Book Antiqua"/>
          <w:b/>
        </w:rPr>
        <w:t xml:space="preserve"> N</w:t>
      </w:r>
      <w:r w:rsidRPr="007E1F75">
        <w:rPr>
          <w:rFonts w:ascii="Book Antiqua" w:hAnsi="Book Antiqua"/>
        </w:rPr>
        <w:t xml:space="preserve">, </w:t>
      </w:r>
      <w:proofErr w:type="spellStart"/>
      <w:r w:rsidRPr="007E1F75">
        <w:rPr>
          <w:rFonts w:ascii="Book Antiqua" w:hAnsi="Book Antiqua"/>
        </w:rPr>
        <w:t>Naik</w:t>
      </w:r>
      <w:proofErr w:type="spellEnd"/>
      <w:r w:rsidRPr="007E1F75">
        <w:rPr>
          <w:rFonts w:ascii="Book Antiqua" w:hAnsi="Book Antiqua"/>
        </w:rPr>
        <w:t xml:space="preserve"> H, Burgin S. Chemotherapeutic agents and the skin: An update. </w:t>
      </w:r>
      <w:r w:rsidRPr="007E1F75">
        <w:rPr>
          <w:rFonts w:ascii="Book Antiqua" w:hAnsi="Book Antiqua"/>
          <w:i/>
        </w:rPr>
        <w:t xml:space="preserve">J Am </w:t>
      </w:r>
      <w:proofErr w:type="spellStart"/>
      <w:r w:rsidRPr="007E1F75">
        <w:rPr>
          <w:rFonts w:ascii="Book Antiqua" w:hAnsi="Book Antiqua"/>
          <w:i/>
        </w:rPr>
        <w:t>Acad</w:t>
      </w:r>
      <w:proofErr w:type="spellEnd"/>
      <w:r w:rsidRPr="007E1F75">
        <w:rPr>
          <w:rFonts w:ascii="Book Antiqua" w:hAnsi="Book Antiqua"/>
          <w:i/>
        </w:rPr>
        <w:t xml:space="preserve"> </w:t>
      </w:r>
      <w:proofErr w:type="spellStart"/>
      <w:r w:rsidRPr="007E1F75">
        <w:rPr>
          <w:rFonts w:ascii="Book Antiqua" w:hAnsi="Book Antiqua"/>
          <w:i/>
        </w:rPr>
        <w:t>Dermatol</w:t>
      </w:r>
      <w:proofErr w:type="spellEnd"/>
      <w:r w:rsidRPr="007E1F75">
        <w:rPr>
          <w:rFonts w:ascii="Book Antiqua" w:hAnsi="Book Antiqua"/>
        </w:rPr>
        <w:t xml:space="preserve"> 2008; </w:t>
      </w:r>
      <w:r w:rsidRPr="007E1F75">
        <w:rPr>
          <w:rFonts w:ascii="Book Antiqua" w:hAnsi="Book Antiqua"/>
          <w:b/>
        </w:rPr>
        <w:t>58</w:t>
      </w:r>
      <w:r w:rsidRPr="007E1F75">
        <w:rPr>
          <w:rFonts w:ascii="Book Antiqua" w:hAnsi="Book Antiqua"/>
        </w:rPr>
        <w:t>: 545-570 [PMID: 18342708 DOI: 10.1016/j.jaad.2008.01.001]</w:t>
      </w:r>
    </w:p>
    <w:p w:rsidR="007E1F75" w:rsidRPr="007E1F75" w:rsidRDefault="007E1F75" w:rsidP="007E1F75">
      <w:pPr>
        <w:spacing w:line="360" w:lineRule="auto"/>
        <w:rPr>
          <w:rFonts w:ascii="Book Antiqua" w:hAnsi="Book Antiqua"/>
        </w:rPr>
      </w:pPr>
      <w:r w:rsidRPr="007E1F75">
        <w:rPr>
          <w:rFonts w:ascii="Book Antiqua" w:hAnsi="Book Antiqua"/>
        </w:rPr>
        <w:t xml:space="preserve">29 </w:t>
      </w:r>
      <w:r w:rsidRPr="007E1F75">
        <w:rPr>
          <w:rFonts w:ascii="Book Antiqua" w:hAnsi="Book Antiqua"/>
          <w:b/>
        </w:rPr>
        <w:t>Anderson R</w:t>
      </w:r>
      <w:r w:rsidRPr="007E1F75">
        <w:rPr>
          <w:rFonts w:ascii="Book Antiqua" w:hAnsi="Book Antiqua"/>
        </w:rPr>
        <w:t xml:space="preserve">, </w:t>
      </w:r>
      <w:proofErr w:type="spellStart"/>
      <w:r w:rsidRPr="007E1F75">
        <w:rPr>
          <w:rFonts w:ascii="Book Antiqua" w:hAnsi="Book Antiqua"/>
        </w:rPr>
        <w:t>Jatoi</w:t>
      </w:r>
      <w:proofErr w:type="spellEnd"/>
      <w:r w:rsidRPr="007E1F75">
        <w:rPr>
          <w:rFonts w:ascii="Book Antiqua" w:hAnsi="Book Antiqua"/>
        </w:rPr>
        <w:t xml:space="preserve"> A, Robert C, Wood LS, Keating KN, </w:t>
      </w:r>
      <w:proofErr w:type="spellStart"/>
      <w:r w:rsidRPr="007E1F75">
        <w:rPr>
          <w:rFonts w:ascii="Book Antiqua" w:hAnsi="Book Antiqua"/>
        </w:rPr>
        <w:t>Lacouture</w:t>
      </w:r>
      <w:proofErr w:type="spellEnd"/>
      <w:r w:rsidRPr="007E1F75">
        <w:rPr>
          <w:rFonts w:ascii="Book Antiqua" w:hAnsi="Book Antiqua"/>
        </w:rPr>
        <w:t xml:space="preserve"> ME. Search for evidence-based approaches for the prevention and palliation of hand-foot skin reaction (HFSR) caused by the </w:t>
      </w:r>
      <w:proofErr w:type="spellStart"/>
      <w:r w:rsidRPr="007E1F75">
        <w:rPr>
          <w:rFonts w:ascii="Book Antiqua" w:hAnsi="Book Antiqua"/>
        </w:rPr>
        <w:t>multikinase</w:t>
      </w:r>
      <w:proofErr w:type="spellEnd"/>
      <w:r w:rsidRPr="007E1F75">
        <w:rPr>
          <w:rFonts w:ascii="Book Antiqua" w:hAnsi="Book Antiqua"/>
        </w:rPr>
        <w:t xml:space="preserve"> inhibitors (MKIs). </w:t>
      </w:r>
      <w:r w:rsidRPr="007E1F75">
        <w:rPr>
          <w:rFonts w:ascii="Book Antiqua" w:hAnsi="Book Antiqua"/>
          <w:i/>
        </w:rPr>
        <w:t>Oncologist</w:t>
      </w:r>
      <w:r w:rsidRPr="007E1F75">
        <w:rPr>
          <w:rFonts w:ascii="Book Antiqua" w:hAnsi="Book Antiqua"/>
        </w:rPr>
        <w:t xml:space="preserve"> 2009; </w:t>
      </w:r>
      <w:r w:rsidRPr="007E1F75">
        <w:rPr>
          <w:rFonts w:ascii="Book Antiqua" w:hAnsi="Book Antiqua"/>
          <w:b/>
        </w:rPr>
        <w:t>14</w:t>
      </w:r>
      <w:r w:rsidRPr="007E1F75">
        <w:rPr>
          <w:rFonts w:ascii="Book Antiqua" w:hAnsi="Book Antiqua"/>
        </w:rPr>
        <w:t>: 291-302 [PMID: 19276294 DOI: 10.1634/theoncologist.2008-0237]</w:t>
      </w:r>
    </w:p>
    <w:p w:rsidR="007E1F75" w:rsidRPr="007E1F75" w:rsidRDefault="007E1F75" w:rsidP="007E1F75">
      <w:pPr>
        <w:spacing w:line="360" w:lineRule="auto"/>
        <w:rPr>
          <w:rFonts w:ascii="Book Antiqua" w:hAnsi="Book Antiqua"/>
        </w:rPr>
      </w:pPr>
      <w:r w:rsidRPr="007E1F75">
        <w:rPr>
          <w:rFonts w:ascii="Book Antiqua" w:hAnsi="Book Antiqua"/>
        </w:rPr>
        <w:t xml:space="preserve">30 </w:t>
      </w:r>
      <w:r w:rsidRPr="007E1F75">
        <w:rPr>
          <w:rFonts w:ascii="Book Antiqua" w:hAnsi="Book Antiqua"/>
          <w:b/>
        </w:rPr>
        <w:t>Partridge AH</w:t>
      </w:r>
      <w:r w:rsidRPr="007E1F75">
        <w:rPr>
          <w:rFonts w:ascii="Book Antiqua" w:hAnsi="Book Antiqua"/>
        </w:rPr>
        <w:t xml:space="preserve">, Archer L, </w:t>
      </w:r>
      <w:proofErr w:type="spellStart"/>
      <w:r w:rsidRPr="007E1F75">
        <w:rPr>
          <w:rFonts w:ascii="Book Antiqua" w:hAnsi="Book Antiqua"/>
        </w:rPr>
        <w:t>Kornblith</w:t>
      </w:r>
      <w:proofErr w:type="spellEnd"/>
      <w:r w:rsidRPr="007E1F75">
        <w:rPr>
          <w:rFonts w:ascii="Book Antiqua" w:hAnsi="Book Antiqua"/>
        </w:rPr>
        <w:t xml:space="preserve"> AB, </w:t>
      </w:r>
      <w:proofErr w:type="spellStart"/>
      <w:r w:rsidRPr="007E1F75">
        <w:rPr>
          <w:rFonts w:ascii="Book Antiqua" w:hAnsi="Book Antiqua"/>
        </w:rPr>
        <w:t>Gralow</w:t>
      </w:r>
      <w:proofErr w:type="spellEnd"/>
      <w:r w:rsidRPr="007E1F75">
        <w:rPr>
          <w:rFonts w:ascii="Book Antiqua" w:hAnsi="Book Antiqua"/>
        </w:rPr>
        <w:t xml:space="preserve"> J, </w:t>
      </w:r>
      <w:proofErr w:type="spellStart"/>
      <w:r w:rsidRPr="007E1F75">
        <w:rPr>
          <w:rFonts w:ascii="Book Antiqua" w:hAnsi="Book Antiqua"/>
        </w:rPr>
        <w:t>Grenier</w:t>
      </w:r>
      <w:proofErr w:type="spellEnd"/>
      <w:r w:rsidRPr="007E1F75">
        <w:rPr>
          <w:rFonts w:ascii="Book Antiqua" w:hAnsi="Book Antiqua"/>
        </w:rPr>
        <w:t xml:space="preserve"> D, Perez E, Wolff AC, Wang X, </w:t>
      </w:r>
      <w:proofErr w:type="spellStart"/>
      <w:r w:rsidRPr="007E1F75">
        <w:rPr>
          <w:rFonts w:ascii="Book Antiqua" w:hAnsi="Book Antiqua"/>
        </w:rPr>
        <w:t>Kastrissios</w:t>
      </w:r>
      <w:proofErr w:type="spellEnd"/>
      <w:r w:rsidRPr="007E1F75">
        <w:rPr>
          <w:rFonts w:ascii="Book Antiqua" w:hAnsi="Book Antiqua"/>
        </w:rPr>
        <w:t xml:space="preserve"> H, Berry D, </w:t>
      </w:r>
      <w:proofErr w:type="spellStart"/>
      <w:r w:rsidRPr="007E1F75">
        <w:rPr>
          <w:rFonts w:ascii="Book Antiqua" w:hAnsi="Book Antiqua"/>
        </w:rPr>
        <w:t>Hudis</w:t>
      </w:r>
      <w:proofErr w:type="spellEnd"/>
      <w:r w:rsidRPr="007E1F75">
        <w:rPr>
          <w:rFonts w:ascii="Book Antiqua" w:hAnsi="Book Antiqua"/>
        </w:rPr>
        <w:t xml:space="preserve"> C, Winer E, Muss H. Adherence and persistence with oral adjuvant chemotherapy in older women with early-stage breast cancer in CALGB 49907: adherence companion study 60104. </w:t>
      </w:r>
      <w:r w:rsidRPr="007E1F75">
        <w:rPr>
          <w:rFonts w:ascii="Book Antiqua" w:hAnsi="Book Antiqua"/>
          <w:i/>
        </w:rPr>
        <w:t xml:space="preserve">J </w:t>
      </w:r>
      <w:proofErr w:type="spellStart"/>
      <w:r w:rsidRPr="007E1F75">
        <w:rPr>
          <w:rFonts w:ascii="Book Antiqua" w:hAnsi="Book Antiqua"/>
          <w:i/>
        </w:rPr>
        <w:t>Clin</w:t>
      </w:r>
      <w:proofErr w:type="spellEnd"/>
      <w:r w:rsidRPr="007E1F75">
        <w:rPr>
          <w:rFonts w:ascii="Book Antiqua" w:hAnsi="Book Antiqua"/>
          <w:i/>
        </w:rPr>
        <w:t xml:space="preserve"> </w:t>
      </w:r>
      <w:proofErr w:type="spellStart"/>
      <w:r w:rsidRPr="007E1F75">
        <w:rPr>
          <w:rFonts w:ascii="Book Antiqua" w:hAnsi="Book Antiqua"/>
          <w:i/>
        </w:rPr>
        <w:t>Oncol</w:t>
      </w:r>
      <w:proofErr w:type="spellEnd"/>
      <w:r w:rsidRPr="007E1F75">
        <w:rPr>
          <w:rFonts w:ascii="Book Antiqua" w:hAnsi="Book Antiqua"/>
        </w:rPr>
        <w:t xml:space="preserve"> 2010; </w:t>
      </w:r>
      <w:r w:rsidRPr="007E1F75">
        <w:rPr>
          <w:rFonts w:ascii="Book Antiqua" w:hAnsi="Book Antiqua"/>
          <w:b/>
        </w:rPr>
        <w:t>28</w:t>
      </w:r>
      <w:r w:rsidRPr="007E1F75">
        <w:rPr>
          <w:rFonts w:ascii="Book Antiqua" w:hAnsi="Book Antiqua"/>
        </w:rPr>
        <w:t>: 2418-2422 [PMID: 20368559 DOI: 10.1200/JCO.2009.26.4671]</w:t>
      </w:r>
    </w:p>
    <w:p w:rsidR="007E1F75" w:rsidRPr="007E1F75" w:rsidRDefault="007E1F75" w:rsidP="007E1F75">
      <w:pPr>
        <w:spacing w:line="360" w:lineRule="auto"/>
        <w:rPr>
          <w:rFonts w:ascii="Book Antiqua" w:hAnsi="Book Antiqua"/>
        </w:rPr>
      </w:pPr>
      <w:r w:rsidRPr="007E1F75">
        <w:rPr>
          <w:rFonts w:ascii="Book Antiqua" w:hAnsi="Book Antiqua"/>
        </w:rPr>
        <w:t xml:space="preserve">31 </w:t>
      </w:r>
      <w:proofErr w:type="spellStart"/>
      <w:r w:rsidRPr="007E1F75">
        <w:rPr>
          <w:rFonts w:ascii="Book Antiqua" w:hAnsi="Book Antiqua"/>
          <w:b/>
        </w:rPr>
        <w:t>Noens</w:t>
      </w:r>
      <w:proofErr w:type="spellEnd"/>
      <w:r w:rsidRPr="007E1F75">
        <w:rPr>
          <w:rFonts w:ascii="Book Antiqua" w:hAnsi="Book Antiqua"/>
          <w:b/>
        </w:rPr>
        <w:t xml:space="preserve"> L</w:t>
      </w:r>
      <w:r w:rsidRPr="007E1F75">
        <w:rPr>
          <w:rFonts w:ascii="Book Antiqua" w:hAnsi="Book Antiqua"/>
        </w:rPr>
        <w:t xml:space="preserve">, van </w:t>
      </w:r>
      <w:proofErr w:type="spellStart"/>
      <w:r w:rsidRPr="007E1F75">
        <w:rPr>
          <w:rFonts w:ascii="Book Antiqua" w:hAnsi="Book Antiqua"/>
        </w:rPr>
        <w:t>Lierde</w:t>
      </w:r>
      <w:proofErr w:type="spellEnd"/>
      <w:r w:rsidRPr="007E1F75">
        <w:rPr>
          <w:rFonts w:ascii="Book Antiqua" w:hAnsi="Book Antiqua"/>
        </w:rPr>
        <w:t xml:space="preserve"> MA, De Bock R, </w:t>
      </w:r>
      <w:proofErr w:type="spellStart"/>
      <w:r w:rsidRPr="007E1F75">
        <w:rPr>
          <w:rFonts w:ascii="Book Antiqua" w:hAnsi="Book Antiqua"/>
        </w:rPr>
        <w:t>Verhoef</w:t>
      </w:r>
      <w:proofErr w:type="spellEnd"/>
      <w:r w:rsidRPr="007E1F75">
        <w:rPr>
          <w:rFonts w:ascii="Book Antiqua" w:hAnsi="Book Antiqua"/>
        </w:rPr>
        <w:t xml:space="preserve"> G, </w:t>
      </w:r>
      <w:proofErr w:type="spellStart"/>
      <w:r w:rsidRPr="007E1F75">
        <w:rPr>
          <w:rFonts w:ascii="Book Antiqua" w:hAnsi="Book Antiqua"/>
        </w:rPr>
        <w:t>Zachée</w:t>
      </w:r>
      <w:proofErr w:type="spellEnd"/>
      <w:r w:rsidRPr="007E1F75">
        <w:rPr>
          <w:rFonts w:ascii="Book Antiqua" w:hAnsi="Book Antiqua"/>
        </w:rPr>
        <w:t xml:space="preserve"> P, </w:t>
      </w:r>
      <w:proofErr w:type="spellStart"/>
      <w:r w:rsidRPr="007E1F75">
        <w:rPr>
          <w:rFonts w:ascii="Book Antiqua" w:hAnsi="Book Antiqua"/>
        </w:rPr>
        <w:t>Berneman</w:t>
      </w:r>
      <w:proofErr w:type="spellEnd"/>
      <w:r w:rsidRPr="007E1F75">
        <w:rPr>
          <w:rFonts w:ascii="Book Antiqua" w:hAnsi="Book Antiqua"/>
        </w:rPr>
        <w:t xml:space="preserve"> Z, </w:t>
      </w:r>
      <w:proofErr w:type="spellStart"/>
      <w:r w:rsidRPr="007E1F75">
        <w:rPr>
          <w:rFonts w:ascii="Book Antiqua" w:hAnsi="Book Antiqua"/>
        </w:rPr>
        <w:t>Martiat</w:t>
      </w:r>
      <w:proofErr w:type="spellEnd"/>
      <w:r w:rsidRPr="007E1F75">
        <w:rPr>
          <w:rFonts w:ascii="Book Antiqua" w:hAnsi="Book Antiqua"/>
        </w:rPr>
        <w:t xml:space="preserve"> P, </w:t>
      </w:r>
      <w:proofErr w:type="spellStart"/>
      <w:r w:rsidRPr="007E1F75">
        <w:rPr>
          <w:rFonts w:ascii="Book Antiqua" w:hAnsi="Book Antiqua"/>
        </w:rPr>
        <w:t>Mineur</w:t>
      </w:r>
      <w:proofErr w:type="spellEnd"/>
      <w:r w:rsidRPr="007E1F75">
        <w:rPr>
          <w:rFonts w:ascii="Book Antiqua" w:hAnsi="Book Antiqua"/>
        </w:rPr>
        <w:t xml:space="preserve"> P, Van </w:t>
      </w:r>
      <w:proofErr w:type="spellStart"/>
      <w:r w:rsidRPr="007E1F75">
        <w:rPr>
          <w:rFonts w:ascii="Book Antiqua" w:hAnsi="Book Antiqua"/>
        </w:rPr>
        <w:t>Eygen</w:t>
      </w:r>
      <w:proofErr w:type="spellEnd"/>
      <w:r w:rsidRPr="007E1F75">
        <w:rPr>
          <w:rFonts w:ascii="Book Antiqua" w:hAnsi="Book Antiqua"/>
        </w:rPr>
        <w:t xml:space="preserve"> K, MacDonald K, De </w:t>
      </w:r>
      <w:proofErr w:type="spellStart"/>
      <w:r w:rsidRPr="007E1F75">
        <w:rPr>
          <w:rFonts w:ascii="Book Antiqua" w:hAnsi="Book Antiqua"/>
        </w:rPr>
        <w:t>Geest</w:t>
      </w:r>
      <w:proofErr w:type="spellEnd"/>
      <w:r w:rsidRPr="007E1F75">
        <w:rPr>
          <w:rFonts w:ascii="Book Antiqua" w:hAnsi="Book Antiqua"/>
        </w:rPr>
        <w:t xml:space="preserve"> S, Albrecht T, Abraham I. Prevalence, determinants, and outcomes of nonadherence to </w:t>
      </w:r>
      <w:proofErr w:type="spellStart"/>
      <w:r w:rsidRPr="007E1F75">
        <w:rPr>
          <w:rFonts w:ascii="Book Antiqua" w:hAnsi="Book Antiqua"/>
        </w:rPr>
        <w:t>imatinib</w:t>
      </w:r>
      <w:proofErr w:type="spellEnd"/>
      <w:r w:rsidRPr="007E1F75">
        <w:rPr>
          <w:rFonts w:ascii="Book Antiqua" w:hAnsi="Book Antiqua"/>
        </w:rPr>
        <w:t xml:space="preserve"> therapy in patients with chronic myeloid leukemia: the ADAGIO study. </w:t>
      </w:r>
      <w:r w:rsidRPr="007E1F75">
        <w:rPr>
          <w:rFonts w:ascii="Book Antiqua" w:hAnsi="Book Antiqua"/>
          <w:i/>
        </w:rPr>
        <w:t>Blood</w:t>
      </w:r>
      <w:r w:rsidRPr="007E1F75">
        <w:rPr>
          <w:rFonts w:ascii="Book Antiqua" w:hAnsi="Book Antiqua"/>
        </w:rPr>
        <w:t xml:space="preserve"> 2009; </w:t>
      </w:r>
      <w:r w:rsidRPr="007E1F75">
        <w:rPr>
          <w:rFonts w:ascii="Book Antiqua" w:hAnsi="Book Antiqua"/>
          <w:b/>
        </w:rPr>
        <w:t>113</w:t>
      </w:r>
      <w:r w:rsidRPr="007E1F75">
        <w:rPr>
          <w:rFonts w:ascii="Book Antiqua" w:hAnsi="Book Antiqua"/>
        </w:rPr>
        <w:t>: 5401-5411 [PMID: 19349618 DOI: 10.1182/blood-2008-12-196543]</w:t>
      </w:r>
    </w:p>
    <w:p w:rsidR="007E1F75" w:rsidRPr="007E1F75" w:rsidRDefault="007E1F75" w:rsidP="007E1F75">
      <w:pPr>
        <w:spacing w:line="360" w:lineRule="auto"/>
        <w:rPr>
          <w:rFonts w:ascii="Book Antiqua" w:hAnsi="Book Antiqua"/>
        </w:rPr>
      </w:pPr>
      <w:r w:rsidRPr="007E1F75">
        <w:rPr>
          <w:rFonts w:ascii="Book Antiqua" w:hAnsi="Book Antiqua"/>
        </w:rPr>
        <w:t xml:space="preserve">32 </w:t>
      </w:r>
      <w:r w:rsidRPr="007E1F75">
        <w:rPr>
          <w:rFonts w:ascii="Book Antiqua" w:hAnsi="Book Antiqua"/>
          <w:b/>
        </w:rPr>
        <w:t>Marin D</w:t>
      </w:r>
      <w:r w:rsidRPr="007E1F75">
        <w:rPr>
          <w:rFonts w:ascii="Book Antiqua" w:hAnsi="Book Antiqua"/>
        </w:rPr>
        <w:t xml:space="preserve">, </w:t>
      </w:r>
      <w:proofErr w:type="spellStart"/>
      <w:r w:rsidRPr="007E1F75">
        <w:rPr>
          <w:rFonts w:ascii="Book Antiqua" w:hAnsi="Book Antiqua"/>
        </w:rPr>
        <w:t>Bazeos</w:t>
      </w:r>
      <w:proofErr w:type="spellEnd"/>
      <w:r w:rsidRPr="007E1F75">
        <w:rPr>
          <w:rFonts w:ascii="Book Antiqua" w:hAnsi="Book Antiqua"/>
        </w:rPr>
        <w:t xml:space="preserve"> A, Mahon FX, </w:t>
      </w:r>
      <w:proofErr w:type="spellStart"/>
      <w:r w:rsidRPr="007E1F75">
        <w:rPr>
          <w:rFonts w:ascii="Book Antiqua" w:hAnsi="Book Antiqua"/>
        </w:rPr>
        <w:t>Eliasson</w:t>
      </w:r>
      <w:proofErr w:type="spellEnd"/>
      <w:r w:rsidRPr="007E1F75">
        <w:rPr>
          <w:rFonts w:ascii="Book Antiqua" w:hAnsi="Book Antiqua"/>
        </w:rPr>
        <w:t xml:space="preserve"> L, </w:t>
      </w:r>
      <w:proofErr w:type="spellStart"/>
      <w:r w:rsidRPr="007E1F75">
        <w:rPr>
          <w:rFonts w:ascii="Book Antiqua" w:hAnsi="Book Antiqua"/>
        </w:rPr>
        <w:t>Milojkovic</w:t>
      </w:r>
      <w:proofErr w:type="spellEnd"/>
      <w:r w:rsidRPr="007E1F75">
        <w:rPr>
          <w:rFonts w:ascii="Book Antiqua" w:hAnsi="Book Antiqua"/>
        </w:rPr>
        <w:t xml:space="preserve"> D, Bua M, </w:t>
      </w:r>
      <w:proofErr w:type="spellStart"/>
      <w:r w:rsidRPr="007E1F75">
        <w:rPr>
          <w:rFonts w:ascii="Book Antiqua" w:hAnsi="Book Antiqua"/>
        </w:rPr>
        <w:t>Apperley</w:t>
      </w:r>
      <w:proofErr w:type="spellEnd"/>
      <w:r w:rsidRPr="007E1F75">
        <w:rPr>
          <w:rFonts w:ascii="Book Antiqua" w:hAnsi="Book Antiqua"/>
        </w:rPr>
        <w:t xml:space="preserve"> JF, </w:t>
      </w:r>
      <w:proofErr w:type="spellStart"/>
      <w:r w:rsidRPr="007E1F75">
        <w:rPr>
          <w:rFonts w:ascii="Book Antiqua" w:hAnsi="Book Antiqua"/>
        </w:rPr>
        <w:t>Szydlo</w:t>
      </w:r>
      <w:proofErr w:type="spellEnd"/>
      <w:r w:rsidRPr="007E1F75">
        <w:rPr>
          <w:rFonts w:ascii="Book Antiqua" w:hAnsi="Book Antiqua"/>
        </w:rPr>
        <w:t xml:space="preserve"> R, Desai R, Kozlowski K, </w:t>
      </w:r>
      <w:proofErr w:type="spellStart"/>
      <w:r w:rsidRPr="007E1F75">
        <w:rPr>
          <w:rFonts w:ascii="Book Antiqua" w:hAnsi="Book Antiqua"/>
        </w:rPr>
        <w:t>Paliompeis</w:t>
      </w:r>
      <w:proofErr w:type="spellEnd"/>
      <w:r w:rsidRPr="007E1F75">
        <w:rPr>
          <w:rFonts w:ascii="Book Antiqua" w:hAnsi="Book Antiqua"/>
        </w:rPr>
        <w:t xml:space="preserve"> C, Latham V, </w:t>
      </w:r>
      <w:proofErr w:type="spellStart"/>
      <w:r w:rsidRPr="007E1F75">
        <w:rPr>
          <w:rFonts w:ascii="Book Antiqua" w:hAnsi="Book Antiqua"/>
        </w:rPr>
        <w:t>Foroni</w:t>
      </w:r>
      <w:proofErr w:type="spellEnd"/>
      <w:r w:rsidRPr="007E1F75">
        <w:rPr>
          <w:rFonts w:ascii="Book Antiqua" w:hAnsi="Book Antiqua"/>
        </w:rPr>
        <w:t xml:space="preserve"> L, </w:t>
      </w:r>
      <w:proofErr w:type="spellStart"/>
      <w:r w:rsidRPr="007E1F75">
        <w:rPr>
          <w:rFonts w:ascii="Book Antiqua" w:hAnsi="Book Antiqua"/>
        </w:rPr>
        <w:t>Molimard</w:t>
      </w:r>
      <w:proofErr w:type="spellEnd"/>
      <w:r w:rsidRPr="007E1F75">
        <w:rPr>
          <w:rFonts w:ascii="Book Antiqua" w:hAnsi="Book Antiqua"/>
        </w:rPr>
        <w:t xml:space="preserve"> M, Reid A, </w:t>
      </w:r>
      <w:proofErr w:type="spellStart"/>
      <w:r w:rsidRPr="007E1F75">
        <w:rPr>
          <w:rFonts w:ascii="Book Antiqua" w:hAnsi="Book Antiqua"/>
        </w:rPr>
        <w:t>Rezvani</w:t>
      </w:r>
      <w:proofErr w:type="spellEnd"/>
      <w:r w:rsidRPr="007E1F75">
        <w:rPr>
          <w:rFonts w:ascii="Book Antiqua" w:hAnsi="Book Antiqua"/>
        </w:rPr>
        <w:t xml:space="preserve"> K, de Lavallade H, </w:t>
      </w:r>
      <w:proofErr w:type="spellStart"/>
      <w:r w:rsidRPr="007E1F75">
        <w:rPr>
          <w:rFonts w:ascii="Book Antiqua" w:hAnsi="Book Antiqua"/>
        </w:rPr>
        <w:t>Guallar</w:t>
      </w:r>
      <w:proofErr w:type="spellEnd"/>
      <w:r w:rsidRPr="007E1F75">
        <w:rPr>
          <w:rFonts w:ascii="Book Antiqua" w:hAnsi="Book Antiqua"/>
        </w:rPr>
        <w:t xml:space="preserve"> C, Goldman J, </w:t>
      </w:r>
      <w:proofErr w:type="spellStart"/>
      <w:r w:rsidRPr="007E1F75">
        <w:rPr>
          <w:rFonts w:ascii="Book Antiqua" w:hAnsi="Book Antiqua"/>
        </w:rPr>
        <w:t>Khorashad</w:t>
      </w:r>
      <w:proofErr w:type="spellEnd"/>
      <w:r w:rsidRPr="007E1F75">
        <w:rPr>
          <w:rFonts w:ascii="Book Antiqua" w:hAnsi="Book Antiqua"/>
        </w:rPr>
        <w:t xml:space="preserve"> JS. Adherence is the critical factor for achieving molecular responses in patients with chronic myeloid leukemia who achieve complete cytogenetic responses on </w:t>
      </w:r>
      <w:proofErr w:type="spellStart"/>
      <w:r w:rsidRPr="007E1F75">
        <w:rPr>
          <w:rFonts w:ascii="Book Antiqua" w:hAnsi="Book Antiqua"/>
        </w:rPr>
        <w:t>imatinib</w:t>
      </w:r>
      <w:proofErr w:type="spellEnd"/>
      <w:r w:rsidRPr="007E1F75">
        <w:rPr>
          <w:rFonts w:ascii="Book Antiqua" w:hAnsi="Book Antiqua"/>
        </w:rPr>
        <w:t xml:space="preserve">. </w:t>
      </w:r>
      <w:r w:rsidRPr="007E1F75">
        <w:rPr>
          <w:rFonts w:ascii="Book Antiqua" w:hAnsi="Book Antiqua"/>
          <w:i/>
        </w:rPr>
        <w:t xml:space="preserve">J </w:t>
      </w:r>
      <w:proofErr w:type="spellStart"/>
      <w:r w:rsidRPr="007E1F75">
        <w:rPr>
          <w:rFonts w:ascii="Book Antiqua" w:hAnsi="Book Antiqua"/>
          <w:i/>
        </w:rPr>
        <w:t>Clin</w:t>
      </w:r>
      <w:proofErr w:type="spellEnd"/>
      <w:r w:rsidRPr="007E1F75">
        <w:rPr>
          <w:rFonts w:ascii="Book Antiqua" w:hAnsi="Book Antiqua"/>
          <w:i/>
        </w:rPr>
        <w:t xml:space="preserve"> </w:t>
      </w:r>
      <w:proofErr w:type="spellStart"/>
      <w:r w:rsidRPr="007E1F75">
        <w:rPr>
          <w:rFonts w:ascii="Book Antiqua" w:hAnsi="Book Antiqua"/>
          <w:i/>
        </w:rPr>
        <w:t>Oncol</w:t>
      </w:r>
      <w:proofErr w:type="spellEnd"/>
      <w:r w:rsidRPr="007E1F75">
        <w:rPr>
          <w:rFonts w:ascii="Book Antiqua" w:hAnsi="Book Antiqua"/>
        </w:rPr>
        <w:t xml:space="preserve"> 2010; </w:t>
      </w:r>
      <w:r w:rsidRPr="007E1F75">
        <w:rPr>
          <w:rFonts w:ascii="Book Antiqua" w:hAnsi="Book Antiqua"/>
          <w:b/>
        </w:rPr>
        <w:t>28</w:t>
      </w:r>
      <w:r w:rsidRPr="007E1F75">
        <w:rPr>
          <w:rFonts w:ascii="Book Antiqua" w:hAnsi="Book Antiqua"/>
        </w:rPr>
        <w:t>: 2381-2388 [PMID: 20385986 DOI: 10.1200/JCO.2009.26.3087]</w:t>
      </w:r>
    </w:p>
    <w:p w:rsidR="007E1F75" w:rsidRPr="007E1F75" w:rsidRDefault="007E1F75" w:rsidP="007E1F75">
      <w:pPr>
        <w:spacing w:line="360" w:lineRule="auto"/>
        <w:rPr>
          <w:rFonts w:ascii="Book Antiqua" w:hAnsi="Book Antiqua"/>
        </w:rPr>
      </w:pPr>
      <w:r w:rsidRPr="007E1F75">
        <w:rPr>
          <w:rFonts w:ascii="Book Antiqua" w:hAnsi="Book Antiqua"/>
        </w:rPr>
        <w:t xml:space="preserve">33 </w:t>
      </w:r>
      <w:proofErr w:type="spellStart"/>
      <w:r w:rsidRPr="007E1F75">
        <w:rPr>
          <w:rFonts w:ascii="Book Antiqua" w:hAnsi="Book Antiqua"/>
          <w:b/>
        </w:rPr>
        <w:t>Hershman</w:t>
      </w:r>
      <w:proofErr w:type="spellEnd"/>
      <w:r w:rsidRPr="007E1F75">
        <w:rPr>
          <w:rFonts w:ascii="Book Antiqua" w:hAnsi="Book Antiqua"/>
          <w:b/>
        </w:rPr>
        <w:t xml:space="preserve"> DL</w:t>
      </w:r>
      <w:r w:rsidRPr="007E1F75">
        <w:rPr>
          <w:rFonts w:ascii="Book Antiqua" w:hAnsi="Book Antiqua"/>
        </w:rPr>
        <w:t xml:space="preserve">, </w:t>
      </w:r>
      <w:proofErr w:type="spellStart"/>
      <w:r w:rsidRPr="007E1F75">
        <w:rPr>
          <w:rFonts w:ascii="Book Antiqua" w:hAnsi="Book Antiqua"/>
        </w:rPr>
        <w:t>Kushi</w:t>
      </w:r>
      <w:proofErr w:type="spellEnd"/>
      <w:r w:rsidRPr="007E1F75">
        <w:rPr>
          <w:rFonts w:ascii="Book Antiqua" w:hAnsi="Book Antiqua"/>
        </w:rPr>
        <w:t xml:space="preserve"> LH, Shao T, </w:t>
      </w:r>
      <w:proofErr w:type="spellStart"/>
      <w:r w:rsidRPr="007E1F75">
        <w:rPr>
          <w:rFonts w:ascii="Book Antiqua" w:hAnsi="Book Antiqua"/>
        </w:rPr>
        <w:t>Buono</w:t>
      </w:r>
      <w:proofErr w:type="spellEnd"/>
      <w:r w:rsidRPr="007E1F75">
        <w:rPr>
          <w:rFonts w:ascii="Book Antiqua" w:hAnsi="Book Antiqua"/>
        </w:rPr>
        <w:t xml:space="preserve"> D, </w:t>
      </w:r>
      <w:proofErr w:type="spellStart"/>
      <w:r w:rsidRPr="007E1F75">
        <w:rPr>
          <w:rFonts w:ascii="Book Antiqua" w:hAnsi="Book Antiqua"/>
        </w:rPr>
        <w:t>Kershenbaum</w:t>
      </w:r>
      <w:proofErr w:type="spellEnd"/>
      <w:r w:rsidRPr="007E1F75">
        <w:rPr>
          <w:rFonts w:ascii="Book Antiqua" w:hAnsi="Book Antiqua"/>
        </w:rPr>
        <w:t xml:space="preserve"> A, Tsai WY, </w:t>
      </w:r>
      <w:proofErr w:type="spellStart"/>
      <w:r w:rsidRPr="007E1F75">
        <w:rPr>
          <w:rFonts w:ascii="Book Antiqua" w:hAnsi="Book Antiqua"/>
        </w:rPr>
        <w:t>Fehrenbacher</w:t>
      </w:r>
      <w:proofErr w:type="spellEnd"/>
      <w:r w:rsidRPr="007E1F75">
        <w:rPr>
          <w:rFonts w:ascii="Book Antiqua" w:hAnsi="Book Antiqua"/>
        </w:rPr>
        <w:t xml:space="preserve"> L, Gomez SL, Miles S, </w:t>
      </w:r>
      <w:proofErr w:type="spellStart"/>
      <w:r w:rsidRPr="007E1F75">
        <w:rPr>
          <w:rFonts w:ascii="Book Antiqua" w:hAnsi="Book Antiqua"/>
        </w:rPr>
        <w:t>Neugut</w:t>
      </w:r>
      <w:proofErr w:type="spellEnd"/>
      <w:r w:rsidRPr="007E1F75">
        <w:rPr>
          <w:rFonts w:ascii="Book Antiqua" w:hAnsi="Book Antiqua"/>
        </w:rPr>
        <w:t xml:space="preserve"> AI. Early discontinuation and nonadherence to adjuvant hormonal therapy in a cohort of 8,769 early-stage </w:t>
      </w:r>
      <w:r w:rsidRPr="007E1F75">
        <w:rPr>
          <w:rFonts w:ascii="Book Antiqua" w:hAnsi="Book Antiqua"/>
        </w:rPr>
        <w:lastRenderedPageBreak/>
        <w:t xml:space="preserve">breast cancer patients. </w:t>
      </w:r>
      <w:r w:rsidRPr="007E1F75">
        <w:rPr>
          <w:rFonts w:ascii="Book Antiqua" w:hAnsi="Book Antiqua"/>
          <w:i/>
        </w:rPr>
        <w:t xml:space="preserve">J </w:t>
      </w:r>
      <w:proofErr w:type="spellStart"/>
      <w:r w:rsidRPr="007E1F75">
        <w:rPr>
          <w:rFonts w:ascii="Book Antiqua" w:hAnsi="Book Antiqua"/>
          <w:i/>
        </w:rPr>
        <w:t>Clin</w:t>
      </w:r>
      <w:proofErr w:type="spellEnd"/>
      <w:r w:rsidRPr="007E1F75">
        <w:rPr>
          <w:rFonts w:ascii="Book Antiqua" w:hAnsi="Book Antiqua"/>
          <w:i/>
        </w:rPr>
        <w:t xml:space="preserve"> </w:t>
      </w:r>
      <w:proofErr w:type="spellStart"/>
      <w:r w:rsidRPr="007E1F75">
        <w:rPr>
          <w:rFonts w:ascii="Book Antiqua" w:hAnsi="Book Antiqua"/>
          <w:i/>
        </w:rPr>
        <w:t>Oncol</w:t>
      </w:r>
      <w:proofErr w:type="spellEnd"/>
      <w:r w:rsidRPr="007E1F75">
        <w:rPr>
          <w:rFonts w:ascii="Book Antiqua" w:hAnsi="Book Antiqua"/>
        </w:rPr>
        <w:t xml:space="preserve"> 2010; </w:t>
      </w:r>
      <w:r w:rsidRPr="007E1F75">
        <w:rPr>
          <w:rFonts w:ascii="Book Antiqua" w:hAnsi="Book Antiqua"/>
          <w:b/>
        </w:rPr>
        <w:t>28</w:t>
      </w:r>
      <w:r w:rsidRPr="007E1F75">
        <w:rPr>
          <w:rFonts w:ascii="Book Antiqua" w:hAnsi="Book Antiqua"/>
        </w:rPr>
        <w:t>: 4120-4128 [PMID: 20585090 DOI: 10.1200/JCO.2009.25.9655]</w:t>
      </w:r>
    </w:p>
    <w:p w:rsidR="007E1F75" w:rsidRPr="007E1F75" w:rsidRDefault="007E1F75" w:rsidP="007E1F75">
      <w:pPr>
        <w:spacing w:line="360" w:lineRule="auto"/>
        <w:rPr>
          <w:rFonts w:ascii="Book Antiqua" w:hAnsi="Book Antiqua"/>
        </w:rPr>
      </w:pPr>
      <w:r w:rsidRPr="007E1F75">
        <w:rPr>
          <w:rFonts w:ascii="Book Antiqua" w:hAnsi="Book Antiqua"/>
        </w:rPr>
        <w:t xml:space="preserve">34 </w:t>
      </w:r>
      <w:proofErr w:type="spellStart"/>
      <w:r w:rsidRPr="007E1F75">
        <w:rPr>
          <w:rFonts w:ascii="Book Antiqua" w:hAnsi="Book Antiqua"/>
          <w:b/>
        </w:rPr>
        <w:t>McCowan</w:t>
      </w:r>
      <w:proofErr w:type="spellEnd"/>
      <w:r w:rsidRPr="007E1F75">
        <w:rPr>
          <w:rFonts w:ascii="Book Antiqua" w:hAnsi="Book Antiqua"/>
          <w:b/>
        </w:rPr>
        <w:t xml:space="preserve"> C</w:t>
      </w:r>
      <w:r w:rsidRPr="007E1F75">
        <w:rPr>
          <w:rFonts w:ascii="Book Antiqua" w:hAnsi="Book Antiqua"/>
        </w:rPr>
        <w:t xml:space="preserve">, Shearer J, </w:t>
      </w:r>
      <w:proofErr w:type="spellStart"/>
      <w:r w:rsidRPr="007E1F75">
        <w:rPr>
          <w:rFonts w:ascii="Book Antiqua" w:hAnsi="Book Antiqua"/>
        </w:rPr>
        <w:t>Donnan</w:t>
      </w:r>
      <w:proofErr w:type="spellEnd"/>
      <w:r w:rsidRPr="007E1F75">
        <w:rPr>
          <w:rFonts w:ascii="Book Antiqua" w:hAnsi="Book Antiqua"/>
        </w:rPr>
        <w:t xml:space="preserve"> PT, Dewar JA, Crilly M, Thompson AM, Fahey TP. Cohort study examining tamoxifen adherence and its relationship to mortality in women with breast cancer. </w:t>
      </w:r>
      <w:r w:rsidRPr="007E1F75">
        <w:rPr>
          <w:rFonts w:ascii="Book Antiqua" w:hAnsi="Book Antiqua"/>
          <w:i/>
        </w:rPr>
        <w:t>Br J Cancer</w:t>
      </w:r>
      <w:r w:rsidRPr="007E1F75">
        <w:rPr>
          <w:rFonts w:ascii="Book Antiqua" w:hAnsi="Book Antiqua"/>
        </w:rPr>
        <w:t xml:space="preserve"> 2008; </w:t>
      </w:r>
      <w:r w:rsidRPr="007E1F75">
        <w:rPr>
          <w:rFonts w:ascii="Book Antiqua" w:hAnsi="Book Antiqua"/>
          <w:b/>
        </w:rPr>
        <w:t>99</w:t>
      </w:r>
      <w:r w:rsidRPr="007E1F75">
        <w:rPr>
          <w:rFonts w:ascii="Book Antiqua" w:hAnsi="Book Antiqua"/>
        </w:rPr>
        <w:t>: 1763-1768 [PMID: 18985046 DOI: 10.1038/sj.bjc.6604758]</w:t>
      </w:r>
    </w:p>
    <w:p w:rsidR="007E1F75" w:rsidRPr="007E1F75" w:rsidRDefault="007E1F75" w:rsidP="007E1F75">
      <w:pPr>
        <w:spacing w:line="360" w:lineRule="auto"/>
        <w:rPr>
          <w:rFonts w:ascii="Book Antiqua" w:hAnsi="Book Antiqua"/>
        </w:rPr>
      </w:pPr>
      <w:r w:rsidRPr="007E1F75">
        <w:rPr>
          <w:rFonts w:ascii="Book Antiqua" w:hAnsi="Book Antiqua"/>
        </w:rPr>
        <w:t xml:space="preserve">35 </w:t>
      </w:r>
      <w:r w:rsidRPr="007E1F75">
        <w:rPr>
          <w:rFonts w:ascii="Book Antiqua" w:hAnsi="Book Antiqua"/>
          <w:b/>
        </w:rPr>
        <w:t>Ibrahim AR</w:t>
      </w:r>
      <w:r w:rsidRPr="007E1F75">
        <w:rPr>
          <w:rFonts w:ascii="Book Antiqua" w:hAnsi="Book Antiqua"/>
        </w:rPr>
        <w:t xml:space="preserve">, </w:t>
      </w:r>
      <w:proofErr w:type="spellStart"/>
      <w:r w:rsidRPr="007E1F75">
        <w:rPr>
          <w:rFonts w:ascii="Book Antiqua" w:hAnsi="Book Antiqua"/>
        </w:rPr>
        <w:t>Eliasson</w:t>
      </w:r>
      <w:proofErr w:type="spellEnd"/>
      <w:r w:rsidRPr="007E1F75">
        <w:rPr>
          <w:rFonts w:ascii="Book Antiqua" w:hAnsi="Book Antiqua"/>
        </w:rPr>
        <w:t xml:space="preserve"> L, </w:t>
      </w:r>
      <w:proofErr w:type="spellStart"/>
      <w:r w:rsidRPr="007E1F75">
        <w:rPr>
          <w:rFonts w:ascii="Book Antiqua" w:hAnsi="Book Antiqua"/>
        </w:rPr>
        <w:t>Apperley</w:t>
      </w:r>
      <w:proofErr w:type="spellEnd"/>
      <w:r w:rsidRPr="007E1F75">
        <w:rPr>
          <w:rFonts w:ascii="Book Antiqua" w:hAnsi="Book Antiqua"/>
        </w:rPr>
        <w:t xml:space="preserve"> JF, </w:t>
      </w:r>
      <w:proofErr w:type="spellStart"/>
      <w:r w:rsidRPr="007E1F75">
        <w:rPr>
          <w:rFonts w:ascii="Book Antiqua" w:hAnsi="Book Antiqua"/>
        </w:rPr>
        <w:t>Milojkovic</w:t>
      </w:r>
      <w:proofErr w:type="spellEnd"/>
      <w:r w:rsidRPr="007E1F75">
        <w:rPr>
          <w:rFonts w:ascii="Book Antiqua" w:hAnsi="Book Antiqua"/>
        </w:rPr>
        <w:t xml:space="preserve"> D, Bua M, </w:t>
      </w:r>
      <w:proofErr w:type="spellStart"/>
      <w:r w:rsidRPr="007E1F75">
        <w:rPr>
          <w:rFonts w:ascii="Book Antiqua" w:hAnsi="Book Antiqua"/>
        </w:rPr>
        <w:t>Szydlo</w:t>
      </w:r>
      <w:proofErr w:type="spellEnd"/>
      <w:r w:rsidRPr="007E1F75">
        <w:rPr>
          <w:rFonts w:ascii="Book Antiqua" w:hAnsi="Book Antiqua"/>
        </w:rPr>
        <w:t xml:space="preserve"> R, Mahon FX, Kozlowski K, </w:t>
      </w:r>
      <w:proofErr w:type="spellStart"/>
      <w:r w:rsidRPr="007E1F75">
        <w:rPr>
          <w:rFonts w:ascii="Book Antiqua" w:hAnsi="Book Antiqua"/>
        </w:rPr>
        <w:t>Paliompeis</w:t>
      </w:r>
      <w:proofErr w:type="spellEnd"/>
      <w:r w:rsidRPr="007E1F75">
        <w:rPr>
          <w:rFonts w:ascii="Book Antiqua" w:hAnsi="Book Antiqua"/>
        </w:rPr>
        <w:t xml:space="preserve"> C, </w:t>
      </w:r>
      <w:proofErr w:type="spellStart"/>
      <w:r w:rsidRPr="007E1F75">
        <w:rPr>
          <w:rFonts w:ascii="Book Antiqua" w:hAnsi="Book Antiqua"/>
        </w:rPr>
        <w:t>Foroni</w:t>
      </w:r>
      <w:proofErr w:type="spellEnd"/>
      <w:r w:rsidRPr="007E1F75">
        <w:rPr>
          <w:rFonts w:ascii="Book Antiqua" w:hAnsi="Book Antiqua"/>
        </w:rPr>
        <w:t xml:space="preserve"> L, </w:t>
      </w:r>
      <w:proofErr w:type="spellStart"/>
      <w:r w:rsidRPr="007E1F75">
        <w:rPr>
          <w:rFonts w:ascii="Book Antiqua" w:hAnsi="Book Antiqua"/>
        </w:rPr>
        <w:t>Khorashad</w:t>
      </w:r>
      <w:proofErr w:type="spellEnd"/>
      <w:r w:rsidRPr="007E1F75">
        <w:rPr>
          <w:rFonts w:ascii="Book Antiqua" w:hAnsi="Book Antiqua"/>
        </w:rPr>
        <w:t xml:space="preserve"> JS, </w:t>
      </w:r>
      <w:proofErr w:type="spellStart"/>
      <w:r w:rsidRPr="007E1F75">
        <w:rPr>
          <w:rFonts w:ascii="Book Antiqua" w:hAnsi="Book Antiqua"/>
        </w:rPr>
        <w:t>Bazeos</w:t>
      </w:r>
      <w:proofErr w:type="spellEnd"/>
      <w:r w:rsidRPr="007E1F75">
        <w:rPr>
          <w:rFonts w:ascii="Book Antiqua" w:hAnsi="Book Antiqua"/>
        </w:rPr>
        <w:t xml:space="preserve"> A, </w:t>
      </w:r>
      <w:proofErr w:type="spellStart"/>
      <w:r w:rsidRPr="007E1F75">
        <w:rPr>
          <w:rFonts w:ascii="Book Antiqua" w:hAnsi="Book Antiqua"/>
        </w:rPr>
        <w:t>Molimard</w:t>
      </w:r>
      <w:proofErr w:type="spellEnd"/>
      <w:r w:rsidRPr="007E1F75">
        <w:rPr>
          <w:rFonts w:ascii="Book Antiqua" w:hAnsi="Book Antiqua"/>
        </w:rPr>
        <w:t xml:space="preserve"> M, Reid A, </w:t>
      </w:r>
      <w:proofErr w:type="spellStart"/>
      <w:r w:rsidRPr="007E1F75">
        <w:rPr>
          <w:rFonts w:ascii="Book Antiqua" w:hAnsi="Book Antiqua"/>
        </w:rPr>
        <w:t>Rezvani</w:t>
      </w:r>
      <w:proofErr w:type="spellEnd"/>
      <w:r w:rsidRPr="007E1F75">
        <w:rPr>
          <w:rFonts w:ascii="Book Antiqua" w:hAnsi="Book Antiqua"/>
        </w:rPr>
        <w:t xml:space="preserve"> K, Gerrard G, Goldman J, Marin D. Poor adherence is the main reason for loss of </w:t>
      </w:r>
      <w:proofErr w:type="spellStart"/>
      <w:r w:rsidRPr="007E1F75">
        <w:rPr>
          <w:rFonts w:ascii="Book Antiqua" w:hAnsi="Book Antiqua"/>
        </w:rPr>
        <w:t>CCyR</w:t>
      </w:r>
      <w:proofErr w:type="spellEnd"/>
      <w:r w:rsidRPr="007E1F75">
        <w:rPr>
          <w:rFonts w:ascii="Book Antiqua" w:hAnsi="Book Antiqua"/>
        </w:rPr>
        <w:t xml:space="preserve"> and </w:t>
      </w:r>
      <w:proofErr w:type="spellStart"/>
      <w:r w:rsidRPr="007E1F75">
        <w:rPr>
          <w:rFonts w:ascii="Book Antiqua" w:hAnsi="Book Antiqua"/>
        </w:rPr>
        <w:t>imatinib</w:t>
      </w:r>
      <w:proofErr w:type="spellEnd"/>
      <w:r w:rsidRPr="007E1F75">
        <w:rPr>
          <w:rFonts w:ascii="Book Antiqua" w:hAnsi="Book Antiqua"/>
        </w:rPr>
        <w:t xml:space="preserve"> failure for chronic myeloid leukemia patients on long-term therapy. </w:t>
      </w:r>
      <w:r w:rsidRPr="007E1F75">
        <w:rPr>
          <w:rFonts w:ascii="Book Antiqua" w:hAnsi="Book Antiqua"/>
          <w:i/>
        </w:rPr>
        <w:t>Blood</w:t>
      </w:r>
      <w:r w:rsidRPr="007E1F75">
        <w:rPr>
          <w:rFonts w:ascii="Book Antiqua" w:hAnsi="Book Antiqua"/>
        </w:rPr>
        <w:t xml:space="preserve"> 2011; </w:t>
      </w:r>
      <w:r w:rsidRPr="007E1F75">
        <w:rPr>
          <w:rFonts w:ascii="Book Antiqua" w:hAnsi="Book Antiqua"/>
          <w:b/>
        </w:rPr>
        <w:t>117</w:t>
      </w:r>
      <w:r w:rsidRPr="007E1F75">
        <w:rPr>
          <w:rFonts w:ascii="Book Antiqua" w:hAnsi="Book Antiqua"/>
        </w:rPr>
        <w:t>: 3733-3736 [PMID: 21346253 DOI: 10.1182/blood-2010-10-309807]</w:t>
      </w:r>
    </w:p>
    <w:p w:rsidR="007E1F75" w:rsidRPr="007E1F75" w:rsidRDefault="007E1F75" w:rsidP="007E1F75">
      <w:pPr>
        <w:spacing w:line="360" w:lineRule="auto"/>
        <w:rPr>
          <w:rFonts w:ascii="Book Antiqua" w:hAnsi="Book Antiqua"/>
        </w:rPr>
      </w:pPr>
      <w:r w:rsidRPr="007E1F75">
        <w:rPr>
          <w:rFonts w:ascii="Book Antiqua" w:hAnsi="Book Antiqua"/>
        </w:rPr>
        <w:t xml:space="preserve">36 </w:t>
      </w:r>
      <w:r w:rsidRPr="007E1F75">
        <w:rPr>
          <w:rFonts w:ascii="Book Antiqua" w:hAnsi="Book Antiqua"/>
          <w:b/>
        </w:rPr>
        <w:t>Ruddy K</w:t>
      </w:r>
      <w:r w:rsidRPr="007E1F75">
        <w:rPr>
          <w:rFonts w:ascii="Book Antiqua" w:hAnsi="Book Antiqua"/>
        </w:rPr>
        <w:t xml:space="preserve">, Mayer E, Partridge A. Patient adherence and persistence with oral anticancer treatment. </w:t>
      </w:r>
      <w:r w:rsidRPr="007E1F75">
        <w:rPr>
          <w:rFonts w:ascii="Book Antiqua" w:hAnsi="Book Antiqua"/>
          <w:i/>
        </w:rPr>
        <w:t xml:space="preserve">CA Cancer J </w:t>
      </w:r>
      <w:proofErr w:type="spellStart"/>
      <w:r w:rsidRPr="007E1F75">
        <w:rPr>
          <w:rFonts w:ascii="Book Antiqua" w:hAnsi="Book Antiqua"/>
          <w:i/>
        </w:rPr>
        <w:t>Clin</w:t>
      </w:r>
      <w:proofErr w:type="spellEnd"/>
      <w:r w:rsidRPr="007E1F75">
        <w:rPr>
          <w:rFonts w:ascii="Book Antiqua" w:hAnsi="Book Antiqua"/>
        </w:rPr>
        <w:t xml:space="preserve"> 2009; </w:t>
      </w:r>
      <w:r w:rsidRPr="007E1F75">
        <w:rPr>
          <w:rFonts w:ascii="Book Antiqua" w:hAnsi="Book Antiqua"/>
          <w:b/>
        </w:rPr>
        <w:t>59</w:t>
      </w:r>
      <w:r w:rsidRPr="007E1F75">
        <w:rPr>
          <w:rFonts w:ascii="Book Antiqua" w:hAnsi="Book Antiqua"/>
        </w:rPr>
        <w:t>: 56-66 [PMID: 19147869 DOI: 10.3322/caac.20004]</w:t>
      </w:r>
    </w:p>
    <w:p w:rsidR="008015F8" w:rsidRPr="006A6D0F" w:rsidRDefault="008015F8" w:rsidP="008015F8">
      <w:pPr>
        <w:wordWrap w:val="0"/>
        <w:adjustRightInd w:val="0"/>
        <w:snapToGrid w:val="0"/>
        <w:spacing w:line="360" w:lineRule="auto"/>
        <w:jc w:val="right"/>
        <w:rPr>
          <w:rFonts w:ascii="Book Antiqua" w:hAnsi="Book Antiqua"/>
          <w:color w:val="000000"/>
          <w:lang w:eastAsia="zh-CN"/>
        </w:rPr>
      </w:pPr>
      <w:r w:rsidRPr="006A6D0F">
        <w:rPr>
          <w:rFonts w:ascii="Book Antiqua" w:hAnsi="Book Antiqua"/>
          <w:b/>
          <w:color w:val="000000"/>
          <w:lang w:eastAsia="zh-CN"/>
        </w:rPr>
        <w:t>P-Reviewer:</w:t>
      </w:r>
      <w:r w:rsidRPr="006A6D0F">
        <w:rPr>
          <w:rFonts w:ascii="Book Antiqua" w:hAnsi="Book Antiqua"/>
          <w:color w:val="000000"/>
          <w:shd w:val="clear" w:color="auto" w:fill="FFFFFF"/>
        </w:rPr>
        <w:t xml:space="preserve"> </w:t>
      </w:r>
      <w:r w:rsidRPr="008015F8">
        <w:rPr>
          <w:rFonts w:ascii="Book Antiqua" w:hAnsi="Book Antiqua"/>
          <w:color w:val="000000"/>
        </w:rPr>
        <w:t>Kao</w:t>
      </w:r>
      <w:r>
        <w:rPr>
          <w:rFonts w:ascii="Book Antiqua" w:eastAsia="SimSun" w:hAnsi="Book Antiqua" w:hint="eastAsia"/>
          <w:color w:val="000000"/>
          <w:lang w:eastAsia="zh-CN"/>
        </w:rPr>
        <w:t xml:space="preserve"> JT</w:t>
      </w:r>
      <w:r w:rsidRPr="006A6D0F">
        <w:rPr>
          <w:rFonts w:ascii="Book Antiqua" w:hAnsi="Book Antiqua"/>
          <w:color w:val="000000"/>
          <w:lang w:eastAsia="zh-CN"/>
        </w:rPr>
        <w:t xml:space="preserve"> </w:t>
      </w:r>
      <w:r w:rsidRPr="006A6D0F">
        <w:rPr>
          <w:rFonts w:ascii="Book Antiqua" w:hAnsi="Book Antiqua"/>
          <w:b/>
          <w:color w:val="000000"/>
          <w:lang w:eastAsia="zh-CN"/>
        </w:rPr>
        <w:t>S-Editor:</w:t>
      </w:r>
      <w:r w:rsidRPr="006A6D0F">
        <w:rPr>
          <w:rFonts w:ascii="Book Antiqua" w:hAnsi="Book Antiqua"/>
          <w:color w:val="000000"/>
          <w:lang w:eastAsia="zh-CN"/>
        </w:rPr>
        <w:t xml:space="preserve"> </w:t>
      </w:r>
      <w:r w:rsidRPr="006A6D0F">
        <w:rPr>
          <w:rFonts w:ascii="Book Antiqua" w:hAnsi="Book Antiqua" w:hint="eastAsia"/>
          <w:color w:val="000000"/>
          <w:lang w:eastAsia="zh-CN"/>
        </w:rPr>
        <w:t>Wang JL</w:t>
      </w:r>
    </w:p>
    <w:p w:rsidR="008015F8" w:rsidRPr="006A6D0F" w:rsidRDefault="008015F8" w:rsidP="008015F8">
      <w:pPr>
        <w:adjustRightInd w:val="0"/>
        <w:snapToGrid w:val="0"/>
        <w:spacing w:line="360" w:lineRule="auto"/>
        <w:jc w:val="right"/>
        <w:rPr>
          <w:rFonts w:ascii="Book Antiqua" w:hAnsi="Book Antiqua"/>
          <w:b/>
          <w:color w:val="000000"/>
          <w:lang w:eastAsia="zh-CN"/>
        </w:rPr>
      </w:pPr>
      <w:r w:rsidRPr="006A6D0F">
        <w:rPr>
          <w:rFonts w:ascii="Book Antiqua" w:hAnsi="Book Antiqua"/>
          <w:b/>
          <w:color w:val="000000"/>
          <w:lang w:eastAsia="zh-CN"/>
        </w:rPr>
        <w:t>L-Editor: E-Editor:</w:t>
      </w:r>
    </w:p>
    <w:p w:rsidR="008015F8" w:rsidRPr="006A6D0F" w:rsidRDefault="008015F8" w:rsidP="008015F8">
      <w:pPr>
        <w:adjustRightInd w:val="0"/>
        <w:snapToGrid w:val="0"/>
        <w:spacing w:line="360" w:lineRule="auto"/>
        <w:rPr>
          <w:rFonts w:ascii="Book Antiqua" w:hAnsi="Book Antiqua"/>
          <w:color w:val="000000"/>
          <w:lang w:eastAsia="zh-CN"/>
        </w:rPr>
      </w:pPr>
      <w:r w:rsidRPr="006A6D0F">
        <w:rPr>
          <w:rFonts w:ascii="Book Antiqua" w:hAnsi="Book Antiqua"/>
          <w:b/>
          <w:color w:val="000000"/>
          <w:lang w:eastAsia="zh-CN"/>
        </w:rPr>
        <w:t>Specialty type:</w:t>
      </w:r>
      <w:r w:rsidRPr="006A6D0F">
        <w:rPr>
          <w:rFonts w:ascii="Book Antiqua" w:hAnsi="Book Antiqua"/>
          <w:color w:val="000000"/>
          <w:lang w:eastAsia="zh-CN"/>
        </w:rPr>
        <w:t xml:space="preserve"> Gastroenterology and hepatology</w:t>
      </w:r>
    </w:p>
    <w:p w:rsidR="008015F8" w:rsidRPr="006A6D0F" w:rsidRDefault="008015F8" w:rsidP="008015F8">
      <w:pPr>
        <w:tabs>
          <w:tab w:val="left" w:pos="6317"/>
        </w:tabs>
        <w:adjustRightInd w:val="0"/>
        <w:snapToGrid w:val="0"/>
        <w:spacing w:line="360" w:lineRule="auto"/>
        <w:rPr>
          <w:rFonts w:ascii="Book Antiqua" w:hAnsi="Book Antiqua"/>
          <w:color w:val="000000"/>
          <w:lang w:eastAsia="zh-CN"/>
        </w:rPr>
      </w:pPr>
      <w:r w:rsidRPr="006A6D0F">
        <w:rPr>
          <w:rFonts w:ascii="Book Antiqua" w:hAnsi="Book Antiqua"/>
          <w:b/>
          <w:color w:val="000000"/>
          <w:lang w:eastAsia="zh-CN"/>
        </w:rPr>
        <w:t>Country of origin:</w:t>
      </w:r>
      <w:r w:rsidRPr="006A6D0F">
        <w:rPr>
          <w:rFonts w:ascii="Book Antiqua" w:hAnsi="Book Antiqua"/>
          <w:color w:val="000000"/>
          <w:lang w:eastAsia="zh-CN"/>
        </w:rPr>
        <w:t xml:space="preserve"> </w:t>
      </w:r>
      <w:r w:rsidR="00D47177" w:rsidRPr="0083147A">
        <w:rPr>
          <w:rFonts w:ascii="Book Antiqua" w:hAnsi="Book Antiqua" w:cs="Times New Roman"/>
          <w:color w:val="000000" w:themeColor="text1"/>
        </w:rPr>
        <w:t>Japan</w:t>
      </w:r>
      <w:r>
        <w:rPr>
          <w:rFonts w:ascii="Book Antiqua" w:hAnsi="Book Antiqua"/>
          <w:color w:val="000000"/>
          <w:lang w:eastAsia="zh-CN"/>
        </w:rPr>
        <w:tab/>
      </w:r>
    </w:p>
    <w:p w:rsidR="008015F8" w:rsidRPr="006A6D0F" w:rsidRDefault="008015F8" w:rsidP="008015F8">
      <w:pPr>
        <w:adjustRightInd w:val="0"/>
        <w:snapToGrid w:val="0"/>
        <w:spacing w:line="360" w:lineRule="auto"/>
        <w:rPr>
          <w:rFonts w:ascii="Book Antiqua" w:hAnsi="Book Antiqua"/>
          <w:b/>
          <w:color w:val="000000"/>
          <w:lang w:eastAsia="zh-CN"/>
        </w:rPr>
      </w:pPr>
      <w:r w:rsidRPr="006A6D0F">
        <w:rPr>
          <w:rFonts w:ascii="Book Antiqua" w:hAnsi="Book Antiqua"/>
          <w:b/>
          <w:color w:val="000000"/>
          <w:lang w:eastAsia="zh-CN"/>
        </w:rPr>
        <w:t>Peer-review report classification</w:t>
      </w:r>
    </w:p>
    <w:p w:rsidR="008015F8" w:rsidRPr="006A6D0F" w:rsidRDefault="008015F8" w:rsidP="008015F8">
      <w:pPr>
        <w:adjustRightInd w:val="0"/>
        <w:snapToGrid w:val="0"/>
        <w:spacing w:line="360" w:lineRule="auto"/>
        <w:rPr>
          <w:rFonts w:ascii="Book Antiqua" w:hAnsi="Book Antiqua"/>
          <w:color w:val="000000"/>
          <w:lang w:eastAsia="zh-CN"/>
        </w:rPr>
      </w:pPr>
      <w:r w:rsidRPr="006A6D0F">
        <w:rPr>
          <w:rFonts w:ascii="Book Antiqua" w:hAnsi="Book Antiqua"/>
          <w:color w:val="000000"/>
          <w:lang w:eastAsia="zh-CN"/>
        </w:rPr>
        <w:t xml:space="preserve">Grade </w:t>
      </w:r>
      <w:proofErr w:type="gramStart"/>
      <w:r w:rsidRPr="006A6D0F">
        <w:rPr>
          <w:rFonts w:ascii="Book Antiqua" w:hAnsi="Book Antiqua"/>
          <w:color w:val="000000"/>
          <w:lang w:eastAsia="zh-CN"/>
        </w:rPr>
        <w:t>A</w:t>
      </w:r>
      <w:proofErr w:type="gramEnd"/>
      <w:r w:rsidRPr="006A6D0F">
        <w:rPr>
          <w:rFonts w:ascii="Book Antiqua" w:hAnsi="Book Antiqua"/>
          <w:color w:val="000000"/>
          <w:lang w:eastAsia="zh-CN"/>
        </w:rPr>
        <w:t xml:space="preserve"> (Excellent): 0</w:t>
      </w:r>
    </w:p>
    <w:p w:rsidR="008015F8" w:rsidRPr="00FA541C" w:rsidRDefault="00FA541C" w:rsidP="008015F8">
      <w:pPr>
        <w:adjustRightInd w:val="0"/>
        <w:snapToGrid w:val="0"/>
        <w:spacing w:line="360" w:lineRule="auto"/>
        <w:rPr>
          <w:rFonts w:ascii="Book Antiqua" w:eastAsia="SimSun" w:hAnsi="Book Antiqua"/>
          <w:color w:val="000000"/>
          <w:lang w:eastAsia="zh-CN"/>
        </w:rPr>
      </w:pPr>
      <w:r>
        <w:rPr>
          <w:rFonts w:ascii="Book Antiqua" w:hAnsi="Book Antiqua"/>
          <w:color w:val="000000"/>
          <w:lang w:eastAsia="zh-CN"/>
        </w:rPr>
        <w:t xml:space="preserve">Grade B (Very good): </w:t>
      </w:r>
      <w:r>
        <w:rPr>
          <w:rFonts w:ascii="Book Antiqua" w:eastAsia="SimSun" w:hAnsi="Book Antiqua" w:hint="eastAsia"/>
          <w:color w:val="000000"/>
          <w:lang w:eastAsia="zh-CN"/>
        </w:rPr>
        <w:t>0</w:t>
      </w:r>
    </w:p>
    <w:p w:rsidR="008015F8" w:rsidRPr="00FA541C" w:rsidRDefault="008015F8" w:rsidP="008015F8">
      <w:pPr>
        <w:adjustRightInd w:val="0"/>
        <w:snapToGrid w:val="0"/>
        <w:spacing w:line="360" w:lineRule="auto"/>
        <w:rPr>
          <w:rFonts w:ascii="Book Antiqua" w:eastAsia="SimSun" w:hAnsi="Book Antiqua"/>
          <w:color w:val="000000"/>
          <w:lang w:eastAsia="zh-CN"/>
        </w:rPr>
      </w:pPr>
      <w:r w:rsidRPr="006A6D0F">
        <w:rPr>
          <w:rFonts w:ascii="Book Antiqua" w:hAnsi="Book Antiqua"/>
          <w:color w:val="000000"/>
          <w:lang w:eastAsia="zh-CN"/>
        </w:rPr>
        <w:t>Grade C (Good): C</w:t>
      </w:r>
    </w:p>
    <w:p w:rsidR="008015F8" w:rsidRPr="006A6D0F" w:rsidRDefault="008015F8" w:rsidP="008015F8">
      <w:pPr>
        <w:adjustRightInd w:val="0"/>
        <w:snapToGrid w:val="0"/>
        <w:spacing w:line="360" w:lineRule="auto"/>
        <w:rPr>
          <w:rFonts w:ascii="Book Antiqua" w:hAnsi="Book Antiqua"/>
          <w:color w:val="000000"/>
          <w:lang w:eastAsia="zh-CN"/>
        </w:rPr>
      </w:pPr>
      <w:r w:rsidRPr="006A6D0F">
        <w:rPr>
          <w:rFonts w:ascii="Book Antiqua" w:hAnsi="Book Antiqua"/>
          <w:color w:val="000000"/>
          <w:lang w:eastAsia="zh-CN"/>
        </w:rPr>
        <w:t xml:space="preserve">Grade D (Fair): </w:t>
      </w:r>
      <w:r w:rsidRPr="006A6D0F">
        <w:rPr>
          <w:rFonts w:ascii="Book Antiqua" w:hAnsi="Book Antiqua" w:hint="eastAsia"/>
          <w:color w:val="000000"/>
          <w:lang w:eastAsia="zh-CN"/>
        </w:rPr>
        <w:t>0</w:t>
      </w:r>
    </w:p>
    <w:p w:rsidR="008015F8" w:rsidRPr="006A6D0F" w:rsidRDefault="008015F8" w:rsidP="008015F8">
      <w:pPr>
        <w:adjustRightInd w:val="0"/>
        <w:snapToGrid w:val="0"/>
        <w:spacing w:line="360" w:lineRule="auto"/>
        <w:rPr>
          <w:rFonts w:ascii="Book Antiqua" w:hAnsi="Book Antiqua"/>
          <w:bCs/>
          <w:color w:val="000000"/>
          <w:lang w:eastAsia="zh-CN"/>
        </w:rPr>
      </w:pPr>
      <w:r w:rsidRPr="006A6D0F">
        <w:rPr>
          <w:rFonts w:ascii="Book Antiqua" w:hAnsi="Book Antiqua"/>
          <w:color w:val="000000"/>
          <w:lang w:eastAsia="zh-CN"/>
        </w:rPr>
        <w:t>Grade E (Poor): 0</w:t>
      </w:r>
    </w:p>
    <w:p w:rsidR="00AC52EB" w:rsidRPr="0083147A" w:rsidRDefault="00AC52EB" w:rsidP="00946207">
      <w:pPr>
        <w:spacing w:line="360" w:lineRule="auto"/>
        <w:rPr>
          <w:rFonts w:ascii="Book Antiqua" w:hAnsi="Book Antiqua"/>
        </w:rPr>
      </w:pPr>
    </w:p>
    <w:p w:rsidR="00AC52EB" w:rsidRPr="0083147A" w:rsidRDefault="00AC52EB" w:rsidP="00946207">
      <w:pPr>
        <w:spacing w:line="360" w:lineRule="auto"/>
        <w:rPr>
          <w:rFonts w:ascii="Book Antiqua" w:hAnsi="Book Antiqua"/>
        </w:rPr>
      </w:pPr>
      <w:r w:rsidRPr="0083147A">
        <w:rPr>
          <w:rFonts w:ascii="Book Antiqua" w:hAnsi="Book Antiqua"/>
          <w:noProof/>
          <w:lang w:eastAsia="zh-CN"/>
        </w:rPr>
        <w:lastRenderedPageBreak/>
        <w:drawing>
          <wp:inline distT="0" distB="0" distL="0" distR="0" wp14:anchorId="54AD5FAF" wp14:editId="1A3CA8EC">
            <wp:extent cx="5080958" cy="4997271"/>
            <wp:effectExtent l="0" t="0" r="571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4171" cy="5000431"/>
                    </a:xfrm>
                    <a:prstGeom prst="rect">
                      <a:avLst/>
                    </a:prstGeom>
                    <a:noFill/>
                    <a:ln>
                      <a:noFill/>
                    </a:ln>
                  </pic:spPr>
                </pic:pic>
              </a:graphicData>
            </a:graphic>
          </wp:inline>
        </w:drawing>
      </w:r>
    </w:p>
    <w:p w:rsidR="00AC52EB" w:rsidRPr="0083147A" w:rsidRDefault="00AC52EB" w:rsidP="00946207">
      <w:pPr>
        <w:spacing w:line="360" w:lineRule="auto"/>
        <w:ind w:leftChars="350" w:left="840" w:firstLineChars="3650" w:firstLine="8760"/>
        <w:rPr>
          <w:rFonts w:ascii="Book Antiqua" w:hAnsi="Book Antiqua"/>
        </w:rPr>
      </w:pPr>
      <w:r w:rsidRPr="0083147A">
        <w:rPr>
          <w:rFonts w:ascii="Book Antiqua" w:hAnsi="Book Antiqua"/>
        </w:rPr>
        <w:t xml:space="preserve">                 </w:t>
      </w:r>
    </w:p>
    <w:p w:rsidR="00AC52EB" w:rsidRPr="0083147A" w:rsidRDefault="00AC52EB" w:rsidP="00946207">
      <w:pPr>
        <w:widowControl/>
        <w:spacing w:line="360" w:lineRule="auto"/>
        <w:rPr>
          <w:rFonts w:ascii="Book Antiqua" w:eastAsia="MS PGothic" w:hAnsi="Book Antiqua" w:cs="MS PGothic"/>
          <w:kern w:val="0"/>
          <w:lang w:eastAsia="zh-CN"/>
        </w:rPr>
      </w:pPr>
      <w:r w:rsidRPr="0083147A">
        <w:rPr>
          <w:rFonts w:ascii="Book Antiqua" w:eastAsia="Arial Unicode MS" w:hAnsi="Book Antiqua" w:cs="Times New Roman"/>
          <w:b/>
          <w:bCs/>
          <w:kern w:val="0"/>
        </w:rPr>
        <w:t>Figure 1</w:t>
      </w:r>
      <w:r w:rsidRPr="0083147A">
        <w:rPr>
          <w:rFonts w:ascii="Book Antiqua" w:eastAsia="Arial Unicode MS" w:hAnsi="Book Antiqua" w:cs="Times New Roman"/>
          <w:b/>
          <w:bCs/>
          <w:color w:val="000000" w:themeColor="text1"/>
          <w:kern w:val="24"/>
        </w:rPr>
        <w:t xml:space="preserve"> Kaplan-Meier survi</w:t>
      </w:r>
      <w:r w:rsidR="0016565D" w:rsidRPr="0083147A">
        <w:rPr>
          <w:rFonts w:ascii="Book Antiqua" w:eastAsia="Arial Unicode MS" w:hAnsi="Book Antiqua" w:cs="Times New Roman"/>
          <w:b/>
          <w:bCs/>
          <w:color w:val="000000" w:themeColor="text1"/>
          <w:kern w:val="24"/>
        </w:rPr>
        <w:t>val plot for overall survival in</w:t>
      </w:r>
      <w:r w:rsidRPr="0083147A">
        <w:rPr>
          <w:rFonts w:ascii="Book Antiqua" w:eastAsia="Arial Unicode MS" w:hAnsi="Book Antiqua" w:cs="Times New Roman"/>
          <w:b/>
          <w:bCs/>
          <w:color w:val="000000" w:themeColor="text1"/>
          <w:kern w:val="24"/>
        </w:rPr>
        <w:t xml:space="preserve"> </w:t>
      </w:r>
      <w:proofErr w:type="spellStart"/>
      <w:r w:rsidR="0016565D" w:rsidRPr="0083147A">
        <w:rPr>
          <w:rFonts w:ascii="Book Antiqua" w:hAnsi="Book Antiqua"/>
          <w:b/>
        </w:rPr>
        <w:t>multikinase</w:t>
      </w:r>
      <w:proofErr w:type="spellEnd"/>
      <w:r w:rsidR="0016565D" w:rsidRPr="0083147A">
        <w:rPr>
          <w:rFonts w:ascii="Book Antiqua" w:hAnsi="Book Antiqua"/>
          <w:b/>
        </w:rPr>
        <w:t xml:space="preserve"> inhibitor-associated</w:t>
      </w:r>
      <w:r w:rsidR="0016565D" w:rsidRPr="0083147A">
        <w:rPr>
          <w:rFonts w:ascii="Book Antiqua" w:hAnsi="Book Antiqua" w:cs="Times New Roman"/>
          <w:b/>
          <w:color w:val="000000" w:themeColor="text1"/>
        </w:rPr>
        <w:t xml:space="preserve"> hand-foot skin reaction</w:t>
      </w:r>
      <w:r w:rsidR="0016565D" w:rsidRPr="0083147A">
        <w:rPr>
          <w:rFonts w:ascii="Book Antiqua" w:eastAsia="Arial Unicode MS" w:hAnsi="Book Antiqua" w:cs="Times New Roman"/>
          <w:b/>
          <w:bCs/>
          <w:color w:val="000000" w:themeColor="text1"/>
          <w:kern w:val="24"/>
        </w:rPr>
        <w:t xml:space="preserve"> (l</w:t>
      </w:r>
      <w:r w:rsidRPr="0083147A">
        <w:rPr>
          <w:rFonts w:ascii="Book Antiqua" w:eastAsia="Arial Unicode MS" w:hAnsi="Book Antiqua" w:cs="Times New Roman"/>
          <w:b/>
          <w:bCs/>
          <w:color w:val="000000" w:themeColor="text1"/>
          <w:kern w:val="24"/>
        </w:rPr>
        <w:t>andmark analysis)</w:t>
      </w:r>
      <w:r w:rsidR="00FD1EB1">
        <w:rPr>
          <w:rFonts w:ascii="Book Antiqua" w:eastAsia="Arial Unicode MS" w:hAnsi="Book Antiqua" w:cs="Times New Roman" w:hint="eastAsia"/>
          <w:b/>
          <w:bCs/>
          <w:color w:val="000000" w:themeColor="text1"/>
          <w:kern w:val="24"/>
          <w:lang w:eastAsia="zh-CN"/>
        </w:rPr>
        <w:t>.</w:t>
      </w:r>
    </w:p>
    <w:p w:rsidR="00087752" w:rsidRDefault="00087752">
      <w:pPr>
        <w:widowControl/>
        <w:jc w:val="left"/>
        <w:rPr>
          <w:rFonts w:ascii="Book Antiqua" w:eastAsia="MS PGothic" w:hAnsi="Book Antiqua" w:cs="Times New Roman"/>
          <w:kern w:val="0"/>
        </w:rPr>
      </w:pPr>
      <w:r>
        <w:rPr>
          <w:rFonts w:ascii="Book Antiqua" w:eastAsia="MS PGothic" w:hAnsi="Book Antiqua" w:cs="Times New Roman"/>
          <w:kern w:val="0"/>
        </w:rPr>
        <w:br w:type="page"/>
      </w:r>
    </w:p>
    <w:p w:rsidR="00AC52EB" w:rsidRPr="0083147A" w:rsidRDefault="00AC52EB" w:rsidP="00946207">
      <w:pPr>
        <w:spacing w:line="360" w:lineRule="auto"/>
        <w:outlineLvl w:val="0"/>
        <w:rPr>
          <w:rFonts w:ascii="Book Antiqua" w:hAnsi="Book Antiqua"/>
        </w:rPr>
      </w:pPr>
      <w:r w:rsidRPr="0083147A">
        <w:rPr>
          <w:rFonts w:ascii="Book Antiqua" w:eastAsia="Arial Unicode MS" w:hAnsi="Book Antiqua" w:cs="Times New Roman"/>
          <w:b/>
          <w:bCs/>
          <w:color w:val="000000" w:themeColor="text1"/>
          <w:kern w:val="24"/>
        </w:rPr>
        <w:lastRenderedPageBreak/>
        <w:t>Table 1 Baseline characteristics of patients</w:t>
      </w:r>
    </w:p>
    <w:tbl>
      <w:tblPr>
        <w:tblW w:w="5613" w:type="dxa"/>
        <w:tblCellMar>
          <w:left w:w="0" w:type="dxa"/>
          <w:right w:w="0" w:type="dxa"/>
        </w:tblCellMar>
        <w:tblLook w:val="0600" w:firstRow="0" w:lastRow="0" w:firstColumn="0" w:lastColumn="0" w:noHBand="1" w:noVBand="1"/>
      </w:tblPr>
      <w:tblGrid>
        <w:gridCol w:w="4035"/>
        <w:gridCol w:w="1578"/>
      </w:tblGrid>
      <w:tr w:rsidR="00AC52EB" w:rsidRPr="0083147A" w:rsidTr="001812C9">
        <w:trPr>
          <w:trHeight w:val="186"/>
        </w:trPr>
        <w:tc>
          <w:tcPr>
            <w:tcW w:w="4035"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b/>
                <w:kern w:val="0"/>
              </w:rPr>
            </w:pPr>
            <w:r w:rsidRPr="0083147A">
              <w:rPr>
                <w:rFonts w:ascii="Book Antiqua" w:eastAsia="Helvetica" w:hAnsi="Book Antiqua" w:cs="Times New Roman"/>
                <w:b/>
                <w:color w:val="000000"/>
                <w:kern w:val="0"/>
              </w:rPr>
              <w:t>Patient features</w:t>
            </w:r>
          </w:p>
        </w:tc>
        <w:tc>
          <w:tcPr>
            <w:tcW w:w="1578"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center"/>
            <w:hideMark/>
          </w:tcPr>
          <w:p w:rsidR="00AC52EB" w:rsidRPr="0083147A" w:rsidRDefault="00FD1EB1" w:rsidP="00946207">
            <w:pPr>
              <w:widowControl/>
              <w:spacing w:line="360" w:lineRule="auto"/>
              <w:textAlignment w:val="center"/>
              <w:rPr>
                <w:rFonts w:ascii="Book Antiqua" w:eastAsia="MS PGothic" w:hAnsi="Book Antiqua" w:cs="Times New Roman"/>
                <w:b/>
                <w:kern w:val="0"/>
              </w:rPr>
            </w:pPr>
            <w:proofErr w:type="gramStart"/>
            <w:r w:rsidRPr="00FD1EB1">
              <w:rPr>
                <w:rFonts w:ascii="Book Antiqua" w:eastAsia="Helvetica" w:hAnsi="Book Antiqua" w:cs="Times New Roman"/>
                <w:b/>
                <w:i/>
                <w:color w:val="000000"/>
                <w:kern w:val="0"/>
              </w:rPr>
              <w:t>n</w:t>
            </w:r>
            <w:proofErr w:type="gramEnd"/>
            <w:r w:rsidRPr="00FD1EB1">
              <w:rPr>
                <w:rFonts w:ascii="Book Antiqua" w:eastAsia="Helvetica" w:hAnsi="Book Antiqua" w:cs="Times New Roman"/>
                <w:b/>
                <w:i/>
                <w:color w:val="000000"/>
                <w:kern w:val="0"/>
              </w:rPr>
              <w:t xml:space="preserve"> </w:t>
            </w:r>
            <w:r w:rsidR="00AC52EB" w:rsidRPr="0083147A">
              <w:rPr>
                <w:rFonts w:ascii="Book Antiqua" w:eastAsia="Helvetica" w:hAnsi="Book Antiqua" w:cs="Times New Roman"/>
                <w:b/>
                <w:color w:val="000000"/>
                <w:kern w:val="0"/>
              </w:rPr>
              <w:t>(%)</w:t>
            </w:r>
          </w:p>
        </w:tc>
      </w:tr>
      <w:tr w:rsidR="00AC52EB" w:rsidRPr="0083147A" w:rsidTr="001812C9">
        <w:trPr>
          <w:trHeight w:val="186"/>
        </w:trPr>
        <w:tc>
          <w:tcPr>
            <w:tcW w:w="4035"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 xml:space="preserve">Total </w:t>
            </w:r>
            <w:r w:rsidR="00FD1EB1" w:rsidRPr="0083147A">
              <w:rPr>
                <w:rFonts w:ascii="Book Antiqua" w:eastAsia="Helvetica" w:hAnsi="Book Antiqua" w:cs="Times New Roman"/>
                <w:color w:val="000000"/>
                <w:kern w:val="0"/>
              </w:rPr>
              <w:t>No</w:t>
            </w:r>
            <w:r w:rsidRPr="0083147A">
              <w:rPr>
                <w:rFonts w:ascii="Book Antiqua" w:eastAsia="Helvetica" w:hAnsi="Book Antiqua" w:cs="Times New Roman"/>
                <w:color w:val="000000"/>
                <w:kern w:val="0"/>
              </w:rPr>
              <w:t xml:space="preserve">. </w:t>
            </w:r>
            <w:r w:rsidRPr="0083147A">
              <w:rPr>
                <w:rFonts w:ascii="Book Antiqua" w:hAnsi="Book Antiqua" w:cs="Times New Roman"/>
                <w:color w:val="000000"/>
                <w:kern w:val="0"/>
              </w:rPr>
              <w:t xml:space="preserve">of </w:t>
            </w:r>
            <w:r w:rsidRPr="0083147A">
              <w:rPr>
                <w:rFonts w:ascii="Book Antiqua" w:eastAsia="Helvetica" w:hAnsi="Book Antiqua" w:cs="Times New Roman"/>
                <w:color w:val="000000"/>
                <w:kern w:val="0"/>
              </w:rPr>
              <w:t>patients</w:t>
            </w:r>
          </w:p>
        </w:tc>
        <w:tc>
          <w:tcPr>
            <w:tcW w:w="1578"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40</w:t>
            </w:r>
          </w:p>
        </w:tc>
      </w:tr>
      <w:tr w:rsidR="00AC52EB" w:rsidRPr="0083147A" w:rsidTr="001812C9">
        <w:trPr>
          <w:trHeight w:val="186"/>
        </w:trPr>
        <w:tc>
          <w:tcPr>
            <w:tcW w:w="4035"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FD1EB1" w:rsidRDefault="00AC52EB" w:rsidP="00946207">
            <w:pPr>
              <w:widowControl/>
              <w:spacing w:line="360" w:lineRule="auto"/>
              <w:textAlignment w:val="center"/>
              <w:rPr>
                <w:rFonts w:ascii="Book Antiqua" w:eastAsia="SimSun" w:hAnsi="Book Antiqua" w:cs="Times New Roman"/>
                <w:kern w:val="0"/>
                <w:lang w:eastAsia="zh-CN"/>
              </w:rPr>
            </w:pPr>
            <w:r w:rsidRPr="0083147A">
              <w:rPr>
                <w:rFonts w:ascii="Book Antiqua" w:eastAsia="Helvetica" w:hAnsi="Book Antiqua" w:cs="Times New Roman"/>
                <w:color w:val="000000"/>
                <w:kern w:val="0"/>
              </w:rPr>
              <w:t>Age</w:t>
            </w:r>
            <w:r w:rsidR="00FD1EB1">
              <w:rPr>
                <w:rFonts w:ascii="Book Antiqua" w:eastAsia="SimSun" w:hAnsi="Book Antiqua" w:cs="Times New Roman" w:hint="eastAsia"/>
                <w:color w:val="000000"/>
                <w:kern w:val="0"/>
                <w:lang w:eastAsia="zh-CN"/>
              </w:rPr>
              <w:t xml:space="preserve"> (</w:t>
            </w:r>
            <w:proofErr w:type="spellStart"/>
            <w:r w:rsidR="00FD1EB1">
              <w:rPr>
                <w:rFonts w:ascii="Book Antiqua" w:eastAsia="SimSun" w:hAnsi="Book Antiqua" w:cs="Times New Roman" w:hint="eastAsia"/>
                <w:color w:val="000000"/>
                <w:kern w:val="0"/>
                <w:lang w:eastAsia="zh-CN"/>
              </w:rPr>
              <w:t>yr</w:t>
            </w:r>
            <w:proofErr w:type="spellEnd"/>
            <w:r w:rsidR="00FD1EB1">
              <w:rPr>
                <w:rFonts w:ascii="Book Antiqua" w:eastAsia="SimSun" w:hAnsi="Book Antiqua" w:cs="Times New Roman" w:hint="eastAsia"/>
                <w:color w:val="000000"/>
                <w:kern w:val="0"/>
                <w:lang w:eastAsia="zh-CN"/>
              </w:rPr>
              <w:t>)</w:t>
            </w:r>
          </w:p>
        </w:tc>
        <w:tc>
          <w:tcPr>
            <w:tcW w:w="1578"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rPr>
                <w:rFonts w:ascii="Book Antiqua" w:eastAsia="MS PGothic" w:hAnsi="Book Antiqua" w:cs="Times New Roman"/>
                <w:kern w:val="0"/>
              </w:rPr>
            </w:pPr>
          </w:p>
        </w:tc>
      </w:tr>
      <w:tr w:rsidR="00AC52EB" w:rsidRPr="0083147A" w:rsidTr="001812C9">
        <w:trPr>
          <w:trHeight w:val="186"/>
        </w:trPr>
        <w:tc>
          <w:tcPr>
            <w:tcW w:w="4035"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 xml:space="preserve">  Median (range)</w:t>
            </w:r>
          </w:p>
        </w:tc>
        <w:tc>
          <w:tcPr>
            <w:tcW w:w="1578"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71 (48-89)</w:t>
            </w:r>
          </w:p>
        </w:tc>
      </w:tr>
      <w:tr w:rsidR="00AC52EB" w:rsidRPr="0083147A" w:rsidTr="001812C9">
        <w:trPr>
          <w:trHeight w:val="186"/>
        </w:trPr>
        <w:tc>
          <w:tcPr>
            <w:tcW w:w="4035"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Sex</w:t>
            </w:r>
          </w:p>
        </w:tc>
        <w:tc>
          <w:tcPr>
            <w:tcW w:w="1578"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rPr>
                <w:rFonts w:ascii="Book Antiqua" w:eastAsia="MS PGothic" w:hAnsi="Book Antiqua" w:cs="Times New Roman"/>
                <w:kern w:val="0"/>
              </w:rPr>
            </w:pPr>
          </w:p>
        </w:tc>
      </w:tr>
      <w:tr w:rsidR="00AC52EB" w:rsidRPr="0083147A" w:rsidTr="001812C9">
        <w:trPr>
          <w:trHeight w:val="186"/>
        </w:trPr>
        <w:tc>
          <w:tcPr>
            <w:tcW w:w="4035"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 xml:space="preserve">  Male</w:t>
            </w:r>
          </w:p>
        </w:tc>
        <w:tc>
          <w:tcPr>
            <w:tcW w:w="1578"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31 (78)</w:t>
            </w:r>
          </w:p>
        </w:tc>
      </w:tr>
      <w:tr w:rsidR="00AC52EB" w:rsidRPr="0083147A" w:rsidTr="001812C9">
        <w:trPr>
          <w:trHeight w:val="202"/>
        </w:trPr>
        <w:tc>
          <w:tcPr>
            <w:tcW w:w="4035"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 xml:space="preserve">  Female</w:t>
            </w:r>
          </w:p>
        </w:tc>
        <w:tc>
          <w:tcPr>
            <w:tcW w:w="1578"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 xml:space="preserve"> 9 (12)</w:t>
            </w:r>
          </w:p>
        </w:tc>
      </w:tr>
      <w:tr w:rsidR="00AC52EB" w:rsidRPr="0083147A" w:rsidTr="001812C9">
        <w:trPr>
          <w:trHeight w:val="186"/>
        </w:trPr>
        <w:tc>
          <w:tcPr>
            <w:tcW w:w="4035"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Child-Pugh class</w:t>
            </w:r>
          </w:p>
        </w:tc>
        <w:tc>
          <w:tcPr>
            <w:tcW w:w="1578"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rPr>
                <w:rFonts w:ascii="Book Antiqua" w:eastAsia="MS PGothic" w:hAnsi="Book Antiqua" w:cs="Times New Roman"/>
                <w:kern w:val="0"/>
              </w:rPr>
            </w:pPr>
          </w:p>
        </w:tc>
      </w:tr>
      <w:tr w:rsidR="00AC52EB" w:rsidRPr="0083147A" w:rsidTr="001812C9">
        <w:trPr>
          <w:trHeight w:val="186"/>
        </w:trPr>
        <w:tc>
          <w:tcPr>
            <w:tcW w:w="4035"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 xml:space="preserve">  A</w:t>
            </w:r>
          </w:p>
        </w:tc>
        <w:tc>
          <w:tcPr>
            <w:tcW w:w="1578"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36 (90)</w:t>
            </w:r>
          </w:p>
        </w:tc>
      </w:tr>
      <w:tr w:rsidR="00AC52EB" w:rsidRPr="0083147A" w:rsidTr="001812C9">
        <w:trPr>
          <w:trHeight w:val="186"/>
        </w:trPr>
        <w:tc>
          <w:tcPr>
            <w:tcW w:w="4035"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 xml:space="preserve">  B</w:t>
            </w:r>
          </w:p>
        </w:tc>
        <w:tc>
          <w:tcPr>
            <w:tcW w:w="1578"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 xml:space="preserve"> 4 (10)</w:t>
            </w:r>
          </w:p>
        </w:tc>
      </w:tr>
      <w:tr w:rsidR="00AC52EB" w:rsidRPr="0083147A" w:rsidTr="001812C9">
        <w:trPr>
          <w:trHeight w:val="186"/>
        </w:trPr>
        <w:tc>
          <w:tcPr>
            <w:tcW w:w="4035"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Underlying cause</w:t>
            </w:r>
          </w:p>
        </w:tc>
        <w:tc>
          <w:tcPr>
            <w:tcW w:w="1578"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rPr>
                <w:rFonts w:ascii="Book Antiqua" w:eastAsia="MS PGothic" w:hAnsi="Book Antiqua" w:cs="Times New Roman"/>
                <w:kern w:val="0"/>
              </w:rPr>
            </w:pPr>
          </w:p>
        </w:tc>
      </w:tr>
      <w:tr w:rsidR="00AC52EB" w:rsidRPr="0083147A" w:rsidTr="001812C9">
        <w:trPr>
          <w:trHeight w:val="186"/>
        </w:trPr>
        <w:tc>
          <w:tcPr>
            <w:tcW w:w="4035"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 xml:space="preserve">  HCV</w:t>
            </w:r>
          </w:p>
        </w:tc>
        <w:tc>
          <w:tcPr>
            <w:tcW w:w="1578"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23 (58)</w:t>
            </w:r>
          </w:p>
        </w:tc>
      </w:tr>
      <w:tr w:rsidR="00AC52EB" w:rsidRPr="0083147A" w:rsidTr="001812C9">
        <w:trPr>
          <w:trHeight w:val="186"/>
        </w:trPr>
        <w:tc>
          <w:tcPr>
            <w:tcW w:w="4035"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 xml:space="preserve">  HBV</w:t>
            </w:r>
          </w:p>
        </w:tc>
        <w:tc>
          <w:tcPr>
            <w:tcW w:w="1578"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10 (25)</w:t>
            </w:r>
          </w:p>
        </w:tc>
      </w:tr>
      <w:tr w:rsidR="00AC52EB" w:rsidRPr="0083147A" w:rsidTr="001812C9">
        <w:trPr>
          <w:trHeight w:val="186"/>
        </w:trPr>
        <w:tc>
          <w:tcPr>
            <w:tcW w:w="4035"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 xml:space="preserve">  Others</w:t>
            </w:r>
          </w:p>
        </w:tc>
        <w:tc>
          <w:tcPr>
            <w:tcW w:w="1578"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 xml:space="preserve"> 7 (17)</w:t>
            </w:r>
          </w:p>
        </w:tc>
      </w:tr>
      <w:tr w:rsidR="00AC52EB" w:rsidRPr="0083147A" w:rsidTr="001812C9">
        <w:trPr>
          <w:trHeight w:val="363"/>
        </w:trPr>
        <w:tc>
          <w:tcPr>
            <w:tcW w:w="4035"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Portal vein thrombosis</w:t>
            </w:r>
          </w:p>
        </w:tc>
        <w:tc>
          <w:tcPr>
            <w:tcW w:w="1578"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11 (28)</w:t>
            </w:r>
          </w:p>
        </w:tc>
      </w:tr>
      <w:tr w:rsidR="00AC52EB" w:rsidRPr="0083147A" w:rsidTr="001812C9">
        <w:trPr>
          <w:trHeight w:val="186"/>
        </w:trPr>
        <w:tc>
          <w:tcPr>
            <w:tcW w:w="4035" w:type="dxa"/>
            <w:tcBorders>
              <w:top w:val="nil"/>
              <w:left w:val="nil"/>
              <w:bottom w:val="nil"/>
              <w:right w:val="nil"/>
            </w:tcBorders>
            <w:shd w:val="clear" w:color="auto" w:fill="auto"/>
            <w:tcMar>
              <w:top w:w="15" w:type="dxa"/>
              <w:left w:w="15" w:type="dxa"/>
              <w:bottom w:w="0" w:type="dxa"/>
              <w:right w:w="15" w:type="dxa"/>
            </w:tcMar>
            <w:vAlign w:val="center"/>
          </w:tcPr>
          <w:p w:rsidR="00AC52EB" w:rsidRPr="0083147A" w:rsidRDefault="00AC52EB" w:rsidP="00946207">
            <w:pPr>
              <w:widowControl/>
              <w:spacing w:line="360" w:lineRule="auto"/>
              <w:textAlignment w:val="center"/>
              <w:rPr>
                <w:rFonts w:ascii="Book Antiqua" w:hAnsi="Book Antiqua" w:cs="Times New Roman"/>
                <w:color w:val="000000"/>
                <w:kern w:val="0"/>
              </w:rPr>
            </w:pPr>
            <w:r w:rsidRPr="0083147A">
              <w:rPr>
                <w:rFonts w:ascii="Book Antiqua" w:hAnsi="Book Antiqua" w:cs="Times New Roman"/>
                <w:color w:val="000000"/>
                <w:kern w:val="0"/>
              </w:rPr>
              <w:t xml:space="preserve">　</w:t>
            </w:r>
            <w:r w:rsidRPr="0083147A">
              <w:rPr>
                <w:rFonts w:ascii="Book Antiqua" w:hAnsi="Book Antiqua" w:cs="Times New Roman"/>
                <w:color w:val="000000"/>
                <w:kern w:val="0"/>
              </w:rPr>
              <w:t>Liver only</w:t>
            </w:r>
          </w:p>
        </w:tc>
        <w:tc>
          <w:tcPr>
            <w:tcW w:w="1578" w:type="dxa"/>
            <w:tcBorders>
              <w:top w:val="nil"/>
              <w:left w:val="nil"/>
              <w:bottom w:val="nil"/>
              <w:right w:val="nil"/>
            </w:tcBorders>
            <w:shd w:val="clear" w:color="auto" w:fill="auto"/>
            <w:tcMar>
              <w:top w:w="15" w:type="dxa"/>
              <w:left w:w="15" w:type="dxa"/>
              <w:bottom w:w="0" w:type="dxa"/>
              <w:right w:w="15" w:type="dxa"/>
            </w:tcMar>
            <w:vAlign w:val="center"/>
          </w:tcPr>
          <w:p w:rsidR="00AC52EB" w:rsidRPr="0083147A" w:rsidRDefault="00AC52EB" w:rsidP="00946207">
            <w:pPr>
              <w:widowControl/>
              <w:spacing w:line="360" w:lineRule="auto"/>
              <w:rPr>
                <w:rFonts w:ascii="Book Antiqua" w:eastAsia="Arial Unicode MS" w:hAnsi="Book Antiqua" w:cs="Times New Roman"/>
                <w:kern w:val="0"/>
              </w:rPr>
            </w:pPr>
            <w:r w:rsidRPr="0083147A">
              <w:rPr>
                <w:rFonts w:ascii="Book Antiqua" w:eastAsia="Arial Unicode MS" w:hAnsi="Book Antiqua" w:cs="Times New Roman"/>
                <w:kern w:val="0"/>
              </w:rPr>
              <w:t>26 (60)</w:t>
            </w:r>
          </w:p>
        </w:tc>
      </w:tr>
      <w:tr w:rsidR="00AC52EB" w:rsidRPr="0083147A" w:rsidTr="001812C9">
        <w:trPr>
          <w:trHeight w:val="186"/>
        </w:trPr>
        <w:tc>
          <w:tcPr>
            <w:tcW w:w="4035" w:type="dxa"/>
            <w:tcBorders>
              <w:top w:val="nil"/>
              <w:left w:val="nil"/>
              <w:bottom w:val="nil"/>
              <w:right w:val="nil"/>
            </w:tcBorders>
            <w:shd w:val="clear" w:color="auto" w:fill="auto"/>
            <w:tcMar>
              <w:top w:w="15" w:type="dxa"/>
              <w:left w:w="15" w:type="dxa"/>
              <w:bottom w:w="0" w:type="dxa"/>
              <w:right w:w="15" w:type="dxa"/>
            </w:tcMar>
            <w:vAlign w:val="center"/>
          </w:tcPr>
          <w:p w:rsidR="00AC52EB" w:rsidRPr="0083147A" w:rsidRDefault="00AC52EB" w:rsidP="00946207">
            <w:pPr>
              <w:widowControl/>
              <w:spacing w:line="360" w:lineRule="auto"/>
              <w:textAlignment w:val="center"/>
              <w:rPr>
                <w:rFonts w:ascii="Book Antiqua" w:hAnsi="Book Antiqua" w:cs="Times New Roman"/>
                <w:color w:val="000000"/>
                <w:kern w:val="0"/>
              </w:rPr>
            </w:pPr>
            <w:r w:rsidRPr="0083147A">
              <w:rPr>
                <w:rFonts w:ascii="Book Antiqua" w:hAnsi="Book Antiqua" w:cs="Times New Roman"/>
                <w:color w:val="000000"/>
                <w:kern w:val="0"/>
              </w:rPr>
              <w:t xml:space="preserve">　</w:t>
            </w:r>
            <w:r w:rsidRPr="0083147A">
              <w:rPr>
                <w:rFonts w:ascii="Book Antiqua" w:hAnsi="Book Antiqua" w:cs="Times New Roman"/>
                <w:color w:val="000000"/>
                <w:kern w:val="0"/>
              </w:rPr>
              <w:t>Metastatic disease</w:t>
            </w:r>
          </w:p>
        </w:tc>
        <w:tc>
          <w:tcPr>
            <w:tcW w:w="1578" w:type="dxa"/>
            <w:tcBorders>
              <w:top w:val="nil"/>
              <w:left w:val="nil"/>
              <w:bottom w:val="nil"/>
              <w:right w:val="nil"/>
            </w:tcBorders>
            <w:shd w:val="clear" w:color="auto" w:fill="auto"/>
            <w:tcMar>
              <w:top w:w="15" w:type="dxa"/>
              <w:left w:w="15" w:type="dxa"/>
              <w:bottom w:w="0" w:type="dxa"/>
              <w:right w:w="15" w:type="dxa"/>
            </w:tcMar>
            <w:vAlign w:val="center"/>
          </w:tcPr>
          <w:p w:rsidR="00AC52EB" w:rsidRPr="0083147A" w:rsidRDefault="00AC52EB" w:rsidP="00946207">
            <w:pPr>
              <w:widowControl/>
              <w:spacing w:line="360" w:lineRule="auto"/>
              <w:rPr>
                <w:rFonts w:ascii="Book Antiqua" w:eastAsia="Arial Unicode MS" w:hAnsi="Book Antiqua" w:cs="Times New Roman"/>
                <w:kern w:val="0"/>
              </w:rPr>
            </w:pPr>
            <w:r w:rsidRPr="0083147A">
              <w:rPr>
                <w:rFonts w:ascii="Book Antiqua" w:eastAsia="Arial Unicode MS" w:hAnsi="Book Antiqua" w:cs="Times New Roman"/>
                <w:kern w:val="0"/>
              </w:rPr>
              <w:t>24 (40)</w:t>
            </w:r>
          </w:p>
        </w:tc>
      </w:tr>
      <w:tr w:rsidR="00AC52EB" w:rsidRPr="0083147A" w:rsidTr="001812C9">
        <w:trPr>
          <w:trHeight w:val="186"/>
        </w:trPr>
        <w:tc>
          <w:tcPr>
            <w:tcW w:w="4035"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AFP (ng/mL)</w:t>
            </w:r>
          </w:p>
        </w:tc>
        <w:tc>
          <w:tcPr>
            <w:tcW w:w="1578"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rPr>
                <w:rFonts w:ascii="Book Antiqua" w:eastAsia="MS PGothic" w:hAnsi="Book Antiqua" w:cs="Times New Roman"/>
                <w:kern w:val="0"/>
              </w:rPr>
            </w:pPr>
          </w:p>
        </w:tc>
      </w:tr>
      <w:tr w:rsidR="00AC52EB" w:rsidRPr="0083147A" w:rsidTr="001812C9">
        <w:trPr>
          <w:trHeight w:val="186"/>
        </w:trPr>
        <w:tc>
          <w:tcPr>
            <w:tcW w:w="4035"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 xml:space="preserve">  &gt; 100</w:t>
            </w:r>
          </w:p>
        </w:tc>
        <w:tc>
          <w:tcPr>
            <w:tcW w:w="1578"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26 (65)</w:t>
            </w:r>
          </w:p>
        </w:tc>
      </w:tr>
      <w:tr w:rsidR="00AC52EB" w:rsidRPr="0083147A" w:rsidTr="001812C9">
        <w:trPr>
          <w:trHeight w:val="186"/>
        </w:trPr>
        <w:tc>
          <w:tcPr>
            <w:tcW w:w="4035"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 xml:space="preserve">  ≤ 100</w:t>
            </w:r>
          </w:p>
        </w:tc>
        <w:tc>
          <w:tcPr>
            <w:tcW w:w="1578"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14 (35)</w:t>
            </w:r>
          </w:p>
        </w:tc>
      </w:tr>
      <w:tr w:rsidR="00AC52EB" w:rsidRPr="0083147A" w:rsidTr="001812C9">
        <w:trPr>
          <w:trHeight w:val="186"/>
        </w:trPr>
        <w:tc>
          <w:tcPr>
            <w:tcW w:w="4035"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DCP (</w:t>
            </w:r>
            <w:proofErr w:type="spellStart"/>
            <w:r w:rsidRPr="0083147A">
              <w:rPr>
                <w:rFonts w:ascii="Book Antiqua" w:eastAsia="Helvetica" w:hAnsi="Book Antiqua" w:cs="Times New Roman"/>
                <w:color w:val="000000"/>
                <w:kern w:val="0"/>
              </w:rPr>
              <w:t>mAU</w:t>
            </w:r>
            <w:proofErr w:type="spellEnd"/>
            <w:r w:rsidRPr="0083147A">
              <w:rPr>
                <w:rFonts w:ascii="Book Antiqua" w:eastAsia="Helvetica" w:hAnsi="Book Antiqua" w:cs="Times New Roman"/>
                <w:color w:val="000000"/>
                <w:kern w:val="0"/>
              </w:rPr>
              <w:t>/mL)</w:t>
            </w:r>
          </w:p>
        </w:tc>
        <w:tc>
          <w:tcPr>
            <w:tcW w:w="1578"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rPr>
                <w:rFonts w:ascii="Book Antiqua" w:eastAsia="MS PGothic" w:hAnsi="Book Antiqua" w:cs="Times New Roman"/>
                <w:kern w:val="0"/>
              </w:rPr>
            </w:pPr>
          </w:p>
        </w:tc>
      </w:tr>
      <w:tr w:rsidR="00AC52EB" w:rsidRPr="0083147A" w:rsidTr="001812C9">
        <w:trPr>
          <w:trHeight w:val="186"/>
        </w:trPr>
        <w:tc>
          <w:tcPr>
            <w:tcW w:w="4035"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 xml:space="preserve">  &gt; 1000</w:t>
            </w:r>
          </w:p>
        </w:tc>
        <w:tc>
          <w:tcPr>
            <w:tcW w:w="1578"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19 (48)</w:t>
            </w:r>
          </w:p>
        </w:tc>
      </w:tr>
      <w:tr w:rsidR="00AC52EB" w:rsidRPr="0083147A" w:rsidTr="001812C9">
        <w:trPr>
          <w:trHeight w:val="186"/>
        </w:trPr>
        <w:tc>
          <w:tcPr>
            <w:tcW w:w="4035"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 xml:space="preserve">  ≤ 1000</w:t>
            </w:r>
          </w:p>
        </w:tc>
        <w:tc>
          <w:tcPr>
            <w:tcW w:w="1578"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21 (52)</w:t>
            </w:r>
          </w:p>
        </w:tc>
      </w:tr>
      <w:tr w:rsidR="00AC52EB" w:rsidRPr="0083147A" w:rsidTr="001812C9">
        <w:trPr>
          <w:trHeight w:val="186"/>
        </w:trPr>
        <w:tc>
          <w:tcPr>
            <w:tcW w:w="4035"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BCLC stag</w:t>
            </w:r>
            <w:r w:rsidR="00894D67" w:rsidRPr="0083147A">
              <w:rPr>
                <w:rFonts w:ascii="Book Antiqua" w:eastAsia="Helvetica" w:hAnsi="Book Antiqua" w:cs="Times New Roman"/>
                <w:color w:val="000000"/>
                <w:kern w:val="0"/>
              </w:rPr>
              <w:t>e</w:t>
            </w:r>
          </w:p>
        </w:tc>
        <w:tc>
          <w:tcPr>
            <w:tcW w:w="1578"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rPr>
                <w:rFonts w:ascii="Book Antiqua" w:eastAsia="MS PGothic" w:hAnsi="Book Antiqua" w:cs="Times New Roman"/>
                <w:kern w:val="0"/>
              </w:rPr>
            </w:pPr>
          </w:p>
        </w:tc>
      </w:tr>
      <w:tr w:rsidR="00AC52EB" w:rsidRPr="0083147A" w:rsidTr="001812C9">
        <w:trPr>
          <w:trHeight w:val="186"/>
        </w:trPr>
        <w:tc>
          <w:tcPr>
            <w:tcW w:w="4035"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 xml:space="preserve">  B</w:t>
            </w:r>
          </w:p>
        </w:tc>
        <w:tc>
          <w:tcPr>
            <w:tcW w:w="1578"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16 (40)</w:t>
            </w:r>
          </w:p>
        </w:tc>
      </w:tr>
      <w:tr w:rsidR="00AC52EB" w:rsidRPr="0083147A" w:rsidTr="001812C9">
        <w:trPr>
          <w:trHeight w:val="186"/>
        </w:trPr>
        <w:tc>
          <w:tcPr>
            <w:tcW w:w="4035"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 xml:space="preserve">  C</w:t>
            </w:r>
          </w:p>
        </w:tc>
        <w:tc>
          <w:tcPr>
            <w:tcW w:w="1578"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24 (60)</w:t>
            </w:r>
          </w:p>
        </w:tc>
      </w:tr>
      <w:tr w:rsidR="00AC52EB" w:rsidRPr="0083147A" w:rsidTr="001812C9">
        <w:trPr>
          <w:trHeight w:val="363"/>
        </w:trPr>
        <w:tc>
          <w:tcPr>
            <w:tcW w:w="4035"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hAnsi="Book Antiqua" w:cs="Times New Roman"/>
                <w:kern w:val="0"/>
              </w:rPr>
            </w:pPr>
            <w:r w:rsidRPr="0083147A">
              <w:rPr>
                <w:rFonts w:ascii="Book Antiqua" w:eastAsia="Helvetica" w:hAnsi="Book Antiqua" w:cs="Times New Roman"/>
                <w:color w:val="000000"/>
                <w:kern w:val="0"/>
              </w:rPr>
              <w:t xml:space="preserve">Intervention by </w:t>
            </w:r>
            <w:r w:rsidR="00B4494B" w:rsidRPr="0083147A">
              <w:rPr>
                <w:rFonts w:ascii="Book Antiqua" w:eastAsia="Helvetica" w:hAnsi="Book Antiqua" w:cs="Times New Roman"/>
                <w:color w:val="000000"/>
                <w:kern w:val="0"/>
              </w:rPr>
              <w:t>p</w:t>
            </w:r>
            <w:r w:rsidRPr="0083147A">
              <w:rPr>
                <w:rFonts w:ascii="Book Antiqua" w:eastAsia="Helvetica" w:hAnsi="Book Antiqua" w:cs="Times New Roman"/>
                <w:color w:val="000000"/>
                <w:kern w:val="0"/>
              </w:rPr>
              <w:t>harmacists</w:t>
            </w:r>
          </w:p>
        </w:tc>
        <w:tc>
          <w:tcPr>
            <w:tcW w:w="1578"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rPr>
                <w:rFonts w:ascii="Book Antiqua" w:eastAsia="MS PGothic" w:hAnsi="Book Antiqua" w:cs="Times New Roman"/>
                <w:kern w:val="0"/>
              </w:rPr>
            </w:pPr>
          </w:p>
        </w:tc>
      </w:tr>
      <w:tr w:rsidR="00AC52EB" w:rsidRPr="0083147A" w:rsidTr="001812C9">
        <w:trPr>
          <w:trHeight w:val="186"/>
        </w:trPr>
        <w:tc>
          <w:tcPr>
            <w:tcW w:w="4035"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lastRenderedPageBreak/>
              <w:t xml:space="preserve">  Yes</w:t>
            </w:r>
          </w:p>
        </w:tc>
        <w:tc>
          <w:tcPr>
            <w:tcW w:w="1578"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22 (55)</w:t>
            </w:r>
          </w:p>
        </w:tc>
      </w:tr>
      <w:tr w:rsidR="00AC52EB" w:rsidRPr="0083147A" w:rsidTr="001812C9">
        <w:trPr>
          <w:trHeight w:val="186"/>
        </w:trPr>
        <w:tc>
          <w:tcPr>
            <w:tcW w:w="4035"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 xml:space="preserve">  No</w:t>
            </w:r>
          </w:p>
        </w:tc>
        <w:tc>
          <w:tcPr>
            <w:tcW w:w="1578"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18 (45)</w:t>
            </w:r>
          </w:p>
        </w:tc>
      </w:tr>
    </w:tbl>
    <w:p w:rsidR="000A1473" w:rsidRPr="001812C9" w:rsidRDefault="00223D58" w:rsidP="00946207">
      <w:pPr>
        <w:spacing w:line="360" w:lineRule="auto"/>
        <w:rPr>
          <w:rFonts w:ascii="Book Antiqua" w:eastAsia="SimSun" w:hAnsi="Book Antiqua"/>
          <w:lang w:eastAsia="zh-CN"/>
        </w:rPr>
      </w:pPr>
      <w:r w:rsidRPr="0083147A">
        <w:rPr>
          <w:rFonts w:ascii="Book Antiqua" w:hAnsi="Book Antiqua"/>
        </w:rPr>
        <w:t xml:space="preserve">AFP: </w:t>
      </w:r>
      <w:r w:rsidR="0013325D" w:rsidRPr="0083147A">
        <w:rPr>
          <w:rFonts w:ascii="Book Antiqua" w:hAnsi="Book Antiqua"/>
        </w:rPr>
        <w:t>Alpha</w:t>
      </w:r>
      <w:r w:rsidRPr="0083147A">
        <w:rPr>
          <w:rFonts w:ascii="Book Antiqua" w:hAnsi="Book Antiqua"/>
        </w:rPr>
        <w:t xml:space="preserve">-fetoprotein; BCLC: Barcelona Clinic Liver Cancer; </w:t>
      </w:r>
      <w:r w:rsidR="00AC52EB" w:rsidRPr="0083147A">
        <w:rPr>
          <w:rFonts w:ascii="Book Antiqua" w:hAnsi="Book Antiqua"/>
        </w:rPr>
        <w:t>DCP</w:t>
      </w:r>
      <w:r w:rsidRPr="0083147A">
        <w:rPr>
          <w:rFonts w:ascii="Book Antiqua" w:hAnsi="Book Antiqua"/>
        </w:rPr>
        <w:t xml:space="preserve">: </w:t>
      </w:r>
      <w:r w:rsidR="0013325D" w:rsidRPr="0083147A">
        <w:rPr>
          <w:rFonts w:ascii="Book Antiqua" w:hAnsi="Book Antiqua"/>
        </w:rPr>
        <w:t>Des</w:t>
      </w:r>
      <w:r w:rsidR="00AC52EB" w:rsidRPr="0083147A">
        <w:rPr>
          <w:rFonts w:ascii="Book Antiqua" w:hAnsi="Book Antiqua"/>
        </w:rPr>
        <w:t>-gamma-</w:t>
      </w:r>
      <w:proofErr w:type="spellStart"/>
      <w:r w:rsidR="00AC52EB" w:rsidRPr="0083147A">
        <w:rPr>
          <w:rFonts w:ascii="Book Antiqua" w:hAnsi="Book Antiqua"/>
        </w:rPr>
        <w:t>carboxy</w:t>
      </w:r>
      <w:proofErr w:type="spellEnd"/>
      <w:r w:rsidR="00AC52EB" w:rsidRPr="0083147A">
        <w:rPr>
          <w:rFonts w:ascii="Book Antiqua" w:hAnsi="Book Antiqua"/>
        </w:rPr>
        <w:t xml:space="preserve"> prothrombin</w:t>
      </w:r>
      <w:r w:rsidRPr="0083147A">
        <w:rPr>
          <w:rFonts w:ascii="Book Antiqua" w:hAnsi="Book Antiqua"/>
        </w:rPr>
        <w:t xml:space="preserve">; HCV: </w:t>
      </w:r>
      <w:r w:rsidR="0013325D" w:rsidRPr="0083147A">
        <w:rPr>
          <w:rFonts w:ascii="Book Antiqua" w:hAnsi="Book Antiqua"/>
        </w:rPr>
        <w:t xml:space="preserve">Hepatitis </w:t>
      </w:r>
      <w:r w:rsidRPr="0083147A">
        <w:rPr>
          <w:rFonts w:ascii="Book Antiqua" w:hAnsi="Book Antiqua"/>
        </w:rPr>
        <w:t xml:space="preserve">C virus; </w:t>
      </w:r>
      <w:r w:rsidR="00D875F9" w:rsidRPr="0083147A">
        <w:rPr>
          <w:rFonts w:ascii="Book Antiqua" w:hAnsi="Book Antiqua"/>
        </w:rPr>
        <w:t xml:space="preserve">HBV: </w:t>
      </w:r>
      <w:r w:rsidR="0013325D" w:rsidRPr="0083147A">
        <w:rPr>
          <w:rFonts w:ascii="Book Antiqua" w:hAnsi="Book Antiqua"/>
        </w:rPr>
        <w:t xml:space="preserve">Hepatitis </w:t>
      </w:r>
      <w:r w:rsidR="00D875F9" w:rsidRPr="0083147A">
        <w:rPr>
          <w:rFonts w:ascii="Book Antiqua" w:hAnsi="Book Antiqua"/>
        </w:rPr>
        <w:t>B virus</w:t>
      </w:r>
      <w:r w:rsidR="00FD1EB1">
        <w:rPr>
          <w:rFonts w:ascii="Book Antiqua" w:eastAsia="SimSun" w:hAnsi="Book Antiqua" w:hint="eastAsia"/>
          <w:lang w:eastAsia="zh-CN"/>
        </w:rPr>
        <w:t>.</w:t>
      </w:r>
    </w:p>
    <w:p w:rsidR="000A316B" w:rsidRDefault="000A316B">
      <w:pPr>
        <w:widowControl/>
        <w:jc w:val="left"/>
        <w:rPr>
          <w:rFonts w:ascii="Book Antiqua" w:eastAsia="Arial Unicode MS" w:hAnsi="Book Antiqua" w:cs="Times New Roman"/>
          <w:b/>
          <w:bCs/>
          <w:color w:val="000000" w:themeColor="text1"/>
          <w:kern w:val="24"/>
        </w:rPr>
      </w:pPr>
      <w:r>
        <w:rPr>
          <w:rFonts w:ascii="Book Antiqua" w:eastAsia="Arial Unicode MS" w:hAnsi="Book Antiqua" w:cs="Times New Roman"/>
          <w:b/>
          <w:bCs/>
          <w:color w:val="000000" w:themeColor="text1"/>
          <w:kern w:val="24"/>
        </w:rPr>
        <w:br w:type="page"/>
      </w:r>
    </w:p>
    <w:p w:rsidR="00AC52EB" w:rsidRPr="0083147A" w:rsidRDefault="00AC52EB" w:rsidP="00946207">
      <w:pPr>
        <w:widowControl/>
        <w:spacing w:line="360" w:lineRule="auto"/>
        <w:outlineLvl w:val="0"/>
        <w:rPr>
          <w:rFonts w:ascii="Book Antiqua" w:eastAsia="MS PGothic" w:hAnsi="Book Antiqua" w:cs="MS PGothic"/>
          <w:kern w:val="0"/>
          <w:lang w:eastAsia="zh-CN"/>
        </w:rPr>
      </w:pPr>
      <w:r w:rsidRPr="0083147A">
        <w:rPr>
          <w:rFonts w:ascii="Book Antiqua" w:eastAsia="Arial Unicode MS" w:hAnsi="Book Antiqua" w:cs="Times New Roman"/>
          <w:b/>
          <w:bCs/>
          <w:color w:val="000000" w:themeColor="text1"/>
          <w:kern w:val="24"/>
        </w:rPr>
        <w:lastRenderedPageBreak/>
        <w:t>Table 2</w:t>
      </w:r>
      <w:r w:rsidRPr="0083147A">
        <w:rPr>
          <w:rFonts w:ascii="Book Antiqua" w:eastAsia="Arial Unicode MS" w:hAnsi="Book Antiqua" w:cs="Times New Roman"/>
          <w:bCs/>
          <w:color w:val="000000" w:themeColor="text1"/>
          <w:kern w:val="24"/>
        </w:rPr>
        <w:t xml:space="preserve"> </w:t>
      </w:r>
      <w:r w:rsidRPr="0083147A">
        <w:rPr>
          <w:rFonts w:ascii="Book Antiqua" w:eastAsia="Arial Unicode MS" w:hAnsi="Book Antiqua" w:cs="Times New Roman"/>
          <w:b/>
          <w:bCs/>
          <w:color w:val="000000" w:themeColor="text1"/>
          <w:kern w:val="24"/>
        </w:rPr>
        <w:t>Adverse events according to CTCAE v4.0</w:t>
      </w:r>
      <w:r w:rsidR="000A316B">
        <w:rPr>
          <w:rFonts w:ascii="Book Antiqua" w:eastAsia="Arial Unicode MS" w:hAnsi="Book Antiqua" w:cs="Times New Roman" w:hint="eastAsia"/>
          <w:b/>
          <w:bCs/>
          <w:color w:val="000000" w:themeColor="text1"/>
          <w:kern w:val="24"/>
          <w:lang w:eastAsia="zh-CN"/>
        </w:rPr>
        <w:t xml:space="preserve"> </w:t>
      </w:r>
      <w:r w:rsidR="000A316B" w:rsidRPr="000A316B">
        <w:rPr>
          <w:rFonts w:ascii="Book Antiqua" w:eastAsia="Helvetica" w:hAnsi="Book Antiqua" w:cs="Times New Roman"/>
          <w:b/>
          <w:i/>
          <w:color w:val="000000"/>
          <w:kern w:val="0"/>
        </w:rPr>
        <w:t>n</w:t>
      </w:r>
      <w:r w:rsidR="000A316B" w:rsidRPr="0083147A">
        <w:rPr>
          <w:rFonts w:ascii="Book Antiqua" w:eastAsia="Helvetica" w:hAnsi="Book Antiqua" w:cs="Times New Roman"/>
          <w:b/>
          <w:color w:val="000000"/>
          <w:kern w:val="0"/>
        </w:rPr>
        <w:t xml:space="preserve"> (%)</w:t>
      </w:r>
    </w:p>
    <w:tbl>
      <w:tblPr>
        <w:tblW w:w="7529" w:type="dxa"/>
        <w:tblCellMar>
          <w:left w:w="0" w:type="dxa"/>
          <w:right w:w="0" w:type="dxa"/>
        </w:tblCellMar>
        <w:tblLook w:val="0600" w:firstRow="0" w:lastRow="0" w:firstColumn="0" w:lastColumn="0" w:noHBand="1" w:noVBand="1"/>
      </w:tblPr>
      <w:tblGrid>
        <w:gridCol w:w="3173"/>
        <w:gridCol w:w="1089"/>
        <w:gridCol w:w="1089"/>
        <w:gridCol w:w="1089"/>
        <w:gridCol w:w="1089"/>
      </w:tblGrid>
      <w:tr w:rsidR="00AC52EB" w:rsidRPr="0083147A" w:rsidTr="005E7289">
        <w:trPr>
          <w:trHeight w:val="637"/>
        </w:trPr>
        <w:tc>
          <w:tcPr>
            <w:tcW w:w="3173"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Arial Unicode MS" w:hAnsi="Book Antiqua" w:cs="Times New Roman"/>
                <w:b/>
                <w:kern w:val="0"/>
              </w:rPr>
            </w:pPr>
            <w:r w:rsidRPr="0083147A">
              <w:rPr>
                <w:rFonts w:ascii="Book Antiqua" w:eastAsia="Arial Unicode MS" w:hAnsi="Book Antiqua" w:cs="Times New Roman"/>
                <w:b/>
                <w:color w:val="000000"/>
                <w:kern w:val="0"/>
              </w:rPr>
              <w:t>Adverse events</w:t>
            </w:r>
          </w:p>
        </w:tc>
        <w:tc>
          <w:tcPr>
            <w:tcW w:w="1089"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b/>
                <w:kern w:val="0"/>
              </w:rPr>
            </w:pPr>
            <w:r w:rsidRPr="0083147A">
              <w:rPr>
                <w:rFonts w:ascii="Book Antiqua" w:eastAsia="Helvetica" w:hAnsi="Book Antiqua" w:cs="Times New Roman"/>
                <w:b/>
                <w:color w:val="000000"/>
                <w:kern w:val="0"/>
              </w:rPr>
              <w:t>Grade 1</w:t>
            </w:r>
          </w:p>
        </w:tc>
        <w:tc>
          <w:tcPr>
            <w:tcW w:w="1089"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b/>
                <w:kern w:val="0"/>
              </w:rPr>
            </w:pPr>
            <w:r w:rsidRPr="0083147A">
              <w:rPr>
                <w:rFonts w:ascii="Book Antiqua" w:eastAsia="Helvetica" w:hAnsi="Book Antiqua" w:cs="Times New Roman"/>
                <w:b/>
                <w:color w:val="000000"/>
                <w:kern w:val="0"/>
              </w:rPr>
              <w:t>Grade 2</w:t>
            </w:r>
          </w:p>
        </w:tc>
        <w:tc>
          <w:tcPr>
            <w:tcW w:w="1089"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b/>
                <w:kern w:val="0"/>
              </w:rPr>
            </w:pPr>
            <w:r w:rsidRPr="0083147A">
              <w:rPr>
                <w:rFonts w:ascii="Book Antiqua" w:eastAsia="Helvetica" w:hAnsi="Book Antiqua" w:cs="Times New Roman"/>
                <w:b/>
                <w:color w:val="000000"/>
                <w:kern w:val="0"/>
              </w:rPr>
              <w:t>Grade 3</w:t>
            </w:r>
          </w:p>
        </w:tc>
        <w:tc>
          <w:tcPr>
            <w:tcW w:w="1089"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b/>
                <w:kern w:val="0"/>
              </w:rPr>
            </w:pPr>
            <w:r w:rsidRPr="0083147A">
              <w:rPr>
                <w:rFonts w:ascii="Book Antiqua" w:eastAsia="Helvetica" w:hAnsi="Book Antiqua" w:cs="Times New Roman"/>
                <w:b/>
                <w:color w:val="000000"/>
                <w:kern w:val="0"/>
              </w:rPr>
              <w:t>All</w:t>
            </w:r>
          </w:p>
        </w:tc>
      </w:tr>
      <w:tr w:rsidR="00AC52EB" w:rsidRPr="0083147A" w:rsidTr="005E7289">
        <w:trPr>
          <w:trHeight w:val="378"/>
        </w:trPr>
        <w:tc>
          <w:tcPr>
            <w:tcW w:w="3173"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hAnsi="Book Antiqua" w:cs="Times New Roman"/>
                <w:kern w:val="0"/>
              </w:rPr>
            </w:pPr>
            <w:r w:rsidRPr="0083147A">
              <w:rPr>
                <w:rFonts w:ascii="Book Antiqua" w:hAnsi="Book Antiqua" w:cs="Times New Roman"/>
                <w:kern w:val="0"/>
              </w:rPr>
              <w:t>MKI-associated HFSR</w:t>
            </w:r>
          </w:p>
        </w:tc>
        <w:tc>
          <w:tcPr>
            <w:tcW w:w="1089"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11 (27)</w:t>
            </w:r>
          </w:p>
        </w:tc>
        <w:tc>
          <w:tcPr>
            <w:tcW w:w="1089"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6 (15)</w:t>
            </w:r>
          </w:p>
        </w:tc>
        <w:tc>
          <w:tcPr>
            <w:tcW w:w="1089"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5 (13)</w:t>
            </w:r>
          </w:p>
        </w:tc>
        <w:tc>
          <w:tcPr>
            <w:tcW w:w="1089"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22 (55)</w:t>
            </w:r>
          </w:p>
        </w:tc>
      </w:tr>
      <w:tr w:rsidR="00AC52EB" w:rsidRPr="0083147A" w:rsidTr="005E7289">
        <w:trPr>
          <w:trHeight w:val="358"/>
        </w:trPr>
        <w:tc>
          <w:tcPr>
            <w:tcW w:w="3173"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Anemia</w:t>
            </w:r>
          </w:p>
        </w:tc>
        <w:tc>
          <w:tcPr>
            <w:tcW w:w="1089"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10 (25)</w:t>
            </w:r>
          </w:p>
        </w:tc>
        <w:tc>
          <w:tcPr>
            <w:tcW w:w="1089"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4 (10)</w:t>
            </w:r>
          </w:p>
        </w:tc>
        <w:tc>
          <w:tcPr>
            <w:tcW w:w="1089"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0 (0)</w:t>
            </w:r>
          </w:p>
        </w:tc>
        <w:tc>
          <w:tcPr>
            <w:tcW w:w="1089"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14 (35)</w:t>
            </w:r>
          </w:p>
        </w:tc>
      </w:tr>
      <w:tr w:rsidR="00AC52EB" w:rsidRPr="0083147A" w:rsidTr="005E7289">
        <w:trPr>
          <w:trHeight w:val="358"/>
        </w:trPr>
        <w:tc>
          <w:tcPr>
            <w:tcW w:w="3173"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Hypertension</w:t>
            </w:r>
          </w:p>
        </w:tc>
        <w:tc>
          <w:tcPr>
            <w:tcW w:w="1089"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 xml:space="preserve"> 7 (17)</w:t>
            </w:r>
          </w:p>
        </w:tc>
        <w:tc>
          <w:tcPr>
            <w:tcW w:w="1089"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5 (13)</w:t>
            </w:r>
          </w:p>
        </w:tc>
        <w:tc>
          <w:tcPr>
            <w:tcW w:w="1089"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0 (0)</w:t>
            </w:r>
          </w:p>
        </w:tc>
        <w:tc>
          <w:tcPr>
            <w:tcW w:w="1089"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12 (30)</w:t>
            </w:r>
          </w:p>
        </w:tc>
      </w:tr>
      <w:tr w:rsidR="00AC52EB" w:rsidRPr="0083147A" w:rsidTr="005E7289">
        <w:trPr>
          <w:trHeight w:val="443"/>
        </w:trPr>
        <w:tc>
          <w:tcPr>
            <w:tcW w:w="3173"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Anorexia</w:t>
            </w:r>
          </w:p>
        </w:tc>
        <w:tc>
          <w:tcPr>
            <w:tcW w:w="1089"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 xml:space="preserve"> 7 (17)</w:t>
            </w:r>
          </w:p>
        </w:tc>
        <w:tc>
          <w:tcPr>
            <w:tcW w:w="1089"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4 (10)</w:t>
            </w:r>
          </w:p>
        </w:tc>
        <w:tc>
          <w:tcPr>
            <w:tcW w:w="1089"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1 (3)</w:t>
            </w:r>
          </w:p>
        </w:tc>
        <w:tc>
          <w:tcPr>
            <w:tcW w:w="1089"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12 (30)</w:t>
            </w:r>
          </w:p>
        </w:tc>
      </w:tr>
      <w:tr w:rsidR="00AC52EB" w:rsidRPr="0083147A" w:rsidTr="005E7289">
        <w:trPr>
          <w:trHeight w:val="443"/>
        </w:trPr>
        <w:tc>
          <w:tcPr>
            <w:tcW w:w="3173"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Decreased platelet count</w:t>
            </w:r>
          </w:p>
        </w:tc>
        <w:tc>
          <w:tcPr>
            <w:tcW w:w="1089"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 xml:space="preserve"> 4 (10)</w:t>
            </w:r>
          </w:p>
        </w:tc>
        <w:tc>
          <w:tcPr>
            <w:tcW w:w="1089"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4 (10)</w:t>
            </w:r>
          </w:p>
        </w:tc>
        <w:tc>
          <w:tcPr>
            <w:tcW w:w="1089"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4 (10)</w:t>
            </w:r>
          </w:p>
        </w:tc>
        <w:tc>
          <w:tcPr>
            <w:tcW w:w="1089"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12 (30)</w:t>
            </w:r>
          </w:p>
        </w:tc>
      </w:tr>
      <w:tr w:rsidR="00AC52EB" w:rsidRPr="0083147A" w:rsidTr="005E7289">
        <w:trPr>
          <w:trHeight w:val="393"/>
        </w:trPr>
        <w:tc>
          <w:tcPr>
            <w:tcW w:w="3173"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Alopecia</w:t>
            </w:r>
          </w:p>
        </w:tc>
        <w:tc>
          <w:tcPr>
            <w:tcW w:w="1089"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 xml:space="preserve"> 9 (22)</w:t>
            </w:r>
          </w:p>
        </w:tc>
        <w:tc>
          <w:tcPr>
            <w:tcW w:w="1089"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1 (3)</w:t>
            </w:r>
          </w:p>
        </w:tc>
        <w:tc>
          <w:tcPr>
            <w:tcW w:w="1089"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0 (0)</w:t>
            </w:r>
          </w:p>
        </w:tc>
        <w:tc>
          <w:tcPr>
            <w:tcW w:w="1089" w:type="dxa"/>
            <w:tcBorders>
              <w:top w:val="nil"/>
              <w:left w:val="nil"/>
              <w:bottom w:val="nil"/>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10 (25)</w:t>
            </w:r>
          </w:p>
        </w:tc>
      </w:tr>
      <w:tr w:rsidR="00AC52EB" w:rsidRPr="0083147A" w:rsidTr="005E7289">
        <w:trPr>
          <w:trHeight w:val="362"/>
        </w:trPr>
        <w:tc>
          <w:tcPr>
            <w:tcW w:w="3173"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Diarrhea</w:t>
            </w:r>
          </w:p>
        </w:tc>
        <w:tc>
          <w:tcPr>
            <w:tcW w:w="1089"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 xml:space="preserve"> 5 (13)</w:t>
            </w:r>
          </w:p>
        </w:tc>
        <w:tc>
          <w:tcPr>
            <w:tcW w:w="1089"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0 (0)</w:t>
            </w:r>
          </w:p>
        </w:tc>
        <w:tc>
          <w:tcPr>
            <w:tcW w:w="1089"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2 (4)</w:t>
            </w:r>
          </w:p>
        </w:tc>
        <w:tc>
          <w:tcPr>
            <w:tcW w:w="1089"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rsidR="00AC52EB" w:rsidRPr="0083147A" w:rsidRDefault="00AC52EB" w:rsidP="00946207">
            <w:pPr>
              <w:widowControl/>
              <w:spacing w:line="360" w:lineRule="auto"/>
              <w:textAlignment w:val="center"/>
              <w:rPr>
                <w:rFonts w:ascii="Book Antiqua" w:eastAsia="MS PGothic" w:hAnsi="Book Antiqua" w:cs="Times New Roman"/>
                <w:kern w:val="0"/>
              </w:rPr>
            </w:pPr>
            <w:r w:rsidRPr="0083147A">
              <w:rPr>
                <w:rFonts w:ascii="Book Antiqua" w:eastAsia="Helvetica" w:hAnsi="Book Antiqua" w:cs="Times New Roman"/>
                <w:color w:val="000000"/>
                <w:kern w:val="0"/>
              </w:rPr>
              <w:t xml:space="preserve"> 7 (17)</w:t>
            </w:r>
          </w:p>
        </w:tc>
      </w:tr>
    </w:tbl>
    <w:p w:rsidR="00AC52EB" w:rsidRPr="000A316B" w:rsidRDefault="00D875F9" w:rsidP="00946207">
      <w:pPr>
        <w:spacing w:line="360" w:lineRule="auto"/>
        <w:rPr>
          <w:rFonts w:ascii="Book Antiqua" w:eastAsia="SimSun" w:hAnsi="Book Antiqua"/>
          <w:lang w:eastAsia="zh-CN"/>
        </w:rPr>
      </w:pPr>
      <w:r w:rsidRPr="0083147A">
        <w:rPr>
          <w:rFonts w:ascii="Book Antiqua" w:hAnsi="Book Antiqua" w:cs="Times New Roman"/>
          <w:kern w:val="0"/>
        </w:rPr>
        <w:t xml:space="preserve">MKI-associated HFSR: </w:t>
      </w:r>
      <w:proofErr w:type="spellStart"/>
      <w:r w:rsidR="000A316B" w:rsidRPr="0083147A">
        <w:rPr>
          <w:rFonts w:ascii="Book Antiqua" w:hAnsi="Book Antiqua" w:cs="Times New Roman"/>
          <w:kern w:val="0"/>
        </w:rPr>
        <w:t>Multikinase</w:t>
      </w:r>
      <w:proofErr w:type="spellEnd"/>
      <w:r w:rsidR="000A316B" w:rsidRPr="0083147A">
        <w:rPr>
          <w:rFonts w:ascii="Book Antiqua" w:hAnsi="Book Antiqua" w:cs="Times New Roman"/>
          <w:kern w:val="0"/>
        </w:rPr>
        <w:t xml:space="preserve"> </w:t>
      </w:r>
      <w:r w:rsidRPr="0083147A">
        <w:rPr>
          <w:rFonts w:ascii="Book Antiqua" w:hAnsi="Book Antiqua" w:cs="Times New Roman"/>
          <w:kern w:val="0"/>
        </w:rPr>
        <w:t>inhibitor-associated hand-foot skin reaction</w:t>
      </w:r>
      <w:r w:rsidR="000A316B">
        <w:rPr>
          <w:rFonts w:ascii="Book Antiqua" w:eastAsia="SimSun" w:hAnsi="Book Antiqua" w:cs="Times New Roman" w:hint="eastAsia"/>
          <w:kern w:val="0"/>
          <w:lang w:eastAsia="zh-CN"/>
        </w:rPr>
        <w:t>.</w:t>
      </w:r>
    </w:p>
    <w:p w:rsidR="00AC52EB" w:rsidRPr="000A316B" w:rsidRDefault="00AC52EB" w:rsidP="00946207">
      <w:pPr>
        <w:spacing w:line="360" w:lineRule="auto"/>
        <w:rPr>
          <w:rFonts w:ascii="Book Antiqua" w:eastAsia="MS PGothic" w:hAnsi="Book Antiqua" w:cs="Times New Roman"/>
          <w:kern w:val="0"/>
        </w:rPr>
      </w:pPr>
    </w:p>
    <w:p w:rsidR="004F2790" w:rsidRDefault="004F2790">
      <w:pPr>
        <w:widowControl/>
        <w:jc w:val="left"/>
        <w:rPr>
          <w:rFonts w:ascii="Book Antiqua" w:eastAsia="MS PGothic" w:hAnsi="Book Antiqua" w:cs="Times New Roman"/>
          <w:kern w:val="0"/>
        </w:rPr>
      </w:pPr>
      <w:r>
        <w:rPr>
          <w:rFonts w:ascii="Book Antiqua" w:eastAsia="MS PGothic" w:hAnsi="Book Antiqua" w:cs="Times New Roman"/>
          <w:kern w:val="0"/>
        </w:rPr>
        <w:br w:type="page"/>
      </w:r>
    </w:p>
    <w:p w:rsidR="009034F6" w:rsidRPr="0083147A" w:rsidRDefault="009034F6" w:rsidP="00946207">
      <w:pPr>
        <w:spacing w:line="360" w:lineRule="auto"/>
        <w:outlineLvl w:val="0"/>
        <w:rPr>
          <w:rFonts w:ascii="Book Antiqua" w:hAnsi="Book Antiqua"/>
        </w:rPr>
      </w:pPr>
      <w:r w:rsidRPr="0083147A">
        <w:rPr>
          <w:rFonts w:ascii="Book Antiqua" w:hAnsi="Book Antiqua"/>
          <w:b/>
        </w:rPr>
        <w:lastRenderedPageBreak/>
        <w:t>Table 3</w:t>
      </w:r>
      <w:r w:rsidRPr="0083147A">
        <w:rPr>
          <w:rFonts w:ascii="Book Antiqua" w:hAnsi="Book Antiqua"/>
        </w:rPr>
        <w:t xml:space="preserve"> </w:t>
      </w:r>
      <w:r w:rsidRPr="0083147A">
        <w:rPr>
          <w:rFonts w:ascii="Book Antiqua" w:hAnsi="Book Antiqua"/>
          <w:b/>
        </w:rPr>
        <w:t>Univariate and mul</w:t>
      </w:r>
      <w:r w:rsidR="00006ACC" w:rsidRPr="0083147A">
        <w:rPr>
          <w:rFonts w:ascii="Book Antiqua" w:hAnsi="Book Antiqua"/>
          <w:b/>
        </w:rPr>
        <w:t xml:space="preserve">tivariate analyses of </w:t>
      </w:r>
      <w:r w:rsidRPr="0083147A">
        <w:rPr>
          <w:rFonts w:ascii="Book Antiqua" w:hAnsi="Book Antiqua"/>
          <w:b/>
        </w:rPr>
        <w:t>predictive factors for overall survival</w:t>
      </w:r>
    </w:p>
    <w:tbl>
      <w:tblPr>
        <w:tblW w:w="9214" w:type="dxa"/>
        <w:tblCellMar>
          <w:left w:w="99" w:type="dxa"/>
          <w:right w:w="99" w:type="dxa"/>
        </w:tblCellMar>
        <w:tblLook w:val="04A0" w:firstRow="1" w:lastRow="0" w:firstColumn="1" w:lastColumn="0" w:noHBand="0" w:noVBand="1"/>
      </w:tblPr>
      <w:tblGrid>
        <w:gridCol w:w="2977"/>
        <w:gridCol w:w="1134"/>
        <w:gridCol w:w="1134"/>
        <w:gridCol w:w="284"/>
        <w:gridCol w:w="1134"/>
        <w:gridCol w:w="1134"/>
        <w:gridCol w:w="1417"/>
      </w:tblGrid>
      <w:tr w:rsidR="009034F6" w:rsidRPr="0083147A" w:rsidTr="008263C5">
        <w:trPr>
          <w:trHeight w:val="360"/>
        </w:trPr>
        <w:tc>
          <w:tcPr>
            <w:tcW w:w="2977" w:type="dxa"/>
            <w:tcBorders>
              <w:top w:val="single" w:sz="8" w:space="0" w:color="auto"/>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　</w:t>
            </w:r>
          </w:p>
        </w:tc>
        <w:tc>
          <w:tcPr>
            <w:tcW w:w="2268" w:type="dxa"/>
            <w:gridSpan w:val="2"/>
            <w:tcBorders>
              <w:top w:val="single" w:sz="8" w:space="0" w:color="auto"/>
              <w:left w:val="nil"/>
              <w:bottom w:val="single" w:sz="8" w:space="0" w:color="auto"/>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b/>
                <w:bCs/>
                <w:color w:val="000000"/>
                <w:kern w:val="0"/>
              </w:rPr>
            </w:pPr>
            <w:r w:rsidRPr="0083147A">
              <w:rPr>
                <w:rFonts w:ascii="Book Antiqua" w:eastAsia="Arial Unicode MS" w:hAnsi="Book Antiqua" w:cs="Times New Roman"/>
                <w:b/>
                <w:bCs/>
                <w:color w:val="000000"/>
                <w:kern w:val="0"/>
              </w:rPr>
              <w:t>Univariate analysis</w:t>
            </w:r>
          </w:p>
        </w:tc>
        <w:tc>
          <w:tcPr>
            <w:tcW w:w="284" w:type="dxa"/>
            <w:tcBorders>
              <w:top w:val="single" w:sz="8" w:space="0" w:color="auto"/>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　</w:t>
            </w:r>
          </w:p>
        </w:tc>
        <w:tc>
          <w:tcPr>
            <w:tcW w:w="3685" w:type="dxa"/>
            <w:gridSpan w:val="3"/>
            <w:tcBorders>
              <w:top w:val="single" w:sz="8" w:space="0" w:color="auto"/>
              <w:left w:val="nil"/>
              <w:bottom w:val="single" w:sz="8" w:space="0" w:color="auto"/>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b/>
                <w:bCs/>
                <w:color w:val="000000"/>
                <w:kern w:val="0"/>
              </w:rPr>
            </w:pPr>
            <w:r w:rsidRPr="0083147A">
              <w:rPr>
                <w:rFonts w:ascii="Book Antiqua" w:eastAsia="Arial Unicode MS" w:hAnsi="Book Antiqua" w:cs="Times New Roman"/>
                <w:b/>
                <w:bCs/>
                <w:color w:val="000000"/>
                <w:kern w:val="0"/>
              </w:rPr>
              <w:t>Multivariate analysis</w:t>
            </w:r>
          </w:p>
        </w:tc>
      </w:tr>
      <w:tr w:rsidR="009034F6" w:rsidRPr="0083147A" w:rsidTr="008263C5">
        <w:trPr>
          <w:trHeight w:val="345"/>
        </w:trPr>
        <w:tc>
          <w:tcPr>
            <w:tcW w:w="2977" w:type="dxa"/>
            <w:tcBorders>
              <w:top w:val="nil"/>
              <w:left w:val="nil"/>
              <w:bottom w:val="single" w:sz="8" w:space="0" w:color="auto"/>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　</w:t>
            </w:r>
          </w:p>
        </w:tc>
        <w:tc>
          <w:tcPr>
            <w:tcW w:w="1134" w:type="dxa"/>
            <w:tcBorders>
              <w:top w:val="nil"/>
              <w:left w:val="nil"/>
              <w:bottom w:val="single" w:sz="8" w:space="0" w:color="auto"/>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b/>
                <w:bCs/>
                <w:color w:val="000000"/>
                <w:kern w:val="0"/>
              </w:rPr>
            </w:pPr>
            <w:r w:rsidRPr="0083147A">
              <w:rPr>
                <w:rFonts w:ascii="Book Antiqua" w:eastAsia="Arial Unicode MS" w:hAnsi="Book Antiqua" w:cs="Times New Roman"/>
                <w:b/>
                <w:bCs/>
                <w:color w:val="000000"/>
                <w:kern w:val="0"/>
              </w:rPr>
              <w:t>HR</w:t>
            </w:r>
          </w:p>
        </w:tc>
        <w:tc>
          <w:tcPr>
            <w:tcW w:w="1134" w:type="dxa"/>
            <w:tcBorders>
              <w:top w:val="nil"/>
              <w:left w:val="nil"/>
              <w:bottom w:val="single" w:sz="8" w:space="0" w:color="auto"/>
              <w:right w:val="nil"/>
            </w:tcBorders>
            <w:shd w:val="clear" w:color="auto" w:fill="auto"/>
            <w:noWrap/>
            <w:vAlign w:val="center"/>
            <w:hideMark/>
          </w:tcPr>
          <w:p w:rsidR="009034F6" w:rsidRPr="0083147A" w:rsidRDefault="004D466F" w:rsidP="00946207">
            <w:pPr>
              <w:widowControl/>
              <w:spacing w:line="360" w:lineRule="auto"/>
              <w:rPr>
                <w:rFonts w:ascii="Book Antiqua" w:eastAsia="Arial Unicode MS" w:hAnsi="Book Antiqua" w:cs="Times New Roman"/>
                <w:b/>
                <w:bCs/>
                <w:color w:val="000000"/>
                <w:kern w:val="0"/>
              </w:rPr>
            </w:pPr>
            <w:r w:rsidRPr="0013325D">
              <w:rPr>
                <w:rFonts w:ascii="Book Antiqua" w:eastAsia="Arial Unicode MS" w:hAnsi="Book Antiqua" w:cs="Times New Roman"/>
                <w:b/>
                <w:bCs/>
                <w:i/>
                <w:color w:val="000000"/>
                <w:kern w:val="0"/>
              </w:rPr>
              <w:t>P</w:t>
            </w:r>
            <w:r w:rsidR="009034F6" w:rsidRPr="0083147A">
              <w:rPr>
                <w:rFonts w:ascii="Book Antiqua" w:eastAsia="Arial Unicode MS" w:hAnsi="Book Antiqua" w:cs="Times New Roman"/>
                <w:b/>
                <w:bCs/>
                <w:color w:val="000000"/>
                <w:kern w:val="0"/>
              </w:rPr>
              <w:t>-value</w:t>
            </w:r>
          </w:p>
        </w:tc>
        <w:tc>
          <w:tcPr>
            <w:tcW w:w="284" w:type="dxa"/>
            <w:tcBorders>
              <w:top w:val="nil"/>
              <w:left w:val="nil"/>
              <w:bottom w:val="single" w:sz="8" w:space="0" w:color="auto"/>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b/>
                <w:bCs/>
                <w:color w:val="000000"/>
                <w:kern w:val="0"/>
              </w:rPr>
            </w:pPr>
            <w:r w:rsidRPr="0083147A">
              <w:rPr>
                <w:rFonts w:ascii="Book Antiqua" w:eastAsia="Arial Unicode MS" w:hAnsi="Book Antiqua" w:cs="Times New Roman"/>
                <w:b/>
                <w:bCs/>
                <w:color w:val="000000"/>
                <w:kern w:val="0"/>
              </w:rPr>
              <w:t xml:space="preserve">　</w:t>
            </w:r>
          </w:p>
        </w:tc>
        <w:tc>
          <w:tcPr>
            <w:tcW w:w="1134" w:type="dxa"/>
            <w:tcBorders>
              <w:top w:val="nil"/>
              <w:left w:val="nil"/>
              <w:bottom w:val="single" w:sz="8" w:space="0" w:color="auto"/>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b/>
                <w:bCs/>
                <w:color w:val="000000"/>
                <w:kern w:val="0"/>
              </w:rPr>
            </w:pPr>
            <w:r w:rsidRPr="0083147A">
              <w:rPr>
                <w:rFonts w:ascii="Book Antiqua" w:eastAsia="Arial Unicode MS" w:hAnsi="Book Antiqua" w:cs="Times New Roman"/>
                <w:b/>
                <w:bCs/>
                <w:color w:val="000000"/>
                <w:kern w:val="0"/>
              </w:rPr>
              <w:t>HR</w:t>
            </w:r>
          </w:p>
        </w:tc>
        <w:tc>
          <w:tcPr>
            <w:tcW w:w="1134" w:type="dxa"/>
            <w:tcBorders>
              <w:top w:val="nil"/>
              <w:left w:val="nil"/>
              <w:bottom w:val="single" w:sz="8" w:space="0" w:color="auto"/>
              <w:right w:val="nil"/>
            </w:tcBorders>
            <w:shd w:val="clear" w:color="auto" w:fill="auto"/>
            <w:noWrap/>
            <w:vAlign w:val="center"/>
            <w:hideMark/>
          </w:tcPr>
          <w:p w:rsidR="009034F6" w:rsidRPr="0083147A" w:rsidRDefault="004D466F" w:rsidP="00946207">
            <w:pPr>
              <w:widowControl/>
              <w:spacing w:line="360" w:lineRule="auto"/>
              <w:rPr>
                <w:rFonts w:ascii="Book Antiqua" w:eastAsia="Arial Unicode MS" w:hAnsi="Book Antiqua" w:cs="Times New Roman"/>
                <w:b/>
                <w:bCs/>
                <w:color w:val="000000"/>
                <w:kern w:val="0"/>
              </w:rPr>
            </w:pPr>
            <w:r w:rsidRPr="0013325D">
              <w:rPr>
                <w:rFonts w:ascii="Book Antiqua" w:eastAsia="Arial Unicode MS" w:hAnsi="Book Antiqua" w:cs="Times New Roman"/>
                <w:b/>
                <w:bCs/>
                <w:i/>
                <w:color w:val="000000"/>
                <w:kern w:val="0"/>
              </w:rPr>
              <w:t>P</w:t>
            </w:r>
            <w:r w:rsidR="009034F6" w:rsidRPr="0083147A">
              <w:rPr>
                <w:rFonts w:ascii="Book Antiqua" w:eastAsia="Arial Unicode MS" w:hAnsi="Book Antiqua" w:cs="Times New Roman"/>
                <w:b/>
                <w:bCs/>
                <w:color w:val="000000"/>
                <w:kern w:val="0"/>
              </w:rPr>
              <w:t>-value</w:t>
            </w:r>
          </w:p>
        </w:tc>
        <w:tc>
          <w:tcPr>
            <w:tcW w:w="1417" w:type="dxa"/>
            <w:tcBorders>
              <w:top w:val="nil"/>
              <w:left w:val="nil"/>
              <w:bottom w:val="single" w:sz="8" w:space="0" w:color="auto"/>
              <w:right w:val="nil"/>
            </w:tcBorders>
            <w:shd w:val="clear" w:color="auto" w:fill="auto"/>
            <w:noWrap/>
            <w:vAlign w:val="center"/>
            <w:hideMark/>
          </w:tcPr>
          <w:p w:rsidR="009034F6" w:rsidRPr="0083147A" w:rsidRDefault="009034F6" w:rsidP="0013325D">
            <w:pPr>
              <w:widowControl/>
              <w:spacing w:line="360" w:lineRule="auto"/>
              <w:rPr>
                <w:rFonts w:ascii="Book Antiqua" w:eastAsia="Arial Unicode MS" w:hAnsi="Book Antiqua" w:cs="Times New Roman"/>
                <w:b/>
                <w:bCs/>
                <w:color w:val="000000"/>
                <w:kern w:val="0"/>
              </w:rPr>
            </w:pPr>
            <w:r w:rsidRPr="0083147A">
              <w:rPr>
                <w:rFonts w:ascii="Book Antiqua" w:eastAsia="Arial Unicode MS" w:hAnsi="Book Antiqua" w:cs="Times New Roman"/>
                <w:b/>
                <w:bCs/>
                <w:color w:val="000000"/>
                <w:kern w:val="0"/>
              </w:rPr>
              <w:t>95%CI</w:t>
            </w:r>
          </w:p>
        </w:tc>
      </w:tr>
      <w:tr w:rsidR="009034F6" w:rsidRPr="0083147A" w:rsidTr="008263C5">
        <w:trPr>
          <w:trHeight w:val="330"/>
        </w:trPr>
        <w:tc>
          <w:tcPr>
            <w:tcW w:w="2977" w:type="dxa"/>
            <w:tcBorders>
              <w:top w:val="nil"/>
              <w:left w:val="nil"/>
              <w:bottom w:val="nil"/>
              <w:right w:val="nil"/>
            </w:tcBorders>
            <w:shd w:val="clear" w:color="auto" w:fill="auto"/>
            <w:noWrap/>
            <w:vAlign w:val="center"/>
            <w:hideMark/>
          </w:tcPr>
          <w:p w:rsidR="009034F6" w:rsidRPr="0083147A" w:rsidRDefault="009034F6" w:rsidP="0013325D">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Age (≥ 65 </w:t>
            </w:r>
            <w:proofErr w:type="spellStart"/>
            <w:r w:rsidR="0013325D">
              <w:rPr>
                <w:rFonts w:ascii="Book Antiqua" w:eastAsia="Arial Unicode MS" w:hAnsi="Book Antiqua" w:cs="Times New Roman" w:hint="eastAsia"/>
                <w:color w:val="000000"/>
                <w:kern w:val="0"/>
                <w:lang w:eastAsia="zh-CN"/>
              </w:rPr>
              <w:t>yr</w:t>
            </w:r>
            <w:proofErr w:type="spellEnd"/>
            <w:r w:rsidRPr="0083147A">
              <w:rPr>
                <w:rFonts w:ascii="Book Antiqua" w:eastAsia="Arial Unicode MS" w:hAnsi="Book Antiqua" w:cs="Times New Roman"/>
                <w:color w:val="000000"/>
                <w:kern w:val="0"/>
              </w:rPr>
              <w:t xml:space="preserve"> old)</w:t>
            </w:r>
          </w:p>
        </w:tc>
        <w:tc>
          <w:tcPr>
            <w:tcW w:w="113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0.494 </w:t>
            </w:r>
          </w:p>
        </w:tc>
        <w:tc>
          <w:tcPr>
            <w:tcW w:w="113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0.079 </w:t>
            </w:r>
          </w:p>
        </w:tc>
        <w:tc>
          <w:tcPr>
            <w:tcW w:w="28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p>
        </w:tc>
        <w:tc>
          <w:tcPr>
            <w:tcW w:w="113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Times New Roman" w:hAnsi="Book Antiqua" w:cs="Times New Roman"/>
                <w:kern w:val="0"/>
              </w:rPr>
            </w:pPr>
          </w:p>
        </w:tc>
        <w:tc>
          <w:tcPr>
            <w:tcW w:w="113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Times New Roman" w:hAnsi="Book Antiqua" w:cs="Times New Roman"/>
                <w:kern w:val="0"/>
              </w:rPr>
            </w:pPr>
          </w:p>
        </w:tc>
        <w:tc>
          <w:tcPr>
            <w:tcW w:w="1417"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Times New Roman" w:hAnsi="Book Antiqua" w:cs="Times New Roman"/>
                <w:kern w:val="0"/>
              </w:rPr>
            </w:pPr>
          </w:p>
        </w:tc>
      </w:tr>
      <w:tr w:rsidR="009034F6" w:rsidRPr="0083147A" w:rsidTr="008263C5">
        <w:trPr>
          <w:trHeight w:val="330"/>
        </w:trPr>
        <w:tc>
          <w:tcPr>
            <w:tcW w:w="2977"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Initial dose (800 mg)</w:t>
            </w:r>
          </w:p>
        </w:tc>
        <w:tc>
          <w:tcPr>
            <w:tcW w:w="113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1.635 </w:t>
            </w:r>
          </w:p>
        </w:tc>
        <w:tc>
          <w:tcPr>
            <w:tcW w:w="113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0.182 </w:t>
            </w:r>
          </w:p>
        </w:tc>
        <w:tc>
          <w:tcPr>
            <w:tcW w:w="28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p>
        </w:tc>
        <w:tc>
          <w:tcPr>
            <w:tcW w:w="113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p>
        </w:tc>
        <w:tc>
          <w:tcPr>
            <w:tcW w:w="113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p>
        </w:tc>
        <w:tc>
          <w:tcPr>
            <w:tcW w:w="1417"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p>
        </w:tc>
      </w:tr>
      <w:tr w:rsidR="009034F6" w:rsidRPr="0083147A" w:rsidTr="008263C5">
        <w:trPr>
          <w:trHeight w:val="330"/>
        </w:trPr>
        <w:tc>
          <w:tcPr>
            <w:tcW w:w="2977"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Early AFP response</w:t>
            </w:r>
          </w:p>
        </w:tc>
        <w:tc>
          <w:tcPr>
            <w:tcW w:w="113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0.834 </w:t>
            </w:r>
          </w:p>
        </w:tc>
        <w:tc>
          <w:tcPr>
            <w:tcW w:w="113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0.622 </w:t>
            </w:r>
          </w:p>
        </w:tc>
        <w:tc>
          <w:tcPr>
            <w:tcW w:w="28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p>
        </w:tc>
        <w:tc>
          <w:tcPr>
            <w:tcW w:w="113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Times New Roman" w:hAnsi="Book Antiqua" w:cs="Times New Roman"/>
                <w:kern w:val="0"/>
              </w:rPr>
            </w:pPr>
          </w:p>
        </w:tc>
        <w:tc>
          <w:tcPr>
            <w:tcW w:w="113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Times New Roman" w:hAnsi="Book Antiqua" w:cs="Times New Roman"/>
                <w:kern w:val="0"/>
              </w:rPr>
            </w:pPr>
          </w:p>
        </w:tc>
        <w:tc>
          <w:tcPr>
            <w:tcW w:w="1417"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Times New Roman" w:hAnsi="Book Antiqua" w:cs="Times New Roman"/>
                <w:kern w:val="0"/>
              </w:rPr>
            </w:pPr>
          </w:p>
        </w:tc>
      </w:tr>
      <w:tr w:rsidR="009034F6" w:rsidRPr="0083147A" w:rsidTr="008263C5">
        <w:trPr>
          <w:trHeight w:val="330"/>
        </w:trPr>
        <w:tc>
          <w:tcPr>
            <w:tcW w:w="2977"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AFP (&lt; 100 ng/dL)</w:t>
            </w:r>
          </w:p>
        </w:tc>
        <w:tc>
          <w:tcPr>
            <w:tcW w:w="113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0.756 </w:t>
            </w:r>
          </w:p>
        </w:tc>
        <w:tc>
          <w:tcPr>
            <w:tcW w:w="113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0.450 </w:t>
            </w:r>
          </w:p>
        </w:tc>
        <w:tc>
          <w:tcPr>
            <w:tcW w:w="28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p>
        </w:tc>
        <w:tc>
          <w:tcPr>
            <w:tcW w:w="113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Times New Roman" w:hAnsi="Book Antiqua" w:cs="Times New Roman"/>
                <w:kern w:val="0"/>
              </w:rPr>
            </w:pPr>
          </w:p>
        </w:tc>
        <w:tc>
          <w:tcPr>
            <w:tcW w:w="113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Times New Roman" w:hAnsi="Book Antiqua" w:cs="Times New Roman"/>
                <w:kern w:val="0"/>
              </w:rPr>
            </w:pPr>
          </w:p>
        </w:tc>
        <w:tc>
          <w:tcPr>
            <w:tcW w:w="1417"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Times New Roman" w:hAnsi="Book Antiqua" w:cs="Times New Roman"/>
                <w:kern w:val="0"/>
              </w:rPr>
            </w:pPr>
          </w:p>
        </w:tc>
      </w:tr>
      <w:tr w:rsidR="009034F6" w:rsidRPr="0083147A" w:rsidTr="008263C5">
        <w:trPr>
          <w:trHeight w:val="330"/>
        </w:trPr>
        <w:tc>
          <w:tcPr>
            <w:tcW w:w="2977"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DCP (&lt; 1000 </w:t>
            </w:r>
            <w:proofErr w:type="spellStart"/>
            <w:r w:rsidRPr="0083147A">
              <w:rPr>
                <w:rFonts w:ascii="Book Antiqua" w:eastAsia="Arial Unicode MS" w:hAnsi="Book Antiqua" w:cs="Times New Roman"/>
                <w:color w:val="000000"/>
                <w:kern w:val="0"/>
              </w:rPr>
              <w:t>mAU</w:t>
            </w:r>
            <w:proofErr w:type="spellEnd"/>
            <w:r w:rsidRPr="0083147A">
              <w:rPr>
                <w:rFonts w:ascii="Book Antiqua" w:eastAsia="Arial Unicode MS" w:hAnsi="Book Antiqua" w:cs="Times New Roman"/>
                <w:color w:val="000000"/>
                <w:kern w:val="0"/>
              </w:rPr>
              <w:t>/mL)</w:t>
            </w:r>
          </w:p>
        </w:tc>
        <w:tc>
          <w:tcPr>
            <w:tcW w:w="113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0.806 </w:t>
            </w:r>
          </w:p>
        </w:tc>
        <w:tc>
          <w:tcPr>
            <w:tcW w:w="113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0.554 </w:t>
            </w:r>
          </w:p>
        </w:tc>
        <w:tc>
          <w:tcPr>
            <w:tcW w:w="28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p>
        </w:tc>
        <w:tc>
          <w:tcPr>
            <w:tcW w:w="113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Times New Roman" w:hAnsi="Book Antiqua" w:cs="Times New Roman"/>
                <w:kern w:val="0"/>
              </w:rPr>
            </w:pPr>
          </w:p>
        </w:tc>
        <w:tc>
          <w:tcPr>
            <w:tcW w:w="113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Times New Roman" w:hAnsi="Book Antiqua" w:cs="Times New Roman"/>
                <w:kern w:val="0"/>
              </w:rPr>
            </w:pPr>
          </w:p>
        </w:tc>
        <w:tc>
          <w:tcPr>
            <w:tcW w:w="1417"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Times New Roman" w:hAnsi="Book Antiqua" w:cs="Times New Roman"/>
                <w:kern w:val="0"/>
              </w:rPr>
            </w:pPr>
          </w:p>
        </w:tc>
      </w:tr>
      <w:tr w:rsidR="009034F6" w:rsidRPr="0083147A" w:rsidTr="008263C5">
        <w:trPr>
          <w:trHeight w:val="330"/>
        </w:trPr>
        <w:tc>
          <w:tcPr>
            <w:tcW w:w="2977"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MKI-associated HFSR</w:t>
            </w:r>
          </w:p>
        </w:tc>
        <w:tc>
          <w:tcPr>
            <w:tcW w:w="113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0.224 </w:t>
            </w:r>
          </w:p>
        </w:tc>
        <w:tc>
          <w:tcPr>
            <w:tcW w:w="113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&lt; 0.001</w:t>
            </w:r>
          </w:p>
        </w:tc>
        <w:tc>
          <w:tcPr>
            <w:tcW w:w="28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p>
        </w:tc>
        <w:tc>
          <w:tcPr>
            <w:tcW w:w="113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0.241</w:t>
            </w:r>
          </w:p>
        </w:tc>
        <w:tc>
          <w:tcPr>
            <w:tcW w:w="113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0.001</w:t>
            </w:r>
          </w:p>
        </w:tc>
        <w:tc>
          <w:tcPr>
            <w:tcW w:w="1417"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0.102-0.567</w:t>
            </w:r>
          </w:p>
        </w:tc>
      </w:tr>
      <w:tr w:rsidR="009034F6" w:rsidRPr="0083147A" w:rsidTr="008263C5">
        <w:trPr>
          <w:trHeight w:val="330"/>
        </w:trPr>
        <w:tc>
          <w:tcPr>
            <w:tcW w:w="2977"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BCLC B</w:t>
            </w:r>
          </w:p>
        </w:tc>
        <w:tc>
          <w:tcPr>
            <w:tcW w:w="113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0.358 </w:t>
            </w:r>
          </w:p>
        </w:tc>
        <w:tc>
          <w:tcPr>
            <w:tcW w:w="113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0.013 </w:t>
            </w:r>
          </w:p>
        </w:tc>
        <w:tc>
          <w:tcPr>
            <w:tcW w:w="28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p>
        </w:tc>
        <w:tc>
          <w:tcPr>
            <w:tcW w:w="113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0.404</w:t>
            </w:r>
          </w:p>
        </w:tc>
        <w:tc>
          <w:tcPr>
            <w:tcW w:w="113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0.041</w:t>
            </w:r>
          </w:p>
        </w:tc>
        <w:tc>
          <w:tcPr>
            <w:tcW w:w="1417"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0.170-0.964</w:t>
            </w:r>
          </w:p>
        </w:tc>
      </w:tr>
      <w:tr w:rsidR="009034F6" w:rsidRPr="0083147A" w:rsidTr="008263C5">
        <w:trPr>
          <w:trHeight w:val="330"/>
        </w:trPr>
        <w:tc>
          <w:tcPr>
            <w:tcW w:w="2977" w:type="dxa"/>
            <w:tcBorders>
              <w:top w:val="nil"/>
              <w:left w:val="nil"/>
              <w:bottom w:val="nil"/>
              <w:right w:val="nil"/>
            </w:tcBorders>
            <w:shd w:val="clear" w:color="auto" w:fill="auto"/>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Hypertension</w:t>
            </w:r>
          </w:p>
        </w:tc>
        <w:tc>
          <w:tcPr>
            <w:tcW w:w="113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0.889 </w:t>
            </w:r>
          </w:p>
        </w:tc>
        <w:tc>
          <w:tcPr>
            <w:tcW w:w="113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0.756 </w:t>
            </w:r>
          </w:p>
        </w:tc>
        <w:tc>
          <w:tcPr>
            <w:tcW w:w="28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p>
        </w:tc>
        <w:tc>
          <w:tcPr>
            <w:tcW w:w="113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Times New Roman" w:hAnsi="Book Antiqua" w:cs="Times New Roman"/>
                <w:kern w:val="0"/>
              </w:rPr>
            </w:pPr>
          </w:p>
        </w:tc>
        <w:tc>
          <w:tcPr>
            <w:tcW w:w="113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Times New Roman" w:hAnsi="Book Antiqua" w:cs="Times New Roman"/>
                <w:kern w:val="0"/>
              </w:rPr>
            </w:pPr>
          </w:p>
        </w:tc>
        <w:tc>
          <w:tcPr>
            <w:tcW w:w="1417"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Times New Roman" w:hAnsi="Book Antiqua" w:cs="Times New Roman"/>
                <w:kern w:val="0"/>
              </w:rPr>
            </w:pPr>
          </w:p>
        </w:tc>
      </w:tr>
      <w:tr w:rsidR="009034F6" w:rsidRPr="0083147A" w:rsidTr="008263C5">
        <w:trPr>
          <w:trHeight w:val="330"/>
        </w:trPr>
        <w:tc>
          <w:tcPr>
            <w:tcW w:w="2977" w:type="dxa"/>
            <w:tcBorders>
              <w:top w:val="nil"/>
              <w:left w:val="nil"/>
              <w:bottom w:val="nil"/>
              <w:right w:val="nil"/>
            </w:tcBorders>
            <w:shd w:val="clear" w:color="auto" w:fill="auto"/>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Diarrhea</w:t>
            </w:r>
          </w:p>
        </w:tc>
        <w:tc>
          <w:tcPr>
            <w:tcW w:w="113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0.950 </w:t>
            </w:r>
          </w:p>
        </w:tc>
        <w:tc>
          <w:tcPr>
            <w:tcW w:w="113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0.911 </w:t>
            </w:r>
          </w:p>
        </w:tc>
        <w:tc>
          <w:tcPr>
            <w:tcW w:w="28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p>
        </w:tc>
        <w:tc>
          <w:tcPr>
            <w:tcW w:w="113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Times New Roman" w:hAnsi="Book Antiqua" w:cs="Times New Roman"/>
                <w:kern w:val="0"/>
              </w:rPr>
            </w:pPr>
          </w:p>
        </w:tc>
        <w:tc>
          <w:tcPr>
            <w:tcW w:w="113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Times New Roman" w:hAnsi="Book Antiqua" w:cs="Times New Roman"/>
                <w:kern w:val="0"/>
              </w:rPr>
            </w:pPr>
          </w:p>
        </w:tc>
        <w:tc>
          <w:tcPr>
            <w:tcW w:w="1417"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Times New Roman" w:hAnsi="Book Antiqua" w:cs="Times New Roman"/>
                <w:kern w:val="0"/>
              </w:rPr>
            </w:pPr>
          </w:p>
        </w:tc>
      </w:tr>
      <w:tr w:rsidR="009034F6" w:rsidRPr="0083147A" w:rsidTr="008263C5">
        <w:trPr>
          <w:trHeight w:val="330"/>
        </w:trPr>
        <w:tc>
          <w:tcPr>
            <w:tcW w:w="2977" w:type="dxa"/>
            <w:tcBorders>
              <w:top w:val="nil"/>
              <w:left w:val="nil"/>
              <w:bottom w:val="nil"/>
              <w:right w:val="nil"/>
            </w:tcBorders>
            <w:shd w:val="clear" w:color="auto" w:fill="auto"/>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Anorexia</w:t>
            </w:r>
          </w:p>
        </w:tc>
        <w:tc>
          <w:tcPr>
            <w:tcW w:w="113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1.671 </w:t>
            </w:r>
          </w:p>
        </w:tc>
        <w:tc>
          <w:tcPr>
            <w:tcW w:w="113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0.162 </w:t>
            </w:r>
          </w:p>
        </w:tc>
        <w:tc>
          <w:tcPr>
            <w:tcW w:w="28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p>
        </w:tc>
        <w:tc>
          <w:tcPr>
            <w:tcW w:w="113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Times New Roman" w:hAnsi="Book Antiqua" w:cs="Times New Roman"/>
                <w:kern w:val="0"/>
              </w:rPr>
            </w:pPr>
          </w:p>
        </w:tc>
        <w:tc>
          <w:tcPr>
            <w:tcW w:w="1134"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Times New Roman" w:hAnsi="Book Antiqua" w:cs="Times New Roman"/>
                <w:kern w:val="0"/>
              </w:rPr>
            </w:pPr>
          </w:p>
        </w:tc>
        <w:tc>
          <w:tcPr>
            <w:tcW w:w="1417" w:type="dxa"/>
            <w:tcBorders>
              <w:top w:val="nil"/>
              <w:left w:val="nil"/>
              <w:bottom w:val="nil"/>
              <w:right w:val="nil"/>
            </w:tcBorders>
            <w:shd w:val="clear" w:color="auto" w:fill="auto"/>
            <w:noWrap/>
            <w:vAlign w:val="center"/>
            <w:hideMark/>
          </w:tcPr>
          <w:p w:rsidR="009034F6" w:rsidRPr="0083147A" w:rsidRDefault="009034F6" w:rsidP="00946207">
            <w:pPr>
              <w:widowControl/>
              <w:spacing w:line="360" w:lineRule="auto"/>
              <w:rPr>
                <w:rFonts w:ascii="Book Antiqua" w:eastAsia="Times New Roman" w:hAnsi="Book Antiqua" w:cs="Times New Roman"/>
                <w:kern w:val="0"/>
              </w:rPr>
            </w:pPr>
          </w:p>
        </w:tc>
      </w:tr>
      <w:tr w:rsidR="009034F6" w:rsidRPr="0083147A" w:rsidTr="008263C5">
        <w:trPr>
          <w:trHeight w:val="345"/>
        </w:trPr>
        <w:tc>
          <w:tcPr>
            <w:tcW w:w="2977" w:type="dxa"/>
            <w:tcBorders>
              <w:top w:val="nil"/>
              <w:left w:val="nil"/>
              <w:bottom w:val="single" w:sz="8" w:space="0" w:color="auto"/>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Alopecia</w:t>
            </w:r>
          </w:p>
        </w:tc>
        <w:tc>
          <w:tcPr>
            <w:tcW w:w="1134" w:type="dxa"/>
            <w:tcBorders>
              <w:top w:val="nil"/>
              <w:left w:val="nil"/>
              <w:bottom w:val="single" w:sz="8" w:space="0" w:color="auto"/>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0.560 </w:t>
            </w:r>
          </w:p>
        </w:tc>
        <w:tc>
          <w:tcPr>
            <w:tcW w:w="1134" w:type="dxa"/>
            <w:tcBorders>
              <w:top w:val="nil"/>
              <w:left w:val="nil"/>
              <w:bottom w:val="single" w:sz="8" w:space="0" w:color="auto"/>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0.177 </w:t>
            </w:r>
          </w:p>
        </w:tc>
        <w:tc>
          <w:tcPr>
            <w:tcW w:w="284" w:type="dxa"/>
            <w:tcBorders>
              <w:top w:val="nil"/>
              <w:left w:val="nil"/>
              <w:bottom w:val="single" w:sz="8" w:space="0" w:color="auto"/>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　</w:t>
            </w:r>
          </w:p>
        </w:tc>
        <w:tc>
          <w:tcPr>
            <w:tcW w:w="1134" w:type="dxa"/>
            <w:tcBorders>
              <w:top w:val="nil"/>
              <w:left w:val="nil"/>
              <w:bottom w:val="single" w:sz="8" w:space="0" w:color="auto"/>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　</w:t>
            </w:r>
          </w:p>
        </w:tc>
        <w:tc>
          <w:tcPr>
            <w:tcW w:w="1134" w:type="dxa"/>
            <w:tcBorders>
              <w:top w:val="nil"/>
              <w:left w:val="nil"/>
              <w:bottom w:val="single" w:sz="8" w:space="0" w:color="auto"/>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　</w:t>
            </w:r>
          </w:p>
        </w:tc>
        <w:tc>
          <w:tcPr>
            <w:tcW w:w="1417" w:type="dxa"/>
            <w:tcBorders>
              <w:top w:val="nil"/>
              <w:left w:val="nil"/>
              <w:bottom w:val="single" w:sz="8" w:space="0" w:color="auto"/>
              <w:right w:val="nil"/>
            </w:tcBorders>
            <w:shd w:val="clear" w:color="auto" w:fill="auto"/>
            <w:noWrap/>
            <w:vAlign w:val="center"/>
            <w:hideMark/>
          </w:tcPr>
          <w:p w:rsidR="009034F6" w:rsidRPr="0083147A" w:rsidRDefault="009034F6"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　</w:t>
            </w:r>
          </w:p>
        </w:tc>
      </w:tr>
    </w:tbl>
    <w:p w:rsidR="009034F6" w:rsidRPr="00CC5675" w:rsidRDefault="00D875F9" w:rsidP="00946207">
      <w:pPr>
        <w:spacing w:line="360" w:lineRule="auto"/>
        <w:rPr>
          <w:rFonts w:ascii="Book Antiqua" w:eastAsia="SimSun" w:hAnsi="Book Antiqua" w:cs="Times New Roman"/>
          <w:lang w:eastAsia="zh-CN"/>
        </w:rPr>
      </w:pPr>
      <w:r w:rsidRPr="0083147A">
        <w:rPr>
          <w:rFonts w:ascii="Book Antiqua" w:hAnsi="Book Antiqua" w:cs="Times New Roman"/>
        </w:rPr>
        <w:t>E</w:t>
      </w:r>
      <w:r w:rsidR="009034F6" w:rsidRPr="0083147A">
        <w:rPr>
          <w:rFonts w:ascii="Book Antiqua" w:hAnsi="Book Antiqua" w:cs="Times New Roman"/>
        </w:rPr>
        <w:t xml:space="preserve">arly alpha-fetoprotein </w:t>
      </w:r>
      <w:r w:rsidRPr="0083147A">
        <w:rPr>
          <w:rFonts w:ascii="Book Antiqua" w:hAnsi="Book Antiqua" w:cs="Times New Roman"/>
        </w:rPr>
        <w:t xml:space="preserve">(AFP) </w:t>
      </w:r>
      <w:r w:rsidR="009034F6" w:rsidRPr="0083147A">
        <w:rPr>
          <w:rFonts w:ascii="Book Antiqua" w:hAnsi="Book Antiqua" w:cs="Times New Roman"/>
        </w:rPr>
        <w:t>response refers to a ≥</w:t>
      </w:r>
      <w:r w:rsidRPr="0083147A">
        <w:rPr>
          <w:rFonts w:ascii="Book Antiqua" w:hAnsi="Book Antiqua" w:cs="Times New Roman"/>
        </w:rPr>
        <w:t xml:space="preserve"> </w:t>
      </w:r>
      <w:r w:rsidR="009034F6" w:rsidRPr="0083147A">
        <w:rPr>
          <w:rFonts w:ascii="Book Antiqua" w:hAnsi="Book Antiqua" w:cs="Times New Roman"/>
        </w:rPr>
        <w:t xml:space="preserve">20% improvement in </w:t>
      </w:r>
      <w:r w:rsidRPr="0083147A">
        <w:rPr>
          <w:rFonts w:ascii="Book Antiqua" w:hAnsi="Book Antiqua" w:cs="Times New Roman"/>
        </w:rPr>
        <w:t>AFP</w:t>
      </w:r>
      <w:r w:rsidR="009034F6" w:rsidRPr="0083147A">
        <w:rPr>
          <w:rFonts w:ascii="Book Antiqua" w:hAnsi="Book Antiqua" w:cs="Times New Roman"/>
        </w:rPr>
        <w:t xml:space="preserve"> levels within 2 </w:t>
      </w:r>
      <w:r w:rsidR="0013325D">
        <w:rPr>
          <w:rFonts w:ascii="Book Antiqua" w:eastAsia="SimSun" w:hAnsi="Book Antiqua" w:cs="Times New Roman" w:hint="eastAsia"/>
          <w:lang w:eastAsia="zh-CN"/>
        </w:rPr>
        <w:t>mo</w:t>
      </w:r>
      <w:r w:rsidR="00CC5675">
        <w:rPr>
          <w:rFonts w:ascii="Book Antiqua" w:hAnsi="Book Antiqua" w:cs="Times New Roman"/>
        </w:rPr>
        <w:t xml:space="preserve">. </w:t>
      </w:r>
      <w:r w:rsidRPr="0083147A">
        <w:rPr>
          <w:rFonts w:ascii="Book Antiqua" w:hAnsi="Book Antiqua"/>
        </w:rPr>
        <w:t xml:space="preserve">BCLC: Barcelona Clinic Liver Cancer; </w:t>
      </w:r>
      <w:r w:rsidR="009034F6" w:rsidRPr="0083147A">
        <w:rPr>
          <w:rFonts w:ascii="Book Antiqua" w:hAnsi="Book Antiqua"/>
        </w:rPr>
        <w:t>DCP</w:t>
      </w:r>
      <w:r w:rsidRPr="0083147A">
        <w:rPr>
          <w:rFonts w:ascii="Book Antiqua" w:hAnsi="Book Antiqua"/>
        </w:rPr>
        <w:t xml:space="preserve">: </w:t>
      </w:r>
      <w:r w:rsidR="00CC5675" w:rsidRPr="0083147A">
        <w:rPr>
          <w:rFonts w:ascii="Book Antiqua" w:hAnsi="Book Antiqua"/>
        </w:rPr>
        <w:t>Des</w:t>
      </w:r>
      <w:r w:rsidR="009034F6" w:rsidRPr="0083147A">
        <w:rPr>
          <w:rFonts w:ascii="Book Antiqua" w:hAnsi="Book Antiqua"/>
        </w:rPr>
        <w:t>-gamma-</w:t>
      </w:r>
      <w:proofErr w:type="spellStart"/>
      <w:r w:rsidR="009034F6" w:rsidRPr="0083147A">
        <w:rPr>
          <w:rFonts w:ascii="Book Antiqua" w:hAnsi="Book Antiqua"/>
        </w:rPr>
        <w:t>carboxy</w:t>
      </w:r>
      <w:proofErr w:type="spellEnd"/>
      <w:r w:rsidR="009034F6" w:rsidRPr="0083147A">
        <w:rPr>
          <w:rFonts w:ascii="Book Antiqua" w:hAnsi="Book Antiqua"/>
        </w:rPr>
        <w:t xml:space="preserve"> prothrombin</w:t>
      </w:r>
      <w:r w:rsidRPr="0083147A">
        <w:rPr>
          <w:rFonts w:ascii="Book Antiqua" w:hAnsi="Book Antiqua"/>
        </w:rPr>
        <w:t xml:space="preserve">; </w:t>
      </w:r>
      <w:r w:rsidRPr="0083147A">
        <w:rPr>
          <w:rFonts w:ascii="Book Antiqua" w:hAnsi="Book Antiqua" w:cs="Times New Roman"/>
          <w:kern w:val="0"/>
        </w:rPr>
        <w:t xml:space="preserve">MKI-associated HFSR: </w:t>
      </w:r>
      <w:proofErr w:type="spellStart"/>
      <w:r w:rsidR="00CC5675" w:rsidRPr="0083147A">
        <w:rPr>
          <w:rFonts w:ascii="Book Antiqua" w:hAnsi="Book Antiqua" w:cs="Times New Roman"/>
          <w:kern w:val="0"/>
        </w:rPr>
        <w:t>Multikinase</w:t>
      </w:r>
      <w:proofErr w:type="spellEnd"/>
      <w:r w:rsidR="00CC5675" w:rsidRPr="0083147A">
        <w:rPr>
          <w:rFonts w:ascii="Book Antiqua" w:hAnsi="Book Antiqua" w:cs="Times New Roman"/>
          <w:kern w:val="0"/>
        </w:rPr>
        <w:t xml:space="preserve"> </w:t>
      </w:r>
      <w:r w:rsidRPr="0083147A">
        <w:rPr>
          <w:rFonts w:ascii="Book Antiqua" w:hAnsi="Book Antiqua" w:cs="Times New Roman"/>
          <w:kern w:val="0"/>
        </w:rPr>
        <w:t>inhibitor-associated hand-foot skin reaction</w:t>
      </w:r>
      <w:r w:rsidR="00CC5675">
        <w:rPr>
          <w:rFonts w:ascii="Book Antiqua" w:eastAsia="SimSun" w:hAnsi="Book Antiqua" w:cs="Times New Roman" w:hint="eastAsia"/>
          <w:kern w:val="0"/>
          <w:lang w:eastAsia="zh-CN"/>
        </w:rPr>
        <w:t>.</w:t>
      </w:r>
    </w:p>
    <w:p w:rsidR="005331BC" w:rsidRDefault="005331BC">
      <w:pPr>
        <w:widowControl/>
        <w:jc w:val="left"/>
        <w:rPr>
          <w:rFonts w:ascii="Book Antiqua" w:eastAsia="MS PGothic" w:hAnsi="Book Antiqua" w:cs="Times New Roman"/>
          <w:kern w:val="0"/>
        </w:rPr>
      </w:pPr>
      <w:r>
        <w:rPr>
          <w:rFonts w:ascii="Book Antiqua" w:eastAsia="MS PGothic" w:hAnsi="Book Antiqua" w:cs="Times New Roman"/>
          <w:kern w:val="0"/>
        </w:rPr>
        <w:br w:type="page"/>
      </w:r>
    </w:p>
    <w:p w:rsidR="0062258B" w:rsidRPr="0083147A" w:rsidRDefault="0062258B" w:rsidP="00946207">
      <w:pPr>
        <w:spacing w:line="360" w:lineRule="auto"/>
        <w:outlineLvl w:val="0"/>
        <w:rPr>
          <w:rFonts w:ascii="Book Antiqua" w:hAnsi="Book Antiqua"/>
        </w:rPr>
      </w:pPr>
      <w:r w:rsidRPr="0083147A">
        <w:rPr>
          <w:rFonts w:ascii="Book Antiqua" w:hAnsi="Book Antiqua"/>
          <w:b/>
        </w:rPr>
        <w:lastRenderedPageBreak/>
        <w:t>Table 4</w:t>
      </w:r>
      <w:r w:rsidRPr="0083147A">
        <w:rPr>
          <w:rFonts w:ascii="Book Antiqua" w:hAnsi="Book Antiqua"/>
        </w:rPr>
        <w:t xml:space="preserve"> </w:t>
      </w:r>
      <w:r w:rsidRPr="0083147A">
        <w:rPr>
          <w:rFonts w:ascii="Book Antiqua" w:hAnsi="Book Antiqua"/>
          <w:b/>
        </w:rPr>
        <w:t xml:space="preserve">Univariate and multivariate analyses </w:t>
      </w:r>
      <w:r w:rsidR="00D875F9" w:rsidRPr="0083147A">
        <w:rPr>
          <w:rFonts w:ascii="Book Antiqua" w:hAnsi="Book Antiqua"/>
          <w:b/>
        </w:rPr>
        <w:t>of variables associated with time to treatment failure</w:t>
      </w:r>
    </w:p>
    <w:tbl>
      <w:tblPr>
        <w:tblW w:w="9257" w:type="dxa"/>
        <w:tblInd w:w="-327" w:type="dxa"/>
        <w:tblCellMar>
          <w:left w:w="99" w:type="dxa"/>
          <w:right w:w="99" w:type="dxa"/>
        </w:tblCellMar>
        <w:tblLook w:val="04A0" w:firstRow="1" w:lastRow="0" w:firstColumn="1" w:lastColumn="0" w:noHBand="0" w:noVBand="1"/>
      </w:tblPr>
      <w:tblGrid>
        <w:gridCol w:w="3304"/>
        <w:gridCol w:w="1134"/>
        <w:gridCol w:w="1134"/>
        <w:gridCol w:w="1134"/>
        <w:gridCol w:w="1134"/>
        <w:gridCol w:w="1417"/>
      </w:tblGrid>
      <w:tr w:rsidR="00EB2943" w:rsidRPr="0083147A" w:rsidTr="00EB2943">
        <w:trPr>
          <w:trHeight w:val="360"/>
        </w:trPr>
        <w:tc>
          <w:tcPr>
            <w:tcW w:w="3304" w:type="dxa"/>
            <w:tcBorders>
              <w:top w:val="single" w:sz="8" w:space="0" w:color="auto"/>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　</w:t>
            </w:r>
          </w:p>
        </w:tc>
        <w:tc>
          <w:tcPr>
            <w:tcW w:w="2268" w:type="dxa"/>
            <w:gridSpan w:val="2"/>
            <w:tcBorders>
              <w:top w:val="single" w:sz="8" w:space="0" w:color="auto"/>
              <w:left w:val="nil"/>
              <w:bottom w:val="single" w:sz="8" w:space="0" w:color="auto"/>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b/>
                <w:bCs/>
                <w:color w:val="000000"/>
                <w:kern w:val="0"/>
              </w:rPr>
            </w:pPr>
            <w:r w:rsidRPr="0083147A">
              <w:rPr>
                <w:rFonts w:ascii="Book Antiqua" w:eastAsia="Arial Unicode MS" w:hAnsi="Book Antiqua" w:cs="Times New Roman"/>
                <w:b/>
                <w:bCs/>
                <w:color w:val="000000"/>
                <w:kern w:val="0"/>
              </w:rPr>
              <w:t>Univariate analysis</w:t>
            </w:r>
          </w:p>
        </w:tc>
        <w:tc>
          <w:tcPr>
            <w:tcW w:w="3685" w:type="dxa"/>
            <w:gridSpan w:val="3"/>
            <w:tcBorders>
              <w:top w:val="single" w:sz="8" w:space="0" w:color="auto"/>
              <w:left w:val="nil"/>
              <w:bottom w:val="single" w:sz="8" w:space="0" w:color="auto"/>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b/>
                <w:bCs/>
                <w:color w:val="000000"/>
                <w:kern w:val="0"/>
              </w:rPr>
            </w:pPr>
            <w:r w:rsidRPr="0083147A">
              <w:rPr>
                <w:rFonts w:ascii="Book Antiqua" w:eastAsia="Arial Unicode MS" w:hAnsi="Book Antiqua" w:cs="Times New Roman"/>
                <w:b/>
                <w:bCs/>
                <w:color w:val="000000"/>
                <w:kern w:val="0"/>
              </w:rPr>
              <w:t>Multivariate analysis</w:t>
            </w:r>
          </w:p>
        </w:tc>
      </w:tr>
      <w:tr w:rsidR="00EB2943" w:rsidRPr="0083147A" w:rsidTr="00EB2943">
        <w:trPr>
          <w:trHeight w:val="345"/>
        </w:trPr>
        <w:tc>
          <w:tcPr>
            <w:tcW w:w="3304" w:type="dxa"/>
            <w:tcBorders>
              <w:top w:val="nil"/>
              <w:left w:val="nil"/>
              <w:bottom w:val="single" w:sz="8" w:space="0" w:color="auto"/>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                                                                                 </w:t>
            </w:r>
          </w:p>
        </w:tc>
        <w:tc>
          <w:tcPr>
            <w:tcW w:w="1134" w:type="dxa"/>
            <w:tcBorders>
              <w:top w:val="nil"/>
              <w:left w:val="nil"/>
              <w:bottom w:val="single" w:sz="8" w:space="0" w:color="auto"/>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b/>
                <w:bCs/>
                <w:color w:val="000000"/>
                <w:kern w:val="0"/>
              </w:rPr>
            </w:pPr>
            <w:r w:rsidRPr="0083147A">
              <w:rPr>
                <w:rFonts w:ascii="Book Antiqua" w:eastAsia="Arial Unicode MS" w:hAnsi="Book Antiqua" w:cs="Times New Roman"/>
                <w:b/>
                <w:bCs/>
                <w:color w:val="000000"/>
                <w:kern w:val="0"/>
              </w:rPr>
              <w:t>HR</w:t>
            </w:r>
          </w:p>
        </w:tc>
        <w:tc>
          <w:tcPr>
            <w:tcW w:w="1134" w:type="dxa"/>
            <w:tcBorders>
              <w:top w:val="nil"/>
              <w:left w:val="nil"/>
              <w:bottom w:val="single" w:sz="8" w:space="0" w:color="auto"/>
              <w:right w:val="nil"/>
            </w:tcBorders>
            <w:shd w:val="clear" w:color="auto" w:fill="auto"/>
            <w:noWrap/>
            <w:vAlign w:val="center"/>
            <w:hideMark/>
          </w:tcPr>
          <w:p w:rsidR="00EB2943" w:rsidRPr="0083147A" w:rsidRDefault="00EB2943" w:rsidP="006D06A9">
            <w:pPr>
              <w:widowControl/>
              <w:spacing w:line="360" w:lineRule="auto"/>
              <w:rPr>
                <w:rFonts w:ascii="Book Antiqua" w:eastAsia="Arial Unicode MS" w:hAnsi="Book Antiqua" w:cs="Times New Roman"/>
                <w:b/>
                <w:bCs/>
                <w:color w:val="000000"/>
                <w:kern w:val="0"/>
              </w:rPr>
            </w:pPr>
            <w:r w:rsidRPr="005331BC">
              <w:rPr>
                <w:rFonts w:ascii="Book Antiqua" w:eastAsia="Arial Unicode MS" w:hAnsi="Book Antiqua" w:cs="Times New Roman"/>
                <w:b/>
                <w:bCs/>
                <w:i/>
                <w:color w:val="000000"/>
                <w:kern w:val="0"/>
              </w:rPr>
              <w:t>P</w:t>
            </w:r>
            <w:r>
              <w:rPr>
                <w:rFonts w:ascii="Book Antiqua" w:eastAsia="Arial Unicode MS" w:hAnsi="Book Antiqua" w:cs="Times New Roman" w:hint="eastAsia"/>
                <w:b/>
                <w:bCs/>
                <w:color w:val="000000"/>
                <w:kern w:val="0"/>
                <w:lang w:eastAsia="zh-CN"/>
              </w:rPr>
              <w:t xml:space="preserve"> </w:t>
            </w:r>
            <w:r w:rsidRPr="0083147A">
              <w:rPr>
                <w:rFonts w:ascii="Book Antiqua" w:eastAsia="Arial Unicode MS" w:hAnsi="Book Antiqua" w:cs="Times New Roman"/>
                <w:b/>
                <w:bCs/>
                <w:color w:val="000000"/>
                <w:kern w:val="0"/>
              </w:rPr>
              <w:t>value</w:t>
            </w:r>
          </w:p>
        </w:tc>
        <w:tc>
          <w:tcPr>
            <w:tcW w:w="1134" w:type="dxa"/>
            <w:tcBorders>
              <w:top w:val="nil"/>
              <w:left w:val="nil"/>
              <w:bottom w:val="single" w:sz="8" w:space="0" w:color="auto"/>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b/>
                <w:bCs/>
                <w:color w:val="000000"/>
                <w:kern w:val="0"/>
              </w:rPr>
            </w:pPr>
            <w:r w:rsidRPr="0083147A">
              <w:rPr>
                <w:rFonts w:ascii="Book Antiqua" w:eastAsia="Arial Unicode MS" w:hAnsi="Book Antiqua" w:cs="Times New Roman"/>
                <w:b/>
                <w:bCs/>
                <w:color w:val="000000"/>
                <w:kern w:val="0"/>
              </w:rPr>
              <w:t>HR</w:t>
            </w:r>
          </w:p>
        </w:tc>
        <w:tc>
          <w:tcPr>
            <w:tcW w:w="1134" w:type="dxa"/>
            <w:tcBorders>
              <w:top w:val="nil"/>
              <w:left w:val="nil"/>
              <w:bottom w:val="single" w:sz="8" w:space="0" w:color="auto"/>
              <w:right w:val="nil"/>
            </w:tcBorders>
            <w:shd w:val="clear" w:color="auto" w:fill="auto"/>
            <w:noWrap/>
            <w:vAlign w:val="center"/>
            <w:hideMark/>
          </w:tcPr>
          <w:p w:rsidR="00EB2943" w:rsidRPr="0083147A" w:rsidRDefault="00EB2943" w:rsidP="009D5321">
            <w:pPr>
              <w:widowControl/>
              <w:spacing w:line="360" w:lineRule="auto"/>
              <w:rPr>
                <w:rFonts w:ascii="Book Antiqua" w:eastAsia="Arial Unicode MS" w:hAnsi="Book Antiqua" w:cs="Times New Roman"/>
                <w:b/>
                <w:bCs/>
                <w:color w:val="000000"/>
                <w:kern w:val="0"/>
              </w:rPr>
            </w:pPr>
            <w:r w:rsidRPr="005331BC">
              <w:rPr>
                <w:rFonts w:ascii="Book Antiqua" w:eastAsia="Arial Unicode MS" w:hAnsi="Book Antiqua" w:cs="Times New Roman"/>
                <w:b/>
                <w:bCs/>
                <w:i/>
                <w:color w:val="000000"/>
                <w:kern w:val="0"/>
              </w:rPr>
              <w:t>P</w:t>
            </w:r>
            <w:r>
              <w:rPr>
                <w:rFonts w:ascii="Book Antiqua" w:eastAsia="Arial Unicode MS" w:hAnsi="Book Antiqua" w:cs="Times New Roman" w:hint="eastAsia"/>
                <w:b/>
                <w:bCs/>
                <w:color w:val="000000"/>
                <w:kern w:val="0"/>
                <w:lang w:eastAsia="zh-CN"/>
              </w:rPr>
              <w:t xml:space="preserve"> </w:t>
            </w:r>
            <w:r w:rsidRPr="0083147A">
              <w:rPr>
                <w:rFonts w:ascii="Book Antiqua" w:eastAsia="Arial Unicode MS" w:hAnsi="Book Antiqua" w:cs="Times New Roman"/>
                <w:b/>
                <w:bCs/>
                <w:color w:val="000000"/>
                <w:kern w:val="0"/>
              </w:rPr>
              <w:t>value</w:t>
            </w:r>
          </w:p>
        </w:tc>
        <w:tc>
          <w:tcPr>
            <w:tcW w:w="1417" w:type="dxa"/>
            <w:tcBorders>
              <w:top w:val="nil"/>
              <w:left w:val="nil"/>
              <w:bottom w:val="single" w:sz="8" w:space="0" w:color="auto"/>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b/>
                <w:bCs/>
                <w:color w:val="000000"/>
                <w:kern w:val="0"/>
              </w:rPr>
            </w:pPr>
            <w:r>
              <w:rPr>
                <w:rFonts w:ascii="Book Antiqua" w:eastAsia="Arial Unicode MS" w:hAnsi="Book Antiqua" w:cs="Times New Roman"/>
                <w:b/>
                <w:bCs/>
                <w:color w:val="000000"/>
                <w:kern w:val="0"/>
              </w:rPr>
              <w:t>95%</w:t>
            </w:r>
            <w:r w:rsidRPr="0083147A">
              <w:rPr>
                <w:rFonts w:ascii="Book Antiqua" w:eastAsia="Arial Unicode MS" w:hAnsi="Book Antiqua" w:cs="Times New Roman"/>
                <w:b/>
                <w:bCs/>
                <w:color w:val="000000"/>
                <w:kern w:val="0"/>
              </w:rPr>
              <w:t>CI</w:t>
            </w:r>
          </w:p>
        </w:tc>
      </w:tr>
      <w:tr w:rsidR="00EB2943" w:rsidRPr="0083147A" w:rsidTr="00EB2943">
        <w:trPr>
          <w:trHeight w:val="330"/>
        </w:trPr>
        <w:tc>
          <w:tcPr>
            <w:tcW w:w="3304" w:type="dxa"/>
            <w:tcBorders>
              <w:top w:val="nil"/>
              <w:left w:val="nil"/>
              <w:bottom w:val="nil"/>
              <w:right w:val="nil"/>
            </w:tcBorders>
            <w:shd w:val="clear" w:color="auto" w:fill="auto"/>
            <w:noWrap/>
            <w:vAlign w:val="center"/>
            <w:hideMark/>
          </w:tcPr>
          <w:p w:rsidR="00EB2943" w:rsidRPr="0083147A" w:rsidRDefault="00EB2943" w:rsidP="005331BC">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Age (≥ 65 </w:t>
            </w:r>
            <w:proofErr w:type="spellStart"/>
            <w:r>
              <w:rPr>
                <w:rFonts w:ascii="Book Antiqua" w:eastAsia="Arial Unicode MS" w:hAnsi="Book Antiqua" w:cs="Times New Roman" w:hint="eastAsia"/>
                <w:color w:val="000000"/>
                <w:kern w:val="0"/>
                <w:lang w:eastAsia="zh-CN"/>
              </w:rPr>
              <w:t>yr</w:t>
            </w:r>
            <w:proofErr w:type="spellEnd"/>
            <w:r w:rsidRPr="0083147A">
              <w:rPr>
                <w:rFonts w:ascii="Book Antiqua" w:eastAsia="Arial Unicode MS" w:hAnsi="Book Antiqua" w:cs="Times New Roman"/>
                <w:color w:val="000000"/>
                <w:kern w:val="0"/>
              </w:rPr>
              <w:t>)</w:t>
            </w: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0.369 </w:t>
            </w: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0.020 </w:t>
            </w: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0.475</w:t>
            </w: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0.099</w:t>
            </w:r>
          </w:p>
        </w:tc>
        <w:tc>
          <w:tcPr>
            <w:tcW w:w="1417"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0.196-1.150</w:t>
            </w:r>
          </w:p>
        </w:tc>
      </w:tr>
      <w:tr w:rsidR="00EB2943" w:rsidRPr="0083147A" w:rsidTr="00EB2943">
        <w:trPr>
          <w:trHeight w:val="330"/>
        </w:trPr>
        <w:tc>
          <w:tcPr>
            <w:tcW w:w="330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Initial dose (800 mg)</w:t>
            </w: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1.213 </w:t>
            </w: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0.588 </w:t>
            </w: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p>
        </w:tc>
        <w:tc>
          <w:tcPr>
            <w:tcW w:w="1417"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p>
        </w:tc>
      </w:tr>
      <w:tr w:rsidR="00EB2943" w:rsidRPr="0083147A" w:rsidTr="00EB2943">
        <w:trPr>
          <w:trHeight w:val="330"/>
        </w:trPr>
        <w:tc>
          <w:tcPr>
            <w:tcW w:w="330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Early AFP response</w:t>
            </w: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0.630 </w:t>
            </w: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0.240 </w:t>
            </w: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Times New Roman" w:hAnsi="Book Antiqua" w:cs="Times New Roman"/>
                <w:kern w:val="0"/>
              </w:rPr>
            </w:pP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Times New Roman" w:hAnsi="Book Antiqua" w:cs="Times New Roman"/>
                <w:kern w:val="0"/>
              </w:rPr>
            </w:pPr>
          </w:p>
        </w:tc>
        <w:tc>
          <w:tcPr>
            <w:tcW w:w="1417"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Times New Roman" w:hAnsi="Book Antiqua" w:cs="Times New Roman"/>
                <w:kern w:val="0"/>
              </w:rPr>
            </w:pPr>
          </w:p>
        </w:tc>
      </w:tr>
      <w:tr w:rsidR="00EB2943" w:rsidRPr="0083147A" w:rsidTr="00EB2943">
        <w:trPr>
          <w:trHeight w:val="330"/>
        </w:trPr>
        <w:tc>
          <w:tcPr>
            <w:tcW w:w="330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AFP (&lt; 100 ng/dL)</w:t>
            </w: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0.988 </w:t>
            </w: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0.974 </w:t>
            </w: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Times New Roman" w:hAnsi="Book Antiqua" w:cs="Times New Roman"/>
                <w:kern w:val="0"/>
              </w:rPr>
            </w:pP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Times New Roman" w:hAnsi="Book Antiqua" w:cs="Times New Roman"/>
                <w:kern w:val="0"/>
              </w:rPr>
            </w:pPr>
          </w:p>
        </w:tc>
        <w:tc>
          <w:tcPr>
            <w:tcW w:w="1417"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Times New Roman" w:hAnsi="Book Antiqua" w:cs="Times New Roman"/>
                <w:kern w:val="0"/>
              </w:rPr>
            </w:pPr>
          </w:p>
        </w:tc>
      </w:tr>
      <w:tr w:rsidR="00EB2943" w:rsidRPr="0083147A" w:rsidTr="00EB2943">
        <w:trPr>
          <w:trHeight w:val="330"/>
        </w:trPr>
        <w:tc>
          <w:tcPr>
            <w:tcW w:w="330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DCP (&lt; 1000 </w:t>
            </w:r>
            <w:proofErr w:type="spellStart"/>
            <w:r w:rsidRPr="0083147A">
              <w:rPr>
                <w:rFonts w:ascii="Book Antiqua" w:eastAsia="Arial Unicode MS" w:hAnsi="Book Antiqua" w:cs="Times New Roman"/>
                <w:color w:val="000000"/>
                <w:kern w:val="0"/>
              </w:rPr>
              <w:t>mAU</w:t>
            </w:r>
            <w:proofErr w:type="spellEnd"/>
            <w:r w:rsidRPr="0083147A">
              <w:rPr>
                <w:rFonts w:ascii="Book Antiqua" w:eastAsia="Arial Unicode MS" w:hAnsi="Book Antiqua" w:cs="Times New Roman"/>
                <w:color w:val="000000"/>
                <w:kern w:val="0"/>
              </w:rPr>
              <w:t>/mL)</w:t>
            </w: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0.711 </w:t>
            </w: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0.363 </w:t>
            </w: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Times New Roman" w:hAnsi="Book Antiqua" w:cs="Times New Roman"/>
                <w:kern w:val="0"/>
              </w:rPr>
            </w:pP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Times New Roman" w:hAnsi="Book Antiqua" w:cs="Times New Roman"/>
                <w:kern w:val="0"/>
              </w:rPr>
            </w:pPr>
          </w:p>
        </w:tc>
        <w:tc>
          <w:tcPr>
            <w:tcW w:w="1417"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Times New Roman" w:hAnsi="Book Antiqua" w:cs="Times New Roman"/>
                <w:kern w:val="0"/>
              </w:rPr>
            </w:pPr>
          </w:p>
        </w:tc>
      </w:tr>
      <w:tr w:rsidR="00EB2943" w:rsidRPr="0083147A" w:rsidTr="00EB2943">
        <w:trPr>
          <w:trHeight w:val="330"/>
        </w:trPr>
        <w:tc>
          <w:tcPr>
            <w:tcW w:w="330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MKI-associated HFSR</w:t>
            </w: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0.334 </w:t>
            </w: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0.004</w:t>
            </w: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0.418</w:t>
            </w: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0.048</w:t>
            </w:r>
          </w:p>
        </w:tc>
        <w:tc>
          <w:tcPr>
            <w:tcW w:w="1417"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0.175-0.994</w:t>
            </w:r>
          </w:p>
        </w:tc>
      </w:tr>
      <w:tr w:rsidR="00EB2943" w:rsidRPr="0083147A" w:rsidTr="00EB2943">
        <w:trPr>
          <w:trHeight w:val="330"/>
        </w:trPr>
        <w:tc>
          <w:tcPr>
            <w:tcW w:w="330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BCLC B</w:t>
            </w: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0.970 </w:t>
            </w: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0.932 </w:t>
            </w: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p>
        </w:tc>
        <w:tc>
          <w:tcPr>
            <w:tcW w:w="1417"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p>
        </w:tc>
      </w:tr>
      <w:tr w:rsidR="00EB2943" w:rsidRPr="0083147A" w:rsidTr="00EB2943">
        <w:trPr>
          <w:trHeight w:val="330"/>
        </w:trPr>
        <w:tc>
          <w:tcPr>
            <w:tcW w:w="3304" w:type="dxa"/>
            <w:tcBorders>
              <w:top w:val="nil"/>
              <w:left w:val="nil"/>
              <w:bottom w:val="nil"/>
              <w:right w:val="nil"/>
            </w:tcBorders>
            <w:shd w:val="clear" w:color="auto" w:fill="auto"/>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Hypertension</w:t>
            </w: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1.286 </w:t>
            </w: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0.510 </w:t>
            </w: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Times New Roman" w:hAnsi="Book Antiqua" w:cs="Times New Roman"/>
                <w:kern w:val="0"/>
              </w:rPr>
            </w:pP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Times New Roman" w:hAnsi="Book Antiqua" w:cs="Times New Roman"/>
                <w:kern w:val="0"/>
              </w:rPr>
            </w:pPr>
          </w:p>
        </w:tc>
        <w:tc>
          <w:tcPr>
            <w:tcW w:w="1417"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Times New Roman" w:hAnsi="Book Antiqua" w:cs="Times New Roman"/>
                <w:kern w:val="0"/>
              </w:rPr>
            </w:pPr>
          </w:p>
        </w:tc>
      </w:tr>
      <w:tr w:rsidR="00EB2943" w:rsidRPr="0083147A" w:rsidTr="00EB2943">
        <w:trPr>
          <w:trHeight w:val="330"/>
        </w:trPr>
        <w:tc>
          <w:tcPr>
            <w:tcW w:w="3304" w:type="dxa"/>
            <w:tcBorders>
              <w:top w:val="nil"/>
              <w:left w:val="nil"/>
              <w:bottom w:val="nil"/>
              <w:right w:val="nil"/>
            </w:tcBorders>
            <w:shd w:val="clear" w:color="auto" w:fill="auto"/>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Diarrhea</w:t>
            </w: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0.517 </w:t>
            </w: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0.159 </w:t>
            </w: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Times New Roman" w:hAnsi="Book Antiqua" w:cs="Times New Roman"/>
                <w:kern w:val="0"/>
              </w:rPr>
            </w:pP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Times New Roman" w:hAnsi="Book Antiqua" w:cs="Times New Roman"/>
                <w:kern w:val="0"/>
              </w:rPr>
            </w:pPr>
          </w:p>
        </w:tc>
        <w:tc>
          <w:tcPr>
            <w:tcW w:w="1417"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Times New Roman" w:hAnsi="Book Antiqua" w:cs="Times New Roman"/>
                <w:kern w:val="0"/>
              </w:rPr>
            </w:pPr>
          </w:p>
        </w:tc>
      </w:tr>
      <w:tr w:rsidR="00EB2943" w:rsidRPr="0083147A" w:rsidTr="00EB2943">
        <w:trPr>
          <w:trHeight w:val="330"/>
        </w:trPr>
        <w:tc>
          <w:tcPr>
            <w:tcW w:w="3304" w:type="dxa"/>
            <w:tcBorders>
              <w:top w:val="nil"/>
              <w:left w:val="nil"/>
              <w:bottom w:val="nil"/>
              <w:right w:val="nil"/>
            </w:tcBorders>
            <w:shd w:val="clear" w:color="auto" w:fill="auto"/>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Anorexia</w:t>
            </w: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1.652 </w:t>
            </w: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0.175 </w:t>
            </w: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Times New Roman" w:hAnsi="Book Antiqua" w:cs="Times New Roman"/>
                <w:kern w:val="0"/>
              </w:rPr>
            </w:pP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Times New Roman" w:hAnsi="Book Antiqua" w:cs="Times New Roman"/>
                <w:kern w:val="0"/>
              </w:rPr>
            </w:pPr>
          </w:p>
        </w:tc>
        <w:tc>
          <w:tcPr>
            <w:tcW w:w="1417"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Times New Roman" w:hAnsi="Book Antiqua" w:cs="Times New Roman"/>
                <w:kern w:val="0"/>
              </w:rPr>
            </w:pPr>
          </w:p>
        </w:tc>
      </w:tr>
      <w:tr w:rsidR="00EB2943" w:rsidRPr="0083147A" w:rsidTr="00EB2943">
        <w:trPr>
          <w:trHeight w:val="330"/>
        </w:trPr>
        <w:tc>
          <w:tcPr>
            <w:tcW w:w="3304" w:type="dxa"/>
            <w:tcBorders>
              <w:top w:val="nil"/>
              <w:left w:val="nil"/>
              <w:bottom w:val="nil"/>
              <w:right w:val="nil"/>
            </w:tcBorders>
            <w:shd w:val="clear" w:color="auto" w:fill="auto"/>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Alopecia</w:t>
            </w: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0.337 </w:t>
            </w: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0.019 </w:t>
            </w: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0.792</w:t>
            </w:r>
          </w:p>
        </w:tc>
        <w:tc>
          <w:tcPr>
            <w:tcW w:w="1134"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0.679</w:t>
            </w:r>
          </w:p>
        </w:tc>
        <w:tc>
          <w:tcPr>
            <w:tcW w:w="1417" w:type="dxa"/>
            <w:tcBorders>
              <w:top w:val="nil"/>
              <w:left w:val="nil"/>
              <w:bottom w:val="nil"/>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0.262-2.391</w:t>
            </w:r>
          </w:p>
        </w:tc>
      </w:tr>
      <w:tr w:rsidR="00EB2943" w:rsidRPr="0083147A" w:rsidTr="00EB2943">
        <w:trPr>
          <w:trHeight w:val="345"/>
        </w:trPr>
        <w:tc>
          <w:tcPr>
            <w:tcW w:w="3304" w:type="dxa"/>
            <w:tcBorders>
              <w:top w:val="nil"/>
              <w:left w:val="nil"/>
              <w:bottom w:val="single" w:sz="8" w:space="0" w:color="auto"/>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Helvetica" w:hAnsi="Book Antiqua" w:cs="Times New Roman"/>
                <w:color w:val="000000"/>
                <w:kern w:val="0"/>
              </w:rPr>
              <w:t>Intervention by pharmacists</w:t>
            </w:r>
          </w:p>
        </w:tc>
        <w:tc>
          <w:tcPr>
            <w:tcW w:w="1134" w:type="dxa"/>
            <w:tcBorders>
              <w:top w:val="nil"/>
              <w:left w:val="nil"/>
              <w:bottom w:val="single" w:sz="8" w:space="0" w:color="auto"/>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0.326 </w:t>
            </w:r>
          </w:p>
        </w:tc>
        <w:tc>
          <w:tcPr>
            <w:tcW w:w="1134" w:type="dxa"/>
            <w:tcBorders>
              <w:top w:val="nil"/>
              <w:left w:val="nil"/>
              <w:bottom w:val="single" w:sz="8" w:space="0" w:color="auto"/>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 xml:space="preserve">0.002 </w:t>
            </w:r>
          </w:p>
        </w:tc>
        <w:tc>
          <w:tcPr>
            <w:tcW w:w="1134" w:type="dxa"/>
            <w:tcBorders>
              <w:top w:val="nil"/>
              <w:left w:val="nil"/>
              <w:bottom w:val="single" w:sz="8" w:space="0" w:color="auto"/>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0.425</w:t>
            </w:r>
          </w:p>
        </w:tc>
        <w:tc>
          <w:tcPr>
            <w:tcW w:w="1134" w:type="dxa"/>
            <w:tcBorders>
              <w:top w:val="nil"/>
              <w:left w:val="nil"/>
              <w:bottom w:val="single" w:sz="8" w:space="0" w:color="auto"/>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0.042</w:t>
            </w:r>
          </w:p>
        </w:tc>
        <w:tc>
          <w:tcPr>
            <w:tcW w:w="1417" w:type="dxa"/>
            <w:tcBorders>
              <w:top w:val="nil"/>
              <w:left w:val="nil"/>
              <w:bottom w:val="single" w:sz="8" w:space="0" w:color="auto"/>
              <w:right w:val="nil"/>
            </w:tcBorders>
            <w:shd w:val="clear" w:color="auto" w:fill="auto"/>
            <w:noWrap/>
            <w:vAlign w:val="center"/>
            <w:hideMark/>
          </w:tcPr>
          <w:p w:rsidR="00EB2943" w:rsidRPr="0083147A" w:rsidRDefault="00EB2943" w:rsidP="00946207">
            <w:pPr>
              <w:widowControl/>
              <w:spacing w:line="360" w:lineRule="auto"/>
              <w:rPr>
                <w:rFonts w:ascii="Book Antiqua" w:eastAsia="Arial Unicode MS" w:hAnsi="Book Antiqua" w:cs="Times New Roman"/>
                <w:color w:val="000000"/>
                <w:kern w:val="0"/>
              </w:rPr>
            </w:pPr>
            <w:r w:rsidRPr="0083147A">
              <w:rPr>
                <w:rFonts w:ascii="Book Antiqua" w:eastAsia="Arial Unicode MS" w:hAnsi="Book Antiqua" w:cs="Times New Roman"/>
                <w:color w:val="000000"/>
                <w:kern w:val="0"/>
              </w:rPr>
              <w:t>0.186-0.971</w:t>
            </w:r>
          </w:p>
        </w:tc>
      </w:tr>
    </w:tbl>
    <w:p w:rsidR="0062258B" w:rsidRPr="002D71C7" w:rsidRDefault="00D875F9" w:rsidP="00946207">
      <w:pPr>
        <w:spacing w:line="360" w:lineRule="auto"/>
        <w:rPr>
          <w:rFonts w:ascii="Book Antiqua" w:eastAsia="SimSun" w:hAnsi="Book Antiqua" w:cs="Times New Roman"/>
          <w:lang w:eastAsia="zh-CN"/>
        </w:rPr>
      </w:pPr>
      <w:r w:rsidRPr="0083147A">
        <w:rPr>
          <w:rFonts w:ascii="Book Antiqua" w:hAnsi="Book Antiqua" w:cs="Times New Roman"/>
        </w:rPr>
        <w:t xml:space="preserve">Early alpha-fetoprotein (AFP) response refers to a ≥ 20% improvement in AFP levels within 2 </w:t>
      </w:r>
      <w:r w:rsidR="002D71C7">
        <w:rPr>
          <w:rFonts w:ascii="Book Antiqua" w:eastAsia="SimSun" w:hAnsi="Book Antiqua" w:cs="Times New Roman" w:hint="eastAsia"/>
          <w:lang w:eastAsia="zh-CN"/>
        </w:rPr>
        <w:t>mo</w:t>
      </w:r>
      <w:r w:rsidR="002D71C7">
        <w:rPr>
          <w:rFonts w:ascii="Book Antiqua" w:hAnsi="Book Antiqua" w:cs="Times New Roman"/>
        </w:rPr>
        <w:t xml:space="preserve">. </w:t>
      </w:r>
      <w:r w:rsidRPr="0083147A">
        <w:rPr>
          <w:rFonts w:ascii="Book Antiqua" w:hAnsi="Book Antiqua"/>
        </w:rPr>
        <w:t xml:space="preserve">BCLC: Barcelona Clinic Liver Cancer; DCP: </w:t>
      </w:r>
      <w:r w:rsidR="002D71C7" w:rsidRPr="0083147A">
        <w:rPr>
          <w:rFonts w:ascii="Book Antiqua" w:hAnsi="Book Antiqua"/>
        </w:rPr>
        <w:t>Des</w:t>
      </w:r>
      <w:r w:rsidRPr="0083147A">
        <w:rPr>
          <w:rFonts w:ascii="Book Antiqua" w:hAnsi="Book Antiqua"/>
        </w:rPr>
        <w:t>-gamma-</w:t>
      </w:r>
      <w:proofErr w:type="spellStart"/>
      <w:r w:rsidRPr="0083147A">
        <w:rPr>
          <w:rFonts w:ascii="Book Antiqua" w:hAnsi="Book Antiqua"/>
        </w:rPr>
        <w:t>carboxy</w:t>
      </w:r>
      <w:proofErr w:type="spellEnd"/>
      <w:r w:rsidRPr="0083147A">
        <w:rPr>
          <w:rFonts w:ascii="Book Antiqua" w:hAnsi="Book Antiqua"/>
        </w:rPr>
        <w:t xml:space="preserve"> prothrombin; </w:t>
      </w:r>
      <w:r w:rsidRPr="0083147A">
        <w:rPr>
          <w:rFonts w:ascii="Book Antiqua" w:hAnsi="Book Antiqua" w:cs="Times New Roman"/>
          <w:kern w:val="0"/>
        </w:rPr>
        <w:t xml:space="preserve">MKI-associated HFSR: </w:t>
      </w:r>
      <w:proofErr w:type="spellStart"/>
      <w:r w:rsidR="002D71C7" w:rsidRPr="0083147A">
        <w:rPr>
          <w:rFonts w:ascii="Book Antiqua" w:hAnsi="Book Antiqua" w:cs="Times New Roman"/>
          <w:kern w:val="0"/>
        </w:rPr>
        <w:t>Multikinase</w:t>
      </w:r>
      <w:proofErr w:type="spellEnd"/>
      <w:r w:rsidR="002D71C7" w:rsidRPr="0083147A">
        <w:rPr>
          <w:rFonts w:ascii="Book Antiqua" w:hAnsi="Book Antiqua" w:cs="Times New Roman"/>
          <w:kern w:val="0"/>
        </w:rPr>
        <w:t xml:space="preserve"> </w:t>
      </w:r>
      <w:r w:rsidRPr="0083147A">
        <w:rPr>
          <w:rFonts w:ascii="Book Antiqua" w:hAnsi="Book Antiqua" w:cs="Times New Roman"/>
          <w:kern w:val="0"/>
        </w:rPr>
        <w:t>inhibitor-associated hand-foot skin reaction</w:t>
      </w:r>
      <w:r w:rsidR="002D71C7">
        <w:rPr>
          <w:rFonts w:ascii="Book Antiqua" w:eastAsia="SimSun" w:hAnsi="Book Antiqua" w:cs="Times New Roman" w:hint="eastAsia"/>
          <w:kern w:val="0"/>
          <w:lang w:eastAsia="zh-CN"/>
        </w:rPr>
        <w:t>.</w:t>
      </w:r>
    </w:p>
    <w:p w:rsidR="0062258B" w:rsidRPr="0083147A" w:rsidRDefault="0062258B" w:rsidP="00946207">
      <w:pPr>
        <w:spacing w:line="360" w:lineRule="auto"/>
        <w:rPr>
          <w:rFonts w:ascii="Book Antiqua" w:eastAsia="MS PGothic" w:hAnsi="Book Antiqua" w:cs="Times New Roman"/>
          <w:kern w:val="0"/>
        </w:rPr>
      </w:pPr>
    </w:p>
    <w:sectPr w:rsidR="0062258B" w:rsidRPr="0083147A" w:rsidSect="00B86D02">
      <w:footerReference w:type="even" r:id="rId10"/>
      <w:footerReference w:type="default" r:id="rId11"/>
      <w:pgSz w:w="11900" w:h="16840"/>
      <w:pgMar w:top="1985" w:right="1701" w:bottom="1701" w:left="1701" w:header="851" w:footer="992" w:gutter="0"/>
      <w:cols w:space="425"/>
      <w:docGrid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DEA" w:rsidRDefault="00A36DEA">
      <w:r>
        <w:separator/>
      </w:r>
    </w:p>
  </w:endnote>
  <w:endnote w:type="continuationSeparator" w:id="0">
    <w:p w:rsidR="00A36DEA" w:rsidRDefault="00A3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charset w:val="00"/>
    <w:family w:val="auto"/>
    <w:pitch w:val="variable"/>
    <w:sig w:usb0="E0000AFF"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7B8" w:rsidRDefault="000577B8" w:rsidP="00B86D0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77B8" w:rsidRDefault="000577B8" w:rsidP="000810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7B8" w:rsidRDefault="000577B8" w:rsidP="000810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DEA" w:rsidRDefault="00A36DEA">
      <w:r>
        <w:separator/>
      </w:r>
    </w:p>
  </w:footnote>
  <w:footnote w:type="continuationSeparator" w:id="0">
    <w:p w:rsidR="00A36DEA" w:rsidRDefault="00A36D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D344F"/>
    <w:multiLevelType w:val="hybridMultilevel"/>
    <w:tmpl w:val="04044A6E"/>
    <w:lvl w:ilvl="0" w:tplc="CAFEF66A">
      <w:start w:val="1"/>
      <w:numFmt w:val="decimal"/>
      <w:lvlText w:val="%1."/>
      <w:lvlJc w:val="left"/>
      <w:pPr>
        <w:ind w:left="380" w:hanging="3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0F91BA0"/>
    <w:multiLevelType w:val="hybridMultilevel"/>
    <w:tmpl w:val="624A10A4"/>
    <w:lvl w:ilvl="0" w:tplc="DBD4EA4E">
      <w:start w:val="1"/>
      <w:numFmt w:val="decimal"/>
      <w:suff w:val="space"/>
      <w:lvlText w:val="%1."/>
      <w:lvlJc w:val="left"/>
      <w:pPr>
        <w:ind w:left="280" w:hanging="2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10B40F5"/>
    <w:multiLevelType w:val="hybridMultilevel"/>
    <w:tmpl w:val="51187C28"/>
    <w:lvl w:ilvl="0" w:tplc="FE720948">
      <w:start w:val="1"/>
      <w:numFmt w:val="decimal"/>
      <w:suff w:val="space"/>
      <w:lvlText w:val="%1."/>
      <w:lvlJc w:val="left"/>
      <w:pPr>
        <w:ind w:left="240" w:hanging="2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4CA921C8"/>
    <w:multiLevelType w:val="hybridMultilevel"/>
    <w:tmpl w:val="B61A70B0"/>
    <w:lvl w:ilvl="0" w:tplc="9D7E566A">
      <w:start w:val="1"/>
      <w:numFmt w:val="decimal"/>
      <w:suff w:val="space"/>
      <w:lvlText w:val="%1)"/>
      <w:lvlJc w:val="left"/>
      <w:pPr>
        <w:ind w:left="280" w:hanging="2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62E53873"/>
    <w:multiLevelType w:val="hybridMultilevel"/>
    <w:tmpl w:val="9B1E748C"/>
    <w:lvl w:ilvl="0" w:tplc="4900D388">
      <w:start w:val="1"/>
      <w:numFmt w:val="decimal"/>
      <w:suff w:val="space"/>
      <w:lvlText w:val="%1."/>
      <w:lvlJc w:val="left"/>
      <w:pPr>
        <w:ind w:left="240" w:hanging="2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6ECD0B56"/>
    <w:multiLevelType w:val="hybridMultilevel"/>
    <w:tmpl w:val="E05CD5D0"/>
    <w:lvl w:ilvl="0" w:tplc="3F8EAC8A">
      <w:start w:val="1"/>
      <w:numFmt w:val="decimal"/>
      <w:suff w:val="space"/>
      <w:lvlText w:val="%1."/>
      <w:lvlJc w:val="left"/>
      <w:pPr>
        <w:ind w:left="240" w:hanging="2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80"/>
  <w:drawingGridVerticalSpacing w:val="219"/>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0C"/>
    <w:rsid w:val="0000356D"/>
    <w:rsid w:val="00003E8F"/>
    <w:rsid w:val="000050F9"/>
    <w:rsid w:val="00006ACC"/>
    <w:rsid w:val="00010F69"/>
    <w:rsid w:val="00012189"/>
    <w:rsid w:val="00012B06"/>
    <w:rsid w:val="00014DA4"/>
    <w:rsid w:val="0001683F"/>
    <w:rsid w:val="00016922"/>
    <w:rsid w:val="00016C8E"/>
    <w:rsid w:val="00020802"/>
    <w:rsid w:val="00020A39"/>
    <w:rsid w:val="000212E8"/>
    <w:rsid w:val="00021C05"/>
    <w:rsid w:val="000225F6"/>
    <w:rsid w:val="00023947"/>
    <w:rsid w:val="00024551"/>
    <w:rsid w:val="000305ED"/>
    <w:rsid w:val="00034409"/>
    <w:rsid w:val="00034AF2"/>
    <w:rsid w:val="0004230D"/>
    <w:rsid w:val="00042886"/>
    <w:rsid w:val="00046169"/>
    <w:rsid w:val="00053F7C"/>
    <w:rsid w:val="000560B1"/>
    <w:rsid w:val="00056A31"/>
    <w:rsid w:val="000577B8"/>
    <w:rsid w:val="0006049A"/>
    <w:rsid w:val="000670BB"/>
    <w:rsid w:val="000703B1"/>
    <w:rsid w:val="00071A42"/>
    <w:rsid w:val="00072D46"/>
    <w:rsid w:val="0007310C"/>
    <w:rsid w:val="00074E20"/>
    <w:rsid w:val="000752EA"/>
    <w:rsid w:val="00077D3A"/>
    <w:rsid w:val="00081051"/>
    <w:rsid w:val="00081532"/>
    <w:rsid w:val="00081735"/>
    <w:rsid w:val="00085016"/>
    <w:rsid w:val="0008548F"/>
    <w:rsid w:val="000868A3"/>
    <w:rsid w:val="00087752"/>
    <w:rsid w:val="00091911"/>
    <w:rsid w:val="0009261E"/>
    <w:rsid w:val="0009726A"/>
    <w:rsid w:val="000A0B2F"/>
    <w:rsid w:val="000A1473"/>
    <w:rsid w:val="000A15B2"/>
    <w:rsid w:val="000A316B"/>
    <w:rsid w:val="000A6B4E"/>
    <w:rsid w:val="000B015C"/>
    <w:rsid w:val="000B0F22"/>
    <w:rsid w:val="000B255E"/>
    <w:rsid w:val="000B3CB2"/>
    <w:rsid w:val="000B3CC6"/>
    <w:rsid w:val="000B68B7"/>
    <w:rsid w:val="000B7667"/>
    <w:rsid w:val="000C1077"/>
    <w:rsid w:val="000D1105"/>
    <w:rsid w:val="000D6524"/>
    <w:rsid w:val="000D7C27"/>
    <w:rsid w:val="000E4657"/>
    <w:rsid w:val="000E47E0"/>
    <w:rsid w:val="000F2FBA"/>
    <w:rsid w:val="000F3B95"/>
    <w:rsid w:val="000F3FF6"/>
    <w:rsid w:val="000F4CD4"/>
    <w:rsid w:val="00100A46"/>
    <w:rsid w:val="0010296D"/>
    <w:rsid w:val="00103351"/>
    <w:rsid w:val="00105C30"/>
    <w:rsid w:val="0010795E"/>
    <w:rsid w:val="00112519"/>
    <w:rsid w:val="00113341"/>
    <w:rsid w:val="00115FD9"/>
    <w:rsid w:val="0012099C"/>
    <w:rsid w:val="0012231D"/>
    <w:rsid w:val="00125B3B"/>
    <w:rsid w:val="00126604"/>
    <w:rsid w:val="0012689F"/>
    <w:rsid w:val="0013179F"/>
    <w:rsid w:val="00132FC1"/>
    <w:rsid w:val="0013325D"/>
    <w:rsid w:val="00135ADB"/>
    <w:rsid w:val="001362B0"/>
    <w:rsid w:val="0013782C"/>
    <w:rsid w:val="00142A2F"/>
    <w:rsid w:val="001447E0"/>
    <w:rsid w:val="001467A3"/>
    <w:rsid w:val="00150F2E"/>
    <w:rsid w:val="0015156D"/>
    <w:rsid w:val="00154FBF"/>
    <w:rsid w:val="00157147"/>
    <w:rsid w:val="00161EC1"/>
    <w:rsid w:val="0016221A"/>
    <w:rsid w:val="001624E4"/>
    <w:rsid w:val="0016565D"/>
    <w:rsid w:val="0017014E"/>
    <w:rsid w:val="001708F0"/>
    <w:rsid w:val="0017112D"/>
    <w:rsid w:val="0017178F"/>
    <w:rsid w:val="00173800"/>
    <w:rsid w:val="0017390D"/>
    <w:rsid w:val="0017538E"/>
    <w:rsid w:val="00175C16"/>
    <w:rsid w:val="00177EB1"/>
    <w:rsid w:val="00180606"/>
    <w:rsid w:val="001812C9"/>
    <w:rsid w:val="00182A86"/>
    <w:rsid w:val="00182CDD"/>
    <w:rsid w:val="0018398C"/>
    <w:rsid w:val="00184D11"/>
    <w:rsid w:val="0019048C"/>
    <w:rsid w:val="001932C8"/>
    <w:rsid w:val="00194E37"/>
    <w:rsid w:val="00195592"/>
    <w:rsid w:val="001958C6"/>
    <w:rsid w:val="00195FEC"/>
    <w:rsid w:val="00197C0D"/>
    <w:rsid w:val="001A15E6"/>
    <w:rsid w:val="001A1680"/>
    <w:rsid w:val="001A17DA"/>
    <w:rsid w:val="001B3FB9"/>
    <w:rsid w:val="001B4112"/>
    <w:rsid w:val="001B4F7E"/>
    <w:rsid w:val="001B5667"/>
    <w:rsid w:val="001B618C"/>
    <w:rsid w:val="001B6EE5"/>
    <w:rsid w:val="001C19CF"/>
    <w:rsid w:val="001C1B9B"/>
    <w:rsid w:val="001C2243"/>
    <w:rsid w:val="001C4D34"/>
    <w:rsid w:val="001C5E6E"/>
    <w:rsid w:val="001C68FC"/>
    <w:rsid w:val="001D20EF"/>
    <w:rsid w:val="001D6409"/>
    <w:rsid w:val="001D6F99"/>
    <w:rsid w:val="001D76B4"/>
    <w:rsid w:val="001F2C5F"/>
    <w:rsid w:val="001F592E"/>
    <w:rsid w:val="001F62B6"/>
    <w:rsid w:val="001F6EAD"/>
    <w:rsid w:val="001F6FFC"/>
    <w:rsid w:val="001F7A32"/>
    <w:rsid w:val="00201927"/>
    <w:rsid w:val="00203018"/>
    <w:rsid w:val="00205336"/>
    <w:rsid w:val="00205B98"/>
    <w:rsid w:val="00206558"/>
    <w:rsid w:val="0020713C"/>
    <w:rsid w:val="00210380"/>
    <w:rsid w:val="002106BE"/>
    <w:rsid w:val="0021106D"/>
    <w:rsid w:val="00211F23"/>
    <w:rsid w:val="0021260A"/>
    <w:rsid w:val="00213883"/>
    <w:rsid w:val="00216428"/>
    <w:rsid w:val="00223671"/>
    <w:rsid w:val="00223D58"/>
    <w:rsid w:val="00230BC6"/>
    <w:rsid w:val="0023149E"/>
    <w:rsid w:val="002316CA"/>
    <w:rsid w:val="002367A9"/>
    <w:rsid w:val="002407E2"/>
    <w:rsid w:val="00241455"/>
    <w:rsid w:val="0024731D"/>
    <w:rsid w:val="00250986"/>
    <w:rsid w:val="00250E43"/>
    <w:rsid w:val="002526DE"/>
    <w:rsid w:val="00255505"/>
    <w:rsid w:val="002562B1"/>
    <w:rsid w:val="002616B5"/>
    <w:rsid w:val="00262761"/>
    <w:rsid w:val="00263900"/>
    <w:rsid w:val="002703BC"/>
    <w:rsid w:val="002727E7"/>
    <w:rsid w:val="00274D74"/>
    <w:rsid w:val="0027639B"/>
    <w:rsid w:val="0028005F"/>
    <w:rsid w:val="00283746"/>
    <w:rsid w:val="00287CC5"/>
    <w:rsid w:val="00290557"/>
    <w:rsid w:val="00291069"/>
    <w:rsid w:val="002928F6"/>
    <w:rsid w:val="00294CF9"/>
    <w:rsid w:val="00294F59"/>
    <w:rsid w:val="002A14CD"/>
    <w:rsid w:val="002A1715"/>
    <w:rsid w:val="002A3A65"/>
    <w:rsid w:val="002A746C"/>
    <w:rsid w:val="002B128B"/>
    <w:rsid w:val="002B1E4B"/>
    <w:rsid w:val="002B2125"/>
    <w:rsid w:val="002B446F"/>
    <w:rsid w:val="002B490C"/>
    <w:rsid w:val="002B524E"/>
    <w:rsid w:val="002B534F"/>
    <w:rsid w:val="002B5CEF"/>
    <w:rsid w:val="002C610E"/>
    <w:rsid w:val="002C64DA"/>
    <w:rsid w:val="002D28E9"/>
    <w:rsid w:val="002D3576"/>
    <w:rsid w:val="002D38EC"/>
    <w:rsid w:val="002D597F"/>
    <w:rsid w:val="002D71C7"/>
    <w:rsid w:val="002E0C88"/>
    <w:rsid w:val="002E0DCF"/>
    <w:rsid w:val="002E1E5D"/>
    <w:rsid w:val="002E7C87"/>
    <w:rsid w:val="002F0953"/>
    <w:rsid w:val="002F0F44"/>
    <w:rsid w:val="002F1D39"/>
    <w:rsid w:val="002F2207"/>
    <w:rsid w:val="002F49EF"/>
    <w:rsid w:val="0030127D"/>
    <w:rsid w:val="00305B62"/>
    <w:rsid w:val="00306143"/>
    <w:rsid w:val="00310227"/>
    <w:rsid w:val="00315133"/>
    <w:rsid w:val="00324DC5"/>
    <w:rsid w:val="00336A3F"/>
    <w:rsid w:val="003401B0"/>
    <w:rsid w:val="003409F9"/>
    <w:rsid w:val="00341C7F"/>
    <w:rsid w:val="00341C98"/>
    <w:rsid w:val="00343BF8"/>
    <w:rsid w:val="0034439C"/>
    <w:rsid w:val="003472B7"/>
    <w:rsid w:val="00347B4E"/>
    <w:rsid w:val="00350A1F"/>
    <w:rsid w:val="0035297D"/>
    <w:rsid w:val="00355B16"/>
    <w:rsid w:val="00357044"/>
    <w:rsid w:val="00357F43"/>
    <w:rsid w:val="003602DD"/>
    <w:rsid w:val="00361696"/>
    <w:rsid w:val="00362A9D"/>
    <w:rsid w:val="003646A2"/>
    <w:rsid w:val="00373972"/>
    <w:rsid w:val="00375470"/>
    <w:rsid w:val="0037617B"/>
    <w:rsid w:val="00376FC4"/>
    <w:rsid w:val="00380ECF"/>
    <w:rsid w:val="0038127D"/>
    <w:rsid w:val="00381B2F"/>
    <w:rsid w:val="00385238"/>
    <w:rsid w:val="00385A5C"/>
    <w:rsid w:val="003860B0"/>
    <w:rsid w:val="00391825"/>
    <w:rsid w:val="00393311"/>
    <w:rsid w:val="00393735"/>
    <w:rsid w:val="00393E3F"/>
    <w:rsid w:val="00395563"/>
    <w:rsid w:val="00396605"/>
    <w:rsid w:val="003A3EB3"/>
    <w:rsid w:val="003A4A10"/>
    <w:rsid w:val="003A4CCF"/>
    <w:rsid w:val="003A6BE0"/>
    <w:rsid w:val="003B1137"/>
    <w:rsid w:val="003B3A09"/>
    <w:rsid w:val="003B3A9E"/>
    <w:rsid w:val="003B4551"/>
    <w:rsid w:val="003B505E"/>
    <w:rsid w:val="003B549F"/>
    <w:rsid w:val="003C1C82"/>
    <w:rsid w:val="003C699B"/>
    <w:rsid w:val="003C6B58"/>
    <w:rsid w:val="003D4B40"/>
    <w:rsid w:val="003D4D5C"/>
    <w:rsid w:val="003D6D9E"/>
    <w:rsid w:val="003D77B1"/>
    <w:rsid w:val="003E0BDB"/>
    <w:rsid w:val="003E2A02"/>
    <w:rsid w:val="003E2AB7"/>
    <w:rsid w:val="003E3307"/>
    <w:rsid w:val="003E37C2"/>
    <w:rsid w:val="003E3D78"/>
    <w:rsid w:val="003E5B48"/>
    <w:rsid w:val="003E7A1C"/>
    <w:rsid w:val="003E7E25"/>
    <w:rsid w:val="003F021B"/>
    <w:rsid w:val="003F1AF3"/>
    <w:rsid w:val="003F6E23"/>
    <w:rsid w:val="00400663"/>
    <w:rsid w:val="0040549E"/>
    <w:rsid w:val="004055E1"/>
    <w:rsid w:val="00407DF7"/>
    <w:rsid w:val="00415572"/>
    <w:rsid w:val="004167A2"/>
    <w:rsid w:val="004170CD"/>
    <w:rsid w:val="00417CEA"/>
    <w:rsid w:val="00420D53"/>
    <w:rsid w:val="00422BA3"/>
    <w:rsid w:val="0042371F"/>
    <w:rsid w:val="00425DBC"/>
    <w:rsid w:val="00443A15"/>
    <w:rsid w:val="00444303"/>
    <w:rsid w:val="004465C6"/>
    <w:rsid w:val="00446C73"/>
    <w:rsid w:val="0045000F"/>
    <w:rsid w:val="00460059"/>
    <w:rsid w:val="004616CB"/>
    <w:rsid w:val="00465F50"/>
    <w:rsid w:val="004662BC"/>
    <w:rsid w:val="0046769E"/>
    <w:rsid w:val="004722DE"/>
    <w:rsid w:val="00473BE6"/>
    <w:rsid w:val="00473F43"/>
    <w:rsid w:val="00483696"/>
    <w:rsid w:val="00485558"/>
    <w:rsid w:val="00486D08"/>
    <w:rsid w:val="00490C2E"/>
    <w:rsid w:val="00490F3C"/>
    <w:rsid w:val="00491BDA"/>
    <w:rsid w:val="00493593"/>
    <w:rsid w:val="0049371B"/>
    <w:rsid w:val="00497BB3"/>
    <w:rsid w:val="004A14BD"/>
    <w:rsid w:val="004A20D8"/>
    <w:rsid w:val="004B5360"/>
    <w:rsid w:val="004B6C7A"/>
    <w:rsid w:val="004B7E54"/>
    <w:rsid w:val="004C3ECF"/>
    <w:rsid w:val="004D0F8E"/>
    <w:rsid w:val="004D26B0"/>
    <w:rsid w:val="004D45A9"/>
    <w:rsid w:val="004D466F"/>
    <w:rsid w:val="004D46A3"/>
    <w:rsid w:val="004D57A0"/>
    <w:rsid w:val="004D66C6"/>
    <w:rsid w:val="004D6BFB"/>
    <w:rsid w:val="004E62F8"/>
    <w:rsid w:val="004E66EF"/>
    <w:rsid w:val="004F063A"/>
    <w:rsid w:val="004F1E40"/>
    <w:rsid w:val="004F2790"/>
    <w:rsid w:val="004F3B50"/>
    <w:rsid w:val="004F3DFB"/>
    <w:rsid w:val="004F7808"/>
    <w:rsid w:val="0050263B"/>
    <w:rsid w:val="00504B66"/>
    <w:rsid w:val="00514412"/>
    <w:rsid w:val="005147C4"/>
    <w:rsid w:val="00515050"/>
    <w:rsid w:val="00515D31"/>
    <w:rsid w:val="005202FA"/>
    <w:rsid w:val="00520E62"/>
    <w:rsid w:val="00521530"/>
    <w:rsid w:val="00522437"/>
    <w:rsid w:val="00523B3B"/>
    <w:rsid w:val="00525BA0"/>
    <w:rsid w:val="00525E25"/>
    <w:rsid w:val="00530EFE"/>
    <w:rsid w:val="00533158"/>
    <w:rsid w:val="005331BC"/>
    <w:rsid w:val="00534C33"/>
    <w:rsid w:val="0053554A"/>
    <w:rsid w:val="005357A5"/>
    <w:rsid w:val="00537EE5"/>
    <w:rsid w:val="00540924"/>
    <w:rsid w:val="00541413"/>
    <w:rsid w:val="0054640D"/>
    <w:rsid w:val="00553147"/>
    <w:rsid w:val="00555703"/>
    <w:rsid w:val="005570AC"/>
    <w:rsid w:val="00562476"/>
    <w:rsid w:val="005631FC"/>
    <w:rsid w:val="005658CA"/>
    <w:rsid w:val="0057006C"/>
    <w:rsid w:val="00573CF0"/>
    <w:rsid w:val="00574C06"/>
    <w:rsid w:val="00575D44"/>
    <w:rsid w:val="0057615B"/>
    <w:rsid w:val="0058320D"/>
    <w:rsid w:val="0058424E"/>
    <w:rsid w:val="00584BC1"/>
    <w:rsid w:val="005867C6"/>
    <w:rsid w:val="0059253C"/>
    <w:rsid w:val="00596BAE"/>
    <w:rsid w:val="005A02EC"/>
    <w:rsid w:val="005A04C2"/>
    <w:rsid w:val="005A6AD6"/>
    <w:rsid w:val="005A7776"/>
    <w:rsid w:val="005A7F80"/>
    <w:rsid w:val="005B0E57"/>
    <w:rsid w:val="005B0EDA"/>
    <w:rsid w:val="005B16A4"/>
    <w:rsid w:val="005B6E84"/>
    <w:rsid w:val="005B6FBC"/>
    <w:rsid w:val="005C07CF"/>
    <w:rsid w:val="005C24BB"/>
    <w:rsid w:val="005C6C73"/>
    <w:rsid w:val="005C7E4F"/>
    <w:rsid w:val="005D2308"/>
    <w:rsid w:val="005D6C9D"/>
    <w:rsid w:val="005E1AEB"/>
    <w:rsid w:val="005E1F24"/>
    <w:rsid w:val="005E362D"/>
    <w:rsid w:val="005E47E1"/>
    <w:rsid w:val="005E52F1"/>
    <w:rsid w:val="005E67C9"/>
    <w:rsid w:val="005E6E66"/>
    <w:rsid w:val="005E7289"/>
    <w:rsid w:val="005F0724"/>
    <w:rsid w:val="005F13CE"/>
    <w:rsid w:val="005F39FC"/>
    <w:rsid w:val="005F4BE4"/>
    <w:rsid w:val="005F4CA5"/>
    <w:rsid w:val="005F67B1"/>
    <w:rsid w:val="005F70B6"/>
    <w:rsid w:val="00602767"/>
    <w:rsid w:val="00602FB9"/>
    <w:rsid w:val="00603E94"/>
    <w:rsid w:val="00603FC0"/>
    <w:rsid w:val="0060491B"/>
    <w:rsid w:val="00605DB8"/>
    <w:rsid w:val="00607668"/>
    <w:rsid w:val="00610077"/>
    <w:rsid w:val="006169B7"/>
    <w:rsid w:val="00617CCB"/>
    <w:rsid w:val="0062258B"/>
    <w:rsid w:val="00633A36"/>
    <w:rsid w:val="00633C13"/>
    <w:rsid w:val="006348BC"/>
    <w:rsid w:val="0063767D"/>
    <w:rsid w:val="00640483"/>
    <w:rsid w:val="00642E39"/>
    <w:rsid w:val="00644749"/>
    <w:rsid w:val="00644EDF"/>
    <w:rsid w:val="00645A84"/>
    <w:rsid w:val="00652101"/>
    <w:rsid w:val="00653309"/>
    <w:rsid w:val="006652BD"/>
    <w:rsid w:val="00665F53"/>
    <w:rsid w:val="00667307"/>
    <w:rsid w:val="00670EA9"/>
    <w:rsid w:val="00672791"/>
    <w:rsid w:val="00675727"/>
    <w:rsid w:val="00675F40"/>
    <w:rsid w:val="00675FB1"/>
    <w:rsid w:val="00685598"/>
    <w:rsid w:val="006875C6"/>
    <w:rsid w:val="006933FF"/>
    <w:rsid w:val="006A109F"/>
    <w:rsid w:val="006A3F90"/>
    <w:rsid w:val="006A47EB"/>
    <w:rsid w:val="006B19E4"/>
    <w:rsid w:val="006B2885"/>
    <w:rsid w:val="006B3DE7"/>
    <w:rsid w:val="006B6B50"/>
    <w:rsid w:val="006B6F68"/>
    <w:rsid w:val="006C22CD"/>
    <w:rsid w:val="006C5E45"/>
    <w:rsid w:val="006C7AD8"/>
    <w:rsid w:val="006D06A9"/>
    <w:rsid w:val="006D13F4"/>
    <w:rsid w:val="006D2BBB"/>
    <w:rsid w:val="006E23EE"/>
    <w:rsid w:val="006E2968"/>
    <w:rsid w:val="006F0303"/>
    <w:rsid w:val="006F32BB"/>
    <w:rsid w:val="006F5DFD"/>
    <w:rsid w:val="006F6B9F"/>
    <w:rsid w:val="00700498"/>
    <w:rsid w:val="007043EB"/>
    <w:rsid w:val="007055E3"/>
    <w:rsid w:val="00705D98"/>
    <w:rsid w:val="00707BC0"/>
    <w:rsid w:val="007135DE"/>
    <w:rsid w:val="00713DFE"/>
    <w:rsid w:val="00714EFD"/>
    <w:rsid w:val="00715753"/>
    <w:rsid w:val="007162A4"/>
    <w:rsid w:val="00717F3C"/>
    <w:rsid w:val="0072075C"/>
    <w:rsid w:val="007220A2"/>
    <w:rsid w:val="00723239"/>
    <w:rsid w:val="00727023"/>
    <w:rsid w:val="00730B08"/>
    <w:rsid w:val="00730B59"/>
    <w:rsid w:val="0073129C"/>
    <w:rsid w:val="00734FA7"/>
    <w:rsid w:val="007357B2"/>
    <w:rsid w:val="00741B86"/>
    <w:rsid w:val="007421CA"/>
    <w:rsid w:val="00744093"/>
    <w:rsid w:val="00744901"/>
    <w:rsid w:val="00746375"/>
    <w:rsid w:val="007465E8"/>
    <w:rsid w:val="007567CD"/>
    <w:rsid w:val="007573F7"/>
    <w:rsid w:val="007611AC"/>
    <w:rsid w:val="00761221"/>
    <w:rsid w:val="007635BC"/>
    <w:rsid w:val="00765A9A"/>
    <w:rsid w:val="007666A2"/>
    <w:rsid w:val="00767467"/>
    <w:rsid w:val="00772513"/>
    <w:rsid w:val="0077516B"/>
    <w:rsid w:val="0077644F"/>
    <w:rsid w:val="0078014D"/>
    <w:rsid w:val="00781D73"/>
    <w:rsid w:val="00782FC7"/>
    <w:rsid w:val="00784760"/>
    <w:rsid w:val="007853C8"/>
    <w:rsid w:val="00790C05"/>
    <w:rsid w:val="00793163"/>
    <w:rsid w:val="00796518"/>
    <w:rsid w:val="007A1879"/>
    <w:rsid w:val="007B402D"/>
    <w:rsid w:val="007C054B"/>
    <w:rsid w:val="007C3ECB"/>
    <w:rsid w:val="007C4DF8"/>
    <w:rsid w:val="007C649A"/>
    <w:rsid w:val="007D4F0C"/>
    <w:rsid w:val="007D5566"/>
    <w:rsid w:val="007D704A"/>
    <w:rsid w:val="007E1F75"/>
    <w:rsid w:val="007E39D2"/>
    <w:rsid w:val="007F2ED6"/>
    <w:rsid w:val="007F2FE3"/>
    <w:rsid w:val="007F3930"/>
    <w:rsid w:val="007F5A40"/>
    <w:rsid w:val="00800757"/>
    <w:rsid w:val="008015F8"/>
    <w:rsid w:val="0080252E"/>
    <w:rsid w:val="00806523"/>
    <w:rsid w:val="0080690A"/>
    <w:rsid w:val="00807FB0"/>
    <w:rsid w:val="00810FAE"/>
    <w:rsid w:val="00811B15"/>
    <w:rsid w:val="00811D61"/>
    <w:rsid w:val="00812372"/>
    <w:rsid w:val="00813629"/>
    <w:rsid w:val="00815189"/>
    <w:rsid w:val="00822B13"/>
    <w:rsid w:val="00825E5A"/>
    <w:rsid w:val="008263C5"/>
    <w:rsid w:val="008264DE"/>
    <w:rsid w:val="0083147A"/>
    <w:rsid w:val="008338B3"/>
    <w:rsid w:val="00833B10"/>
    <w:rsid w:val="00837F2C"/>
    <w:rsid w:val="008412CE"/>
    <w:rsid w:val="0084167D"/>
    <w:rsid w:val="00842737"/>
    <w:rsid w:val="00842BE0"/>
    <w:rsid w:val="008449DA"/>
    <w:rsid w:val="00845479"/>
    <w:rsid w:val="0084631A"/>
    <w:rsid w:val="0085112B"/>
    <w:rsid w:val="0085242A"/>
    <w:rsid w:val="0085346A"/>
    <w:rsid w:val="00853565"/>
    <w:rsid w:val="00854E95"/>
    <w:rsid w:val="008578A8"/>
    <w:rsid w:val="00862A6C"/>
    <w:rsid w:val="0086377B"/>
    <w:rsid w:val="00864743"/>
    <w:rsid w:val="00864DD7"/>
    <w:rsid w:val="00867495"/>
    <w:rsid w:val="00874C38"/>
    <w:rsid w:val="00875182"/>
    <w:rsid w:val="00875576"/>
    <w:rsid w:val="0087588F"/>
    <w:rsid w:val="00877A56"/>
    <w:rsid w:val="008862C2"/>
    <w:rsid w:val="00890D60"/>
    <w:rsid w:val="00891E0A"/>
    <w:rsid w:val="00894D67"/>
    <w:rsid w:val="0089707F"/>
    <w:rsid w:val="00897AD8"/>
    <w:rsid w:val="008A2DDD"/>
    <w:rsid w:val="008B022A"/>
    <w:rsid w:val="008B04B3"/>
    <w:rsid w:val="008B106A"/>
    <w:rsid w:val="008B5949"/>
    <w:rsid w:val="008C0573"/>
    <w:rsid w:val="008C4366"/>
    <w:rsid w:val="008C59FC"/>
    <w:rsid w:val="008C68AE"/>
    <w:rsid w:val="008C6C98"/>
    <w:rsid w:val="008C73D2"/>
    <w:rsid w:val="008D15FA"/>
    <w:rsid w:val="008D2459"/>
    <w:rsid w:val="008D3D97"/>
    <w:rsid w:val="008D640B"/>
    <w:rsid w:val="008E0314"/>
    <w:rsid w:val="008E1326"/>
    <w:rsid w:val="008E3798"/>
    <w:rsid w:val="008E4773"/>
    <w:rsid w:val="008E7938"/>
    <w:rsid w:val="008F0588"/>
    <w:rsid w:val="008F0F2D"/>
    <w:rsid w:val="008F13C1"/>
    <w:rsid w:val="008F16A8"/>
    <w:rsid w:val="008F3FE3"/>
    <w:rsid w:val="008F6423"/>
    <w:rsid w:val="009000E6"/>
    <w:rsid w:val="009013CE"/>
    <w:rsid w:val="009027D1"/>
    <w:rsid w:val="00902E3A"/>
    <w:rsid w:val="009034F6"/>
    <w:rsid w:val="0090790F"/>
    <w:rsid w:val="009107B6"/>
    <w:rsid w:val="00912CAE"/>
    <w:rsid w:val="0091301B"/>
    <w:rsid w:val="009151DB"/>
    <w:rsid w:val="009158DF"/>
    <w:rsid w:val="00920E3A"/>
    <w:rsid w:val="009239B1"/>
    <w:rsid w:val="00925137"/>
    <w:rsid w:val="00925983"/>
    <w:rsid w:val="00932B06"/>
    <w:rsid w:val="00932B37"/>
    <w:rsid w:val="009339F3"/>
    <w:rsid w:val="00935D8E"/>
    <w:rsid w:val="00946207"/>
    <w:rsid w:val="009525B3"/>
    <w:rsid w:val="00954D6A"/>
    <w:rsid w:val="00962C62"/>
    <w:rsid w:val="00966467"/>
    <w:rsid w:val="00970B6E"/>
    <w:rsid w:val="00970C6D"/>
    <w:rsid w:val="0097245E"/>
    <w:rsid w:val="0097258C"/>
    <w:rsid w:val="0097357F"/>
    <w:rsid w:val="0098059B"/>
    <w:rsid w:val="00983CCC"/>
    <w:rsid w:val="00984744"/>
    <w:rsid w:val="00984E93"/>
    <w:rsid w:val="00985526"/>
    <w:rsid w:val="00986CEE"/>
    <w:rsid w:val="009914F4"/>
    <w:rsid w:val="009950A3"/>
    <w:rsid w:val="009962B7"/>
    <w:rsid w:val="00996428"/>
    <w:rsid w:val="00997FEA"/>
    <w:rsid w:val="009A2FAF"/>
    <w:rsid w:val="009B1BAD"/>
    <w:rsid w:val="009B1EF9"/>
    <w:rsid w:val="009B5F38"/>
    <w:rsid w:val="009C04B8"/>
    <w:rsid w:val="009C141F"/>
    <w:rsid w:val="009C2849"/>
    <w:rsid w:val="009C48D7"/>
    <w:rsid w:val="009C5CFA"/>
    <w:rsid w:val="009C5F98"/>
    <w:rsid w:val="009C7940"/>
    <w:rsid w:val="009D0668"/>
    <w:rsid w:val="009D4FB9"/>
    <w:rsid w:val="009D5321"/>
    <w:rsid w:val="009E449A"/>
    <w:rsid w:val="009E5A5F"/>
    <w:rsid w:val="009F2478"/>
    <w:rsid w:val="009F31E8"/>
    <w:rsid w:val="009F3E1A"/>
    <w:rsid w:val="009F540A"/>
    <w:rsid w:val="009F6040"/>
    <w:rsid w:val="009F655A"/>
    <w:rsid w:val="009F6956"/>
    <w:rsid w:val="00A02F63"/>
    <w:rsid w:val="00A040F6"/>
    <w:rsid w:val="00A05185"/>
    <w:rsid w:val="00A05C74"/>
    <w:rsid w:val="00A06753"/>
    <w:rsid w:val="00A06A01"/>
    <w:rsid w:val="00A0729C"/>
    <w:rsid w:val="00A105E2"/>
    <w:rsid w:val="00A11F40"/>
    <w:rsid w:val="00A1459D"/>
    <w:rsid w:val="00A209BA"/>
    <w:rsid w:val="00A2234F"/>
    <w:rsid w:val="00A22A85"/>
    <w:rsid w:val="00A243D5"/>
    <w:rsid w:val="00A244CD"/>
    <w:rsid w:val="00A27449"/>
    <w:rsid w:val="00A36874"/>
    <w:rsid w:val="00A36DEA"/>
    <w:rsid w:val="00A374FF"/>
    <w:rsid w:val="00A437D8"/>
    <w:rsid w:val="00A453B3"/>
    <w:rsid w:val="00A46686"/>
    <w:rsid w:val="00A46BD8"/>
    <w:rsid w:val="00A47D75"/>
    <w:rsid w:val="00A50ABA"/>
    <w:rsid w:val="00A5732E"/>
    <w:rsid w:val="00A57C36"/>
    <w:rsid w:val="00A60FEF"/>
    <w:rsid w:val="00A61070"/>
    <w:rsid w:val="00A66409"/>
    <w:rsid w:val="00A66F92"/>
    <w:rsid w:val="00A70BEE"/>
    <w:rsid w:val="00A722CD"/>
    <w:rsid w:val="00A735BA"/>
    <w:rsid w:val="00A75172"/>
    <w:rsid w:val="00A820A6"/>
    <w:rsid w:val="00A835AD"/>
    <w:rsid w:val="00A84CB9"/>
    <w:rsid w:val="00A851D4"/>
    <w:rsid w:val="00A85645"/>
    <w:rsid w:val="00A91BE0"/>
    <w:rsid w:val="00A91DBE"/>
    <w:rsid w:val="00A92CAB"/>
    <w:rsid w:val="00A92D40"/>
    <w:rsid w:val="00A93900"/>
    <w:rsid w:val="00A955F1"/>
    <w:rsid w:val="00AA72D5"/>
    <w:rsid w:val="00AA7FB9"/>
    <w:rsid w:val="00AB1F37"/>
    <w:rsid w:val="00AB5715"/>
    <w:rsid w:val="00AB7617"/>
    <w:rsid w:val="00AB7A1C"/>
    <w:rsid w:val="00AC0DDB"/>
    <w:rsid w:val="00AC0F78"/>
    <w:rsid w:val="00AC2952"/>
    <w:rsid w:val="00AC52EB"/>
    <w:rsid w:val="00AC5F61"/>
    <w:rsid w:val="00AD2A82"/>
    <w:rsid w:val="00AD55D7"/>
    <w:rsid w:val="00AD5AF5"/>
    <w:rsid w:val="00AE0E54"/>
    <w:rsid w:val="00AE194B"/>
    <w:rsid w:val="00AE2AF8"/>
    <w:rsid w:val="00AE4674"/>
    <w:rsid w:val="00AE5909"/>
    <w:rsid w:val="00AE5D24"/>
    <w:rsid w:val="00AE71E6"/>
    <w:rsid w:val="00AF0B22"/>
    <w:rsid w:val="00AF2DBF"/>
    <w:rsid w:val="00AF3DA5"/>
    <w:rsid w:val="00AF4942"/>
    <w:rsid w:val="00AF7DA1"/>
    <w:rsid w:val="00B02BEA"/>
    <w:rsid w:val="00B03511"/>
    <w:rsid w:val="00B06391"/>
    <w:rsid w:val="00B1053D"/>
    <w:rsid w:val="00B10ECD"/>
    <w:rsid w:val="00B111D5"/>
    <w:rsid w:val="00B13C2E"/>
    <w:rsid w:val="00B1547E"/>
    <w:rsid w:val="00B15C00"/>
    <w:rsid w:val="00B15FAA"/>
    <w:rsid w:val="00B161A5"/>
    <w:rsid w:val="00B17DE9"/>
    <w:rsid w:val="00B221BA"/>
    <w:rsid w:val="00B26365"/>
    <w:rsid w:val="00B3474F"/>
    <w:rsid w:val="00B360FC"/>
    <w:rsid w:val="00B37210"/>
    <w:rsid w:val="00B4494B"/>
    <w:rsid w:val="00B45D49"/>
    <w:rsid w:val="00B45E66"/>
    <w:rsid w:val="00B51680"/>
    <w:rsid w:val="00B529E9"/>
    <w:rsid w:val="00B52BC1"/>
    <w:rsid w:val="00B53919"/>
    <w:rsid w:val="00B600E6"/>
    <w:rsid w:val="00B613A4"/>
    <w:rsid w:val="00B64F38"/>
    <w:rsid w:val="00B71B95"/>
    <w:rsid w:val="00B7272E"/>
    <w:rsid w:val="00B73A24"/>
    <w:rsid w:val="00B75C74"/>
    <w:rsid w:val="00B76638"/>
    <w:rsid w:val="00B7764B"/>
    <w:rsid w:val="00B77D30"/>
    <w:rsid w:val="00B80225"/>
    <w:rsid w:val="00B80E05"/>
    <w:rsid w:val="00B86D02"/>
    <w:rsid w:val="00B87454"/>
    <w:rsid w:val="00B91278"/>
    <w:rsid w:val="00B9178A"/>
    <w:rsid w:val="00B93216"/>
    <w:rsid w:val="00B94B56"/>
    <w:rsid w:val="00B95314"/>
    <w:rsid w:val="00BA1460"/>
    <w:rsid w:val="00BA3BEA"/>
    <w:rsid w:val="00BA4346"/>
    <w:rsid w:val="00BB0851"/>
    <w:rsid w:val="00BB4CA9"/>
    <w:rsid w:val="00BB54ED"/>
    <w:rsid w:val="00BB6999"/>
    <w:rsid w:val="00BB7A5C"/>
    <w:rsid w:val="00BC14CB"/>
    <w:rsid w:val="00BC2419"/>
    <w:rsid w:val="00BC3A1E"/>
    <w:rsid w:val="00BC49E7"/>
    <w:rsid w:val="00BC6F49"/>
    <w:rsid w:val="00BD02B6"/>
    <w:rsid w:val="00BD0567"/>
    <w:rsid w:val="00BD64EE"/>
    <w:rsid w:val="00BD6519"/>
    <w:rsid w:val="00BE0091"/>
    <w:rsid w:val="00BE05D8"/>
    <w:rsid w:val="00BE07C0"/>
    <w:rsid w:val="00BE46C0"/>
    <w:rsid w:val="00BF2789"/>
    <w:rsid w:val="00BF3F3E"/>
    <w:rsid w:val="00BF5548"/>
    <w:rsid w:val="00C025A9"/>
    <w:rsid w:val="00C10B49"/>
    <w:rsid w:val="00C1315B"/>
    <w:rsid w:val="00C14ADD"/>
    <w:rsid w:val="00C15685"/>
    <w:rsid w:val="00C16106"/>
    <w:rsid w:val="00C16C92"/>
    <w:rsid w:val="00C20FB3"/>
    <w:rsid w:val="00C21B22"/>
    <w:rsid w:val="00C21C51"/>
    <w:rsid w:val="00C2258F"/>
    <w:rsid w:val="00C22C42"/>
    <w:rsid w:val="00C237A7"/>
    <w:rsid w:val="00C23B36"/>
    <w:rsid w:val="00C245E0"/>
    <w:rsid w:val="00C259E1"/>
    <w:rsid w:val="00C30930"/>
    <w:rsid w:val="00C31F1A"/>
    <w:rsid w:val="00C323F4"/>
    <w:rsid w:val="00C338C6"/>
    <w:rsid w:val="00C35BAC"/>
    <w:rsid w:val="00C458A0"/>
    <w:rsid w:val="00C467C0"/>
    <w:rsid w:val="00C47020"/>
    <w:rsid w:val="00C50503"/>
    <w:rsid w:val="00C5073E"/>
    <w:rsid w:val="00C510B1"/>
    <w:rsid w:val="00C51D68"/>
    <w:rsid w:val="00C521BC"/>
    <w:rsid w:val="00C538E5"/>
    <w:rsid w:val="00C571F5"/>
    <w:rsid w:val="00C6144C"/>
    <w:rsid w:val="00C6169C"/>
    <w:rsid w:val="00C617B1"/>
    <w:rsid w:val="00C6190C"/>
    <w:rsid w:val="00C63975"/>
    <w:rsid w:val="00C65B6A"/>
    <w:rsid w:val="00C6743B"/>
    <w:rsid w:val="00C6751D"/>
    <w:rsid w:val="00C7167F"/>
    <w:rsid w:val="00C73CF3"/>
    <w:rsid w:val="00C77BAE"/>
    <w:rsid w:val="00C822EF"/>
    <w:rsid w:val="00C82F7A"/>
    <w:rsid w:val="00C838D0"/>
    <w:rsid w:val="00C83DF9"/>
    <w:rsid w:val="00C86D15"/>
    <w:rsid w:val="00C90C65"/>
    <w:rsid w:val="00C90FF4"/>
    <w:rsid w:val="00C9725F"/>
    <w:rsid w:val="00CA1784"/>
    <w:rsid w:val="00CB07D9"/>
    <w:rsid w:val="00CB112E"/>
    <w:rsid w:val="00CB2711"/>
    <w:rsid w:val="00CB3707"/>
    <w:rsid w:val="00CB4D19"/>
    <w:rsid w:val="00CB5BDB"/>
    <w:rsid w:val="00CB6EE4"/>
    <w:rsid w:val="00CC1DC7"/>
    <w:rsid w:val="00CC3358"/>
    <w:rsid w:val="00CC42EC"/>
    <w:rsid w:val="00CC5675"/>
    <w:rsid w:val="00CC6FD5"/>
    <w:rsid w:val="00CD14EF"/>
    <w:rsid w:val="00CD2631"/>
    <w:rsid w:val="00CD2E3B"/>
    <w:rsid w:val="00CD77ED"/>
    <w:rsid w:val="00CE04F7"/>
    <w:rsid w:val="00CE3968"/>
    <w:rsid w:val="00CE4612"/>
    <w:rsid w:val="00CE5142"/>
    <w:rsid w:val="00CE5C3C"/>
    <w:rsid w:val="00CE604B"/>
    <w:rsid w:val="00CE7B0B"/>
    <w:rsid w:val="00CF221E"/>
    <w:rsid w:val="00CF2E9E"/>
    <w:rsid w:val="00CF57BD"/>
    <w:rsid w:val="00CF589B"/>
    <w:rsid w:val="00D00DA8"/>
    <w:rsid w:val="00D02B83"/>
    <w:rsid w:val="00D07B0B"/>
    <w:rsid w:val="00D07ECA"/>
    <w:rsid w:val="00D118DA"/>
    <w:rsid w:val="00D11DDB"/>
    <w:rsid w:val="00D13E5C"/>
    <w:rsid w:val="00D177B8"/>
    <w:rsid w:val="00D22685"/>
    <w:rsid w:val="00D2402B"/>
    <w:rsid w:val="00D25689"/>
    <w:rsid w:val="00D25CE7"/>
    <w:rsid w:val="00D262B6"/>
    <w:rsid w:val="00D312BE"/>
    <w:rsid w:val="00D371FA"/>
    <w:rsid w:val="00D45ED3"/>
    <w:rsid w:val="00D47177"/>
    <w:rsid w:val="00D51802"/>
    <w:rsid w:val="00D54A28"/>
    <w:rsid w:val="00D54E4D"/>
    <w:rsid w:val="00D57AEC"/>
    <w:rsid w:val="00D61CCC"/>
    <w:rsid w:val="00D66987"/>
    <w:rsid w:val="00D71493"/>
    <w:rsid w:val="00D7280B"/>
    <w:rsid w:val="00D73514"/>
    <w:rsid w:val="00D73AC3"/>
    <w:rsid w:val="00D752F6"/>
    <w:rsid w:val="00D80C8C"/>
    <w:rsid w:val="00D855D2"/>
    <w:rsid w:val="00D85923"/>
    <w:rsid w:val="00D85AE2"/>
    <w:rsid w:val="00D875F9"/>
    <w:rsid w:val="00D87C7F"/>
    <w:rsid w:val="00D90A49"/>
    <w:rsid w:val="00D9321F"/>
    <w:rsid w:val="00D93351"/>
    <w:rsid w:val="00D9418F"/>
    <w:rsid w:val="00D941A5"/>
    <w:rsid w:val="00D95D4B"/>
    <w:rsid w:val="00DA1154"/>
    <w:rsid w:val="00DA204E"/>
    <w:rsid w:val="00DA4D0D"/>
    <w:rsid w:val="00DA5671"/>
    <w:rsid w:val="00DA56D3"/>
    <w:rsid w:val="00DA61DE"/>
    <w:rsid w:val="00DA6863"/>
    <w:rsid w:val="00DA68BC"/>
    <w:rsid w:val="00DA7494"/>
    <w:rsid w:val="00DB0C41"/>
    <w:rsid w:val="00DB3A20"/>
    <w:rsid w:val="00DB5748"/>
    <w:rsid w:val="00DB5BCC"/>
    <w:rsid w:val="00DC04C2"/>
    <w:rsid w:val="00DC315E"/>
    <w:rsid w:val="00DC521D"/>
    <w:rsid w:val="00DC5DE7"/>
    <w:rsid w:val="00DD0527"/>
    <w:rsid w:val="00DD20F9"/>
    <w:rsid w:val="00DD5E1A"/>
    <w:rsid w:val="00DD7380"/>
    <w:rsid w:val="00DE2A93"/>
    <w:rsid w:val="00DE4670"/>
    <w:rsid w:val="00DF02F6"/>
    <w:rsid w:val="00DF07B6"/>
    <w:rsid w:val="00DF1ECF"/>
    <w:rsid w:val="00DF422B"/>
    <w:rsid w:val="00DF49F5"/>
    <w:rsid w:val="00DF5351"/>
    <w:rsid w:val="00E013FE"/>
    <w:rsid w:val="00E06912"/>
    <w:rsid w:val="00E10BBB"/>
    <w:rsid w:val="00E13737"/>
    <w:rsid w:val="00E14E5F"/>
    <w:rsid w:val="00E17E9C"/>
    <w:rsid w:val="00E204C1"/>
    <w:rsid w:val="00E20B05"/>
    <w:rsid w:val="00E2402F"/>
    <w:rsid w:val="00E248B9"/>
    <w:rsid w:val="00E27A0D"/>
    <w:rsid w:val="00E304E6"/>
    <w:rsid w:val="00E3367F"/>
    <w:rsid w:val="00E3390C"/>
    <w:rsid w:val="00E355F7"/>
    <w:rsid w:val="00E356C6"/>
    <w:rsid w:val="00E36673"/>
    <w:rsid w:val="00E37953"/>
    <w:rsid w:val="00E438E3"/>
    <w:rsid w:val="00E47B72"/>
    <w:rsid w:val="00E52760"/>
    <w:rsid w:val="00E53934"/>
    <w:rsid w:val="00E55D93"/>
    <w:rsid w:val="00E57A6A"/>
    <w:rsid w:val="00E63184"/>
    <w:rsid w:val="00E6643E"/>
    <w:rsid w:val="00E672CF"/>
    <w:rsid w:val="00E6773F"/>
    <w:rsid w:val="00E677F6"/>
    <w:rsid w:val="00E70BD9"/>
    <w:rsid w:val="00E72EEF"/>
    <w:rsid w:val="00E74D30"/>
    <w:rsid w:val="00E765F5"/>
    <w:rsid w:val="00E8343E"/>
    <w:rsid w:val="00E87A13"/>
    <w:rsid w:val="00E92C78"/>
    <w:rsid w:val="00E96816"/>
    <w:rsid w:val="00E968E8"/>
    <w:rsid w:val="00EA089D"/>
    <w:rsid w:val="00EA3068"/>
    <w:rsid w:val="00EA3958"/>
    <w:rsid w:val="00EA3EC2"/>
    <w:rsid w:val="00EA72F5"/>
    <w:rsid w:val="00EB103D"/>
    <w:rsid w:val="00EB194C"/>
    <w:rsid w:val="00EB1CB7"/>
    <w:rsid w:val="00EB1E89"/>
    <w:rsid w:val="00EB2943"/>
    <w:rsid w:val="00EB7093"/>
    <w:rsid w:val="00EC32CC"/>
    <w:rsid w:val="00EC5752"/>
    <w:rsid w:val="00ED6925"/>
    <w:rsid w:val="00ED703A"/>
    <w:rsid w:val="00EE067A"/>
    <w:rsid w:val="00EE1368"/>
    <w:rsid w:val="00EE193A"/>
    <w:rsid w:val="00EE6B6E"/>
    <w:rsid w:val="00EE7095"/>
    <w:rsid w:val="00EF3572"/>
    <w:rsid w:val="00EF5913"/>
    <w:rsid w:val="00F0050C"/>
    <w:rsid w:val="00F013C3"/>
    <w:rsid w:val="00F0196C"/>
    <w:rsid w:val="00F02FBB"/>
    <w:rsid w:val="00F178CE"/>
    <w:rsid w:val="00F17B0E"/>
    <w:rsid w:val="00F21D4C"/>
    <w:rsid w:val="00F23E51"/>
    <w:rsid w:val="00F25F1A"/>
    <w:rsid w:val="00F341E3"/>
    <w:rsid w:val="00F34428"/>
    <w:rsid w:val="00F34551"/>
    <w:rsid w:val="00F36222"/>
    <w:rsid w:val="00F373E6"/>
    <w:rsid w:val="00F376A7"/>
    <w:rsid w:val="00F37EC6"/>
    <w:rsid w:val="00F40E3B"/>
    <w:rsid w:val="00F41F3A"/>
    <w:rsid w:val="00F4588C"/>
    <w:rsid w:val="00F46D66"/>
    <w:rsid w:val="00F4702A"/>
    <w:rsid w:val="00F53046"/>
    <w:rsid w:val="00F54D97"/>
    <w:rsid w:val="00F552FE"/>
    <w:rsid w:val="00F56B79"/>
    <w:rsid w:val="00F56C6B"/>
    <w:rsid w:val="00F63C59"/>
    <w:rsid w:val="00F67AC4"/>
    <w:rsid w:val="00F67EE6"/>
    <w:rsid w:val="00F7093D"/>
    <w:rsid w:val="00F77FD5"/>
    <w:rsid w:val="00F80158"/>
    <w:rsid w:val="00F82039"/>
    <w:rsid w:val="00F8328A"/>
    <w:rsid w:val="00F83C8A"/>
    <w:rsid w:val="00F83CCD"/>
    <w:rsid w:val="00F85036"/>
    <w:rsid w:val="00F94112"/>
    <w:rsid w:val="00F97596"/>
    <w:rsid w:val="00F979FA"/>
    <w:rsid w:val="00FA4C91"/>
    <w:rsid w:val="00FA541C"/>
    <w:rsid w:val="00FA56F6"/>
    <w:rsid w:val="00FB05EE"/>
    <w:rsid w:val="00FB1C0F"/>
    <w:rsid w:val="00FB30EB"/>
    <w:rsid w:val="00FB355C"/>
    <w:rsid w:val="00FB6D11"/>
    <w:rsid w:val="00FB7C22"/>
    <w:rsid w:val="00FC0907"/>
    <w:rsid w:val="00FC206C"/>
    <w:rsid w:val="00FC307E"/>
    <w:rsid w:val="00FD10E9"/>
    <w:rsid w:val="00FD1EB1"/>
    <w:rsid w:val="00FD3017"/>
    <w:rsid w:val="00FF09AA"/>
    <w:rsid w:val="00FF1163"/>
    <w:rsid w:val="00FF3666"/>
    <w:rsid w:val="00FF5C88"/>
    <w:rsid w:val="00FF67A1"/>
    <w:rsid w:val="00FF6C8D"/>
    <w:rsid w:val="00FF78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docId w15:val="{E2258642-D3A5-42E5-A2D2-DF67BF29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C"/>
    <w:pPr>
      <w:widowControl w:val="0"/>
      <w:jc w:val="both"/>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FAE"/>
    <w:pPr>
      <w:ind w:leftChars="400" w:left="960"/>
    </w:pPr>
  </w:style>
  <w:style w:type="character" w:styleId="Hyperlink">
    <w:name w:val="Hyperlink"/>
    <w:basedOn w:val="DefaultParagraphFont"/>
    <w:uiPriority w:val="99"/>
    <w:unhideWhenUsed/>
    <w:rsid w:val="00530EFE"/>
    <w:rPr>
      <w:color w:val="0000FF" w:themeColor="hyperlink"/>
      <w:u w:val="single"/>
    </w:rPr>
  </w:style>
  <w:style w:type="paragraph" w:styleId="Footer">
    <w:name w:val="footer"/>
    <w:basedOn w:val="Normal"/>
    <w:link w:val="FooterChar"/>
    <w:uiPriority w:val="99"/>
    <w:unhideWhenUsed/>
    <w:rsid w:val="00081051"/>
    <w:pPr>
      <w:tabs>
        <w:tab w:val="center" w:pos="4252"/>
        <w:tab w:val="right" w:pos="8504"/>
      </w:tabs>
      <w:snapToGrid w:val="0"/>
    </w:pPr>
  </w:style>
  <w:style w:type="character" w:customStyle="1" w:styleId="FooterChar">
    <w:name w:val="Footer Char"/>
    <w:basedOn w:val="DefaultParagraphFont"/>
    <w:link w:val="Footer"/>
    <w:uiPriority w:val="99"/>
    <w:rsid w:val="00081051"/>
    <w:rPr>
      <w:kern w:val="2"/>
      <w:sz w:val="24"/>
      <w:szCs w:val="24"/>
    </w:rPr>
  </w:style>
  <w:style w:type="character" w:styleId="PageNumber">
    <w:name w:val="page number"/>
    <w:basedOn w:val="DefaultParagraphFont"/>
    <w:uiPriority w:val="99"/>
    <w:semiHidden/>
    <w:unhideWhenUsed/>
    <w:rsid w:val="00081051"/>
  </w:style>
  <w:style w:type="paragraph" w:styleId="Header">
    <w:name w:val="header"/>
    <w:basedOn w:val="Normal"/>
    <w:link w:val="HeaderChar"/>
    <w:uiPriority w:val="99"/>
    <w:unhideWhenUsed/>
    <w:rsid w:val="00F0196C"/>
    <w:pPr>
      <w:tabs>
        <w:tab w:val="center" w:pos="4252"/>
        <w:tab w:val="right" w:pos="8504"/>
      </w:tabs>
      <w:snapToGrid w:val="0"/>
    </w:pPr>
  </w:style>
  <w:style w:type="character" w:customStyle="1" w:styleId="HeaderChar">
    <w:name w:val="Header Char"/>
    <w:basedOn w:val="DefaultParagraphFont"/>
    <w:link w:val="Header"/>
    <w:uiPriority w:val="99"/>
    <w:rsid w:val="00F0196C"/>
    <w:rPr>
      <w:kern w:val="2"/>
      <w:sz w:val="24"/>
      <w:szCs w:val="24"/>
    </w:rPr>
  </w:style>
  <w:style w:type="paragraph" w:styleId="BalloonText">
    <w:name w:val="Balloon Text"/>
    <w:basedOn w:val="Normal"/>
    <w:link w:val="BalloonTextChar"/>
    <w:uiPriority w:val="99"/>
    <w:semiHidden/>
    <w:unhideWhenUsed/>
    <w:rsid w:val="0083147A"/>
    <w:rPr>
      <w:sz w:val="18"/>
      <w:szCs w:val="18"/>
    </w:rPr>
  </w:style>
  <w:style w:type="character" w:customStyle="1" w:styleId="BalloonTextChar">
    <w:name w:val="Balloon Text Char"/>
    <w:basedOn w:val="DefaultParagraphFont"/>
    <w:link w:val="BalloonText"/>
    <w:uiPriority w:val="99"/>
    <w:semiHidden/>
    <w:rsid w:val="0083147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430384">
      <w:bodyDiv w:val="1"/>
      <w:marLeft w:val="0"/>
      <w:marRight w:val="0"/>
      <w:marTop w:val="0"/>
      <w:marBottom w:val="0"/>
      <w:divBdr>
        <w:top w:val="none" w:sz="0" w:space="0" w:color="auto"/>
        <w:left w:val="none" w:sz="0" w:space="0" w:color="auto"/>
        <w:bottom w:val="none" w:sz="0" w:space="0" w:color="auto"/>
        <w:right w:val="none" w:sz="0" w:space="0" w:color="auto"/>
      </w:divBdr>
      <w:divsChild>
        <w:div w:id="422461829">
          <w:marLeft w:val="0"/>
          <w:marRight w:val="1"/>
          <w:marTop w:val="0"/>
          <w:marBottom w:val="0"/>
          <w:divBdr>
            <w:top w:val="none" w:sz="0" w:space="0" w:color="auto"/>
            <w:left w:val="none" w:sz="0" w:space="0" w:color="auto"/>
            <w:bottom w:val="none" w:sz="0" w:space="0" w:color="auto"/>
            <w:right w:val="none" w:sz="0" w:space="0" w:color="auto"/>
          </w:divBdr>
          <w:divsChild>
            <w:div w:id="937368031">
              <w:marLeft w:val="0"/>
              <w:marRight w:val="0"/>
              <w:marTop w:val="0"/>
              <w:marBottom w:val="0"/>
              <w:divBdr>
                <w:top w:val="none" w:sz="0" w:space="0" w:color="auto"/>
                <w:left w:val="none" w:sz="0" w:space="0" w:color="auto"/>
                <w:bottom w:val="none" w:sz="0" w:space="0" w:color="auto"/>
                <w:right w:val="none" w:sz="0" w:space="0" w:color="auto"/>
              </w:divBdr>
              <w:divsChild>
                <w:div w:id="32703319">
                  <w:marLeft w:val="0"/>
                  <w:marRight w:val="1"/>
                  <w:marTop w:val="0"/>
                  <w:marBottom w:val="0"/>
                  <w:divBdr>
                    <w:top w:val="none" w:sz="0" w:space="0" w:color="auto"/>
                    <w:left w:val="none" w:sz="0" w:space="0" w:color="auto"/>
                    <w:bottom w:val="none" w:sz="0" w:space="0" w:color="auto"/>
                    <w:right w:val="none" w:sz="0" w:space="0" w:color="auto"/>
                  </w:divBdr>
                  <w:divsChild>
                    <w:div w:id="925382933">
                      <w:marLeft w:val="0"/>
                      <w:marRight w:val="0"/>
                      <w:marTop w:val="0"/>
                      <w:marBottom w:val="0"/>
                      <w:divBdr>
                        <w:top w:val="none" w:sz="0" w:space="0" w:color="auto"/>
                        <w:left w:val="none" w:sz="0" w:space="0" w:color="auto"/>
                        <w:bottom w:val="none" w:sz="0" w:space="0" w:color="auto"/>
                        <w:right w:val="none" w:sz="0" w:space="0" w:color="auto"/>
                      </w:divBdr>
                      <w:divsChild>
                        <w:div w:id="524096331">
                          <w:marLeft w:val="0"/>
                          <w:marRight w:val="0"/>
                          <w:marTop w:val="0"/>
                          <w:marBottom w:val="0"/>
                          <w:divBdr>
                            <w:top w:val="none" w:sz="0" w:space="0" w:color="auto"/>
                            <w:left w:val="none" w:sz="0" w:space="0" w:color="auto"/>
                            <w:bottom w:val="none" w:sz="0" w:space="0" w:color="auto"/>
                            <w:right w:val="none" w:sz="0" w:space="0" w:color="auto"/>
                          </w:divBdr>
                          <w:divsChild>
                            <w:div w:id="91558070">
                              <w:marLeft w:val="0"/>
                              <w:marRight w:val="0"/>
                              <w:marTop w:val="120"/>
                              <w:marBottom w:val="360"/>
                              <w:divBdr>
                                <w:top w:val="none" w:sz="0" w:space="0" w:color="auto"/>
                                <w:left w:val="none" w:sz="0" w:space="0" w:color="auto"/>
                                <w:bottom w:val="none" w:sz="0" w:space="0" w:color="auto"/>
                                <w:right w:val="none" w:sz="0" w:space="0" w:color="auto"/>
                              </w:divBdr>
                              <w:divsChild>
                                <w:div w:id="1414859827">
                                  <w:marLeft w:val="420"/>
                                  <w:marRight w:val="0"/>
                                  <w:marTop w:val="0"/>
                                  <w:marBottom w:val="0"/>
                                  <w:divBdr>
                                    <w:top w:val="none" w:sz="0" w:space="0" w:color="auto"/>
                                    <w:left w:val="none" w:sz="0" w:space="0" w:color="auto"/>
                                    <w:bottom w:val="none" w:sz="0" w:space="0" w:color="auto"/>
                                    <w:right w:val="none" w:sz="0" w:space="0" w:color="auto"/>
                                  </w:divBdr>
                                  <w:divsChild>
                                    <w:div w:id="1227453887">
                                      <w:marLeft w:val="0"/>
                                      <w:marRight w:val="0"/>
                                      <w:marTop w:val="0"/>
                                      <w:marBottom w:val="0"/>
                                      <w:divBdr>
                                        <w:top w:val="none" w:sz="0" w:space="0" w:color="auto"/>
                                        <w:left w:val="none" w:sz="0" w:space="0" w:color="auto"/>
                                        <w:bottom w:val="none" w:sz="0" w:space="0" w:color="auto"/>
                                        <w:right w:val="none" w:sz="0" w:space="0" w:color="auto"/>
                                      </w:divBdr>
                                      <w:divsChild>
                                        <w:div w:id="19616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434644">
      <w:bodyDiv w:val="1"/>
      <w:marLeft w:val="0"/>
      <w:marRight w:val="0"/>
      <w:marTop w:val="0"/>
      <w:marBottom w:val="0"/>
      <w:divBdr>
        <w:top w:val="none" w:sz="0" w:space="0" w:color="auto"/>
        <w:left w:val="none" w:sz="0" w:space="0" w:color="auto"/>
        <w:bottom w:val="none" w:sz="0" w:space="0" w:color="auto"/>
        <w:right w:val="none" w:sz="0" w:space="0" w:color="auto"/>
      </w:divBdr>
      <w:divsChild>
        <w:div w:id="1558930013">
          <w:marLeft w:val="0"/>
          <w:marRight w:val="1"/>
          <w:marTop w:val="0"/>
          <w:marBottom w:val="0"/>
          <w:divBdr>
            <w:top w:val="none" w:sz="0" w:space="0" w:color="auto"/>
            <w:left w:val="none" w:sz="0" w:space="0" w:color="auto"/>
            <w:bottom w:val="none" w:sz="0" w:space="0" w:color="auto"/>
            <w:right w:val="none" w:sz="0" w:space="0" w:color="auto"/>
          </w:divBdr>
          <w:divsChild>
            <w:div w:id="2061396021">
              <w:marLeft w:val="0"/>
              <w:marRight w:val="0"/>
              <w:marTop w:val="0"/>
              <w:marBottom w:val="0"/>
              <w:divBdr>
                <w:top w:val="none" w:sz="0" w:space="0" w:color="auto"/>
                <w:left w:val="none" w:sz="0" w:space="0" w:color="auto"/>
                <w:bottom w:val="none" w:sz="0" w:space="0" w:color="auto"/>
                <w:right w:val="none" w:sz="0" w:space="0" w:color="auto"/>
              </w:divBdr>
              <w:divsChild>
                <w:div w:id="940841235">
                  <w:marLeft w:val="0"/>
                  <w:marRight w:val="1"/>
                  <w:marTop w:val="0"/>
                  <w:marBottom w:val="0"/>
                  <w:divBdr>
                    <w:top w:val="none" w:sz="0" w:space="0" w:color="auto"/>
                    <w:left w:val="none" w:sz="0" w:space="0" w:color="auto"/>
                    <w:bottom w:val="none" w:sz="0" w:space="0" w:color="auto"/>
                    <w:right w:val="none" w:sz="0" w:space="0" w:color="auto"/>
                  </w:divBdr>
                  <w:divsChild>
                    <w:div w:id="1593974898">
                      <w:marLeft w:val="0"/>
                      <w:marRight w:val="0"/>
                      <w:marTop w:val="0"/>
                      <w:marBottom w:val="0"/>
                      <w:divBdr>
                        <w:top w:val="none" w:sz="0" w:space="0" w:color="auto"/>
                        <w:left w:val="none" w:sz="0" w:space="0" w:color="auto"/>
                        <w:bottom w:val="none" w:sz="0" w:space="0" w:color="auto"/>
                        <w:right w:val="none" w:sz="0" w:space="0" w:color="auto"/>
                      </w:divBdr>
                      <w:divsChild>
                        <w:div w:id="217865131">
                          <w:marLeft w:val="0"/>
                          <w:marRight w:val="0"/>
                          <w:marTop w:val="0"/>
                          <w:marBottom w:val="0"/>
                          <w:divBdr>
                            <w:top w:val="none" w:sz="0" w:space="0" w:color="auto"/>
                            <w:left w:val="none" w:sz="0" w:space="0" w:color="auto"/>
                            <w:bottom w:val="none" w:sz="0" w:space="0" w:color="auto"/>
                            <w:right w:val="none" w:sz="0" w:space="0" w:color="auto"/>
                          </w:divBdr>
                          <w:divsChild>
                            <w:div w:id="415975229">
                              <w:marLeft w:val="0"/>
                              <w:marRight w:val="0"/>
                              <w:marTop w:val="120"/>
                              <w:marBottom w:val="360"/>
                              <w:divBdr>
                                <w:top w:val="none" w:sz="0" w:space="0" w:color="auto"/>
                                <w:left w:val="none" w:sz="0" w:space="0" w:color="auto"/>
                                <w:bottom w:val="none" w:sz="0" w:space="0" w:color="auto"/>
                                <w:right w:val="none" w:sz="0" w:space="0" w:color="auto"/>
                              </w:divBdr>
                              <w:divsChild>
                                <w:div w:id="934360749">
                                  <w:marLeft w:val="0"/>
                                  <w:marRight w:val="0"/>
                                  <w:marTop w:val="0"/>
                                  <w:marBottom w:val="0"/>
                                  <w:divBdr>
                                    <w:top w:val="none" w:sz="0" w:space="0" w:color="auto"/>
                                    <w:left w:val="none" w:sz="0" w:space="0" w:color="auto"/>
                                    <w:bottom w:val="none" w:sz="0" w:space="0" w:color="auto"/>
                                    <w:right w:val="none" w:sz="0" w:space="0" w:color="auto"/>
                                  </w:divBdr>
                                  <w:divsChild>
                                    <w:div w:id="2414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ochi-tei@umin.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BDE55-3D05-4929-9E54-FFAF78E0F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5788</Words>
  <Characters>32996</Characters>
  <Application>Microsoft Office Word</Application>
  <DocSecurity>0</DocSecurity>
  <Lines>274</Lines>
  <Paragraphs>77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
  <Company/>
  <LinksUpToDate>false</LinksUpToDate>
  <CharactersWithSpaces>38707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 Ma</dc:creator>
  <cp:keywords/>
  <dc:description/>
  <cp:lastModifiedBy>Na Ma</cp:lastModifiedBy>
  <cp:revision>2</cp:revision>
  <cp:lastPrinted>2018-05-01T00:34:00Z</cp:lastPrinted>
  <dcterms:created xsi:type="dcterms:W3CDTF">2018-06-21T17:30:00Z</dcterms:created>
  <dcterms:modified xsi:type="dcterms:W3CDTF">2018-06-21T17:30:00Z</dcterms:modified>
  <cp:category/>
</cp:coreProperties>
</file>