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9" w:rsidRPr="00B44AB2" w:rsidRDefault="006F1729" w:rsidP="00B44AB2">
      <w:pPr>
        <w:spacing w:line="360" w:lineRule="auto"/>
        <w:rPr>
          <w:rFonts w:ascii="Book Antiqua" w:hAnsi="Book Antiqua" w:cs="Tahoma"/>
          <w:b/>
          <w:color w:val="000000"/>
          <w:sz w:val="24"/>
          <w:szCs w:val="24"/>
        </w:rPr>
      </w:pPr>
      <w:r w:rsidRPr="00B44AB2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Pr="00B44AB2">
        <w:rPr>
          <w:rFonts w:ascii="Book Antiqua" w:hAnsi="Book Antiqua" w:cs="Tahoma"/>
          <w:b/>
          <w:color w:val="000000"/>
          <w:sz w:val="24"/>
          <w:szCs w:val="24"/>
        </w:rPr>
        <w:t>World Journal of Gastroenterology</w:t>
      </w:r>
    </w:p>
    <w:p w:rsidR="006F1729" w:rsidRPr="00B44AB2" w:rsidRDefault="006F1729" w:rsidP="00B44AB2">
      <w:pPr>
        <w:spacing w:line="360" w:lineRule="auto"/>
        <w:rPr>
          <w:rFonts w:ascii="Book Antiqua" w:hAnsi="Book Antiqua" w:cs="Tahoma"/>
          <w:b/>
          <w:color w:val="0000FF"/>
          <w:sz w:val="24"/>
          <w:szCs w:val="24"/>
        </w:rPr>
      </w:pPr>
      <w:r w:rsidRPr="00B44AB2">
        <w:rPr>
          <w:rFonts w:ascii="Book Antiqua" w:hAnsi="Book Antiqua" w:cs="Tahoma"/>
          <w:b/>
          <w:color w:val="0000FF"/>
          <w:sz w:val="24"/>
          <w:szCs w:val="24"/>
        </w:rPr>
        <w:t xml:space="preserve">ESPS Manuscript NO: </w:t>
      </w:r>
      <w:r w:rsidRPr="006D4A8F">
        <w:rPr>
          <w:rFonts w:ascii="Book Antiqua" w:hAnsi="Book Antiqua" w:cs="Tahoma"/>
          <w:b/>
          <w:color w:val="0000FF"/>
          <w:sz w:val="24"/>
          <w:szCs w:val="24"/>
        </w:rPr>
        <w:t>3893</w:t>
      </w:r>
    </w:p>
    <w:p w:rsidR="006F1729" w:rsidRPr="00B44AB2" w:rsidRDefault="006F1729" w:rsidP="00B44AB2">
      <w:pPr>
        <w:spacing w:line="360" w:lineRule="auto"/>
        <w:rPr>
          <w:rFonts w:ascii="Book Antiqua" w:hAnsi="Book Antiqua" w:cs="Tahoma"/>
          <w:b/>
          <w:color w:val="0000FF"/>
          <w:sz w:val="24"/>
          <w:szCs w:val="24"/>
        </w:rPr>
      </w:pPr>
      <w:r w:rsidRPr="00B44AB2">
        <w:rPr>
          <w:rFonts w:ascii="Book Antiqua" w:hAnsi="Book Antiqua" w:cs="Tahoma"/>
          <w:b/>
          <w:color w:val="0000FF"/>
          <w:sz w:val="24"/>
          <w:szCs w:val="24"/>
        </w:rPr>
        <w:t xml:space="preserve">Columns: </w:t>
      </w:r>
      <w:r w:rsidRPr="00B44AB2">
        <w:rPr>
          <w:rFonts w:ascii="Book Antiqua" w:hAnsi="Book Antiqua" w:cs="Tahoma"/>
          <w:b/>
          <w:color w:val="000000"/>
          <w:sz w:val="24"/>
          <w:szCs w:val="24"/>
        </w:rPr>
        <w:t>BRIEF ARTICLE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bCs/>
          <w:kern w:val="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  <w:proofErr w:type="gramStart"/>
      <w:r w:rsidRPr="006D4A8F">
        <w:rPr>
          <w:rFonts w:ascii="Book Antiqua" w:eastAsia="Arial Unicode MS" w:hAnsi="Book Antiqua"/>
          <w:b/>
          <w:color w:val="000000"/>
          <w:sz w:val="24"/>
          <w:szCs w:val="24"/>
        </w:rPr>
        <w:t>microRNA-143</w:t>
      </w:r>
      <w:proofErr w:type="gramEnd"/>
      <w:r w:rsidRPr="006D4A8F">
        <w:rPr>
          <w:rFonts w:ascii="Book Antiqua" w:eastAsia="Arial Unicode MS" w:hAnsi="Book Antiqua"/>
          <w:b/>
          <w:color w:val="000000"/>
          <w:sz w:val="24"/>
          <w:szCs w:val="24"/>
        </w:rPr>
        <w:t xml:space="preserve"> suppresses gastric cancer cell growth and induces apoptosis by targeting COX-2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</w:p>
    <w:p w:rsidR="006F1729" w:rsidRPr="005D1A6D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5D1A6D">
        <w:rPr>
          <w:rFonts w:ascii="Book Antiqua" w:eastAsia="Arial Unicode MS" w:hAnsi="Book Antiqua"/>
          <w:color w:val="000000"/>
          <w:kern w:val="0"/>
          <w:sz w:val="24"/>
          <w:szCs w:val="24"/>
        </w:rPr>
        <w:t>Wu XL</w:t>
      </w:r>
      <w:r w:rsidRPr="005D1A6D">
        <w:rPr>
          <w:rFonts w:ascii="Book Antiqua" w:eastAsia="Arial Unicode MS" w:hAnsi="Book Antiqua"/>
          <w:i/>
          <w:kern w:val="0"/>
          <w:sz w:val="24"/>
          <w:szCs w:val="24"/>
        </w:rPr>
        <w:t xml:space="preserve"> et al</w:t>
      </w:r>
      <w:r w:rsidRPr="005D1A6D">
        <w:rPr>
          <w:rFonts w:ascii="Book Antiqua" w:eastAsia="Arial Unicode MS" w:hAnsi="Book Antiqua"/>
          <w:kern w:val="0"/>
          <w:sz w:val="24"/>
          <w:szCs w:val="24"/>
        </w:rPr>
        <w:t xml:space="preserve">. miR-143 suppresses human gastric cancer 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bCs/>
          <w:kern w:val="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Style w:val="highlight"/>
          <w:rFonts w:ascii="Book Antiqua" w:hAnsi="Book Antiqua"/>
          <w:sz w:val="24"/>
          <w:szCs w:val="24"/>
        </w:rPr>
      </w:pPr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Xiao-Li Wu, Bin Cheng, Pei-Yuan Li, </w:t>
      </w:r>
      <w:proofErr w:type="spellStart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>Huan</w:t>
      </w:r>
      <w:proofErr w:type="spellEnd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-Jun Huang, </w:t>
      </w:r>
      <w:proofErr w:type="spellStart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>Qiu</w:t>
      </w:r>
      <w:proofErr w:type="spellEnd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 Zhao, </w:t>
      </w:r>
      <w:proofErr w:type="spellStart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>Zi</w:t>
      </w:r>
      <w:proofErr w:type="spellEnd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-Li Dan, Dean </w:t>
      </w:r>
      <w:proofErr w:type="spellStart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>Tian</w:t>
      </w:r>
      <w:proofErr w:type="spellEnd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, </w:t>
      </w:r>
      <w:proofErr w:type="spellStart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>Peng</w:t>
      </w:r>
      <w:proofErr w:type="spellEnd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 Zhang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 xml:space="preserve">Xiao-Li Wu, Bin Cheng, Pei-Yuan Li, </w:t>
      </w:r>
      <w:proofErr w:type="spellStart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>Huan</w:t>
      </w:r>
      <w:proofErr w:type="spellEnd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 xml:space="preserve">-Jun Huang, </w:t>
      </w:r>
      <w:proofErr w:type="spellStart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>Qiu</w:t>
      </w:r>
      <w:proofErr w:type="spellEnd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 xml:space="preserve"> Zhao, </w:t>
      </w:r>
      <w:proofErr w:type="spellStart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>Zi</w:t>
      </w:r>
      <w:proofErr w:type="spellEnd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 xml:space="preserve">-Li Dan, Dean </w:t>
      </w:r>
      <w:proofErr w:type="spellStart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>Tian</w:t>
      </w:r>
      <w:proofErr w:type="spellEnd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>,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Department of Gastroenterology,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Tongji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Hospital,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Tongji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Medical College,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Huazhong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University of Science and Technology, Wuhan 430030, Hubei Province, China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proofErr w:type="spellStart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>Peng</w:t>
      </w:r>
      <w:proofErr w:type="spellEnd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 xml:space="preserve"> Zhang</w:t>
      </w:r>
      <w:r w:rsidRPr="006D4A8F">
        <w:rPr>
          <w:rStyle w:val="highlight"/>
          <w:rFonts w:ascii="Book Antiqua" w:eastAsia="Arial Unicode MS" w:hAnsi="Book Antiqua"/>
          <w:sz w:val="24"/>
          <w:szCs w:val="24"/>
        </w:rPr>
        <w:t>,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Department of Gastrointestinal Surgery,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Tongji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Hospital,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Tongji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Medical College,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Huazhong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University of Science and Technology, Wuhan 430030, Hubei Province, China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Author contributions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: Wu XL performed the majority of experiments</w:t>
      </w:r>
      <w:r w:rsidRPr="006D4A8F">
        <w:rPr>
          <w:rFonts w:ascii="Book Antiqua" w:hAnsi="Book Antiqua"/>
          <w:sz w:val="24"/>
          <w:szCs w:val="24"/>
        </w:rPr>
        <w:t xml:space="preserve">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and wrote the manuscript; Cheng B, Li PY, Huang HJ, Zhao Q, Dan ZL provided vital reagents and analytical tools;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Tian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DA provided financial support for this work; Zhang P designed the study and edited the manuscript.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bCs/>
          <w:kern w:val="0"/>
          <w:sz w:val="24"/>
          <w:szCs w:val="24"/>
        </w:rPr>
        <w:t xml:space="preserve">Correspondence to: </w:t>
      </w:r>
      <w:proofErr w:type="spellStart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>Peng</w:t>
      </w:r>
      <w:proofErr w:type="spellEnd"/>
      <w:r w:rsidRPr="006D4A8F">
        <w:rPr>
          <w:rStyle w:val="highlight"/>
          <w:rFonts w:ascii="Book Antiqua" w:eastAsia="Arial Unicode MS" w:hAnsi="Book Antiqua"/>
          <w:b/>
          <w:sz w:val="24"/>
          <w:szCs w:val="24"/>
        </w:rPr>
        <w:t xml:space="preserve"> Zhan</w:t>
      </w:r>
      <w:r w:rsidRPr="00DA1AF6">
        <w:rPr>
          <w:rStyle w:val="highlight"/>
          <w:rFonts w:ascii="Book Antiqua" w:eastAsia="Arial Unicode MS" w:hAnsi="Book Antiqua"/>
          <w:b/>
          <w:sz w:val="24"/>
          <w:szCs w:val="24"/>
        </w:rPr>
        <w:t xml:space="preserve">g, MD, PhD,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Department of Gastrointestinal Surgery,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Tongji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Hospital,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Tongji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Medical College,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Huazhong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University of Science and Technology, </w:t>
      </w:r>
      <w:r w:rsidRPr="006D4A8F">
        <w:rPr>
          <w:rStyle w:val="st1"/>
          <w:rFonts w:ascii="Book Antiqua" w:hAnsi="Book Antiqua"/>
          <w:color w:val="222222"/>
          <w:sz w:val="24"/>
          <w:szCs w:val="24"/>
        </w:rPr>
        <w:t xml:space="preserve">1095 </w:t>
      </w:r>
      <w:proofErr w:type="spellStart"/>
      <w:r w:rsidRPr="006D4A8F">
        <w:rPr>
          <w:rStyle w:val="st1"/>
          <w:rFonts w:ascii="Book Antiqua" w:hAnsi="Book Antiqua"/>
          <w:color w:val="222222"/>
          <w:sz w:val="24"/>
          <w:szCs w:val="24"/>
        </w:rPr>
        <w:t>Jiefang</w:t>
      </w:r>
      <w:proofErr w:type="spellEnd"/>
      <w:r w:rsidRPr="006D4A8F">
        <w:rPr>
          <w:rStyle w:val="st1"/>
          <w:rFonts w:ascii="Book Antiqua" w:hAnsi="Book Antiqua"/>
          <w:color w:val="222222"/>
          <w:sz w:val="24"/>
          <w:szCs w:val="24"/>
        </w:rPr>
        <w:t xml:space="preserve"> Avenue,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Wuhan 430030, Hubei Province, China. </w:t>
      </w:r>
      <w:hyperlink r:id="rId8" w:history="1">
        <w:r w:rsidRPr="006D4A8F">
          <w:rPr>
            <w:rStyle w:val="a9"/>
            <w:rFonts w:ascii="Book Antiqua" w:hAnsi="Book Antiqua"/>
            <w:kern w:val="0"/>
            <w:sz w:val="24"/>
            <w:szCs w:val="24"/>
            <w:u w:val="none"/>
          </w:rPr>
          <w:t>zhangpeng@tjh.tjmu.edu.cn</w:t>
        </w:r>
      </w:hyperlink>
    </w:p>
    <w:p w:rsidR="006F1729" w:rsidRPr="006D4A8F" w:rsidRDefault="006F1729" w:rsidP="00D6075F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6D4A8F">
        <w:rPr>
          <w:rFonts w:ascii="Book Antiqua" w:hAnsi="Book Antiqua"/>
          <w:b/>
          <w:color w:val="000000"/>
          <w:sz w:val="24"/>
        </w:rPr>
        <w:lastRenderedPageBreak/>
        <w:t>Telephone:</w:t>
      </w:r>
      <w:r w:rsidRPr="006D4A8F">
        <w:rPr>
          <w:rFonts w:ascii="Book Antiqua" w:hAnsi="Book Antiqua"/>
          <w:color w:val="000000"/>
          <w:sz w:val="24"/>
        </w:rPr>
        <w:t xml:space="preserve"> </w:t>
      </w:r>
      <w:r w:rsidRPr="006D4A8F">
        <w:rPr>
          <w:rFonts w:ascii="Book Antiqua" w:hAnsi="Book Antiqua"/>
          <w:kern w:val="0"/>
          <w:sz w:val="24"/>
          <w:szCs w:val="24"/>
        </w:rPr>
        <w:t xml:space="preserve">+86-27-83665256     </w:t>
      </w:r>
      <w:r w:rsidRPr="006D4A8F">
        <w:rPr>
          <w:rFonts w:ascii="Book Antiqua" w:hAnsi="Book Antiqua"/>
          <w:b/>
          <w:color w:val="000000"/>
          <w:sz w:val="24"/>
        </w:rPr>
        <w:t xml:space="preserve">Fax: </w:t>
      </w:r>
      <w:r w:rsidRPr="006D4A8F">
        <w:rPr>
          <w:rFonts w:ascii="Book Antiqua" w:hAnsi="Book Antiqua"/>
          <w:kern w:val="0"/>
          <w:sz w:val="24"/>
          <w:szCs w:val="24"/>
        </w:rPr>
        <w:t>+86-27-83665256</w:t>
      </w:r>
    </w:p>
    <w:p w:rsidR="006F1729" w:rsidRPr="006D4A8F" w:rsidRDefault="006F1729" w:rsidP="00D6075F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6D4A8F">
        <w:rPr>
          <w:rFonts w:ascii="Book Antiqua" w:hAnsi="Book Antiqua"/>
          <w:b/>
          <w:kern w:val="0"/>
          <w:sz w:val="24"/>
          <w:szCs w:val="24"/>
        </w:rPr>
        <w:t xml:space="preserve">Received: </w:t>
      </w:r>
      <w:bookmarkStart w:id="0" w:name="OLE_LINK131"/>
      <w:bookmarkStart w:id="1" w:name="OLE_LINK132"/>
      <w:bookmarkStart w:id="2" w:name="OLE_LINK141"/>
      <w:bookmarkStart w:id="3" w:name="OLE_LINK151"/>
      <w:bookmarkStart w:id="4" w:name="OLE_LINK30"/>
      <w:r w:rsidRPr="00421E83">
        <w:rPr>
          <w:rFonts w:ascii="Book Antiqua" w:hAnsi="Book Antiqua"/>
          <w:sz w:val="24"/>
          <w:szCs w:val="24"/>
        </w:rPr>
        <w:t>May</w:t>
      </w:r>
      <w:bookmarkEnd w:id="0"/>
      <w:bookmarkEnd w:id="1"/>
      <w:bookmarkEnd w:id="2"/>
      <w:bookmarkEnd w:id="3"/>
      <w:bookmarkEnd w:id="4"/>
      <w:r>
        <w:rPr>
          <w:rFonts w:ascii="Book Antiqua" w:hAnsi="Book Antiqua"/>
          <w:sz w:val="24"/>
          <w:szCs w:val="24"/>
        </w:rPr>
        <w:t xml:space="preserve"> 30, 2013        </w:t>
      </w:r>
      <w:r w:rsidRPr="006D4A8F">
        <w:rPr>
          <w:rFonts w:ascii="Book Antiqua" w:hAnsi="Book Antiqua"/>
          <w:b/>
          <w:kern w:val="0"/>
          <w:sz w:val="24"/>
          <w:szCs w:val="24"/>
        </w:rPr>
        <w:t xml:space="preserve">  Revised: </w:t>
      </w:r>
      <w:bookmarkStart w:id="5" w:name="OLE_LINK154"/>
      <w:bookmarkStart w:id="6" w:name="OLE_LINK156"/>
      <w:r w:rsidRPr="00421E83">
        <w:rPr>
          <w:rFonts w:ascii="Book Antiqua" w:hAnsi="Book Antiqua"/>
          <w:sz w:val="24"/>
          <w:szCs w:val="24"/>
        </w:rPr>
        <w:t>September</w:t>
      </w:r>
      <w:bookmarkEnd w:id="5"/>
      <w:bookmarkEnd w:id="6"/>
      <w:r>
        <w:rPr>
          <w:rFonts w:ascii="Book Antiqua" w:hAnsi="Book Antiqua"/>
          <w:sz w:val="24"/>
          <w:szCs w:val="24"/>
        </w:rPr>
        <w:t xml:space="preserve"> 20, 2013</w:t>
      </w:r>
      <w:r w:rsidRPr="006D4A8F">
        <w:rPr>
          <w:rFonts w:ascii="Book Antiqua" w:hAnsi="Book Antiqua"/>
          <w:b/>
          <w:kern w:val="0"/>
          <w:sz w:val="24"/>
          <w:szCs w:val="24"/>
        </w:rPr>
        <w:t xml:space="preserve"> </w:t>
      </w:r>
    </w:p>
    <w:p w:rsidR="00706EAC" w:rsidRPr="00E05543" w:rsidRDefault="006F1729" w:rsidP="00706EAC">
      <w:pPr>
        <w:rPr>
          <w:rFonts w:ascii="Book Antiqua" w:hAnsi="Book Antiqua"/>
          <w:sz w:val="24"/>
          <w:szCs w:val="24"/>
        </w:rPr>
      </w:pPr>
      <w:r w:rsidRPr="006D4A8F">
        <w:rPr>
          <w:rFonts w:ascii="Book Antiqua" w:hAnsi="Book Antiqua"/>
          <w:b/>
          <w:kern w:val="0"/>
          <w:sz w:val="24"/>
          <w:szCs w:val="24"/>
        </w:rPr>
        <w:t xml:space="preserve">Accepted: </w:t>
      </w:r>
      <w:r w:rsidR="00706EAC" w:rsidRPr="00E05543">
        <w:rPr>
          <w:rFonts w:ascii="Book Antiqua" w:hAnsi="Book Antiqua"/>
          <w:sz w:val="24"/>
          <w:szCs w:val="24"/>
        </w:rPr>
        <w:t>September 29, 2013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bookmarkStart w:id="7" w:name="_GoBack"/>
      <w:bookmarkEnd w:id="7"/>
      <w:r w:rsidRPr="006D4A8F">
        <w:rPr>
          <w:rFonts w:ascii="Book Antiqua" w:hAnsi="Book Antiqua"/>
          <w:b/>
          <w:kern w:val="0"/>
          <w:sz w:val="24"/>
          <w:szCs w:val="24"/>
        </w:rPr>
        <w:t xml:space="preserve"> </w:t>
      </w:r>
    </w:p>
    <w:p w:rsidR="006F1729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DE24E2">
        <w:rPr>
          <w:rFonts w:ascii="Book Antiqua" w:hAnsi="Book Antiqua"/>
          <w:b/>
          <w:kern w:val="0"/>
          <w:sz w:val="24"/>
          <w:szCs w:val="24"/>
        </w:rPr>
        <w:t>Published online:</w:t>
      </w:r>
    </w:p>
    <w:p w:rsidR="006F1729" w:rsidRPr="00DE24E2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Abstract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AIM: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To investigate the function of miR-143 in gastric cancer and explore the target genes of miR-143.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METHODS: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A quantitative real-time reverse transcription </w:t>
      </w:r>
      <w:bookmarkStart w:id="8" w:name="OLE_LINK159"/>
      <w:bookmarkStart w:id="9" w:name="OLE_LINK160"/>
      <w:r w:rsidRPr="006D4A8F">
        <w:rPr>
          <w:rFonts w:ascii="Book Antiqua" w:hAnsi="Book Antiqua"/>
          <w:sz w:val="24"/>
        </w:rPr>
        <w:t>polymerase chain reaction</w:t>
      </w:r>
      <w:bookmarkEnd w:id="8"/>
      <w:bookmarkEnd w:id="9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(RT-PCR) analysis was performed to evaluate miR-143 expression in gastric cancer cell lines. After transfecting gastric cancer cells with miR-143-5p and miR-143-3p precursors,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blue and apoptosis assays were used to measure the respective proliferation and apoptosis rates. COX-2 expression was determined by real-time RT-PCR and Western blot assays after miR-143 transfection. Reporter plasmids were constructed, and a luciferase reporter assay was used to identify the miR-143 binding site on COX-2.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RESULTS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: Both miR-143-5p and miR-143-3p were significantly down-regulated in multiple gastric cancer cell lines. Forced miR-143-5p and miR-143-3p expression in gastric cancer cells produced a profound cytotoxic effect. miR-145-5p transfection into gastric cancer cells resulted in a greater growth inhibitory effect (61.23% ± 3.16% </w:t>
      </w:r>
      <w:proofErr w:type="spellStart"/>
      <w:r w:rsidRPr="006D4A8F">
        <w:rPr>
          <w:rFonts w:ascii="Book Antiqua" w:eastAsia="Arial Unicode MS" w:hAnsi="Book Antiqua"/>
          <w:i/>
          <w:kern w:val="0"/>
          <w:sz w:val="24"/>
          <w:szCs w:val="24"/>
        </w:rPr>
        <w:t>vs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46.58% ± 4.28%</w:t>
      </w:r>
      <w:r>
        <w:rPr>
          <w:rFonts w:ascii="Book Antiqua" w:eastAsia="Arial Unicode MS" w:hAnsi="Book Antiqua"/>
          <w:kern w:val="0"/>
          <w:sz w:val="24"/>
          <w:szCs w:val="24"/>
        </w:rPr>
        <w:t>,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</w:t>
      </w:r>
      <w:r w:rsidRPr="006D4A8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&lt; 0.05 in the MKN-1 cell line) and a higher apoptosis rate (28.74% ± 1.93% </w:t>
      </w:r>
      <w:proofErr w:type="spellStart"/>
      <w:r w:rsidRPr="006D4A8F">
        <w:rPr>
          <w:rFonts w:ascii="Book Antiqua" w:eastAsia="Arial Unicode MS" w:hAnsi="Book Antiqua"/>
          <w:i/>
          <w:kern w:val="0"/>
          <w:sz w:val="24"/>
          <w:szCs w:val="24"/>
        </w:rPr>
        <w:t>vs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22.13% ± 3.31%</w:t>
      </w:r>
      <w:r>
        <w:rPr>
          <w:rFonts w:ascii="Book Antiqua" w:eastAsia="Arial Unicode MS" w:hAnsi="Book Antiqua"/>
          <w:kern w:val="0"/>
          <w:sz w:val="24"/>
          <w:szCs w:val="24"/>
        </w:rPr>
        <w:t xml:space="preserve">, </w:t>
      </w:r>
      <w:r w:rsidRPr="006D4A8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&lt; 0.05 in the MKN-1 cell line) than that with miR-143-3p transfection. Further analysis indicated that cyclooxygenase-2 (COX-2) expression was potently suppressed by miR-143-5p but not by miR-143-3p. The activity of a luciferase reporter construct that contained the 3'-untranslated region (UTR)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lastRenderedPageBreak/>
        <w:t xml:space="preserve">of COX-2 was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by miR-143-5p (43.6% ± 4.86%</w:t>
      </w:r>
      <w:r>
        <w:rPr>
          <w:rFonts w:ascii="Book Antiqua" w:eastAsia="Arial Unicode MS" w:hAnsi="Book Antiqua"/>
          <w:kern w:val="0"/>
          <w:sz w:val="24"/>
          <w:szCs w:val="24"/>
        </w:rPr>
        <w:t>,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</w:t>
      </w:r>
      <w:r w:rsidRPr="006D4A8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&lt; 0.01) but not by miR-143-3p. A mutation in the miR-145-5p binding site completely ablated the regulatory effect on luciferase activity, which suggests that there is a direct miR-145-5p binding site in the 3'-UTR of COX-2.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CONCLUSION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: Both miR-143-5p and miR-143-3p function as anti-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oncomirs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in gastric cancer. However, miR-143-5p alone directly targets COX-2, and this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exhibited a stronger tumor suppressive effect than miR-143-3p.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A3109">
      <w:pPr>
        <w:spacing w:line="360" w:lineRule="auto"/>
        <w:rPr>
          <w:rFonts w:ascii="Book Antiqua" w:hAnsi="Book Antiqua"/>
          <w:color w:val="000000"/>
          <w:sz w:val="24"/>
        </w:rPr>
      </w:pPr>
      <w:r w:rsidRPr="006D4A8F">
        <w:rPr>
          <w:rFonts w:ascii="Book Antiqua" w:hAnsi="Book Antiqua"/>
          <w:sz w:val="24"/>
        </w:rPr>
        <w:t xml:space="preserve">© 2013 </w:t>
      </w:r>
      <w:proofErr w:type="spellStart"/>
      <w:r w:rsidRPr="006D4A8F">
        <w:rPr>
          <w:rFonts w:ascii="Book Antiqua" w:hAnsi="Book Antiqua"/>
          <w:sz w:val="24"/>
        </w:rPr>
        <w:t>Baishideng</w:t>
      </w:r>
      <w:proofErr w:type="spellEnd"/>
      <w:r w:rsidRPr="006D4A8F">
        <w:rPr>
          <w:rFonts w:ascii="Book Antiqua" w:hAnsi="Book Antiqua"/>
          <w:sz w:val="24"/>
        </w:rPr>
        <w:t>. All rights reserved.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Key words: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Gastric cancer; microRNA-143; Anti-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oncomir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; </w:t>
      </w:r>
      <w:bookmarkStart w:id="10" w:name="OLE_LINK10"/>
      <w:bookmarkStart w:id="11" w:name="OLE_LINK11"/>
      <w:r w:rsidRPr="006D4A8F">
        <w:rPr>
          <w:rFonts w:ascii="Book Antiqua" w:eastAsia="Arial Unicode MS" w:hAnsi="Book Antiqua"/>
          <w:kern w:val="0"/>
          <w:sz w:val="24"/>
          <w:szCs w:val="24"/>
        </w:rPr>
        <w:t>COX-2</w:t>
      </w:r>
      <w:bookmarkEnd w:id="10"/>
      <w:bookmarkEnd w:id="11"/>
      <w:r w:rsidRPr="006D4A8F">
        <w:rPr>
          <w:rFonts w:ascii="Book Antiqua" w:eastAsia="Arial Unicode MS" w:hAnsi="Book Antiqua"/>
          <w:kern w:val="0"/>
          <w:sz w:val="24"/>
          <w:szCs w:val="24"/>
        </w:rPr>
        <w:t>; Apoptosis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 xml:space="preserve">Core tip: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miR-143 has been reported to be a tumor suppressor. However, the functions of miR-143-5p and miR-143-3p have never been compared. In this study, we found that both miR-143-5p and miR-143-3p function as tumor suppressors in gastric cancer; however, miR-143-5p alone directly targets COX-2, and it exhibits a stronger tumor suppressive effect than miR-143-3p.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E03344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Wu XL, Cheng B, Li PY, Huang HJ, Zhao Q, Dan ZL, </w:t>
      </w:r>
      <w:proofErr w:type="spellStart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>Tian</w:t>
      </w:r>
      <w:proofErr w:type="spellEnd"/>
      <w:r w:rsidRPr="006D4A8F">
        <w:rPr>
          <w:rStyle w:val="highlight"/>
          <w:rFonts w:ascii="Book Antiqua" w:eastAsia="Arial Unicode MS" w:hAnsi="Book Antiqua"/>
          <w:sz w:val="24"/>
          <w:szCs w:val="24"/>
        </w:rPr>
        <w:t xml:space="preserve"> D, Zhang P.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microRNA-143 suppresses gastric cancer cell growth and induces apoptosis by targeting COX-2.</w:t>
      </w:r>
    </w:p>
    <w:p w:rsidR="006F1729" w:rsidRPr="006D4A8F" w:rsidRDefault="006F1729" w:rsidP="00E03344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</w:p>
    <w:p w:rsidR="006F1729" w:rsidRPr="006D4A8F" w:rsidRDefault="006F1729" w:rsidP="00E03344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2" w:name="OLE_LINK46"/>
      <w:bookmarkStart w:id="13" w:name="OLE_LINK47"/>
      <w:bookmarkStart w:id="14" w:name="OLE_LINK61"/>
      <w:bookmarkStart w:id="15" w:name="OLE_LINK84"/>
      <w:bookmarkStart w:id="16" w:name="OLE_LINK90"/>
      <w:bookmarkStart w:id="17" w:name="OLE_LINK104"/>
      <w:r w:rsidRPr="006D4A8F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6F1729" w:rsidRPr="006D4A8F" w:rsidRDefault="006F1729" w:rsidP="00E03344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D4A8F">
        <w:rPr>
          <w:rFonts w:ascii="Book Antiqua" w:hAnsi="Book Antiqua"/>
          <w:b/>
          <w:sz w:val="24"/>
          <w:szCs w:val="24"/>
        </w:rPr>
        <w:t>DOI:</w:t>
      </w:r>
    </w:p>
    <w:bookmarkEnd w:id="12"/>
    <w:bookmarkEnd w:id="13"/>
    <w:bookmarkEnd w:id="14"/>
    <w:bookmarkEnd w:id="15"/>
    <w:bookmarkEnd w:id="16"/>
    <w:bookmarkEnd w:id="17"/>
    <w:p w:rsidR="006F1729" w:rsidRPr="006D4A8F" w:rsidRDefault="006F1729" w:rsidP="00E03344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b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bCs/>
          <w:kern w:val="0"/>
          <w:sz w:val="24"/>
          <w:szCs w:val="24"/>
        </w:rPr>
        <w:t>INTRODUCTION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color w:val="000000"/>
          <w:sz w:val="24"/>
          <w:szCs w:val="24"/>
        </w:rPr>
        <w:t>MicroRNAs (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) are short (19–24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nt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) non-coding RNAs that control target mRNA translation and stability by binding to regulatory sites that are mostly located in the 3′-UTR of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transcripts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="00EB442A">
        <w:fldChar w:fldCharType="begin"/>
      </w:r>
      <w:r w:rsidR="00EB442A">
        <w:instrText xml:space="preserve"> HYPERLINK "http://nar.oxfordjournals.org/content/early/2011/12/29/nar.gkr1222.long" \l "ref-1" </w:instrText>
      </w:r>
      <w:r w:rsidR="00EB442A">
        <w:fldChar w:fldCharType="separate"/>
      </w:r>
      <w:r w:rsidRPr="006D4A8F">
        <w:rPr>
          <w:rFonts w:ascii="Book Antiqua" w:hAnsi="Book Antiqua"/>
          <w:sz w:val="24"/>
          <w:szCs w:val="24"/>
          <w:vertAlign w:val="superscript"/>
        </w:rPr>
        <w:t>1</w:t>
      </w:r>
      <w:r w:rsidR="00EB44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Numerous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have been shown to display tumor suppressor activity, while others reportedly act as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oncogenes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The expression levels of these RNAs are altered in many human tumors, resulting in distinct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networks in various tumor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types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3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Some targets of these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have been identified, but many of the critical cancer proteins and pathways that they regulate remain unknown. </w:t>
      </w:r>
    </w:p>
    <w:p w:rsidR="006F1729" w:rsidRPr="006D4A8F" w:rsidRDefault="006F1729" w:rsidP="00C73BD2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color w:val="000000"/>
          <w:sz w:val="24"/>
          <w:szCs w:val="24"/>
        </w:rPr>
        <w:t>miR-143 is considered a pivotal regulator of gene expression because it directly targets multiple mRNAs that code proteins involved in cell proliferation, differentiation, survival and apoptosis, including COX-2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4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V-Ki-ras2 Kirsten rat sarcoma viral oncogene homolog (KRAS)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5, 6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B-cell lymphoma 2 (Bcl-2)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7, 8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plasminogen activator inhibitor-1 (PAI-1)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9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myosin VI (MYO6)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10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, matrix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metallopeptidase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</w:t>
      </w:r>
      <w:r w:rsidRPr="006D4A8F">
        <w:rPr>
          <w:rFonts w:ascii="Book Antiqua" w:eastAsia="Arial Unicode MS" w:hAnsi="Book Antiqua"/>
          <w:bCs/>
          <w:color w:val="000000"/>
          <w:sz w:val="24"/>
          <w:szCs w:val="24"/>
        </w:rPr>
        <w:t xml:space="preserve">13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(MMP-13)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11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DNA (cytosine-5)-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methyltransferase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3A (DNMT3A)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and E twenty-six (ETS)-like transcription factor 1 (ELK1)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13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The relevance of miR-143 as a putative cancer biomarker is increasing, </w:t>
      </w:r>
      <w:bookmarkStart w:id="18" w:name="OLE_LINK7"/>
      <w:bookmarkStart w:id="19" w:name="OLE_LINK8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because this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is down-regulated in various human tumors and can suppress tumor growth in cancers of the urogenital system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7, 9</w:t>
      </w:r>
      <w:r>
        <w:rPr>
          <w:rFonts w:ascii="Book Antiqua" w:eastAsia="Arial Unicode MS" w:hAnsi="Book Antiqua"/>
          <w:sz w:val="24"/>
          <w:szCs w:val="24"/>
          <w:vertAlign w:val="superscript"/>
        </w:rPr>
        <w:t xml:space="preserve">, 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10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digestive system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[14</w:t>
      </w:r>
      <w:r>
        <w:rPr>
          <w:rFonts w:ascii="Book Antiqua" w:eastAsia="Arial Unicode MS" w:hAnsi="Book Antiqua"/>
          <w:sz w:val="24"/>
          <w:szCs w:val="24"/>
          <w:vertAlign w:val="superscript"/>
        </w:rPr>
        <w:t>-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16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respiratory system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[17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, 18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and nervous system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[19]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as well as some sarcomas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11, 20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and B-cell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malignancies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[2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miR-143</w:t>
      </w:r>
      <w:proofErr w:type="gram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expression has also been reported to be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human gastric cancer tissues and cell lines</w:t>
      </w:r>
      <w:bookmarkEnd w:id="18"/>
      <w:bookmarkEnd w:id="19"/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In human tissue samples, the expression level of miR-143 is significantly decreased in stage IV gastric cancer, compared to stages I and II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cancers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23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. However, the role of miR-143 in gastric cancer and the underlying mechanisms require further investigation.</w:t>
      </w:r>
    </w:p>
    <w:p w:rsidR="006F1729" w:rsidRPr="006D4A8F" w:rsidRDefault="006F1729" w:rsidP="003C6ABF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Among the target genes regulated by miR-143, COX-2 is particularly important. Cyclooxygenase (COX), also known as prostaglandin (PG) H2 synthase, is the rate-limiting enzyme in the conversion of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arachidonic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acid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lastRenderedPageBreak/>
        <w:t xml:space="preserve">into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PGs.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COX-2 expression in cells and animal models is associated with tumor cell growth and metastasis, enhanced cellular adhesion and apoptosis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inhibition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2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4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Pharmacologic inhibitors of COX-2 can decrease the growth of certain human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tumors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25, 26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and prevent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tumorigenesis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animal models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27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A pathological study showed increased COX-2 expression levels in gastric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cancer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 xml:space="preserve">28, 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29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Reduced COX-2 expression in gastric cancer cells led to markedly decreased proliferation and metastatic capability, demonstrating that COX-2 activity is necessary for gastric cancer cell proliferation and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metastasis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30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</w:t>
      </w:r>
      <w:r w:rsidRPr="006D4A8F">
        <w:rPr>
          <w:rFonts w:ascii="Book Antiqua" w:hAnsi="Book Antiqua"/>
          <w:color w:val="131413"/>
          <w:kern w:val="0"/>
          <w:sz w:val="24"/>
          <w:szCs w:val="24"/>
        </w:rPr>
        <w:t>All of the above evidence</w:t>
      </w:r>
      <w:r w:rsidRPr="006D4A8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D4A8F">
        <w:rPr>
          <w:rFonts w:ascii="Book Antiqua" w:hAnsi="Book Antiqua"/>
          <w:sz w:val="24"/>
          <w:szCs w:val="24"/>
        </w:rPr>
        <w:t>indicate</w:t>
      </w:r>
      <w:proofErr w:type="gramEnd"/>
      <w:r w:rsidRPr="006D4A8F">
        <w:rPr>
          <w:rFonts w:ascii="Book Antiqua" w:hAnsi="Book Antiqua"/>
          <w:sz w:val="24"/>
          <w:szCs w:val="24"/>
        </w:rPr>
        <w:t xml:space="preserve"> that COX-2 plays an important role in gastric cancer.</w:t>
      </w:r>
      <w:r w:rsidRPr="006D4A8F">
        <w:rPr>
          <w:rFonts w:ascii="Book Antiqua" w:hAnsi="Book Antiqua"/>
          <w:color w:val="131413"/>
          <w:kern w:val="0"/>
          <w:sz w:val="24"/>
          <w:szCs w:val="24"/>
        </w:rPr>
        <w:t xml:space="preserve"> In this study, we investigated the roles of miR-143 and COX-2 in gastric cancer and found that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both miR-143-5p and miR-143-3p function as tumor suppressors in gastric cancer; however, miR-143-5p alone directly targeted COX-2 and exhibited a stronger tumor suppressive effect than miR-143-3p.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D4A8F">
        <w:rPr>
          <w:rFonts w:ascii="Book Antiqua" w:hAnsi="Book Antiqua"/>
          <w:b/>
          <w:sz w:val="24"/>
          <w:szCs w:val="24"/>
        </w:rPr>
        <w:t>MATERIALS AND METHODS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Cell culture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 xml:space="preserve">The human gastric cancer cell lines </w:t>
      </w:r>
      <w:bookmarkStart w:id="20" w:name="OLE_LINK1"/>
      <w:r w:rsidRPr="006D4A8F">
        <w:rPr>
          <w:rFonts w:ascii="Book Antiqua" w:eastAsia="Arial Unicode MS" w:hAnsi="Book Antiqua"/>
          <w:sz w:val="24"/>
          <w:szCs w:val="24"/>
        </w:rPr>
        <w:t>MKN-1</w:t>
      </w:r>
      <w:bookmarkEnd w:id="20"/>
      <w:r w:rsidRPr="006D4A8F">
        <w:rPr>
          <w:rFonts w:ascii="Book Antiqua" w:eastAsia="Arial Unicode MS" w:hAnsi="Book Antiqua"/>
          <w:sz w:val="24"/>
          <w:szCs w:val="24"/>
        </w:rPr>
        <w:t xml:space="preserve">, MKN-7, </w:t>
      </w:r>
      <w:bookmarkStart w:id="21" w:name="OLE_LINK2"/>
      <w:r w:rsidRPr="006D4A8F">
        <w:rPr>
          <w:rFonts w:ascii="Book Antiqua" w:eastAsia="Arial Unicode MS" w:hAnsi="Book Antiqua"/>
          <w:sz w:val="24"/>
          <w:szCs w:val="24"/>
        </w:rPr>
        <w:t>AGS</w:t>
      </w:r>
      <w:bookmarkEnd w:id="21"/>
      <w:r w:rsidRPr="006D4A8F">
        <w:rPr>
          <w:rFonts w:ascii="Book Antiqua" w:eastAsia="Arial Unicode MS" w:hAnsi="Book Antiqua"/>
          <w:sz w:val="24"/>
          <w:szCs w:val="24"/>
        </w:rPr>
        <w:t xml:space="preserve">, </w:t>
      </w:r>
      <w:bookmarkStart w:id="22" w:name="OLE_LINK5"/>
      <w:r w:rsidRPr="006D4A8F">
        <w:rPr>
          <w:rFonts w:ascii="Book Antiqua" w:eastAsia="Arial Unicode MS" w:hAnsi="Book Antiqua"/>
          <w:sz w:val="24"/>
          <w:szCs w:val="24"/>
        </w:rPr>
        <w:t>SGC-7901</w:t>
      </w:r>
      <w:bookmarkEnd w:id="22"/>
      <w:r w:rsidRPr="006D4A8F">
        <w:rPr>
          <w:rFonts w:ascii="Book Antiqua" w:eastAsia="Arial Unicode MS" w:hAnsi="Book Antiqua"/>
          <w:sz w:val="24"/>
          <w:szCs w:val="24"/>
        </w:rPr>
        <w:t xml:space="preserve"> and </w:t>
      </w:r>
      <w:bookmarkStart w:id="23" w:name="OLE_LINK6"/>
      <w:r w:rsidRPr="006D4A8F">
        <w:rPr>
          <w:rFonts w:ascii="Book Antiqua" w:eastAsia="Arial Unicode MS" w:hAnsi="Book Antiqua"/>
          <w:sz w:val="24"/>
          <w:szCs w:val="24"/>
        </w:rPr>
        <w:t>BGC-823</w:t>
      </w:r>
      <w:bookmarkEnd w:id="23"/>
      <w:r w:rsidRPr="006D4A8F">
        <w:rPr>
          <w:rFonts w:ascii="Book Antiqua" w:eastAsia="Arial Unicode MS" w:hAnsi="Book Antiqua"/>
          <w:sz w:val="24"/>
          <w:szCs w:val="24"/>
        </w:rPr>
        <w:t xml:space="preserve"> and the normal gastric epithelium cell line </w:t>
      </w:r>
      <w:bookmarkStart w:id="24" w:name="OLE_LINK12"/>
      <w:r w:rsidRPr="006D4A8F">
        <w:rPr>
          <w:rFonts w:ascii="Book Antiqua" w:eastAsia="Arial Unicode MS" w:hAnsi="Book Antiqua"/>
          <w:sz w:val="24"/>
          <w:szCs w:val="24"/>
        </w:rPr>
        <w:t>GES-1</w:t>
      </w:r>
      <w:bookmarkEnd w:id="24"/>
      <w:r w:rsidRPr="006D4A8F">
        <w:rPr>
          <w:rFonts w:ascii="Book Antiqua" w:eastAsia="Arial Unicode MS" w:hAnsi="Book Antiqua"/>
          <w:sz w:val="24"/>
          <w:szCs w:val="24"/>
        </w:rPr>
        <w:t xml:space="preserve"> were grown in RPMI 1640 medium supplemented with 10%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FBS (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Hyclone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>). The cell cultures were incubated in room air at 37°C in a humidified atmosphere of 5% CO</w:t>
      </w:r>
      <w:r w:rsidRPr="006D4A8F">
        <w:rPr>
          <w:rFonts w:ascii="Book Antiqua" w:eastAsia="Arial Unicode MS" w:hAnsi="Book Antiqua"/>
          <w:kern w:val="0"/>
          <w:sz w:val="24"/>
          <w:szCs w:val="24"/>
          <w:vertAlign w:val="subscript"/>
        </w:rPr>
        <w:t>2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Reverse transcription and real-time PCR to quantify mature miR-143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Total RNA was extracted with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TRIzol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(Invitrogen).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</w:t>
      </w:r>
      <w:r w:rsidRPr="006D4A8F">
        <w:rPr>
          <w:rFonts w:ascii="Book Antiqua" w:eastAsia="Arial Unicode MS" w:hAnsi="Book Antiqua"/>
          <w:sz w:val="24"/>
          <w:szCs w:val="24"/>
        </w:rPr>
        <w:t xml:space="preserve">For mature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expression analysis,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cDNA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was synthesized with the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Taqman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MicroRNA </w:t>
      </w:r>
      <w:bookmarkStart w:id="25" w:name="OLE_LINK3"/>
      <w:bookmarkStart w:id="26" w:name="OLE_LINK4"/>
      <w:r w:rsidRPr="006D4A8F">
        <w:rPr>
          <w:rFonts w:ascii="Book Antiqua" w:eastAsia="Arial Unicode MS" w:hAnsi="Book Antiqua"/>
          <w:sz w:val="24"/>
          <w:szCs w:val="24"/>
        </w:rPr>
        <w:t xml:space="preserve">Reverse Transcription kit </w:t>
      </w:r>
      <w:bookmarkEnd w:id="25"/>
      <w:bookmarkEnd w:id="26"/>
      <w:r w:rsidRPr="006D4A8F">
        <w:rPr>
          <w:rFonts w:ascii="Book Antiqua" w:eastAsia="Arial Unicode MS" w:hAnsi="Book Antiqua"/>
          <w:sz w:val="24"/>
          <w:szCs w:val="24"/>
        </w:rPr>
        <w:t xml:space="preserve">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) and 100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ng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of total RNA (100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ng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/µL), along with 1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μL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of miR-143-5p 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) or miR-143-3p 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) specific primers that were supplied with the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miR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Taqman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MicroRNA Assay, according to the manufacturer’s instructions. Quantitative real-time PCR analyses were performed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in triplicate </w:t>
      </w:r>
      <w:r w:rsidRPr="006D4A8F">
        <w:rPr>
          <w:rFonts w:ascii="Book Antiqua" w:eastAsia="Arial Unicode MS" w:hAnsi="Book Antiqua"/>
          <w:sz w:val="24"/>
          <w:szCs w:val="24"/>
        </w:rPr>
        <w:t xml:space="preserve">on a 7900HT </w:t>
      </w:r>
      <w:r w:rsidRPr="006D4A8F">
        <w:rPr>
          <w:rFonts w:ascii="Book Antiqua" w:eastAsia="Arial Unicode MS" w:hAnsi="Book Antiqua"/>
          <w:sz w:val="24"/>
          <w:szCs w:val="24"/>
        </w:rPr>
        <w:lastRenderedPageBreak/>
        <w:t xml:space="preserve">Real-Time PCR System 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), and the data were normalized to RNU6B 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>) for each reaction.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The thermal cycling profile used was as follows: 95°C for 10 min, followed by 40 cycles at 95°C for 15 s and 60°C for 60 s. Quantification was performed according to the standard </w:t>
      </w:r>
      <w:r w:rsidRPr="006D4A8F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ΔΔ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CT method.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color w:val="000000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Transfection of the miR-143 precursor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 xml:space="preserve">Cells were seeded 24 h prior to transfection into 24-well or 6-well plates or 6 cm dishes. </w:t>
      </w:r>
      <w:proofErr w:type="gramStart"/>
      <w:r w:rsidRPr="006D4A8F">
        <w:rPr>
          <w:rFonts w:ascii="Book Antiqua" w:eastAsia="Arial Unicode MS" w:hAnsi="Book Antiqua"/>
          <w:sz w:val="24"/>
          <w:szCs w:val="24"/>
        </w:rPr>
        <w:t>hsa-miR-143-5p</w:t>
      </w:r>
      <w:proofErr w:type="gramEnd"/>
      <w:r w:rsidRPr="006D4A8F">
        <w:rPr>
          <w:rFonts w:ascii="Book Antiqua" w:eastAsia="Arial Unicode MS" w:hAnsi="Book Antiqua"/>
          <w:sz w:val="24"/>
          <w:szCs w:val="24"/>
        </w:rPr>
        <w:t xml:space="preserve"> 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), hsa-miR-143-3p 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) or a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mimic control (Applied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Biosystems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) were transfected with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Lipofectamine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2000 (Invitrogen) </w:t>
      </w:r>
      <w:bookmarkStart w:id="27" w:name="OLE_LINK9"/>
      <w:r w:rsidRPr="006D4A8F">
        <w:rPr>
          <w:rFonts w:ascii="Book Antiqua" w:eastAsia="Arial Unicode MS" w:hAnsi="Book Antiqua"/>
          <w:sz w:val="24"/>
          <w:szCs w:val="24"/>
        </w:rPr>
        <w:t xml:space="preserve">at a final concentration of 50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nM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>.</w:t>
      </w:r>
      <w:bookmarkEnd w:id="27"/>
      <w:r w:rsidRPr="006D4A8F">
        <w:rPr>
          <w:rFonts w:ascii="Book Antiqua" w:eastAsia="Arial Unicode MS" w:hAnsi="Book Antiqua"/>
          <w:sz w:val="24"/>
          <w:szCs w:val="24"/>
        </w:rPr>
        <w:t xml:space="preserve"> The sequences of the mature miR-143-5p and miR-143-3p used in this study were GGUGCAGUGCUGCAUCUCUGGU and UGAGAUGAAGCACUGUAGCUC, respectively. The cells were harvested at 24 h (for RNA extraction), 48 h (for protein extraction) or 72 h (for apoptosis assays).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Cell viability assays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 xml:space="preserve">An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blue assay was used to measure cell proliferation. This assay is based on the quantitative metabolic conversion of blue, non-fluorescent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resazurin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to pink, fluorescent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resorufin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by living cells. After 72 h of incubation, an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blue (Invitrogen) stock solution was aseptically added to the wells to equal to 10% of the total incubation volume. The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resazurin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reduction in the cultures</w:t>
      </w:r>
      <w:r>
        <w:rPr>
          <w:rFonts w:ascii="Book Antiqua" w:eastAsia="Arial Unicode MS" w:hAnsi="Book Antiqua"/>
          <w:sz w:val="24"/>
          <w:szCs w:val="24"/>
        </w:rPr>
        <w:t xml:space="preserve"> was determined after a 2–6-h</w:t>
      </w:r>
      <w:r w:rsidRPr="006D4A8F">
        <w:rPr>
          <w:rFonts w:ascii="Book Antiqua" w:eastAsia="Arial Unicode MS" w:hAnsi="Book Antiqua"/>
          <w:sz w:val="24"/>
          <w:szCs w:val="24"/>
        </w:rPr>
        <w:t xml:space="preserve"> incubation with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blue by measuring the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absorbances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at 530-nm and 590-nm wavelengths on a Synergy HT Multi-Mode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Microplate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Reader (Bio-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tek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Instruments).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Apoptosis assay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 xml:space="preserve">Following maintenance in culture, the cells were harvested and stained with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lastRenderedPageBreak/>
        <w:t>phycoerythrin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(PE)-conjugated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Annexin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V according to the manufacturer’s instructions (BD Biosciences). The cells were then analyzed on a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FACSCalibur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flow cytometer (BD Biosciences). The cells were considered viable if double negative, early apoptotic if positive for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Annexin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V alone and necrotic or late apoptotic if double positive.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proofErr w:type="gramStart"/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microRNA</w:t>
      </w:r>
      <w:proofErr w:type="gramEnd"/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 xml:space="preserve"> target prediction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>RNA22 (</w:t>
      </w:r>
      <w:hyperlink r:id="rId9" w:history="1">
        <w:r w:rsidRPr="006D4A8F">
          <w:rPr>
            <w:rFonts w:ascii="Book Antiqua" w:eastAsia="Arial Unicode MS" w:hAnsi="Book Antiqua"/>
            <w:sz w:val="24"/>
            <w:szCs w:val="24"/>
          </w:rPr>
          <w:t>http://cbcsrv.watson.ibm.com/rna22.html</w:t>
        </w:r>
      </w:hyperlink>
      <w:r w:rsidRPr="006D4A8F">
        <w:rPr>
          <w:rFonts w:ascii="Book Antiqua" w:eastAsia="Arial Unicode MS" w:hAnsi="Book Antiqua"/>
          <w:sz w:val="24"/>
          <w:szCs w:val="24"/>
        </w:rPr>
        <w:t xml:space="preserve">) was used to identify microRNA-target sites in the 3′-UTR of COX-2 mRNA and the corresponding RNA/RNA complexes and folding energies.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Western blotting</w:t>
      </w:r>
    </w:p>
    <w:p w:rsidR="006F1729" w:rsidRPr="006D4A8F" w:rsidRDefault="006F1729" w:rsidP="00B44AB2">
      <w:pPr>
        <w:widowControl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Cells were lysed with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radioimmunoprecipitation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(RIPA) buffer (Sigma-Aldrich), and the total protein concentration was determined with a </w:t>
      </w:r>
      <w:r w:rsidRPr="006D4A8F">
        <w:rPr>
          <w:rFonts w:ascii="Book Antiqua" w:eastAsia="Arial Unicode MS" w:hAnsi="Book Antiqua"/>
          <w:sz w:val="24"/>
          <w:szCs w:val="24"/>
        </w:rPr>
        <w:t>Bio-Rad Protein Assay (Bio-Rad)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. Proteins (40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μg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) were separated by 10% SDS/PAGE and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electrotransferred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onto nitrocellulose membranes. The membranes were then incubated overnight with a COX-2 (Cell Signaling) or PARP primary antibody (Cell Signaling) at 4°C, and subsequently incubated with an HRP-conjugated anti-</w:t>
      </w:r>
      <w:r w:rsidRPr="006D4A8F">
        <w:rPr>
          <w:rFonts w:ascii="Book Antiqua" w:eastAsia="Arial Unicode MS" w:hAnsi="Book Antiqua"/>
          <w:sz w:val="24"/>
          <w:szCs w:val="24"/>
        </w:rPr>
        <w:t>rabbit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secondary antibody </w:t>
      </w:r>
      <w:r w:rsidRPr="006D4A8F">
        <w:rPr>
          <w:rFonts w:ascii="Book Antiqua" w:eastAsia="Arial Unicode MS" w:hAnsi="Book Antiqua"/>
          <w:sz w:val="24"/>
          <w:szCs w:val="24"/>
        </w:rPr>
        <w:t>(Bio-Rad)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for 1 h at room temperature. Protein bands were </w:t>
      </w:r>
      <w:r w:rsidRPr="006D4A8F">
        <w:rPr>
          <w:rFonts w:ascii="Book Antiqua" w:eastAsia="Arial Unicode MS" w:hAnsi="Book Antiqua"/>
          <w:sz w:val="24"/>
          <w:szCs w:val="24"/>
        </w:rPr>
        <w:t xml:space="preserve">detected with the Western Blotting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Luminol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Reagent (Santa Cruz Biotechnology)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.</w:t>
      </w:r>
    </w:p>
    <w:p w:rsidR="006F1729" w:rsidRPr="006D4A8F" w:rsidRDefault="006F1729" w:rsidP="00B44AB2">
      <w:pPr>
        <w:widowControl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Reverse transcription and real-time PCR to quantify COX-2 mRNA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color w:val="333333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 xml:space="preserve">Total RNA was extracted </w:t>
      </w:r>
      <w:r w:rsidRPr="006D4A8F">
        <w:rPr>
          <w:rFonts w:ascii="Book Antiqua" w:eastAsia="Arial Unicode MS" w:hAnsi="Book Antiqua"/>
          <w:color w:val="333333"/>
          <w:sz w:val="24"/>
          <w:szCs w:val="24"/>
        </w:rPr>
        <w:t xml:space="preserve">with </w:t>
      </w:r>
      <w:proofErr w:type="spellStart"/>
      <w:r w:rsidRPr="006D4A8F">
        <w:rPr>
          <w:rFonts w:ascii="Book Antiqua" w:eastAsia="Arial Unicode MS" w:hAnsi="Book Antiqua"/>
          <w:color w:val="333333"/>
          <w:sz w:val="24"/>
          <w:szCs w:val="24"/>
        </w:rPr>
        <w:t>TRIzol</w:t>
      </w:r>
      <w:proofErr w:type="spellEnd"/>
      <w:r w:rsidRPr="006D4A8F">
        <w:rPr>
          <w:rFonts w:ascii="Book Antiqua" w:eastAsia="Arial Unicode MS" w:hAnsi="Book Antiqua"/>
          <w:color w:val="333333"/>
          <w:sz w:val="24"/>
          <w:szCs w:val="24"/>
        </w:rPr>
        <w:t xml:space="preserve"> (Invitrogen). </w:t>
      </w:r>
      <w:proofErr w:type="spellStart"/>
      <w:r w:rsidRPr="006D4A8F">
        <w:rPr>
          <w:rFonts w:ascii="Book Antiqua" w:eastAsia="Arial Unicode MS" w:hAnsi="Book Antiqua"/>
          <w:color w:val="333333"/>
          <w:sz w:val="24"/>
          <w:szCs w:val="24"/>
        </w:rPr>
        <w:t>DNase</w:t>
      </w:r>
      <w:proofErr w:type="spellEnd"/>
      <w:r w:rsidRPr="006D4A8F">
        <w:rPr>
          <w:rFonts w:ascii="Book Antiqua" w:eastAsia="Arial Unicode MS" w:hAnsi="Book Antiqua"/>
          <w:color w:val="333333"/>
          <w:sz w:val="24"/>
          <w:szCs w:val="24"/>
        </w:rPr>
        <w:t xml:space="preserve"> I (Amplification Grade, Invitrogen) and the </w:t>
      </w:r>
      <w:proofErr w:type="spellStart"/>
      <w:r w:rsidRPr="006D4A8F">
        <w:rPr>
          <w:rFonts w:ascii="Book Antiqua" w:eastAsia="Arial Unicode MS" w:hAnsi="Book Antiqua"/>
          <w:color w:val="333333"/>
          <w:sz w:val="24"/>
          <w:szCs w:val="24"/>
        </w:rPr>
        <w:t>SuperScript</w:t>
      </w:r>
      <w:proofErr w:type="spellEnd"/>
      <w:r w:rsidRPr="006D4A8F">
        <w:rPr>
          <w:rFonts w:ascii="Book Antiqua" w:eastAsia="Arial Unicode MS" w:hAnsi="Book Antiqua"/>
          <w:color w:val="333333"/>
          <w:sz w:val="24"/>
          <w:szCs w:val="24"/>
        </w:rPr>
        <w:t xml:space="preserve"> First-Strand Synthesis System for RT-PCR (Invitrogen) were used for </w:t>
      </w:r>
      <w:proofErr w:type="spellStart"/>
      <w:r w:rsidRPr="006D4A8F">
        <w:rPr>
          <w:rFonts w:ascii="Book Antiqua" w:eastAsia="Arial Unicode MS" w:hAnsi="Book Antiqua"/>
          <w:color w:val="333333"/>
          <w:sz w:val="24"/>
          <w:szCs w:val="24"/>
        </w:rPr>
        <w:t>cDNA</w:t>
      </w:r>
      <w:proofErr w:type="spellEnd"/>
      <w:r w:rsidRPr="006D4A8F">
        <w:rPr>
          <w:rFonts w:ascii="Book Antiqua" w:eastAsia="Arial Unicode MS" w:hAnsi="Book Antiqua"/>
          <w:color w:val="333333"/>
          <w:sz w:val="24"/>
          <w:szCs w:val="24"/>
        </w:rPr>
        <w:t xml:space="preserve"> preparation. Primers and probes were ordered from IDT Inc. The following primers and probes were used: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color w:val="333333"/>
          <w:sz w:val="24"/>
          <w:szCs w:val="24"/>
        </w:rPr>
        <w:t>COX-2: Pri</w:t>
      </w:r>
      <w:r w:rsidRPr="006D4A8F">
        <w:rPr>
          <w:rFonts w:ascii="Book Antiqua" w:eastAsia="Arial Unicode MS" w:hAnsi="Book Antiqua"/>
          <w:sz w:val="24"/>
          <w:szCs w:val="24"/>
        </w:rPr>
        <w:t>mer-F: 5′-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CAAATCCTTGCTGTTCCCACCCAT</w:t>
      </w:r>
      <w:r w:rsidRPr="006D4A8F">
        <w:rPr>
          <w:rFonts w:ascii="Book Antiqua" w:eastAsia="Arial Unicode MS" w:hAnsi="Book Antiqua"/>
          <w:sz w:val="24"/>
          <w:szCs w:val="24"/>
        </w:rPr>
        <w:t>-3′, Primer-R: 5′-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GTGCACTGTGTTTGGAGTGGGTTT</w:t>
      </w:r>
      <w:r w:rsidRPr="006D4A8F">
        <w:rPr>
          <w:rFonts w:ascii="Book Antiqua" w:eastAsia="Arial Unicode MS" w:hAnsi="Book Antiqua"/>
          <w:sz w:val="24"/>
          <w:szCs w:val="24"/>
        </w:rPr>
        <w:t>-3′, Probe: 5′-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AAGTGCGATTGTACCCGGACAGGATT</w:t>
      </w:r>
      <w:r w:rsidRPr="006D4A8F">
        <w:rPr>
          <w:rFonts w:ascii="Book Antiqua" w:eastAsia="Arial Unicode MS" w:hAnsi="Book Antiqua"/>
          <w:sz w:val="24"/>
          <w:szCs w:val="24"/>
        </w:rPr>
        <w:t xml:space="preserve">-3′, </w:t>
      </w:r>
      <w:r w:rsidRPr="006D4A8F">
        <w:rPr>
          <w:rFonts w:ascii="Book Antiqua" w:eastAsia="Arial Unicode MS" w:hAnsi="Book Antiqua"/>
          <w:bCs/>
          <w:sz w:val="24"/>
          <w:szCs w:val="24"/>
        </w:rPr>
        <w:t>β</w:t>
      </w:r>
      <w:r w:rsidRPr="006D4A8F">
        <w:rPr>
          <w:rFonts w:ascii="Book Antiqua" w:eastAsia="Arial Unicode MS" w:hAnsi="Book Antiqua"/>
          <w:sz w:val="24"/>
          <w:szCs w:val="24"/>
        </w:rPr>
        <w:t>-</w:t>
      </w:r>
      <w:r w:rsidRPr="006D4A8F">
        <w:rPr>
          <w:rFonts w:ascii="Book Antiqua" w:eastAsia="Arial Unicode MS" w:hAnsi="Book Antiqua"/>
          <w:bCs/>
          <w:sz w:val="24"/>
          <w:szCs w:val="24"/>
        </w:rPr>
        <w:t xml:space="preserve">GUS: </w:t>
      </w:r>
      <w:r w:rsidRPr="006D4A8F">
        <w:rPr>
          <w:rFonts w:ascii="Book Antiqua" w:eastAsia="Arial Unicode MS" w:hAnsi="Book Antiqua"/>
          <w:sz w:val="24"/>
          <w:szCs w:val="24"/>
        </w:rPr>
        <w:t xml:space="preserve">Primer-F: </w:t>
      </w:r>
      <w:r w:rsidRPr="006D4A8F">
        <w:rPr>
          <w:rFonts w:ascii="Book Antiqua" w:eastAsia="Arial Unicode MS" w:hAnsi="Book Antiqua"/>
          <w:sz w:val="24"/>
          <w:szCs w:val="24"/>
        </w:rPr>
        <w:lastRenderedPageBreak/>
        <w:t>5′-CTCATTTGGAATTTTGCCGATT-3′, Primer-R: 5′-CCGAGTGAAGATCCCCTTTTTA-3′, Probe: 5′-TGAACAGTCACCGACGAGAGTGCTGG-3′. The reactions were incubated in a 96-well plate at 95°C for 12 min, followed by 40 cycles of 95°C for 30 s, 60°C for 1 min, and 72°C for 45 s. All reactions were performed in triplicate.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Luciferase reporter assay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 xml:space="preserve">The human COX-2 3′-UTR was amplified and cloned into the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XbaI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site of the pGL3-control vector (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Promega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, USA), downstream of the luciferase gene, to generate the plasmid pGL3-WT-COX2-3′UTR. </w:t>
      </w:r>
      <w:proofErr w:type="gramStart"/>
      <w:r w:rsidRPr="006D4A8F">
        <w:rPr>
          <w:rFonts w:ascii="Book Antiqua" w:eastAsia="Arial Unicode MS" w:hAnsi="Book Antiqua"/>
          <w:sz w:val="24"/>
          <w:szCs w:val="24"/>
        </w:rPr>
        <w:t>pGL3-MUT-5p-COX2-3′UTR</w:t>
      </w:r>
      <w:proofErr w:type="gramEnd"/>
      <w:r w:rsidRPr="006D4A8F">
        <w:rPr>
          <w:rFonts w:ascii="Book Antiqua" w:eastAsia="Arial Unicode MS" w:hAnsi="Book Antiqua"/>
          <w:sz w:val="24"/>
          <w:szCs w:val="24"/>
        </w:rPr>
        <w:t xml:space="preserve"> was generated from pGL3-WT- COX2-3′UTR by deleting the “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ACTGTAC</w:t>
      </w:r>
      <w:r w:rsidRPr="006D4A8F">
        <w:rPr>
          <w:rFonts w:ascii="Book Antiqua" w:eastAsia="Arial Unicode MS" w:hAnsi="Book Antiqua"/>
          <w:sz w:val="24"/>
          <w:szCs w:val="24"/>
        </w:rPr>
        <w:t xml:space="preserve">” binding site for miR-143-5p. For the luciferase reporter assay, cells were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cotransfected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with the luciferase reporter vectors and miR-143-5p, miR-143-3p or a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mimic control, using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Lipofectamine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2000. A β-actin promoter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Renilla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luciferase reporter was used for normalization. After 48 h, luciferase activity was analyzed by the Dual-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Glo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Luciferase Assay System (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Promega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>), according to the manufacturer's protocols.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hAnsi="Book Antiqua"/>
          <w:b/>
          <w:i/>
          <w:sz w:val="24"/>
        </w:rPr>
        <w:t>Statistical analysis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Experimental results were assessed for significance with one-tailed unpaired </w:t>
      </w:r>
      <w:r w:rsidRPr="00CB3897">
        <w:rPr>
          <w:rFonts w:ascii="Book Antiqua" w:eastAsia="Arial Unicode MS" w:hAnsi="Book Antiqua"/>
          <w:i/>
          <w:kern w:val="0"/>
          <w:sz w:val="24"/>
          <w:szCs w:val="24"/>
        </w:rPr>
        <w:t>t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-tests. A </w:t>
      </w:r>
      <w:r w:rsidRPr="00CB3897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value less than 0.05 </w:t>
      </w:r>
      <w:proofErr w:type="gramStart"/>
      <w:r w:rsidRPr="006D4A8F">
        <w:rPr>
          <w:rFonts w:ascii="Book Antiqua" w:eastAsia="Arial Unicode MS" w:hAnsi="Book Antiqua"/>
          <w:kern w:val="0"/>
          <w:sz w:val="24"/>
          <w:szCs w:val="24"/>
        </w:rPr>
        <w:t>was</w:t>
      </w:r>
      <w:proofErr w:type="gram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considered significant.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D4A8F">
        <w:rPr>
          <w:rFonts w:ascii="Book Antiqua" w:hAnsi="Book Antiqua"/>
          <w:b/>
          <w:sz w:val="24"/>
          <w:szCs w:val="24"/>
        </w:rPr>
        <w:t>RESULTS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Both miR-143-5p and miR-143-3p expression are reduced in gastric cancer cells</w:t>
      </w:r>
    </w:p>
    <w:p w:rsidR="006F1729" w:rsidRPr="006D4A8F" w:rsidRDefault="006F1729" w:rsidP="00B44AB2">
      <w:pPr>
        <w:widowControl/>
        <w:shd w:val="clear" w:color="auto" w:fill="FFFFFF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>Using real-time PCR to quantify mature miR-143-5p and miR-143-3p in five human gastric cancer cell lines and a normal gastric epithelium cell line, we found that both the miR-143-5p and miR-143-3p expression levels were markedly reduced in gastric cancer cells (</w:t>
      </w:r>
      <w:r w:rsidRPr="006D4A8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&lt; 0.01; </w:t>
      </w:r>
      <w:hyperlink r:id="rId10" w:anchor="F3" w:history="1">
        <w:r w:rsidRPr="006D4A8F">
          <w:rPr>
            <w:rFonts w:ascii="Book Antiqua" w:eastAsia="Arial Unicode MS" w:hAnsi="Book Antiqua"/>
            <w:kern w:val="0"/>
            <w:sz w:val="24"/>
            <w:szCs w:val="24"/>
          </w:rPr>
          <w:t>Figure 1</w:t>
        </w:r>
      </w:hyperlink>
      <w:r>
        <w:rPr>
          <w:rFonts w:ascii="Book Antiqua" w:eastAsia="Arial Unicode MS" w:hAnsi="Book Antiqua"/>
          <w:kern w:val="0"/>
          <w:sz w:val="24"/>
          <w:szCs w:val="24"/>
        </w:rPr>
        <w:t xml:space="preserve">A and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B). Western blotting indicated that COX-2 protein expression was increased in the five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lastRenderedPageBreak/>
        <w:t>human gastric cancer cell lines (</w:t>
      </w:r>
      <w:hyperlink r:id="rId11" w:anchor="F3" w:history="1">
        <w:r w:rsidRPr="006D4A8F">
          <w:rPr>
            <w:rFonts w:ascii="Book Antiqua" w:eastAsia="Arial Unicode MS" w:hAnsi="Book Antiqua"/>
            <w:kern w:val="0"/>
            <w:sz w:val="24"/>
            <w:szCs w:val="24"/>
          </w:rPr>
          <w:t>Figure 1</w:t>
        </w:r>
      </w:hyperlink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C); this expression was inversely correlated with the miR-143 levels. </w:t>
      </w:r>
    </w:p>
    <w:p w:rsidR="006F1729" w:rsidRPr="006D4A8F" w:rsidRDefault="006F1729" w:rsidP="00B44AB2">
      <w:pPr>
        <w:widowControl/>
        <w:shd w:val="clear" w:color="auto" w:fill="FFFFFF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proofErr w:type="gramStart"/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miR-143</w:t>
      </w:r>
      <w:proofErr w:type="gramEnd"/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 xml:space="preserve"> decreases viability and increases apoptosis in gastric cancer cells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The reduced miR-143 expression in gastric cancer suggested that this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could have anti-proliferative effects. To test this hypothesis, we evaluated the effects of transient transfection with miR-143-5p and miR-143-3p in</w:t>
      </w:r>
      <w:r w:rsidRPr="006D4A8F">
        <w:rPr>
          <w:rFonts w:ascii="Book Antiqua" w:eastAsia="Arial Unicode MS" w:hAnsi="Book Antiqua"/>
          <w:sz w:val="24"/>
          <w:szCs w:val="24"/>
        </w:rPr>
        <w:t xml:space="preserve"> </w:t>
      </w:r>
      <w:bookmarkStart w:id="28" w:name="OLE_LINK14"/>
      <w:r w:rsidRPr="006D4A8F">
        <w:rPr>
          <w:rFonts w:ascii="Book Antiqua" w:eastAsia="Arial Unicode MS" w:hAnsi="Book Antiqua"/>
          <w:sz w:val="24"/>
          <w:szCs w:val="24"/>
        </w:rPr>
        <w:t xml:space="preserve">MKN-1 </w:t>
      </w:r>
      <w:bookmarkEnd w:id="28"/>
      <w:r w:rsidRPr="006D4A8F">
        <w:rPr>
          <w:rFonts w:ascii="Book Antiqua" w:eastAsia="Arial Unicode MS" w:hAnsi="Book Antiqua"/>
          <w:sz w:val="24"/>
          <w:szCs w:val="24"/>
        </w:rPr>
        <w:t xml:space="preserve">and </w:t>
      </w:r>
      <w:bookmarkStart w:id="29" w:name="OLE_LINK15"/>
      <w:r w:rsidRPr="006D4A8F">
        <w:rPr>
          <w:rFonts w:ascii="Book Antiqua" w:eastAsia="Arial Unicode MS" w:hAnsi="Book Antiqua"/>
          <w:sz w:val="24"/>
          <w:szCs w:val="24"/>
        </w:rPr>
        <w:t>BGC-823</w:t>
      </w:r>
      <w:bookmarkEnd w:id="29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gastric cancer cell lines. The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Blue assay, a redox assay similar to the 3-(4,5-dimethylthiazol-2-yl)-2,5-diphenyltetrazolium bromide (MTT) assay, showed significant decreases in gastric cancer cell viability following the transfection of either miR-143-5p or miR-143-3p. The decrease in viability after miR-143-5p transfection was greater than that after miR-143-3p transfection (</w:t>
      </w:r>
      <w:r w:rsidRPr="006D4A8F">
        <w:rPr>
          <w:rFonts w:ascii="Book Antiqua" w:eastAsia="Arial Unicode MS" w:hAnsi="Book Antiqua"/>
          <w:i/>
          <w:iCs/>
          <w:kern w:val="0"/>
          <w:sz w:val="24"/>
          <w:szCs w:val="24"/>
        </w:rPr>
        <w:t>P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&lt; 0.05; </w:t>
      </w:r>
      <w:hyperlink r:id="rId12" w:anchor="F4" w:history="1">
        <w:r w:rsidRPr="006D4A8F">
          <w:rPr>
            <w:rFonts w:ascii="Book Antiqua" w:eastAsia="Arial Unicode MS" w:hAnsi="Book Antiqua"/>
            <w:kern w:val="0"/>
            <w:sz w:val="24"/>
            <w:szCs w:val="24"/>
          </w:rPr>
          <w:t>Fig</w:t>
        </w:r>
      </w:hyperlink>
      <w:r w:rsidRPr="006D4A8F">
        <w:rPr>
          <w:rFonts w:ascii="Book Antiqua" w:eastAsia="Arial Unicode MS" w:hAnsi="Book Antiqua"/>
          <w:kern w:val="0"/>
          <w:sz w:val="24"/>
          <w:szCs w:val="24"/>
        </w:rPr>
        <w:t>ure 2A). Additionally, cell counts were significantly decreased after transfection with either miR-143-5p or miR-143-3p (</w:t>
      </w:r>
      <w:r w:rsidRPr="006D4A8F">
        <w:rPr>
          <w:rFonts w:ascii="Book Antiqua" w:eastAsia="Arial Unicode MS" w:hAnsi="Book Antiqua"/>
          <w:i/>
          <w:iCs/>
          <w:kern w:val="0"/>
          <w:sz w:val="24"/>
          <w:szCs w:val="24"/>
        </w:rPr>
        <w:t xml:space="preserve">P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&lt; 0.05; </w:t>
      </w:r>
      <w:hyperlink r:id="rId13" w:anchor="F4" w:history="1">
        <w:r w:rsidRPr="006D4A8F">
          <w:rPr>
            <w:rFonts w:ascii="Book Antiqua" w:eastAsia="Arial Unicode MS" w:hAnsi="Book Antiqua"/>
            <w:kern w:val="0"/>
            <w:sz w:val="24"/>
            <w:szCs w:val="24"/>
          </w:rPr>
          <w:t>Fig</w:t>
        </w:r>
      </w:hyperlink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ure 2B). Consistent with the results of the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Blue assay, miR-143-5p showed a stronger inhibitory effect than miR-143-3p.</w:t>
      </w:r>
    </w:p>
    <w:p w:rsidR="006F1729" w:rsidRPr="006D4A8F" w:rsidRDefault="006F1729" w:rsidP="009040C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An apoptosis assay after transfection with miR-143-5p and miR-143-3p indicated a marked increase </w:t>
      </w:r>
      <w:r w:rsidRPr="006D4A8F">
        <w:rPr>
          <w:rFonts w:ascii="Book Antiqua" w:hAnsi="Book Antiqua" w:cs="Arial"/>
          <w:color w:val="222222"/>
          <w:sz w:val="24"/>
          <w:szCs w:val="24"/>
        </w:rPr>
        <w:t>i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n cell apoptosis. Cells transfected with miR-143-5p had a significantly higher apoptosis rate than did cells transfected with miR-143-3p (</w:t>
      </w:r>
      <w:r w:rsidRPr="006D4A8F">
        <w:rPr>
          <w:rFonts w:ascii="Book Antiqua" w:eastAsia="Arial Unicode MS" w:hAnsi="Book Antiqua"/>
          <w:i/>
          <w:iCs/>
          <w:kern w:val="0"/>
          <w:sz w:val="24"/>
          <w:szCs w:val="24"/>
        </w:rPr>
        <w:t xml:space="preserve">P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&lt; 0.05; </w:t>
      </w:r>
      <w:hyperlink r:id="rId14" w:anchor="F4" w:history="1">
        <w:r w:rsidRPr="006D4A8F">
          <w:rPr>
            <w:rFonts w:ascii="Book Antiqua" w:eastAsia="Arial Unicode MS" w:hAnsi="Book Antiqua"/>
            <w:kern w:val="0"/>
            <w:sz w:val="24"/>
            <w:szCs w:val="24"/>
          </w:rPr>
          <w:t xml:space="preserve">Figure </w:t>
        </w:r>
      </w:hyperlink>
      <w:r>
        <w:rPr>
          <w:rFonts w:ascii="Book Antiqua" w:eastAsia="Arial Unicode MS" w:hAnsi="Book Antiqua"/>
          <w:kern w:val="0"/>
          <w:sz w:val="24"/>
          <w:szCs w:val="24"/>
        </w:rPr>
        <w:t xml:space="preserve">2C and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D). Furthermore, both miR-143-5p and miR-143-3p transfection were accompanied by increased levels of cleaved poly (ADP-ribose) polymerase (PARP), a product of apoptosis (</w:t>
      </w:r>
      <w:hyperlink r:id="rId15" w:anchor="F4" w:history="1">
        <w:r w:rsidRPr="006D4A8F">
          <w:rPr>
            <w:rFonts w:ascii="Book Antiqua" w:eastAsia="Arial Unicode MS" w:hAnsi="Book Antiqua"/>
            <w:kern w:val="0"/>
            <w:sz w:val="24"/>
            <w:szCs w:val="24"/>
          </w:rPr>
          <w:t>Figure 2E</w:t>
        </w:r>
      </w:hyperlink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).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</w:pPr>
      <w:proofErr w:type="gramStart"/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>miR-143</w:t>
      </w:r>
      <w:proofErr w:type="gramEnd"/>
      <w:r w:rsidRPr="006D4A8F">
        <w:rPr>
          <w:rFonts w:ascii="Book Antiqua" w:eastAsia="Arial Unicode MS" w:hAnsi="Book Antiqua"/>
          <w:b/>
          <w:i/>
          <w:iCs/>
          <w:kern w:val="0"/>
          <w:sz w:val="24"/>
          <w:szCs w:val="24"/>
        </w:rPr>
        <w:t xml:space="preserve"> directly inhibits COX-2 expression via its 3′-UTR 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 xml:space="preserve">A bioinformatics analysis, conducted with RNA22, indicated that the 3′-UTR of the human COX-2 mRNA (NM_000963) harbors a putative miR-143-5p binding site (nucleotides 3515–3536) (Figure 3A) but has no miR-143-3p binding site. To assess the inhibitory effects of miR-143 on COX-2, MKN-1 and BGC-823 cells were transfected with miR-143-5p, miR-143-3p or a control. Western blotting revealed a profound decrease in the COX-2 protein level </w:t>
      </w:r>
      <w:r w:rsidRPr="006D4A8F">
        <w:rPr>
          <w:rFonts w:ascii="Book Antiqua" w:eastAsia="Arial Unicode MS" w:hAnsi="Book Antiqua"/>
          <w:sz w:val="24"/>
          <w:szCs w:val="24"/>
        </w:rPr>
        <w:lastRenderedPageBreak/>
        <w:t xml:space="preserve">after transfection with miR-143-5p but not miR-143-3p (Figure 3B). Consistent with transcriptional inhibition by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>, we noted decreased COX-2 mRNA levels after miR-143-5p transfection (</w:t>
      </w:r>
      <w:r w:rsidRPr="006D4A8F">
        <w:rPr>
          <w:rFonts w:ascii="Book Antiqua" w:eastAsia="Arial Unicode MS" w:hAnsi="Book Antiqua"/>
          <w:i/>
          <w:sz w:val="24"/>
          <w:szCs w:val="24"/>
        </w:rPr>
        <w:t xml:space="preserve">P </w:t>
      </w:r>
      <w:r w:rsidRPr="006D4A8F">
        <w:rPr>
          <w:rFonts w:ascii="Book Antiqua" w:eastAsia="Arial Unicode MS" w:hAnsi="Book Antiqua"/>
          <w:sz w:val="24"/>
          <w:szCs w:val="24"/>
        </w:rPr>
        <w:t xml:space="preserve">&lt; 0.05; Figure 3C). </w:t>
      </w:r>
    </w:p>
    <w:p w:rsidR="006F1729" w:rsidRPr="006D4A8F" w:rsidRDefault="006F1729" w:rsidP="009240CD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sz w:val="24"/>
          <w:szCs w:val="24"/>
        </w:rPr>
        <w:t>To confirm the direct action of miR-143 on the COX-2 3′-UTR, transient transfection experiments were performed with the 3′-UTR of COX-2, containing mutated or non-mutated putative miR-143-5p matching sites, downstream of the luciferase open reading frame. Transfection with miR-143-5p inhibited the normalized activity of the COX-2 3′-UTR reporter by 57% (</w:t>
      </w:r>
      <w:r w:rsidRPr="006D4A8F">
        <w:rPr>
          <w:rFonts w:ascii="Book Antiqua" w:eastAsia="Arial Unicode MS" w:hAnsi="Book Antiqua"/>
          <w:i/>
          <w:sz w:val="24"/>
          <w:szCs w:val="24"/>
        </w:rPr>
        <w:t xml:space="preserve">P </w:t>
      </w:r>
      <w:r w:rsidRPr="006D4A8F">
        <w:rPr>
          <w:rFonts w:ascii="Book Antiqua" w:eastAsia="Arial Unicode MS" w:hAnsi="Book Antiqua"/>
          <w:sz w:val="24"/>
          <w:szCs w:val="24"/>
        </w:rPr>
        <w:t>&lt; 0.01), whereas MiR-143-3p had no effect on this reporter activity (Figure 3D). In contrast, co-transfection of the mutant reporter plasmid with either miR-143-5p or miR-1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43-3p </w:t>
      </w:r>
      <w:r w:rsidRPr="006D4A8F">
        <w:rPr>
          <w:rFonts w:ascii="Book Antiqua" w:eastAsia="Arial Unicode MS" w:hAnsi="Book Antiqua"/>
          <w:sz w:val="24"/>
          <w:szCs w:val="24"/>
        </w:rPr>
        <w:t xml:space="preserve">had no effect on luciferase activity in the transfected cells (Figure 3E). These results demonstrated that only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miR-143-5p </w:t>
      </w:r>
      <w:r w:rsidRPr="006D4A8F">
        <w:rPr>
          <w:rFonts w:ascii="Book Antiqua" w:eastAsia="Arial Unicode MS" w:hAnsi="Book Antiqua"/>
          <w:sz w:val="24"/>
          <w:szCs w:val="24"/>
        </w:rPr>
        <w:t>bound to the seed sequence present in the 3′-UTR of human COX-2 mRNA to inhibit COX-2 expression.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D4A8F">
        <w:rPr>
          <w:rFonts w:ascii="Book Antiqua" w:hAnsi="Book Antiqua"/>
          <w:b/>
          <w:sz w:val="24"/>
          <w:szCs w:val="24"/>
        </w:rPr>
        <w:t>DISCUSSION</w:t>
      </w:r>
    </w:p>
    <w:p w:rsidR="006F1729" w:rsidRPr="006D4A8F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In the present study, the expression levels of both miR-143-5p and miR-143-3p were found to be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gastric cancer. This finding is consistent with reports from other research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groups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22, 23]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In a recent report, the authors used real-time RT-PCR and chip assays to analyze 70 paired samples of gastric cancers and benign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tissues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23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The authors found that miR-143 was among the most strongly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gastric cancers, compared to benign tissues. The miR-143 expression level was associated with gastric cancer progression and was more significantly reduced in stage IV cancers, compared with stage I and II cancers. Consistent with our observations, a study by Takeshi et al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.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22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 xml:space="preserve">]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also indicated that miR-143 was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gastric cancer cell lines and that transfection with miR-143-3p inhibited the gastric cancer cell viability by targeting ERK5 and AKT.</w:t>
      </w:r>
      <w:r w:rsidRPr="006D4A8F">
        <w:rPr>
          <w:rFonts w:ascii="Book Antiqua" w:eastAsia="Arial Unicode MS" w:hAnsi="Book Antiqua"/>
          <w:sz w:val="24"/>
          <w:szCs w:val="24"/>
        </w:rPr>
        <w:t xml:space="preserve"> However, the function of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miR-143-5p has never been investigated in gastric cancer.</w:t>
      </w:r>
    </w:p>
    <w:p w:rsidR="006F1729" w:rsidRPr="006D4A8F" w:rsidRDefault="006F1729" w:rsidP="0044363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In the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biogenesis pathway, long primary transcripts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lastRenderedPageBreak/>
        <w:t>(pre-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) that have been transcribed from the genome are processed by the cellular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RNase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enzyme III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Drosha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into 60–110-nt structures called precursor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(pre-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</w:t>
      </w:r>
      <w:proofErr w:type="spellEnd"/>
      <w:proofErr w:type="gramStart"/>
      <w:r w:rsidRPr="006D4A8F">
        <w:rPr>
          <w:rFonts w:ascii="Book Antiqua" w:eastAsia="Arial Unicode MS" w:hAnsi="Book Antiqua"/>
          <w:kern w:val="0"/>
          <w:sz w:val="24"/>
          <w:szCs w:val="24"/>
        </w:rPr>
        <w:t>)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30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. Pre-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are cleaved by the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RNase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III enzyme Dicer-1 to produce short, imperfect, double-stranded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duplexes that are subsequently unwound by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helicases to create mature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In some cases, two mature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can be excised from the same stem-loop pre-</w:t>
      </w:r>
      <w:proofErr w:type="spellStart"/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31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These “5p” and “3p”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, although generated from a single primary transcript, have different sequences and therefore target different messenger RNAs. In humans, two different mature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sequences are excised from opposite arms of the stem-loop pre-miR-143 to generate two different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, hsa-miR-143-5p and has-miR-143-3p. Despite nearly a decade of studies on the roles of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cancers, the comparative roles of strand-specific mature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that originate from the same stem-loop precursor (5p and 3p) have yet to be fully studied. Previously, a number of studies demonstrated that ectopic </w:t>
      </w:r>
      <w:r w:rsidRPr="006D4A8F">
        <w:rPr>
          <w:rFonts w:ascii="Book Antiqua" w:eastAsia="Arial Unicode MS" w:hAnsi="Book Antiqua"/>
          <w:iCs/>
          <w:color w:val="000000"/>
          <w:sz w:val="24"/>
          <w:szCs w:val="24"/>
        </w:rPr>
        <w:t>miR-143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expression inhibited cancer cells in various types of human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tumors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4, 6</w:t>
      </w:r>
      <w:r>
        <w:rPr>
          <w:rFonts w:ascii="Book Antiqua" w:eastAsia="Arial Unicode MS" w:hAnsi="Book Antiqua"/>
          <w:sz w:val="24"/>
          <w:szCs w:val="24"/>
          <w:vertAlign w:val="superscript"/>
        </w:rPr>
        <w:t>-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 xml:space="preserve"> 8, 16, 20, 22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However, the role of miR-143 in gastric cancer has not been fully investigated, and differences between miR-143-5p and miR-143-3p have never been reported.  </w:t>
      </w:r>
    </w:p>
    <w:p w:rsidR="006F1729" w:rsidRPr="006D4A8F" w:rsidRDefault="006F1729" w:rsidP="00C206B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Our functional analysis of miR-143 expression in gastric cancer cell lines indicated tumor suppressor functions for both miR-143-5p and miR-143-3p. Our data revealed that the restoration of both miR-143-5p and miR-143-3p expression suppressed cell proliferation and promoted apoptosis in gastric cancer cells. The tumor-suppressive effect of miR-143-5p was stronger than that of miR-143-3p. </w:t>
      </w:r>
    </w:p>
    <w:p w:rsidR="006F1729" w:rsidRPr="006D4A8F" w:rsidRDefault="006F1729" w:rsidP="00C206B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Further analysis demonstrated that only miR-143-5p directly binds to COX-2 mRNA. The luciferase reporter assay revealed that COX-2 contains a binding site for miR-143-5p but no binding site for miR-143-3p. A recent report also demonstrated different functions of miR-28-5p and miR-28-3p; specifically, miR-28-5p altered the expression of CCND1 and HOXB3, whereas miR-28-3p bound to NM23-H1 in colorectal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cancer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32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Our study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lastRenderedPageBreak/>
        <w:t xml:space="preserve">provides further evidence that strand-specific “5p” and “3p”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could have different targets. This could explain why miR-143-5p is a stronger tumor suppressor in gastric cancer and suggests the existence of other potential targets of miR-143-3p. For example, other studies have revealed multiple targets for miR-143, such as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KRAS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proofErr w:type="gramEnd"/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5, 6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Bcl-2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7, 8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, PAI-1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9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sz w:val="24"/>
          <w:szCs w:val="24"/>
        </w:rPr>
        <w:t>, MMP-13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11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sz w:val="24"/>
          <w:szCs w:val="24"/>
        </w:rPr>
        <w:t>, DNMT3A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12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sz w:val="24"/>
          <w:szCs w:val="24"/>
        </w:rPr>
        <w:t>, ELK1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13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sz w:val="24"/>
          <w:szCs w:val="24"/>
        </w:rPr>
        <w:t xml:space="preserve"> and MYO6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[</w:t>
      </w:r>
      <w:r w:rsidRPr="006D4A8F">
        <w:rPr>
          <w:rFonts w:ascii="Book Antiqua" w:eastAsia="Arial Unicode MS" w:hAnsi="Book Antiqua"/>
          <w:sz w:val="24"/>
          <w:szCs w:val="24"/>
          <w:vertAlign w:val="superscript"/>
        </w:rPr>
        <w:t>10</w:t>
      </w:r>
      <w:r w:rsidRPr="006D4A8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]</w:t>
      </w:r>
      <w:r w:rsidRPr="006D4A8F">
        <w:rPr>
          <w:rFonts w:ascii="Book Antiqua" w:eastAsia="Arial Unicode MS" w:hAnsi="Book Antiqua"/>
          <w:sz w:val="24"/>
          <w:szCs w:val="24"/>
        </w:rPr>
        <w:t>.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Further studies are needed to determine other targets of miR-143-5p and miR-143-3p in gastric cancer.</w:t>
      </w:r>
    </w:p>
    <w:p w:rsidR="006F1729" w:rsidRPr="006D4A8F" w:rsidRDefault="006F1729" w:rsidP="00C206B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In conclusion, </w:t>
      </w:r>
      <w:bookmarkStart w:id="30" w:name="OLE_LINK13"/>
      <w:bookmarkStart w:id="31" w:name="OLE_LINK16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both miR-143-5p and miR-143-3p are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gastric cancer and function as anti-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oncomirs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. </w:t>
      </w:r>
      <w:proofErr w:type="gram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miR-143-5p</w:t>
      </w:r>
      <w:proofErr w:type="gram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is more strongly tumor suppressive than miR-143-3p.</w:t>
      </w:r>
      <w:bookmarkEnd w:id="30"/>
      <w:bookmarkEnd w:id="31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Our data also indicate that C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OX-2 is a direct target of miR-143-5p but not of miR-143-3p. Further studies are needed to define the detailed mechanisms and identify more miR-143 targets.</w:t>
      </w:r>
    </w:p>
    <w:p w:rsidR="006F1729" w:rsidRDefault="006F1729" w:rsidP="00B44AB2">
      <w:pPr>
        <w:autoSpaceDE w:val="0"/>
        <w:autoSpaceDN w:val="0"/>
        <w:adjustRightInd w:val="0"/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COMMENTS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i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kern w:val="0"/>
          <w:sz w:val="24"/>
          <w:szCs w:val="24"/>
        </w:rPr>
        <w:t>Background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proofErr w:type="gramStart"/>
      <w:r w:rsidRPr="006D4A8F">
        <w:rPr>
          <w:rFonts w:ascii="Book Antiqua" w:eastAsia="Arial Unicode MS" w:hAnsi="Book Antiqua"/>
          <w:kern w:val="0"/>
          <w:sz w:val="24"/>
          <w:szCs w:val="24"/>
        </w:rPr>
        <w:t>miR-143</w:t>
      </w:r>
      <w:proofErr w:type="gram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is considered a pivotal regulator of gene expression and directly targets multiple mRNAs that code for proteins involved in cell proliferation, differentiation, survival and apoptosis. It is down-regulated in various human tumors and suppresses tumor growth in cancers of the urogenital system, digestive system, respiratory system and nervous system, as well as some sarcomas and B-cell malignancies. </w:t>
      </w:r>
      <w:proofErr w:type="gramStart"/>
      <w:r w:rsidRPr="006D4A8F">
        <w:rPr>
          <w:rFonts w:ascii="Book Antiqua" w:eastAsia="Arial Unicode MS" w:hAnsi="Book Antiqua"/>
          <w:kern w:val="0"/>
          <w:sz w:val="24"/>
          <w:szCs w:val="24"/>
        </w:rPr>
        <w:t>miR-143</w:t>
      </w:r>
      <w:proofErr w:type="gram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expression has also been reported to be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in human gastric cancer tissues and cell lines, but the mechanism by which miR-143 regulates cancer cells is not fully clear. 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i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kern w:val="0"/>
          <w:sz w:val="24"/>
          <w:szCs w:val="24"/>
        </w:rPr>
        <w:t>Research frontiers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proofErr w:type="gramStart"/>
      <w:r w:rsidRPr="006D4A8F">
        <w:rPr>
          <w:rFonts w:ascii="Book Antiqua" w:eastAsia="Arial Unicode MS" w:hAnsi="Book Antiqua"/>
          <w:kern w:val="0"/>
          <w:sz w:val="24"/>
          <w:szCs w:val="24"/>
        </w:rPr>
        <w:t>miR-143</w:t>
      </w:r>
      <w:proofErr w:type="gram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has been reported to be a tumor suppressor. However, the role of miR-143 in gastric cancer has not been fully investigated. The functional differences between miR-143-5p and miR-143-3p with regard to cancer have never been reported. In this study, </w:t>
      </w:r>
      <w:r>
        <w:rPr>
          <w:rFonts w:ascii="Book Antiqua" w:eastAsia="Arial Unicode MS" w:hAnsi="Book Antiqua"/>
          <w:kern w:val="0"/>
          <w:sz w:val="24"/>
          <w:szCs w:val="24"/>
        </w:rPr>
        <w:t>the authors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compared the tumor suppressive functions of miR-143-5p and miR-143-3p and explored the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lastRenderedPageBreak/>
        <w:t>associated underlying mechanism.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i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kern w:val="0"/>
          <w:sz w:val="24"/>
          <w:szCs w:val="24"/>
        </w:rPr>
        <w:t>Innovations and breakthroughs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>
        <w:rPr>
          <w:rFonts w:ascii="Book Antiqua" w:eastAsia="Arial Unicode MS" w:hAnsi="Book Antiqua"/>
          <w:kern w:val="0"/>
          <w:sz w:val="24"/>
          <w:szCs w:val="24"/>
        </w:rPr>
        <w:t>This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functional analysis of miR-143 expression in gastric cancer cell lines indicated that </w:t>
      </w:r>
      <w:proofErr w:type="gramStart"/>
      <w:r w:rsidRPr="006D4A8F">
        <w:rPr>
          <w:rFonts w:ascii="Book Antiqua" w:eastAsia="Arial Unicode MS" w:hAnsi="Book Antiqua"/>
          <w:kern w:val="0"/>
          <w:sz w:val="24"/>
          <w:szCs w:val="24"/>
        </w:rPr>
        <w:t>both  miR</w:t>
      </w:r>
      <w:proofErr w:type="gramEnd"/>
      <w:r w:rsidRPr="006D4A8F">
        <w:rPr>
          <w:rFonts w:ascii="Book Antiqua" w:eastAsia="Arial Unicode MS" w:hAnsi="Book Antiqua"/>
          <w:kern w:val="0"/>
          <w:sz w:val="24"/>
          <w:szCs w:val="24"/>
        </w:rPr>
        <w:t>-143-5p and miR-143-3p act as tumor suppressors. The restoration of either miR-143-5p or miR-143-3p suppressed cell proliferation and promoted apoptosis in gastric cancer cells. The tumor-suppressive effect of miR-143-5p was stronger than that of miR-143-3p. Further analysis demonstrated that only miR-143-5p directly bound to the COX2 mRNA. The luciferase reporter assay revealed that COX-2 contained a binding site for miR-143-5p but not for miR-143-3p. Western blotting showed a profound decrease in COX-2 protein expression after transfection with miR-143-5p but not with miR-143-3p.</w:t>
      </w:r>
      <w:r w:rsidRPr="006D4A8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Arial Unicode MS" w:hAnsi="Book Antiqua"/>
          <w:kern w:val="0"/>
          <w:sz w:val="24"/>
          <w:szCs w:val="24"/>
        </w:rPr>
        <w:t>The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data </w:t>
      </w:r>
      <w:r>
        <w:rPr>
          <w:rFonts w:ascii="Book Antiqua" w:eastAsia="Arial Unicode MS" w:hAnsi="Book Antiqua"/>
          <w:kern w:val="0"/>
          <w:sz w:val="24"/>
          <w:szCs w:val="24"/>
        </w:rPr>
        <w:t xml:space="preserve">in this article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indicate that COX-2 is a direct target of miR-143-5p but not of miR-143-3p.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i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kern w:val="0"/>
          <w:sz w:val="24"/>
          <w:szCs w:val="24"/>
        </w:rPr>
        <w:t>Applications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>Both miR-143-5p and miR-143-3p function as anti-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oncomirs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and are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in gastric cancers. MiR-143-5p is more strongly tumor suppressive than miR-143-3p and could be a potential gastric cancer therapeutic target.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i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i/>
          <w:kern w:val="0"/>
          <w:sz w:val="24"/>
          <w:szCs w:val="24"/>
        </w:rPr>
        <w:t>Terminology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kern w:val="0"/>
          <w:sz w:val="24"/>
          <w:szCs w:val="24"/>
        </w:rPr>
        <w:t>MiR-143 is considered a pivotal regulator of gene expression because it directly targets multiple mRNAs that code for proteins involved in cell proliferation, differentiation, survival and apoptosis. It is down-regulated in various human tumors and suppresses tumor growth in cancers from the urogenital, digestive, respiratory and nervous system, as well as B-cell malignancies.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</w:p>
    <w:p w:rsidR="006F1729" w:rsidRPr="00D878AE" w:rsidRDefault="006F1729" w:rsidP="00B44AB2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  <w:r w:rsidRPr="00D878AE">
        <w:rPr>
          <w:rFonts w:ascii="Book Antiqua" w:hAnsi="Book Antiqua"/>
          <w:b/>
          <w:bCs/>
          <w:i/>
          <w:sz w:val="24"/>
          <w:szCs w:val="24"/>
        </w:rPr>
        <w:t>Peer review</w:t>
      </w:r>
    </w:p>
    <w:p w:rsidR="006F1729" w:rsidRDefault="006F1729" w:rsidP="00B44AB2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  <w:r w:rsidRPr="00E87377">
        <w:rPr>
          <w:rFonts w:ascii="Book Antiqua" w:eastAsia="Arial Unicode MS" w:hAnsi="Book Antiqua"/>
          <w:color w:val="000000"/>
          <w:sz w:val="24"/>
          <w:szCs w:val="24"/>
        </w:rPr>
        <w:lastRenderedPageBreak/>
        <w:t xml:space="preserve">The authors examine the effects and mechanisms of </w:t>
      </w:r>
      <w:proofErr w:type="spellStart"/>
      <w:r w:rsidRPr="00E87377">
        <w:rPr>
          <w:rFonts w:ascii="Book Antiqua" w:eastAsia="Arial Unicode MS" w:hAnsi="Book Antiqua"/>
          <w:color w:val="000000"/>
          <w:sz w:val="24"/>
          <w:szCs w:val="24"/>
        </w:rPr>
        <w:t>miRNA</w:t>
      </w:r>
      <w:proofErr w:type="spellEnd"/>
      <w:r w:rsidRPr="00E87377">
        <w:rPr>
          <w:rFonts w:ascii="Book Antiqua" w:eastAsia="Arial Unicode MS" w:hAnsi="Book Antiqua"/>
          <w:color w:val="000000"/>
          <w:sz w:val="24"/>
          <w:szCs w:val="24"/>
        </w:rPr>
        <w:t xml:space="preserve"> 143 subtypes on gastric cancer cel</w:t>
      </w:r>
      <w:r>
        <w:rPr>
          <w:rFonts w:ascii="Book Antiqua" w:eastAsia="Arial Unicode MS" w:hAnsi="Book Antiqua"/>
          <w:color w:val="000000"/>
          <w:sz w:val="24"/>
          <w:szCs w:val="24"/>
        </w:rPr>
        <w:t xml:space="preserve">l lines. </w:t>
      </w:r>
      <w:r w:rsidRPr="00E87377">
        <w:rPr>
          <w:rFonts w:ascii="Book Antiqua" w:eastAsia="Arial Unicode MS" w:hAnsi="Book Antiqua"/>
          <w:color w:val="000000"/>
          <w:sz w:val="24"/>
          <w:szCs w:val="24"/>
        </w:rPr>
        <w:t xml:space="preserve">They examined the effects of these </w:t>
      </w:r>
      <w:proofErr w:type="spellStart"/>
      <w:r w:rsidRPr="00E87377">
        <w:rPr>
          <w:rFonts w:ascii="Book Antiqua" w:eastAsia="Arial Unicode MS" w:hAnsi="Book Antiqua"/>
          <w:color w:val="000000"/>
          <w:sz w:val="24"/>
          <w:szCs w:val="24"/>
        </w:rPr>
        <w:t>oncomirs</w:t>
      </w:r>
      <w:proofErr w:type="spellEnd"/>
      <w:r w:rsidRPr="00E87377">
        <w:rPr>
          <w:rFonts w:ascii="Book Antiqua" w:eastAsia="Arial Unicode MS" w:hAnsi="Book Antiqua"/>
          <w:color w:val="000000"/>
          <w:sz w:val="24"/>
          <w:szCs w:val="24"/>
        </w:rPr>
        <w:t xml:space="preserve"> on growth,</w:t>
      </w:r>
      <w:r>
        <w:rPr>
          <w:rFonts w:ascii="Book Antiqua" w:eastAsia="Arial Unicode MS" w:hAnsi="Book Antiqua"/>
          <w:color w:val="000000"/>
          <w:sz w:val="24"/>
          <w:szCs w:val="24"/>
        </w:rPr>
        <w:t xml:space="preserve"> apoptosis and cox-2 activity. </w:t>
      </w:r>
      <w:r w:rsidRPr="00E87377">
        <w:rPr>
          <w:rFonts w:ascii="Book Antiqua" w:eastAsia="Arial Unicode MS" w:hAnsi="Book Antiqua"/>
          <w:color w:val="000000"/>
          <w:sz w:val="24"/>
          <w:szCs w:val="24"/>
        </w:rPr>
        <w:t>For the most part, the paper is str</w:t>
      </w:r>
      <w:r>
        <w:rPr>
          <w:rFonts w:ascii="Book Antiqua" w:eastAsia="Arial Unicode MS" w:hAnsi="Book Antiqua"/>
          <w:color w:val="000000"/>
          <w:sz w:val="24"/>
          <w:szCs w:val="24"/>
        </w:rPr>
        <w:t xml:space="preserve">aightforward and well written. </w:t>
      </w:r>
      <w:r w:rsidRPr="00E87377">
        <w:rPr>
          <w:rFonts w:ascii="Book Antiqua" w:eastAsia="Arial Unicode MS" w:hAnsi="Book Antiqua"/>
          <w:color w:val="000000"/>
          <w:sz w:val="24"/>
          <w:szCs w:val="24"/>
        </w:rPr>
        <w:t>The experiments are well described and the results are clearly presented.</w:t>
      </w:r>
    </w:p>
    <w:p w:rsidR="006F1729" w:rsidRDefault="006F1729" w:rsidP="00B44AB2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b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b/>
          <w:color w:val="000000"/>
          <w:sz w:val="24"/>
          <w:szCs w:val="24"/>
        </w:rPr>
        <w:t>REFERENCES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Baek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D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Villén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J, Shin C, Camargo FD,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Gygi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SP,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Bartel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DP. </w:t>
      </w: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The impact of microRNAs on protein output.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Nature</w:t>
      </w:r>
      <w:r w:rsidRPr="002F5330">
        <w:rPr>
          <w:rFonts w:ascii="Book Antiqua" w:hAnsi="Book Antiqua" w:cs="宋体"/>
          <w:kern w:val="0"/>
          <w:sz w:val="24"/>
          <w:szCs w:val="24"/>
        </w:rPr>
        <w:t> 2008;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455</w:t>
      </w:r>
      <w:r w:rsidRPr="002F5330">
        <w:rPr>
          <w:rFonts w:ascii="Book Antiqua" w:hAnsi="Book Antiqua" w:cs="宋体"/>
          <w:kern w:val="0"/>
          <w:sz w:val="24"/>
          <w:szCs w:val="24"/>
        </w:rPr>
        <w:t>: 64-71 [PMID: 18668037 DOI: 10.1038/nature07242]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He L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He X, Lim LP, de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Stanchina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Xuan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Z, Liang Y,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Xue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W,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Zender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L, Magnus J,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Ridzon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D, Jackson AL,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Linsley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PS, Chen C, Lowe SW, Cleary MA, Hannon GJ. </w:t>
      </w: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 xml:space="preserve">A microRNA component of the p53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tumour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suppressor network.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Nature</w:t>
      </w:r>
      <w:r w:rsidRPr="002F5330">
        <w:rPr>
          <w:rFonts w:ascii="Book Antiqua" w:hAnsi="Book Antiqua" w:cs="宋体"/>
          <w:kern w:val="0"/>
          <w:sz w:val="24"/>
          <w:szCs w:val="24"/>
        </w:rPr>
        <w:t> 2007;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447</w:t>
      </w:r>
      <w:r w:rsidRPr="002F5330">
        <w:rPr>
          <w:rFonts w:ascii="Book Antiqua" w:hAnsi="Book Antiqua" w:cs="宋体"/>
          <w:kern w:val="0"/>
          <w:sz w:val="24"/>
          <w:szCs w:val="24"/>
        </w:rPr>
        <w:t>: 1130-1134 [PMID: 17554337 DOI: 10.1038/nature05939]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3 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Lu J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Getz G,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Miska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EA, Alvarez-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Saavedra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E, Lamb J, Peck D, Sweet-Cordero A, Ebert BL,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Mak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RH,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Ferrando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AA, Downing JR, Jacks T, Horvitz HR,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Golub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TR. MicroRNA expression profiles classify human cancers.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Nature</w:t>
      </w:r>
      <w:r w:rsidRPr="002F5330">
        <w:rPr>
          <w:rFonts w:ascii="Book Antiqua" w:hAnsi="Book Antiqua" w:cs="宋体"/>
          <w:kern w:val="0"/>
          <w:sz w:val="24"/>
          <w:szCs w:val="24"/>
        </w:rPr>
        <w:t> 2005;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435</w:t>
      </w:r>
      <w:r w:rsidRPr="002F5330">
        <w:rPr>
          <w:rFonts w:ascii="Book Antiqua" w:hAnsi="Book Antiqua" w:cs="宋体"/>
          <w:kern w:val="0"/>
          <w:sz w:val="24"/>
          <w:szCs w:val="24"/>
        </w:rPr>
        <w:t>: 834-838 [PMID: 15944708 DOI: 10.1038/nature03702]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4 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Song T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Zhang X, Wang C, Wu Y, Dong J,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Gao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Cai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W, Hong B. Expression of miR-143 reduces growth and migration of human bladder carcinoma cells by targeting cyclooxygenase-2.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Asian Pac J Cancer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Prev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12</w:t>
      </w:r>
      <w:r w:rsidRPr="002F5330">
        <w:rPr>
          <w:rFonts w:ascii="Book Antiqua" w:hAnsi="Book Antiqua" w:cs="宋体"/>
          <w:kern w:val="0"/>
          <w:sz w:val="24"/>
          <w:szCs w:val="24"/>
        </w:rPr>
        <w:t>: 929-933 [PMID: 21790228]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5 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Chen X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Guo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X, Zhang H, Xiang Y, Chen J, Yin Y,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Cai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X, Wang K, Wang G, Ba Y, Zhu L, Wang J, Yang R, Zhang Y,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Ren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Z, Zen K, Zhang J, Zhang CY. </w:t>
      </w: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 xml:space="preserve">Role of miR-143 targeting KRAS in colorectal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tumorigenesis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Oncogene</w:t>
      </w:r>
      <w:r w:rsidRPr="002F5330">
        <w:rPr>
          <w:rFonts w:ascii="Book Antiqua" w:hAnsi="Book Antiqua" w:cs="宋体"/>
          <w:kern w:val="0"/>
          <w:sz w:val="24"/>
          <w:szCs w:val="24"/>
        </w:rPr>
        <w:t> 2009;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28</w:t>
      </w:r>
      <w:r w:rsidRPr="002F5330">
        <w:rPr>
          <w:rFonts w:ascii="Book Antiqua" w:hAnsi="Book Antiqua" w:cs="宋体"/>
          <w:kern w:val="0"/>
          <w:sz w:val="24"/>
          <w:szCs w:val="24"/>
        </w:rPr>
        <w:t>: 1385-1392 [PMID: 19137007 DOI: 10.1038/onc.2008.474]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lastRenderedPageBreak/>
        <w:t>6 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Xu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B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Niu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X, Zhang X, Tao J, Wu D, Wang Z, Li P, Zhang W, Wu H,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Feng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N, Wang Z,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Hua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L, Wang X. miR-143 decreases prostate cancer cells proliferation and migration and enhances their sensitivity to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docetaxel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through suppression of KRAS.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350</w:t>
      </w:r>
      <w:r w:rsidRPr="002F5330">
        <w:rPr>
          <w:rFonts w:ascii="Book Antiqua" w:hAnsi="Book Antiqua" w:cs="宋体"/>
          <w:kern w:val="0"/>
          <w:sz w:val="24"/>
          <w:szCs w:val="24"/>
        </w:rPr>
        <w:t>: 207-213 [PMID: 21197560 DOI: 10.1007/s11010-010-0700-6]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>
        <w:rPr>
          <w:rFonts w:ascii="Book Antiqua" w:hAnsi="Book Antiqua" w:cs="宋体"/>
          <w:kern w:val="0"/>
          <w:sz w:val="24"/>
          <w:szCs w:val="24"/>
        </w:rPr>
        <w:t xml:space="preserve">7 </w:t>
      </w:r>
      <w:r w:rsidRPr="002F5330">
        <w:rPr>
          <w:rFonts w:ascii="Book Antiqua" w:hAnsi="Book Antiqua" w:cs="宋体"/>
          <w:b/>
          <w:kern w:val="0"/>
          <w:sz w:val="24"/>
          <w:szCs w:val="24"/>
        </w:rPr>
        <w:t>Liu L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Yu X,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Guo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X,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Tian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Z, Su M, Long Y, Huang C, Zhou F, Liu M, Wu X, Wang X. MiR-143 is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downregulated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in cervical cancer and promotes apoptosis and inhibits tumor formation by </w:t>
      </w:r>
      <w:r>
        <w:rPr>
          <w:rFonts w:ascii="Book Antiqua" w:hAnsi="Book Antiqua" w:cs="宋体"/>
          <w:kern w:val="0"/>
          <w:sz w:val="24"/>
          <w:szCs w:val="24"/>
        </w:rPr>
        <w:t xml:space="preserve">targeting Bcl-2. </w:t>
      </w:r>
      <w:proofErr w:type="spellStart"/>
      <w:r w:rsidRPr="002B6170">
        <w:rPr>
          <w:rFonts w:ascii="Book Antiqua" w:hAnsi="Book Antiqua" w:cs="宋体"/>
          <w:i/>
          <w:kern w:val="0"/>
          <w:sz w:val="24"/>
          <w:szCs w:val="24"/>
        </w:rPr>
        <w:t>Mol</w:t>
      </w:r>
      <w:proofErr w:type="spellEnd"/>
      <w:r w:rsidRPr="002B6170">
        <w:rPr>
          <w:rFonts w:ascii="Book Antiqua" w:hAnsi="Book Antiqua" w:cs="宋体"/>
          <w:i/>
          <w:kern w:val="0"/>
          <w:sz w:val="24"/>
          <w:szCs w:val="24"/>
        </w:rPr>
        <w:t xml:space="preserve"> Med Report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 2012; </w:t>
      </w:r>
      <w:r w:rsidRPr="002F5330">
        <w:rPr>
          <w:rFonts w:ascii="Book Antiqua" w:hAnsi="Book Antiqua" w:cs="宋体"/>
          <w:b/>
          <w:kern w:val="0"/>
          <w:sz w:val="24"/>
          <w:szCs w:val="24"/>
        </w:rPr>
        <w:t>5</w:t>
      </w:r>
      <w:r w:rsidRPr="002F5330">
        <w:rPr>
          <w:rFonts w:ascii="Book Antiqua" w:hAnsi="Book Antiqua" w:cs="宋体"/>
          <w:kern w:val="0"/>
          <w:sz w:val="24"/>
          <w:szCs w:val="24"/>
        </w:rPr>
        <w:t>: 753-</w:t>
      </w:r>
      <w:r>
        <w:rPr>
          <w:rFonts w:ascii="Book Antiqua" w:hAnsi="Book Antiqua" w:cs="宋体"/>
          <w:kern w:val="0"/>
          <w:sz w:val="24"/>
          <w:szCs w:val="24"/>
        </w:rPr>
        <w:t>7</w:t>
      </w:r>
      <w:r w:rsidRPr="002F5330">
        <w:rPr>
          <w:rFonts w:ascii="Book Antiqua" w:hAnsi="Book Antiqua" w:cs="宋体"/>
          <w:kern w:val="0"/>
          <w:sz w:val="24"/>
          <w:szCs w:val="24"/>
        </w:rPr>
        <w:t>60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8 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Zhang H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Cai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X, Wang Y, Tang H, Tong D,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Ji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F. microRNA-143, down-regulated in osteosarcoma, promotes apoptosis and suppresses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tumorigenicity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by targeting Bcl-2.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Rep</w:t>
      </w:r>
      <w:r w:rsidRPr="002F5330">
        <w:rPr>
          <w:rFonts w:ascii="Book Antiqua" w:hAnsi="Book Antiqua" w:cs="宋体"/>
          <w:kern w:val="0"/>
          <w:sz w:val="24"/>
          <w:szCs w:val="24"/>
        </w:rPr>
        <w:t> 2010;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24</w:t>
      </w:r>
      <w:r w:rsidRPr="002F5330">
        <w:rPr>
          <w:rFonts w:ascii="Book Antiqua" w:hAnsi="Book Antiqua" w:cs="宋体"/>
          <w:kern w:val="0"/>
          <w:sz w:val="24"/>
          <w:szCs w:val="24"/>
        </w:rPr>
        <w:t>: 1363-1369 [PMID: 20878132]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9 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Villadsen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SB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Bramsen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JB,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Ostenfeld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MS,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Wiklund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ED,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Fristrup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N,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Gao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S, Hansen TB, Jensen TI,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Borre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Ørntoft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TF,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Dyrskjøt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Kjems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J. The miR-143/-145 cluster regulates plasminogen activator inhibitor-1 in bladder cancer.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Br J Cancer</w:t>
      </w:r>
      <w:r w:rsidRPr="002F5330">
        <w:rPr>
          <w:rFonts w:ascii="Book Antiqua" w:hAnsi="Book Antiqua" w:cs="宋体"/>
          <w:kern w:val="0"/>
          <w:sz w:val="24"/>
          <w:szCs w:val="24"/>
        </w:rPr>
        <w:t> 2012;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106</w:t>
      </w:r>
      <w:r w:rsidRPr="002F5330">
        <w:rPr>
          <w:rFonts w:ascii="Book Antiqua" w:hAnsi="Book Antiqua" w:cs="宋体"/>
          <w:kern w:val="0"/>
          <w:sz w:val="24"/>
          <w:szCs w:val="24"/>
        </w:rPr>
        <w:t>: 366-374 [PMID: 22108519 DOI: 10.1038/bjc.2011.520]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10 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Szczyrba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J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Löprich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Wach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S, Jung V,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Unteregger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G, Barth S,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Grobholz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R, Wieland W,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Stöhr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R, Hartmann A,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Wullich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B,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Grässer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F. </w:t>
      </w: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The microRNA profile of prostate carcinoma obtained by deep sequencing.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Cancer Res</w:t>
      </w:r>
      <w:r w:rsidRPr="002F5330">
        <w:rPr>
          <w:rFonts w:ascii="Book Antiqua" w:hAnsi="Book Antiqua" w:cs="宋体"/>
          <w:kern w:val="0"/>
          <w:sz w:val="24"/>
          <w:szCs w:val="24"/>
        </w:rPr>
        <w:t> 2010;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8</w:t>
      </w:r>
      <w:r w:rsidRPr="002F5330">
        <w:rPr>
          <w:rFonts w:ascii="Book Antiqua" w:hAnsi="Book Antiqua" w:cs="宋体"/>
          <w:kern w:val="0"/>
          <w:sz w:val="24"/>
          <w:szCs w:val="24"/>
        </w:rPr>
        <w:t>: 529-538 [PMID: 20353999 DOI: 10.1158/1541-7786.MCR-09-0443]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11 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Osaki M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Takeshita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F, Sugimoto Y,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Kosaka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N, Yamamoto Y, Yoshioka Y, Kobayashi E, Yamada T, Kawai A, Inoue T, Ito H,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Oshimura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Ochiya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T. MicroRNA-143 regulates human osteosarcoma metastasis by regulating matrix metalloprotease-13 expression.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19</w:t>
      </w:r>
      <w:r w:rsidRPr="002F5330">
        <w:rPr>
          <w:rFonts w:ascii="Book Antiqua" w:hAnsi="Book Antiqua" w:cs="宋体"/>
          <w:kern w:val="0"/>
          <w:sz w:val="24"/>
          <w:szCs w:val="24"/>
        </w:rPr>
        <w:t>: 1123-1130 [PMID: 21427707 DOI: 10.1038/mt.2011.53]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12 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Ng EK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Tsang WP, Ng SS, Jin HC, Yu J, Li JJ,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Röcken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C, Ebert MP, Kwok TT, Sung JJ. MicroRNA-143 targets DNA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methyltransferases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3A in colorectal </w:t>
      </w:r>
      <w:r w:rsidRPr="002F5330">
        <w:rPr>
          <w:rFonts w:ascii="Book Antiqua" w:hAnsi="Book Antiqua" w:cs="宋体"/>
          <w:kern w:val="0"/>
          <w:sz w:val="24"/>
          <w:szCs w:val="24"/>
        </w:rPr>
        <w:lastRenderedPageBreak/>
        <w:t>cancer.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Br J Cancer</w:t>
      </w:r>
      <w:r w:rsidRPr="002F5330">
        <w:rPr>
          <w:rFonts w:ascii="Book Antiqua" w:hAnsi="Book Antiqua" w:cs="宋体"/>
          <w:kern w:val="0"/>
          <w:sz w:val="24"/>
          <w:szCs w:val="24"/>
        </w:rPr>
        <w:t> 2009;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101</w:t>
      </w:r>
      <w:r w:rsidRPr="002F5330">
        <w:rPr>
          <w:rFonts w:ascii="Book Antiqua" w:hAnsi="Book Antiqua" w:cs="宋体"/>
          <w:kern w:val="0"/>
          <w:sz w:val="24"/>
          <w:szCs w:val="24"/>
        </w:rPr>
        <w:t>: 699-706 [PMID: 19638978 DOI: 10.1038/sj.bjc.6605195]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13 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Cordes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KR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Sheehy NT, White MP, Berry EC, Morton SU,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Muth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AN, Lee TH,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Miano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JM, Ivey KN,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Srivastava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D. miR-145 and miR-143 regulate smooth muscle cell fate and plasticity.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Nature</w:t>
      </w:r>
      <w:r w:rsidRPr="002F5330">
        <w:rPr>
          <w:rFonts w:ascii="Book Antiqua" w:hAnsi="Book Antiqua" w:cs="宋体"/>
          <w:kern w:val="0"/>
          <w:sz w:val="24"/>
          <w:szCs w:val="24"/>
        </w:rPr>
        <w:t> 2009;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460</w:t>
      </w:r>
      <w:r w:rsidRPr="002F5330">
        <w:rPr>
          <w:rFonts w:ascii="Book Antiqua" w:hAnsi="Book Antiqua" w:cs="宋体"/>
          <w:kern w:val="0"/>
          <w:sz w:val="24"/>
          <w:szCs w:val="24"/>
        </w:rPr>
        <w:t>: 705-710 [PMID: 19578358]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14 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Chang KH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Miller N,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Kheirelseid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EA,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Lemetre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C, Ball GR, Smith MJ, Regan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McAnena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OJ,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Kerin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MJ. MicroRNA signature analysis in colorectal cancer: identification of expression profiles in stage II tumors associated with aggressive disease.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Colorectal Dis</w:t>
      </w:r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26</w:t>
      </w:r>
      <w:r w:rsidRPr="002F5330">
        <w:rPr>
          <w:rFonts w:ascii="Book Antiqua" w:hAnsi="Book Antiqua" w:cs="宋体"/>
          <w:kern w:val="0"/>
          <w:sz w:val="24"/>
          <w:szCs w:val="24"/>
        </w:rPr>
        <w:t>: 1415-1422 [PMID: 21739196 DOI: 10.1007/s00384-011-1279-4]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15 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Wijnhoven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BP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Hussey DJ, Watson DI,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Tsykin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A, Smith CM, Michael MZ. </w:t>
      </w: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 xml:space="preserve">MicroRNA profiling of Barrett's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oesophagus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and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oesophageal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adenocarcinoma.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Br J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2010;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97</w:t>
      </w:r>
      <w:r w:rsidRPr="002F5330">
        <w:rPr>
          <w:rFonts w:ascii="Book Antiqua" w:hAnsi="Book Antiqua" w:cs="宋体"/>
          <w:kern w:val="0"/>
          <w:sz w:val="24"/>
          <w:szCs w:val="24"/>
        </w:rPr>
        <w:t>: 853-861 [PMID: 20301167 DOI: 10.1002/bjs.7000]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16 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Wu BL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Xu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LY, Du ZP, Liao LD, Zhang HF, Huang Q, Fang GQ, Li EM.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MiRNA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profile in esophageal squamous cell carcinoma: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downregulation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of miR-143 and miR-145.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17</w:t>
      </w:r>
      <w:r w:rsidRPr="002F5330">
        <w:rPr>
          <w:rFonts w:ascii="Book Antiqua" w:hAnsi="Book Antiqua" w:cs="宋体"/>
          <w:kern w:val="0"/>
          <w:sz w:val="24"/>
          <w:szCs w:val="24"/>
        </w:rPr>
        <w:t>: 79-88 [PMID: 21218087 DOI: 10.3748/wjg.v17.i1.79]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17 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Chen HC</w:t>
      </w:r>
      <w:r w:rsidRPr="002F5330">
        <w:rPr>
          <w:rFonts w:ascii="Book Antiqua" w:hAnsi="Book Antiqua" w:cs="宋体"/>
          <w:kern w:val="0"/>
          <w:sz w:val="24"/>
          <w:szCs w:val="24"/>
        </w:rPr>
        <w:t>, Chen GH, Chen YH, Liao WL, Liu CY, Chang KP, Chang YS, Chen SJ.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</w:t>
      </w: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MicroRNA deregulation and pathway alterations in nasopharyngeal carcinoma.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Br J Cancer</w:t>
      </w:r>
      <w:r w:rsidRPr="002F5330">
        <w:rPr>
          <w:rFonts w:ascii="Book Antiqua" w:hAnsi="Book Antiqua" w:cs="宋体"/>
          <w:kern w:val="0"/>
          <w:sz w:val="24"/>
          <w:szCs w:val="24"/>
        </w:rPr>
        <w:t> 2009;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100</w:t>
      </w:r>
      <w:r w:rsidRPr="002F5330">
        <w:rPr>
          <w:rFonts w:ascii="Book Antiqua" w:hAnsi="Book Antiqua" w:cs="宋体"/>
          <w:kern w:val="0"/>
          <w:sz w:val="24"/>
          <w:szCs w:val="24"/>
        </w:rPr>
        <w:t>: 1002-1011 [PMID: 19293812 DOI: 10.1038/sj.bjc.6604948]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18 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Gao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W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Yu Y, Cao H,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Shen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H, Li X, Pan S,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Shu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Y. Deregulated expression of miR-21, miR-143 and miR-181a in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non small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cell lung cancer is related to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clinicopathologic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characteristics or patient prognosis.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Biomed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Pharmacother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2010;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64</w:t>
      </w:r>
      <w:r w:rsidRPr="002F5330">
        <w:rPr>
          <w:rFonts w:ascii="Book Antiqua" w:hAnsi="Book Antiqua" w:cs="宋体"/>
          <w:kern w:val="0"/>
          <w:sz w:val="24"/>
          <w:szCs w:val="24"/>
        </w:rPr>
        <w:t>: 399-408 [PMID: 20363096 DOI: 10.1016/j.biopha.2010.01.018]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19 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Amaral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FC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Torres N,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Saggioro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Neder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L, Machado HR, Silva WA, Moreira AC, Castro M. MicroRNAs differentially expressed in </w:t>
      </w:r>
      <w:r w:rsidRPr="002F5330">
        <w:rPr>
          <w:rFonts w:ascii="Book Antiqua" w:hAnsi="Book Antiqua" w:cs="宋体"/>
          <w:kern w:val="0"/>
          <w:sz w:val="24"/>
          <w:szCs w:val="24"/>
        </w:rPr>
        <w:lastRenderedPageBreak/>
        <w:t>ACTH-secreting pituitary tumors.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Endocrinol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Metab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2009;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94</w:t>
      </w:r>
      <w:r w:rsidRPr="002F5330">
        <w:rPr>
          <w:rFonts w:ascii="Book Antiqua" w:hAnsi="Book Antiqua" w:cs="宋体"/>
          <w:kern w:val="0"/>
          <w:sz w:val="24"/>
          <w:szCs w:val="24"/>
        </w:rPr>
        <w:t>: 320-323 [PMID: 18840638 DOI: 10.1210/jc.2008-1451]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20 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Ugras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S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Brill E, Jacobsen A,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Hafner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Socci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ND,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Decarolis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PL,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Khanin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R, O'Connor R,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Mihailovic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A, Taylor BS, Sheridan R,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Gimble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Viale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Crago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Antonescu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CR, Sander C,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Tuschl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T, Singer S. Small RNA sequencing and functional characterization reveals MicroRNA-143 tumor suppressor activity in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liposarcoma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Cancer Res</w:t>
      </w:r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71</w:t>
      </w:r>
      <w:r w:rsidRPr="002F5330">
        <w:rPr>
          <w:rFonts w:ascii="Book Antiqua" w:hAnsi="Book Antiqua" w:cs="宋体"/>
          <w:kern w:val="0"/>
          <w:sz w:val="24"/>
          <w:szCs w:val="24"/>
        </w:rPr>
        <w:t>: 5659-5669 [PMID: 21693658 DOI: 10.1158/0008-5472.CAN-11-0890]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21 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Akao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Y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Nakagawa Y,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Kitade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Y, Kinoshita T,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Naoe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T.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Downregulation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of microRNAs-143 and -145 in B-cell malignancies.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Cancer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2007;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98</w:t>
      </w:r>
      <w:r w:rsidRPr="002F5330">
        <w:rPr>
          <w:rFonts w:ascii="Book Antiqua" w:hAnsi="Book Antiqua" w:cs="宋体"/>
          <w:kern w:val="0"/>
          <w:sz w:val="24"/>
          <w:szCs w:val="24"/>
        </w:rPr>
        <w:t>: 1914-1920 [PMID: 17892514 DOI: 10.1111/j.1349-7006.2007.00618.x]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22 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Takagi T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Iio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A, Nakagawa Y,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Naoe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Tanigawa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N,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Akao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Y. Decreased expression of microRNA-143 and -145 in human gastric cancers.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Oncology</w:t>
      </w:r>
      <w:r w:rsidRPr="002F5330">
        <w:rPr>
          <w:rFonts w:ascii="Book Antiqua" w:hAnsi="Book Antiqua" w:cs="宋体"/>
          <w:kern w:val="0"/>
          <w:sz w:val="24"/>
          <w:szCs w:val="24"/>
        </w:rPr>
        <w:t> 2009;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77</w:t>
      </w:r>
      <w:r w:rsidRPr="002F5330">
        <w:rPr>
          <w:rFonts w:ascii="Book Antiqua" w:hAnsi="Book Antiqua" w:cs="宋体"/>
          <w:kern w:val="0"/>
          <w:sz w:val="24"/>
          <w:szCs w:val="24"/>
        </w:rPr>
        <w:t>: 12-21 [PMID: 19439999 DOI: 10.1159/000218166]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23 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Li X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Luo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F, Li Q,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Xu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Feng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D, Zhang G, Wu W. Identification of new aberrantly expressed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miRNAs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in intestinal-type gastric cancer and its clinical significance.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Rep</w:t>
      </w:r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26</w:t>
      </w:r>
      <w:r w:rsidRPr="002F5330">
        <w:rPr>
          <w:rFonts w:ascii="Book Antiqua" w:hAnsi="Book Antiqua" w:cs="宋体"/>
          <w:kern w:val="0"/>
          <w:sz w:val="24"/>
          <w:szCs w:val="24"/>
        </w:rPr>
        <w:t>: 1431-1439 [PMID: 21874264]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24 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Hoellen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F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Kelling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K, Dittmer C,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Diedrich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K, Friedrich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Thill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M. Impact of cyclooxygenase-2 in breast cancer.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Anticancer Res</w:t>
      </w:r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31</w:t>
      </w:r>
      <w:r w:rsidRPr="002F5330">
        <w:rPr>
          <w:rFonts w:ascii="Book Antiqua" w:hAnsi="Book Antiqua" w:cs="宋体"/>
          <w:kern w:val="0"/>
          <w:sz w:val="24"/>
          <w:szCs w:val="24"/>
        </w:rPr>
        <w:t>: 4359-4367 [PMID: 22199301]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25 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Adhim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Z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Matsuoka T,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Bito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Shigemura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K, Lee KM, Kawabata M, Fujisawa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Nibu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K,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Shirakawa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T. </w:t>
      </w:r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In vitro and in vivo inhibitory effect of three Cox-2 inhibitors and epithelial-to-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mesenchymal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transition in human bladder cancer cell lines.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Br J Cancer</w:t>
      </w:r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105</w:t>
      </w:r>
      <w:r w:rsidRPr="002F5330">
        <w:rPr>
          <w:rFonts w:ascii="Book Antiqua" w:hAnsi="Book Antiqua" w:cs="宋体"/>
          <w:kern w:val="0"/>
          <w:sz w:val="24"/>
          <w:szCs w:val="24"/>
        </w:rPr>
        <w:t>: 393-402 [PMID: 21750550 DOI: 10.1038/bjc.2011.262]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26 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Yin J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Liu B, Li B, Liu Z,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Xie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X,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Lv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Z,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Gao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Guang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J. The cyclooxygenase-2 inhibitor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celecoxib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attenuates hepatocellular carcinoma growth and c-Met expression in an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orthotopic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mouse model.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Res</w:t>
      </w:r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19</w:t>
      </w:r>
      <w:r w:rsidRPr="002F5330">
        <w:rPr>
          <w:rFonts w:ascii="Book Antiqua" w:hAnsi="Book Antiqua" w:cs="宋体"/>
          <w:kern w:val="0"/>
          <w:sz w:val="24"/>
          <w:szCs w:val="24"/>
        </w:rPr>
        <w:t>: 131-139 [PMID: 21473289 DOI: 10.3727/096504011X12935427587803]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lastRenderedPageBreak/>
        <w:t>27 </w:t>
      </w:r>
      <w:proofErr w:type="spellStart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Zhong</w:t>
      </w:r>
      <w:proofErr w:type="spellEnd"/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 xml:space="preserve"> B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Cai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X,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Chennamaneni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S, Yi X, Liu L, Pink JJ,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Dowlati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Xu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Y, Zhou A, Su B. From COX-2 inhibitor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nimesulide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to potent anti-cancer agent: synthesis, in vitro, in vivo and pharmacokinetic evaluation. 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Med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2012;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47</w:t>
      </w:r>
      <w:r w:rsidRPr="002F5330">
        <w:rPr>
          <w:rFonts w:ascii="Book Antiqua" w:hAnsi="Book Antiqua" w:cs="宋体"/>
          <w:kern w:val="0"/>
          <w:sz w:val="24"/>
          <w:szCs w:val="24"/>
        </w:rPr>
        <w:t>: 432-444 [PMID: 22119125 DOI: 10.1016/j.ejmech.2011.11.012]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28 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Ma D</w:t>
      </w:r>
      <w:r w:rsidRPr="002F5330">
        <w:rPr>
          <w:rFonts w:ascii="Book Antiqua" w:hAnsi="Book Antiqua" w:cs="宋体"/>
          <w:kern w:val="0"/>
          <w:sz w:val="24"/>
          <w:szCs w:val="24"/>
        </w:rPr>
        <w:t>, Liu M, Wang AP, Yang H. Cycloxygenase-2 is essential for the survival and proliferation of gastric cancer cells.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Cell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Biophys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2011;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61</w:t>
      </w:r>
      <w:r w:rsidRPr="002F5330">
        <w:rPr>
          <w:rFonts w:ascii="Book Antiqua" w:hAnsi="Book Antiqua" w:cs="宋体"/>
          <w:kern w:val="0"/>
          <w:sz w:val="24"/>
          <w:szCs w:val="24"/>
        </w:rPr>
        <w:t>: 637-641 [PMID: 21830126 DOI: 10.1007/s12013-011-9249-6]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29 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Wu WK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Cho CH, Lee CW, Fan D, Wu K, Yu J, Sung JJ. </w:t>
      </w:r>
      <w:proofErr w:type="spellStart"/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Dysregulation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of cellular signaling in gastric cancer.</w:t>
      </w:r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 xml:space="preserve">Cancer </w:t>
      </w:r>
      <w:proofErr w:type="spellStart"/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Lett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 2010;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295</w:t>
      </w:r>
      <w:r w:rsidRPr="002F5330">
        <w:rPr>
          <w:rFonts w:ascii="Book Antiqua" w:hAnsi="Book Antiqua" w:cs="宋体"/>
          <w:kern w:val="0"/>
          <w:sz w:val="24"/>
          <w:szCs w:val="24"/>
        </w:rPr>
        <w:t>: 144-153 [PMID: 20488613 DOI: 10.1016/j.canlet.2010.04.025]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30 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Lee Y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Ahn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C, Han J, Choi H, Kim J,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Yim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J, Lee J, Provost P,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Rådmark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O, Kim S, Kim VN. The nuclear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RNase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III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Drosha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initiates microRNA processing.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Nature</w:t>
      </w:r>
      <w:r w:rsidRPr="002F5330">
        <w:rPr>
          <w:rFonts w:ascii="Book Antiqua" w:hAnsi="Book Antiqua" w:cs="宋体"/>
          <w:kern w:val="0"/>
          <w:sz w:val="24"/>
          <w:szCs w:val="24"/>
        </w:rPr>
        <w:t> 2003;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425</w:t>
      </w:r>
      <w:r w:rsidRPr="002F5330">
        <w:rPr>
          <w:rFonts w:ascii="Book Antiqua" w:hAnsi="Book Antiqua" w:cs="宋体"/>
          <w:kern w:val="0"/>
          <w:sz w:val="24"/>
          <w:szCs w:val="24"/>
        </w:rPr>
        <w:t>: 415-419 [PMID: 14508493 DOI: 10.1038/nature01957]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31 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Griffiths-Jones S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Grocock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RJ, van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Dongen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S, Bateman A, Enright AJ. </w:t>
      </w:r>
      <w:proofErr w:type="spellStart"/>
      <w:proofErr w:type="gramStart"/>
      <w:r w:rsidRPr="002F5330">
        <w:rPr>
          <w:rFonts w:ascii="Book Antiqua" w:hAnsi="Book Antiqua" w:cs="宋体"/>
          <w:kern w:val="0"/>
          <w:sz w:val="24"/>
          <w:szCs w:val="24"/>
        </w:rPr>
        <w:t>miRBase</w:t>
      </w:r>
      <w:proofErr w:type="spellEnd"/>
      <w:proofErr w:type="gramEnd"/>
      <w:r w:rsidRPr="002F5330">
        <w:rPr>
          <w:rFonts w:ascii="Book Antiqua" w:hAnsi="Book Antiqua" w:cs="宋体"/>
          <w:kern w:val="0"/>
          <w:sz w:val="24"/>
          <w:szCs w:val="24"/>
        </w:rPr>
        <w:t>: microRNA sequences, targets and gene nomenclature.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Nucleic Acids Res</w:t>
      </w:r>
      <w:r w:rsidRPr="002F5330">
        <w:rPr>
          <w:rFonts w:ascii="Book Antiqua" w:hAnsi="Book Antiqua" w:cs="宋体"/>
          <w:kern w:val="0"/>
          <w:sz w:val="24"/>
          <w:szCs w:val="24"/>
        </w:rPr>
        <w:t> 2006;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34</w:t>
      </w:r>
      <w:r w:rsidRPr="002F5330">
        <w:rPr>
          <w:rFonts w:ascii="Book Antiqua" w:hAnsi="Book Antiqua" w:cs="宋体"/>
          <w:kern w:val="0"/>
          <w:sz w:val="24"/>
          <w:szCs w:val="24"/>
        </w:rPr>
        <w:t>: D140-D144 [PMID: 16381832 DOI: 10.1093/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nar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>/gkj112]</w:t>
      </w:r>
    </w:p>
    <w:p w:rsidR="006F1729" w:rsidRPr="002F5330" w:rsidRDefault="006F1729" w:rsidP="0001408A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2F5330">
        <w:rPr>
          <w:rFonts w:ascii="Book Antiqua" w:hAnsi="Book Antiqua" w:cs="宋体"/>
          <w:kern w:val="0"/>
          <w:sz w:val="24"/>
          <w:szCs w:val="24"/>
        </w:rPr>
        <w:t>32 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Almeida MI</w:t>
      </w:r>
      <w:r w:rsidRPr="002F5330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Nicoloso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MS,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Zeng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L, Ivan C,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Spizzo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R,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Gafà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R, Xiao L, Zhang X,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Vannini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I,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Fanini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Fabbri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Lanza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G, Reis RM,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Zweidler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-McKay PA, </w:t>
      </w:r>
      <w:proofErr w:type="spellStart"/>
      <w:r w:rsidRPr="002F5330">
        <w:rPr>
          <w:rFonts w:ascii="Book Antiqua" w:hAnsi="Book Antiqua" w:cs="宋体"/>
          <w:kern w:val="0"/>
          <w:sz w:val="24"/>
          <w:szCs w:val="24"/>
        </w:rPr>
        <w:t>Calin</w:t>
      </w:r>
      <w:proofErr w:type="spellEnd"/>
      <w:r w:rsidRPr="002F5330">
        <w:rPr>
          <w:rFonts w:ascii="Book Antiqua" w:hAnsi="Book Antiqua" w:cs="宋体"/>
          <w:kern w:val="0"/>
          <w:sz w:val="24"/>
          <w:szCs w:val="24"/>
        </w:rPr>
        <w:t xml:space="preserve"> GA. Strand-specific miR-28-5p and miR-28-3p have distinct effects in colorectal cancer cells. </w:t>
      </w:r>
      <w:r w:rsidRPr="002F5330">
        <w:rPr>
          <w:rFonts w:ascii="Book Antiqua" w:hAnsi="Book Antiqua" w:cs="宋体"/>
          <w:i/>
          <w:iCs/>
          <w:kern w:val="0"/>
          <w:sz w:val="24"/>
          <w:szCs w:val="24"/>
        </w:rPr>
        <w:t>Gastroenterology</w:t>
      </w:r>
      <w:r w:rsidRPr="002F5330">
        <w:rPr>
          <w:rFonts w:ascii="Book Antiqua" w:hAnsi="Book Antiqua" w:cs="宋体"/>
          <w:kern w:val="0"/>
          <w:sz w:val="24"/>
          <w:szCs w:val="24"/>
        </w:rPr>
        <w:t> 2012; </w:t>
      </w:r>
      <w:r w:rsidRPr="002F5330">
        <w:rPr>
          <w:rFonts w:ascii="Book Antiqua" w:hAnsi="Book Antiqua" w:cs="宋体"/>
          <w:b/>
          <w:bCs/>
          <w:kern w:val="0"/>
          <w:sz w:val="24"/>
          <w:szCs w:val="24"/>
        </w:rPr>
        <w:t>142</w:t>
      </w:r>
      <w:r w:rsidRPr="002F5330">
        <w:rPr>
          <w:rFonts w:ascii="Book Antiqua" w:hAnsi="Book Antiqua" w:cs="宋体"/>
          <w:kern w:val="0"/>
          <w:sz w:val="24"/>
          <w:szCs w:val="24"/>
        </w:rPr>
        <w:t>: 886-896.e9 [PMID: 22240480 DOI: 10.1053/j.gastro.2011.12.047]</w:t>
      </w:r>
    </w:p>
    <w:p w:rsidR="006F1729" w:rsidRPr="002F5330" w:rsidRDefault="006F1729" w:rsidP="0001408A">
      <w:pPr>
        <w:spacing w:line="360" w:lineRule="auto"/>
        <w:rPr>
          <w:rFonts w:ascii="Book Antiqua" w:hAnsi="Book Antiqua"/>
        </w:rPr>
      </w:pPr>
    </w:p>
    <w:p w:rsidR="006F1729" w:rsidRPr="00CE4867" w:rsidRDefault="006F1729" w:rsidP="00D92DB3">
      <w:pPr>
        <w:spacing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bookmarkStart w:id="32" w:name="OLE_LINK36"/>
      <w:bookmarkStart w:id="33" w:name="OLE_LINK37"/>
      <w:bookmarkStart w:id="34" w:name="OLE_LINK20"/>
      <w:bookmarkStart w:id="35" w:name="OLE_LINK80"/>
      <w:bookmarkStart w:id="36" w:name="OLE_LINK85"/>
      <w:bookmarkStart w:id="37" w:name="OLE_LINK194"/>
      <w:bookmarkStart w:id="38" w:name="OLE_LINK118"/>
      <w:r w:rsidRPr="00CE4867">
        <w:rPr>
          <w:rStyle w:val="ac"/>
          <w:rFonts w:ascii="Book Antiqua" w:hAnsi="Book Antiqua"/>
          <w:bCs/>
          <w:noProof/>
          <w:color w:val="000000"/>
          <w:sz w:val="24"/>
          <w:szCs w:val="24"/>
        </w:rPr>
        <w:t>P-Reviewer</w:t>
      </w:r>
      <w:r>
        <w:rPr>
          <w:rStyle w:val="ac"/>
          <w:rFonts w:ascii="Book Antiqua" w:hAnsi="Book Antiqua"/>
          <w:bCs/>
          <w:noProof/>
          <w:color w:val="000000"/>
          <w:sz w:val="24"/>
          <w:szCs w:val="24"/>
        </w:rPr>
        <w:t>s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proofErr w:type="spellStart"/>
      <w:r w:rsidRPr="00567AA7">
        <w:rPr>
          <w:rFonts w:ascii="Book Antiqua" w:hAnsi="Book Antiqua"/>
          <w:bCs/>
          <w:color w:val="000000"/>
          <w:sz w:val="24"/>
        </w:rPr>
        <w:t>Hahm</w:t>
      </w:r>
      <w:proofErr w:type="spellEnd"/>
      <w:r w:rsidRPr="00567AA7">
        <w:rPr>
          <w:rFonts w:ascii="Book Antiqua" w:hAnsi="Book Antiqua"/>
          <w:bCs/>
          <w:color w:val="000000"/>
          <w:sz w:val="24"/>
        </w:rPr>
        <w:t xml:space="preserve"> KB, Kanda T, </w:t>
      </w:r>
      <w:proofErr w:type="spellStart"/>
      <w:r w:rsidRPr="00567AA7">
        <w:rPr>
          <w:rFonts w:ascii="Book Antiqua" w:hAnsi="Book Antiqua"/>
          <w:bCs/>
          <w:color w:val="000000"/>
          <w:sz w:val="24"/>
        </w:rPr>
        <w:t>Raffaniello</w:t>
      </w:r>
      <w:proofErr w:type="spellEnd"/>
      <w:r w:rsidRPr="00567AA7">
        <w:rPr>
          <w:rFonts w:ascii="Book Antiqua" w:hAnsi="Book Antiqua"/>
          <w:bCs/>
          <w:color w:val="000000"/>
          <w:sz w:val="24"/>
        </w:rPr>
        <w:t xml:space="preserve"> RD</w:t>
      </w:r>
      <w:r>
        <w:rPr>
          <w:rFonts w:ascii="Book Antiqua" w:hAnsi="Book Antiqua"/>
          <w:bCs/>
          <w:color w:val="000000"/>
          <w:sz w:val="24"/>
        </w:rPr>
        <w:t xml:space="preserve">, </w:t>
      </w:r>
      <w:r w:rsidRPr="00567AA7">
        <w:rPr>
          <w:rFonts w:ascii="Book Antiqua" w:hAnsi="Book Antiqua"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S-Editor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L-Editor       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E-Editor</w:t>
      </w:r>
    </w:p>
    <w:bookmarkEnd w:id="32"/>
    <w:bookmarkEnd w:id="33"/>
    <w:bookmarkEnd w:id="34"/>
    <w:bookmarkEnd w:id="35"/>
    <w:bookmarkEnd w:id="36"/>
    <w:bookmarkEnd w:id="37"/>
    <w:bookmarkEnd w:id="38"/>
    <w:p w:rsidR="006F1729" w:rsidRPr="00567AA7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  <w:r w:rsidRPr="006D4A8F">
        <w:rPr>
          <w:rFonts w:ascii="Book Antiqua" w:eastAsia="Arial Unicode MS" w:hAnsi="Book Antiqua"/>
          <w:b/>
          <w:color w:val="000000"/>
          <w:sz w:val="24"/>
          <w:szCs w:val="24"/>
        </w:rPr>
        <w:lastRenderedPageBreak/>
        <w:t xml:space="preserve">Figure 1 miR-143 expression is </w:t>
      </w:r>
      <w:proofErr w:type="spellStart"/>
      <w:r w:rsidRPr="006D4A8F">
        <w:rPr>
          <w:rFonts w:ascii="Book Antiqua" w:eastAsia="Arial Unicode MS" w:hAnsi="Book Antiqua"/>
          <w:b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b/>
          <w:color w:val="000000"/>
          <w:sz w:val="24"/>
          <w:szCs w:val="24"/>
        </w:rPr>
        <w:t xml:space="preserve"> in gastric cancer cell lines. </w:t>
      </w:r>
      <w:r>
        <w:rPr>
          <w:rFonts w:ascii="Book Antiqua" w:eastAsia="Arial Unicode MS" w:hAnsi="Book Antiqua"/>
          <w:color w:val="000000"/>
          <w:sz w:val="24"/>
          <w:szCs w:val="24"/>
        </w:rPr>
        <w:t>A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: Quantitative real-time </w:t>
      </w:r>
      <w:r w:rsidRPr="00E369BB">
        <w:rPr>
          <w:rFonts w:ascii="Book Antiqua" w:eastAsia="Arial Unicode MS" w:hAnsi="Book Antiqua"/>
          <w:color w:val="000000"/>
          <w:sz w:val="24"/>
          <w:szCs w:val="24"/>
        </w:rPr>
        <w:t>polymerase chain reaction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analysis was performed in five gastric cell lines and a normal gastric epithelium cell line (GES-1). Mature miR-143-5p expression levels were significantly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gastric cancer cells, compared to normal gastric epithelium cells (</w:t>
      </w:r>
      <w:proofErr w:type="spellStart"/>
      <w:r w:rsidRPr="00FC760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b</w:t>
      </w:r>
      <w:r w:rsidRPr="00A4349F">
        <w:rPr>
          <w:rFonts w:ascii="Book Antiqua" w:eastAsia="Arial Unicode MS" w:hAnsi="Book Antiqua"/>
          <w:i/>
          <w:color w:val="00000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color w:val="00000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0.01). The mean value from the GES-1 cell line was normalized to 1</w:t>
      </w:r>
      <w:r>
        <w:rPr>
          <w:rFonts w:ascii="Book Antiqua" w:eastAsia="Arial Unicode MS" w:hAnsi="Book Antiqua"/>
          <w:color w:val="000000"/>
          <w:sz w:val="24"/>
          <w:szCs w:val="24"/>
        </w:rPr>
        <w:t xml:space="preserve">;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B Mature miR-143-3p expression levels were significantly </w:t>
      </w:r>
      <w:proofErr w:type="spellStart"/>
      <w:r w:rsidRPr="006D4A8F">
        <w:rPr>
          <w:rFonts w:ascii="Book Antiqua" w:eastAsia="Arial Unicode MS" w:hAnsi="Book Antiqua"/>
          <w:color w:val="000000"/>
          <w:sz w:val="24"/>
          <w:szCs w:val="24"/>
        </w:rPr>
        <w:t>downregulated</w:t>
      </w:r>
      <w:proofErr w:type="spellEnd"/>
      <w:r w:rsidRPr="006D4A8F">
        <w:rPr>
          <w:rFonts w:ascii="Book Antiqua" w:eastAsia="Arial Unicode MS" w:hAnsi="Book Antiqua"/>
          <w:color w:val="000000"/>
          <w:sz w:val="24"/>
          <w:szCs w:val="24"/>
        </w:rPr>
        <w:t xml:space="preserve"> in gastric cancer cells, compared to normal gastric epithelium cells (</w:t>
      </w:r>
      <w:proofErr w:type="spellStart"/>
      <w:r w:rsidRPr="00FC760F">
        <w:rPr>
          <w:rFonts w:ascii="Book Antiqua" w:eastAsia="Arial Unicode MS" w:hAnsi="Book Antiqua"/>
          <w:color w:val="000000"/>
          <w:sz w:val="24"/>
          <w:szCs w:val="24"/>
          <w:vertAlign w:val="superscript"/>
        </w:rPr>
        <w:t>b</w:t>
      </w:r>
      <w:r w:rsidRPr="00A4349F">
        <w:rPr>
          <w:rFonts w:ascii="Book Antiqua" w:eastAsia="Arial Unicode MS" w:hAnsi="Book Antiqua"/>
          <w:i/>
          <w:color w:val="00000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color w:val="00000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0.01)</w:t>
      </w:r>
      <w:r>
        <w:rPr>
          <w:rFonts w:ascii="Book Antiqua" w:eastAsia="Arial Unicode MS" w:hAnsi="Book Antiqua"/>
          <w:color w:val="000000"/>
          <w:sz w:val="24"/>
          <w:szCs w:val="24"/>
        </w:rPr>
        <w:t xml:space="preserve">; </w:t>
      </w:r>
      <w:r w:rsidRPr="006D4A8F">
        <w:rPr>
          <w:rFonts w:ascii="Book Antiqua" w:eastAsia="Arial Unicode MS" w:hAnsi="Book Antiqua"/>
          <w:color w:val="000000"/>
          <w:sz w:val="24"/>
          <w:szCs w:val="24"/>
        </w:rPr>
        <w:t>C: Western blotting showed that COX-2 protein expression in the five human gastric cancer cell lines inversely correlated with the miR-143 levels.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p w:rsidR="006F1729" w:rsidRPr="006D4A8F" w:rsidRDefault="006F1729" w:rsidP="00B44AB2">
      <w:pPr>
        <w:widowControl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>Figure 2 Transfection with miR-143 inhibits gastric cancer cell viability and induces apoptosis.</w:t>
      </w:r>
      <w:r>
        <w:rPr>
          <w:rFonts w:ascii="Book Antiqua" w:eastAsia="Arial Unicode MS" w:hAnsi="Book Antiqua"/>
          <w:b/>
          <w:kern w:val="0"/>
          <w:sz w:val="24"/>
          <w:szCs w:val="24"/>
        </w:rPr>
        <w:t xml:space="preserve">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A: An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Blue assay was performed 3 d after transfection with miR-143-5p or miR-143-3p to measure the viability of MKN-1 and BGC-823 gastric cancer cells. The results showed significant decreases in cell viability following transfection with either miR-143-5p or miR-143-3p (</w:t>
      </w:r>
      <w:proofErr w:type="spellStart"/>
      <w:r w:rsidRPr="005D70B2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a</w:t>
      </w:r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0.05); this decrease was greater after miR-143-5p transfection than after miR-143-3p (</w:t>
      </w:r>
      <w:bookmarkStart w:id="39" w:name="OLE_LINK17"/>
      <w:bookmarkStart w:id="40" w:name="OLE_LINK18"/>
      <w:proofErr w:type="spellStart"/>
      <w:r w:rsidRPr="000E3C68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c</w:t>
      </w:r>
      <w:bookmarkEnd w:id="39"/>
      <w:bookmarkEnd w:id="40"/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0.05)</w:t>
      </w:r>
      <w:r>
        <w:rPr>
          <w:rFonts w:ascii="Book Antiqua" w:eastAsia="Arial Unicode MS" w:hAnsi="Book Antiqua"/>
          <w:kern w:val="0"/>
          <w:sz w:val="24"/>
          <w:szCs w:val="24"/>
        </w:rPr>
        <w:t xml:space="preserve">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B: Cell counts performed 3 d after transfection into MKN-1 and BGC-823 gastric cancer cells showed decreased cell numbers after transfection with either miR-143-5p or miR-143-3p (</w:t>
      </w:r>
      <w:proofErr w:type="spellStart"/>
      <w:r w:rsidRPr="005D70B2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a</w:t>
      </w:r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0.05). Consistent with the results of the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Alamar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Blue assay, the decrease in cell number after miR-143-5p transfection was greater than that after miR-143-3p transfection (</w:t>
      </w:r>
      <w:proofErr w:type="spellStart"/>
      <w:r w:rsidRPr="000E3C68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c</w:t>
      </w:r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0.05)</w:t>
      </w:r>
      <w:r>
        <w:rPr>
          <w:rFonts w:ascii="Book Antiqua" w:eastAsia="Arial Unicode MS" w:hAnsi="Book Antiqua"/>
          <w:kern w:val="0"/>
          <w:sz w:val="24"/>
          <w:szCs w:val="24"/>
        </w:rPr>
        <w:t>;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(C, D): An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Annexin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V/PE cell apoptosis assay revealed increased apoptosis in gastric cancer cells after transfection with either miR-143-5p or miR-143-3p (</w:t>
      </w:r>
      <w:proofErr w:type="spellStart"/>
      <w:r w:rsidRPr="005D70B2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a</w:t>
      </w:r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0.05). Cells transfected with miR-143-5p had a significantly higher apoptosis rate than did cells transfected with miR-143-3p (</w:t>
      </w:r>
      <w:proofErr w:type="spellStart"/>
      <w:r w:rsidRPr="000E3C68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c</w:t>
      </w:r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kern w:val="0"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0.05)</w:t>
      </w:r>
      <w:r>
        <w:rPr>
          <w:rFonts w:ascii="Book Antiqua" w:eastAsia="Arial Unicode MS" w:hAnsi="Book Antiqua"/>
          <w:kern w:val="0"/>
          <w:sz w:val="24"/>
          <w:szCs w:val="24"/>
        </w:rPr>
        <w:t xml:space="preserve">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>E: Western blots of PARP protein in MKN-1 and BGC-823 cell lines at 3 d after transfection with miR-143-5p or miR-143-3p. GAPDH was used as a control. The results showed increased expression of cleaved PARP after miR-143-5p and miR-143-3p transfection.</w:t>
      </w:r>
    </w:p>
    <w:p w:rsidR="006F1729" w:rsidRPr="006D4A8F" w:rsidRDefault="006F1729" w:rsidP="00B44AB2">
      <w:pPr>
        <w:spacing w:line="360" w:lineRule="auto"/>
        <w:rPr>
          <w:rFonts w:ascii="Book Antiqua" w:hAnsi="Book Antiqua"/>
          <w:sz w:val="24"/>
          <w:szCs w:val="24"/>
        </w:rPr>
      </w:pPr>
    </w:p>
    <w:p w:rsidR="006F1729" w:rsidRPr="006D4A8F" w:rsidRDefault="006F1729" w:rsidP="00B44AB2">
      <w:pPr>
        <w:widowControl/>
        <w:spacing w:line="360" w:lineRule="auto"/>
        <w:rPr>
          <w:rFonts w:ascii="Book Antiqua" w:eastAsia="Arial Unicode MS" w:hAnsi="Book Antiqua"/>
          <w:kern w:val="0"/>
          <w:sz w:val="24"/>
          <w:szCs w:val="24"/>
        </w:rPr>
      </w:pPr>
      <w:r>
        <w:rPr>
          <w:rFonts w:ascii="Book Antiqua" w:eastAsia="Arial Unicode MS" w:hAnsi="Book Antiqua"/>
          <w:b/>
          <w:kern w:val="0"/>
          <w:sz w:val="24"/>
          <w:szCs w:val="24"/>
        </w:rPr>
        <w:t>Figure 3</w:t>
      </w:r>
      <w:r w:rsidRPr="006D4A8F">
        <w:rPr>
          <w:rFonts w:ascii="Book Antiqua" w:eastAsia="Arial Unicode MS" w:hAnsi="Book Antiqua"/>
          <w:b/>
          <w:kern w:val="0"/>
          <w:sz w:val="24"/>
          <w:szCs w:val="24"/>
        </w:rPr>
        <w:t xml:space="preserve"> miR-143-5p directly inhibits COX-2 expression.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A: Sites of miR-143-5p seed matches in the COX-2 3′-UTR </w:t>
      </w:r>
      <w:r w:rsidRPr="006D4A8F">
        <w:rPr>
          <w:rFonts w:ascii="Book Antiqua" w:eastAsia="Arial Unicode MS" w:hAnsi="Book Antiqua"/>
          <w:sz w:val="24"/>
          <w:szCs w:val="24"/>
        </w:rPr>
        <w:t>(nucleotides 3515–3536)</w:t>
      </w:r>
      <w:r>
        <w:rPr>
          <w:rFonts w:ascii="Book Antiqua" w:eastAsia="Arial Unicode MS" w:hAnsi="Book Antiqua"/>
          <w:kern w:val="0"/>
          <w:sz w:val="24"/>
          <w:szCs w:val="24"/>
        </w:rPr>
        <w:t>; B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: Western blot of COX-2 protein in the MKN-1 and BGC-823 gastric cancer cell lines at 3 d after transfection with miR-143-5p, miR-143-3p or </w:t>
      </w:r>
      <w:proofErr w:type="spellStart"/>
      <w:r w:rsidRPr="006D4A8F">
        <w:rPr>
          <w:rFonts w:ascii="Book Antiqua" w:eastAsia="Arial Unicode MS" w:hAnsi="Book Antiqua"/>
          <w:kern w:val="0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mimic control. GAPDH was used as a control. The results </w:t>
      </w:r>
      <w:r w:rsidRPr="006D4A8F">
        <w:rPr>
          <w:rFonts w:ascii="Book Antiqua" w:eastAsia="Arial Unicode MS" w:hAnsi="Book Antiqua"/>
          <w:sz w:val="24"/>
          <w:szCs w:val="24"/>
        </w:rPr>
        <w:t>showed a profound decrease in COX-2 protein expression after transfection with miR-143-5p but not miR-143-3p</w:t>
      </w:r>
      <w:r>
        <w:rPr>
          <w:rFonts w:ascii="Book Antiqua" w:eastAsia="Arial Unicode MS" w:hAnsi="Book Antiqua"/>
          <w:sz w:val="24"/>
          <w:szCs w:val="24"/>
        </w:rPr>
        <w:t>;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C: Real-time RT-PCR to determine COX-2 mRNA expression was performed 2 d after transfection with miR-143-5p, miR-143-3p or a control in MKN-1 and BGC-823. The mean expression in the control group was normalized to 1.</w:t>
      </w:r>
      <w:r w:rsidRPr="006D4A8F">
        <w:rPr>
          <w:rFonts w:ascii="Book Antiqua" w:eastAsia="Arial Unicode MS" w:hAnsi="Book Antiqua"/>
          <w:sz w:val="24"/>
          <w:szCs w:val="24"/>
        </w:rPr>
        <w:t xml:space="preserve"> Consistent with transcriptional inhibition by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miRNA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>, the COX-2 mRNA level was reduced after miR-143-5p transfection (</w:t>
      </w:r>
      <w:proofErr w:type="spellStart"/>
      <w:r w:rsidRPr="008D6CBC">
        <w:rPr>
          <w:rFonts w:ascii="Book Antiqua" w:eastAsia="Arial Unicode MS" w:hAnsi="Book Antiqua"/>
          <w:sz w:val="24"/>
          <w:szCs w:val="24"/>
          <w:vertAlign w:val="superscript"/>
        </w:rPr>
        <w:t>a</w:t>
      </w:r>
      <w:r w:rsidRPr="00A4349F">
        <w:rPr>
          <w:rFonts w:ascii="Book Antiqua" w:eastAsia="Arial Unicode MS" w:hAnsi="Book Antiqua"/>
          <w:i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sz w:val="24"/>
          <w:szCs w:val="24"/>
        </w:rPr>
        <w:t>0.05)</w:t>
      </w:r>
      <w:r>
        <w:rPr>
          <w:rFonts w:ascii="Book Antiqua" w:eastAsia="Arial Unicode MS" w:hAnsi="Book Antiqua"/>
          <w:sz w:val="24"/>
          <w:szCs w:val="24"/>
        </w:rPr>
        <w:t xml:space="preserve">; </w:t>
      </w:r>
      <w:r>
        <w:rPr>
          <w:rFonts w:ascii="Book Antiqua" w:eastAsia="Arial Unicode MS" w:hAnsi="Book Antiqua"/>
          <w:kern w:val="0"/>
          <w:sz w:val="24"/>
          <w:szCs w:val="24"/>
        </w:rPr>
        <w:t>D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: Normalized activity of the wild-type COX-2 3′-UTR luciferase reporter in BGC-823 cells, 2 d after transfection with miR-143-5p, miR-143-3p or a control. The luciferase activity was significantly decreased by miR-143-5p </w:t>
      </w:r>
      <w:r w:rsidRPr="006D4A8F">
        <w:rPr>
          <w:rFonts w:ascii="Book Antiqua" w:eastAsia="Arial Unicode MS" w:hAnsi="Book Antiqua"/>
          <w:sz w:val="24"/>
          <w:szCs w:val="24"/>
        </w:rPr>
        <w:t>(</w:t>
      </w:r>
      <w:proofErr w:type="spellStart"/>
      <w:r w:rsidRPr="008D6CBC">
        <w:rPr>
          <w:rFonts w:ascii="Book Antiqua" w:eastAsia="Arial Unicode MS" w:hAnsi="Book Antiqua"/>
          <w:kern w:val="0"/>
          <w:sz w:val="24"/>
          <w:szCs w:val="24"/>
          <w:vertAlign w:val="superscript"/>
        </w:rPr>
        <w:t>b</w:t>
      </w:r>
      <w:r w:rsidRPr="00A4349F">
        <w:rPr>
          <w:rFonts w:ascii="Book Antiqua" w:eastAsia="Arial Unicode MS" w:hAnsi="Book Antiqua"/>
          <w:i/>
          <w:sz w:val="24"/>
          <w:szCs w:val="24"/>
        </w:rPr>
        <w:t>P</w:t>
      </w:r>
      <w:proofErr w:type="spellEnd"/>
      <w:r w:rsidRPr="00A4349F">
        <w:rPr>
          <w:rFonts w:ascii="Book Antiqua" w:eastAsia="Arial Unicode MS" w:hAnsi="Book Antiqua"/>
          <w:i/>
          <w:sz w:val="24"/>
          <w:szCs w:val="24"/>
        </w:rPr>
        <w:t xml:space="preserve"> &lt; </w:t>
      </w:r>
      <w:r w:rsidRPr="006D4A8F">
        <w:rPr>
          <w:rFonts w:ascii="Book Antiqua" w:eastAsia="Arial Unicode MS" w:hAnsi="Book Antiqua"/>
          <w:sz w:val="24"/>
          <w:szCs w:val="24"/>
        </w:rPr>
        <w:t>0.01)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but not miR-143-3p</w:t>
      </w:r>
      <w:r>
        <w:rPr>
          <w:rFonts w:ascii="Book Antiqua" w:eastAsia="Arial Unicode MS" w:hAnsi="Book Antiqua"/>
          <w:kern w:val="0"/>
          <w:sz w:val="24"/>
          <w:szCs w:val="24"/>
        </w:rPr>
        <w:t xml:space="preserve">; 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E: Normalized activity of the mutant-type COX-2 3′-UTR luciferase reporter in BGC-823 cells, 2 d after transfection with miR-143-5p, miR-143-3p or a control. The results showed that </w:t>
      </w:r>
      <w:proofErr w:type="spellStart"/>
      <w:r w:rsidRPr="006D4A8F">
        <w:rPr>
          <w:rFonts w:ascii="Book Antiqua" w:eastAsia="Arial Unicode MS" w:hAnsi="Book Antiqua"/>
          <w:sz w:val="24"/>
          <w:szCs w:val="24"/>
        </w:rPr>
        <w:t>cotransfection</w:t>
      </w:r>
      <w:proofErr w:type="spellEnd"/>
      <w:r w:rsidRPr="006D4A8F">
        <w:rPr>
          <w:rFonts w:ascii="Book Antiqua" w:eastAsia="Arial Unicode MS" w:hAnsi="Book Antiqua"/>
          <w:sz w:val="24"/>
          <w:szCs w:val="24"/>
        </w:rPr>
        <w:t xml:space="preserve"> of the mutant reporter plasmid with miR-143-5p or miR-1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43-3p </w:t>
      </w:r>
      <w:r w:rsidRPr="006D4A8F">
        <w:rPr>
          <w:rFonts w:ascii="Book Antiqua" w:eastAsia="Arial Unicode MS" w:hAnsi="Book Antiqua"/>
          <w:sz w:val="24"/>
          <w:szCs w:val="24"/>
        </w:rPr>
        <w:t>had no effect on luciferase activity in the transfected cells.</w:t>
      </w:r>
      <w:r w:rsidRPr="006D4A8F">
        <w:rPr>
          <w:rFonts w:ascii="Book Antiqua" w:eastAsia="Arial Unicode MS" w:hAnsi="Book Antiqua"/>
          <w:kern w:val="0"/>
          <w:sz w:val="24"/>
          <w:szCs w:val="24"/>
        </w:rPr>
        <w:t xml:space="preserve"> </w:t>
      </w:r>
    </w:p>
    <w:p w:rsidR="006F1729" w:rsidRPr="006D4A8F" w:rsidRDefault="006F1729" w:rsidP="00B44AB2">
      <w:pPr>
        <w:spacing w:line="360" w:lineRule="auto"/>
        <w:rPr>
          <w:rFonts w:ascii="Book Antiqua" w:eastAsia="Arial Unicode MS" w:hAnsi="Book Antiqua"/>
          <w:color w:val="000000"/>
          <w:sz w:val="24"/>
          <w:szCs w:val="24"/>
        </w:rPr>
      </w:pPr>
    </w:p>
    <w:sectPr w:rsidR="006F1729" w:rsidRPr="006D4A8F" w:rsidSect="00290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2A" w:rsidRDefault="00EB442A" w:rsidP="00851BC3">
      <w:r>
        <w:separator/>
      </w:r>
    </w:p>
  </w:endnote>
  <w:endnote w:type="continuationSeparator" w:id="0">
    <w:p w:rsidR="00EB442A" w:rsidRDefault="00EB442A" w:rsidP="0085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2A" w:rsidRDefault="00EB442A" w:rsidP="00851BC3">
      <w:r>
        <w:separator/>
      </w:r>
    </w:p>
  </w:footnote>
  <w:footnote w:type="continuationSeparator" w:id="0">
    <w:p w:rsidR="00EB442A" w:rsidRDefault="00EB442A" w:rsidP="0085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097"/>
    <w:multiLevelType w:val="hybridMultilevel"/>
    <w:tmpl w:val="D118319E"/>
    <w:lvl w:ilvl="0" w:tplc="77823E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E0"/>
    <w:rsid w:val="0000608F"/>
    <w:rsid w:val="0001408A"/>
    <w:rsid w:val="00052B1C"/>
    <w:rsid w:val="0005551C"/>
    <w:rsid w:val="00083A3F"/>
    <w:rsid w:val="000E3C68"/>
    <w:rsid w:val="00107F7E"/>
    <w:rsid w:val="00155C09"/>
    <w:rsid w:val="00181735"/>
    <w:rsid w:val="001B10F7"/>
    <w:rsid w:val="001D166C"/>
    <w:rsid w:val="001D3DA6"/>
    <w:rsid w:val="001E4F39"/>
    <w:rsid w:val="001E610C"/>
    <w:rsid w:val="001F36C2"/>
    <w:rsid w:val="00205423"/>
    <w:rsid w:val="002076E0"/>
    <w:rsid w:val="0020783C"/>
    <w:rsid w:val="00290586"/>
    <w:rsid w:val="002B6170"/>
    <w:rsid w:val="002E5B15"/>
    <w:rsid w:val="002F5330"/>
    <w:rsid w:val="0031109D"/>
    <w:rsid w:val="00361E6C"/>
    <w:rsid w:val="003C6ABF"/>
    <w:rsid w:val="00417272"/>
    <w:rsid w:val="00421E83"/>
    <w:rsid w:val="00432575"/>
    <w:rsid w:val="00443638"/>
    <w:rsid w:val="00443A92"/>
    <w:rsid w:val="00457A99"/>
    <w:rsid w:val="004F52D1"/>
    <w:rsid w:val="00526ED3"/>
    <w:rsid w:val="005507A3"/>
    <w:rsid w:val="00553623"/>
    <w:rsid w:val="00562B1B"/>
    <w:rsid w:val="00567AA7"/>
    <w:rsid w:val="00574B5E"/>
    <w:rsid w:val="00581208"/>
    <w:rsid w:val="00586F27"/>
    <w:rsid w:val="005A14BC"/>
    <w:rsid w:val="005D1A6D"/>
    <w:rsid w:val="005D70B2"/>
    <w:rsid w:val="005E367C"/>
    <w:rsid w:val="006727B4"/>
    <w:rsid w:val="00675F15"/>
    <w:rsid w:val="006D13B7"/>
    <w:rsid w:val="006D4A8F"/>
    <w:rsid w:val="006F1729"/>
    <w:rsid w:val="006F2D64"/>
    <w:rsid w:val="007035EE"/>
    <w:rsid w:val="00706EAC"/>
    <w:rsid w:val="007222E7"/>
    <w:rsid w:val="007512DB"/>
    <w:rsid w:val="00754A88"/>
    <w:rsid w:val="007A373D"/>
    <w:rsid w:val="007D5F54"/>
    <w:rsid w:val="007E3844"/>
    <w:rsid w:val="00807458"/>
    <w:rsid w:val="0081057F"/>
    <w:rsid w:val="00814C1C"/>
    <w:rsid w:val="00851BC3"/>
    <w:rsid w:val="00877835"/>
    <w:rsid w:val="008A6DA1"/>
    <w:rsid w:val="008D6CBC"/>
    <w:rsid w:val="009040C5"/>
    <w:rsid w:val="009240CD"/>
    <w:rsid w:val="009326C1"/>
    <w:rsid w:val="00963356"/>
    <w:rsid w:val="009A439A"/>
    <w:rsid w:val="009D69C8"/>
    <w:rsid w:val="00A01286"/>
    <w:rsid w:val="00A4349F"/>
    <w:rsid w:val="00AC3ADB"/>
    <w:rsid w:val="00AF3AFC"/>
    <w:rsid w:val="00B0207D"/>
    <w:rsid w:val="00B127C7"/>
    <w:rsid w:val="00B16368"/>
    <w:rsid w:val="00B44AB2"/>
    <w:rsid w:val="00B5584D"/>
    <w:rsid w:val="00B80205"/>
    <w:rsid w:val="00B802C4"/>
    <w:rsid w:val="00B930F7"/>
    <w:rsid w:val="00BA3109"/>
    <w:rsid w:val="00BF7CE4"/>
    <w:rsid w:val="00C0228A"/>
    <w:rsid w:val="00C206B0"/>
    <w:rsid w:val="00C25A9B"/>
    <w:rsid w:val="00C37FEA"/>
    <w:rsid w:val="00C73BD2"/>
    <w:rsid w:val="00C751B6"/>
    <w:rsid w:val="00C75FD2"/>
    <w:rsid w:val="00C82BCE"/>
    <w:rsid w:val="00C840BC"/>
    <w:rsid w:val="00C92EA1"/>
    <w:rsid w:val="00CB3897"/>
    <w:rsid w:val="00CC4C19"/>
    <w:rsid w:val="00CD0DCF"/>
    <w:rsid w:val="00CE4867"/>
    <w:rsid w:val="00D00FB2"/>
    <w:rsid w:val="00D11F57"/>
    <w:rsid w:val="00D16433"/>
    <w:rsid w:val="00D432B2"/>
    <w:rsid w:val="00D6075F"/>
    <w:rsid w:val="00D75162"/>
    <w:rsid w:val="00D878AE"/>
    <w:rsid w:val="00D92DB3"/>
    <w:rsid w:val="00DA1AF6"/>
    <w:rsid w:val="00DB7201"/>
    <w:rsid w:val="00DE24E2"/>
    <w:rsid w:val="00DF20FB"/>
    <w:rsid w:val="00E03344"/>
    <w:rsid w:val="00E11A54"/>
    <w:rsid w:val="00E369BB"/>
    <w:rsid w:val="00E419FD"/>
    <w:rsid w:val="00E43C47"/>
    <w:rsid w:val="00E448FB"/>
    <w:rsid w:val="00E74282"/>
    <w:rsid w:val="00E8372A"/>
    <w:rsid w:val="00E87377"/>
    <w:rsid w:val="00E94C5D"/>
    <w:rsid w:val="00EA55DF"/>
    <w:rsid w:val="00EB442A"/>
    <w:rsid w:val="00ED435F"/>
    <w:rsid w:val="00ED77A5"/>
    <w:rsid w:val="00F0685E"/>
    <w:rsid w:val="00F07E14"/>
    <w:rsid w:val="00F17F4A"/>
    <w:rsid w:val="00F23831"/>
    <w:rsid w:val="00F3117F"/>
    <w:rsid w:val="00FC760F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076E0"/>
    <w:pPr>
      <w:jc w:val="left"/>
    </w:pPr>
    <w:rPr>
      <w:rFonts w:ascii="Tahoma" w:hAnsi="Tahoma" w:cs="Tahoma"/>
      <w:sz w:val="16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076E0"/>
    <w:rPr>
      <w:rFonts w:ascii="Tahoma" w:hAnsi="Tahoma" w:cs="Tahoma"/>
      <w:sz w:val="18"/>
      <w:szCs w:val="18"/>
    </w:rPr>
  </w:style>
  <w:style w:type="character" w:styleId="a4">
    <w:name w:val="annotation reference"/>
    <w:basedOn w:val="a0"/>
    <w:uiPriority w:val="99"/>
    <w:semiHidden/>
    <w:rsid w:val="00D11F57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D11F57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semiHidden/>
    <w:locked/>
    <w:rsid w:val="00D11F57"/>
    <w:rPr>
      <w:rFonts w:cs="Times New Roman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rsid w:val="00D11F57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locked/>
    <w:rsid w:val="00D11F57"/>
    <w:rPr>
      <w:rFonts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54A88"/>
    <w:pPr>
      <w:ind w:left="720"/>
      <w:contextualSpacing/>
    </w:pPr>
  </w:style>
  <w:style w:type="paragraph" w:styleId="a8">
    <w:name w:val="Revision"/>
    <w:hidden/>
    <w:uiPriority w:val="99"/>
    <w:semiHidden/>
    <w:rsid w:val="00ED435F"/>
  </w:style>
  <w:style w:type="character" w:styleId="a9">
    <w:name w:val="Hyperlink"/>
    <w:basedOn w:val="a0"/>
    <w:uiPriority w:val="99"/>
    <w:semiHidden/>
    <w:rsid w:val="00A01286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uiPriority w:val="99"/>
    <w:rsid w:val="00A01286"/>
    <w:rPr>
      <w:rFonts w:cs="Times New Roman"/>
    </w:rPr>
  </w:style>
  <w:style w:type="character" w:customStyle="1" w:styleId="st1">
    <w:name w:val="st1"/>
    <w:basedOn w:val="a0"/>
    <w:uiPriority w:val="99"/>
    <w:rsid w:val="00A01286"/>
    <w:rPr>
      <w:rFonts w:cs="Times New Roman"/>
    </w:rPr>
  </w:style>
  <w:style w:type="paragraph" w:styleId="aa">
    <w:name w:val="header"/>
    <w:basedOn w:val="a"/>
    <w:link w:val="Char2"/>
    <w:uiPriority w:val="99"/>
    <w:rsid w:val="0085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locked/>
    <w:rsid w:val="00851BC3"/>
    <w:rPr>
      <w:rFonts w:cs="Times New Roman"/>
      <w:sz w:val="18"/>
      <w:szCs w:val="18"/>
    </w:rPr>
  </w:style>
  <w:style w:type="paragraph" w:styleId="ab">
    <w:name w:val="footer"/>
    <w:basedOn w:val="a"/>
    <w:link w:val="Char3"/>
    <w:uiPriority w:val="99"/>
    <w:rsid w:val="00851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locked/>
    <w:rsid w:val="00851BC3"/>
    <w:rPr>
      <w:rFonts w:cs="Times New Roman"/>
      <w:sz w:val="18"/>
      <w:szCs w:val="18"/>
    </w:rPr>
  </w:style>
  <w:style w:type="character" w:styleId="ac">
    <w:name w:val="Strong"/>
    <w:basedOn w:val="a0"/>
    <w:uiPriority w:val="99"/>
    <w:qFormat/>
    <w:rsid w:val="00567AA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076E0"/>
    <w:pPr>
      <w:jc w:val="left"/>
    </w:pPr>
    <w:rPr>
      <w:rFonts w:ascii="Tahoma" w:hAnsi="Tahoma" w:cs="Tahoma"/>
      <w:sz w:val="16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076E0"/>
    <w:rPr>
      <w:rFonts w:ascii="Tahoma" w:hAnsi="Tahoma" w:cs="Tahoma"/>
      <w:sz w:val="18"/>
      <w:szCs w:val="18"/>
    </w:rPr>
  </w:style>
  <w:style w:type="character" w:styleId="a4">
    <w:name w:val="annotation reference"/>
    <w:basedOn w:val="a0"/>
    <w:uiPriority w:val="99"/>
    <w:semiHidden/>
    <w:rsid w:val="00D11F57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D11F57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semiHidden/>
    <w:locked/>
    <w:rsid w:val="00D11F57"/>
    <w:rPr>
      <w:rFonts w:cs="Times New Roman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rsid w:val="00D11F57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locked/>
    <w:rsid w:val="00D11F57"/>
    <w:rPr>
      <w:rFonts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54A88"/>
    <w:pPr>
      <w:ind w:left="720"/>
      <w:contextualSpacing/>
    </w:pPr>
  </w:style>
  <w:style w:type="paragraph" w:styleId="a8">
    <w:name w:val="Revision"/>
    <w:hidden/>
    <w:uiPriority w:val="99"/>
    <w:semiHidden/>
    <w:rsid w:val="00ED435F"/>
  </w:style>
  <w:style w:type="character" w:styleId="a9">
    <w:name w:val="Hyperlink"/>
    <w:basedOn w:val="a0"/>
    <w:uiPriority w:val="99"/>
    <w:semiHidden/>
    <w:rsid w:val="00A01286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uiPriority w:val="99"/>
    <w:rsid w:val="00A01286"/>
    <w:rPr>
      <w:rFonts w:cs="Times New Roman"/>
    </w:rPr>
  </w:style>
  <w:style w:type="character" w:customStyle="1" w:styleId="st1">
    <w:name w:val="st1"/>
    <w:basedOn w:val="a0"/>
    <w:uiPriority w:val="99"/>
    <w:rsid w:val="00A01286"/>
    <w:rPr>
      <w:rFonts w:cs="Times New Roman"/>
    </w:rPr>
  </w:style>
  <w:style w:type="paragraph" w:styleId="aa">
    <w:name w:val="header"/>
    <w:basedOn w:val="a"/>
    <w:link w:val="Char2"/>
    <w:uiPriority w:val="99"/>
    <w:rsid w:val="0085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locked/>
    <w:rsid w:val="00851BC3"/>
    <w:rPr>
      <w:rFonts w:cs="Times New Roman"/>
      <w:sz w:val="18"/>
      <w:szCs w:val="18"/>
    </w:rPr>
  </w:style>
  <w:style w:type="paragraph" w:styleId="ab">
    <w:name w:val="footer"/>
    <w:basedOn w:val="a"/>
    <w:link w:val="Char3"/>
    <w:uiPriority w:val="99"/>
    <w:rsid w:val="00851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locked/>
    <w:rsid w:val="00851BC3"/>
    <w:rPr>
      <w:rFonts w:cs="Times New Roman"/>
      <w:sz w:val="18"/>
      <w:szCs w:val="18"/>
    </w:rPr>
  </w:style>
  <w:style w:type="character" w:styleId="ac">
    <w:name w:val="Strong"/>
    <w:basedOn w:val="a0"/>
    <w:uiPriority w:val="99"/>
    <w:qFormat/>
    <w:rsid w:val="00567AA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peng@tjh.tjmu.edu.cn" TargetMode="External"/><Relationship Id="rId13" Type="http://schemas.openxmlformats.org/officeDocument/2006/relationships/hyperlink" Target="http://cancerres.aacrjournals.org/content/68/10/3566.fu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ncerres.aacrjournals.org/content/68/10/3566.fu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ncerres.aacrjournals.org/content/68/10/3566.f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ncerres.aacrjournals.org/content/68/10/3566.full" TargetMode="External"/><Relationship Id="rId10" Type="http://schemas.openxmlformats.org/officeDocument/2006/relationships/hyperlink" Target="http://cancerres.aacrjournals.org/content/68/10/3566.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csrv.watson.ibm.com/rna22.html" TargetMode="External"/><Relationship Id="rId14" Type="http://schemas.openxmlformats.org/officeDocument/2006/relationships/hyperlink" Target="http://cancerres.aacrjournals.org/content/68/10/3566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5270</Words>
  <Characters>30041</Characters>
  <Application>Microsoft Office Word</Application>
  <DocSecurity>0</DocSecurity>
  <Lines>250</Lines>
  <Paragraphs>70</Paragraphs>
  <ScaleCrop>false</ScaleCrop>
  <Company>Hewlett-Packard Company</Company>
  <LinksUpToDate>false</LinksUpToDate>
  <CharactersWithSpaces>35241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LS Ma</cp:lastModifiedBy>
  <cp:revision>2</cp:revision>
  <dcterms:created xsi:type="dcterms:W3CDTF">2013-09-28T22:13:00Z</dcterms:created>
  <dcterms:modified xsi:type="dcterms:W3CDTF">2013-09-28T22:13:00Z</dcterms:modified>
</cp:coreProperties>
</file>