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BB431" w14:textId="77777777" w:rsidR="002B3372" w:rsidRPr="001E53AA" w:rsidRDefault="002B3372" w:rsidP="001E53AA">
      <w:pPr>
        <w:pStyle w:val="BodyText"/>
        <w:snapToGrid w:val="0"/>
        <w:spacing w:line="360" w:lineRule="auto"/>
        <w:rPr>
          <w:rFonts w:ascii="Book Antiqua" w:eastAsia="MS Gothic" w:hAnsi="Book Antiqua"/>
          <w:color w:val="000000" w:themeColor="text1"/>
          <w:szCs w:val="24"/>
        </w:rPr>
      </w:pPr>
      <w:r w:rsidRPr="001E53AA">
        <w:rPr>
          <w:rFonts w:ascii="Book Antiqua" w:eastAsia="MS Gothic" w:hAnsi="Book Antiqua"/>
          <w:color w:val="000000" w:themeColor="text1"/>
          <w:szCs w:val="24"/>
        </w:rPr>
        <w:t xml:space="preserve">Name of Journal: </w:t>
      </w:r>
      <w:r w:rsidRPr="001E53AA">
        <w:rPr>
          <w:rFonts w:ascii="Book Antiqua" w:eastAsia="MS Gothic" w:hAnsi="Book Antiqua"/>
          <w:i/>
          <w:color w:val="000000" w:themeColor="text1"/>
          <w:szCs w:val="24"/>
        </w:rPr>
        <w:t>World Journal of Gastroenterology</w:t>
      </w:r>
      <w:r w:rsidRPr="001E53AA">
        <w:rPr>
          <w:rFonts w:ascii="Book Antiqua" w:eastAsia="MS Gothic" w:hAnsi="Book Antiqua"/>
          <w:color w:val="000000" w:themeColor="text1"/>
          <w:szCs w:val="24"/>
        </w:rPr>
        <w:t xml:space="preserve"> </w:t>
      </w:r>
    </w:p>
    <w:p w14:paraId="3EEC72F3" w14:textId="6503E8CC" w:rsidR="002B3372" w:rsidRPr="001E53AA" w:rsidRDefault="002B3372" w:rsidP="001E53AA">
      <w:pPr>
        <w:pStyle w:val="BodyText"/>
        <w:snapToGrid w:val="0"/>
        <w:spacing w:line="360" w:lineRule="auto"/>
        <w:rPr>
          <w:rFonts w:ascii="Book Antiqua" w:eastAsia="MS Gothic" w:hAnsi="Book Antiqua"/>
          <w:color w:val="000000" w:themeColor="text1"/>
          <w:szCs w:val="24"/>
        </w:rPr>
      </w:pPr>
      <w:r w:rsidRPr="001E53AA">
        <w:rPr>
          <w:rFonts w:ascii="Book Antiqua" w:eastAsia="MS Gothic" w:hAnsi="Book Antiqua"/>
          <w:color w:val="000000" w:themeColor="text1"/>
          <w:szCs w:val="24"/>
        </w:rPr>
        <w:t xml:space="preserve">Manuscript NO: </w:t>
      </w:r>
      <w:r w:rsidR="003B17DC" w:rsidRPr="001E53AA">
        <w:rPr>
          <w:rFonts w:ascii="Book Antiqua" w:eastAsia="MS Gothic" w:hAnsi="Book Antiqua"/>
          <w:color w:val="000000" w:themeColor="text1"/>
          <w:szCs w:val="24"/>
        </w:rPr>
        <w:t>38987</w:t>
      </w:r>
      <w:r w:rsidRPr="001E53AA">
        <w:rPr>
          <w:rFonts w:ascii="Book Antiqua" w:eastAsia="MS Gothic" w:hAnsi="Book Antiqua"/>
          <w:color w:val="000000" w:themeColor="text1"/>
          <w:szCs w:val="24"/>
        </w:rPr>
        <w:t xml:space="preserve"> </w:t>
      </w:r>
    </w:p>
    <w:p w14:paraId="1002A222" w14:textId="46D4CCC0" w:rsidR="002B3372" w:rsidRPr="001E53AA" w:rsidRDefault="002B3372" w:rsidP="001E53AA">
      <w:pPr>
        <w:pStyle w:val="BodyText"/>
        <w:snapToGrid w:val="0"/>
        <w:spacing w:line="360" w:lineRule="auto"/>
        <w:rPr>
          <w:rFonts w:ascii="Book Antiqua" w:eastAsia="MS Gothic" w:hAnsi="Book Antiqua"/>
          <w:color w:val="000000" w:themeColor="text1"/>
          <w:szCs w:val="24"/>
        </w:rPr>
      </w:pPr>
      <w:r w:rsidRPr="001E53AA">
        <w:rPr>
          <w:rFonts w:ascii="Book Antiqua" w:eastAsia="MS Gothic" w:hAnsi="Book Antiqua"/>
          <w:color w:val="000000" w:themeColor="text1"/>
          <w:szCs w:val="24"/>
        </w:rPr>
        <w:t>Manuscript Type: REVIEW</w:t>
      </w:r>
    </w:p>
    <w:p w14:paraId="5012A6BA" w14:textId="77777777" w:rsidR="002B3372" w:rsidRPr="0028500E" w:rsidRDefault="002B3372" w:rsidP="001E53AA">
      <w:pPr>
        <w:pStyle w:val="BodyText"/>
        <w:snapToGrid w:val="0"/>
        <w:spacing w:line="360" w:lineRule="auto"/>
        <w:rPr>
          <w:rFonts w:ascii="Book Antiqua" w:eastAsia="MS Gothic" w:hAnsi="Book Antiqua"/>
          <w:color w:val="000000" w:themeColor="text1"/>
          <w:szCs w:val="24"/>
        </w:rPr>
      </w:pPr>
    </w:p>
    <w:p w14:paraId="76930622" w14:textId="77777777" w:rsidR="004A612F" w:rsidRPr="0028500E" w:rsidRDefault="002B3372" w:rsidP="001E53AA">
      <w:pPr>
        <w:pStyle w:val="BodyText"/>
        <w:snapToGrid w:val="0"/>
        <w:spacing w:line="360" w:lineRule="auto"/>
        <w:rPr>
          <w:rFonts w:ascii="Book Antiqua" w:eastAsia="MS Gothic" w:hAnsi="Book Antiqua"/>
          <w:color w:val="000000" w:themeColor="text1"/>
          <w:szCs w:val="24"/>
        </w:rPr>
      </w:pPr>
      <w:bookmarkStart w:id="0" w:name="_Hlk515773790"/>
      <w:r w:rsidRPr="0028500E">
        <w:rPr>
          <w:rFonts w:ascii="Book Antiqua" w:eastAsia="MS Gothic" w:hAnsi="Book Antiqua"/>
          <w:color w:val="000000" w:themeColor="text1"/>
          <w:szCs w:val="24"/>
        </w:rPr>
        <w:t>Current clinical management of gastrointestinal stromal tumor</w:t>
      </w:r>
    </w:p>
    <w:bookmarkEnd w:id="0"/>
    <w:p w14:paraId="015F3B05" w14:textId="77777777" w:rsidR="002B3372" w:rsidRPr="0028500E" w:rsidRDefault="002B3372" w:rsidP="001E53AA">
      <w:pPr>
        <w:pStyle w:val="BodyText"/>
        <w:snapToGrid w:val="0"/>
        <w:spacing w:line="360" w:lineRule="auto"/>
        <w:rPr>
          <w:rFonts w:ascii="Book Antiqua" w:eastAsia="MS Gothic" w:hAnsi="Book Antiqua"/>
          <w:color w:val="000000" w:themeColor="text1"/>
          <w:szCs w:val="24"/>
        </w:rPr>
      </w:pPr>
    </w:p>
    <w:p w14:paraId="3D67DB40" w14:textId="1E497709" w:rsidR="002B3372" w:rsidRPr="0028500E" w:rsidRDefault="002B3372" w:rsidP="001E53AA">
      <w:pPr>
        <w:pStyle w:val="BodyText"/>
        <w:snapToGrid w:val="0"/>
        <w:spacing w:line="360" w:lineRule="auto"/>
        <w:rPr>
          <w:rFonts w:ascii="Book Antiqua" w:eastAsia="MS Gothic" w:hAnsi="Book Antiqua"/>
          <w:b w:val="0"/>
          <w:color w:val="000000" w:themeColor="text1"/>
          <w:szCs w:val="24"/>
        </w:rPr>
      </w:pPr>
      <w:r w:rsidRPr="0028500E">
        <w:rPr>
          <w:rFonts w:ascii="Book Antiqua" w:eastAsia="MS Gothic" w:hAnsi="Book Antiqua"/>
          <w:b w:val="0"/>
          <w:color w:val="000000" w:themeColor="text1"/>
          <w:szCs w:val="24"/>
        </w:rPr>
        <w:t>Akahoshi</w:t>
      </w:r>
      <w:r w:rsidR="005F6451">
        <w:rPr>
          <w:rFonts w:ascii="Book Antiqua" w:eastAsia="MS Gothic" w:hAnsi="Book Antiqua" w:hint="eastAsia"/>
          <w:b w:val="0"/>
          <w:color w:val="000000" w:themeColor="text1"/>
          <w:szCs w:val="24"/>
          <w:lang w:eastAsia="zh-CN"/>
        </w:rPr>
        <w:t xml:space="preserve"> </w:t>
      </w:r>
      <w:r w:rsidRPr="0028500E">
        <w:rPr>
          <w:rFonts w:ascii="Book Antiqua" w:eastAsia="MS Gothic" w:hAnsi="Book Antiqua"/>
          <w:b w:val="0"/>
          <w:color w:val="000000" w:themeColor="text1"/>
          <w:szCs w:val="24"/>
        </w:rPr>
        <w:t>K</w:t>
      </w:r>
      <w:r w:rsidR="005F6451">
        <w:rPr>
          <w:rFonts w:ascii="Book Antiqua" w:eastAsia="MS Gothic" w:hAnsi="Book Antiqua" w:hint="eastAsia"/>
          <w:b w:val="0"/>
          <w:color w:val="000000" w:themeColor="text1"/>
          <w:szCs w:val="24"/>
          <w:lang w:eastAsia="zh-CN"/>
        </w:rPr>
        <w:t xml:space="preserve"> </w:t>
      </w:r>
      <w:r w:rsidRPr="0028500E">
        <w:rPr>
          <w:rFonts w:ascii="Book Antiqua" w:eastAsia="MS Gothic" w:hAnsi="Book Antiqua"/>
          <w:b w:val="0"/>
          <w:i/>
          <w:color w:val="000000" w:themeColor="text1"/>
          <w:szCs w:val="24"/>
        </w:rPr>
        <w:t>et al</w:t>
      </w:r>
      <w:r w:rsidRPr="0028500E">
        <w:rPr>
          <w:rFonts w:ascii="Book Antiqua" w:eastAsia="MS Gothic" w:hAnsi="Book Antiqua"/>
          <w:b w:val="0"/>
          <w:color w:val="000000" w:themeColor="text1"/>
          <w:szCs w:val="24"/>
        </w:rPr>
        <w:t>. Current management of GIST</w:t>
      </w:r>
    </w:p>
    <w:p w14:paraId="5452F513" w14:textId="77777777" w:rsidR="002B3372" w:rsidRPr="0028500E" w:rsidRDefault="002B3372" w:rsidP="001E53AA">
      <w:pPr>
        <w:pStyle w:val="BodyText"/>
        <w:snapToGrid w:val="0"/>
        <w:spacing w:line="360" w:lineRule="auto"/>
        <w:rPr>
          <w:rFonts w:ascii="Book Antiqua" w:eastAsia="MS Gothic" w:hAnsi="Book Antiqua"/>
          <w:color w:val="000000" w:themeColor="text1"/>
          <w:szCs w:val="24"/>
        </w:rPr>
      </w:pPr>
    </w:p>
    <w:p w14:paraId="0D90C281" w14:textId="355FBDCB" w:rsidR="002B3372" w:rsidRPr="0028500E" w:rsidRDefault="002B3372" w:rsidP="001E53AA">
      <w:pPr>
        <w:pStyle w:val="BodyText"/>
        <w:snapToGrid w:val="0"/>
        <w:spacing w:line="360" w:lineRule="auto"/>
        <w:rPr>
          <w:rFonts w:ascii="Book Antiqua" w:eastAsia="MS Gothic" w:hAnsi="Book Antiqua"/>
          <w:b w:val="0"/>
          <w:color w:val="000000" w:themeColor="text1"/>
          <w:szCs w:val="24"/>
        </w:rPr>
      </w:pPr>
      <w:r w:rsidRPr="0028500E">
        <w:rPr>
          <w:rFonts w:ascii="Book Antiqua" w:eastAsia="MS Gothic" w:hAnsi="Book Antiqua"/>
          <w:b w:val="0"/>
          <w:color w:val="000000" w:themeColor="text1"/>
          <w:szCs w:val="24"/>
        </w:rPr>
        <w:t>Kazuya Akahoshi, Masafumi Oya, Tadashi Koga</w:t>
      </w:r>
      <w:r w:rsidR="008265C2" w:rsidRPr="0028500E">
        <w:rPr>
          <w:rFonts w:ascii="Book Antiqua" w:eastAsia="MS Gothic" w:hAnsi="Book Antiqua"/>
          <w:b w:val="0"/>
          <w:color w:val="000000" w:themeColor="text1"/>
          <w:szCs w:val="24"/>
        </w:rPr>
        <w:t xml:space="preserve">, </w:t>
      </w:r>
      <w:bookmarkStart w:id="1" w:name="_Hlk509510421"/>
      <w:r w:rsidR="008265C2" w:rsidRPr="0028500E">
        <w:rPr>
          <w:rFonts w:ascii="Book Antiqua" w:eastAsia="MS Gothic" w:hAnsi="Book Antiqua"/>
          <w:b w:val="0"/>
          <w:color w:val="000000" w:themeColor="text1"/>
          <w:szCs w:val="24"/>
        </w:rPr>
        <w:t>Yuki Shiratsuchi</w:t>
      </w:r>
      <w:bookmarkEnd w:id="1"/>
    </w:p>
    <w:p w14:paraId="05829839" w14:textId="77777777" w:rsidR="002B3372" w:rsidRPr="0028500E" w:rsidRDefault="002B3372" w:rsidP="001E53AA">
      <w:pPr>
        <w:pStyle w:val="BodyText"/>
        <w:snapToGrid w:val="0"/>
        <w:spacing w:line="360" w:lineRule="auto"/>
        <w:rPr>
          <w:rFonts w:ascii="Book Antiqua" w:eastAsia="MS Gothic" w:hAnsi="Book Antiqua"/>
          <w:color w:val="000000" w:themeColor="text1"/>
          <w:szCs w:val="24"/>
        </w:rPr>
      </w:pPr>
    </w:p>
    <w:p w14:paraId="7E166F83" w14:textId="010C7CBD" w:rsidR="002B3372" w:rsidRPr="0028500E" w:rsidRDefault="002B3372" w:rsidP="001E53AA">
      <w:pPr>
        <w:pStyle w:val="BodyText"/>
        <w:snapToGrid w:val="0"/>
        <w:spacing w:line="360" w:lineRule="auto"/>
        <w:rPr>
          <w:rFonts w:ascii="Book Antiqua" w:eastAsia="SimSun" w:hAnsi="Book Antiqua"/>
          <w:b w:val="0"/>
          <w:color w:val="000000" w:themeColor="text1"/>
          <w:szCs w:val="24"/>
          <w:lang w:eastAsia="zh-CN"/>
        </w:rPr>
      </w:pPr>
      <w:r w:rsidRPr="0028500E">
        <w:rPr>
          <w:rFonts w:ascii="Book Antiqua" w:eastAsia="MS Gothic" w:hAnsi="Book Antiqua"/>
          <w:color w:val="000000" w:themeColor="text1"/>
          <w:szCs w:val="24"/>
        </w:rPr>
        <w:t>Kazuya Akahoshi</w:t>
      </w:r>
      <w:r w:rsidR="00E05349" w:rsidRPr="0028500E">
        <w:rPr>
          <w:rFonts w:ascii="Book Antiqua" w:eastAsia="SimSun" w:hAnsi="Book Antiqua"/>
          <w:color w:val="000000" w:themeColor="text1"/>
          <w:szCs w:val="24"/>
          <w:lang w:eastAsia="zh-CN"/>
        </w:rPr>
        <w:t>,</w:t>
      </w:r>
      <w:r w:rsidR="0056113C" w:rsidRPr="0028500E">
        <w:rPr>
          <w:rFonts w:ascii="Book Antiqua" w:eastAsia="MS Gothic" w:hAnsi="Book Antiqua"/>
          <w:color w:val="000000" w:themeColor="text1"/>
          <w:szCs w:val="24"/>
        </w:rPr>
        <w:t xml:space="preserve"> Yuki Shiratsuchi,</w:t>
      </w:r>
      <w:r w:rsidRPr="0028500E">
        <w:rPr>
          <w:rFonts w:ascii="Book Antiqua" w:eastAsia="MS Gothic" w:hAnsi="Book Antiqua"/>
          <w:color w:val="000000" w:themeColor="text1"/>
          <w:szCs w:val="24"/>
        </w:rPr>
        <w:t xml:space="preserve"> </w:t>
      </w:r>
      <w:r w:rsidRPr="0028500E">
        <w:rPr>
          <w:rFonts w:ascii="Book Antiqua" w:eastAsia="MS Gothic" w:hAnsi="Book Antiqua"/>
          <w:b w:val="0"/>
          <w:color w:val="000000" w:themeColor="text1"/>
          <w:szCs w:val="24"/>
        </w:rPr>
        <w:t>Department of Gastroenterology, Aso Iizuka Hospital, Iizuka 820-8505, Japan</w:t>
      </w:r>
    </w:p>
    <w:p w14:paraId="6CBFCA6C" w14:textId="77777777" w:rsidR="005E4500" w:rsidRPr="0028500E" w:rsidRDefault="005E4500" w:rsidP="001E53AA">
      <w:pPr>
        <w:pStyle w:val="BodyText"/>
        <w:snapToGrid w:val="0"/>
        <w:spacing w:line="360" w:lineRule="auto"/>
        <w:rPr>
          <w:rFonts w:ascii="Book Antiqua" w:eastAsia="SimSun" w:hAnsi="Book Antiqua"/>
          <w:b w:val="0"/>
          <w:color w:val="000000" w:themeColor="text1"/>
          <w:szCs w:val="24"/>
          <w:lang w:eastAsia="zh-CN"/>
        </w:rPr>
      </w:pPr>
    </w:p>
    <w:p w14:paraId="3DC0E642" w14:textId="77777777" w:rsidR="002B3372" w:rsidRPr="0028500E" w:rsidRDefault="002B3372" w:rsidP="001E53AA">
      <w:pPr>
        <w:pStyle w:val="BodyText"/>
        <w:snapToGrid w:val="0"/>
        <w:spacing w:line="360" w:lineRule="auto"/>
        <w:rPr>
          <w:rFonts w:ascii="Book Antiqua" w:eastAsia="SimSun" w:hAnsi="Book Antiqua"/>
          <w:b w:val="0"/>
          <w:color w:val="000000" w:themeColor="text1"/>
          <w:szCs w:val="24"/>
          <w:lang w:eastAsia="zh-CN"/>
        </w:rPr>
      </w:pPr>
      <w:r w:rsidRPr="0028500E">
        <w:rPr>
          <w:rFonts w:ascii="Book Antiqua" w:eastAsia="MS Gothic" w:hAnsi="Book Antiqua"/>
          <w:color w:val="000000" w:themeColor="text1"/>
          <w:szCs w:val="24"/>
        </w:rPr>
        <w:t xml:space="preserve">Masafumi Oya, </w:t>
      </w:r>
      <w:r w:rsidRPr="0028500E">
        <w:rPr>
          <w:rFonts w:ascii="Book Antiqua" w:eastAsia="MS Gothic" w:hAnsi="Book Antiqua"/>
          <w:b w:val="0"/>
          <w:color w:val="000000" w:themeColor="text1"/>
          <w:szCs w:val="24"/>
        </w:rPr>
        <w:t>Department of Pathology, Aso Iizuka Hospital, Iizuka 820-8505, Japan</w:t>
      </w:r>
    </w:p>
    <w:p w14:paraId="14C587EC" w14:textId="77777777" w:rsidR="005E4500" w:rsidRPr="0028500E" w:rsidRDefault="005E4500" w:rsidP="001E53AA">
      <w:pPr>
        <w:pStyle w:val="BodyText"/>
        <w:snapToGrid w:val="0"/>
        <w:spacing w:line="360" w:lineRule="auto"/>
        <w:rPr>
          <w:rFonts w:ascii="Book Antiqua" w:eastAsia="SimSun" w:hAnsi="Book Antiqua"/>
          <w:b w:val="0"/>
          <w:color w:val="000000" w:themeColor="text1"/>
          <w:szCs w:val="24"/>
          <w:lang w:eastAsia="zh-CN"/>
        </w:rPr>
      </w:pPr>
    </w:p>
    <w:p w14:paraId="2C4E3A95" w14:textId="3F1AA40D" w:rsidR="002B3372" w:rsidRPr="0028500E" w:rsidRDefault="002B3372" w:rsidP="001E53AA">
      <w:pPr>
        <w:pStyle w:val="BodyText"/>
        <w:snapToGrid w:val="0"/>
        <w:spacing w:line="360" w:lineRule="auto"/>
        <w:rPr>
          <w:rFonts w:ascii="Book Antiqua" w:eastAsia="MS Gothic" w:hAnsi="Book Antiqua"/>
          <w:b w:val="0"/>
          <w:color w:val="000000" w:themeColor="text1"/>
          <w:szCs w:val="24"/>
        </w:rPr>
      </w:pPr>
      <w:r w:rsidRPr="0028500E">
        <w:rPr>
          <w:rFonts w:ascii="Book Antiqua" w:eastAsia="MS Gothic" w:hAnsi="Book Antiqua"/>
          <w:color w:val="000000" w:themeColor="text1"/>
          <w:szCs w:val="24"/>
        </w:rPr>
        <w:t xml:space="preserve">Tadashi Koga, </w:t>
      </w:r>
      <w:r w:rsidRPr="0028500E">
        <w:rPr>
          <w:rFonts w:ascii="Book Antiqua" w:eastAsia="MS Gothic" w:hAnsi="Book Antiqua"/>
          <w:b w:val="0"/>
          <w:color w:val="000000" w:themeColor="text1"/>
          <w:szCs w:val="24"/>
        </w:rPr>
        <w:t xml:space="preserve">Department of </w:t>
      </w:r>
      <w:r w:rsidR="002D0B09" w:rsidRPr="0028500E">
        <w:rPr>
          <w:rFonts w:ascii="Book Antiqua" w:eastAsia="MS Gothic" w:hAnsi="Book Antiqua"/>
          <w:b w:val="0"/>
          <w:color w:val="000000" w:themeColor="text1"/>
          <w:szCs w:val="24"/>
        </w:rPr>
        <w:t>Surgery</w:t>
      </w:r>
      <w:r w:rsidRPr="0028500E">
        <w:rPr>
          <w:rFonts w:ascii="Book Antiqua" w:eastAsia="MS Gothic" w:hAnsi="Book Antiqua"/>
          <w:b w:val="0"/>
          <w:color w:val="000000" w:themeColor="text1"/>
          <w:szCs w:val="24"/>
        </w:rPr>
        <w:t>, Aso Iizuka Hospital, Iizuka 820-8505, Japan</w:t>
      </w:r>
    </w:p>
    <w:p w14:paraId="502A4058" w14:textId="77777777" w:rsidR="003F4BFE" w:rsidRPr="0028500E" w:rsidRDefault="003F4BFE" w:rsidP="001E53AA">
      <w:pPr>
        <w:pStyle w:val="BodyText"/>
        <w:snapToGrid w:val="0"/>
        <w:spacing w:line="360" w:lineRule="auto"/>
        <w:rPr>
          <w:rFonts w:ascii="Book Antiqua" w:eastAsia="MS Gothic" w:hAnsi="Book Antiqua"/>
          <w:color w:val="000000" w:themeColor="text1"/>
          <w:szCs w:val="24"/>
        </w:rPr>
      </w:pPr>
    </w:p>
    <w:p w14:paraId="7FF33E1E" w14:textId="4E55C8E5" w:rsidR="002B3372" w:rsidRPr="0028500E" w:rsidRDefault="003F4BFE" w:rsidP="001E53AA">
      <w:pPr>
        <w:pStyle w:val="BodyText"/>
        <w:snapToGrid w:val="0"/>
        <w:spacing w:line="360" w:lineRule="auto"/>
        <w:rPr>
          <w:rFonts w:ascii="Book Antiqua" w:eastAsia="MS Gothic" w:hAnsi="Book Antiqua"/>
          <w:b w:val="0"/>
          <w:color w:val="000000" w:themeColor="text1"/>
          <w:szCs w:val="24"/>
        </w:rPr>
      </w:pPr>
      <w:r w:rsidRPr="0028500E">
        <w:rPr>
          <w:rFonts w:ascii="Book Antiqua" w:eastAsia="MS Gothic" w:hAnsi="Book Antiqua"/>
          <w:color w:val="000000" w:themeColor="text1"/>
          <w:szCs w:val="24"/>
        </w:rPr>
        <w:t xml:space="preserve">ORCID number: </w:t>
      </w:r>
      <w:r w:rsidRPr="0028500E">
        <w:rPr>
          <w:rFonts w:ascii="Book Antiqua" w:eastAsia="MS Gothic" w:hAnsi="Book Antiqua"/>
          <w:b w:val="0"/>
          <w:color w:val="000000" w:themeColor="text1"/>
          <w:szCs w:val="24"/>
        </w:rPr>
        <w:t>Kazuya Akahoshi (</w:t>
      </w:r>
      <w:r w:rsidR="00996F61" w:rsidRPr="0028500E">
        <w:rPr>
          <w:rFonts w:ascii="Book Antiqua" w:eastAsia="MS Gothic" w:hAnsi="Book Antiqua"/>
          <w:b w:val="0"/>
          <w:color w:val="000000" w:themeColor="text1"/>
          <w:szCs w:val="24"/>
        </w:rPr>
        <w:t>0000-0002-1095-6546</w:t>
      </w:r>
      <w:r w:rsidRPr="0028500E">
        <w:rPr>
          <w:rFonts w:ascii="Book Antiqua" w:eastAsia="MS Gothic" w:hAnsi="Book Antiqua"/>
          <w:b w:val="0"/>
          <w:color w:val="000000" w:themeColor="text1"/>
          <w:szCs w:val="24"/>
        </w:rPr>
        <w:t xml:space="preserve">); </w:t>
      </w:r>
      <w:r w:rsidR="00996F61" w:rsidRPr="0028500E">
        <w:rPr>
          <w:rFonts w:ascii="Book Antiqua" w:eastAsia="MS Gothic" w:hAnsi="Book Antiqua"/>
          <w:b w:val="0"/>
          <w:color w:val="000000" w:themeColor="text1"/>
          <w:szCs w:val="24"/>
        </w:rPr>
        <w:t>Masafumi Oya</w:t>
      </w:r>
      <w:r w:rsidRPr="0028500E">
        <w:rPr>
          <w:rFonts w:ascii="Book Antiqua" w:eastAsia="MS Gothic" w:hAnsi="Book Antiqua"/>
          <w:b w:val="0"/>
          <w:color w:val="000000" w:themeColor="text1"/>
          <w:szCs w:val="24"/>
        </w:rPr>
        <w:t xml:space="preserve"> (</w:t>
      </w:r>
      <w:r w:rsidR="00471B50" w:rsidRPr="0028500E">
        <w:rPr>
          <w:rFonts w:ascii="Book Antiqua" w:eastAsia="MS Gothic" w:hAnsi="Book Antiqua"/>
          <w:b w:val="0"/>
          <w:color w:val="000000" w:themeColor="text1"/>
          <w:szCs w:val="24"/>
        </w:rPr>
        <w:t>0000-0003-0421-5044</w:t>
      </w:r>
      <w:r w:rsidRPr="0028500E">
        <w:rPr>
          <w:rFonts w:ascii="Book Antiqua" w:eastAsia="MS Gothic" w:hAnsi="Book Antiqua"/>
          <w:b w:val="0"/>
          <w:color w:val="000000" w:themeColor="text1"/>
          <w:szCs w:val="24"/>
        </w:rPr>
        <w:t xml:space="preserve">); </w:t>
      </w:r>
      <w:r w:rsidR="00996F61" w:rsidRPr="0028500E">
        <w:rPr>
          <w:rFonts w:ascii="Book Antiqua" w:eastAsia="MS Gothic" w:hAnsi="Book Antiqua"/>
          <w:b w:val="0"/>
          <w:color w:val="000000" w:themeColor="text1"/>
          <w:szCs w:val="24"/>
        </w:rPr>
        <w:t>Tadashi Koga</w:t>
      </w:r>
      <w:r w:rsidRPr="0028500E">
        <w:rPr>
          <w:rFonts w:ascii="Book Antiqua" w:eastAsia="MS Gothic" w:hAnsi="Book Antiqua"/>
          <w:b w:val="0"/>
          <w:color w:val="000000" w:themeColor="text1"/>
          <w:szCs w:val="24"/>
        </w:rPr>
        <w:t xml:space="preserve"> (</w:t>
      </w:r>
      <w:r w:rsidR="00C86CF4" w:rsidRPr="0028500E">
        <w:rPr>
          <w:rFonts w:ascii="Book Antiqua" w:eastAsia="MS Gothic" w:hAnsi="Book Antiqua"/>
          <w:b w:val="0"/>
          <w:color w:val="000000" w:themeColor="text1"/>
          <w:szCs w:val="24"/>
        </w:rPr>
        <w:t>0000-0002-6420-6214</w:t>
      </w:r>
      <w:r w:rsidRPr="0028500E">
        <w:rPr>
          <w:rFonts w:ascii="Book Antiqua" w:eastAsia="MS Gothic" w:hAnsi="Book Antiqua"/>
          <w:b w:val="0"/>
          <w:color w:val="000000" w:themeColor="text1"/>
          <w:szCs w:val="24"/>
        </w:rPr>
        <w:t xml:space="preserve">); </w:t>
      </w:r>
      <w:r w:rsidR="00996F61" w:rsidRPr="0028500E">
        <w:rPr>
          <w:rFonts w:ascii="Book Antiqua" w:eastAsia="MS Gothic" w:hAnsi="Book Antiqua"/>
          <w:b w:val="0"/>
          <w:color w:val="000000" w:themeColor="text1"/>
          <w:szCs w:val="24"/>
        </w:rPr>
        <w:t>Yuki Shiratsuchi</w:t>
      </w:r>
      <w:r w:rsidR="00B44023" w:rsidRPr="0028500E">
        <w:rPr>
          <w:rFonts w:ascii="Book Antiqua" w:eastAsia="MS Gothic" w:hAnsi="Book Antiqua"/>
          <w:b w:val="0"/>
          <w:color w:val="000000" w:themeColor="text1"/>
          <w:szCs w:val="24"/>
        </w:rPr>
        <w:t xml:space="preserve"> (</w:t>
      </w:r>
      <w:r w:rsidR="00471B50" w:rsidRPr="0028500E">
        <w:rPr>
          <w:rFonts w:ascii="Book Antiqua" w:eastAsia="MS Gothic" w:hAnsi="Book Antiqua"/>
          <w:b w:val="0"/>
          <w:color w:val="000000" w:themeColor="text1"/>
          <w:szCs w:val="24"/>
        </w:rPr>
        <w:t>0000-0003-0085-8683</w:t>
      </w:r>
      <w:r w:rsidRPr="0028500E">
        <w:rPr>
          <w:rFonts w:ascii="Book Antiqua" w:eastAsia="MS Gothic" w:hAnsi="Book Antiqua"/>
          <w:b w:val="0"/>
          <w:color w:val="000000" w:themeColor="text1"/>
          <w:szCs w:val="24"/>
        </w:rPr>
        <w:t>).</w:t>
      </w:r>
    </w:p>
    <w:p w14:paraId="31A2F00C" w14:textId="77777777" w:rsidR="00996F61" w:rsidRPr="0028500E" w:rsidRDefault="00996F61" w:rsidP="001E53AA">
      <w:pPr>
        <w:pStyle w:val="BodyText"/>
        <w:snapToGrid w:val="0"/>
        <w:spacing w:line="360" w:lineRule="auto"/>
        <w:rPr>
          <w:rFonts w:ascii="Book Antiqua" w:eastAsia="MS Gothic" w:hAnsi="Book Antiqua"/>
          <w:b w:val="0"/>
          <w:color w:val="000000" w:themeColor="text1"/>
          <w:szCs w:val="24"/>
        </w:rPr>
      </w:pPr>
    </w:p>
    <w:p w14:paraId="52DFCC9B" w14:textId="56806EEC" w:rsidR="0015445A" w:rsidRPr="0028500E" w:rsidRDefault="002B3372" w:rsidP="001E53AA">
      <w:pPr>
        <w:pStyle w:val="BodyText"/>
        <w:snapToGrid w:val="0"/>
        <w:spacing w:line="360" w:lineRule="auto"/>
        <w:rPr>
          <w:rFonts w:ascii="Book Antiqua" w:eastAsia="MS Gothic" w:hAnsi="Book Antiqua"/>
          <w:b w:val="0"/>
          <w:color w:val="000000" w:themeColor="text1"/>
          <w:szCs w:val="24"/>
        </w:rPr>
      </w:pPr>
      <w:r w:rsidRPr="0028500E">
        <w:rPr>
          <w:rFonts w:ascii="Book Antiqua" w:eastAsia="MS Gothic" w:hAnsi="Book Antiqua"/>
          <w:color w:val="000000" w:themeColor="text1"/>
          <w:szCs w:val="24"/>
        </w:rPr>
        <w:t xml:space="preserve">Author contributions: </w:t>
      </w:r>
      <w:r w:rsidRPr="0028500E">
        <w:rPr>
          <w:rFonts w:ascii="Book Antiqua" w:eastAsia="MS Gothic" w:hAnsi="Book Antiqua"/>
          <w:b w:val="0"/>
          <w:color w:val="000000" w:themeColor="text1"/>
          <w:szCs w:val="24"/>
        </w:rPr>
        <w:t>Akahoshi K wrote the paper</w:t>
      </w:r>
      <w:r w:rsidR="005F6451">
        <w:rPr>
          <w:rFonts w:ascii="Book Antiqua" w:eastAsia="MS Gothic" w:hAnsi="Book Antiqua" w:hint="eastAsia"/>
          <w:b w:val="0"/>
          <w:color w:val="000000" w:themeColor="text1"/>
          <w:szCs w:val="24"/>
          <w:lang w:eastAsia="zh-CN"/>
        </w:rPr>
        <w:t>;</w:t>
      </w:r>
      <w:r w:rsidR="0056113C" w:rsidRPr="0028500E">
        <w:rPr>
          <w:rFonts w:ascii="Book Antiqua" w:eastAsia="MS Gothic" w:hAnsi="Book Antiqua"/>
          <w:b w:val="0"/>
          <w:color w:val="000000" w:themeColor="text1"/>
          <w:szCs w:val="24"/>
        </w:rPr>
        <w:t xml:space="preserve"> and Shiratsuchi Y, </w:t>
      </w:r>
      <w:r w:rsidRPr="0028500E">
        <w:rPr>
          <w:rFonts w:ascii="Book Antiqua" w:eastAsia="MS Gothic" w:hAnsi="Book Antiqua"/>
          <w:b w:val="0"/>
          <w:color w:val="000000" w:themeColor="text1"/>
          <w:szCs w:val="24"/>
        </w:rPr>
        <w:t>Oya M</w:t>
      </w:r>
      <w:r w:rsidR="0056113C" w:rsidRPr="0028500E">
        <w:rPr>
          <w:rFonts w:ascii="Book Antiqua" w:eastAsia="MS Gothic" w:hAnsi="Book Antiqua"/>
          <w:b w:val="0"/>
          <w:color w:val="000000" w:themeColor="text1"/>
          <w:szCs w:val="24"/>
        </w:rPr>
        <w:t>,</w:t>
      </w:r>
      <w:r w:rsidRPr="0028500E">
        <w:rPr>
          <w:rFonts w:ascii="Book Antiqua" w:eastAsia="MS Gothic" w:hAnsi="Book Antiqua"/>
          <w:b w:val="0"/>
          <w:color w:val="000000" w:themeColor="text1"/>
          <w:szCs w:val="24"/>
        </w:rPr>
        <w:t xml:space="preserve"> and Koga T revised the manuscript for final submission.</w:t>
      </w:r>
    </w:p>
    <w:p w14:paraId="6EB944C0" w14:textId="77777777" w:rsidR="00996F61" w:rsidRPr="005F6451" w:rsidRDefault="00996F61" w:rsidP="001E53AA">
      <w:pPr>
        <w:snapToGrid w:val="0"/>
        <w:spacing w:line="360" w:lineRule="auto"/>
        <w:rPr>
          <w:rFonts w:ascii="Book Antiqua" w:eastAsia="MS Gothic" w:hAnsi="Book Antiqua"/>
          <w:color w:val="000000" w:themeColor="text1"/>
          <w:sz w:val="24"/>
          <w:szCs w:val="24"/>
        </w:rPr>
      </w:pPr>
    </w:p>
    <w:p w14:paraId="548F6FE9" w14:textId="77777777" w:rsidR="004A612F" w:rsidRPr="0028500E" w:rsidRDefault="00996F61" w:rsidP="001E53AA">
      <w:pPr>
        <w:snapToGrid w:val="0"/>
        <w:spacing w:line="360" w:lineRule="auto"/>
        <w:rPr>
          <w:rFonts w:ascii="Book Antiqua" w:eastAsia="SimSun" w:hAnsi="Book Antiqua"/>
          <w:color w:val="000000" w:themeColor="text1"/>
          <w:sz w:val="24"/>
          <w:szCs w:val="24"/>
          <w:lang w:eastAsia="zh-CN"/>
        </w:rPr>
      </w:pPr>
      <w:r w:rsidRPr="0028500E">
        <w:rPr>
          <w:rFonts w:ascii="Book Antiqua" w:eastAsia="MS Gothic" w:hAnsi="Book Antiqua"/>
          <w:b/>
          <w:color w:val="000000" w:themeColor="text1"/>
          <w:sz w:val="24"/>
          <w:szCs w:val="24"/>
        </w:rPr>
        <w:t xml:space="preserve">Conflict-of-interest statement: </w:t>
      </w:r>
      <w:r w:rsidRPr="0028500E">
        <w:rPr>
          <w:rFonts w:ascii="Book Antiqua" w:eastAsia="MS Gothic" w:hAnsi="Book Antiqua"/>
          <w:color w:val="000000" w:themeColor="text1"/>
          <w:sz w:val="24"/>
          <w:szCs w:val="24"/>
        </w:rPr>
        <w:t>No potential conflicts of interest. No financial support.</w:t>
      </w:r>
    </w:p>
    <w:p w14:paraId="4C51EA93" w14:textId="77777777" w:rsidR="00B44023" w:rsidRPr="0028500E" w:rsidRDefault="00B44023" w:rsidP="001E53AA">
      <w:pPr>
        <w:snapToGrid w:val="0"/>
        <w:spacing w:line="360" w:lineRule="auto"/>
        <w:rPr>
          <w:rFonts w:ascii="Book Antiqua" w:eastAsia="SimSun" w:hAnsi="Book Antiqua"/>
          <w:color w:val="000000" w:themeColor="text1"/>
          <w:sz w:val="24"/>
          <w:szCs w:val="24"/>
          <w:lang w:eastAsia="zh-CN"/>
        </w:rPr>
      </w:pPr>
    </w:p>
    <w:p w14:paraId="75334E5B" w14:textId="0B0A04C3" w:rsidR="00B44023" w:rsidRPr="0028500E" w:rsidRDefault="00B44023" w:rsidP="001E53AA">
      <w:pPr>
        <w:snapToGrid w:val="0"/>
        <w:spacing w:line="360" w:lineRule="auto"/>
        <w:rPr>
          <w:rFonts w:ascii="Book Antiqua" w:hAnsi="Book Antiqua"/>
          <w:color w:val="000000" w:themeColor="text1"/>
          <w:sz w:val="24"/>
          <w:szCs w:val="24"/>
        </w:rPr>
      </w:pPr>
      <w:bookmarkStart w:id="2" w:name="OLE_LINK507"/>
      <w:bookmarkStart w:id="3" w:name="OLE_LINK506"/>
      <w:bookmarkStart w:id="4" w:name="OLE_LINK496"/>
      <w:bookmarkStart w:id="5" w:name="OLE_LINK479"/>
      <w:r w:rsidRPr="0028500E">
        <w:rPr>
          <w:rFonts w:ascii="Book Antiqua" w:hAnsi="Book Antiqua"/>
          <w:b/>
          <w:color w:val="000000" w:themeColor="text1"/>
          <w:sz w:val="24"/>
          <w:szCs w:val="24"/>
        </w:rPr>
        <w:t xml:space="preserve">Open-Access: </w:t>
      </w:r>
      <w:r w:rsidRPr="0028500E">
        <w:rPr>
          <w:rFonts w:ascii="Book Antiqua" w:hAnsi="Book Antiqua"/>
          <w:color w:val="000000" w:themeColor="text1"/>
          <w:sz w:val="24"/>
          <w:szCs w:val="24"/>
        </w:rPr>
        <w:t>This article is an open-access article which was selected by</w:t>
      </w:r>
      <w:r w:rsidR="00036554">
        <w:rPr>
          <w:rFonts w:ascii="Book Antiqua" w:eastAsia="SimSun" w:hAnsi="Book Antiqua" w:hint="eastAsia"/>
          <w:color w:val="000000" w:themeColor="text1"/>
          <w:sz w:val="24"/>
          <w:szCs w:val="24"/>
          <w:lang w:eastAsia="zh-CN"/>
        </w:rPr>
        <w:t xml:space="preserve"> </w:t>
      </w:r>
      <w:r w:rsidRPr="0028500E">
        <w:rPr>
          <w:rFonts w:ascii="Book Antiqua" w:hAnsi="Book Antiqua"/>
          <w:color w:val="000000" w:themeColor="text1"/>
          <w:sz w:val="24"/>
          <w:szCs w:val="24"/>
        </w:rPr>
        <w:t xml:space="preserve">an </w:t>
      </w:r>
      <w:r w:rsidRPr="0028500E">
        <w:rPr>
          <w:rFonts w:ascii="Book Antiqua" w:hAnsi="Book Antiqua"/>
          <w:color w:val="000000" w:themeColor="text1"/>
          <w:sz w:val="24"/>
          <w:szCs w:val="24"/>
        </w:rPr>
        <w:lastRenderedPageBreak/>
        <w:t>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
      <w:bookmarkEnd w:id="3"/>
      <w:bookmarkEnd w:id="4"/>
      <w:bookmarkEnd w:id="5"/>
    </w:p>
    <w:p w14:paraId="4297E9B9" w14:textId="77777777" w:rsidR="0056113C" w:rsidRPr="0028500E" w:rsidRDefault="0056113C" w:rsidP="001E53AA">
      <w:pPr>
        <w:snapToGrid w:val="0"/>
        <w:spacing w:line="360" w:lineRule="auto"/>
        <w:rPr>
          <w:rFonts w:ascii="Book Antiqua" w:eastAsia="SimSun" w:hAnsi="Book Antiqua"/>
          <w:color w:val="000000" w:themeColor="text1"/>
          <w:sz w:val="24"/>
          <w:szCs w:val="24"/>
          <w:lang w:eastAsia="zh-CN"/>
        </w:rPr>
      </w:pPr>
    </w:p>
    <w:p w14:paraId="16771DFF" w14:textId="698B75EB" w:rsidR="000E4D69" w:rsidRPr="000E4D69" w:rsidRDefault="000E4D69" w:rsidP="001E53AA">
      <w:pPr>
        <w:snapToGrid w:val="0"/>
        <w:spacing w:line="360" w:lineRule="auto"/>
        <w:rPr>
          <w:rFonts w:ascii="Book Antiqua" w:eastAsia="SimSun" w:hAnsi="Book Antiqua"/>
          <w:b/>
          <w:color w:val="000000" w:themeColor="text1"/>
          <w:sz w:val="24"/>
          <w:szCs w:val="24"/>
          <w:lang w:eastAsia="zh-CN"/>
        </w:rPr>
      </w:pPr>
      <w:r w:rsidRPr="000E4D69">
        <w:rPr>
          <w:rFonts w:ascii="Book Antiqua" w:hAnsi="Book Antiqua"/>
          <w:b/>
          <w:color w:val="000000" w:themeColor="text1"/>
          <w:sz w:val="24"/>
          <w:szCs w:val="24"/>
        </w:rPr>
        <w:t>Manuscript Source:</w:t>
      </w:r>
      <w:r>
        <w:rPr>
          <w:rFonts w:ascii="Book Antiqua" w:eastAsia="SimSun" w:hAnsi="Book Antiqua" w:hint="eastAsia"/>
          <w:b/>
          <w:color w:val="000000" w:themeColor="text1"/>
          <w:sz w:val="24"/>
          <w:szCs w:val="24"/>
          <w:lang w:eastAsia="zh-CN"/>
        </w:rPr>
        <w:t xml:space="preserve"> </w:t>
      </w:r>
      <w:r w:rsidRPr="000E4D69">
        <w:rPr>
          <w:rFonts w:ascii="Book Antiqua" w:eastAsia="SimSun" w:hAnsi="Book Antiqua"/>
          <w:color w:val="000000" w:themeColor="text1"/>
          <w:sz w:val="24"/>
          <w:szCs w:val="24"/>
          <w:lang w:eastAsia="zh-CN"/>
        </w:rPr>
        <w:t>Invited Manuscript</w:t>
      </w:r>
    </w:p>
    <w:p w14:paraId="41DEF558" w14:textId="77777777" w:rsidR="000E4D69" w:rsidRDefault="000E4D69" w:rsidP="001E53AA">
      <w:pPr>
        <w:snapToGrid w:val="0"/>
        <w:spacing w:line="360" w:lineRule="auto"/>
        <w:rPr>
          <w:rFonts w:ascii="Book Antiqua" w:eastAsia="SimSun" w:hAnsi="Book Antiqua"/>
          <w:b/>
          <w:color w:val="000000" w:themeColor="text1"/>
          <w:sz w:val="24"/>
          <w:szCs w:val="24"/>
          <w:lang w:eastAsia="zh-CN"/>
        </w:rPr>
      </w:pPr>
    </w:p>
    <w:p w14:paraId="07239FA9" w14:textId="72C670B6" w:rsidR="006B4FB6" w:rsidRPr="0028500E" w:rsidRDefault="00B44023" w:rsidP="001E53AA">
      <w:pPr>
        <w:snapToGrid w:val="0"/>
        <w:spacing w:line="360" w:lineRule="auto"/>
        <w:rPr>
          <w:rFonts w:ascii="Book Antiqua" w:eastAsia="SimSun" w:hAnsi="Book Antiqua"/>
          <w:color w:val="000000" w:themeColor="text1"/>
          <w:sz w:val="24"/>
          <w:szCs w:val="24"/>
          <w:lang w:eastAsia="zh-CN"/>
        </w:rPr>
      </w:pPr>
      <w:r w:rsidRPr="0028500E">
        <w:rPr>
          <w:rFonts w:ascii="Book Antiqua" w:hAnsi="Book Antiqua"/>
          <w:b/>
          <w:color w:val="000000" w:themeColor="text1"/>
          <w:sz w:val="24"/>
          <w:szCs w:val="24"/>
        </w:rPr>
        <w:t>Correspondence to:</w:t>
      </w:r>
      <w:r w:rsidRPr="0028500E">
        <w:rPr>
          <w:rFonts w:ascii="Book Antiqua" w:eastAsia="SimSun" w:hAnsi="Book Antiqua"/>
          <w:color w:val="000000" w:themeColor="text1"/>
          <w:sz w:val="24"/>
          <w:szCs w:val="24"/>
          <w:lang w:eastAsia="zh-CN"/>
        </w:rPr>
        <w:t xml:space="preserve"> </w:t>
      </w:r>
      <w:r w:rsidR="006B4FB6" w:rsidRPr="0028500E">
        <w:rPr>
          <w:rFonts w:ascii="Book Antiqua" w:eastAsia="MS Gothic" w:hAnsi="Book Antiqua"/>
          <w:b/>
          <w:color w:val="000000" w:themeColor="text1"/>
          <w:sz w:val="24"/>
          <w:szCs w:val="24"/>
        </w:rPr>
        <w:t>Kazuya Akahoshi, MD, PhD</w:t>
      </w:r>
      <w:r w:rsidRPr="0028500E">
        <w:rPr>
          <w:rFonts w:ascii="Book Antiqua" w:eastAsia="SimSun" w:hAnsi="Book Antiqua"/>
          <w:b/>
          <w:color w:val="000000" w:themeColor="text1"/>
          <w:sz w:val="24"/>
          <w:szCs w:val="24"/>
          <w:lang w:eastAsia="zh-CN"/>
        </w:rPr>
        <w:t>,</w:t>
      </w:r>
      <w:r w:rsidR="00B26161" w:rsidRPr="0028500E">
        <w:rPr>
          <w:rFonts w:ascii="Book Antiqua" w:hAnsi="Book Antiqua"/>
          <w:color w:val="000000" w:themeColor="text1"/>
          <w:sz w:val="24"/>
          <w:szCs w:val="24"/>
        </w:rPr>
        <w:t xml:space="preserve"> </w:t>
      </w:r>
      <w:r w:rsidR="00B26161" w:rsidRPr="0028500E">
        <w:rPr>
          <w:rFonts w:ascii="Book Antiqua" w:eastAsia="SimSun" w:hAnsi="Book Antiqua"/>
          <w:b/>
          <w:color w:val="000000" w:themeColor="text1"/>
          <w:sz w:val="24"/>
          <w:szCs w:val="24"/>
          <w:lang w:eastAsia="zh-CN"/>
        </w:rPr>
        <w:t>Chief Doctor,</w:t>
      </w:r>
      <w:r w:rsidRPr="0028500E">
        <w:rPr>
          <w:rFonts w:ascii="Book Antiqua" w:eastAsia="SimSun" w:hAnsi="Book Antiqua"/>
          <w:color w:val="000000" w:themeColor="text1"/>
          <w:sz w:val="24"/>
          <w:szCs w:val="24"/>
          <w:lang w:eastAsia="zh-CN"/>
        </w:rPr>
        <w:t xml:space="preserve"> </w:t>
      </w:r>
      <w:r w:rsidR="006B4FB6" w:rsidRPr="0028500E">
        <w:rPr>
          <w:rFonts w:ascii="Book Antiqua" w:eastAsia="MS Gothic" w:hAnsi="Book Antiqua"/>
          <w:color w:val="000000" w:themeColor="text1"/>
          <w:sz w:val="24"/>
          <w:szCs w:val="24"/>
        </w:rPr>
        <w:t>Department of Gastroenterology</w:t>
      </w:r>
      <w:r w:rsidRPr="0028500E">
        <w:rPr>
          <w:rFonts w:ascii="Book Antiqua" w:eastAsia="SimSun" w:hAnsi="Book Antiqua"/>
          <w:color w:val="000000" w:themeColor="text1"/>
          <w:sz w:val="24"/>
          <w:szCs w:val="24"/>
          <w:lang w:eastAsia="zh-CN"/>
        </w:rPr>
        <w:t xml:space="preserve">, </w:t>
      </w:r>
      <w:r w:rsidR="006B4FB6" w:rsidRPr="0028500E">
        <w:rPr>
          <w:rFonts w:ascii="Book Antiqua" w:eastAsia="MS Gothic" w:hAnsi="Book Antiqua"/>
          <w:color w:val="000000" w:themeColor="text1"/>
          <w:sz w:val="24"/>
          <w:szCs w:val="24"/>
        </w:rPr>
        <w:t xml:space="preserve">Aso Iizuka Hospital, 3-83 Yoshio </w:t>
      </w:r>
      <w:r w:rsidRPr="0028500E">
        <w:rPr>
          <w:rFonts w:ascii="Book Antiqua" w:eastAsia="MS Gothic" w:hAnsi="Book Antiqua"/>
          <w:color w:val="000000" w:themeColor="text1"/>
          <w:sz w:val="24"/>
          <w:szCs w:val="24"/>
        </w:rPr>
        <w:t>Town</w:t>
      </w:r>
      <w:r w:rsidRPr="0028500E">
        <w:rPr>
          <w:rFonts w:ascii="Book Antiqua" w:eastAsia="SimSun" w:hAnsi="Book Antiqua"/>
          <w:color w:val="000000" w:themeColor="text1"/>
          <w:sz w:val="24"/>
          <w:szCs w:val="24"/>
          <w:lang w:eastAsia="zh-CN"/>
        </w:rPr>
        <w:t xml:space="preserve">, </w:t>
      </w:r>
      <w:r w:rsidR="006B4FB6" w:rsidRPr="0028500E">
        <w:rPr>
          <w:rFonts w:ascii="Book Antiqua" w:eastAsia="MS Gothic" w:hAnsi="Book Antiqua"/>
          <w:color w:val="000000" w:themeColor="text1"/>
          <w:sz w:val="24"/>
          <w:szCs w:val="24"/>
        </w:rPr>
        <w:t>Iizuka 820-8505, Japan</w:t>
      </w:r>
      <w:r w:rsidRPr="0028500E">
        <w:rPr>
          <w:rFonts w:ascii="Book Antiqua" w:eastAsia="SimSun" w:hAnsi="Book Antiqua"/>
          <w:color w:val="000000" w:themeColor="text1"/>
          <w:sz w:val="24"/>
          <w:szCs w:val="24"/>
          <w:lang w:eastAsia="zh-CN"/>
        </w:rPr>
        <w:t>.</w:t>
      </w:r>
      <w:r w:rsidRPr="0028500E">
        <w:rPr>
          <w:rFonts w:ascii="Book Antiqua" w:hAnsi="Book Antiqua"/>
          <w:color w:val="000000" w:themeColor="text1"/>
          <w:sz w:val="24"/>
          <w:szCs w:val="24"/>
        </w:rPr>
        <w:t xml:space="preserve"> </w:t>
      </w:r>
      <w:hyperlink r:id="rId8" w:history="1">
        <w:r w:rsidRPr="0028500E">
          <w:rPr>
            <w:rStyle w:val="Hyperlink"/>
            <w:rFonts w:ascii="Book Antiqua" w:eastAsia="MS Gothic" w:hAnsi="Book Antiqua"/>
            <w:color w:val="000000" w:themeColor="text1"/>
            <w:sz w:val="24"/>
            <w:szCs w:val="24"/>
            <w:u w:val="none"/>
          </w:rPr>
          <w:t>kakahoshi2@aol.com</w:t>
        </w:r>
      </w:hyperlink>
    </w:p>
    <w:p w14:paraId="46600E34" w14:textId="50DFC6CA" w:rsidR="00AA1BB6" w:rsidRPr="0028500E" w:rsidRDefault="00B44023" w:rsidP="001E53AA">
      <w:pPr>
        <w:snapToGrid w:val="0"/>
        <w:spacing w:line="360" w:lineRule="auto"/>
        <w:rPr>
          <w:rFonts w:ascii="Book Antiqua" w:eastAsia="MS Gothic" w:hAnsi="Book Antiqua"/>
          <w:color w:val="000000" w:themeColor="text1"/>
          <w:sz w:val="24"/>
          <w:szCs w:val="24"/>
        </w:rPr>
      </w:pPr>
      <w:r w:rsidRPr="0028500E">
        <w:rPr>
          <w:rFonts w:ascii="Book Antiqua" w:hAnsi="Book Antiqua"/>
          <w:b/>
          <w:bCs/>
          <w:color w:val="000000" w:themeColor="text1"/>
          <w:sz w:val="24"/>
          <w:szCs w:val="24"/>
        </w:rPr>
        <w:t>Telephone</w:t>
      </w:r>
      <w:r w:rsidRPr="0028500E">
        <w:rPr>
          <w:rFonts w:ascii="Book Antiqua" w:eastAsia="SimSun" w:hAnsi="Book Antiqua"/>
          <w:b/>
          <w:bCs/>
          <w:color w:val="000000" w:themeColor="text1"/>
          <w:sz w:val="24"/>
          <w:szCs w:val="24"/>
          <w:lang w:eastAsia="zh-CN"/>
        </w:rPr>
        <w:t>:</w:t>
      </w:r>
      <w:r w:rsidRPr="0028500E">
        <w:rPr>
          <w:rFonts w:ascii="Book Antiqua" w:eastAsia="MS Gothic" w:hAnsi="Book Antiqua"/>
          <w:color w:val="000000" w:themeColor="text1"/>
          <w:sz w:val="24"/>
          <w:szCs w:val="24"/>
        </w:rPr>
        <w:t xml:space="preserve"> +81-948-22</w:t>
      </w:r>
      <w:r w:rsidR="006B4FB6" w:rsidRPr="0028500E">
        <w:rPr>
          <w:rFonts w:ascii="Book Antiqua" w:eastAsia="MS Gothic" w:hAnsi="Book Antiqua"/>
          <w:color w:val="000000" w:themeColor="text1"/>
          <w:sz w:val="24"/>
          <w:szCs w:val="24"/>
        </w:rPr>
        <w:t>3800</w:t>
      </w:r>
      <w:bookmarkStart w:id="6" w:name="_GoBack"/>
      <w:bookmarkEnd w:id="6"/>
    </w:p>
    <w:p w14:paraId="7CB0DDCC" w14:textId="52A3EE10" w:rsidR="006B4FB6" w:rsidRPr="0028500E" w:rsidRDefault="00B44023" w:rsidP="001E53AA">
      <w:pPr>
        <w:snapToGrid w:val="0"/>
        <w:spacing w:line="360" w:lineRule="auto"/>
        <w:rPr>
          <w:rFonts w:ascii="Book Antiqua" w:eastAsia="SimSun" w:hAnsi="Book Antiqua"/>
          <w:color w:val="000000" w:themeColor="text1"/>
          <w:sz w:val="24"/>
          <w:szCs w:val="24"/>
          <w:lang w:eastAsia="zh-CN"/>
        </w:rPr>
      </w:pPr>
      <w:r w:rsidRPr="0028500E">
        <w:rPr>
          <w:rFonts w:ascii="Book Antiqua" w:hAnsi="Book Antiqua"/>
          <w:b/>
          <w:bCs/>
          <w:color w:val="000000" w:themeColor="text1"/>
          <w:sz w:val="24"/>
          <w:szCs w:val="24"/>
          <w:lang w:val="en-GB"/>
        </w:rPr>
        <w:t>Fax:</w:t>
      </w:r>
      <w:r w:rsidRPr="0028500E">
        <w:rPr>
          <w:rFonts w:ascii="Book Antiqua" w:eastAsia="SimSun" w:hAnsi="Book Antiqua"/>
          <w:b/>
          <w:bCs/>
          <w:color w:val="000000" w:themeColor="text1"/>
          <w:sz w:val="24"/>
          <w:szCs w:val="24"/>
          <w:lang w:val="en-GB" w:eastAsia="zh-CN"/>
        </w:rPr>
        <w:t xml:space="preserve"> </w:t>
      </w:r>
      <w:r w:rsidRPr="0028500E">
        <w:rPr>
          <w:rFonts w:ascii="Book Antiqua" w:eastAsia="MS Gothic" w:hAnsi="Book Antiqua"/>
          <w:color w:val="000000" w:themeColor="text1"/>
          <w:sz w:val="24"/>
          <w:szCs w:val="24"/>
        </w:rPr>
        <w:t>+81-948-29</w:t>
      </w:r>
      <w:r w:rsidR="006B4FB6" w:rsidRPr="0028500E">
        <w:rPr>
          <w:rFonts w:ascii="Book Antiqua" w:eastAsia="MS Gothic" w:hAnsi="Book Antiqua"/>
          <w:color w:val="000000" w:themeColor="text1"/>
          <w:sz w:val="24"/>
          <w:szCs w:val="24"/>
        </w:rPr>
        <w:t>8747</w:t>
      </w:r>
    </w:p>
    <w:p w14:paraId="75F0C263" w14:textId="77777777" w:rsidR="00B44023" w:rsidRPr="0028500E" w:rsidRDefault="00B44023" w:rsidP="001E53AA">
      <w:pPr>
        <w:snapToGrid w:val="0"/>
        <w:spacing w:line="360" w:lineRule="auto"/>
        <w:rPr>
          <w:rFonts w:ascii="Book Antiqua" w:eastAsia="SimSun" w:hAnsi="Book Antiqua"/>
          <w:color w:val="000000" w:themeColor="text1"/>
          <w:sz w:val="24"/>
          <w:szCs w:val="24"/>
          <w:lang w:eastAsia="zh-CN"/>
        </w:rPr>
      </w:pPr>
    </w:p>
    <w:p w14:paraId="57775775" w14:textId="43F6047B" w:rsidR="00B26161" w:rsidRPr="0028500E" w:rsidRDefault="00B26161" w:rsidP="001E53AA">
      <w:pPr>
        <w:snapToGrid w:val="0"/>
        <w:spacing w:line="360" w:lineRule="auto"/>
        <w:rPr>
          <w:rFonts w:ascii="Book Antiqua" w:hAnsi="Book Antiqua"/>
          <w:b/>
          <w:color w:val="000000" w:themeColor="text1"/>
          <w:sz w:val="24"/>
          <w:szCs w:val="24"/>
        </w:rPr>
      </w:pPr>
      <w:r w:rsidRPr="0028500E">
        <w:rPr>
          <w:rFonts w:ascii="Book Antiqua" w:hAnsi="Book Antiqua"/>
          <w:b/>
          <w:color w:val="000000" w:themeColor="text1"/>
          <w:sz w:val="24"/>
          <w:szCs w:val="24"/>
        </w:rPr>
        <w:t>Received:</w:t>
      </w:r>
      <w:r w:rsidRPr="0028500E">
        <w:rPr>
          <w:rFonts w:ascii="Book Antiqua" w:eastAsia="SimSun" w:hAnsi="Book Antiqua"/>
          <w:b/>
          <w:color w:val="000000" w:themeColor="text1"/>
          <w:sz w:val="24"/>
          <w:szCs w:val="24"/>
          <w:lang w:eastAsia="zh-CN"/>
        </w:rPr>
        <w:t xml:space="preserve"> </w:t>
      </w:r>
      <w:r w:rsidRPr="0028500E">
        <w:rPr>
          <w:rFonts w:ascii="Book Antiqua" w:eastAsia="SimSun" w:hAnsi="Book Antiqua"/>
          <w:color w:val="000000" w:themeColor="text1"/>
          <w:sz w:val="24"/>
          <w:szCs w:val="24"/>
          <w:lang w:eastAsia="zh-CN"/>
        </w:rPr>
        <w:t>March 28, 2018</w:t>
      </w:r>
      <w:r w:rsidRPr="0028500E">
        <w:rPr>
          <w:rFonts w:ascii="Book Antiqua" w:hAnsi="Book Antiqua"/>
          <w:b/>
          <w:color w:val="000000" w:themeColor="text1"/>
          <w:sz w:val="24"/>
          <w:szCs w:val="24"/>
        </w:rPr>
        <w:t xml:space="preserve"> </w:t>
      </w:r>
    </w:p>
    <w:p w14:paraId="18630D15" w14:textId="4C30DC72" w:rsidR="00B26161" w:rsidRPr="0028500E" w:rsidRDefault="00B26161" w:rsidP="001E53AA">
      <w:pPr>
        <w:snapToGrid w:val="0"/>
        <w:spacing w:line="360" w:lineRule="auto"/>
        <w:rPr>
          <w:rFonts w:ascii="Book Antiqua" w:eastAsia="SimSun" w:hAnsi="Book Antiqua"/>
          <w:b/>
          <w:color w:val="000000" w:themeColor="text1"/>
          <w:sz w:val="24"/>
          <w:szCs w:val="24"/>
          <w:lang w:eastAsia="zh-CN"/>
        </w:rPr>
      </w:pPr>
      <w:r w:rsidRPr="0028500E">
        <w:rPr>
          <w:rFonts w:ascii="Book Antiqua" w:hAnsi="Book Antiqua"/>
          <w:b/>
          <w:color w:val="000000" w:themeColor="text1"/>
          <w:sz w:val="24"/>
          <w:szCs w:val="24"/>
        </w:rPr>
        <w:t>Peer-review started:</w:t>
      </w:r>
      <w:r w:rsidRPr="0028500E">
        <w:rPr>
          <w:rFonts w:ascii="Book Antiqua" w:eastAsia="SimSun" w:hAnsi="Book Antiqua"/>
          <w:b/>
          <w:color w:val="000000" w:themeColor="text1"/>
          <w:sz w:val="24"/>
          <w:szCs w:val="24"/>
          <w:lang w:eastAsia="zh-CN"/>
        </w:rPr>
        <w:t xml:space="preserve"> </w:t>
      </w:r>
      <w:r w:rsidRPr="0028500E">
        <w:rPr>
          <w:rFonts w:ascii="Book Antiqua" w:eastAsia="SimSun" w:hAnsi="Book Antiqua"/>
          <w:color w:val="000000" w:themeColor="text1"/>
          <w:sz w:val="24"/>
          <w:szCs w:val="24"/>
          <w:lang w:eastAsia="zh-CN"/>
        </w:rPr>
        <w:t>March 28, 2018</w:t>
      </w:r>
    </w:p>
    <w:p w14:paraId="2AF98F7C" w14:textId="6FA099A0" w:rsidR="00B26161" w:rsidRPr="0028500E" w:rsidRDefault="00B26161" w:rsidP="001E53AA">
      <w:pPr>
        <w:snapToGrid w:val="0"/>
        <w:spacing w:line="360" w:lineRule="auto"/>
        <w:rPr>
          <w:rFonts w:ascii="Book Antiqua" w:eastAsia="SimSun" w:hAnsi="Book Antiqua"/>
          <w:b/>
          <w:color w:val="000000" w:themeColor="text1"/>
          <w:sz w:val="24"/>
          <w:szCs w:val="24"/>
          <w:lang w:eastAsia="zh-CN"/>
        </w:rPr>
      </w:pPr>
      <w:r w:rsidRPr="0028500E">
        <w:rPr>
          <w:rFonts w:ascii="Book Antiqua" w:hAnsi="Book Antiqua"/>
          <w:b/>
          <w:color w:val="000000" w:themeColor="text1"/>
          <w:sz w:val="24"/>
          <w:szCs w:val="24"/>
        </w:rPr>
        <w:t>First decision:</w:t>
      </w:r>
      <w:r w:rsidRPr="0028500E">
        <w:rPr>
          <w:rFonts w:ascii="Book Antiqua" w:eastAsia="SimSun" w:hAnsi="Book Antiqua"/>
          <w:b/>
          <w:color w:val="000000" w:themeColor="text1"/>
          <w:sz w:val="24"/>
          <w:szCs w:val="24"/>
          <w:lang w:eastAsia="zh-CN"/>
        </w:rPr>
        <w:t xml:space="preserve"> </w:t>
      </w:r>
      <w:r w:rsidRPr="0028500E">
        <w:rPr>
          <w:rFonts w:ascii="Book Antiqua" w:eastAsia="SimSun" w:hAnsi="Book Antiqua"/>
          <w:color w:val="000000" w:themeColor="text1"/>
          <w:sz w:val="24"/>
          <w:szCs w:val="24"/>
          <w:lang w:eastAsia="zh-CN"/>
        </w:rPr>
        <w:t>May 9, 2018</w:t>
      </w:r>
    </w:p>
    <w:p w14:paraId="43024C02" w14:textId="51149EFE" w:rsidR="00B26161" w:rsidRPr="0028500E" w:rsidRDefault="00B26161" w:rsidP="001E53AA">
      <w:pPr>
        <w:snapToGrid w:val="0"/>
        <w:spacing w:line="360" w:lineRule="auto"/>
        <w:rPr>
          <w:rFonts w:ascii="Book Antiqua" w:eastAsia="SimSun" w:hAnsi="Book Antiqua"/>
          <w:b/>
          <w:color w:val="000000" w:themeColor="text1"/>
          <w:sz w:val="24"/>
          <w:szCs w:val="24"/>
          <w:lang w:eastAsia="zh-CN"/>
        </w:rPr>
      </w:pPr>
      <w:r w:rsidRPr="0028500E">
        <w:rPr>
          <w:rFonts w:ascii="Book Antiqua" w:hAnsi="Book Antiqua"/>
          <w:b/>
          <w:color w:val="000000" w:themeColor="text1"/>
          <w:sz w:val="24"/>
          <w:szCs w:val="24"/>
        </w:rPr>
        <w:t xml:space="preserve">Revised: </w:t>
      </w:r>
      <w:r w:rsidRPr="0028500E">
        <w:rPr>
          <w:rFonts w:ascii="Book Antiqua" w:eastAsia="SimSun" w:hAnsi="Book Antiqua"/>
          <w:color w:val="000000" w:themeColor="text1"/>
          <w:sz w:val="24"/>
          <w:szCs w:val="24"/>
          <w:lang w:eastAsia="zh-CN"/>
        </w:rPr>
        <w:t>June 3, 2018</w:t>
      </w:r>
    </w:p>
    <w:p w14:paraId="4A2AB8E6" w14:textId="5A2A8B8D" w:rsidR="00B26161" w:rsidRPr="0028500E" w:rsidRDefault="00B26161" w:rsidP="001E53AA">
      <w:pPr>
        <w:snapToGrid w:val="0"/>
        <w:spacing w:line="360" w:lineRule="auto"/>
        <w:rPr>
          <w:rFonts w:ascii="Book Antiqua" w:hAnsi="Book Antiqua"/>
          <w:color w:val="000000" w:themeColor="text1"/>
          <w:sz w:val="24"/>
          <w:szCs w:val="24"/>
        </w:rPr>
      </w:pPr>
      <w:r w:rsidRPr="0028500E">
        <w:rPr>
          <w:rFonts w:ascii="Book Antiqua" w:hAnsi="Book Antiqua"/>
          <w:b/>
          <w:color w:val="000000" w:themeColor="text1"/>
          <w:sz w:val="24"/>
          <w:szCs w:val="24"/>
        </w:rPr>
        <w:t>Accepted:</w:t>
      </w:r>
      <w:bookmarkStart w:id="7" w:name="OLE_LINK98"/>
      <w:bookmarkStart w:id="8" w:name="OLE_LINK99"/>
      <w:bookmarkStart w:id="9" w:name="OLE_LINK104"/>
      <w:bookmarkStart w:id="10" w:name="OLE_LINK110"/>
      <w:bookmarkStart w:id="11" w:name="OLE_LINK111"/>
      <w:bookmarkStart w:id="12" w:name="OLE_LINK115"/>
      <w:bookmarkStart w:id="13" w:name="OLE_LINK116"/>
      <w:r w:rsidR="002C3D0F" w:rsidRPr="002C3D0F">
        <w:t xml:space="preserve"> </w:t>
      </w:r>
      <w:r w:rsidR="002C3D0F" w:rsidRPr="002C3D0F">
        <w:rPr>
          <w:rFonts w:ascii="Book Antiqua" w:hAnsi="Book Antiqua"/>
          <w:color w:val="000000" w:themeColor="text1"/>
          <w:sz w:val="24"/>
          <w:szCs w:val="24"/>
        </w:rPr>
        <w:t>June 22, 2018</w:t>
      </w:r>
      <w:r w:rsidRPr="0028500E">
        <w:rPr>
          <w:rFonts w:ascii="Book Antiqua" w:hAnsi="Book Antiqua"/>
          <w:color w:val="000000" w:themeColor="text1"/>
          <w:sz w:val="24"/>
          <w:szCs w:val="24"/>
        </w:rPr>
        <w:t xml:space="preserve"> </w:t>
      </w:r>
      <w:bookmarkEnd w:id="7"/>
      <w:bookmarkEnd w:id="8"/>
      <w:bookmarkEnd w:id="9"/>
      <w:bookmarkEnd w:id="10"/>
      <w:bookmarkEnd w:id="11"/>
      <w:bookmarkEnd w:id="12"/>
      <w:bookmarkEnd w:id="13"/>
    </w:p>
    <w:p w14:paraId="64043707" w14:textId="77777777" w:rsidR="00B26161" w:rsidRPr="0028500E" w:rsidRDefault="00B26161" w:rsidP="001E53AA">
      <w:pPr>
        <w:snapToGrid w:val="0"/>
        <w:spacing w:line="360" w:lineRule="auto"/>
        <w:rPr>
          <w:rFonts w:ascii="Book Antiqua" w:hAnsi="Book Antiqua"/>
          <w:b/>
          <w:color w:val="000000" w:themeColor="text1"/>
          <w:sz w:val="24"/>
          <w:szCs w:val="24"/>
        </w:rPr>
      </w:pPr>
      <w:r w:rsidRPr="0028500E">
        <w:rPr>
          <w:rFonts w:ascii="Book Antiqua" w:hAnsi="Book Antiqua"/>
          <w:b/>
          <w:color w:val="000000" w:themeColor="text1"/>
          <w:sz w:val="24"/>
          <w:szCs w:val="24"/>
        </w:rPr>
        <w:t>Article in press:</w:t>
      </w:r>
    </w:p>
    <w:p w14:paraId="10C001D4" w14:textId="77777777" w:rsidR="00B26161" w:rsidRPr="0028500E" w:rsidRDefault="00B26161" w:rsidP="001E53AA">
      <w:pPr>
        <w:snapToGrid w:val="0"/>
        <w:spacing w:line="360" w:lineRule="auto"/>
        <w:rPr>
          <w:rFonts w:ascii="Book Antiqua" w:hAnsi="Book Antiqua"/>
          <w:b/>
          <w:color w:val="000000" w:themeColor="text1"/>
          <w:sz w:val="24"/>
          <w:szCs w:val="24"/>
        </w:rPr>
      </w:pPr>
      <w:r w:rsidRPr="0028500E">
        <w:rPr>
          <w:rFonts w:ascii="Book Antiqua" w:hAnsi="Book Antiqua"/>
          <w:b/>
          <w:color w:val="000000" w:themeColor="text1"/>
          <w:sz w:val="24"/>
          <w:szCs w:val="24"/>
        </w:rPr>
        <w:t xml:space="preserve">Published online: </w:t>
      </w:r>
    </w:p>
    <w:p w14:paraId="4F37B6E1" w14:textId="24B80856" w:rsidR="006B4FB6" w:rsidRPr="0028500E" w:rsidRDefault="006B4FB6" w:rsidP="001E53AA">
      <w:pPr>
        <w:snapToGrid w:val="0"/>
        <w:spacing w:line="360" w:lineRule="auto"/>
        <w:rPr>
          <w:rFonts w:ascii="Book Antiqua" w:eastAsia="MS Gothic" w:hAnsi="Book Antiqua"/>
          <w:b/>
          <w:caps/>
          <w:color w:val="000000" w:themeColor="text1"/>
          <w:sz w:val="24"/>
          <w:szCs w:val="24"/>
        </w:rPr>
      </w:pPr>
      <w:r w:rsidRPr="0028500E">
        <w:rPr>
          <w:rFonts w:ascii="Book Antiqua" w:eastAsia="MS Gothic" w:hAnsi="Book Antiqua"/>
          <w:color w:val="000000" w:themeColor="text1"/>
          <w:sz w:val="24"/>
          <w:szCs w:val="24"/>
        </w:rPr>
        <w:br w:type="page"/>
      </w:r>
      <w:r w:rsidRPr="0028500E">
        <w:rPr>
          <w:rFonts w:ascii="Book Antiqua" w:eastAsia="MS Gothic" w:hAnsi="Book Antiqua"/>
          <w:b/>
          <w:caps/>
          <w:color w:val="000000" w:themeColor="text1"/>
          <w:sz w:val="24"/>
          <w:szCs w:val="24"/>
        </w:rPr>
        <w:lastRenderedPageBreak/>
        <w:t>A</w:t>
      </w:r>
      <w:r w:rsidR="000214BB" w:rsidRPr="0028500E">
        <w:rPr>
          <w:rFonts w:ascii="Book Antiqua" w:eastAsia="MS Gothic" w:hAnsi="Book Antiqua"/>
          <w:b/>
          <w:color w:val="000000" w:themeColor="text1"/>
          <w:sz w:val="24"/>
          <w:szCs w:val="24"/>
        </w:rPr>
        <w:t>bstract</w:t>
      </w:r>
    </w:p>
    <w:p w14:paraId="301A2192" w14:textId="20DD1C89" w:rsidR="005112F8" w:rsidRPr="0028500E" w:rsidRDefault="009F5D39" w:rsidP="001E53AA">
      <w:pPr>
        <w:snapToGrid w:val="0"/>
        <w:spacing w:line="360" w:lineRule="auto"/>
        <w:rPr>
          <w:rFonts w:ascii="Book Antiqua" w:eastAsia="MS Gothic" w:hAnsi="Book Antiqua"/>
          <w:b/>
          <w:color w:val="000000" w:themeColor="text1"/>
          <w:sz w:val="24"/>
          <w:szCs w:val="24"/>
        </w:rPr>
      </w:pPr>
      <w:r w:rsidRPr="0028500E">
        <w:rPr>
          <w:rFonts w:ascii="Book Antiqua" w:eastAsia="MS Gothic" w:hAnsi="Book Antiqua"/>
          <w:color w:val="000000" w:themeColor="text1"/>
          <w:sz w:val="24"/>
          <w:szCs w:val="24"/>
        </w:rPr>
        <w:t>G</w:t>
      </w:r>
      <w:r w:rsidR="00C868EA" w:rsidRPr="0028500E">
        <w:rPr>
          <w:rFonts w:ascii="Book Antiqua" w:eastAsia="MS Gothic" w:hAnsi="Book Antiqua"/>
          <w:color w:val="000000" w:themeColor="text1"/>
          <w:sz w:val="24"/>
          <w:szCs w:val="24"/>
        </w:rPr>
        <w:t>astrointestinal stromal tumor</w:t>
      </w:r>
      <w:r w:rsidR="007D7FDE" w:rsidRPr="0028500E">
        <w:rPr>
          <w:rFonts w:ascii="Book Antiqua" w:eastAsia="MS Gothic" w:hAnsi="Book Antiqua"/>
          <w:color w:val="000000" w:themeColor="text1"/>
          <w:sz w:val="24"/>
          <w:szCs w:val="24"/>
        </w:rPr>
        <w:t>s</w:t>
      </w:r>
      <w:r w:rsidR="00C868EA" w:rsidRPr="0028500E">
        <w:rPr>
          <w:rFonts w:ascii="Book Antiqua" w:eastAsia="MS Gothic" w:hAnsi="Book Antiqua"/>
          <w:color w:val="000000" w:themeColor="text1"/>
          <w:sz w:val="24"/>
          <w:szCs w:val="24"/>
        </w:rPr>
        <w:t xml:space="preserve"> (GIST</w:t>
      </w:r>
      <w:r w:rsidR="007D7FDE" w:rsidRPr="0028500E">
        <w:rPr>
          <w:rFonts w:ascii="Book Antiqua" w:eastAsia="MS Gothic" w:hAnsi="Book Antiqua"/>
          <w:color w:val="000000" w:themeColor="text1"/>
          <w:sz w:val="24"/>
          <w:szCs w:val="24"/>
        </w:rPr>
        <w:t>s</w:t>
      </w:r>
      <w:r w:rsidR="00C868EA" w:rsidRPr="0028500E">
        <w:rPr>
          <w:rFonts w:ascii="Book Antiqua" w:eastAsia="MS Gothic" w:hAnsi="Book Antiqua"/>
          <w:color w:val="000000" w:themeColor="text1"/>
          <w:sz w:val="24"/>
          <w:szCs w:val="24"/>
        </w:rPr>
        <w:t xml:space="preserve">) </w:t>
      </w:r>
      <w:r w:rsidR="007D7FDE" w:rsidRPr="0028500E">
        <w:rPr>
          <w:rFonts w:ascii="Book Antiqua" w:eastAsia="MS Gothic" w:hAnsi="Book Antiqua"/>
          <w:color w:val="000000" w:themeColor="text1"/>
          <w:sz w:val="24"/>
          <w:szCs w:val="24"/>
        </w:rPr>
        <w:t>are the</w:t>
      </w:r>
      <w:r w:rsidR="00B13E9A" w:rsidRPr="0028500E">
        <w:rPr>
          <w:rFonts w:ascii="Book Antiqua" w:eastAsia="MS Gothic" w:hAnsi="Book Antiqua"/>
          <w:color w:val="000000" w:themeColor="text1"/>
          <w:sz w:val="24"/>
          <w:szCs w:val="24"/>
        </w:rPr>
        <w:t xml:space="preserve"> </w:t>
      </w:r>
      <w:bookmarkStart w:id="14" w:name="_Hlk508859038"/>
      <w:r w:rsidR="00B13E9A" w:rsidRPr="0028500E">
        <w:rPr>
          <w:rFonts w:ascii="Book Antiqua" w:eastAsia="MS Gothic" w:hAnsi="Book Antiqua"/>
          <w:color w:val="000000" w:themeColor="text1"/>
          <w:sz w:val="24"/>
          <w:szCs w:val="24"/>
        </w:rPr>
        <w:t xml:space="preserve">most common </w:t>
      </w:r>
      <w:r w:rsidRPr="0028500E">
        <w:rPr>
          <w:rFonts w:ascii="Book Antiqua" w:eastAsia="MS Gothic" w:hAnsi="Book Antiqua"/>
          <w:color w:val="000000" w:themeColor="text1"/>
          <w:sz w:val="24"/>
          <w:szCs w:val="24"/>
        </w:rPr>
        <w:t xml:space="preserve">malignant </w:t>
      </w:r>
      <w:r w:rsidR="00B13E9A" w:rsidRPr="0028500E">
        <w:rPr>
          <w:rFonts w:ascii="Book Antiqua" w:eastAsia="MS Gothic" w:hAnsi="Book Antiqua"/>
          <w:color w:val="000000" w:themeColor="text1"/>
          <w:sz w:val="24"/>
          <w:szCs w:val="24"/>
        </w:rPr>
        <w:t>subepithelial lesion</w:t>
      </w:r>
      <w:r w:rsidR="007D7FDE" w:rsidRPr="0028500E">
        <w:rPr>
          <w:rFonts w:ascii="Book Antiqua" w:eastAsia="MS Gothic" w:hAnsi="Book Antiqua"/>
          <w:color w:val="000000" w:themeColor="text1"/>
          <w:sz w:val="24"/>
          <w:szCs w:val="24"/>
        </w:rPr>
        <w:t>s</w:t>
      </w:r>
      <w:r w:rsidR="00206800" w:rsidRPr="0028500E">
        <w:rPr>
          <w:rFonts w:ascii="Book Antiqua" w:eastAsia="MS Gothic" w:hAnsi="Book Antiqua"/>
          <w:color w:val="000000" w:themeColor="text1"/>
          <w:sz w:val="24"/>
          <w:szCs w:val="24"/>
        </w:rPr>
        <w:t xml:space="preserve"> (SEL</w:t>
      </w:r>
      <w:r w:rsidR="007D7FDE" w:rsidRPr="0028500E">
        <w:rPr>
          <w:rFonts w:ascii="Book Antiqua" w:eastAsia="MS Gothic" w:hAnsi="Book Antiqua"/>
          <w:color w:val="000000" w:themeColor="text1"/>
          <w:sz w:val="24"/>
          <w:szCs w:val="24"/>
        </w:rPr>
        <w:t>s</w:t>
      </w:r>
      <w:r w:rsidR="00206800" w:rsidRPr="0028500E">
        <w:rPr>
          <w:rFonts w:ascii="Book Antiqua" w:eastAsia="MS Gothic" w:hAnsi="Book Antiqua"/>
          <w:color w:val="000000" w:themeColor="text1"/>
          <w:sz w:val="24"/>
          <w:szCs w:val="24"/>
        </w:rPr>
        <w:t>)</w:t>
      </w:r>
      <w:r w:rsidR="00B13E9A" w:rsidRPr="0028500E">
        <w:rPr>
          <w:rFonts w:ascii="Book Antiqua" w:eastAsia="MS Gothic" w:hAnsi="Book Antiqua"/>
          <w:color w:val="000000" w:themeColor="text1"/>
          <w:sz w:val="24"/>
          <w:szCs w:val="24"/>
        </w:rPr>
        <w:t xml:space="preserve"> of the gastrointestinal tract.</w:t>
      </w:r>
      <w:bookmarkEnd w:id="14"/>
      <w:r w:rsidR="00B13E9A" w:rsidRPr="0028500E">
        <w:rPr>
          <w:rFonts w:ascii="Book Antiqua" w:eastAsia="MS Gothic" w:hAnsi="Book Antiqua"/>
          <w:color w:val="000000" w:themeColor="text1"/>
          <w:sz w:val="24"/>
          <w:szCs w:val="24"/>
        </w:rPr>
        <w:t xml:space="preserve"> </w:t>
      </w:r>
      <w:r w:rsidR="007D7FDE" w:rsidRPr="0028500E">
        <w:rPr>
          <w:rFonts w:ascii="Book Antiqua" w:eastAsia="MS Gothic" w:hAnsi="Book Antiqua"/>
          <w:color w:val="000000" w:themeColor="text1"/>
          <w:sz w:val="24"/>
          <w:szCs w:val="24"/>
        </w:rPr>
        <w:t>They</w:t>
      </w:r>
      <w:r w:rsidR="00D76918" w:rsidRPr="0028500E">
        <w:rPr>
          <w:rFonts w:ascii="Book Antiqua" w:eastAsia="MS Gothic" w:hAnsi="Book Antiqua"/>
          <w:color w:val="000000" w:themeColor="text1"/>
          <w:sz w:val="24"/>
          <w:szCs w:val="24"/>
        </w:rPr>
        <w:t xml:space="preserve"> originate from the interstitial cell</w:t>
      </w:r>
      <w:r w:rsidR="007D7FDE" w:rsidRPr="0028500E">
        <w:rPr>
          <w:rFonts w:ascii="Book Antiqua" w:eastAsia="MS Gothic" w:hAnsi="Book Antiqua"/>
          <w:color w:val="000000" w:themeColor="text1"/>
          <w:sz w:val="24"/>
          <w:szCs w:val="24"/>
        </w:rPr>
        <w:t>s</w:t>
      </w:r>
      <w:r w:rsidR="00D76918" w:rsidRPr="0028500E">
        <w:rPr>
          <w:rFonts w:ascii="Book Antiqua" w:eastAsia="MS Gothic" w:hAnsi="Book Antiqua"/>
          <w:color w:val="000000" w:themeColor="text1"/>
          <w:sz w:val="24"/>
          <w:szCs w:val="24"/>
        </w:rPr>
        <w:t xml:space="preserve"> of Cajal located </w:t>
      </w:r>
      <w:r w:rsidR="007D7FDE" w:rsidRPr="0028500E">
        <w:rPr>
          <w:rFonts w:ascii="Book Antiqua" w:eastAsia="MS Gothic" w:hAnsi="Book Antiqua"/>
          <w:color w:val="000000" w:themeColor="text1"/>
          <w:sz w:val="24"/>
          <w:szCs w:val="24"/>
        </w:rPr>
        <w:t>with</w:t>
      </w:r>
      <w:r w:rsidR="00D76918" w:rsidRPr="0028500E">
        <w:rPr>
          <w:rFonts w:ascii="Book Antiqua" w:eastAsia="MS Gothic" w:hAnsi="Book Antiqua"/>
          <w:color w:val="000000" w:themeColor="text1"/>
          <w:sz w:val="24"/>
          <w:szCs w:val="24"/>
        </w:rPr>
        <w:t xml:space="preserve">in the muscle layer and </w:t>
      </w:r>
      <w:r w:rsidR="007D7FDE" w:rsidRPr="0028500E">
        <w:rPr>
          <w:rFonts w:ascii="Book Antiqua" w:eastAsia="MS Gothic" w:hAnsi="Book Antiqua"/>
          <w:color w:val="000000" w:themeColor="text1"/>
          <w:sz w:val="24"/>
          <w:szCs w:val="24"/>
        </w:rPr>
        <w:t>are</w:t>
      </w:r>
      <w:r w:rsidR="00D76918" w:rsidRPr="0028500E">
        <w:rPr>
          <w:rFonts w:ascii="Book Antiqua" w:eastAsia="MS Gothic" w:hAnsi="Book Antiqua"/>
          <w:color w:val="000000" w:themeColor="text1"/>
          <w:sz w:val="24"/>
          <w:szCs w:val="24"/>
        </w:rPr>
        <w:t xml:space="preserve"> characterized by over-expression of the tyrosine kinase receptor KIT. </w:t>
      </w:r>
      <w:bookmarkStart w:id="15" w:name="_Hlk514581773"/>
      <w:r w:rsidR="00D76918" w:rsidRPr="0028500E">
        <w:rPr>
          <w:rFonts w:ascii="Book Antiqua" w:eastAsia="MS Gothic" w:hAnsi="Book Antiqua"/>
          <w:color w:val="000000" w:themeColor="text1"/>
          <w:sz w:val="24"/>
          <w:szCs w:val="24"/>
        </w:rPr>
        <w:t xml:space="preserve">Pathologically, diagnosis of </w:t>
      </w:r>
      <w:r w:rsidR="00992CA0" w:rsidRPr="0028500E">
        <w:rPr>
          <w:rFonts w:ascii="Book Antiqua" w:eastAsia="MS Gothic" w:hAnsi="Book Antiqua"/>
          <w:color w:val="000000" w:themeColor="text1"/>
          <w:sz w:val="24"/>
          <w:szCs w:val="24"/>
        </w:rPr>
        <w:t xml:space="preserve">a </w:t>
      </w:r>
      <w:r w:rsidR="00D76918" w:rsidRPr="0028500E">
        <w:rPr>
          <w:rFonts w:ascii="Book Antiqua" w:eastAsia="MS Gothic" w:hAnsi="Book Antiqua"/>
          <w:color w:val="000000" w:themeColor="text1"/>
          <w:sz w:val="24"/>
          <w:szCs w:val="24"/>
        </w:rPr>
        <w:t xml:space="preserve">GIST relies on morphology and immunohistochemistry </w:t>
      </w:r>
      <w:r w:rsidR="00657029" w:rsidRPr="0028500E">
        <w:rPr>
          <w:rFonts w:ascii="Book Antiqua" w:eastAsia="MS Gothic" w:hAnsi="Book Antiqua"/>
          <w:color w:val="000000" w:themeColor="text1"/>
          <w:sz w:val="24"/>
          <w:szCs w:val="24"/>
        </w:rPr>
        <w:t>[</w:t>
      </w:r>
      <w:r w:rsidR="00992CA0" w:rsidRPr="0028500E">
        <w:rPr>
          <w:rFonts w:ascii="Book Antiqua" w:eastAsia="MS Gothic" w:hAnsi="Book Antiqua"/>
          <w:color w:val="000000" w:themeColor="text1"/>
          <w:sz w:val="24"/>
          <w:szCs w:val="24"/>
        </w:rPr>
        <w:t>KIT</w:t>
      </w:r>
      <w:r w:rsidR="00655F6F" w:rsidRPr="0028500E">
        <w:rPr>
          <w:rFonts w:ascii="Book Antiqua" w:eastAsia="MS Gothic" w:hAnsi="Book Antiqua"/>
          <w:color w:val="000000" w:themeColor="text1"/>
          <w:sz w:val="24"/>
          <w:szCs w:val="24"/>
        </w:rPr>
        <w:t xml:space="preserve"> and/or</w:t>
      </w:r>
      <w:r w:rsidR="008265C2" w:rsidRPr="0028500E">
        <w:rPr>
          <w:rFonts w:ascii="Book Antiqua" w:eastAsia="MS Gothic" w:hAnsi="Book Antiqua"/>
          <w:color w:val="000000" w:themeColor="text1"/>
          <w:sz w:val="24"/>
          <w:szCs w:val="24"/>
        </w:rPr>
        <w:t xml:space="preserve"> </w:t>
      </w:r>
      <w:r w:rsidR="006A28C5" w:rsidRPr="0028500E">
        <w:rPr>
          <w:rFonts w:ascii="Book Antiqua" w:eastAsia="MS Gothic" w:hAnsi="Book Antiqua"/>
          <w:color w:val="000000" w:themeColor="text1"/>
          <w:sz w:val="24"/>
          <w:szCs w:val="24"/>
        </w:rPr>
        <w:t>d</w:t>
      </w:r>
      <w:r w:rsidR="00252FBE" w:rsidRPr="0028500E">
        <w:rPr>
          <w:rFonts w:ascii="Book Antiqua" w:eastAsia="MS Gothic" w:hAnsi="Book Antiqua"/>
          <w:color w:val="000000" w:themeColor="text1"/>
          <w:sz w:val="24"/>
          <w:szCs w:val="24"/>
        </w:rPr>
        <w:t>iscovered on gastrointestinal stromal</w:t>
      </w:r>
      <w:r w:rsidR="00775176" w:rsidRPr="0028500E">
        <w:rPr>
          <w:rFonts w:ascii="Book Antiqua" w:eastAsia="MS Gothic" w:hAnsi="Book Antiqua"/>
          <w:color w:val="000000" w:themeColor="text1"/>
          <w:sz w:val="24"/>
          <w:szCs w:val="24"/>
        </w:rPr>
        <w:t xml:space="preserve"> </w:t>
      </w:r>
      <w:r w:rsidR="00252FBE" w:rsidRPr="0028500E">
        <w:rPr>
          <w:rFonts w:ascii="Book Antiqua" w:eastAsia="MS Gothic" w:hAnsi="Book Antiqua"/>
          <w:color w:val="000000" w:themeColor="text1"/>
          <w:sz w:val="24"/>
          <w:szCs w:val="24"/>
        </w:rPr>
        <w:t>tumor 1</w:t>
      </w:r>
      <w:r w:rsidR="00657029" w:rsidRPr="0028500E">
        <w:rPr>
          <w:rFonts w:ascii="Book Antiqua" w:eastAsia="MS Gothic" w:hAnsi="Book Antiqua"/>
          <w:color w:val="000000" w:themeColor="text1"/>
          <w:sz w:val="24"/>
          <w:szCs w:val="24"/>
        </w:rPr>
        <w:t xml:space="preserve"> </w:t>
      </w:r>
      <w:r w:rsidR="00775176" w:rsidRPr="0028500E">
        <w:rPr>
          <w:rFonts w:ascii="Book Antiqua" w:eastAsia="MS Gothic" w:hAnsi="Book Antiqua"/>
          <w:color w:val="000000" w:themeColor="text1"/>
          <w:sz w:val="24"/>
          <w:szCs w:val="24"/>
        </w:rPr>
        <w:t>(</w:t>
      </w:r>
      <w:r w:rsidR="008265C2" w:rsidRPr="0028500E">
        <w:rPr>
          <w:rFonts w:ascii="Book Antiqua" w:eastAsia="MS Gothic" w:hAnsi="Book Antiqua"/>
          <w:color w:val="000000" w:themeColor="text1"/>
          <w:sz w:val="24"/>
          <w:szCs w:val="24"/>
        </w:rPr>
        <w:t>DOG1</w:t>
      </w:r>
      <w:r w:rsidR="00775176" w:rsidRPr="0028500E">
        <w:rPr>
          <w:rFonts w:ascii="Book Antiqua" w:eastAsia="MS Gothic" w:hAnsi="Book Antiqua"/>
          <w:color w:val="000000" w:themeColor="text1"/>
          <w:sz w:val="24"/>
          <w:szCs w:val="24"/>
        </w:rPr>
        <w:t>)</w:t>
      </w:r>
      <w:r w:rsidR="00D76918" w:rsidRPr="0028500E">
        <w:rPr>
          <w:rFonts w:ascii="Book Antiqua" w:eastAsia="MS Gothic" w:hAnsi="Book Antiqua"/>
          <w:color w:val="000000" w:themeColor="text1"/>
          <w:sz w:val="24"/>
          <w:szCs w:val="24"/>
        </w:rPr>
        <w:t xml:space="preserve"> is generally positive</w:t>
      </w:r>
      <w:r w:rsidR="00657029" w:rsidRPr="0028500E">
        <w:rPr>
          <w:rFonts w:ascii="Book Antiqua" w:eastAsia="MS Gothic" w:hAnsi="Book Antiqua"/>
          <w:color w:val="000000" w:themeColor="text1"/>
          <w:sz w:val="24"/>
          <w:szCs w:val="24"/>
        </w:rPr>
        <w:t>]</w:t>
      </w:r>
      <w:r w:rsidR="00D76918" w:rsidRPr="0028500E">
        <w:rPr>
          <w:rFonts w:ascii="Book Antiqua" w:eastAsia="MS Gothic" w:hAnsi="Book Antiqua"/>
          <w:color w:val="000000" w:themeColor="text1"/>
          <w:sz w:val="24"/>
          <w:szCs w:val="24"/>
        </w:rPr>
        <w:t>.</w:t>
      </w:r>
      <w:bookmarkEnd w:id="15"/>
      <w:r w:rsidR="00D76918" w:rsidRPr="0028500E">
        <w:rPr>
          <w:rFonts w:ascii="Book Antiqua" w:eastAsia="MS Gothic" w:hAnsi="Book Antiqua"/>
          <w:color w:val="000000" w:themeColor="text1"/>
          <w:sz w:val="24"/>
          <w:szCs w:val="24"/>
        </w:rPr>
        <w:t xml:space="preserve"> </w:t>
      </w:r>
      <w:r w:rsidR="00992CA0" w:rsidRPr="0028500E">
        <w:rPr>
          <w:rFonts w:ascii="Book Antiqua" w:eastAsia="MS Gothic" w:hAnsi="Book Antiqua"/>
          <w:color w:val="000000" w:themeColor="text1"/>
          <w:sz w:val="24"/>
          <w:szCs w:val="24"/>
        </w:rPr>
        <w:t>The p</w:t>
      </w:r>
      <w:r w:rsidR="00D76918" w:rsidRPr="0028500E">
        <w:rPr>
          <w:rFonts w:ascii="Book Antiqua" w:eastAsia="MS Gothic" w:hAnsi="Book Antiqua"/>
          <w:color w:val="000000" w:themeColor="text1"/>
          <w:sz w:val="24"/>
          <w:szCs w:val="24"/>
        </w:rPr>
        <w:t xml:space="preserve">rognosis of this disease is associated with </w:t>
      </w:r>
      <w:r w:rsidR="00214E99" w:rsidRPr="0028500E">
        <w:rPr>
          <w:rFonts w:ascii="Book Antiqua" w:eastAsia="MS Gothic" w:hAnsi="Book Antiqua"/>
          <w:color w:val="000000" w:themeColor="text1"/>
          <w:sz w:val="24"/>
          <w:szCs w:val="24"/>
        </w:rPr>
        <w:t xml:space="preserve">the </w:t>
      </w:r>
      <w:r w:rsidR="00D76918" w:rsidRPr="0028500E">
        <w:rPr>
          <w:rFonts w:ascii="Book Antiqua" w:eastAsia="MS Gothic" w:hAnsi="Book Antiqua"/>
          <w:color w:val="000000" w:themeColor="text1"/>
          <w:sz w:val="24"/>
          <w:szCs w:val="24"/>
        </w:rPr>
        <w:t xml:space="preserve">tumor size and mitotic </w:t>
      </w:r>
      <w:r w:rsidR="00C868EA" w:rsidRPr="0028500E">
        <w:rPr>
          <w:rFonts w:ascii="Book Antiqua" w:eastAsia="MS Gothic" w:hAnsi="Book Antiqua"/>
          <w:color w:val="000000" w:themeColor="text1"/>
          <w:sz w:val="24"/>
          <w:szCs w:val="24"/>
        </w:rPr>
        <w:t>index</w:t>
      </w:r>
      <w:r w:rsidR="00D76918" w:rsidRPr="0028500E">
        <w:rPr>
          <w:rFonts w:ascii="Book Antiqua" w:eastAsia="MS Gothic" w:hAnsi="Book Antiqua"/>
          <w:color w:val="000000" w:themeColor="text1"/>
          <w:sz w:val="24"/>
          <w:szCs w:val="24"/>
        </w:rPr>
        <w:t xml:space="preserve">. </w:t>
      </w:r>
      <w:r w:rsidR="00992CA0" w:rsidRPr="0028500E">
        <w:rPr>
          <w:rFonts w:ascii="Book Antiqua" w:eastAsia="MS Gothic" w:hAnsi="Book Antiqua"/>
          <w:color w:val="000000" w:themeColor="text1"/>
          <w:sz w:val="24"/>
          <w:szCs w:val="24"/>
        </w:rPr>
        <w:t>The s</w:t>
      </w:r>
      <w:r w:rsidR="00C868EA" w:rsidRPr="0028500E">
        <w:rPr>
          <w:rFonts w:ascii="Book Antiqua" w:eastAsia="MS Gothic" w:hAnsi="Book Antiqua"/>
          <w:color w:val="000000" w:themeColor="text1"/>
          <w:sz w:val="24"/>
          <w:szCs w:val="24"/>
        </w:rPr>
        <w:t xml:space="preserve">tandard treatment of </w:t>
      </w:r>
      <w:r w:rsidR="00992CA0" w:rsidRPr="0028500E">
        <w:rPr>
          <w:rFonts w:ascii="Book Antiqua" w:eastAsia="MS Gothic" w:hAnsi="Book Antiqua"/>
          <w:color w:val="000000" w:themeColor="text1"/>
          <w:sz w:val="24"/>
          <w:szCs w:val="24"/>
        </w:rPr>
        <w:t xml:space="preserve">a </w:t>
      </w:r>
      <w:r w:rsidR="00D76918" w:rsidRPr="0028500E">
        <w:rPr>
          <w:rFonts w:ascii="Book Antiqua" w:eastAsia="MS Gothic" w:hAnsi="Book Antiqua"/>
          <w:color w:val="000000" w:themeColor="text1"/>
          <w:sz w:val="24"/>
          <w:szCs w:val="24"/>
        </w:rPr>
        <w:t xml:space="preserve">GIST without metastasis is surgical resection. </w:t>
      </w:r>
      <w:r w:rsidR="00992CA0" w:rsidRPr="0028500E">
        <w:rPr>
          <w:rFonts w:ascii="Book Antiqua" w:eastAsia="MS Gothic" w:hAnsi="Book Antiqua"/>
          <w:color w:val="000000" w:themeColor="text1"/>
          <w:sz w:val="24"/>
          <w:szCs w:val="24"/>
        </w:rPr>
        <w:t xml:space="preserve">A </w:t>
      </w:r>
      <w:r w:rsidR="00D76918" w:rsidRPr="0028500E">
        <w:rPr>
          <w:rFonts w:ascii="Book Antiqua" w:eastAsia="MS Gothic" w:hAnsi="Book Antiqua"/>
          <w:color w:val="000000" w:themeColor="text1"/>
          <w:sz w:val="24"/>
          <w:szCs w:val="24"/>
        </w:rPr>
        <w:t>GIST with metastasis is usually only treated by tyrosin</w:t>
      </w:r>
      <w:r w:rsidR="00992CA0" w:rsidRPr="0028500E">
        <w:rPr>
          <w:rFonts w:ascii="Book Antiqua" w:eastAsia="MS Gothic" w:hAnsi="Book Antiqua"/>
          <w:color w:val="000000" w:themeColor="text1"/>
          <w:sz w:val="24"/>
          <w:szCs w:val="24"/>
        </w:rPr>
        <w:t>e</w:t>
      </w:r>
      <w:r w:rsidR="00D76918" w:rsidRPr="0028500E">
        <w:rPr>
          <w:rFonts w:ascii="Book Antiqua" w:eastAsia="MS Gothic" w:hAnsi="Book Antiqua"/>
          <w:color w:val="000000" w:themeColor="text1"/>
          <w:sz w:val="24"/>
          <w:szCs w:val="24"/>
        </w:rPr>
        <w:t xml:space="preserve"> kinase inhibitors without radical cure</w:t>
      </w:r>
      <w:r w:rsidR="00992CA0" w:rsidRPr="0028500E">
        <w:rPr>
          <w:rFonts w:ascii="Book Antiqua" w:eastAsia="MS Gothic" w:hAnsi="Book Antiqua"/>
          <w:color w:val="000000" w:themeColor="text1"/>
          <w:sz w:val="24"/>
          <w:szCs w:val="24"/>
        </w:rPr>
        <w:t>; thus,</w:t>
      </w:r>
      <w:r w:rsidR="00D76918" w:rsidRPr="0028500E">
        <w:rPr>
          <w:rFonts w:ascii="Book Antiqua" w:eastAsia="MS Gothic" w:hAnsi="Book Antiqua"/>
          <w:color w:val="000000" w:themeColor="text1"/>
          <w:sz w:val="24"/>
          <w:szCs w:val="24"/>
        </w:rPr>
        <w:t xml:space="preserve"> early diagnosis is the only way to improve its prognosis. However, </w:t>
      </w:r>
      <w:r w:rsidR="00992CA0" w:rsidRPr="0028500E">
        <w:rPr>
          <w:rFonts w:ascii="Book Antiqua" w:eastAsia="MS Gothic" w:hAnsi="Book Antiqua"/>
          <w:color w:val="000000" w:themeColor="text1"/>
          <w:sz w:val="24"/>
          <w:szCs w:val="24"/>
        </w:rPr>
        <w:t xml:space="preserve">a </w:t>
      </w:r>
      <w:r w:rsidR="00D76918" w:rsidRPr="0028500E">
        <w:rPr>
          <w:rFonts w:ascii="Book Antiqua" w:eastAsia="MS Gothic" w:hAnsi="Book Antiqua"/>
          <w:color w:val="000000" w:themeColor="text1"/>
          <w:sz w:val="24"/>
          <w:szCs w:val="24"/>
        </w:rPr>
        <w:t>GIST is usually detected as a</w:t>
      </w:r>
      <w:r w:rsidR="00206800" w:rsidRPr="0028500E">
        <w:rPr>
          <w:rFonts w:ascii="Book Antiqua" w:eastAsia="MS Gothic" w:hAnsi="Book Antiqua"/>
          <w:color w:val="000000" w:themeColor="text1"/>
          <w:sz w:val="24"/>
          <w:szCs w:val="24"/>
        </w:rPr>
        <w:t xml:space="preserve"> SEL during </w:t>
      </w:r>
      <w:r w:rsidR="00214E99" w:rsidRPr="0028500E">
        <w:rPr>
          <w:rFonts w:ascii="Book Antiqua" w:eastAsia="MS Gothic" w:hAnsi="Book Antiqua"/>
          <w:color w:val="000000" w:themeColor="text1"/>
          <w:sz w:val="24"/>
          <w:szCs w:val="24"/>
        </w:rPr>
        <w:t>endoscopy</w:t>
      </w:r>
      <w:r w:rsidR="00D76918" w:rsidRPr="0028500E">
        <w:rPr>
          <w:rFonts w:ascii="Book Antiqua" w:eastAsia="MS Gothic" w:hAnsi="Book Antiqua"/>
          <w:color w:val="000000" w:themeColor="text1"/>
          <w:sz w:val="24"/>
          <w:szCs w:val="24"/>
        </w:rPr>
        <w:t xml:space="preserve">, </w:t>
      </w:r>
      <w:r w:rsidR="00992CA0" w:rsidRPr="0028500E">
        <w:rPr>
          <w:rFonts w:ascii="Book Antiqua" w:eastAsia="MS Gothic" w:hAnsi="Book Antiqua"/>
          <w:color w:val="000000" w:themeColor="text1"/>
          <w:sz w:val="24"/>
          <w:szCs w:val="24"/>
        </w:rPr>
        <w:t xml:space="preserve">and </w:t>
      </w:r>
      <w:r w:rsidR="00D76918" w:rsidRPr="0028500E">
        <w:rPr>
          <w:rFonts w:ascii="Book Antiqua" w:eastAsia="MS Gothic" w:hAnsi="Book Antiqua"/>
          <w:color w:val="000000" w:themeColor="text1"/>
          <w:sz w:val="24"/>
          <w:szCs w:val="24"/>
        </w:rPr>
        <w:t>many benign</w:t>
      </w:r>
      <w:r w:rsidR="00206800" w:rsidRPr="0028500E">
        <w:rPr>
          <w:rFonts w:ascii="Book Antiqua" w:eastAsia="MS Gothic" w:hAnsi="Book Antiqua"/>
          <w:color w:val="000000" w:themeColor="text1"/>
          <w:sz w:val="24"/>
          <w:szCs w:val="24"/>
        </w:rPr>
        <w:t xml:space="preserve"> and malignant</w:t>
      </w:r>
      <w:r w:rsidR="00D76918" w:rsidRPr="0028500E">
        <w:rPr>
          <w:rFonts w:ascii="Book Antiqua" w:eastAsia="MS Gothic" w:hAnsi="Book Antiqua"/>
          <w:color w:val="000000" w:themeColor="text1"/>
          <w:sz w:val="24"/>
          <w:szCs w:val="24"/>
        </w:rPr>
        <w:t xml:space="preserve"> conditions</w:t>
      </w:r>
      <w:r w:rsidR="00992CA0" w:rsidRPr="0028500E">
        <w:rPr>
          <w:rFonts w:ascii="Book Antiqua" w:eastAsia="MS Gothic" w:hAnsi="Book Antiqua"/>
          <w:color w:val="000000" w:themeColor="text1"/>
          <w:sz w:val="24"/>
          <w:szCs w:val="24"/>
        </w:rPr>
        <w:t xml:space="preserve"> may manifest as SELs</w:t>
      </w:r>
      <w:r w:rsidR="00D76918" w:rsidRPr="0028500E">
        <w:rPr>
          <w:rFonts w:ascii="Book Antiqua" w:eastAsia="MS Gothic" w:hAnsi="Book Antiqua"/>
          <w:color w:val="000000" w:themeColor="text1"/>
          <w:sz w:val="24"/>
          <w:szCs w:val="24"/>
        </w:rPr>
        <w:t>. Conventional endoscopic biopsy is difficult for tumor</w:t>
      </w:r>
      <w:r w:rsidR="00992CA0" w:rsidRPr="0028500E">
        <w:rPr>
          <w:rFonts w:ascii="Book Antiqua" w:eastAsia="MS Gothic" w:hAnsi="Book Antiqua"/>
          <w:color w:val="000000" w:themeColor="text1"/>
          <w:sz w:val="24"/>
          <w:szCs w:val="24"/>
        </w:rPr>
        <w:t>s</w:t>
      </w:r>
      <w:r w:rsidR="00D76918" w:rsidRPr="0028500E">
        <w:rPr>
          <w:rFonts w:ascii="Book Antiqua" w:eastAsia="MS Gothic" w:hAnsi="Book Antiqua"/>
          <w:color w:val="000000" w:themeColor="text1"/>
          <w:sz w:val="24"/>
          <w:szCs w:val="24"/>
        </w:rPr>
        <w:t xml:space="preserve"> without ulceration. </w:t>
      </w:r>
      <w:r w:rsidR="00992CA0" w:rsidRPr="0028500E">
        <w:rPr>
          <w:rFonts w:ascii="Book Antiqua" w:eastAsia="MS Gothic" w:hAnsi="Book Antiqua"/>
          <w:color w:val="000000" w:themeColor="text1"/>
          <w:sz w:val="24"/>
          <w:szCs w:val="24"/>
        </w:rPr>
        <w:t>M</w:t>
      </w:r>
      <w:r w:rsidR="00214E99" w:rsidRPr="0028500E">
        <w:rPr>
          <w:rFonts w:ascii="Book Antiqua" w:eastAsia="MS Gothic" w:hAnsi="Book Antiqua"/>
          <w:color w:val="000000" w:themeColor="text1"/>
          <w:sz w:val="24"/>
          <w:szCs w:val="24"/>
        </w:rPr>
        <w:t xml:space="preserve">ost SELs have </w:t>
      </w:r>
      <w:r w:rsidR="00992CA0" w:rsidRPr="0028500E">
        <w:rPr>
          <w:rFonts w:ascii="Book Antiqua" w:eastAsia="MS Gothic" w:hAnsi="Book Antiqua"/>
          <w:color w:val="000000" w:themeColor="text1"/>
          <w:sz w:val="24"/>
          <w:szCs w:val="24"/>
        </w:rPr>
        <w:t xml:space="preserve">therefore </w:t>
      </w:r>
      <w:r w:rsidR="00214E99" w:rsidRPr="0028500E">
        <w:rPr>
          <w:rFonts w:ascii="Book Antiqua" w:eastAsia="MS Gothic" w:hAnsi="Book Antiqua"/>
          <w:color w:val="000000" w:themeColor="text1"/>
          <w:sz w:val="24"/>
          <w:szCs w:val="24"/>
        </w:rPr>
        <w:t xml:space="preserve">been managed without </w:t>
      </w:r>
      <w:r w:rsidR="00195F02" w:rsidRPr="0028500E">
        <w:rPr>
          <w:rFonts w:ascii="Book Antiqua" w:eastAsia="MS Gothic" w:hAnsi="Book Antiqua"/>
          <w:color w:val="000000" w:themeColor="text1"/>
          <w:sz w:val="24"/>
          <w:szCs w:val="24"/>
        </w:rPr>
        <w:t xml:space="preserve">a </w:t>
      </w:r>
      <w:r w:rsidR="00214E99" w:rsidRPr="0028500E">
        <w:rPr>
          <w:rFonts w:ascii="Book Antiqua" w:eastAsia="MS Gothic" w:hAnsi="Book Antiqua"/>
          <w:color w:val="000000" w:themeColor="text1"/>
          <w:sz w:val="24"/>
          <w:szCs w:val="24"/>
        </w:rPr>
        <w:t xml:space="preserve">histological diagnosis. </w:t>
      </w:r>
      <w:r w:rsidR="00D76918" w:rsidRPr="0028500E">
        <w:rPr>
          <w:rFonts w:ascii="Book Antiqua" w:eastAsia="MS Gothic" w:hAnsi="Book Antiqua"/>
          <w:color w:val="000000" w:themeColor="text1"/>
          <w:sz w:val="24"/>
          <w:szCs w:val="24"/>
        </w:rPr>
        <w:t xml:space="preserve">However, </w:t>
      </w:r>
      <w:r w:rsidR="00195F02" w:rsidRPr="0028500E">
        <w:rPr>
          <w:rFonts w:ascii="Book Antiqua" w:eastAsia="MS Gothic" w:hAnsi="Book Antiqua"/>
          <w:color w:val="000000" w:themeColor="text1"/>
          <w:sz w:val="24"/>
          <w:szCs w:val="24"/>
        </w:rPr>
        <w:t xml:space="preserve">a </w:t>
      </w:r>
      <w:r w:rsidR="00D76918" w:rsidRPr="0028500E">
        <w:rPr>
          <w:rFonts w:ascii="Book Antiqua" w:eastAsia="MS Gothic" w:hAnsi="Book Antiqua"/>
          <w:color w:val="000000" w:themeColor="text1"/>
          <w:sz w:val="24"/>
          <w:szCs w:val="24"/>
        </w:rPr>
        <w:t xml:space="preserve">favorable prognosis of </w:t>
      </w:r>
      <w:r w:rsidR="00195F02" w:rsidRPr="0028500E">
        <w:rPr>
          <w:rFonts w:ascii="Book Antiqua" w:eastAsia="MS Gothic" w:hAnsi="Book Antiqua"/>
          <w:color w:val="000000" w:themeColor="text1"/>
          <w:sz w:val="24"/>
          <w:szCs w:val="24"/>
        </w:rPr>
        <w:t xml:space="preserve">a </w:t>
      </w:r>
      <w:r w:rsidR="00655F6F" w:rsidRPr="0028500E">
        <w:rPr>
          <w:rFonts w:ascii="Book Antiqua" w:eastAsia="MS Gothic" w:hAnsi="Book Antiqua"/>
          <w:color w:val="000000" w:themeColor="text1"/>
          <w:sz w:val="24"/>
          <w:szCs w:val="24"/>
        </w:rPr>
        <w:t>GIST</w:t>
      </w:r>
      <w:r w:rsidR="00D76918" w:rsidRPr="0028500E">
        <w:rPr>
          <w:rFonts w:ascii="Book Antiqua" w:eastAsia="MS Gothic" w:hAnsi="Book Antiqua"/>
          <w:color w:val="000000" w:themeColor="text1"/>
          <w:sz w:val="24"/>
          <w:szCs w:val="24"/>
        </w:rPr>
        <w:t xml:space="preserve"> is associated with early histological diagnosis and </w:t>
      </w:r>
      <w:r w:rsidR="00655F6F" w:rsidRPr="0028500E">
        <w:rPr>
          <w:rFonts w:ascii="Book Antiqua" w:eastAsia="MS Gothic" w:hAnsi="Book Antiqua"/>
          <w:color w:val="000000" w:themeColor="text1"/>
          <w:sz w:val="24"/>
          <w:szCs w:val="24"/>
        </w:rPr>
        <w:t xml:space="preserve">R0 </w:t>
      </w:r>
      <w:r w:rsidR="00D76918" w:rsidRPr="0028500E">
        <w:rPr>
          <w:rFonts w:ascii="Book Antiqua" w:eastAsia="MS Gothic" w:hAnsi="Book Antiqua"/>
          <w:color w:val="000000" w:themeColor="text1"/>
          <w:sz w:val="24"/>
          <w:szCs w:val="24"/>
        </w:rPr>
        <w:t xml:space="preserve">resection. </w:t>
      </w:r>
      <w:r w:rsidR="00214E99" w:rsidRPr="0028500E">
        <w:rPr>
          <w:rFonts w:ascii="Book Antiqua" w:eastAsia="MS Gothic" w:hAnsi="Book Antiqua"/>
          <w:color w:val="000000" w:themeColor="text1"/>
          <w:sz w:val="24"/>
          <w:szCs w:val="24"/>
        </w:rPr>
        <w:t>Endoscopic ultrasonography (EUS) and EUS</w:t>
      </w:r>
      <w:r w:rsidR="00195F02" w:rsidRPr="0028500E">
        <w:rPr>
          <w:rFonts w:ascii="Book Antiqua" w:eastAsia="MS Gothic" w:hAnsi="Book Antiqua"/>
          <w:color w:val="000000" w:themeColor="text1"/>
          <w:sz w:val="24"/>
          <w:szCs w:val="24"/>
        </w:rPr>
        <w:t>-</w:t>
      </w:r>
      <w:r w:rsidR="00214E99" w:rsidRPr="0028500E">
        <w:rPr>
          <w:rFonts w:ascii="Book Antiqua" w:eastAsia="MS Gothic" w:hAnsi="Book Antiqua"/>
          <w:color w:val="000000" w:themeColor="text1"/>
          <w:sz w:val="24"/>
          <w:szCs w:val="24"/>
        </w:rPr>
        <w:t xml:space="preserve">guided fine needle aspiration (EUS-FNA) are critical for an accurate diagnosis of SELs. </w:t>
      </w:r>
      <w:r w:rsidR="00D76918" w:rsidRPr="0028500E">
        <w:rPr>
          <w:rFonts w:ascii="Book Antiqua" w:eastAsia="MS Gothic" w:hAnsi="Book Antiqua"/>
          <w:color w:val="000000" w:themeColor="text1"/>
          <w:sz w:val="24"/>
          <w:szCs w:val="24"/>
        </w:rPr>
        <w:t xml:space="preserve">EUS-FNA is </w:t>
      </w:r>
      <w:r w:rsidR="00214E99" w:rsidRPr="0028500E">
        <w:rPr>
          <w:rFonts w:ascii="Book Antiqua" w:eastAsia="MS Gothic" w:hAnsi="Book Antiqua"/>
          <w:color w:val="000000" w:themeColor="text1"/>
          <w:sz w:val="24"/>
          <w:szCs w:val="24"/>
        </w:rPr>
        <w:t xml:space="preserve">safe and </w:t>
      </w:r>
      <w:r w:rsidR="00D76918" w:rsidRPr="0028500E">
        <w:rPr>
          <w:rFonts w:ascii="Book Antiqua" w:eastAsia="MS Gothic" w:hAnsi="Book Antiqua"/>
          <w:color w:val="000000" w:themeColor="text1"/>
          <w:sz w:val="24"/>
          <w:szCs w:val="24"/>
        </w:rPr>
        <w:t xml:space="preserve">effective in enabling </w:t>
      </w:r>
      <w:r w:rsidR="00195F02" w:rsidRPr="0028500E">
        <w:rPr>
          <w:rFonts w:ascii="Book Antiqua" w:eastAsia="MS Gothic" w:hAnsi="Book Antiqua"/>
          <w:color w:val="000000" w:themeColor="text1"/>
          <w:sz w:val="24"/>
          <w:szCs w:val="24"/>
        </w:rPr>
        <w:t>an</w:t>
      </w:r>
      <w:r w:rsidR="00D76918" w:rsidRPr="0028500E">
        <w:rPr>
          <w:rFonts w:ascii="Book Antiqua" w:eastAsia="MS Gothic" w:hAnsi="Book Antiqua"/>
          <w:color w:val="000000" w:themeColor="text1"/>
          <w:sz w:val="24"/>
          <w:szCs w:val="24"/>
        </w:rPr>
        <w:t xml:space="preserve"> early </w:t>
      </w:r>
      <w:r w:rsidR="00214E99" w:rsidRPr="0028500E">
        <w:rPr>
          <w:rFonts w:ascii="Book Antiqua" w:eastAsia="MS Gothic" w:hAnsi="Book Antiqua"/>
          <w:color w:val="000000" w:themeColor="text1"/>
          <w:sz w:val="24"/>
          <w:szCs w:val="24"/>
        </w:rPr>
        <w:t xml:space="preserve">histological </w:t>
      </w:r>
      <w:r w:rsidR="00D76918" w:rsidRPr="0028500E">
        <w:rPr>
          <w:rFonts w:ascii="Book Antiqua" w:eastAsia="MS Gothic" w:hAnsi="Book Antiqua"/>
          <w:color w:val="000000" w:themeColor="text1"/>
          <w:sz w:val="24"/>
          <w:szCs w:val="24"/>
        </w:rPr>
        <w:t xml:space="preserve">diagnosis and </w:t>
      </w:r>
      <w:r w:rsidR="00214E99" w:rsidRPr="0028500E">
        <w:rPr>
          <w:rFonts w:ascii="Book Antiqua" w:eastAsia="MS Gothic" w:hAnsi="Book Antiqua"/>
          <w:color w:val="000000" w:themeColor="text1"/>
          <w:sz w:val="24"/>
          <w:szCs w:val="24"/>
        </w:rPr>
        <w:t xml:space="preserve">adequate </w:t>
      </w:r>
      <w:r w:rsidR="00D76918" w:rsidRPr="0028500E">
        <w:rPr>
          <w:rFonts w:ascii="Book Antiqua" w:eastAsia="MS Gothic" w:hAnsi="Book Antiqua"/>
          <w:color w:val="000000" w:themeColor="text1"/>
          <w:sz w:val="24"/>
          <w:szCs w:val="24"/>
        </w:rPr>
        <w:t>treatment.</w:t>
      </w:r>
      <w:r w:rsidR="00BC35F9" w:rsidRPr="0028500E">
        <w:rPr>
          <w:rFonts w:ascii="Book Antiqua" w:eastAsia="MS Gothic" w:hAnsi="Book Antiqua"/>
          <w:color w:val="000000" w:themeColor="text1"/>
          <w:sz w:val="24"/>
          <w:szCs w:val="24"/>
        </w:rPr>
        <w:t xml:space="preserve"> This review outline</w:t>
      </w:r>
      <w:r w:rsidR="00655F6F" w:rsidRPr="0028500E">
        <w:rPr>
          <w:rFonts w:ascii="Book Antiqua" w:eastAsia="MS Gothic" w:hAnsi="Book Antiqua"/>
          <w:color w:val="000000" w:themeColor="text1"/>
          <w:sz w:val="24"/>
          <w:szCs w:val="24"/>
        </w:rPr>
        <w:t>s</w:t>
      </w:r>
      <w:r w:rsidR="00BC35F9" w:rsidRPr="0028500E">
        <w:rPr>
          <w:rFonts w:ascii="Book Antiqua" w:eastAsia="MS Gothic" w:hAnsi="Book Antiqua"/>
          <w:color w:val="000000" w:themeColor="text1"/>
          <w:sz w:val="24"/>
          <w:szCs w:val="24"/>
        </w:rPr>
        <w:t xml:space="preserve"> </w:t>
      </w:r>
      <w:r w:rsidR="00195F02" w:rsidRPr="0028500E">
        <w:rPr>
          <w:rFonts w:ascii="Book Antiqua" w:eastAsia="MS Gothic" w:hAnsi="Book Antiqua"/>
          <w:color w:val="000000" w:themeColor="text1"/>
          <w:sz w:val="24"/>
          <w:szCs w:val="24"/>
        </w:rPr>
        <w:t xml:space="preserve">the </w:t>
      </w:r>
      <w:r w:rsidR="00BC35F9" w:rsidRPr="0028500E">
        <w:rPr>
          <w:rFonts w:ascii="Book Antiqua" w:eastAsia="MS Gothic" w:hAnsi="Book Antiqua"/>
          <w:color w:val="000000" w:themeColor="text1"/>
          <w:sz w:val="24"/>
          <w:szCs w:val="24"/>
        </w:rPr>
        <w:t>current evidence for the diagnosis and management of GIST</w:t>
      </w:r>
      <w:r w:rsidR="00195F02" w:rsidRPr="0028500E">
        <w:rPr>
          <w:rFonts w:ascii="Book Antiqua" w:eastAsia="MS Gothic" w:hAnsi="Book Antiqua"/>
          <w:color w:val="000000" w:themeColor="text1"/>
          <w:sz w:val="24"/>
          <w:szCs w:val="24"/>
        </w:rPr>
        <w:t>s</w:t>
      </w:r>
      <w:r w:rsidR="00BC35F9" w:rsidRPr="0028500E">
        <w:rPr>
          <w:rFonts w:ascii="Book Antiqua" w:eastAsia="MS Gothic" w:hAnsi="Book Antiqua"/>
          <w:color w:val="000000" w:themeColor="text1"/>
          <w:sz w:val="24"/>
          <w:szCs w:val="24"/>
        </w:rPr>
        <w:t>, with an emphasis</w:t>
      </w:r>
      <w:r w:rsidR="001049FE" w:rsidRPr="0028500E">
        <w:rPr>
          <w:rFonts w:ascii="Book Antiqua" w:eastAsia="MS Gothic" w:hAnsi="Book Antiqua"/>
          <w:color w:val="000000" w:themeColor="text1"/>
          <w:sz w:val="24"/>
          <w:szCs w:val="24"/>
        </w:rPr>
        <w:t xml:space="preserve"> on </w:t>
      </w:r>
      <w:r w:rsidR="00655F6F" w:rsidRPr="0028500E">
        <w:rPr>
          <w:rFonts w:ascii="Book Antiqua" w:eastAsia="MS Gothic" w:hAnsi="Book Antiqua"/>
          <w:color w:val="000000" w:themeColor="text1"/>
          <w:sz w:val="24"/>
          <w:szCs w:val="24"/>
        </w:rPr>
        <w:t xml:space="preserve">early </w:t>
      </w:r>
      <w:r w:rsidR="00ED586A" w:rsidRPr="0028500E">
        <w:rPr>
          <w:rFonts w:ascii="Book Antiqua" w:eastAsia="MS Gothic" w:hAnsi="Book Antiqua"/>
          <w:color w:val="000000" w:themeColor="text1"/>
          <w:sz w:val="24"/>
          <w:szCs w:val="24"/>
        </w:rPr>
        <w:t xml:space="preserve">management of small SELs. </w:t>
      </w:r>
    </w:p>
    <w:p w14:paraId="039BA80C" w14:textId="77777777" w:rsidR="005112F8" w:rsidRPr="0028500E" w:rsidRDefault="005112F8" w:rsidP="001E53AA">
      <w:pPr>
        <w:snapToGrid w:val="0"/>
        <w:spacing w:line="360" w:lineRule="auto"/>
        <w:rPr>
          <w:rFonts w:ascii="Book Antiqua" w:eastAsia="MS Gothic" w:hAnsi="Book Antiqua"/>
          <w:b/>
          <w:color w:val="000000" w:themeColor="text1"/>
          <w:sz w:val="24"/>
          <w:szCs w:val="24"/>
        </w:rPr>
      </w:pPr>
    </w:p>
    <w:p w14:paraId="70720A9A" w14:textId="5A4EE616" w:rsidR="00894A00" w:rsidRPr="0028500E" w:rsidRDefault="005112F8" w:rsidP="001E53AA">
      <w:pPr>
        <w:snapToGrid w:val="0"/>
        <w:spacing w:line="360" w:lineRule="auto"/>
        <w:rPr>
          <w:rFonts w:ascii="Book Antiqua" w:eastAsia="SimSun" w:hAnsi="Book Antiqua"/>
          <w:color w:val="000000" w:themeColor="text1"/>
          <w:sz w:val="24"/>
          <w:szCs w:val="24"/>
          <w:lang w:eastAsia="zh-CN"/>
        </w:rPr>
      </w:pPr>
      <w:r w:rsidRPr="0028500E">
        <w:rPr>
          <w:rFonts w:ascii="Book Antiqua" w:eastAsia="MS Gothic" w:hAnsi="Book Antiqua"/>
          <w:b/>
          <w:color w:val="000000" w:themeColor="text1"/>
          <w:sz w:val="24"/>
          <w:szCs w:val="24"/>
        </w:rPr>
        <w:t xml:space="preserve">Key words: </w:t>
      </w:r>
      <w:r w:rsidRPr="0028500E">
        <w:rPr>
          <w:rFonts w:ascii="Book Antiqua" w:eastAsia="MS Gothic" w:hAnsi="Book Antiqua"/>
          <w:color w:val="000000" w:themeColor="text1"/>
          <w:sz w:val="24"/>
          <w:szCs w:val="24"/>
        </w:rPr>
        <w:t xml:space="preserve">Gastrointestinal stromal tumor; </w:t>
      </w:r>
      <w:r w:rsidR="002A2ACC" w:rsidRPr="0028500E">
        <w:rPr>
          <w:rFonts w:ascii="Book Antiqua" w:eastAsia="MS Gothic" w:hAnsi="Book Antiqua"/>
          <w:color w:val="000000" w:themeColor="text1"/>
          <w:sz w:val="24"/>
          <w:szCs w:val="24"/>
        </w:rPr>
        <w:t>Endoscopic ultrasonography-guided fine needle aspiration</w:t>
      </w:r>
      <w:r w:rsidRPr="0028500E">
        <w:rPr>
          <w:rFonts w:ascii="Book Antiqua" w:eastAsia="MS Gothic" w:hAnsi="Book Antiqua"/>
          <w:color w:val="000000" w:themeColor="text1"/>
          <w:sz w:val="24"/>
          <w:szCs w:val="24"/>
        </w:rPr>
        <w:t xml:space="preserve">; </w:t>
      </w:r>
      <w:r w:rsidR="002A2ACC" w:rsidRPr="0028500E">
        <w:rPr>
          <w:rFonts w:ascii="Book Antiqua" w:eastAsia="MS Gothic" w:hAnsi="Book Antiqua"/>
          <w:color w:val="000000" w:themeColor="text1"/>
          <w:sz w:val="24"/>
          <w:szCs w:val="24"/>
        </w:rPr>
        <w:t>Endoscopic ultrasonography</w:t>
      </w:r>
      <w:r w:rsidRPr="0028500E">
        <w:rPr>
          <w:rFonts w:ascii="Book Antiqua" w:eastAsia="MS Gothic" w:hAnsi="Book Antiqua"/>
          <w:color w:val="000000" w:themeColor="text1"/>
          <w:sz w:val="24"/>
          <w:szCs w:val="24"/>
        </w:rPr>
        <w:t xml:space="preserve">; </w:t>
      </w:r>
      <w:r w:rsidR="00B13E9A" w:rsidRPr="0028500E">
        <w:rPr>
          <w:rFonts w:ascii="Book Antiqua" w:eastAsia="MS Gothic" w:hAnsi="Book Antiqua"/>
          <w:color w:val="000000" w:themeColor="text1"/>
          <w:sz w:val="24"/>
          <w:szCs w:val="24"/>
        </w:rPr>
        <w:t>Diagnosis; Therapy</w:t>
      </w:r>
    </w:p>
    <w:p w14:paraId="149499D3" w14:textId="77777777" w:rsidR="002A2ACC" w:rsidRPr="0028500E" w:rsidRDefault="002A2ACC" w:rsidP="001E53AA">
      <w:pPr>
        <w:snapToGrid w:val="0"/>
        <w:spacing w:line="360" w:lineRule="auto"/>
        <w:rPr>
          <w:rFonts w:ascii="Book Antiqua" w:eastAsia="SimSun" w:hAnsi="Book Antiqua"/>
          <w:color w:val="000000" w:themeColor="text1"/>
          <w:sz w:val="24"/>
          <w:szCs w:val="24"/>
          <w:lang w:eastAsia="zh-CN"/>
        </w:rPr>
      </w:pPr>
    </w:p>
    <w:p w14:paraId="5B70E1D5" w14:textId="11C1B072" w:rsidR="002A2ACC" w:rsidRPr="0028500E" w:rsidRDefault="002A2ACC" w:rsidP="001E53AA">
      <w:pPr>
        <w:snapToGrid w:val="0"/>
        <w:spacing w:line="360" w:lineRule="auto"/>
        <w:rPr>
          <w:rFonts w:ascii="Book Antiqua" w:hAnsi="Book Antiqua"/>
          <w:color w:val="000000" w:themeColor="text1"/>
          <w:sz w:val="24"/>
          <w:szCs w:val="24"/>
        </w:rPr>
      </w:pPr>
      <w:bookmarkStart w:id="16" w:name="OLE_LINK13"/>
      <w:bookmarkStart w:id="17" w:name="OLE_LINK14"/>
      <w:r w:rsidRPr="0028500E">
        <w:rPr>
          <w:rFonts w:ascii="Book Antiqua" w:hAnsi="Book Antiqua"/>
          <w:color w:val="000000" w:themeColor="text1"/>
          <w:sz w:val="24"/>
          <w:szCs w:val="24"/>
        </w:rPr>
        <w:t xml:space="preserve">© </w:t>
      </w:r>
      <w:bookmarkStart w:id="18" w:name="OLE_LINK6"/>
      <w:bookmarkStart w:id="19" w:name="OLE_LINK7"/>
      <w:bookmarkStart w:id="20" w:name="OLE_LINK8"/>
      <w:r w:rsidRPr="0028500E">
        <w:rPr>
          <w:rFonts w:ascii="Book Antiqua" w:hAnsi="Book Antiqua"/>
          <w:b/>
          <w:color w:val="000000" w:themeColor="text1"/>
          <w:sz w:val="24"/>
          <w:szCs w:val="24"/>
        </w:rPr>
        <w:t xml:space="preserve">The Author(s) </w:t>
      </w:r>
      <w:r w:rsidRPr="0028500E">
        <w:rPr>
          <w:rFonts w:ascii="Book Antiqua" w:eastAsia="SimSun" w:hAnsi="Book Antiqua"/>
          <w:b/>
          <w:color w:val="000000" w:themeColor="text1"/>
          <w:sz w:val="24"/>
          <w:szCs w:val="24"/>
          <w:lang w:eastAsia="zh-CN"/>
        </w:rPr>
        <w:t>2018</w:t>
      </w:r>
      <w:r w:rsidRPr="0028500E">
        <w:rPr>
          <w:rFonts w:ascii="Book Antiqua" w:hAnsi="Book Antiqua"/>
          <w:color w:val="000000" w:themeColor="text1"/>
          <w:sz w:val="24"/>
          <w:szCs w:val="24"/>
        </w:rPr>
        <w:t>. Published by Baishideng Publishing Group Inc. All rights reserved.</w:t>
      </w:r>
    </w:p>
    <w:bookmarkEnd w:id="16"/>
    <w:bookmarkEnd w:id="17"/>
    <w:bookmarkEnd w:id="18"/>
    <w:bookmarkEnd w:id="19"/>
    <w:bookmarkEnd w:id="20"/>
    <w:p w14:paraId="3EEFD125" w14:textId="113746D2" w:rsidR="00894A00" w:rsidRPr="0028500E" w:rsidRDefault="00894A00" w:rsidP="001E53AA">
      <w:pPr>
        <w:snapToGrid w:val="0"/>
        <w:spacing w:line="360" w:lineRule="auto"/>
        <w:rPr>
          <w:rFonts w:ascii="Book Antiqua" w:eastAsia="MS Gothic" w:hAnsi="Book Antiqua"/>
          <w:b/>
          <w:color w:val="000000" w:themeColor="text1"/>
          <w:sz w:val="24"/>
          <w:szCs w:val="24"/>
        </w:rPr>
      </w:pPr>
    </w:p>
    <w:p w14:paraId="10A4999E" w14:textId="5A083484" w:rsidR="00894A00" w:rsidRPr="0028500E" w:rsidRDefault="00894A00" w:rsidP="001E53AA">
      <w:pPr>
        <w:snapToGrid w:val="0"/>
        <w:spacing w:line="360" w:lineRule="auto"/>
        <w:rPr>
          <w:rFonts w:ascii="Book Antiqua" w:eastAsia="MS Gothic" w:hAnsi="Book Antiqua"/>
          <w:color w:val="000000" w:themeColor="text1"/>
          <w:sz w:val="24"/>
          <w:szCs w:val="24"/>
        </w:rPr>
      </w:pPr>
      <w:bookmarkStart w:id="21" w:name="_Hlk508905570"/>
      <w:r w:rsidRPr="0028500E">
        <w:rPr>
          <w:rFonts w:ascii="Book Antiqua" w:eastAsia="MS Gothic" w:hAnsi="Book Antiqua"/>
          <w:b/>
          <w:color w:val="000000" w:themeColor="text1"/>
          <w:sz w:val="24"/>
          <w:szCs w:val="24"/>
        </w:rPr>
        <w:lastRenderedPageBreak/>
        <w:t>Core tip:</w:t>
      </w:r>
      <w:r w:rsidR="00C41770" w:rsidRPr="0028500E">
        <w:rPr>
          <w:rFonts w:ascii="Book Antiqua" w:eastAsia="MS Gothic" w:hAnsi="Book Antiqua"/>
          <w:b/>
          <w:color w:val="000000" w:themeColor="text1"/>
          <w:sz w:val="24"/>
          <w:szCs w:val="24"/>
        </w:rPr>
        <w:t xml:space="preserve"> </w:t>
      </w:r>
      <w:bookmarkEnd w:id="21"/>
      <w:r w:rsidR="00165FDC" w:rsidRPr="0028500E">
        <w:rPr>
          <w:rFonts w:ascii="Book Antiqua" w:eastAsia="MS Gothic" w:hAnsi="Book Antiqua"/>
          <w:color w:val="000000" w:themeColor="text1"/>
          <w:sz w:val="24"/>
          <w:szCs w:val="24"/>
        </w:rPr>
        <w:t xml:space="preserve">Potentially malignant </w:t>
      </w:r>
      <w:r w:rsidR="00B543E2" w:rsidRPr="0028500E">
        <w:rPr>
          <w:rFonts w:ascii="Book Antiqua" w:eastAsia="MS Gothic" w:hAnsi="Book Antiqua"/>
          <w:color w:val="000000" w:themeColor="text1"/>
          <w:sz w:val="24"/>
          <w:szCs w:val="24"/>
        </w:rPr>
        <w:t>gastrointestinal stromal tumors (GISTs)</w:t>
      </w:r>
      <w:r w:rsidR="00B543E2" w:rsidRPr="0028500E">
        <w:rPr>
          <w:rFonts w:ascii="Book Antiqua" w:eastAsia="SimSun" w:hAnsi="Book Antiqua"/>
          <w:color w:val="000000" w:themeColor="text1"/>
          <w:sz w:val="24"/>
          <w:szCs w:val="24"/>
          <w:lang w:eastAsia="zh-CN"/>
        </w:rPr>
        <w:t xml:space="preserve"> </w:t>
      </w:r>
      <w:r w:rsidR="00165FDC" w:rsidRPr="0028500E">
        <w:rPr>
          <w:rFonts w:ascii="Book Antiqua" w:eastAsia="MS Gothic" w:hAnsi="Book Antiqua"/>
          <w:color w:val="000000" w:themeColor="text1"/>
          <w:sz w:val="24"/>
          <w:szCs w:val="24"/>
        </w:rPr>
        <w:t xml:space="preserve">are the most common </w:t>
      </w:r>
      <w:r w:rsidR="00B543E2" w:rsidRPr="0028500E">
        <w:rPr>
          <w:rFonts w:ascii="Book Antiqua" w:eastAsia="MS Gothic" w:hAnsi="Book Antiqua"/>
          <w:color w:val="000000" w:themeColor="text1"/>
          <w:sz w:val="24"/>
          <w:szCs w:val="24"/>
        </w:rPr>
        <w:t>subepithelial lesions (SELs)</w:t>
      </w:r>
      <w:r w:rsidR="00B543E2" w:rsidRPr="0028500E">
        <w:rPr>
          <w:rFonts w:ascii="Book Antiqua" w:eastAsia="SimSun" w:hAnsi="Book Antiqua"/>
          <w:color w:val="000000" w:themeColor="text1"/>
          <w:sz w:val="24"/>
          <w:szCs w:val="24"/>
          <w:lang w:eastAsia="zh-CN"/>
        </w:rPr>
        <w:t xml:space="preserve"> </w:t>
      </w:r>
      <w:r w:rsidR="00165FDC" w:rsidRPr="0028500E">
        <w:rPr>
          <w:rFonts w:ascii="Book Antiqua" w:eastAsia="MS Gothic" w:hAnsi="Book Antiqua"/>
          <w:color w:val="000000" w:themeColor="text1"/>
          <w:sz w:val="24"/>
          <w:szCs w:val="24"/>
        </w:rPr>
        <w:t xml:space="preserve">of the gastrointestinal tract. SELs include a broader range of differential diagnoses from benign to malignant lesions. The possibility of having a malignant lesion may cause anxiety and discomfort in patients and gastroenterologists. Early and accurate diagnosis of SELs using </w:t>
      </w:r>
      <w:r w:rsidR="00B543E2" w:rsidRPr="0028500E">
        <w:rPr>
          <w:rFonts w:ascii="Book Antiqua" w:eastAsia="MS Gothic" w:hAnsi="Book Antiqua"/>
          <w:color w:val="000000" w:themeColor="text1"/>
          <w:sz w:val="24"/>
          <w:szCs w:val="24"/>
        </w:rPr>
        <w:t xml:space="preserve">endoscopic ultrasonography (EUS) and/or EUS-guided fine needle aspiration </w:t>
      </w:r>
      <w:r w:rsidR="00165FDC" w:rsidRPr="0028500E">
        <w:rPr>
          <w:rFonts w:ascii="Book Antiqua" w:eastAsia="MS Gothic" w:hAnsi="Book Antiqua"/>
          <w:color w:val="000000" w:themeColor="text1"/>
          <w:sz w:val="24"/>
          <w:szCs w:val="24"/>
        </w:rPr>
        <w:t>is vital to guide selection of early appropriate management.</w:t>
      </w:r>
    </w:p>
    <w:p w14:paraId="50BB0BEB" w14:textId="32C50BB7" w:rsidR="00CE27F6" w:rsidRPr="0028500E" w:rsidRDefault="00CE27F6" w:rsidP="001E53AA">
      <w:pPr>
        <w:snapToGrid w:val="0"/>
        <w:spacing w:line="360" w:lineRule="auto"/>
        <w:rPr>
          <w:rFonts w:ascii="Book Antiqua" w:eastAsia="MS Gothic" w:hAnsi="Book Antiqua"/>
          <w:b/>
          <w:color w:val="000000" w:themeColor="text1"/>
          <w:sz w:val="24"/>
          <w:szCs w:val="24"/>
        </w:rPr>
      </w:pPr>
    </w:p>
    <w:p w14:paraId="7D6EAFE9" w14:textId="4AAA84BD" w:rsidR="00CE27F6" w:rsidRPr="0028500E" w:rsidRDefault="00B543E2" w:rsidP="001E53AA">
      <w:pPr>
        <w:pStyle w:val="BodyText"/>
        <w:snapToGrid w:val="0"/>
        <w:spacing w:line="360" w:lineRule="auto"/>
        <w:rPr>
          <w:rFonts w:ascii="Book Antiqua" w:eastAsia="SimSun" w:hAnsi="Book Antiqua"/>
          <w:b w:val="0"/>
          <w:color w:val="000000" w:themeColor="text1"/>
          <w:szCs w:val="24"/>
          <w:lang w:eastAsia="zh-CN"/>
        </w:rPr>
      </w:pPr>
      <w:r w:rsidRPr="0028500E">
        <w:rPr>
          <w:rFonts w:ascii="Book Antiqua" w:eastAsia="MS Gothic" w:hAnsi="Book Antiqua"/>
          <w:b w:val="0"/>
          <w:color w:val="000000" w:themeColor="text1"/>
          <w:szCs w:val="24"/>
        </w:rPr>
        <w:t>Akahoshi</w:t>
      </w:r>
      <w:r w:rsidRPr="0028500E">
        <w:rPr>
          <w:rFonts w:ascii="Book Antiqua" w:eastAsia="SimSun" w:hAnsi="Book Antiqua"/>
          <w:b w:val="0"/>
          <w:color w:val="000000" w:themeColor="text1"/>
          <w:szCs w:val="24"/>
          <w:lang w:eastAsia="zh-CN"/>
        </w:rPr>
        <w:t xml:space="preserve"> K</w:t>
      </w:r>
      <w:r w:rsidRPr="0028500E">
        <w:rPr>
          <w:rFonts w:ascii="Book Antiqua" w:eastAsia="MS Gothic" w:hAnsi="Book Antiqua"/>
          <w:b w:val="0"/>
          <w:color w:val="000000" w:themeColor="text1"/>
          <w:szCs w:val="24"/>
        </w:rPr>
        <w:t>, Oya</w:t>
      </w:r>
      <w:r w:rsidRPr="0028500E">
        <w:rPr>
          <w:rFonts w:ascii="Book Antiqua" w:eastAsia="SimSun" w:hAnsi="Book Antiqua"/>
          <w:b w:val="0"/>
          <w:color w:val="000000" w:themeColor="text1"/>
          <w:szCs w:val="24"/>
          <w:lang w:eastAsia="zh-CN"/>
        </w:rPr>
        <w:t xml:space="preserve"> M</w:t>
      </w:r>
      <w:r w:rsidRPr="0028500E">
        <w:rPr>
          <w:rFonts w:ascii="Book Antiqua" w:eastAsia="MS Gothic" w:hAnsi="Book Antiqua"/>
          <w:b w:val="0"/>
          <w:color w:val="000000" w:themeColor="text1"/>
          <w:szCs w:val="24"/>
        </w:rPr>
        <w:t>, Koga</w:t>
      </w:r>
      <w:r w:rsidRPr="0028500E">
        <w:rPr>
          <w:rFonts w:ascii="Book Antiqua" w:eastAsia="SimSun" w:hAnsi="Book Antiqua"/>
          <w:b w:val="0"/>
          <w:color w:val="000000" w:themeColor="text1"/>
          <w:szCs w:val="24"/>
          <w:lang w:eastAsia="zh-CN"/>
        </w:rPr>
        <w:t xml:space="preserve"> T</w:t>
      </w:r>
      <w:r w:rsidRPr="0028500E">
        <w:rPr>
          <w:rFonts w:ascii="Book Antiqua" w:eastAsia="MS Gothic" w:hAnsi="Book Antiqua"/>
          <w:b w:val="0"/>
          <w:color w:val="000000" w:themeColor="text1"/>
          <w:szCs w:val="24"/>
        </w:rPr>
        <w:t>, Shiratsuchi</w:t>
      </w:r>
      <w:r w:rsidRPr="0028500E">
        <w:rPr>
          <w:rFonts w:ascii="Book Antiqua" w:eastAsia="SimSun" w:hAnsi="Book Antiqua"/>
          <w:b w:val="0"/>
          <w:color w:val="000000" w:themeColor="text1"/>
          <w:szCs w:val="24"/>
          <w:lang w:eastAsia="zh-CN"/>
        </w:rPr>
        <w:t xml:space="preserve"> Y. </w:t>
      </w:r>
      <w:r w:rsidRPr="0028500E">
        <w:rPr>
          <w:rFonts w:ascii="Book Antiqua" w:eastAsia="MS Gothic" w:hAnsi="Book Antiqua"/>
          <w:b w:val="0"/>
          <w:color w:val="000000" w:themeColor="text1"/>
          <w:szCs w:val="24"/>
        </w:rPr>
        <w:t>Current clinical management of gastrointestinal stromal tumor</w:t>
      </w:r>
      <w:r w:rsidRPr="0028500E">
        <w:rPr>
          <w:rFonts w:ascii="Book Antiqua" w:eastAsia="SimSun" w:hAnsi="Book Antiqua"/>
          <w:b w:val="0"/>
          <w:color w:val="000000" w:themeColor="text1"/>
          <w:szCs w:val="24"/>
          <w:lang w:eastAsia="zh-CN"/>
        </w:rPr>
        <w:t>.</w:t>
      </w:r>
      <w:bookmarkStart w:id="22" w:name="OLE_LINK1105"/>
      <w:bookmarkStart w:id="23" w:name="OLE_LINK1107"/>
      <w:r w:rsidRPr="0028500E">
        <w:rPr>
          <w:rFonts w:ascii="Book Antiqua" w:eastAsia="SimSun" w:hAnsi="Book Antiqua"/>
          <w:b w:val="0"/>
          <w:color w:val="000000" w:themeColor="text1"/>
          <w:szCs w:val="24"/>
          <w:lang w:eastAsia="zh-CN"/>
        </w:rPr>
        <w:t xml:space="preserve"> </w:t>
      </w:r>
      <w:r w:rsidR="00E2092E" w:rsidRPr="0028500E">
        <w:rPr>
          <w:rFonts w:ascii="Book Antiqua" w:hAnsi="Book Antiqua"/>
          <w:b w:val="0"/>
          <w:i/>
          <w:color w:val="000000" w:themeColor="text1"/>
          <w:szCs w:val="24"/>
        </w:rPr>
        <w:t xml:space="preserve">World J Gastroenterol </w:t>
      </w:r>
      <w:r w:rsidR="00E2092E" w:rsidRPr="0028500E">
        <w:rPr>
          <w:rFonts w:ascii="Book Antiqua" w:hAnsi="Book Antiqua"/>
          <w:b w:val="0"/>
          <w:color w:val="000000" w:themeColor="text1"/>
          <w:szCs w:val="24"/>
        </w:rPr>
        <w:t>2018; In press</w:t>
      </w:r>
      <w:bookmarkEnd w:id="22"/>
      <w:bookmarkEnd w:id="23"/>
    </w:p>
    <w:p w14:paraId="7F022EDE" w14:textId="77777777" w:rsidR="00B543E2" w:rsidRPr="0028500E" w:rsidRDefault="0072041E" w:rsidP="001E53AA">
      <w:pPr>
        <w:snapToGrid w:val="0"/>
        <w:spacing w:line="360" w:lineRule="auto"/>
        <w:rPr>
          <w:rFonts w:ascii="Book Antiqua" w:eastAsia="SimSun" w:hAnsi="Book Antiqua"/>
          <w:b/>
          <w:caps/>
          <w:color w:val="000000" w:themeColor="text1"/>
          <w:sz w:val="24"/>
          <w:szCs w:val="24"/>
          <w:lang w:eastAsia="zh-CN"/>
        </w:rPr>
      </w:pPr>
      <w:r w:rsidRPr="0028500E">
        <w:rPr>
          <w:rFonts w:ascii="Book Antiqua" w:eastAsia="MS Gothic" w:hAnsi="Book Antiqua"/>
          <w:b/>
          <w:color w:val="000000" w:themeColor="text1"/>
          <w:sz w:val="24"/>
          <w:szCs w:val="24"/>
        </w:rPr>
        <w:br w:type="page"/>
      </w:r>
      <w:r w:rsidR="00545D48" w:rsidRPr="0028500E">
        <w:rPr>
          <w:rFonts w:ascii="Book Antiqua" w:eastAsia="MS Gothic" w:hAnsi="Book Antiqua"/>
          <w:b/>
          <w:caps/>
          <w:color w:val="000000" w:themeColor="text1"/>
          <w:sz w:val="24"/>
          <w:szCs w:val="24"/>
        </w:rPr>
        <w:lastRenderedPageBreak/>
        <w:t>Introduction</w:t>
      </w:r>
    </w:p>
    <w:p w14:paraId="3A7DA4B2" w14:textId="7C403400" w:rsidR="00B00BA2" w:rsidRPr="0028500E" w:rsidRDefault="00B00BA2" w:rsidP="001E53AA">
      <w:pPr>
        <w:snapToGrid w:val="0"/>
        <w:spacing w:line="360" w:lineRule="auto"/>
        <w:rPr>
          <w:rFonts w:ascii="Book Antiqua" w:eastAsia="MS Gothic" w:hAnsi="Book Antiqua"/>
          <w:b/>
          <w:caps/>
          <w:color w:val="000000" w:themeColor="text1"/>
          <w:sz w:val="24"/>
          <w:szCs w:val="24"/>
        </w:rPr>
      </w:pPr>
      <w:r w:rsidRPr="0028500E">
        <w:rPr>
          <w:rFonts w:ascii="Book Antiqua" w:eastAsia="MS Gothic" w:hAnsi="Book Antiqua"/>
          <w:color w:val="000000" w:themeColor="text1"/>
          <w:sz w:val="24"/>
          <w:szCs w:val="24"/>
        </w:rPr>
        <w:t>Gastrointestinal stromal tumors (GISTs) are the most common malignant subepithelial lesions (SELs) of the gastrointestinal tract in the daily clinical setting</w:t>
      </w:r>
      <w:r w:rsidRPr="0028500E">
        <w:rPr>
          <w:rFonts w:ascii="Book Antiqua" w:eastAsia="MS Gothic" w:hAnsi="Book Antiqua"/>
          <w:color w:val="000000" w:themeColor="text1"/>
          <w:sz w:val="24"/>
          <w:szCs w:val="24"/>
          <w:vertAlign w:val="superscript"/>
        </w:rPr>
        <w:t>[1,2]</w:t>
      </w:r>
      <w:r w:rsidRPr="0028500E">
        <w:rPr>
          <w:rFonts w:ascii="Book Antiqua" w:eastAsia="MS Gothic" w:hAnsi="Book Antiqua"/>
          <w:color w:val="000000" w:themeColor="text1"/>
          <w:sz w:val="24"/>
          <w:szCs w:val="24"/>
        </w:rPr>
        <w:t>. GISTs are thought to originate from the interstitial cells of Cajal, which are the pacemaker cells of gastrointestinal movement</w:t>
      </w:r>
      <w:r w:rsidRPr="0028500E">
        <w:rPr>
          <w:rFonts w:ascii="Book Antiqua" w:eastAsia="MS Gothic" w:hAnsi="Book Antiqua"/>
          <w:color w:val="000000" w:themeColor="text1"/>
          <w:sz w:val="24"/>
          <w:szCs w:val="24"/>
          <w:vertAlign w:val="superscript"/>
        </w:rPr>
        <w:t>[3]</w:t>
      </w:r>
      <w:r w:rsidRPr="0028500E">
        <w:rPr>
          <w:rFonts w:ascii="Book Antiqua" w:eastAsia="MS Gothic" w:hAnsi="Book Antiqua"/>
          <w:color w:val="000000" w:themeColor="text1"/>
          <w:sz w:val="24"/>
          <w:szCs w:val="24"/>
        </w:rPr>
        <w:t>. GISTs are largely caused by oncogenic mutations in the tyrosine kinase receptor KIT</w:t>
      </w:r>
      <w:r w:rsidRPr="0028500E">
        <w:rPr>
          <w:rFonts w:ascii="Book Antiqua" w:eastAsia="MS Gothic" w:hAnsi="Book Antiqua"/>
          <w:color w:val="000000" w:themeColor="text1"/>
          <w:sz w:val="24"/>
          <w:szCs w:val="24"/>
          <w:vertAlign w:val="superscript"/>
        </w:rPr>
        <w:t>[4]</w:t>
      </w:r>
      <w:r w:rsidRPr="0028500E">
        <w:rPr>
          <w:rFonts w:ascii="Book Antiqua" w:eastAsia="MS Gothic" w:hAnsi="Book Antiqua"/>
          <w:color w:val="000000" w:themeColor="text1"/>
          <w:sz w:val="24"/>
          <w:szCs w:val="24"/>
        </w:rPr>
        <w:t xml:space="preserve"> and/or platelet-derived growth factor receptor-α</w:t>
      </w:r>
      <w:r w:rsidRPr="0028500E" w:rsidDel="00F618D5">
        <w:rPr>
          <w:rFonts w:ascii="Book Antiqua" w:eastAsia="MS Gothic" w:hAnsi="Book Antiqua"/>
          <w:color w:val="000000" w:themeColor="text1"/>
          <w:sz w:val="24"/>
          <w:szCs w:val="24"/>
        </w:rPr>
        <w:t xml:space="preserve"> </w:t>
      </w:r>
      <w:r w:rsidRPr="0028500E">
        <w:rPr>
          <w:rFonts w:ascii="Book Antiqua" w:eastAsia="MS Gothic" w:hAnsi="Book Antiqua"/>
          <w:color w:val="000000" w:themeColor="text1"/>
          <w:sz w:val="24"/>
          <w:szCs w:val="24"/>
        </w:rPr>
        <w:t>(PDGFR-α)</w:t>
      </w:r>
      <w:r w:rsidRPr="0028500E">
        <w:rPr>
          <w:rFonts w:ascii="Book Antiqua" w:eastAsia="MS Gothic" w:hAnsi="Book Antiqua"/>
          <w:color w:val="000000" w:themeColor="text1"/>
          <w:sz w:val="24"/>
          <w:szCs w:val="24"/>
          <w:vertAlign w:val="superscript"/>
        </w:rPr>
        <w:t>[5]</w:t>
      </w:r>
      <w:r w:rsidRPr="0028500E">
        <w:rPr>
          <w:rFonts w:ascii="Book Antiqua" w:eastAsia="MS Gothic" w:hAnsi="Book Antiqua"/>
          <w:color w:val="000000" w:themeColor="text1"/>
          <w:sz w:val="24"/>
          <w:szCs w:val="24"/>
        </w:rPr>
        <w:t>. Approximately 10% to 30% of GISTs have a malignant clinical course</w:t>
      </w:r>
      <w:r w:rsidRPr="0028500E">
        <w:rPr>
          <w:rFonts w:ascii="Book Antiqua" w:eastAsia="MS Gothic" w:hAnsi="Book Antiqua"/>
          <w:color w:val="000000" w:themeColor="text1"/>
          <w:sz w:val="24"/>
          <w:szCs w:val="24"/>
          <w:vertAlign w:val="superscript"/>
        </w:rPr>
        <w:t>[1,6,7]</w:t>
      </w:r>
      <w:r w:rsidRPr="0028500E">
        <w:rPr>
          <w:rFonts w:ascii="Book Antiqua" w:eastAsia="MS Gothic" w:hAnsi="Book Antiqua"/>
          <w:color w:val="000000" w:themeColor="text1"/>
          <w:sz w:val="24"/>
          <w:szCs w:val="24"/>
        </w:rPr>
        <w:t>. Additionally, i</w:t>
      </w:r>
      <w:r w:rsidR="00283956" w:rsidRPr="0028500E">
        <w:rPr>
          <w:rFonts w:ascii="Book Antiqua" w:eastAsia="MS Gothic" w:hAnsi="Book Antiqua"/>
          <w:color w:val="000000" w:themeColor="text1"/>
          <w:sz w:val="24"/>
          <w:szCs w:val="24"/>
        </w:rPr>
        <w:t>t</w:t>
      </w:r>
      <w:r w:rsidRPr="0028500E">
        <w:rPr>
          <w:rFonts w:ascii="Book Antiqua" w:eastAsia="MS Gothic" w:hAnsi="Book Antiqua"/>
          <w:color w:val="000000" w:themeColor="text1"/>
          <w:sz w:val="24"/>
          <w:szCs w:val="24"/>
        </w:rPr>
        <w:t xml:space="preserve"> has been reported that not only large GISTs with a high mitotic index frequently exhibit a malignant clinical course, but also small GISTs with a low mitotic index rarely show a malignant course with metastasis. Thus, a GIST is considered to be a potentially malignant tumor. GISTs are not classified as either benign or malignant but are rather stratified by their clinical risk of malignancy: very low, low, intermediate, or high</w:t>
      </w:r>
      <w:r w:rsidRPr="0028500E">
        <w:rPr>
          <w:rFonts w:ascii="Book Antiqua" w:eastAsia="MS Gothic" w:hAnsi="Book Antiqua"/>
          <w:color w:val="000000" w:themeColor="text1"/>
          <w:sz w:val="24"/>
          <w:szCs w:val="24"/>
          <w:vertAlign w:val="superscript"/>
        </w:rPr>
        <w:t>[7]</w:t>
      </w:r>
      <w:r w:rsidRPr="0028500E">
        <w:rPr>
          <w:rFonts w:ascii="Book Antiqua" w:eastAsia="MS Gothic" w:hAnsi="Book Antiqua"/>
          <w:color w:val="000000" w:themeColor="text1"/>
          <w:sz w:val="24"/>
          <w:szCs w:val="24"/>
        </w:rPr>
        <w:t>. Mietinenn reported that the metastatic risk of GISTs increases according to the tumor size irrespective of the mitotic count</w:t>
      </w:r>
      <w:r w:rsidRPr="0028500E">
        <w:rPr>
          <w:rFonts w:ascii="Book Antiqua" w:eastAsia="MS Gothic" w:hAnsi="Book Antiqua"/>
          <w:color w:val="000000" w:themeColor="text1"/>
          <w:sz w:val="24"/>
          <w:szCs w:val="24"/>
          <w:vertAlign w:val="superscript"/>
        </w:rPr>
        <w:t>[6]</w:t>
      </w:r>
      <w:r w:rsidRPr="0028500E">
        <w:rPr>
          <w:rFonts w:ascii="Book Antiqua" w:eastAsia="MS Gothic" w:hAnsi="Book Antiqua"/>
          <w:color w:val="000000" w:themeColor="text1"/>
          <w:sz w:val="24"/>
          <w:szCs w:val="24"/>
        </w:rPr>
        <w:t xml:space="preserve"> (Figure 1). Surgical resection is the primary approach to management of localized GISTs</w:t>
      </w:r>
      <w:r w:rsidRPr="0028500E">
        <w:rPr>
          <w:rFonts w:ascii="Book Antiqua" w:eastAsia="MS Gothic" w:hAnsi="Book Antiqua"/>
          <w:color w:val="000000" w:themeColor="text1"/>
          <w:sz w:val="24"/>
          <w:szCs w:val="24"/>
          <w:vertAlign w:val="superscript"/>
        </w:rPr>
        <w:t>[8]</w:t>
      </w:r>
      <w:r w:rsidRPr="0028500E">
        <w:rPr>
          <w:rFonts w:ascii="Book Antiqua" w:eastAsia="MS Gothic" w:hAnsi="Book Antiqua"/>
          <w:color w:val="000000" w:themeColor="text1"/>
          <w:sz w:val="24"/>
          <w:szCs w:val="24"/>
        </w:rPr>
        <w:t>. Despite complete resection, postoperative recurrence occurs in at least half of all patients with GISTs</w:t>
      </w:r>
      <w:r w:rsidRPr="0028500E">
        <w:rPr>
          <w:rFonts w:ascii="Book Antiqua" w:eastAsia="MS Gothic" w:hAnsi="Book Antiqua"/>
          <w:color w:val="000000" w:themeColor="text1"/>
          <w:sz w:val="24"/>
          <w:szCs w:val="24"/>
          <w:vertAlign w:val="superscript"/>
        </w:rPr>
        <w:t>[2,9]</w:t>
      </w:r>
      <w:r w:rsidRPr="0028500E">
        <w:rPr>
          <w:rFonts w:ascii="Book Antiqua" w:eastAsia="MS Gothic" w:hAnsi="Book Antiqua"/>
          <w:color w:val="000000" w:themeColor="text1"/>
          <w:sz w:val="24"/>
          <w:szCs w:val="24"/>
        </w:rPr>
        <w:t>. Although tyrosine kinase inhibitors have been shown to provide sustained disease management in patients with metastasis</w:t>
      </w:r>
      <w:r w:rsidRPr="0028500E">
        <w:rPr>
          <w:rFonts w:ascii="Book Antiqua" w:eastAsia="MS Gothic" w:hAnsi="Book Antiqua"/>
          <w:color w:val="000000" w:themeColor="text1"/>
          <w:sz w:val="24"/>
          <w:szCs w:val="24"/>
          <w:vertAlign w:val="superscript"/>
        </w:rPr>
        <w:t>[10-16]</w:t>
      </w:r>
      <w:r w:rsidRPr="0028500E">
        <w:rPr>
          <w:rFonts w:ascii="Book Antiqua" w:eastAsia="MS Gothic" w:hAnsi="Book Antiqua"/>
          <w:color w:val="000000" w:themeColor="text1"/>
          <w:sz w:val="24"/>
          <w:szCs w:val="24"/>
        </w:rPr>
        <w:t>, surgical R0 resection of small GISTs without metastasis is the only promising treatment for a permanent cure</w:t>
      </w:r>
      <w:r w:rsidRPr="0028500E">
        <w:rPr>
          <w:rFonts w:ascii="Book Antiqua" w:eastAsia="MS Gothic" w:hAnsi="Book Antiqua"/>
          <w:color w:val="000000" w:themeColor="text1"/>
          <w:sz w:val="24"/>
          <w:szCs w:val="24"/>
          <w:vertAlign w:val="superscript"/>
        </w:rPr>
        <w:t>[8,17]</w:t>
      </w:r>
      <w:r w:rsidRPr="0028500E">
        <w:rPr>
          <w:rFonts w:ascii="Book Antiqua" w:eastAsia="MS Gothic" w:hAnsi="Book Antiqua"/>
          <w:color w:val="000000" w:themeColor="text1"/>
          <w:sz w:val="24"/>
          <w:szCs w:val="24"/>
        </w:rPr>
        <w:t>. The best treatment strategy for GISTs is early diagnosis and early resection. However, GISTs are frequently detected as SELs during endoscopy</w:t>
      </w:r>
      <w:r w:rsidRPr="0028500E">
        <w:rPr>
          <w:rFonts w:ascii="Book Antiqua" w:eastAsia="MS Gothic" w:hAnsi="Book Antiqua"/>
          <w:color w:val="000000" w:themeColor="text1"/>
          <w:sz w:val="24"/>
          <w:szCs w:val="24"/>
          <w:vertAlign w:val="superscript"/>
        </w:rPr>
        <w:t>[8,18-20]</w:t>
      </w:r>
      <w:r w:rsidRPr="0028500E">
        <w:rPr>
          <w:rFonts w:ascii="Book Antiqua" w:eastAsia="MS Gothic" w:hAnsi="Book Antiqua"/>
          <w:color w:val="000000" w:themeColor="text1"/>
          <w:sz w:val="24"/>
          <w:szCs w:val="24"/>
        </w:rPr>
        <w:t>. The differential diagnoses of SELs are quite broad and can include extra-gastrointestinal tract compression, varices, an ectopic pancreas, and various tumors including GIST, S</w:t>
      </w:r>
      <w:r w:rsidR="00BD1614" w:rsidRPr="0028500E">
        <w:rPr>
          <w:rFonts w:ascii="Book Antiqua" w:eastAsia="MS Gothic" w:hAnsi="Book Antiqua"/>
          <w:color w:val="000000" w:themeColor="text1"/>
          <w:sz w:val="24"/>
          <w:szCs w:val="24"/>
        </w:rPr>
        <w:t>EL</w:t>
      </w:r>
      <w:r w:rsidRPr="0028500E">
        <w:rPr>
          <w:rFonts w:ascii="Book Antiqua" w:eastAsia="MS Gothic" w:hAnsi="Book Antiqua"/>
          <w:color w:val="000000" w:themeColor="text1"/>
          <w:sz w:val="24"/>
          <w:szCs w:val="24"/>
        </w:rPr>
        <w:t>-like cancer, leiomyoma, schwannoma, and lipoma</w:t>
      </w:r>
      <w:r w:rsidRPr="0028500E">
        <w:rPr>
          <w:rFonts w:ascii="Book Antiqua" w:eastAsia="MS Gothic" w:hAnsi="Book Antiqua"/>
          <w:color w:val="000000" w:themeColor="text1"/>
          <w:sz w:val="24"/>
          <w:szCs w:val="24"/>
          <w:vertAlign w:val="superscript"/>
        </w:rPr>
        <w:t>[8,20,21]</w:t>
      </w:r>
      <w:r w:rsidRPr="0028500E">
        <w:rPr>
          <w:rFonts w:ascii="Book Antiqua" w:eastAsia="MS Gothic" w:hAnsi="Book Antiqua"/>
          <w:color w:val="000000" w:themeColor="text1"/>
          <w:sz w:val="24"/>
          <w:szCs w:val="24"/>
        </w:rPr>
        <w:t xml:space="preserve">. GISTs should be diagnosed by immunohistochemical analysis including assessment of </w:t>
      </w:r>
      <w:r w:rsidR="00EE7B72" w:rsidRPr="0028500E">
        <w:rPr>
          <w:rFonts w:ascii="Book Antiqua" w:eastAsia="MS Gothic" w:hAnsi="Book Antiqua"/>
          <w:color w:val="000000" w:themeColor="text1"/>
          <w:sz w:val="24"/>
          <w:szCs w:val="24"/>
        </w:rPr>
        <w:t>KIT</w:t>
      </w:r>
      <w:r w:rsidRPr="0028500E">
        <w:rPr>
          <w:rFonts w:ascii="Book Antiqua" w:eastAsia="MS Gothic" w:hAnsi="Book Antiqua"/>
          <w:color w:val="000000" w:themeColor="text1"/>
          <w:sz w:val="24"/>
          <w:szCs w:val="24"/>
        </w:rPr>
        <w:t xml:space="preserve">, CD34, and/or </w:t>
      </w:r>
      <w:r w:rsidR="00975307" w:rsidRPr="0028500E">
        <w:rPr>
          <w:rFonts w:ascii="Book Antiqua" w:eastAsia="MS Gothic" w:hAnsi="Book Antiqua"/>
          <w:color w:val="000000" w:themeColor="text1"/>
          <w:sz w:val="24"/>
          <w:szCs w:val="24"/>
        </w:rPr>
        <w:t>discovered on gastrointestinal stromal tumor 1 (</w:t>
      </w:r>
      <w:r w:rsidRPr="0028500E">
        <w:rPr>
          <w:rFonts w:ascii="Book Antiqua" w:eastAsia="MS Gothic" w:hAnsi="Book Antiqua"/>
          <w:color w:val="000000" w:themeColor="text1"/>
          <w:sz w:val="24"/>
          <w:szCs w:val="24"/>
        </w:rPr>
        <w:t>DOG1</w:t>
      </w:r>
      <w:r w:rsidR="00975307" w:rsidRPr="0028500E">
        <w:rPr>
          <w:rFonts w:ascii="Book Antiqua" w:eastAsia="MS Gothic" w:hAnsi="Book Antiqua"/>
          <w:color w:val="000000" w:themeColor="text1"/>
          <w:sz w:val="24"/>
          <w:szCs w:val="24"/>
        </w:rPr>
        <w:t>)</w:t>
      </w:r>
      <w:r w:rsidRPr="0028500E">
        <w:rPr>
          <w:rFonts w:ascii="Book Antiqua" w:eastAsia="MS Gothic" w:hAnsi="Book Antiqua"/>
          <w:color w:val="000000" w:themeColor="text1"/>
          <w:sz w:val="24"/>
          <w:szCs w:val="24"/>
          <w:vertAlign w:val="superscript"/>
        </w:rPr>
        <w:t>[8,22,23]</w:t>
      </w:r>
      <w:r w:rsidRPr="0028500E">
        <w:rPr>
          <w:rFonts w:ascii="Book Antiqua" w:eastAsia="MS Gothic" w:hAnsi="Book Antiqua"/>
          <w:color w:val="000000" w:themeColor="text1"/>
          <w:sz w:val="24"/>
          <w:szCs w:val="24"/>
        </w:rPr>
        <w:t xml:space="preserve">. However, it is more difficult to obtain a conclusive histologic diagnosis of a GIST than gastrointestinal cancer by standard endoscopic forceps biopsy because a GIST is </w:t>
      </w:r>
      <w:r w:rsidRPr="0028500E">
        <w:rPr>
          <w:rFonts w:ascii="Book Antiqua" w:eastAsia="MS Gothic" w:hAnsi="Book Antiqua"/>
          <w:color w:val="000000" w:themeColor="text1"/>
          <w:sz w:val="24"/>
          <w:szCs w:val="24"/>
        </w:rPr>
        <w:lastRenderedPageBreak/>
        <w:t>covered by normal mucosa. Although imaging tests including endoscopic ultrasonography (EUS) and computed tomography (CT) are useful for narrowing down the differential diagnoses of SELs, these techniques are unable to provide a conclusive diagnosis. At present, EUS-guided fine needle aspiration (EUS-FNA) is the most accurate, safe, and reliable preoperative immunohistological test to secure a definitive diagnosis of SELs</w:t>
      </w:r>
      <w:r w:rsidRPr="0028500E">
        <w:rPr>
          <w:rFonts w:ascii="Book Antiqua" w:eastAsia="MS Gothic" w:hAnsi="Book Antiqua"/>
          <w:color w:val="000000" w:themeColor="text1"/>
          <w:sz w:val="24"/>
          <w:szCs w:val="24"/>
          <w:vertAlign w:val="superscript"/>
        </w:rPr>
        <w:t>[8,18,19</w:t>
      </w:r>
      <w:r w:rsidR="00FD5DBE" w:rsidRPr="0028500E">
        <w:rPr>
          <w:rFonts w:ascii="Book Antiqua" w:eastAsia="MS Gothic" w:hAnsi="Book Antiqua"/>
          <w:color w:val="000000" w:themeColor="text1"/>
          <w:sz w:val="24"/>
          <w:szCs w:val="24"/>
          <w:vertAlign w:val="superscript"/>
        </w:rPr>
        <w:t>,</w:t>
      </w:r>
      <w:r w:rsidRPr="0028500E">
        <w:rPr>
          <w:rFonts w:ascii="Book Antiqua" w:eastAsia="MS Gothic" w:hAnsi="Book Antiqua"/>
          <w:color w:val="000000" w:themeColor="text1"/>
          <w:sz w:val="24"/>
          <w:szCs w:val="24"/>
          <w:vertAlign w:val="superscript"/>
        </w:rPr>
        <w:t>23]</w:t>
      </w:r>
      <w:r w:rsidRPr="0028500E">
        <w:rPr>
          <w:rFonts w:ascii="Book Antiqua" w:eastAsia="MS Gothic" w:hAnsi="Book Antiqua"/>
          <w:color w:val="000000" w:themeColor="text1"/>
          <w:sz w:val="24"/>
          <w:szCs w:val="24"/>
        </w:rPr>
        <w:t>. Aggressive use of EUS and EUS-FNA for SELs is the key to facilitating early intervention of GISTs</w:t>
      </w:r>
      <w:r w:rsidRPr="0028500E">
        <w:rPr>
          <w:rFonts w:ascii="Book Antiqua" w:eastAsia="MS Gothic" w:hAnsi="Book Antiqua"/>
          <w:color w:val="000000" w:themeColor="text1"/>
          <w:sz w:val="24"/>
          <w:szCs w:val="24"/>
          <w:vertAlign w:val="superscript"/>
        </w:rPr>
        <w:t>[21,23]</w:t>
      </w:r>
      <w:r w:rsidRPr="0028500E">
        <w:rPr>
          <w:rFonts w:ascii="Book Antiqua" w:eastAsia="MS Gothic" w:hAnsi="Book Antiqua"/>
          <w:color w:val="000000" w:themeColor="text1"/>
          <w:sz w:val="24"/>
          <w:szCs w:val="24"/>
        </w:rPr>
        <w:t>.</w:t>
      </w:r>
    </w:p>
    <w:p w14:paraId="53453C61" w14:textId="3C4D44DF" w:rsidR="00545D48" w:rsidRPr="0028500E" w:rsidRDefault="00B00BA2" w:rsidP="001E53AA">
      <w:pPr>
        <w:pStyle w:val="BodyText2"/>
        <w:snapToGrid w:val="0"/>
        <w:spacing w:line="360" w:lineRule="auto"/>
        <w:ind w:firstLineChars="250" w:firstLine="600"/>
        <w:rPr>
          <w:rFonts w:ascii="Book Antiqua" w:eastAsia="MS Gothic" w:hAnsi="Book Antiqua"/>
          <w:color w:val="000000" w:themeColor="text1"/>
          <w:szCs w:val="24"/>
        </w:rPr>
      </w:pPr>
      <w:r w:rsidRPr="0028500E">
        <w:rPr>
          <w:rFonts w:ascii="Book Antiqua" w:eastAsia="MS Gothic" w:hAnsi="Book Antiqua"/>
          <w:color w:val="000000" w:themeColor="text1"/>
          <w:szCs w:val="24"/>
        </w:rPr>
        <w:t>This paper provides an overview of the diagnosis and treatment of GIST</w:t>
      </w:r>
      <w:r w:rsidR="00EE7B72" w:rsidRPr="0028500E">
        <w:rPr>
          <w:rFonts w:ascii="Book Antiqua" w:eastAsia="MS Gothic" w:hAnsi="Book Antiqua"/>
          <w:color w:val="000000" w:themeColor="text1"/>
          <w:szCs w:val="24"/>
        </w:rPr>
        <w:t>s</w:t>
      </w:r>
      <w:r w:rsidRPr="0028500E">
        <w:rPr>
          <w:rFonts w:ascii="Book Antiqua" w:eastAsia="MS Gothic" w:hAnsi="Book Antiqua"/>
          <w:color w:val="000000" w:themeColor="text1"/>
          <w:szCs w:val="24"/>
        </w:rPr>
        <w:t>, with an emphasis on early diagnosis and management of GISTs using EUS-FNA.</w:t>
      </w:r>
    </w:p>
    <w:p w14:paraId="222A3A78" w14:textId="77777777" w:rsidR="00545D48" w:rsidRPr="0028500E" w:rsidRDefault="00545D48" w:rsidP="001E53AA">
      <w:pPr>
        <w:snapToGrid w:val="0"/>
        <w:spacing w:line="360" w:lineRule="auto"/>
        <w:rPr>
          <w:rFonts w:ascii="Book Antiqua" w:eastAsia="MS Gothic" w:hAnsi="Book Antiqua"/>
          <w:color w:val="000000" w:themeColor="text1"/>
          <w:sz w:val="24"/>
          <w:szCs w:val="24"/>
        </w:rPr>
      </w:pPr>
      <w:r w:rsidRPr="0028500E">
        <w:rPr>
          <w:rFonts w:ascii="Book Antiqua" w:eastAsia="MS Gothic" w:hAnsi="Book Antiqua"/>
          <w:color w:val="000000" w:themeColor="text1"/>
          <w:sz w:val="24"/>
          <w:szCs w:val="24"/>
        </w:rPr>
        <w:t xml:space="preserve"> </w:t>
      </w:r>
    </w:p>
    <w:p w14:paraId="65AB7BC9" w14:textId="77777777" w:rsidR="00586053" w:rsidRDefault="00292437" w:rsidP="001E53AA">
      <w:pPr>
        <w:snapToGrid w:val="0"/>
        <w:spacing w:line="360" w:lineRule="auto"/>
        <w:rPr>
          <w:rFonts w:ascii="Book Antiqua" w:eastAsia="SimSun" w:hAnsi="Book Antiqua" w:cs="Arial"/>
          <w:color w:val="000000" w:themeColor="text1"/>
          <w:sz w:val="24"/>
          <w:szCs w:val="24"/>
          <w:lang w:val="en" w:eastAsia="zh-CN"/>
        </w:rPr>
      </w:pPr>
      <w:r w:rsidRPr="0028500E">
        <w:rPr>
          <w:rFonts w:ascii="Book Antiqua" w:eastAsia="MS Gothic" w:hAnsi="Book Antiqua" w:cs="Arial"/>
          <w:b/>
          <w:caps/>
          <w:color w:val="000000" w:themeColor="text1"/>
          <w:sz w:val="24"/>
          <w:szCs w:val="24"/>
          <w:lang w:val="en"/>
        </w:rPr>
        <w:t>Epidemiology</w:t>
      </w:r>
    </w:p>
    <w:p w14:paraId="4911D048" w14:textId="7EB8A981" w:rsidR="00A7549F" w:rsidRPr="0028500E" w:rsidRDefault="00904CF9" w:rsidP="001E53AA">
      <w:pPr>
        <w:snapToGrid w:val="0"/>
        <w:spacing w:line="360" w:lineRule="auto"/>
        <w:rPr>
          <w:rFonts w:ascii="Book Antiqua" w:eastAsia="MS Gothic" w:hAnsi="Book Antiqua" w:cs="Arial"/>
          <w:color w:val="000000" w:themeColor="text1"/>
          <w:sz w:val="24"/>
          <w:szCs w:val="24"/>
          <w:lang w:val="en"/>
        </w:rPr>
      </w:pPr>
      <w:r w:rsidRPr="0028500E">
        <w:rPr>
          <w:rFonts w:ascii="Book Antiqua" w:eastAsia="MS Gothic" w:hAnsi="Book Antiqua" w:cs="Arial"/>
          <w:color w:val="000000" w:themeColor="text1"/>
          <w:sz w:val="24"/>
          <w:szCs w:val="24"/>
        </w:rPr>
        <w:t>In epidemiological surveys of GISTs, the estimated mean age at diagnosis is in the sixth decade of life, and the frequency of occurrence is 6.8 to 14.5 cases per million individuals per year</w:t>
      </w:r>
      <w:r w:rsidRPr="0028500E">
        <w:rPr>
          <w:rFonts w:ascii="Book Antiqua" w:eastAsia="MS Gothic" w:hAnsi="Book Antiqua" w:cs="Arial"/>
          <w:color w:val="000000" w:themeColor="text1"/>
          <w:sz w:val="24"/>
          <w:szCs w:val="24"/>
          <w:vertAlign w:val="superscript"/>
        </w:rPr>
        <w:t>[24-26]</w:t>
      </w:r>
      <w:r w:rsidRPr="0028500E">
        <w:rPr>
          <w:rFonts w:ascii="Book Antiqua" w:eastAsia="MS Gothic" w:hAnsi="Book Antiqua" w:cs="Arial"/>
          <w:color w:val="000000" w:themeColor="text1"/>
          <w:sz w:val="24"/>
          <w:szCs w:val="24"/>
        </w:rPr>
        <w:t>. GISTs most commonly occur in the stomach (51%), followed by the small intestine (36%), colon (7%), rectum (5%), and esophagus (1%)</w:t>
      </w:r>
      <w:r w:rsidRPr="0028500E">
        <w:rPr>
          <w:rFonts w:ascii="Book Antiqua" w:eastAsia="MS Gothic" w:hAnsi="Book Antiqua" w:cs="Arial"/>
          <w:color w:val="000000" w:themeColor="text1"/>
          <w:sz w:val="24"/>
          <w:szCs w:val="24"/>
          <w:vertAlign w:val="superscript"/>
        </w:rPr>
        <w:t>[24]</w:t>
      </w:r>
      <w:r w:rsidRPr="0028500E">
        <w:rPr>
          <w:rFonts w:ascii="Book Antiqua" w:eastAsia="MS Gothic" w:hAnsi="Book Antiqua" w:cs="Arial"/>
          <w:color w:val="000000" w:themeColor="text1"/>
          <w:sz w:val="24"/>
          <w:szCs w:val="24"/>
        </w:rPr>
        <w:t>.</w:t>
      </w:r>
    </w:p>
    <w:p w14:paraId="4B7026F5" w14:textId="77777777" w:rsidR="006010DA" w:rsidRPr="0028500E" w:rsidRDefault="006010DA" w:rsidP="001E53AA">
      <w:pPr>
        <w:snapToGrid w:val="0"/>
        <w:spacing w:line="360" w:lineRule="auto"/>
        <w:rPr>
          <w:rFonts w:ascii="Book Antiqua" w:eastAsia="MS Gothic" w:hAnsi="Book Antiqua" w:cs="Arial"/>
          <w:color w:val="000000" w:themeColor="text1"/>
          <w:sz w:val="24"/>
          <w:szCs w:val="24"/>
          <w:lang w:val="en"/>
        </w:rPr>
      </w:pPr>
    </w:p>
    <w:p w14:paraId="289365D0" w14:textId="572C6255" w:rsidR="009A3637" w:rsidRPr="0028500E" w:rsidRDefault="006010DA" w:rsidP="001E53AA">
      <w:pPr>
        <w:snapToGrid w:val="0"/>
        <w:spacing w:line="360" w:lineRule="auto"/>
        <w:rPr>
          <w:rFonts w:ascii="Book Antiqua" w:eastAsia="MS Gothic" w:hAnsi="Book Antiqua" w:cs="Arial"/>
          <w:caps/>
          <w:color w:val="000000" w:themeColor="text1"/>
          <w:sz w:val="24"/>
          <w:szCs w:val="24"/>
          <w:lang w:val="en"/>
        </w:rPr>
      </w:pPr>
      <w:r w:rsidRPr="0028500E">
        <w:rPr>
          <w:rFonts w:ascii="Book Antiqua" w:eastAsia="MS Gothic" w:hAnsi="Book Antiqua" w:cs="Arial"/>
          <w:b/>
          <w:caps/>
          <w:color w:val="000000" w:themeColor="text1"/>
          <w:sz w:val="24"/>
          <w:szCs w:val="24"/>
          <w:lang w:val="en"/>
        </w:rPr>
        <w:t>Histo</w:t>
      </w:r>
      <w:r w:rsidR="004A17F0" w:rsidRPr="0028500E">
        <w:rPr>
          <w:rFonts w:ascii="Book Antiqua" w:eastAsia="MS Gothic" w:hAnsi="Book Antiqua" w:cs="Arial"/>
          <w:b/>
          <w:caps/>
          <w:color w:val="000000" w:themeColor="text1"/>
          <w:sz w:val="24"/>
          <w:szCs w:val="24"/>
          <w:lang w:val="en"/>
        </w:rPr>
        <w:t>logic</w:t>
      </w:r>
      <w:r w:rsidR="006C0CAF" w:rsidRPr="0028500E">
        <w:rPr>
          <w:rFonts w:ascii="Book Antiqua" w:eastAsia="MS Gothic" w:hAnsi="Book Antiqua" w:cs="Arial"/>
          <w:b/>
          <w:caps/>
          <w:color w:val="000000" w:themeColor="text1"/>
          <w:sz w:val="24"/>
          <w:szCs w:val="24"/>
          <w:lang w:val="en"/>
        </w:rPr>
        <w:t>AL</w:t>
      </w:r>
      <w:r w:rsidRPr="0028500E">
        <w:rPr>
          <w:rFonts w:ascii="Book Antiqua" w:eastAsia="MS Gothic" w:hAnsi="Book Antiqua" w:cs="Arial"/>
          <w:b/>
          <w:caps/>
          <w:color w:val="000000" w:themeColor="text1"/>
          <w:sz w:val="24"/>
          <w:szCs w:val="24"/>
          <w:lang w:val="en"/>
        </w:rPr>
        <w:t xml:space="preserve"> findings</w:t>
      </w:r>
    </w:p>
    <w:p w14:paraId="39B5AA1D" w14:textId="4ACEBCE6" w:rsidR="006010DA" w:rsidRPr="0028500E" w:rsidRDefault="00FA1CB9" w:rsidP="001E53AA">
      <w:pPr>
        <w:snapToGrid w:val="0"/>
        <w:spacing w:line="360" w:lineRule="auto"/>
        <w:rPr>
          <w:rFonts w:ascii="Book Antiqua" w:eastAsia="MS Gothic" w:hAnsi="Book Antiqua" w:cs="Arial"/>
          <w:color w:val="000000" w:themeColor="text1"/>
          <w:sz w:val="24"/>
          <w:szCs w:val="24"/>
        </w:rPr>
      </w:pPr>
      <w:r w:rsidRPr="0028500E">
        <w:rPr>
          <w:rFonts w:ascii="Book Antiqua" w:eastAsia="MS Gothic" w:hAnsi="Book Antiqua" w:cs="Arial"/>
          <w:color w:val="000000" w:themeColor="text1"/>
          <w:sz w:val="24"/>
          <w:szCs w:val="24"/>
        </w:rPr>
        <w:t>The main morphologic types of GISTs are the spindle-shaped cell type (70%), epithelial cell type (20%), and mixed type (10%)</w:t>
      </w:r>
      <w:r w:rsidRPr="0028500E">
        <w:rPr>
          <w:rFonts w:ascii="Book Antiqua" w:eastAsia="MS Gothic" w:hAnsi="Book Antiqua" w:cs="Arial"/>
          <w:color w:val="000000" w:themeColor="text1"/>
          <w:sz w:val="24"/>
          <w:szCs w:val="24"/>
          <w:vertAlign w:val="superscript"/>
        </w:rPr>
        <w:t>[27]</w:t>
      </w:r>
      <w:r w:rsidRPr="0028500E">
        <w:rPr>
          <w:rFonts w:ascii="Book Antiqua" w:eastAsia="MS Gothic" w:hAnsi="Book Antiqua" w:cs="Arial"/>
          <w:color w:val="000000" w:themeColor="text1"/>
          <w:sz w:val="24"/>
          <w:szCs w:val="24"/>
        </w:rPr>
        <w:t>. It is difficult to differentiate between leiomyomas and neurinomas, two other mesenchymal tumors, using only hematoxylin and eosin staining; differentiation using immunostaining is indispensable</w:t>
      </w:r>
      <w:r w:rsidRPr="0028500E">
        <w:rPr>
          <w:rFonts w:ascii="Book Antiqua" w:eastAsia="MS Gothic" w:hAnsi="Book Antiqua" w:cs="Arial"/>
          <w:color w:val="000000" w:themeColor="text1"/>
          <w:sz w:val="24"/>
          <w:szCs w:val="24"/>
          <w:vertAlign w:val="superscript"/>
        </w:rPr>
        <w:t>[8,22,23]</w:t>
      </w:r>
      <w:r w:rsidRPr="0028500E">
        <w:rPr>
          <w:rFonts w:ascii="Book Antiqua" w:eastAsia="MS Gothic" w:hAnsi="Book Antiqua" w:cs="Arial"/>
          <w:color w:val="000000" w:themeColor="text1"/>
          <w:sz w:val="24"/>
          <w:szCs w:val="24"/>
        </w:rPr>
        <w:t xml:space="preserve">. A GIST is diagnosed in the presence of KIT or CD34 positivity. If the tumor is negative for KIT, CD34, desmin, and S-100, additional tests including DOG1 staining or a mutation search of the </w:t>
      </w:r>
      <w:r w:rsidR="000214BB" w:rsidRPr="0028500E">
        <w:rPr>
          <w:rFonts w:ascii="Book Antiqua" w:eastAsia="MS Gothic" w:hAnsi="Book Antiqua" w:cs="Arial"/>
          <w:color w:val="000000" w:themeColor="text1"/>
          <w:sz w:val="24"/>
          <w:szCs w:val="24"/>
        </w:rPr>
        <w:t>KIT</w:t>
      </w:r>
      <w:r w:rsidRPr="0028500E">
        <w:rPr>
          <w:rFonts w:ascii="Book Antiqua" w:eastAsia="MS Gothic" w:hAnsi="Book Antiqua" w:cs="Arial"/>
          <w:color w:val="000000" w:themeColor="text1"/>
          <w:sz w:val="24"/>
          <w:szCs w:val="24"/>
        </w:rPr>
        <w:t xml:space="preserve"> or PDGFRA gene are useful for diagnosis of GISTs</w:t>
      </w:r>
      <w:r w:rsidRPr="0028500E">
        <w:rPr>
          <w:rFonts w:ascii="Book Antiqua" w:eastAsia="MS Gothic" w:hAnsi="Book Antiqua" w:cs="Arial"/>
          <w:color w:val="000000" w:themeColor="text1"/>
          <w:sz w:val="24"/>
          <w:szCs w:val="24"/>
          <w:vertAlign w:val="superscript"/>
        </w:rPr>
        <w:t>[28]</w:t>
      </w:r>
      <w:r w:rsidRPr="0028500E">
        <w:rPr>
          <w:rFonts w:ascii="Book Antiqua" w:eastAsia="MS Gothic" w:hAnsi="Book Antiqua" w:cs="Arial"/>
          <w:color w:val="000000" w:themeColor="text1"/>
          <w:sz w:val="24"/>
          <w:szCs w:val="24"/>
        </w:rPr>
        <w:t xml:space="preserve"> (Figure 2).</w:t>
      </w:r>
    </w:p>
    <w:p w14:paraId="094BF44E" w14:textId="77777777" w:rsidR="009A3637" w:rsidRPr="0028500E" w:rsidRDefault="009A3637" w:rsidP="001E53AA">
      <w:pPr>
        <w:snapToGrid w:val="0"/>
        <w:spacing w:line="360" w:lineRule="auto"/>
        <w:rPr>
          <w:rFonts w:ascii="Book Antiqua" w:eastAsia="MS Gothic" w:hAnsi="Book Antiqua" w:cs="Arial"/>
          <w:color w:val="000000" w:themeColor="text1"/>
          <w:sz w:val="24"/>
          <w:szCs w:val="24"/>
          <w:lang w:val="en"/>
        </w:rPr>
      </w:pPr>
    </w:p>
    <w:p w14:paraId="41E7F8AD" w14:textId="77777777" w:rsidR="009A3637" w:rsidRPr="0028500E" w:rsidRDefault="00D72F3F" w:rsidP="001E53AA">
      <w:pPr>
        <w:snapToGrid w:val="0"/>
        <w:spacing w:line="360" w:lineRule="auto"/>
        <w:rPr>
          <w:rFonts w:ascii="Book Antiqua" w:eastAsia="MS Gothic" w:hAnsi="Book Antiqua" w:cs="Arial"/>
          <w:b/>
          <w:caps/>
          <w:color w:val="000000" w:themeColor="text1"/>
          <w:sz w:val="24"/>
          <w:szCs w:val="24"/>
          <w:lang w:val="en"/>
        </w:rPr>
      </w:pPr>
      <w:r w:rsidRPr="0028500E">
        <w:rPr>
          <w:rFonts w:ascii="Book Antiqua" w:eastAsia="MS Gothic" w:hAnsi="Book Antiqua" w:cs="Arial"/>
          <w:b/>
          <w:caps/>
          <w:color w:val="000000" w:themeColor="text1"/>
          <w:sz w:val="24"/>
          <w:szCs w:val="24"/>
          <w:lang w:val="en"/>
        </w:rPr>
        <w:t>Clinical presentation</w:t>
      </w:r>
      <w:r w:rsidR="00283732" w:rsidRPr="0028500E">
        <w:rPr>
          <w:rFonts w:ascii="Book Antiqua" w:eastAsia="MS Gothic" w:hAnsi="Book Antiqua" w:cs="Arial"/>
          <w:b/>
          <w:caps/>
          <w:color w:val="000000" w:themeColor="text1"/>
          <w:sz w:val="24"/>
          <w:szCs w:val="24"/>
          <w:lang w:val="en"/>
        </w:rPr>
        <w:t xml:space="preserve"> and incidental GIST</w:t>
      </w:r>
    </w:p>
    <w:p w14:paraId="7B3BE25B" w14:textId="4D682139" w:rsidR="00352F37" w:rsidRPr="0028500E" w:rsidRDefault="008A09A5" w:rsidP="001E53AA">
      <w:pPr>
        <w:snapToGrid w:val="0"/>
        <w:spacing w:line="360" w:lineRule="auto"/>
        <w:rPr>
          <w:rFonts w:ascii="Book Antiqua" w:eastAsia="MS Gothic" w:hAnsi="Book Antiqua" w:cs="Arial"/>
          <w:color w:val="000000" w:themeColor="text1"/>
          <w:sz w:val="24"/>
          <w:szCs w:val="24"/>
          <w:lang w:val="en"/>
        </w:rPr>
      </w:pPr>
      <w:r w:rsidRPr="0028500E">
        <w:rPr>
          <w:rFonts w:ascii="Book Antiqua" w:eastAsia="MS Gothic" w:hAnsi="Book Antiqua" w:cs="Arial"/>
          <w:color w:val="000000" w:themeColor="text1"/>
          <w:sz w:val="24"/>
          <w:szCs w:val="24"/>
        </w:rPr>
        <w:lastRenderedPageBreak/>
        <w:t>The most common symptoms of GISTs are gastrointestinal bleeding, including acute melena and hematemesis with subsequent anemia; weakness; and abdominal pain, distension, and discomfort due to a tumor-induced mass effect</w:t>
      </w:r>
      <w:r w:rsidR="002F4DA1" w:rsidRPr="0028500E">
        <w:rPr>
          <w:rFonts w:ascii="Book Antiqua" w:eastAsia="MS Gothic" w:hAnsi="Book Antiqua" w:cs="Arial"/>
          <w:color w:val="000000" w:themeColor="text1"/>
          <w:sz w:val="24"/>
          <w:szCs w:val="24"/>
        </w:rPr>
        <w:t xml:space="preserve"> </w:t>
      </w:r>
      <w:r w:rsidRPr="0028500E">
        <w:rPr>
          <w:rFonts w:ascii="Book Antiqua" w:eastAsia="MS Gothic" w:hAnsi="Book Antiqua" w:cs="Arial"/>
          <w:color w:val="000000" w:themeColor="text1"/>
          <w:sz w:val="24"/>
          <w:szCs w:val="24"/>
          <w:vertAlign w:val="superscript"/>
        </w:rPr>
        <w:t>[29]</w:t>
      </w:r>
      <w:r w:rsidRPr="0028500E">
        <w:rPr>
          <w:rFonts w:ascii="Book Antiqua" w:eastAsia="MS Gothic" w:hAnsi="Book Antiqua" w:cs="Arial"/>
          <w:color w:val="000000" w:themeColor="text1"/>
          <w:sz w:val="24"/>
          <w:szCs w:val="24"/>
        </w:rPr>
        <w:t>. Previous studies have shown that 15% to 30% of patients with GISTs are asymptomatic, and their GISTs are found incidentally during postmortem autopsy or surgery for treatment of other diseases</w:t>
      </w:r>
      <w:r w:rsidRPr="0028500E">
        <w:rPr>
          <w:rFonts w:ascii="Book Antiqua" w:eastAsia="MS Gothic" w:hAnsi="Book Antiqua" w:cs="Arial"/>
          <w:color w:val="000000" w:themeColor="text1"/>
          <w:sz w:val="24"/>
          <w:szCs w:val="24"/>
          <w:vertAlign w:val="superscript"/>
        </w:rPr>
        <w:t>[6,25,30]</w:t>
      </w:r>
      <w:r w:rsidRPr="0028500E">
        <w:rPr>
          <w:rFonts w:ascii="Book Antiqua" w:eastAsia="MS Gothic" w:hAnsi="Book Antiqua" w:cs="Arial"/>
          <w:color w:val="000000" w:themeColor="text1"/>
          <w:sz w:val="24"/>
          <w:szCs w:val="24"/>
        </w:rPr>
        <w:t>. Many pathological studies have highlighted the existence of subclinical microscopic or so-called mini (&lt;</w:t>
      </w:r>
      <w:r w:rsidR="00B543E2" w:rsidRPr="0028500E">
        <w:rPr>
          <w:rFonts w:ascii="Book Antiqua" w:eastAsia="SimSun" w:hAnsi="Book Antiqua" w:cs="Arial"/>
          <w:color w:val="000000" w:themeColor="text1"/>
          <w:sz w:val="24"/>
          <w:szCs w:val="24"/>
          <w:lang w:eastAsia="zh-CN"/>
        </w:rPr>
        <w:t xml:space="preserve"> </w:t>
      </w:r>
      <w:r w:rsidRPr="0028500E">
        <w:rPr>
          <w:rFonts w:ascii="Book Antiqua" w:eastAsia="MS Gothic" w:hAnsi="Book Antiqua" w:cs="Arial"/>
          <w:color w:val="000000" w:themeColor="text1"/>
          <w:sz w:val="24"/>
          <w:szCs w:val="24"/>
        </w:rPr>
        <w:t>1 cm) GISTs</w:t>
      </w:r>
      <w:r w:rsidRPr="0028500E">
        <w:rPr>
          <w:rFonts w:ascii="Book Antiqua" w:eastAsia="MS Gothic" w:hAnsi="Book Antiqua" w:cs="Arial"/>
          <w:color w:val="000000" w:themeColor="text1"/>
          <w:sz w:val="24"/>
          <w:szCs w:val="24"/>
          <w:vertAlign w:val="superscript"/>
        </w:rPr>
        <w:t>[31-36]</w:t>
      </w:r>
      <w:r w:rsidRPr="0028500E">
        <w:rPr>
          <w:rFonts w:ascii="Book Antiqua" w:eastAsia="MS Gothic" w:hAnsi="Book Antiqua" w:cs="Arial"/>
          <w:color w:val="000000" w:themeColor="text1"/>
          <w:sz w:val="24"/>
          <w:szCs w:val="24"/>
        </w:rPr>
        <w:t xml:space="preserve">. Kawanowa </w:t>
      </w:r>
      <w:r w:rsidRPr="0028500E">
        <w:rPr>
          <w:rFonts w:ascii="Book Antiqua" w:eastAsia="MS Gothic" w:hAnsi="Book Antiqua" w:cs="Arial"/>
          <w:i/>
          <w:color w:val="000000" w:themeColor="text1"/>
          <w:sz w:val="24"/>
          <w:szCs w:val="24"/>
        </w:rPr>
        <w:t>et al</w:t>
      </w:r>
      <w:r w:rsidRPr="0028500E">
        <w:rPr>
          <w:rFonts w:ascii="Book Antiqua" w:eastAsia="MS Gothic" w:hAnsi="Book Antiqua" w:cs="Arial"/>
          <w:color w:val="000000" w:themeColor="text1"/>
          <w:sz w:val="24"/>
          <w:szCs w:val="24"/>
          <w:vertAlign w:val="superscript"/>
        </w:rPr>
        <w:t>[31]</w:t>
      </w:r>
      <w:r w:rsidRPr="0028500E">
        <w:rPr>
          <w:rFonts w:ascii="Book Antiqua" w:eastAsia="MS Gothic" w:hAnsi="Book Antiqua" w:cs="Arial"/>
          <w:color w:val="000000" w:themeColor="text1"/>
          <w:sz w:val="24"/>
          <w:szCs w:val="24"/>
        </w:rPr>
        <w:t xml:space="preserve"> reported that microscopic GISTs were present in 35% of patients who underwent gastrectomy for treatment of gastric adenocarcinoma. Agaimy </w:t>
      </w:r>
      <w:r w:rsidRPr="0028500E">
        <w:rPr>
          <w:rFonts w:ascii="Book Antiqua" w:eastAsia="MS Gothic" w:hAnsi="Book Antiqua" w:cs="Arial"/>
          <w:i/>
          <w:color w:val="000000" w:themeColor="text1"/>
          <w:sz w:val="24"/>
          <w:szCs w:val="24"/>
        </w:rPr>
        <w:t>et al</w:t>
      </w:r>
      <w:r w:rsidRPr="0028500E">
        <w:rPr>
          <w:rFonts w:ascii="Book Antiqua" w:eastAsia="MS Gothic" w:hAnsi="Book Antiqua" w:cs="Arial"/>
          <w:color w:val="000000" w:themeColor="text1"/>
          <w:sz w:val="24"/>
          <w:szCs w:val="24"/>
          <w:vertAlign w:val="superscript"/>
        </w:rPr>
        <w:t>[32]</w:t>
      </w:r>
      <w:r w:rsidRPr="0028500E">
        <w:rPr>
          <w:rFonts w:ascii="Book Antiqua" w:eastAsia="MS Gothic" w:hAnsi="Book Antiqua" w:cs="Arial"/>
          <w:color w:val="000000" w:themeColor="text1"/>
          <w:sz w:val="24"/>
          <w:szCs w:val="24"/>
        </w:rPr>
        <w:t xml:space="preserve"> reported that microscopic gastric GISTs were found in 22.5% of consecutive autopsies of patients aged ≥</w:t>
      </w:r>
      <w:r w:rsidR="00B543E2" w:rsidRPr="0028500E">
        <w:rPr>
          <w:rFonts w:ascii="Book Antiqua" w:eastAsia="SimSun" w:hAnsi="Book Antiqua" w:cs="Arial"/>
          <w:color w:val="000000" w:themeColor="text1"/>
          <w:sz w:val="24"/>
          <w:szCs w:val="24"/>
          <w:lang w:eastAsia="zh-CN"/>
        </w:rPr>
        <w:t xml:space="preserve"> </w:t>
      </w:r>
      <w:r w:rsidRPr="0028500E">
        <w:rPr>
          <w:rFonts w:ascii="Book Antiqua" w:eastAsia="MS Gothic" w:hAnsi="Book Antiqua" w:cs="Arial"/>
          <w:color w:val="000000" w:themeColor="text1"/>
          <w:sz w:val="24"/>
          <w:szCs w:val="24"/>
        </w:rPr>
        <w:t>50 years. The reported incidence of mini-GISTs according to the affected organ is 3% to 10% in the stomach, 0.2% in the colon, and 0.01% in the rectum</w:t>
      </w:r>
      <w:r w:rsidRPr="0028500E">
        <w:rPr>
          <w:rFonts w:ascii="Book Antiqua" w:eastAsia="MS Gothic" w:hAnsi="Book Antiqua" w:cs="Arial"/>
          <w:color w:val="000000" w:themeColor="text1"/>
          <w:sz w:val="24"/>
          <w:szCs w:val="24"/>
          <w:vertAlign w:val="superscript"/>
        </w:rPr>
        <w:t>[31-36]</w:t>
      </w:r>
      <w:r w:rsidRPr="0028500E">
        <w:rPr>
          <w:rFonts w:ascii="Book Antiqua" w:eastAsia="MS Gothic" w:hAnsi="Book Antiqua" w:cs="Arial"/>
          <w:color w:val="000000" w:themeColor="text1"/>
          <w:sz w:val="24"/>
          <w:szCs w:val="24"/>
        </w:rPr>
        <w:t>. The detection of incidental SELs during gastrointestinal endoscopy has recently increased with the more widespread performance of endoscopic examinations. Gastric S</w:t>
      </w:r>
      <w:r w:rsidR="00B94101" w:rsidRPr="0028500E">
        <w:rPr>
          <w:rFonts w:ascii="Book Antiqua" w:eastAsia="MS Gothic" w:hAnsi="Book Antiqua" w:cs="Arial"/>
          <w:color w:val="000000" w:themeColor="text1"/>
          <w:sz w:val="24"/>
          <w:szCs w:val="24"/>
        </w:rPr>
        <w:t>EL</w:t>
      </w:r>
      <w:r w:rsidRPr="0028500E">
        <w:rPr>
          <w:rFonts w:ascii="Book Antiqua" w:eastAsia="MS Gothic" w:hAnsi="Book Antiqua" w:cs="Arial"/>
          <w:color w:val="000000" w:themeColor="text1"/>
          <w:sz w:val="24"/>
          <w:szCs w:val="24"/>
        </w:rPr>
        <w:t>s are found in 0.36% of middle-aged adults during health examinations, and half of these tumors are considered to be neoplastic</w:t>
      </w:r>
      <w:r w:rsidRPr="0028500E">
        <w:rPr>
          <w:rFonts w:ascii="Book Antiqua" w:eastAsia="MS Gothic" w:hAnsi="Book Antiqua" w:cs="Arial"/>
          <w:color w:val="000000" w:themeColor="text1"/>
          <w:sz w:val="24"/>
          <w:szCs w:val="24"/>
          <w:vertAlign w:val="superscript"/>
        </w:rPr>
        <w:t>[37]</w:t>
      </w:r>
      <w:r w:rsidRPr="0028500E">
        <w:rPr>
          <w:rFonts w:ascii="Book Antiqua" w:eastAsia="MS Gothic" w:hAnsi="Book Antiqua" w:cs="Arial"/>
          <w:color w:val="000000" w:themeColor="text1"/>
          <w:sz w:val="24"/>
          <w:szCs w:val="24"/>
        </w:rPr>
        <w:t>. Most gastric S</w:t>
      </w:r>
      <w:r w:rsidR="00B94101" w:rsidRPr="0028500E">
        <w:rPr>
          <w:rFonts w:ascii="Book Antiqua" w:eastAsia="MS Gothic" w:hAnsi="Book Antiqua" w:cs="Arial"/>
          <w:color w:val="000000" w:themeColor="text1"/>
          <w:sz w:val="24"/>
          <w:szCs w:val="24"/>
        </w:rPr>
        <w:t>EL</w:t>
      </w:r>
      <w:r w:rsidRPr="0028500E">
        <w:rPr>
          <w:rFonts w:ascii="Book Antiqua" w:eastAsia="MS Gothic" w:hAnsi="Book Antiqua" w:cs="Arial"/>
          <w:color w:val="000000" w:themeColor="text1"/>
          <w:sz w:val="24"/>
          <w:szCs w:val="24"/>
        </w:rPr>
        <w:t xml:space="preserve">s found during physical check-ups are small and asymptomatic. GISTs are considered to account for half of these incidentally found </w:t>
      </w:r>
      <w:r w:rsidR="00B94101" w:rsidRPr="0028500E">
        <w:rPr>
          <w:rFonts w:ascii="Book Antiqua" w:eastAsia="MS Gothic" w:hAnsi="Book Antiqua" w:cs="Arial"/>
          <w:color w:val="000000" w:themeColor="text1"/>
          <w:sz w:val="24"/>
          <w:szCs w:val="24"/>
        </w:rPr>
        <w:t>SEL</w:t>
      </w:r>
      <w:r w:rsidRPr="0028500E">
        <w:rPr>
          <w:rFonts w:ascii="Book Antiqua" w:eastAsia="MS Gothic" w:hAnsi="Book Antiqua" w:cs="Arial"/>
          <w:color w:val="000000" w:themeColor="text1"/>
          <w:sz w:val="24"/>
          <w:szCs w:val="24"/>
        </w:rPr>
        <w:t>s in the stomach</w:t>
      </w:r>
      <w:r w:rsidRPr="0028500E">
        <w:rPr>
          <w:rFonts w:ascii="Book Antiqua" w:eastAsia="MS Gothic" w:hAnsi="Book Antiqua" w:cs="Arial"/>
          <w:color w:val="000000" w:themeColor="text1"/>
          <w:sz w:val="24"/>
          <w:szCs w:val="24"/>
          <w:vertAlign w:val="superscript"/>
        </w:rPr>
        <w:t>[31,34]</w:t>
      </w:r>
      <w:r w:rsidRPr="0028500E">
        <w:rPr>
          <w:rFonts w:ascii="Book Antiqua" w:eastAsia="MS Gothic" w:hAnsi="Book Antiqua" w:cs="Arial"/>
          <w:color w:val="000000" w:themeColor="text1"/>
          <w:sz w:val="24"/>
          <w:szCs w:val="24"/>
        </w:rPr>
        <w:t>. Based on these studies, GISTs are presumed to be much more common than previously recognized</w:t>
      </w:r>
      <w:r w:rsidRPr="0028500E">
        <w:rPr>
          <w:rFonts w:ascii="Book Antiqua" w:eastAsia="MS Gothic" w:hAnsi="Book Antiqua" w:cs="Arial"/>
          <w:color w:val="000000" w:themeColor="text1"/>
          <w:sz w:val="24"/>
          <w:szCs w:val="24"/>
          <w:vertAlign w:val="superscript"/>
        </w:rPr>
        <w:t>[18]</w:t>
      </w:r>
      <w:r w:rsidRPr="0028500E">
        <w:rPr>
          <w:rFonts w:ascii="Book Antiqua" w:eastAsia="MS Gothic" w:hAnsi="Book Antiqua" w:cs="Arial"/>
          <w:color w:val="000000" w:themeColor="text1"/>
          <w:sz w:val="24"/>
          <w:szCs w:val="24"/>
        </w:rPr>
        <w:t>.</w:t>
      </w:r>
      <w:r w:rsidR="002F4DA1" w:rsidRPr="0028500E">
        <w:rPr>
          <w:rFonts w:ascii="Book Antiqua" w:eastAsia="MS Gothic" w:hAnsi="Book Antiqua" w:cs="Arial"/>
          <w:color w:val="000000" w:themeColor="text1"/>
          <w:sz w:val="24"/>
          <w:szCs w:val="24"/>
        </w:rPr>
        <w:t xml:space="preserve"> </w:t>
      </w:r>
    </w:p>
    <w:p w14:paraId="4367B146" w14:textId="77777777" w:rsidR="00352F37" w:rsidRPr="0028500E" w:rsidRDefault="00352F37" w:rsidP="001E53AA">
      <w:pPr>
        <w:snapToGrid w:val="0"/>
        <w:spacing w:line="360" w:lineRule="auto"/>
        <w:rPr>
          <w:rFonts w:ascii="Book Antiqua" w:eastAsia="MS Gothic" w:hAnsi="Book Antiqua" w:cs="Arial"/>
          <w:color w:val="000000" w:themeColor="text1"/>
          <w:sz w:val="24"/>
          <w:szCs w:val="24"/>
          <w:lang w:val="en"/>
        </w:rPr>
      </w:pPr>
    </w:p>
    <w:p w14:paraId="7C0899C7" w14:textId="77777777" w:rsidR="00352F37" w:rsidRPr="0028500E" w:rsidRDefault="00352F37" w:rsidP="001E53AA">
      <w:pPr>
        <w:snapToGrid w:val="0"/>
        <w:spacing w:line="360" w:lineRule="auto"/>
        <w:rPr>
          <w:rFonts w:ascii="Book Antiqua" w:eastAsia="MS Gothic" w:hAnsi="Book Antiqua" w:cs="Arial"/>
          <w:b/>
          <w:caps/>
          <w:color w:val="000000" w:themeColor="text1"/>
          <w:sz w:val="24"/>
          <w:szCs w:val="24"/>
          <w:lang w:val="en"/>
        </w:rPr>
      </w:pPr>
      <w:r w:rsidRPr="0028500E">
        <w:rPr>
          <w:rFonts w:ascii="Book Antiqua" w:eastAsia="MS Gothic" w:hAnsi="Book Antiqua" w:cs="Arial"/>
          <w:b/>
          <w:caps/>
          <w:color w:val="000000" w:themeColor="text1"/>
          <w:sz w:val="24"/>
          <w:szCs w:val="24"/>
          <w:lang w:val="en"/>
        </w:rPr>
        <w:t>Endoscopy</w:t>
      </w:r>
    </w:p>
    <w:p w14:paraId="71004ED7" w14:textId="75D5B79C" w:rsidR="00F956A5" w:rsidRPr="0028500E" w:rsidRDefault="002F4DA1" w:rsidP="001E53AA">
      <w:pPr>
        <w:snapToGrid w:val="0"/>
        <w:spacing w:line="360" w:lineRule="auto"/>
        <w:rPr>
          <w:rFonts w:ascii="Book Antiqua" w:hAnsi="Book Antiqua"/>
          <w:color w:val="000000" w:themeColor="text1"/>
          <w:sz w:val="24"/>
          <w:szCs w:val="24"/>
        </w:rPr>
      </w:pPr>
      <w:r w:rsidRPr="0028500E">
        <w:rPr>
          <w:rFonts w:ascii="Book Antiqua" w:eastAsia="MS Gothic" w:hAnsi="Book Antiqua" w:cs="Arial"/>
          <w:color w:val="000000" w:themeColor="text1"/>
          <w:sz w:val="24"/>
          <w:szCs w:val="24"/>
        </w:rPr>
        <w:t>SELs are frequently found during ordinary optical endoscopy. The main endoscopic finding of GISTs is common to all SELs: a nonspecific smooth bulge covered with normal mucosa</w:t>
      </w:r>
      <w:r w:rsidRPr="0028500E">
        <w:rPr>
          <w:rFonts w:ascii="Book Antiqua" w:eastAsia="MS Gothic" w:hAnsi="Book Antiqua" w:cs="Arial"/>
          <w:color w:val="000000" w:themeColor="text1"/>
          <w:sz w:val="24"/>
          <w:szCs w:val="24"/>
          <w:vertAlign w:val="superscript"/>
        </w:rPr>
        <w:t>[11,21,38]</w:t>
      </w:r>
      <w:r w:rsidRPr="0028500E">
        <w:rPr>
          <w:rFonts w:ascii="Book Antiqua" w:eastAsia="MS Gothic" w:hAnsi="Book Antiqua" w:cs="Arial"/>
          <w:color w:val="000000" w:themeColor="text1"/>
          <w:sz w:val="24"/>
          <w:szCs w:val="24"/>
        </w:rPr>
        <w:t xml:space="preserve"> (Figure 3). Therefore, endoscopic examination provides insufficient information for differential diagnosis of SELs. </w:t>
      </w:r>
      <w:bookmarkStart w:id="24" w:name="_Hlk514585082"/>
      <w:r w:rsidR="003B002C" w:rsidRPr="0028500E">
        <w:rPr>
          <w:rFonts w:ascii="Book Antiqua" w:hAnsi="Book Antiqua"/>
          <w:color w:val="000000" w:themeColor="text1"/>
          <w:sz w:val="24"/>
          <w:szCs w:val="24"/>
        </w:rPr>
        <w:t>Irregular borders, ulceration, and/or growth during endoscopic follow</w:t>
      </w:r>
      <w:r w:rsidR="00657029" w:rsidRPr="0028500E">
        <w:rPr>
          <w:rFonts w:ascii="Book Antiqua" w:hAnsi="Book Antiqua"/>
          <w:color w:val="000000" w:themeColor="text1"/>
          <w:sz w:val="24"/>
          <w:szCs w:val="24"/>
        </w:rPr>
        <w:t>-</w:t>
      </w:r>
      <w:r w:rsidR="003B002C" w:rsidRPr="0028500E">
        <w:rPr>
          <w:rFonts w:ascii="Book Antiqua" w:hAnsi="Book Antiqua"/>
          <w:color w:val="000000" w:themeColor="text1"/>
          <w:sz w:val="24"/>
          <w:szCs w:val="24"/>
        </w:rPr>
        <w:t>up are considered clinically malignant features on endoscopy</w:t>
      </w:r>
      <w:r w:rsidR="00342235" w:rsidRPr="0028500E">
        <w:rPr>
          <w:rFonts w:ascii="Book Antiqua" w:hAnsi="Book Antiqua"/>
          <w:color w:val="000000" w:themeColor="text1"/>
          <w:sz w:val="24"/>
          <w:szCs w:val="24"/>
          <w:vertAlign w:val="superscript"/>
        </w:rPr>
        <w:t>[36]</w:t>
      </w:r>
      <w:r w:rsidR="003B002C" w:rsidRPr="0028500E">
        <w:rPr>
          <w:rFonts w:ascii="Book Antiqua" w:hAnsi="Book Antiqua"/>
          <w:color w:val="000000" w:themeColor="text1"/>
          <w:sz w:val="24"/>
          <w:szCs w:val="24"/>
        </w:rPr>
        <w:t>.</w:t>
      </w:r>
      <w:bookmarkEnd w:id="24"/>
      <w:r w:rsidR="003B002C" w:rsidRPr="0028500E">
        <w:rPr>
          <w:rFonts w:ascii="Book Antiqua" w:hAnsi="Book Antiqua"/>
          <w:b/>
          <w:color w:val="000000" w:themeColor="text1"/>
          <w:sz w:val="24"/>
          <w:szCs w:val="24"/>
        </w:rPr>
        <w:t xml:space="preserve"> </w:t>
      </w:r>
      <w:r w:rsidRPr="0028500E">
        <w:rPr>
          <w:rFonts w:ascii="Book Antiqua" w:eastAsia="MS Gothic" w:hAnsi="Book Antiqua" w:cs="Arial"/>
          <w:color w:val="000000" w:themeColor="text1"/>
          <w:sz w:val="24"/>
          <w:szCs w:val="24"/>
        </w:rPr>
        <w:t xml:space="preserve">GISTs are usually hard and the cushion sign is negative. When GISTs increase in size, ulceration </w:t>
      </w:r>
      <w:r w:rsidRPr="0028500E">
        <w:rPr>
          <w:rFonts w:ascii="Book Antiqua" w:eastAsia="MS Gothic" w:hAnsi="Book Antiqua" w:cs="Arial"/>
          <w:color w:val="000000" w:themeColor="text1"/>
          <w:sz w:val="24"/>
          <w:szCs w:val="24"/>
        </w:rPr>
        <w:lastRenderedPageBreak/>
        <w:t>may be seen on the top of the tumor</w:t>
      </w:r>
      <w:r w:rsidRPr="0028500E">
        <w:rPr>
          <w:rFonts w:ascii="Book Antiqua" w:eastAsia="MS Gothic" w:hAnsi="Book Antiqua" w:cs="Arial"/>
          <w:color w:val="000000" w:themeColor="text1"/>
          <w:sz w:val="24"/>
          <w:szCs w:val="24"/>
          <w:vertAlign w:val="superscript"/>
        </w:rPr>
        <w:t>[19]</w:t>
      </w:r>
      <w:r w:rsidRPr="0028500E">
        <w:rPr>
          <w:rFonts w:ascii="Book Antiqua" w:eastAsia="MS Gothic" w:hAnsi="Book Antiqua" w:cs="Arial"/>
          <w:color w:val="000000" w:themeColor="text1"/>
          <w:sz w:val="24"/>
          <w:szCs w:val="24"/>
        </w:rPr>
        <w:t xml:space="preserve">. </w:t>
      </w:r>
    </w:p>
    <w:p w14:paraId="5770526D" w14:textId="77777777" w:rsidR="00C246E8" w:rsidRPr="0028500E" w:rsidRDefault="00C246E8" w:rsidP="001E53AA">
      <w:pPr>
        <w:snapToGrid w:val="0"/>
        <w:spacing w:line="360" w:lineRule="auto"/>
        <w:ind w:firstLineChars="250" w:firstLine="600"/>
        <w:rPr>
          <w:rFonts w:ascii="Book Antiqua" w:eastAsia="MS Gothic" w:hAnsi="Book Antiqua" w:cs="Arial"/>
          <w:color w:val="000000" w:themeColor="text1"/>
          <w:sz w:val="24"/>
          <w:szCs w:val="24"/>
        </w:rPr>
      </w:pPr>
    </w:p>
    <w:p w14:paraId="33DD8F82" w14:textId="52F6B9FF" w:rsidR="00533FE4" w:rsidRPr="0028500E" w:rsidRDefault="00AB33CB" w:rsidP="001E53AA">
      <w:pPr>
        <w:snapToGrid w:val="0"/>
        <w:spacing w:line="360" w:lineRule="auto"/>
        <w:rPr>
          <w:rFonts w:ascii="Book Antiqua" w:eastAsia="MS Gothic" w:hAnsi="Book Antiqua"/>
          <w:b/>
          <w:caps/>
          <w:color w:val="000000" w:themeColor="text1"/>
          <w:sz w:val="24"/>
          <w:szCs w:val="24"/>
          <w:lang w:val="en"/>
        </w:rPr>
      </w:pPr>
      <w:r w:rsidRPr="0028500E">
        <w:rPr>
          <w:rFonts w:ascii="Book Antiqua" w:eastAsia="MS Gothic" w:hAnsi="Book Antiqua"/>
          <w:b/>
          <w:caps/>
          <w:color w:val="000000" w:themeColor="text1"/>
          <w:sz w:val="24"/>
          <w:szCs w:val="24"/>
          <w:lang w:val="en"/>
        </w:rPr>
        <w:t>E</w:t>
      </w:r>
      <w:r w:rsidR="00A26CBB" w:rsidRPr="0028500E">
        <w:rPr>
          <w:rFonts w:ascii="Book Antiqua" w:eastAsia="MS Gothic" w:hAnsi="Book Antiqua"/>
          <w:b/>
          <w:caps/>
          <w:color w:val="000000" w:themeColor="text1"/>
          <w:sz w:val="24"/>
          <w:szCs w:val="24"/>
          <w:lang w:val="en"/>
        </w:rPr>
        <w:t>US</w:t>
      </w:r>
    </w:p>
    <w:p w14:paraId="61681875" w14:textId="19C95303" w:rsidR="00A26CBB" w:rsidRPr="0028500E" w:rsidRDefault="00A26CBB" w:rsidP="001E53AA">
      <w:pPr>
        <w:snapToGrid w:val="0"/>
        <w:spacing w:line="360" w:lineRule="auto"/>
        <w:rPr>
          <w:rFonts w:ascii="Book Antiqua" w:eastAsia="MS Gothic" w:hAnsi="Book Antiqua" w:cs="Arial"/>
          <w:color w:val="000000" w:themeColor="text1"/>
          <w:sz w:val="24"/>
          <w:szCs w:val="24"/>
          <w:highlight w:val="green"/>
        </w:rPr>
      </w:pPr>
      <w:r w:rsidRPr="0028500E">
        <w:rPr>
          <w:rFonts w:ascii="Book Antiqua" w:eastAsia="MS Gothic" w:hAnsi="Book Antiqua" w:cs="Arial"/>
          <w:color w:val="000000" w:themeColor="text1"/>
          <w:sz w:val="24"/>
          <w:szCs w:val="24"/>
        </w:rPr>
        <w:t>EUS is a key test for differential diagnosis of SELs because it provides high-resolution tomographic imaging using high-frequency ultrasound. EUS provides the following information regarding SELs</w:t>
      </w:r>
      <w:r w:rsidRPr="0028500E">
        <w:rPr>
          <w:rFonts w:ascii="Book Antiqua" w:eastAsia="MS Gothic" w:hAnsi="Book Antiqua" w:cs="Arial"/>
          <w:color w:val="000000" w:themeColor="text1"/>
          <w:sz w:val="24"/>
          <w:szCs w:val="24"/>
          <w:vertAlign w:val="superscript"/>
        </w:rPr>
        <w:t>[39]</w:t>
      </w:r>
      <w:r w:rsidRPr="0028500E">
        <w:rPr>
          <w:rFonts w:ascii="Book Antiqua" w:eastAsia="MS Gothic" w:hAnsi="Book Antiqua" w:cs="Arial"/>
          <w:color w:val="000000" w:themeColor="text1"/>
          <w:sz w:val="24"/>
          <w:szCs w:val="24"/>
        </w:rPr>
        <w:t xml:space="preserve"> (Figure 4): the gastrointestinal wall layer from which it originates (within the submucosal layer, in continuity with the muscularis propria, or outside the wall), the nature of the lesion (liquid, fat, solid tumor, or blood vessel), and the true size of the SEL from a cross-sectional image</w:t>
      </w:r>
      <w:r w:rsidRPr="0028500E">
        <w:rPr>
          <w:rFonts w:ascii="Book Antiqua" w:eastAsia="MS Gothic" w:hAnsi="Book Antiqua" w:cs="Arial"/>
          <w:color w:val="000000" w:themeColor="text1"/>
          <w:sz w:val="24"/>
          <w:szCs w:val="24"/>
          <w:vertAlign w:val="superscript"/>
        </w:rPr>
        <w:t>[39]</w:t>
      </w:r>
      <w:r w:rsidRPr="0028500E">
        <w:rPr>
          <w:rFonts w:ascii="Book Antiqua" w:eastAsia="MS Gothic" w:hAnsi="Book Antiqua" w:cs="Arial"/>
          <w:color w:val="000000" w:themeColor="text1"/>
          <w:sz w:val="24"/>
          <w:szCs w:val="24"/>
        </w:rPr>
        <w:t>. Thus, EUS is the safest and most useful modality for differential diagnosis and follow-up of SELs</w:t>
      </w:r>
      <w:r w:rsidRPr="0028500E">
        <w:rPr>
          <w:rFonts w:ascii="Book Antiqua" w:eastAsia="MS Gothic" w:hAnsi="Book Antiqua" w:cs="Arial"/>
          <w:color w:val="000000" w:themeColor="text1"/>
          <w:sz w:val="24"/>
          <w:szCs w:val="24"/>
          <w:vertAlign w:val="superscript"/>
        </w:rPr>
        <w:t>[21,40,41]</w:t>
      </w:r>
      <w:r w:rsidRPr="0028500E">
        <w:rPr>
          <w:rFonts w:ascii="Book Antiqua" w:eastAsia="MS Gothic" w:hAnsi="Book Antiqua" w:cs="Arial"/>
          <w:color w:val="000000" w:themeColor="text1"/>
          <w:sz w:val="24"/>
          <w:szCs w:val="24"/>
        </w:rPr>
        <w:t>. EUS allows for the conclusive diagnosis of many lesions using echo findings only, such as lipomas (highly echoic masses) (Figure 3A</w:t>
      </w:r>
      <w:r w:rsidR="00B543E2" w:rsidRPr="0028500E">
        <w:rPr>
          <w:rFonts w:ascii="Book Antiqua" w:eastAsia="SimSun" w:hAnsi="Book Antiqua" w:cs="Arial"/>
          <w:color w:val="000000" w:themeColor="text1"/>
          <w:sz w:val="24"/>
          <w:szCs w:val="24"/>
          <w:lang w:eastAsia="zh-CN"/>
        </w:rPr>
        <w:t xml:space="preserve"> and</w:t>
      </w:r>
      <w:r w:rsidRPr="0028500E">
        <w:rPr>
          <w:rFonts w:ascii="Book Antiqua" w:eastAsia="MS Gothic" w:hAnsi="Book Antiqua" w:cs="Arial"/>
          <w:color w:val="000000" w:themeColor="text1"/>
          <w:sz w:val="24"/>
          <w:szCs w:val="24"/>
        </w:rPr>
        <w:t xml:space="preserve"> B), cyst</w:t>
      </w:r>
      <w:r w:rsidR="005E0351" w:rsidRPr="0028500E">
        <w:rPr>
          <w:rFonts w:ascii="Book Antiqua" w:eastAsia="MS Gothic" w:hAnsi="Book Antiqua" w:cs="Arial"/>
          <w:color w:val="000000" w:themeColor="text1"/>
          <w:sz w:val="24"/>
          <w:szCs w:val="24"/>
        </w:rPr>
        <w:t>s (anechoic masses) (Figure 3C</w:t>
      </w:r>
      <w:r w:rsidR="005E0351" w:rsidRPr="0028500E">
        <w:rPr>
          <w:rFonts w:ascii="Book Antiqua" w:eastAsia="SimSun" w:hAnsi="Book Antiqua" w:cs="Arial"/>
          <w:color w:val="000000" w:themeColor="text1"/>
          <w:sz w:val="24"/>
          <w:szCs w:val="24"/>
          <w:lang w:eastAsia="zh-CN"/>
        </w:rPr>
        <w:t xml:space="preserve"> and </w:t>
      </w:r>
      <w:r w:rsidRPr="0028500E">
        <w:rPr>
          <w:rFonts w:ascii="Book Antiqua" w:eastAsia="MS Gothic" w:hAnsi="Book Antiqua" w:cs="Arial"/>
          <w:color w:val="000000" w:themeColor="text1"/>
          <w:sz w:val="24"/>
          <w:szCs w:val="24"/>
        </w:rPr>
        <w:t>D), extraluminal compression by surrounding normal organs or lesions</w:t>
      </w:r>
      <w:r w:rsidRPr="0028500E">
        <w:rPr>
          <w:rFonts w:ascii="Book Antiqua" w:eastAsia="MS Gothic" w:hAnsi="Book Antiqua" w:cs="Arial"/>
          <w:color w:val="000000" w:themeColor="text1"/>
          <w:sz w:val="24"/>
          <w:szCs w:val="24"/>
          <w:vertAlign w:val="superscript"/>
        </w:rPr>
        <w:t>[42]</w:t>
      </w:r>
      <w:r w:rsidR="005E0351" w:rsidRPr="0028500E">
        <w:rPr>
          <w:rFonts w:ascii="Book Antiqua" w:eastAsia="MS Gothic" w:hAnsi="Book Antiqua" w:cs="Arial"/>
          <w:color w:val="000000" w:themeColor="text1"/>
          <w:sz w:val="24"/>
          <w:szCs w:val="24"/>
        </w:rPr>
        <w:t xml:space="preserve"> (Figure 3E</w:t>
      </w:r>
      <w:r w:rsidR="005E0351" w:rsidRPr="0028500E">
        <w:rPr>
          <w:rFonts w:ascii="Book Antiqua" w:eastAsia="SimSun" w:hAnsi="Book Antiqua" w:cs="Arial"/>
          <w:color w:val="000000" w:themeColor="text1"/>
          <w:sz w:val="24"/>
          <w:szCs w:val="24"/>
          <w:lang w:eastAsia="zh-CN"/>
        </w:rPr>
        <w:t xml:space="preserve"> and </w:t>
      </w:r>
      <w:r w:rsidR="005E0351" w:rsidRPr="0028500E">
        <w:rPr>
          <w:rFonts w:ascii="Book Antiqua" w:eastAsia="MS Gothic" w:hAnsi="Book Antiqua" w:cs="Arial"/>
          <w:color w:val="000000" w:themeColor="text1"/>
          <w:sz w:val="24"/>
          <w:szCs w:val="24"/>
        </w:rPr>
        <w:t>F), and varices (Figure 3G</w:t>
      </w:r>
      <w:r w:rsidR="005E0351" w:rsidRPr="0028500E">
        <w:rPr>
          <w:rFonts w:ascii="Book Antiqua" w:eastAsia="SimSun" w:hAnsi="Book Antiqua" w:cs="Arial"/>
          <w:color w:val="000000" w:themeColor="text1"/>
          <w:sz w:val="24"/>
          <w:szCs w:val="24"/>
          <w:lang w:eastAsia="zh-CN"/>
        </w:rPr>
        <w:t xml:space="preserve"> and</w:t>
      </w:r>
      <w:r w:rsidRPr="0028500E">
        <w:rPr>
          <w:rFonts w:ascii="Book Antiqua" w:eastAsia="MS Gothic" w:hAnsi="Book Antiqua" w:cs="Arial"/>
          <w:color w:val="000000" w:themeColor="text1"/>
          <w:sz w:val="24"/>
          <w:szCs w:val="24"/>
        </w:rPr>
        <w:t xml:space="preserve"> H)</w:t>
      </w:r>
      <w:r w:rsidRPr="0028500E">
        <w:rPr>
          <w:rFonts w:ascii="Book Antiqua" w:eastAsia="MS Gothic" w:hAnsi="Book Antiqua" w:cs="Arial"/>
          <w:color w:val="000000" w:themeColor="text1"/>
          <w:sz w:val="24"/>
          <w:szCs w:val="24"/>
          <w:vertAlign w:val="superscript"/>
        </w:rPr>
        <w:t>[21,38,43]</w:t>
      </w:r>
      <w:r w:rsidRPr="0028500E">
        <w:rPr>
          <w:rFonts w:ascii="Book Antiqua" w:eastAsia="MS Gothic" w:hAnsi="Book Antiqua" w:cs="Arial"/>
          <w:color w:val="000000" w:themeColor="text1"/>
          <w:sz w:val="24"/>
          <w:szCs w:val="24"/>
        </w:rPr>
        <w:t>.</w:t>
      </w:r>
      <w:bookmarkStart w:id="25" w:name="_Hlk514575287"/>
      <w:r w:rsidRPr="0028500E">
        <w:rPr>
          <w:rFonts w:ascii="Book Antiqua" w:eastAsia="MS Gothic" w:hAnsi="Book Antiqua" w:cs="Arial"/>
          <w:color w:val="000000" w:themeColor="text1"/>
          <w:sz w:val="24"/>
          <w:szCs w:val="24"/>
        </w:rPr>
        <w:t xml:space="preserve"> </w:t>
      </w:r>
      <w:r w:rsidR="0093564C" w:rsidRPr="0028500E">
        <w:rPr>
          <w:rFonts w:ascii="Book Antiqua" w:hAnsi="Book Antiqua" w:cs="Arial"/>
          <w:color w:val="000000" w:themeColor="text1"/>
          <w:sz w:val="24"/>
          <w:szCs w:val="24"/>
        </w:rPr>
        <w:t xml:space="preserve">The typical EUS imaging feature of </w:t>
      </w:r>
      <w:r w:rsidR="00657029" w:rsidRPr="0028500E">
        <w:rPr>
          <w:rFonts w:ascii="Book Antiqua" w:hAnsi="Book Antiqua" w:cs="Arial"/>
          <w:color w:val="000000" w:themeColor="text1"/>
          <w:sz w:val="24"/>
          <w:szCs w:val="24"/>
        </w:rPr>
        <w:t xml:space="preserve">a </w:t>
      </w:r>
      <w:r w:rsidR="0093564C" w:rsidRPr="0028500E">
        <w:rPr>
          <w:rFonts w:ascii="Book Antiqua" w:hAnsi="Book Antiqua" w:cs="Arial"/>
          <w:color w:val="000000" w:themeColor="text1"/>
          <w:sz w:val="24"/>
          <w:szCs w:val="24"/>
        </w:rPr>
        <w:t>GIST is a hypoechoic solid mass. EUS can accurately discriminate a SEL suspected to be a GIST (hypoechoic solid mass) from other SELs, including lipomas, cysts, varices, and extra-gastrointestinal compression.</w:t>
      </w:r>
      <w:r w:rsidR="00657029" w:rsidRPr="0028500E">
        <w:rPr>
          <w:rFonts w:ascii="Book Antiqua" w:hAnsi="Book Antiqua" w:cs="Arial"/>
          <w:color w:val="000000" w:themeColor="text1"/>
          <w:sz w:val="24"/>
          <w:szCs w:val="24"/>
        </w:rPr>
        <w:t xml:space="preserve"> According to previous reports, p</w:t>
      </w:r>
      <w:bookmarkStart w:id="26" w:name="_Hlk514605312"/>
      <w:bookmarkStart w:id="27" w:name="_Hlk514606956"/>
      <w:r w:rsidR="000E64E2" w:rsidRPr="0028500E">
        <w:rPr>
          <w:rFonts w:ascii="Book Antiqua" w:eastAsia="MS Gothic" w:hAnsi="Book Antiqua" w:cs="Arial"/>
          <w:color w:val="000000" w:themeColor="text1"/>
          <w:sz w:val="24"/>
          <w:szCs w:val="24"/>
        </w:rPr>
        <w:t>ossible h</w:t>
      </w:r>
      <w:r w:rsidR="00575680" w:rsidRPr="0028500E">
        <w:rPr>
          <w:rFonts w:ascii="Book Antiqua" w:eastAsia="MS Gothic" w:hAnsi="Book Antiqua" w:cs="Arial"/>
          <w:color w:val="000000" w:themeColor="text1"/>
          <w:sz w:val="24"/>
          <w:szCs w:val="24"/>
        </w:rPr>
        <w:t xml:space="preserve">igh-risk EUS features for GISTs </w:t>
      </w:r>
      <w:r w:rsidR="00657029" w:rsidRPr="0028500E">
        <w:rPr>
          <w:rFonts w:ascii="Book Antiqua" w:eastAsia="MS Gothic" w:hAnsi="Book Antiqua" w:cs="Arial"/>
          <w:color w:val="000000" w:themeColor="text1"/>
          <w:sz w:val="24"/>
          <w:szCs w:val="24"/>
        </w:rPr>
        <w:t>are a size of &gt;</w:t>
      </w:r>
      <w:r w:rsidR="00575680" w:rsidRPr="0028500E">
        <w:rPr>
          <w:rFonts w:ascii="Book Antiqua" w:eastAsia="MS Gothic" w:hAnsi="Book Antiqua" w:cs="Arial"/>
          <w:color w:val="000000" w:themeColor="text1"/>
          <w:sz w:val="24"/>
          <w:szCs w:val="24"/>
        </w:rPr>
        <w:t>2</w:t>
      </w:r>
      <w:r w:rsidR="00657029" w:rsidRPr="0028500E">
        <w:rPr>
          <w:rFonts w:ascii="Book Antiqua" w:eastAsia="MS Gothic" w:hAnsi="Book Antiqua" w:cs="Arial"/>
          <w:color w:val="000000" w:themeColor="text1"/>
          <w:sz w:val="24"/>
          <w:szCs w:val="24"/>
        </w:rPr>
        <w:t xml:space="preserve"> </w:t>
      </w:r>
      <w:r w:rsidR="00575680" w:rsidRPr="0028500E">
        <w:rPr>
          <w:rFonts w:ascii="Book Antiqua" w:eastAsia="MS Gothic" w:hAnsi="Book Antiqua" w:cs="Arial"/>
          <w:color w:val="000000" w:themeColor="text1"/>
          <w:sz w:val="24"/>
          <w:szCs w:val="24"/>
        </w:rPr>
        <w:t>cm, irregular borders, heterogeneous echo patterns, anechoic spaces, echogenic foci, and growth during follow</w:t>
      </w:r>
      <w:r w:rsidR="00657029" w:rsidRPr="0028500E">
        <w:rPr>
          <w:rFonts w:ascii="Book Antiqua" w:eastAsia="MS Gothic" w:hAnsi="Book Antiqua" w:cs="Arial"/>
          <w:color w:val="000000" w:themeColor="text1"/>
          <w:sz w:val="24"/>
          <w:szCs w:val="24"/>
        </w:rPr>
        <w:t>-</w:t>
      </w:r>
      <w:r w:rsidR="00575680" w:rsidRPr="0028500E">
        <w:rPr>
          <w:rFonts w:ascii="Book Antiqua" w:eastAsia="MS Gothic" w:hAnsi="Book Antiqua" w:cs="Arial"/>
          <w:color w:val="000000" w:themeColor="text1"/>
          <w:sz w:val="24"/>
          <w:szCs w:val="24"/>
        </w:rPr>
        <w:t>up</w:t>
      </w:r>
      <w:r w:rsidR="00575680" w:rsidRPr="0028500E">
        <w:rPr>
          <w:rFonts w:ascii="Book Antiqua" w:eastAsia="MS Gothic" w:hAnsi="Book Antiqua" w:cs="Arial"/>
          <w:color w:val="000000" w:themeColor="text1"/>
          <w:sz w:val="24"/>
          <w:szCs w:val="24"/>
          <w:vertAlign w:val="superscript"/>
        </w:rPr>
        <w:t>[44,45]</w:t>
      </w:r>
      <w:r w:rsidR="00575680" w:rsidRPr="0028500E">
        <w:rPr>
          <w:rFonts w:ascii="Book Antiqua" w:eastAsia="MS Gothic" w:hAnsi="Book Antiqua" w:cs="Arial"/>
          <w:color w:val="000000" w:themeColor="text1"/>
          <w:sz w:val="24"/>
          <w:szCs w:val="24"/>
        </w:rPr>
        <w:t>.</w:t>
      </w:r>
      <w:bookmarkEnd w:id="26"/>
      <w:r w:rsidR="00575680" w:rsidRPr="0028500E">
        <w:rPr>
          <w:rFonts w:ascii="Book Antiqua" w:eastAsia="MS Gothic" w:hAnsi="Book Antiqua" w:cs="Arial"/>
          <w:color w:val="000000" w:themeColor="text1"/>
          <w:sz w:val="24"/>
          <w:szCs w:val="24"/>
        </w:rPr>
        <w:t xml:space="preserve"> However, Kim </w:t>
      </w:r>
      <w:r w:rsidR="00575680" w:rsidRPr="0028500E">
        <w:rPr>
          <w:rFonts w:ascii="Book Antiqua" w:eastAsia="MS Gothic" w:hAnsi="Book Antiqua" w:cs="Arial"/>
          <w:i/>
          <w:color w:val="000000" w:themeColor="text1"/>
          <w:sz w:val="24"/>
          <w:szCs w:val="24"/>
        </w:rPr>
        <w:t>et al</w:t>
      </w:r>
      <w:r w:rsidR="00575680" w:rsidRPr="0028500E">
        <w:rPr>
          <w:rFonts w:ascii="Book Antiqua" w:hAnsi="Book Antiqua"/>
          <w:color w:val="000000" w:themeColor="text1"/>
          <w:sz w:val="24"/>
          <w:szCs w:val="24"/>
          <w:vertAlign w:val="superscript"/>
        </w:rPr>
        <w:t>[</w:t>
      </w:r>
      <w:bookmarkStart w:id="28" w:name="_Hlk514606463"/>
      <w:r w:rsidR="00575680" w:rsidRPr="0028500E">
        <w:rPr>
          <w:rFonts w:ascii="Book Antiqua" w:hAnsi="Book Antiqua"/>
          <w:color w:val="000000" w:themeColor="text1"/>
          <w:sz w:val="24"/>
          <w:szCs w:val="24"/>
          <w:vertAlign w:val="superscript"/>
        </w:rPr>
        <w:t>46</w:t>
      </w:r>
      <w:r w:rsidR="00575680" w:rsidRPr="0028500E">
        <w:rPr>
          <w:rFonts w:ascii="Book Antiqua" w:eastAsia="MS Gothic" w:hAnsi="Book Antiqua" w:cs="Arial"/>
          <w:color w:val="000000" w:themeColor="text1"/>
          <w:sz w:val="24"/>
          <w:szCs w:val="24"/>
          <w:vertAlign w:val="superscript"/>
        </w:rPr>
        <w:t>]</w:t>
      </w:r>
      <w:bookmarkEnd w:id="28"/>
      <w:r w:rsidR="00575680" w:rsidRPr="0028500E">
        <w:rPr>
          <w:rFonts w:ascii="Book Antiqua" w:eastAsia="MS Gothic" w:hAnsi="Book Antiqua" w:cs="Arial"/>
          <w:color w:val="000000" w:themeColor="text1"/>
          <w:sz w:val="24"/>
          <w:szCs w:val="24"/>
        </w:rPr>
        <w:t xml:space="preserve"> reported that tumor size and EUS features cannot be used to preoperatively predict the risk of malignancy of medium-sized (2</w:t>
      </w:r>
      <w:r w:rsidR="00657029" w:rsidRPr="0028500E">
        <w:rPr>
          <w:rFonts w:ascii="Book Antiqua" w:eastAsia="MS Gothic" w:hAnsi="Book Antiqua" w:cs="Arial"/>
          <w:color w:val="000000" w:themeColor="text1"/>
          <w:sz w:val="24"/>
          <w:szCs w:val="24"/>
        </w:rPr>
        <w:t>–</w:t>
      </w:r>
      <w:r w:rsidR="00575680" w:rsidRPr="0028500E">
        <w:rPr>
          <w:rFonts w:ascii="Book Antiqua" w:eastAsia="MS Gothic" w:hAnsi="Book Antiqua" w:cs="Arial"/>
          <w:color w:val="000000" w:themeColor="text1"/>
          <w:sz w:val="24"/>
          <w:szCs w:val="24"/>
        </w:rPr>
        <w:t>5 cm) gastric GISTs. At present</w:t>
      </w:r>
      <w:r w:rsidR="00657029" w:rsidRPr="0028500E">
        <w:rPr>
          <w:rFonts w:ascii="Book Antiqua" w:eastAsia="MS Gothic" w:hAnsi="Book Antiqua" w:cs="Arial"/>
          <w:color w:val="000000" w:themeColor="text1"/>
          <w:sz w:val="24"/>
          <w:szCs w:val="24"/>
        </w:rPr>
        <w:t>,</w:t>
      </w:r>
      <w:r w:rsidR="00575680" w:rsidRPr="0028500E">
        <w:rPr>
          <w:rFonts w:ascii="Book Antiqua" w:eastAsia="MS Gothic" w:hAnsi="Book Antiqua" w:cs="Arial"/>
          <w:color w:val="000000" w:themeColor="text1"/>
          <w:sz w:val="24"/>
          <w:szCs w:val="24"/>
        </w:rPr>
        <w:t xml:space="preserve"> estimation of the risk of malignancy of GISTs </w:t>
      </w:r>
      <w:r w:rsidR="00657029" w:rsidRPr="0028500E">
        <w:rPr>
          <w:rFonts w:ascii="Book Antiqua" w:eastAsia="MS Gothic" w:hAnsi="Book Antiqua" w:cs="Arial"/>
          <w:color w:val="000000" w:themeColor="text1"/>
          <w:sz w:val="24"/>
          <w:szCs w:val="24"/>
        </w:rPr>
        <w:t>of &lt;</w:t>
      </w:r>
      <w:r w:rsidR="00393837" w:rsidRPr="0028500E">
        <w:rPr>
          <w:rFonts w:ascii="Book Antiqua" w:eastAsia="SimSun" w:hAnsi="Book Antiqua" w:cs="Arial"/>
          <w:color w:val="000000" w:themeColor="text1"/>
          <w:sz w:val="24"/>
          <w:szCs w:val="24"/>
          <w:lang w:eastAsia="zh-CN"/>
        </w:rPr>
        <w:t xml:space="preserve"> </w:t>
      </w:r>
      <w:r w:rsidR="00575680" w:rsidRPr="0028500E">
        <w:rPr>
          <w:rFonts w:ascii="Book Antiqua" w:eastAsia="MS Gothic" w:hAnsi="Book Antiqua" w:cs="Arial"/>
          <w:color w:val="000000" w:themeColor="text1"/>
          <w:sz w:val="24"/>
          <w:szCs w:val="24"/>
        </w:rPr>
        <w:t>5</w:t>
      </w:r>
      <w:r w:rsidR="00657029" w:rsidRPr="0028500E">
        <w:rPr>
          <w:rFonts w:ascii="Book Antiqua" w:eastAsia="MS Gothic" w:hAnsi="Book Antiqua" w:cs="Arial"/>
          <w:color w:val="000000" w:themeColor="text1"/>
          <w:sz w:val="24"/>
          <w:szCs w:val="24"/>
        </w:rPr>
        <w:t xml:space="preserve"> </w:t>
      </w:r>
      <w:r w:rsidR="00575680" w:rsidRPr="0028500E">
        <w:rPr>
          <w:rFonts w:ascii="Book Antiqua" w:eastAsia="MS Gothic" w:hAnsi="Book Antiqua" w:cs="Arial"/>
          <w:color w:val="000000" w:themeColor="text1"/>
          <w:sz w:val="24"/>
          <w:szCs w:val="24"/>
        </w:rPr>
        <w:t>cm by EUS imag</w:t>
      </w:r>
      <w:r w:rsidR="00657029" w:rsidRPr="0028500E">
        <w:rPr>
          <w:rFonts w:ascii="Book Antiqua" w:eastAsia="MS Gothic" w:hAnsi="Book Antiqua" w:cs="Arial"/>
          <w:color w:val="000000" w:themeColor="text1"/>
          <w:sz w:val="24"/>
          <w:szCs w:val="24"/>
        </w:rPr>
        <w:t>ing</w:t>
      </w:r>
      <w:r w:rsidR="00575680" w:rsidRPr="0028500E">
        <w:rPr>
          <w:rFonts w:ascii="Book Antiqua" w:eastAsia="MS Gothic" w:hAnsi="Book Antiqua" w:cs="Arial"/>
          <w:color w:val="000000" w:themeColor="text1"/>
          <w:sz w:val="24"/>
          <w:szCs w:val="24"/>
        </w:rPr>
        <w:t xml:space="preserve"> alone seems to be difficult.</w:t>
      </w:r>
      <w:bookmarkEnd w:id="27"/>
      <w:r w:rsidR="00770809" w:rsidRPr="0028500E">
        <w:rPr>
          <w:rFonts w:ascii="Book Antiqua" w:eastAsia="MS Gothic" w:hAnsi="Book Antiqua" w:cs="Arial"/>
          <w:color w:val="000000" w:themeColor="text1"/>
          <w:sz w:val="24"/>
          <w:szCs w:val="24"/>
        </w:rPr>
        <w:t xml:space="preserve"> </w:t>
      </w:r>
      <w:r w:rsidR="00657029" w:rsidRPr="0028500E">
        <w:rPr>
          <w:rFonts w:ascii="Book Antiqua" w:eastAsia="MS Gothic" w:hAnsi="Book Antiqua" w:cs="Arial"/>
          <w:color w:val="000000" w:themeColor="text1"/>
          <w:sz w:val="24"/>
          <w:szCs w:val="24"/>
        </w:rPr>
        <w:t>The finding of a h</w:t>
      </w:r>
      <w:r w:rsidR="00132FFE" w:rsidRPr="0028500E">
        <w:rPr>
          <w:rFonts w:ascii="Book Antiqua" w:eastAsia="MS Gothic" w:hAnsi="Book Antiqua" w:cs="Arial"/>
          <w:color w:val="000000" w:themeColor="text1"/>
          <w:sz w:val="24"/>
          <w:szCs w:val="24"/>
        </w:rPr>
        <w:t xml:space="preserve">ypoechoic solid mass by EUS </w:t>
      </w:r>
      <w:r w:rsidR="00657029" w:rsidRPr="0028500E">
        <w:rPr>
          <w:rFonts w:ascii="Book Antiqua" w:eastAsia="MS Gothic" w:hAnsi="Book Antiqua" w:cs="Arial"/>
          <w:color w:val="000000" w:themeColor="text1"/>
          <w:sz w:val="24"/>
          <w:szCs w:val="24"/>
        </w:rPr>
        <w:t xml:space="preserve">is </w:t>
      </w:r>
      <w:r w:rsidRPr="0028500E">
        <w:rPr>
          <w:rFonts w:ascii="Book Antiqua" w:eastAsia="MS Gothic" w:hAnsi="Book Antiqua" w:cs="Arial"/>
          <w:color w:val="000000" w:themeColor="text1"/>
          <w:sz w:val="24"/>
          <w:szCs w:val="24"/>
        </w:rPr>
        <w:t>also seen in malignant tumors such as malignant lymphoma, metastatic cancer, neuroendocrine tumor, and S</w:t>
      </w:r>
      <w:r w:rsidR="000D5FF0" w:rsidRPr="0028500E">
        <w:rPr>
          <w:rFonts w:ascii="Book Antiqua" w:eastAsia="MS Gothic" w:hAnsi="Book Antiqua" w:cs="Arial"/>
          <w:color w:val="000000" w:themeColor="text1"/>
          <w:sz w:val="24"/>
          <w:szCs w:val="24"/>
        </w:rPr>
        <w:t>EL</w:t>
      </w:r>
      <w:r w:rsidRPr="0028500E">
        <w:rPr>
          <w:rFonts w:ascii="Book Antiqua" w:eastAsia="MS Gothic" w:hAnsi="Book Antiqua" w:cs="Arial"/>
          <w:color w:val="000000" w:themeColor="text1"/>
          <w:sz w:val="24"/>
          <w:szCs w:val="24"/>
        </w:rPr>
        <w:t>-like cancer and in benign conditions such as leiomyoma, neurinoma, and an aberrant pancreas</w:t>
      </w:r>
      <w:r w:rsidRPr="0028500E">
        <w:rPr>
          <w:rFonts w:ascii="Book Antiqua" w:eastAsia="MS Gothic" w:hAnsi="Book Antiqua" w:cs="Arial"/>
          <w:color w:val="000000" w:themeColor="text1"/>
          <w:sz w:val="24"/>
          <w:szCs w:val="24"/>
          <w:vertAlign w:val="superscript"/>
        </w:rPr>
        <w:t>[21]</w:t>
      </w:r>
      <w:r w:rsidRPr="0028500E">
        <w:rPr>
          <w:rFonts w:ascii="Book Antiqua" w:eastAsia="MS Gothic" w:hAnsi="Book Antiqua" w:cs="Arial"/>
          <w:color w:val="000000" w:themeColor="text1"/>
          <w:sz w:val="24"/>
          <w:szCs w:val="24"/>
        </w:rPr>
        <w:t xml:space="preserve">. </w:t>
      </w:r>
      <w:bookmarkEnd w:id="25"/>
      <w:r w:rsidRPr="0028500E">
        <w:rPr>
          <w:rFonts w:ascii="Book Antiqua" w:eastAsia="MS Gothic" w:hAnsi="Book Antiqua" w:cs="Arial"/>
          <w:color w:val="000000" w:themeColor="text1"/>
          <w:sz w:val="24"/>
          <w:szCs w:val="24"/>
        </w:rPr>
        <w:t xml:space="preserve">It is difficult to distinguish among these lesions using EUS findings only. The accuracy of differential diagnosis of SELs by EUS is extremely poor and ranges from 45.5% </w:t>
      </w:r>
      <w:r w:rsidRPr="0028500E">
        <w:rPr>
          <w:rFonts w:ascii="Book Antiqua" w:eastAsia="MS Gothic" w:hAnsi="Book Antiqua" w:cs="Arial"/>
          <w:color w:val="000000" w:themeColor="text1"/>
          <w:sz w:val="24"/>
          <w:szCs w:val="24"/>
        </w:rPr>
        <w:lastRenderedPageBreak/>
        <w:t>to 48.0%</w:t>
      </w:r>
      <w:r w:rsidRPr="0028500E">
        <w:rPr>
          <w:rFonts w:ascii="Book Antiqua" w:eastAsia="MS Gothic" w:hAnsi="Book Antiqua" w:cs="Arial"/>
          <w:color w:val="000000" w:themeColor="text1"/>
          <w:sz w:val="24"/>
          <w:szCs w:val="24"/>
          <w:vertAlign w:val="superscript"/>
        </w:rPr>
        <w:t>[4</w:t>
      </w:r>
      <w:r w:rsidR="00FD5DBE" w:rsidRPr="0028500E">
        <w:rPr>
          <w:rFonts w:ascii="Book Antiqua" w:eastAsia="MS Gothic" w:hAnsi="Book Antiqua" w:cs="Arial"/>
          <w:color w:val="000000" w:themeColor="text1"/>
          <w:sz w:val="24"/>
          <w:szCs w:val="24"/>
          <w:vertAlign w:val="superscript"/>
        </w:rPr>
        <w:t>7</w:t>
      </w:r>
      <w:r w:rsidRPr="0028500E">
        <w:rPr>
          <w:rFonts w:ascii="Book Antiqua" w:eastAsia="MS Gothic" w:hAnsi="Book Antiqua" w:cs="Arial"/>
          <w:color w:val="000000" w:themeColor="text1"/>
          <w:sz w:val="24"/>
          <w:szCs w:val="24"/>
          <w:vertAlign w:val="superscript"/>
        </w:rPr>
        <w:t>,4</w:t>
      </w:r>
      <w:r w:rsidR="00FD5DBE" w:rsidRPr="0028500E">
        <w:rPr>
          <w:rFonts w:ascii="Book Antiqua" w:eastAsia="MS Gothic" w:hAnsi="Book Antiqua" w:cs="Arial"/>
          <w:color w:val="000000" w:themeColor="text1"/>
          <w:sz w:val="24"/>
          <w:szCs w:val="24"/>
          <w:vertAlign w:val="superscript"/>
        </w:rPr>
        <w:t>8</w:t>
      </w:r>
      <w:r w:rsidRPr="0028500E">
        <w:rPr>
          <w:rFonts w:ascii="Book Antiqua" w:eastAsia="MS Gothic" w:hAnsi="Book Antiqua" w:cs="Arial"/>
          <w:color w:val="000000" w:themeColor="text1"/>
          <w:sz w:val="24"/>
          <w:szCs w:val="24"/>
          <w:vertAlign w:val="superscript"/>
        </w:rPr>
        <w:t>]</w:t>
      </w:r>
      <w:r w:rsidRPr="0028500E">
        <w:rPr>
          <w:rFonts w:ascii="Book Antiqua" w:eastAsia="MS Gothic" w:hAnsi="Book Antiqua" w:cs="Arial"/>
          <w:color w:val="000000" w:themeColor="text1"/>
          <w:sz w:val="24"/>
          <w:szCs w:val="24"/>
        </w:rPr>
        <w:t>. Because current EUS imaging characteristics alone provide insufficient accuracy in the diagnosis of GISTs, tissue sampling for immunohistochemical analysis using EUS-FNA or biopsy is required for a definite diagnosis before surgery or chemotherapy</w:t>
      </w:r>
      <w:r w:rsidRPr="0028500E">
        <w:rPr>
          <w:rFonts w:ascii="Book Antiqua" w:eastAsia="MS Gothic" w:hAnsi="Book Antiqua" w:cs="Arial"/>
          <w:color w:val="000000" w:themeColor="text1"/>
          <w:sz w:val="24"/>
          <w:szCs w:val="24"/>
          <w:vertAlign w:val="superscript"/>
        </w:rPr>
        <w:t>[18-21]</w:t>
      </w:r>
      <w:r w:rsidRPr="0028500E">
        <w:rPr>
          <w:rFonts w:ascii="Book Antiqua" w:eastAsia="MS Gothic" w:hAnsi="Book Antiqua" w:cs="Arial"/>
          <w:color w:val="000000" w:themeColor="text1"/>
          <w:sz w:val="24"/>
          <w:szCs w:val="24"/>
        </w:rPr>
        <w:t>.</w:t>
      </w:r>
    </w:p>
    <w:p w14:paraId="0646C425" w14:textId="7F172D29" w:rsidR="00C246E8" w:rsidRPr="0028500E" w:rsidRDefault="00C246E8" w:rsidP="001E53AA">
      <w:pPr>
        <w:snapToGrid w:val="0"/>
        <w:spacing w:line="360" w:lineRule="auto"/>
        <w:rPr>
          <w:rFonts w:ascii="Book Antiqua" w:eastAsia="MS Gothic" w:hAnsi="Book Antiqua"/>
          <w:b/>
          <w:color w:val="000000" w:themeColor="text1"/>
          <w:sz w:val="24"/>
          <w:szCs w:val="24"/>
          <w:lang w:val="en"/>
        </w:rPr>
      </w:pPr>
    </w:p>
    <w:p w14:paraId="31D51A9D" w14:textId="77777777" w:rsidR="00393837" w:rsidRPr="0028500E" w:rsidRDefault="00C246E8" w:rsidP="001E53AA">
      <w:pPr>
        <w:snapToGrid w:val="0"/>
        <w:spacing w:line="360" w:lineRule="auto"/>
        <w:rPr>
          <w:rFonts w:ascii="Book Antiqua" w:eastAsia="SimSun" w:hAnsi="Book Antiqua" w:cs="Arial"/>
          <w:b/>
          <w:caps/>
          <w:color w:val="000000" w:themeColor="text1"/>
          <w:sz w:val="24"/>
          <w:szCs w:val="24"/>
          <w:lang w:val="en" w:eastAsia="zh-CN"/>
        </w:rPr>
      </w:pPr>
      <w:r w:rsidRPr="0028500E">
        <w:rPr>
          <w:rFonts w:ascii="Book Antiqua" w:eastAsia="MS Gothic" w:hAnsi="Book Antiqua" w:cs="Arial"/>
          <w:b/>
          <w:caps/>
          <w:color w:val="000000" w:themeColor="text1"/>
          <w:sz w:val="24"/>
          <w:szCs w:val="24"/>
          <w:lang w:val="en"/>
        </w:rPr>
        <w:t>Tumor tissue sampling methods</w:t>
      </w:r>
    </w:p>
    <w:p w14:paraId="4A15E828" w14:textId="576AD5A5" w:rsidR="009D115B" w:rsidRPr="0028500E" w:rsidRDefault="009D115B" w:rsidP="001E53AA">
      <w:pPr>
        <w:snapToGrid w:val="0"/>
        <w:spacing w:line="360" w:lineRule="auto"/>
        <w:rPr>
          <w:rFonts w:ascii="Book Antiqua" w:eastAsia="MS Gothic" w:hAnsi="Book Antiqua" w:cs="Arial"/>
          <w:b/>
          <w:i/>
          <w:color w:val="000000" w:themeColor="text1"/>
          <w:sz w:val="24"/>
          <w:szCs w:val="24"/>
        </w:rPr>
      </w:pPr>
      <w:r w:rsidRPr="0028500E">
        <w:rPr>
          <w:rFonts w:ascii="Book Antiqua" w:eastAsia="MS Gothic" w:hAnsi="Book Antiqua" w:cs="Arial"/>
          <w:b/>
          <w:i/>
          <w:color w:val="000000" w:themeColor="text1"/>
          <w:sz w:val="24"/>
          <w:szCs w:val="24"/>
        </w:rPr>
        <w:t>Endoscopic forceps biopsy</w:t>
      </w:r>
    </w:p>
    <w:p w14:paraId="457813DB" w14:textId="79399B62" w:rsidR="009D115B" w:rsidRPr="0028500E" w:rsidRDefault="009D115B" w:rsidP="001E53AA">
      <w:pPr>
        <w:snapToGrid w:val="0"/>
        <w:spacing w:line="360" w:lineRule="auto"/>
        <w:rPr>
          <w:rFonts w:ascii="Book Antiqua" w:eastAsia="MS Gothic" w:hAnsi="Book Antiqua" w:cs="Arial"/>
          <w:color w:val="000000" w:themeColor="text1"/>
          <w:sz w:val="24"/>
          <w:szCs w:val="24"/>
        </w:rPr>
      </w:pPr>
      <w:r w:rsidRPr="0028500E">
        <w:rPr>
          <w:rFonts w:ascii="Book Antiqua" w:eastAsia="MS Gothic" w:hAnsi="Book Antiqua" w:cs="Arial"/>
          <w:color w:val="000000" w:themeColor="text1"/>
          <w:sz w:val="24"/>
          <w:szCs w:val="24"/>
        </w:rPr>
        <w:t>Conventional endoscopic forceps biopsy is limited because these forceps usually cannot reach the tumor beyond the overlying normal mucosa and submucosa</w:t>
      </w:r>
      <w:r w:rsidRPr="0028500E">
        <w:rPr>
          <w:rFonts w:ascii="Book Antiqua" w:eastAsia="MS Gothic" w:hAnsi="Book Antiqua" w:cs="Arial"/>
          <w:color w:val="000000" w:themeColor="text1"/>
          <w:sz w:val="24"/>
          <w:szCs w:val="24"/>
          <w:vertAlign w:val="superscript"/>
        </w:rPr>
        <w:t>[4</w:t>
      </w:r>
      <w:r w:rsidR="00FD5DBE" w:rsidRPr="0028500E">
        <w:rPr>
          <w:rFonts w:ascii="Book Antiqua" w:eastAsia="MS Gothic" w:hAnsi="Book Antiqua" w:cs="Arial"/>
          <w:color w:val="000000" w:themeColor="text1"/>
          <w:sz w:val="24"/>
          <w:szCs w:val="24"/>
          <w:vertAlign w:val="superscript"/>
        </w:rPr>
        <w:t>9</w:t>
      </w:r>
      <w:r w:rsidRPr="0028500E">
        <w:rPr>
          <w:rFonts w:ascii="Book Antiqua" w:eastAsia="MS Gothic" w:hAnsi="Book Antiqua" w:cs="Arial"/>
          <w:color w:val="000000" w:themeColor="text1"/>
          <w:sz w:val="24"/>
          <w:szCs w:val="24"/>
          <w:vertAlign w:val="superscript"/>
        </w:rPr>
        <w:t>]</w:t>
      </w:r>
      <w:r w:rsidRPr="0028500E">
        <w:rPr>
          <w:rFonts w:ascii="Book Antiqua" w:eastAsia="MS Gothic" w:hAnsi="Book Antiqua" w:cs="Arial"/>
          <w:color w:val="000000" w:themeColor="text1"/>
          <w:sz w:val="24"/>
          <w:szCs w:val="24"/>
        </w:rPr>
        <w:t>. When ulceration is present, a biopsy within the ulcer is effective for a conclusive diagnosis</w:t>
      </w:r>
      <w:r w:rsidRPr="0028500E">
        <w:rPr>
          <w:rFonts w:ascii="Book Antiqua" w:eastAsia="MS Gothic" w:hAnsi="Book Antiqua" w:cs="Arial"/>
          <w:color w:val="000000" w:themeColor="text1"/>
          <w:sz w:val="24"/>
          <w:szCs w:val="24"/>
          <w:vertAlign w:val="superscript"/>
        </w:rPr>
        <w:t>[18,4</w:t>
      </w:r>
      <w:r w:rsidR="00FD5DBE" w:rsidRPr="0028500E">
        <w:rPr>
          <w:rFonts w:ascii="Book Antiqua" w:eastAsia="MS Gothic" w:hAnsi="Book Antiqua" w:cs="Arial"/>
          <w:color w:val="000000" w:themeColor="text1"/>
          <w:sz w:val="24"/>
          <w:szCs w:val="24"/>
          <w:vertAlign w:val="superscript"/>
        </w:rPr>
        <w:t>9</w:t>
      </w:r>
      <w:r w:rsidRPr="0028500E">
        <w:rPr>
          <w:rFonts w:ascii="Book Antiqua" w:eastAsia="MS Gothic" w:hAnsi="Book Antiqua" w:cs="Arial"/>
          <w:color w:val="000000" w:themeColor="text1"/>
          <w:sz w:val="24"/>
          <w:szCs w:val="24"/>
          <w:vertAlign w:val="superscript"/>
        </w:rPr>
        <w:t>,</w:t>
      </w:r>
      <w:r w:rsidR="00FD5DBE" w:rsidRPr="0028500E">
        <w:rPr>
          <w:rFonts w:ascii="Book Antiqua" w:eastAsia="MS Gothic" w:hAnsi="Book Antiqua" w:cs="Arial"/>
          <w:color w:val="000000" w:themeColor="text1"/>
          <w:sz w:val="24"/>
          <w:szCs w:val="24"/>
          <w:vertAlign w:val="superscript"/>
        </w:rPr>
        <w:t>50</w:t>
      </w:r>
      <w:r w:rsidRPr="0028500E">
        <w:rPr>
          <w:rFonts w:ascii="Book Antiqua" w:eastAsia="MS Gothic" w:hAnsi="Book Antiqua" w:cs="Arial"/>
          <w:color w:val="000000" w:themeColor="text1"/>
          <w:sz w:val="24"/>
          <w:szCs w:val="24"/>
          <w:vertAlign w:val="superscript"/>
        </w:rPr>
        <w:t>]</w:t>
      </w:r>
      <w:r w:rsidRPr="0028500E">
        <w:rPr>
          <w:rFonts w:ascii="Book Antiqua" w:eastAsia="MS Gothic" w:hAnsi="Book Antiqua" w:cs="Arial"/>
          <w:color w:val="000000" w:themeColor="text1"/>
          <w:sz w:val="24"/>
          <w:szCs w:val="24"/>
        </w:rPr>
        <w:t>. Although special methods such as “jumbo” or “bite-on-bite” biopsy are available, the diagnostic yield of these approaches is poor, ranging from 17% to 59%</w:t>
      </w:r>
      <w:r w:rsidRPr="0028500E">
        <w:rPr>
          <w:rFonts w:ascii="Book Antiqua" w:eastAsia="MS Gothic" w:hAnsi="Book Antiqua" w:cs="Arial"/>
          <w:color w:val="000000" w:themeColor="text1"/>
          <w:sz w:val="24"/>
          <w:szCs w:val="24"/>
          <w:vertAlign w:val="superscript"/>
        </w:rPr>
        <w:t>[</w:t>
      </w:r>
      <w:r w:rsidR="00FD5DBE" w:rsidRPr="0028500E">
        <w:rPr>
          <w:rFonts w:ascii="Book Antiqua" w:eastAsia="MS Gothic" w:hAnsi="Book Antiqua" w:cs="Arial"/>
          <w:color w:val="000000" w:themeColor="text1"/>
          <w:sz w:val="24"/>
          <w:szCs w:val="24"/>
          <w:vertAlign w:val="superscript"/>
        </w:rPr>
        <w:t>51</w:t>
      </w:r>
      <w:r w:rsidR="00657029" w:rsidRPr="0028500E">
        <w:rPr>
          <w:rFonts w:ascii="Book Antiqua" w:eastAsia="MS Gothic" w:hAnsi="Book Antiqua" w:cs="Arial"/>
          <w:color w:val="000000" w:themeColor="text1"/>
          <w:sz w:val="24"/>
          <w:szCs w:val="24"/>
          <w:vertAlign w:val="superscript"/>
        </w:rPr>
        <w:t>-</w:t>
      </w:r>
      <w:r w:rsidRPr="0028500E">
        <w:rPr>
          <w:rFonts w:ascii="Book Antiqua" w:eastAsia="MS Gothic" w:hAnsi="Book Antiqua" w:cs="Arial"/>
          <w:color w:val="000000" w:themeColor="text1"/>
          <w:sz w:val="24"/>
          <w:szCs w:val="24"/>
          <w:vertAlign w:val="superscript"/>
        </w:rPr>
        <w:t>5</w:t>
      </w:r>
      <w:r w:rsidR="00FD5DBE" w:rsidRPr="0028500E">
        <w:rPr>
          <w:rFonts w:ascii="Book Antiqua" w:eastAsia="MS Gothic" w:hAnsi="Book Antiqua" w:cs="Arial"/>
          <w:color w:val="000000" w:themeColor="text1"/>
          <w:sz w:val="24"/>
          <w:szCs w:val="24"/>
          <w:vertAlign w:val="superscript"/>
        </w:rPr>
        <w:t>3</w:t>
      </w:r>
      <w:r w:rsidRPr="0028500E">
        <w:rPr>
          <w:rFonts w:ascii="Book Antiqua" w:eastAsia="MS Gothic" w:hAnsi="Book Antiqua" w:cs="Arial"/>
          <w:color w:val="000000" w:themeColor="text1"/>
          <w:sz w:val="24"/>
          <w:szCs w:val="24"/>
          <w:vertAlign w:val="superscript"/>
        </w:rPr>
        <w:t>]</w:t>
      </w:r>
      <w:r w:rsidRPr="0028500E">
        <w:rPr>
          <w:rFonts w:ascii="Book Antiqua" w:eastAsia="MS Gothic" w:hAnsi="Book Antiqua" w:cs="Arial"/>
          <w:color w:val="000000" w:themeColor="text1"/>
          <w:sz w:val="24"/>
          <w:szCs w:val="24"/>
        </w:rPr>
        <w:t>. Additionally, one study showed that significant bleeding occurred in 35.7% of patients after jumbo biopsy, and 34.9% of patients needed subsequent endoscopic hemostasis</w:t>
      </w:r>
      <w:r w:rsidRPr="0028500E">
        <w:rPr>
          <w:rFonts w:ascii="Book Antiqua" w:eastAsia="MS Gothic" w:hAnsi="Book Antiqua" w:cs="Arial"/>
          <w:color w:val="000000" w:themeColor="text1"/>
          <w:sz w:val="24"/>
          <w:szCs w:val="24"/>
          <w:vertAlign w:val="superscript"/>
        </w:rPr>
        <w:t>[5</w:t>
      </w:r>
      <w:r w:rsidR="00FD5DBE" w:rsidRPr="0028500E">
        <w:rPr>
          <w:rFonts w:ascii="Book Antiqua" w:eastAsia="MS Gothic" w:hAnsi="Book Antiqua" w:cs="Arial"/>
          <w:color w:val="000000" w:themeColor="text1"/>
          <w:sz w:val="24"/>
          <w:szCs w:val="24"/>
          <w:vertAlign w:val="superscript"/>
        </w:rPr>
        <w:t>3</w:t>
      </w:r>
      <w:r w:rsidRPr="0028500E">
        <w:rPr>
          <w:rFonts w:ascii="Book Antiqua" w:eastAsia="MS Gothic" w:hAnsi="Book Antiqua" w:cs="Arial"/>
          <w:color w:val="000000" w:themeColor="text1"/>
          <w:sz w:val="24"/>
          <w:szCs w:val="24"/>
          <w:vertAlign w:val="superscript"/>
        </w:rPr>
        <w:t>]</w:t>
      </w:r>
      <w:r w:rsidRPr="0028500E">
        <w:rPr>
          <w:rFonts w:ascii="Book Antiqua" w:eastAsia="MS Gothic" w:hAnsi="Book Antiqua" w:cs="Arial"/>
          <w:color w:val="000000" w:themeColor="text1"/>
          <w:sz w:val="24"/>
          <w:szCs w:val="24"/>
        </w:rPr>
        <w:t>.</w:t>
      </w:r>
    </w:p>
    <w:p w14:paraId="6C53A5C5" w14:textId="77777777" w:rsidR="00393837" w:rsidRPr="0028500E" w:rsidRDefault="00393837" w:rsidP="001E53AA">
      <w:pPr>
        <w:snapToGrid w:val="0"/>
        <w:spacing w:line="360" w:lineRule="auto"/>
        <w:rPr>
          <w:rFonts w:ascii="Book Antiqua" w:eastAsia="SimSun" w:hAnsi="Book Antiqua" w:cs="Arial"/>
          <w:color w:val="000000" w:themeColor="text1"/>
          <w:sz w:val="24"/>
          <w:szCs w:val="24"/>
          <w:lang w:eastAsia="zh-CN"/>
        </w:rPr>
      </w:pPr>
    </w:p>
    <w:p w14:paraId="2A9EA3C8" w14:textId="320B088C" w:rsidR="009D115B" w:rsidRPr="0028500E" w:rsidRDefault="009D115B" w:rsidP="001E53AA">
      <w:pPr>
        <w:snapToGrid w:val="0"/>
        <w:spacing w:line="360" w:lineRule="auto"/>
        <w:rPr>
          <w:rFonts w:ascii="Book Antiqua" w:eastAsia="MS Gothic" w:hAnsi="Book Antiqua" w:cs="Arial"/>
          <w:b/>
          <w:i/>
          <w:color w:val="000000" w:themeColor="text1"/>
          <w:sz w:val="24"/>
          <w:szCs w:val="24"/>
        </w:rPr>
      </w:pPr>
      <w:r w:rsidRPr="0028500E">
        <w:rPr>
          <w:rFonts w:ascii="Book Antiqua" w:eastAsia="MS Gothic" w:hAnsi="Book Antiqua" w:cs="Arial"/>
          <w:b/>
          <w:i/>
          <w:color w:val="000000" w:themeColor="text1"/>
          <w:sz w:val="24"/>
          <w:szCs w:val="24"/>
        </w:rPr>
        <w:t>EUS-FNA</w:t>
      </w:r>
    </w:p>
    <w:p w14:paraId="6171770A" w14:textId="45D32B4F" w:rsidR="001616A1" w:rsidRPr="0028500E" w:rsidRDefault="009D115B" w:rsidP="001E53AA">
      <w:pPr>
        <w:snapToGrid w:val="0"/>
        <w:spacing w:line="360" w:lineRule="auto"/>
        <w:rPr>
          <w:rFonts w:ascii="Book Antiqua" w:eastAsia="MS Gothic" w:hAnsi="Book Antiqua" w:cs="Arial"/>
          <w:color w:val="000000" w:themeColor="text1"/>
          <w:sz w:val="24"/>
          <w:szCs w:val="24"/>
        </w:rPr>
      </w:pPr>
      <w:r w:rsidRPr="0028500E">
        <w:rPr>
          <w:rFonts w:ascii="Book Antiqua" w:eastAsia="MS Gothic" w:hAnsi="Book Antiqua" w:cs="Arial"/>
          <w:color w:val="000000" w:themeColor="text1"/>
          <w:sz w:val="24"/>
          <w:szCs w:val="24"/>
        </w:rPr>
        <w:t xml:space="preserve">EUS-FNA is the most established tissue sampling method for SELs and can provide a conclusive immunohistochemical diagnosis safely and accurately </w:t>
      </w:r>
      <w:r w:rsidR="001508F5" w:rsidRPr="0028500E">
        <w:rPr>
          <w:rFonts w:ascii="Book Antiqua" w:eastAsia="MS Gothic" w:hAnsi="Book Antiqua" w:cs="Arial"/>
          <w:color w:val="000000" w:themeColor="text1"/>
          <w:sz w:val="24"/>
          <w:szCs w:val="24"/>
        </w:rPr>
        <w:t>(</w:t>
      </w:r>
      <w:r w:rsidRPr="0028500E">
        <w:rPr>
          <w:rFonts w:ascii="Book Antiqua" w:eastAsia="MS Gothic" w:hAnsi="Book Antiqua" w:cs="Arial"/>
          <w:color w:val="000000" w:themeColor="text1"/>
          <w:sz w:val="24"/>
          <w:szCs w:val="24"/>
        </w:rPr>
        <w:t>Figure 5) (Video 1). Typical EUS-FNA findings of GISTs are K</w:t>
      </w:r>
      <w:r w:rsidR="00657029" w:rsidRPr="0028500E">
        <w:rPr>
          <w:rFonts w:ascii="Book Antiqua" w:eastAsia="MS Gothic" w:hAnsi="Book Antiqua" w:cs="Arial"/>
          <w:color w:val="000000" w:themeColor="text1"/>
          <w:sz w:val="24"/>
          <w:szCs w:val="24"/>
        </w:rPr>
        <w:t>IT</w:t>
      </w:r>
      <w:r w:rsidRPr="0028500E">
        <w:rPr>
          <w:rFonts w:ascii="Book Antiqua" w:eastAsia="MS Gothic" w:hAnsi="Book Antiqua" w:cs="Arial"/>
          <w:color w:val="000000" w:themeColor="text1"/>
          <w:sz w:val="24"/>
          <w:szCs w:val="24"/>
        </w:rPr>
        <w:t>- or CD34-positive spindle-shaped cells or epithelial cells. The diagnostic rate of SELs using EUS-FNA ranges from 62.0% to 93.4%</w:t>
      </w:r>
      <w:r w:rsidRPr="0028500E">
        <w:rPr>
          <w:rFonts w:ascii="Book Antiqua" w:eastAsia="MS Gothic" w:hAnsi="Book Antiqua" w:cs="Arial"/>
          <w:color w:val="000000" w:themeColor="text1"/>
          <w:sz w:val="24"/>
          <w:szCs w:val="24"/>
          <w:vertAlign w:val="superscript"/>
        </w:rPr>
        <w:t>[23,5</w:t>
      </w:r>
      <w:r w:rsidR="00FD5DBE" w:rsidRPr="0028500E">
        <w:rPr>
          <w:rFonts w:ascii="Book Antiqua" w:eastAsia="MS Gothic" w:hAnsi="Book Antiqua" w:cs="Arial"/>
          <w:color w:val="000000" w:themeColor="text1"/>
          <w:sz w:val="24"/>
          <w:szCs w:val="24"/>
          <w:vertAlign w:val="superscript"/>
        </w:rPr>
        <w:t>4</w:t>
      </w:r>
      <w:r w:rsidRPr="0028500E">
        <w:rPr>
          <w:rFonts w:ascii="Book Antiqua" w:eastAsia="MS Gothic" w:hAnsi="Book Antiqua" w:cs="Arial"/>
          <w:color w:val="000000" w:themeColor="text1"/>
          <w:sz w:val="24"/>
          <w:szCs w:val="24"/>
          <w:vertAlign w:val="superscript"/>
        </w:rPr>
        <w:t>-5</w:t>
      </w:r>
      <w:r w:rsidR="00FD5DBE" w:rsidRPr="0028500E">
        <w:rPr>
          <w:rFonts w:ascii="Book Antiqua" w:eastAsia="MS Gothic" w:hAnsi="Book Antiqua" w:cs="Arial"/>
          <w:color w:val="000000" w:themeColor="text1"/>
          <w:sz w:val="24"/>
          <w:szCs w:val="24"/>
          <w:vertAlign w:val="superscript"/>
        </w:rPr>
        <w:t>6</w:t>
      </w:r>
      <w:r w:rsidRPr="0028500E">
        <w:rPr>
          <w:rFonts w:ascii="Book Antiqua" w:eastAsia="MS Gothic" w:hAnsi="Book Antiqua" w:cs="Arial"/>
          <w:color w:val="000000" w:themeColor="text1"/>
          <w:sz w:val="24"/>
          <w:szCs w:val="24"/>
          <w:vertAlign w:val="superscript"/>
        </w:rPr>
        <w:t>]</w:t>
      </w:r>
      <w:r w:rsidRPr="0028500E">
        <w:rPr>
          <w:rFonts w:ascii="Book Antiqua" w:eastAsia="MS Gothic" w:hAnsi="Book Antiqua" w:cs="Arial"/>
          <w:color w:val="000000" w:themeColor="text1"/>
          <w:sz w:val="24"/>
          <w:szCs w:val="24"/>
        </w:rPr>
        <w:t>. The diagnostic rate according to tumor diameter is 71% for 1- to 2-cm tumors, 86% for 2- to 4-cm tumors, and 100% for &gt;</w:t>
      </w:r>
      <w:r w:rsidR="00C37452" w:rsidRPr="0028500E">
        <w:rPr>
          <w:rFonts w:ascii="Book Antiqua" w:eastAsia="SimSun" w:hAnsi="Book Antiqua" w:cs="Arial"/>
          <w:color w:val="000000" w:themeColor="text1"/>
          <w:sz w:val="24"/>
          <w:szCs w:val="24"/>
          <w:lang w:eastAsia="zh-CN"/>
        </w:rPr>
        <w:t xml:space="preserve"> </w:t>
      </w:r>
      <w:r w:rsidRPr="0028500E">
        <w:rPr>
          <w:rFonts w:ascii="Book Antiqua" w:eastAsia="MS Gothic" w:hAnsi="Book Antiqua" w:cs="Arial"/>
          <w:color w:val="000000" w:themeColor="text1"/>
          <w:sz w:val="24"/>
          <w:szCs w:val="24"/>
        </w:rPr>
        <w:t>4-cm tumors</w:t>
      </w:r>
      <w:r w:rsidRPr="0028500E">
        <w:rPr>
          <w:rFonts w:ascii="Book Antiqua" w:eastAsia="MS Gothic" w:hAnsi="Book Antiqua" w:cs="Arial"/>
          <w:color w:val="000000" w:themeColor="text1"/>
          <w:sz w:val="24"/>
          <w:szCs w:val="24"/>
          <w:vertAlign w:val="superscript"/>
        </w:rPr>
        <w:t>[23]</w:t>
      </w:r>
      <w:r w:rsidRPr="0028500E">
        <w:rPr>
          <w:rFonts w:ascii="Book Antiqua" w:eastAsia="MS Gothic" w:hAnsi="Book Antiqua" w:cs="Arial"/>
          <w:color w:val="000000" w:themeColor="text1"/>
          <w:sz w:val="24"/>
          <w:szCs w:val="24"/>
        </w:rPr>
        <w:t xml:space="preserve">. The diagnostic rate tends to be higher as the tumor diameter increases. </w:t>
      </w:r>
      <w:bookmarkStart w:id="29" w:name="_Hlk514575136"/>
      <w:r w:rsidR="000F05D3" w:rsidRPr="0028500E">
        <w:rPr>
          <w:rFonts w:ascii="Book Antiqua" w:hAnsi="Book Antiqua" w:cs="Arial"/>
          <w:color w:val="000000" w:themeColor="text1"/>
          <w:sz w:val="24"/>
          <w:szCs w:val="24"/>
        </w:rPr>
        <w:t>Unfortunately</w:t>
      </w:r>
      <w:r w:rsidR="00657029" w:rsidRPr="0028500E">
        <w:rPr>
          <w:rFonts w:ascii="Book Antiqua" w:hAnsi="Book Antiqua" w:cs="Arial"/>
          <w:color w:val="000000" w:themeColor="text1"/>
          <w:sz w:val="24"/>
          <w:szCs w:val="24"/>
        </w:rPr>
        <w:t>,</w:t>
      </w:r>
      <w:r w:rsidR="000F05D3" w:rsidRPr="0028500E">
        <w:rPr>
          <w:rFonts w:ascii="Book Antiqua" w:hAnsi="Book Antiqua" w:cs="Arial"/>
          <w:color w:val="000000" w:themeColor="text1"/>
          <w:sz w:val="24"/>
          <w:szCs w:val="24"/>
        </w:rPr>
        <w:t xml:space="preserve"> EUS-FNA for a subepithelial hypoechoic solid mass of &lt;</w:t>
      </w:r>
      <w:r w:rsidR="00C37452" w:rsidRPr="0028500E">
        <w:rPr>
          <w:rFonts w:ascii="Book Antiqua" w:eastAsia="SimSun" w:hAnsi="Book Antiqua" w:cs="Arial"/>
          <w:color w:val="000000" w:themeColor="text1"/>
          <w:sz w:val="24"/>
          <w:szCs w:val="24"/>
          <w:lang w:eastAsia="zh-CN"/>
        </w:rPr>
        <w:t xml:space="preserve"> </w:t>
      </w:r>
      <w:r w:rsidR="000F05D3" w:rsidRPr="0028500E">
        <w:rPr>
          <w:rFonts w:ascii="Book Antiqua" w:hAnsi="Book Antiqua" w:cs="Arial"/>
          <w:color w:val="000000" w:themeColor="text1"/>
          <w:sz w:val="24"/>
          <w:szCs w:val="24"/>
        </w:rPr>
        <w:t>1 cm is technically difficult using a standard EUS-FNA scope; thus, EUS-FNA is recommended for masses of &gt;</w:t>
      </w:r>
      <w:r w:rsidR="00C37452" w:rsidRPr="0028500E">
        <w:rPr>
          <w:rFonts w:ascii="Book Antiqua" w:eastAsia="SimSun" w:hAnsi="Book Antiqua" w:cs="Arial"/>
          <w:color w:val="000000" w:themeColor="text1"/>
          <w:sz w:val="24"/>
          <w:szCs w:val="24"/>
          <w:lang w:eastAsia="zh-CN"/>
        </w:rPr>
        <w:t xml:space="preserve"> </w:t>
      </w:r>
      <w:r w:rsidR="000F05D3" w:rsidRPr="0028500E">
        <w:rPr>
          <w:rFonts w:ascii="Book Antiqua" w:hAnsi="Book Antiqua" w:cs="Arial"/>
          <w:color w:val="000000" w:themeColor="text1"/>
          <w:sz w:val="24"/>
          <w:szCs w:val="24"/>
        </w:rPr>
        <w:t>1 cm</w:t>
      </w:r>
      <w:r w:rsidR="000F05D3" w:rsidRPr="0028500E">
        <w:rPr>
          <w:rFonts w:ascii="Book Antiqua" w:hAnsi="Book Antiqua" w:cs="Arial"/>
          <w:color w:val="000000" w:themeColor="text1"/>
          <w:sz w:val="24"/>
          <w:szCs w:val="24"/>
          <w:vertAlign w:val="superscript"/>
        </w:rPr>
        <w:t>[5</w:t>
      </w:r>
      <w:r w:rsidR="00FD5DBE" w:rsidRPr="0028500E">
        <w:rPr>
          <w:rFonts w:ascii="Book Antiqua" w:hAnsi="Book Antiqua" w:cs="Arial"/>
          <w:color w:val="000000" w:themeColor="text1"/>
          <w:sz w:val="24"/>
          <w:szCs w:val="24"/>
          <w:vertAlign w:val="superscript"/>
        </w:rPr>
        <w:t>6</w:t>
      </w:r>
      <w:r w:rsidR="000F05D3" w:rsidRPr="0028500E">
        <w:rPr>
          <w:rFonts w:ascii="Book Antiqua" w:hAnsi="Book Antiqua" w:cs="Arial"/>
          <w:color w:val="000000" w:themeColor="text1"/>
          <w:sz w:val="24"/>
          <w:szCs w:val="24"/>
          <w:vertAlign w:val="superscript"/>
        </w:rPr>
        <w:t>,</w:t>
      </w:r>
      <w:r w:rsidR="00FD5DBE" w:rsidRPr="0028500E">
        <w:rPr>
          <w:rFonts w:ascii="Book Antiqua" w:hAnsi="Book Antiqua" w:cs="Arial"/>
          <w:color w:val="000000" w:themeColor="text1"/>
          <w:sz w:val="24"/>
          <w:szCs w:val="24"/>
          <w:vertAlign w:val="superscript"/>
        </w:rPr>
        <w:t>57</w:t>
      </w:r>
      <w:r w:rsidR="000F05D3" w:rsidRPr="0028500E">
        <w:rPr>
          <w:rFonts w:ascii="Book Antiqua" w:hAnsi="Book Antiqua" w:cs="Arial"/>
          <w:color w:val="000000" w:themeColor="text1"/>
          <w:sz w:val="24"/>
          <w:szCs w:val="24"/>
          <w:vertAlign w:val="superscript"/>
        </w:rPr>
        <w:t>]</w:t>
      </w:r>
      <w:r w:rsidR="000F05D3" w:rsidRPr="0028500E">
        <w:rPr>
          <w:rFonts w:ascii="Book Antiqua" w:hAnsi="Book Antiqua" w:cs="Arial"/>
          <w:color w:val="000000" w:themeColor="text1"/>
          <w:sz w:val="24"/>
          <w:szCs w:val="24"/>
        </w:rPr>
        <w:t xml:space="preserve">. However, </w:t>
      </w:r>
      <w:r w:rsidR="000F05D3" w:rsidRPr="0028500E">
        <w:rPr>
          <w:rFonts w:ascii="Book Antiqua" w:eastAsia="MS Gothic" w:hAnsi="Book Antiqua" w:cs="Arial"/>
          <w:color w:val="000000" w:themeColor="text1"/>
          <w:sz w:val="24"/>
          <w:szCs w:val="24"/>
        </w:rPr>
        <w:t>f</w:t>
      </w:r>
      <w:r w:rsidRPr="0028500E">
        <w:rPr>
          <w:rFonts w:ascii="Book Antiqua" w:eastAsia="MS Gothic" w:hAnsi="Book Antiqua" w:cs="Arial"/>
          <w:color w:val="000000" w:themeColor="text1"/>
          <w:sz w:val="24"/>
          <w:szCs w:val="24"/>
        </w:rPr>
        <w:t>orward-viewing and curved linear-array echoendoscopes</w:t>
      </w:r>
      <w:r w:rsidR="00212745" w:rsidRPr="0028500E">
        <w:rPr>
          <w:rFonts w:ascii="Book Antiqua" w:eastAsia="MS Gothic" w:hAnsi="Book Antiqua" w:cs="Arial"/>
          <w:color w:val="000000" w:themeColor="text1"/>
          <w:sz w:val="24"/>
          <w:szCs w:val="24"/>
        </w:rPr>
        <w:t xml:space="preserve"> </w:t>
      </w:r>
      <w:r w:rsidRPr="0028500E">
        <w:rPr>
          <w:rFonts w:ascii="Book Antiqua" w:eastAsia="MS Gothic" w:hAnsi="Book Antiqua" w:cs="Arial"/>
          <w:color w:val="000000" w:themeColor="text1"/>
          <w:sz w:val="24"/>
          <w:szCs w:val="24"/>
          <w:vertAlign w:val="superscript"/>
        </w:rPr>
        <w:t>[5</w:t>
      </w:r>
      <w:r w:rsidR="00FD5DBE" w:rsidRPr="0028500E">
        <w:rPr>
          <w:rFonts w:ascii="Book Antiqua" w:eastAsia="MS Gothic" w:hAnsi="Book Antiqua" w:cs="Arial"/>
          <w:color w:val="000000" w:themeColor="text1"/>
          <w:sz w:val="24"/>
          <w:szCs w:val="24"/>
          <w:vertAlign w:val="superscript"/>
        </w:rPr>
        <w:t>8</w:t>
      </w:r>
      <w:r w:rsidRPr="0028500E">
        <w:rPr>
          <w:rFonts w:ascii="Book Antiqua" w:eastAsia="MS Gothic" w:hAnsi="Book Antiqua" w:cs="Arial"/>
          <w:color w:val="000000" w:themeColor="text1"/>
          <w:sz w:val="24"/>
          <w:szCs w:val="24"/>
          <w:vertAlign w:val="superscript"/>
        </w:rPr>
        <w:t>]</w:t>
      </w:r>
      <w:r w:rsidRPr="0028500E">
        <w:rPr>
          <w:rFonts w:ascii="Book Antiqua" w:eastAsia="MS Gothic" w:hAnsi="Book Antiqua" w:cs="Arial"/>
          <w:color w:val="000000" w:themeColor="text1"/>
          <w:sz w:val="24"/>
          <w:szCs w:val="24"/>
        </w:rPr>
        <w:t xml:space="preserve"> and drill needles</w:t>
      </w:r>
      <w:r w:rsidRPr="0028500E">
        <w:rPr>
          <w:rFonts w:ascii="Book Antiqua" w:eastAsia="MS Gothic" w:hAnsi="Book Antiqua" w:cs="Arial"/>
          <w:color w:val="000000" w:themeColor="text1"/>
          <w:sz w:val="24"/>
          <w:szCs w:val="24"/>
          <w:vertAlign w:val="superscript"/>
        </w:rPr>
        <w:t>[5</w:t>
      </w:r>
      <w:r w:rsidR="00FD5DBE" w:rsidRPr="0028500E">
        <w:rPr>
          <w:rFonts w:ascii="Book Antiqua" w:eastAsia="MS Gothic" w:hAnsi="Book Antiqua" w:cs="Arial"/>
          <w:color w:val="000000" w:themeColor="text1"/>
          <w:sz w:val="24"/>
          <w:szCs w:val="24"/>
          <w:vertAlign w:val="superscript"/>
        </w:rPr>
        <w:t>9</w:t>
      </w:r>
      <w:r w:rsidRPr="0028500E">
        <w:rPr>
          <w:rFonts w:ascii="Book Antiqua" w:eastAsia="MS Gothic" w:hAnsi="Book Antiqua" w:cs="Arial"/>
          <w:color w:val="000000" w:themeColor="text1"/>
          <w:sz w:val="24"/>
          <w:szCs w:val="24"/>
          <w:vertAlign w:val="superscript"/>
        </w:rPr>
        <w:t>]</w:t>
      </w:r>
      <w:r w:rsidRPr="0028500E">
        <w:rPr>
          <w:rFonts w:ascii="Book Antiqua" w:eastAsia="MS Gothic" w:hAnsi="Book Antiqua" w:cs="Arial"/>
          <w:color w:val="000000" w:themeColor="text1"/>
          <w:sz w:val="24"/>
          <w:szCs w:val="24"/>
        </w:rPr>
        <w:t xml:space="preserve"> have recently been developed and are expected to improve the diagnostic rate of small SELs.</w:t>
      </w:r>
      <w:r w:rsidR="000F05D3" w:rsidRPr="0028500E">
        <w:rPr>
          <w:rFonts w:ascii="Book Antiqua" w:eastAsia="MS Gothic" w:hAnsi="Book Antiqua" w:cs="Arial"/>
          <w:color w:val="000000" w:themeColor="text1"/>
          <w:sz w:val="24"/>
          <w:szCs w:val="24"/>
        </w:rPr>
        <w:t xml:space="preserve"> </w:t>
      </w:r>
      <w:r w:rsidR="00657029" w:rsidRPr="0028500E">
        <w:rPr>
          <w:rFonts w:ascii="Book Antiqua" w:eastAsia="MS Gothic" w:hAnsi="Book Antiqua" w:cs="Arial"/>
          <w:color w:val="000000" w:themeColor="text1"/>
          <w:sz w:val="24"/>
          <w:szCs w:val="24"/>
        </w:rPr>
        <w:t>The rate of a</w:t>
      </w:r>
      <w:r w:rsidR="000F05D3" w:rsidRPr="0028500E">
        <w:rPr>
          <w:rFonts w:ascii="Book Antiqua" w:eastAsia="MS Gothic" w:hAnsi="Book Antiqua" w:cs="Arial"/>
          <w:color w:val="000000" w:themeColor="text1"/>
          <w:sz w:val="24"/>
          <w:szCs w:val="24"/>
        </w:rPr>
        <w:t>dverse event</w:t>
      </w:r>
      <w:r w:rsidR="00B42D36" w:rsidRPr="0028500E">
        <w:rPr>
          <w:rFonts w:ascii="Book Antiqua" w:eastAsia="MS Gothic" w:hAnsi="Book Antiqua" w:cs="Arial"/>
          <w:color w:val="000000" w:themeColor="text1"/>
          <w:sz w:val="24"/>
          <w:szCs w:val="24"/>
        </w:rPr>
        <w:t>s</w:t>
      </w:r>
      <w:r w:rsidR="000F05D3" w:rsidRPr="0028500E">
        <w:rPr>
          <w:rFonts w:ascii="Book Antiqua" w:eastAsia="MS Gothic" w:hAnsi="Book Antiqua" w:cs="Arial"/>
          <w:color w:val="000000" w:themeColor="text1"/>
          <w:sz w:val="24"/>
          <w:szCs w:val="24"/>
        </w:rPr>
        <w:t xml:space="preserve"> </w:t>
      </w:r>
      <w:r w:rsidR="00657029" w:rsidRPr="0028500E">
        <w:rPr>
          <w:rFonts w:ascii="Book Antiqua" w:eastAsia="MS Gothic" w:hAnsi="Book Antiqua" w:cs="Arial"/>
          <w:color w:val="000000" w:themeColor="text1"/>
          <w:sz w:val="24"/>
          <w:szCs w:val="24"/>
        </w:rPr>
        <w:t xml:space="preserve">associated with </w:t>
      </w:r>
      <w:r w:rsidR="000F05D3" w:rsidRPr="0028500E">
        <w:rPr>
          <w:rFonts w:ascii="Book Antiqua" w:eastAsia="MS Gothic" w:hAnsi="Book Antiqua" w:cs="Arial"/>
          <w:color w:val="000000" w:themeColor="text1"/>
          <w:sz w:val="24"/>
          <w:szCs w:val="24"/>
        </w:rPr>
        <w:lastRenderedPageBreak/>
        <w:t xml:space="preserve">EUS-FNA using a 22-gauge needle </w:t>
      </w:r>
      <w:r w:rsidR="00657029" w:rsidRPr="0028500E">
        <w:rPr>
          <w:rFonts w:ascii="Book Antiqua" w:eastAsia="MS Gothic" w:hAnsi="Book Antiqua" w:cs="Arial"/>
          <w:color w:val="000000" w:themeColor="text1"/>
          <w:sz w:val="24"/>
          <w:szCs w:val="24"/>
        </w:rPr>
        <w:t>is</w:t>
      </w:r>
      <w:r w:rsidR="000F05D3" w:rsidRPr="0028500E">
        <w:rPr>
          <w:rFonts w:ascii="Book Antiqua" w:eastAsia="MS Gothic" w:hAnsi="Book Antiqua" w:cs="Arial"/>
          <w:color w:val="000000" w:themeColor="text1"/>
          <w:sz w:val="24"/>
          <w:szCs w:val="24"/>
        </w:rPr>
        <w:t xml:space="preserve"> reportedly close to 0%</w:t>
      </w:r>
      <w:r w:rsidR="000F05D3" w:rsidRPr="0028500E">
        <w:rPr>
          <w:rFonts w:ascii="Book Antiqua" w:eastAsia="MS Gothic" w:hAnsi="Book Antiqua" w:cs="Arial"/>
          <w:color w:val="000000" w:themeColor="text1"/>
          <w:sz w:val="24"/>
          <w:szCs w:val="24"/>
          <w:vertAlign w:val="superscript"/>
        </w:rPr>
        <w:t>[5</w:t>
      </w:r>
      <w:r w:rsidR="00FD5DBE" w:rsidRPr="0028500E">
        <w:rPr>
          <w:rFonts w:ascii="Book Antiqua" w:eastAsia="MS Gothic" w:hAnsi="Book Antiqua" w:cs="Arial"/>
          <w:color w:val="000000" w:themeColor="text1"/>
          <w:sz w:val="24"/>
          <w:szCs w:val="24"/>
          <w:vertAlign w:val="superscript"/>
        </w:rPr>
        <w:t>4</w:t>
      </w:r>
      <w:r w:rsidR="000F05D3" w:rsidRPr="0028500E">
        <w:rPr>
          <w:rFonts w:ascii="Book Antiqua" w:eastAsia="MS Gothic" w:hAnsi="Book Antiqua" w:cs="Arial"/>
          <w:color w:val="000000" w:themeColor="text1"/>
          <w:sz w:val="24"/>
          <w:szCs w:val="24"/>
          <w:vertAlign w:val="superscript"/>
        </w:rPr>
        <w:t>-5</w:t>
      </w:r>
      <w:r w:rsidR="00FD5DBE" w:rsidRPr="0028500E">
        <w:rPr>
          <w:rFonts w:ascii="Book Antiqua" w:eastAsia="MS Gothic" w:hAnsi="Book Antiqua" w:cs="Arial"/>
          <w:color w:val="000000" w:themeColor="text1"/>
          <w:sz w:val="24"/>
          <w:szCs w:val="24"/>
          <w:vertAlign w:val="superscript"/>
        </w:rPr>
        <w:t>6</w:t>
      </w:r>
      <w:r w:rsidR="000F05D3" w:rsidRPr="0028500E">
        <w:rPr>
          <w:rFonts w:ascii="Book Antiqua" w:eastAsia="MS Gothic" w:hAnsi="Book Antiqua" w:cs="Arial"/>
          <w:color w:val="000000" w:themeColor="text1"/>
          <w:sz w:val="24"/>
          <w:szCs w:val="24"/>
          <w:vertAlign w:val="superscript"/>
        </w:rPr>
        <w:t>]</w:t>
      </w:r>
      <w:r w:rsidR="000F05D3" w:rsidRPr="0028500E">
        <w:rPr>
          <w:rFonts w:ascii="Book Antiqua" w:eastAsia="MS Gothic" w:hAnsi="Book Antiqua" w:cs="Arial"/>
          <w:color w:val="000000" w:themeColor="text1"/>
          <w:sz w:val="24"/>
          <w:szCs w:val="24"/>
        </w:rPr>
        <w:t>.</w:t>
      </w:r>
      <w:bookmarkEnd w:id="29"/>
    </w:p>
    <w:p w14:paraId="0AA92942" w14:textId="6BB9B352" w:rsidR="001616A1" w:rsidRPr="0028500E" w:rsidRDefault="001616A1" w:rsidP="001E53AA">
      <w:pPr>
        <w:snapToGrid w:val="0"/>
        <w:spacing w:line="360" w:lineRule="auto"/>
        <w:ind w:firstLineChars="250" w:firstLine="600"/>
        <w:rPr>
          <w:rFonts w:ascii="Book Antiqua" w:eastAsia="MS Gothic" w:hAnsi="Book Antiqua" w:cs="Arial"/>
          <w:color w:val="000000" w:themeColor="text1"/>
          <w:sz w:val="24"/>
          <w:szCs w:val="24"/>
        </w:rPr>
      </w:pPr>
      <w:bookmarkStart w:id="30" w:name="_Hlk514609754"/>
      <w:r w:rsidRPr="0028500E">
        <w:rPr>
          <w:rFonts w:ascii="Book Antiqua" w:eastAsia="MS Gothic" w:hAnsi="Book Antiqua" w:cs="Arial"/>
          <w:color w:val="000000" w:themeColor="text1"/>
          <w:sz w:val="24"/>
          <w:szCs w:val="24"/>
        </w:rPr>
        <w:t xml:space="preserve">Evaluation of mitosis is important to determine the metastatic risk of GISTs. Unfortunately, </w:t>
      </w:r>
      <w:r w:rsidR="00234369" w:rsidRPr="0028500E">
        <w:rPr>
          <w:rFonts w:ascii="Book Antiqua" w:eastAsia="MS Gothic" w:hAnsi="Book Antiqua" w:cs="Arial"/>
          <w:color w:val="000000" w:themeColor="text1"/>
          <w:sz w:val="24"/>
          <w:szCs w:val="24"/>
        </w:rPr>
        <w:t xml:space="preserve">the tissue sample volume obtained by EUS-FNA is usually small. </w:t>
      </w:r>
      <w:r w:rsidR="00657029" w:rsidRPr="0028500E">
        <w:rPr>
          <w:rFonts w:ascii="Book Antiqua" w:eastAsia="MS Gothic" w:hAnsi="Book Antiqua" w:cs="Arial"/>
          <w:color w:val="000000" w:themeColor="text1"/>
          <w:sz w:val="24"/>
          <w:szCs w:val="24"/>
        </w:rPr>
        <w:t>Therefore</w:t>
      </w:r>
      <w:r w:rsidR="00234369" w:rsidRPr="0028500E">
        <w:rPr>
          <w:rFonts w:ascii="Book Antiqua" w:eastAsia="MS Gothic" w:hAnsi="Book Antiqua" w:cs="Arial"/>
          <w:color w:val="000000" w:themeColor="text1"/>
          <w:sz w:val="24"/>
          <w:szCs w:val="24"/>
        </w:rPr>
        <w:t>,</w:t>
      </w:r>
      <w:r w:rsidR="00657029" w:rsidRPr="0028500E">
        <w:rPr>
          <w:rFonts w:ascii="Book Antiqua" w:eastAsia="MS Gothic" w:hAnsi="Book Antiqua" w:cs="Arial"/>
          <w:color w:val="000000" w:themeColor="text1"/>
          <w:sz w:val="24"/>
          <w:szCs w:val="24"/>
        </w:rPr>
        <w:t xml:space="preserve"> assessment of</w:t>
      </w:r>
      <w:r w:rsidR="00234369" w:rsidRPr="0028500E">
        <w:rPr>
          <w:rFonts w:ascii="Book Antiqua" w:eastAsia="MS Gothic" w:hAnsi="Book Antiqua" w:cs="Arial"/>
          <w:color w:val="000000" w:themeColor="text1"/>
          <w:sz w:val="24"/>
          <w:szCs w:val="24"/>
        </w:rPr>
        <w:t xml:space="preserve"> mito</w:t>
      </w:r>
      <w:r w:rsidR="00B73BE5" w:rsidRPr="0028500E">
        <w:rPr>
          <w:rFonts w:ascii="Book Antiqua" w:eastAsia="MS Gothic" w:hAnsi="Book Antiqua" w:cs="Arial"/>
          <w:color w:val="000000" w:themeColor="text1"/>
          <w:sz w:val="24"/>
          <w:szCs w:val="24"/>
        </w:rPr>
        <w:t>sis</w:t>
      </w:r>
      <w:r w:rsidR="00234369" w:rsidRPr="0028500E">
        <w:rPr>
          <w:rFonts w:ascii="Book Antiqua" w:eastAsia="MS Gothic" w:hAnsi="Book Antiqua" w:cs="Arial"/>
          <w:color w:val="000000" w:themeColor="text1"/>
          <w:sz w:val="24"/>
          <w:szCs w:val="24"/>
        </w:rPr>
        <w:t xml:space="preserve"> by EUS-FNA is difficult. Ando </w:t>
      </w:r>
      <w:r w:rsidR="00234369" w:rsidRPr="0028500E">
        <w:rPr>
          <w:rFonts w:ascii="Book Antiqua" w:eastAsia="MS Gothic" w:hAnsi="Book Antiqua" w:cs="Arial"/>
          <w:i/>
          <w:color w:val="000000" w:themeColor="text1"/>
          <w:sz w:val="24"/>
          <w:szCs w:val="24"/>
        </w:rPr>
        <w:t>et al</w:t>
      </w:r>
      <w:r w:rsidR="00234369" w:rsidRPr="0028500E">
        <w:rPr>
          <w:rFonts w:ascii="Book Antiqua" w:eastAsia="MS Gothic" w:hAnsi="Book Antiqua" w:cs="Arial"/>
          <w:color w:val="000000" w:themeColor="text1"/>
          <w:sz w:val="24"/>
          <w:szCs w:val="24"/>
          <w:vertAlign w:val="superscript"/>
        </w:rPr>
        <w:t>[</w:t>
      </w:r>
      <w:r w:rsidR="000829C7" w:rsidRPr="0028500E">
        <w:rPr>
          <w:rFonts w:ascii="Book Antiqua" w:eastAsia="MS Gothic" w:hAnsi="Book Antiqua" w:cs="Arial"/>
          <w:color w:val="000000" w:themeColor="text1"/>
          <w:sz w:val="24"/>
          <w:szCs w:val="24"/>
          <w:vertAlign w:val="superscript"/>
        </w:rPr>
        <w:t>60</w:t>
      </w:r>
      <w:r w:rsidR="00234369" w:rsidRPr="0028500E">
        <w:rPr>
          <w:rFonts w:ascii="Book Antiqua" w:eastAsia="MS Gothic" w:hAnsi="Book Antiqua" w:cs="Arial"/>
          <w:color w:val="000000" w:themeColor="text1"/>
          <w:sz w:val="24"/>
          <w:szCs w:val="24"/>
          <w:vertAlign w:val="superscript"/>
        </w:rPr>
        <w:t>]</w:t>
      </w:r>
      <w:r w:rsidR="00234369" w:rsidRPr="0028500E">
        <w:rPr>
          <w:rFonts w:ascii="Book Antiqua" w:eastAsia="MS Gothic" w:hAnsi="Book Antiqua" w:cs="Arial"/>
          <w:color w:val="000000" w:themeColor="text1"/>
          <w:sz w:val="24"/>
          <w:szCs w:val="24"/>
        </w:rPr>
        <w:t xml:space="preserve"> reported that</w:t>
      </w:r>
      <w:r w:rsidR="00681F4B" w:rsidRPr="0028500E">
        <w:rPr>
          <w:rFonts w:ascii="Book Antiqua" w:eastAsia="MS Gothic" w:hAnsi="Book Antiqua" w:cs="Arial"/>
          <w:color w:val="000000" w:themeColor="text1"/>
          <w:sz w:val="24"/>
          <w:szCs w:val="24"/>
        </w:rPr>
        <w:t xml:space="preserve"> the</w:t>
      </w:r>
      <w:r w:rsidR="00234369" w:rsidRPr="0028500E">
        <w:rPr>
          <w:rFonts w:ascii="Book Antiqua" w:eastAsia="MS Gothic" w:hAnsi="Book Antiqua" w:cs="Arial"/>
          <w:color w:val="000000" w:themeColor="text1"/>
          <w:sz w:val="24"/>
          <w:szCs w:val="24"/>
        </w:rPr>
        <w:t xml:space="preserve"> MIB-1 labeling index is accurate (100%) for diagnosis of malignant GIST</w:t>
      </w:r>
      <w:r w:rsidR="00681F4B" w:rsidRPr="0028500E">
        <w:rPr>
          <w:rFonts w:ascii="Book Antiqua" w:eastAsia="MS Gothic" w:hAnsi="Book Antiqua" w:cs="Arial"/>
          <w:color w:val="000000" w:themeColor="text1"/>
          <w:sz w:val="24"/>
          <w:szCs w:val="24"/>
        </w:rPr>
        <w:t>s</w:t>
      </w:r>
      <w:r w:rsidR="00234369" w:rsidRPr="0028500E">
        <w:rPr>
          <w:rFonts w:ascii="Book Antiqua" w:eastAsia="MS Gothic" w:hAnsi="Book Antiqua" w:cs="Arial"/>
          <w:color w:val="000000" w:themeColor="text1"/>
          <w:sz w:val="24"/>
          <w:szCs w:val="24"/>
        </w:rPr>
        <w:t xml:space="preserve"> because Ki-67-positive cells can be easily recognized in the small specimens obtained by EUS-FNA.</w:t>
      </w:r>
    </w:p>
    <w:bookmarkEnd w:id="30"/>
    <w:p w14:paraId="0654C399" w14:textId="77777777" w:rsidR="009D115B" w:rsidRPr="0028500E" w:rsidRDefault="009D115B" w:rsidP="001E53AA">
      <w:pPr>
        <w:snapToGrid w:val="0"/>
        <w:spacing w:line="360" w:lineRule="auto"/>
        <w:rPr>
          <w:rFonts w:ascii="Book Antiqua" w:eastAsia="MS Gothic" w:hAnsi="Book Antiqua" w:cs="Arial"/>
          <w:color w:val="000000" w:themeColor="text1"/>
          <w:sz w:val="24"/>
          <w:szCs w:val="24"/>
        </w:rPr>
      </w:pPr>
    </w:p>
    <w:p w14:paraId="7CE076A1" w14:textId="77777777" w:rsidR="009D115B" w:rsidRPr="0028500E" w:rsidRDefault="009D115B" w:rsidP="001E53AA">
      <w:pPr>
        <w:snapToGrid w:val="0"/>
        <w:spacing w:line="360" w:lineRule="auto"/>
        <w:rPr>
          <w:rFonts w:ascii="Book Antiqua" w:eastAsia="MS Gothic" w:hAnsi="Book Antiqua" w:cs="Arial"/>
          <w:b/>
          <w:i/>
          <w:color w:val="000000" w:themeColor="text1"/>
          <w:sz w:val="24"/>
          <w:szCs w:val="24"/>
        </w:rPr>
      </w:pPr>
      <w:bookmarkStart w:id="31" w:name="_Hlk514610615"/>
      <w:bookmarkStart w:id="32" w:name="_Hlk514609892"/>
      <w:r w:rsidRPr="0028500E">
        <w:rPr>
          <w:rFonts w:ascii="Book Antiqua" w:eastAsia="MS Gothic" w:hAnsi="Book Antiqua" w:cs="Arial"/>
          <w:b/>
          <w:i/>
          <w:color w:val="000000" w:themeColor="text1"/>
          <w:sz w:val="24"/>
          <w:szCs w:val="24"/>
        </w:rPr>
        <w:t>Endoscopic biopsy using endoscopic submucosal dissection or endoscopic snare resection techniques</w:t>
      </w:r>
      <w:bookmarkEnd w:id="31"/>
    </w:p>
    <w:bookmarkEnd w:id="32"/>
    <w:p w14:paraId="4A340B94" w14:textId="099934B7" w:rsidR="009D115B" w:rsidRPr="0028500E" w:rsidRDefault="009D115B" w:rsidP="001E53AA">
      <w:pPr>
        <w:snapToGrid w:val="0"/>
        <w:spacing w:line="360" w:lineRule="auto"/>
        <w:rPr>
          <w:rFonts w:ascii="Book Antiqua" w:eastAsia="MS Gothic" w:hAnsi="Book Antiqua" w:cs="Arial"/>
          <w:color w:val="000000" w:themeColor="text1"/>
          <w:sz w:val="24"/>
          <w:szCs w:val="24"/>
        </w:rPr>
      </w:pPr>
      <w:r w:rsidRPr="0028500E">
        <w:rPr>
          <w:rFonts w:ascii="Book Antiqua" w:eastAsia="MS Gothic" w:hAnsi="Book Antiqua" w:cs="Arial"/>
          <w:color w:val="000000" w:themeColor="text1"/>
          <w:sz w:val="24"/>
          <w:szCs w:val="24"/>
        </w:rPr>
        <w:t xml:space="preserve">Invasive endoscopic tissue acquisition to obtain a higher tissue volume was recently developed and </w:t>
      </w:r>
      <w:r w:rsidR="00212745" w:rsidRPr="0028500E">
        <w:rPr>
          <w:rFonts w:ascii="Book Antiqua" w:eastAsia="MS Gothic" w:hAnsi="Book Antiqua" w:cs="Arial"/>
          <w:color w:val="000000" w:themeColor="text1"/>
          <w:sz w:val="24"/>
          <w:szCs w:val="24"/>
        </w:rPr>
        <w:t>clinically applied</w:t>
      </w:r>
      <w:r w:rsidR="00681F4B" w:rsidRPr="0028500E">
        <w:rPr>
          <w:rFonts w:ascii="Book Antiqua" w:eastAsia="MS Gothic" w:hAnsi="Book Antiqua" w:cs="Arial"/>
          <w:color w:val="000000" w:themeColor="text1"/>
          <w:sz w:val="24"/>
          <w:szCs w:val="24"/>
          <w:vertAlign w:val="superscript"/>
        </w:rPr>
        <w:t>[</w:t>
      </w:r>
      <w:r w:rsidRPr="0028500E">
        <w:rPr>
          <w:rFonts w:ascii="Book Antiqua" w:eastAsia="MS Gothic" w:hAnsi="Book Antiqua" w:cs="Arial"/>
          <w:color w:val="000000" w:themeColor="text1"/>
          <w:sz w:val="24"/>
          <w:szCs w:val="24"/>
          <w:vertAlign w:val="superscript"/>
        </w:rPr>
        <w:t>56-59]</w:t>
      </w:r>
      <w:r w:rsidRPr="0028500E">
        <w:rPr>
          <w:rFonts w:ascii="Book Antiqua" w:eastAsia="MS Gothic" w:hAnsi="Book Antiqua" w:cs="Arial"/>
          <w:color w:val="000000" w:themeColor="text1"/>
          <w:sz w:val="24"/>
          <w:szCs w:val="24"/>
        </w:rPr>
        <w:t>. Various endoscopic tissue-obtaining methods using endoscopic submucosal dissection (ESD) techniques or endoscopic snare resection techniques significantly increase the diagnostic yield when compared with standard forceps biopsy; the reported diagnostic rates range from 85% to 94%</w:t>
      </w:r>
      <w:r w:rsidRPr="0028500E">
        <w:rPr>
          <w:rFonts w:ascii="Book Antiqua" w:eastAsia="MS Gothic" w:hAnsi="Book Antiqua" w:cs="Arial"/>
          <w:color w:val="000000" w:themeColor="text1"/>
          <w:sz w:val="24"/>
          <w:szCs w:val="24"/>
          <w:vertAlign w:val="superscript"/>
        </w:rPr>
        <w:t>[</w:t>
      </w:r>
      <w:r w:rsidR="000829C7" w:rsidRPr="0028500E">
        <w:rPr>
          <w:rFonts w:ascii="Book Antiqua" w:eastAsia="MS Gothic" w:hAnsi="Book Antiqua" w:cs="Arial"/>
          <w:color w:val="000000" w:themeColor="text1"/>
          <w:sz w:val="24"/>
          <w:szCs w:val="24"/>
          <w:vertAlign w:val="superscript"/>
        </w:rPr>
        <w:t>61</w:t>
      </w:r>
      <w:r w:rsidRPr="0028500E">
        <w:rPr>
          <w:rFonts w:ascii="Book Antiqua" w:eastAsia="MS Gothic" w:hAnsi="Book Antiqua" w:cs="Arial"/>
          <w:color w:val="000000" w:themeColor="text1"/>
          <w:sz w:val="24"/>
          <w:szCs w:val="24"/>
          <w:vertAlign w:val="superscript"/>
        </w:rPr>
        <w:t>-</w:t>
      </w:r>
      <w:r w:rsidR="000829C7" w:rsidRPr="0028500E">
        <w:rPr>
          <w:rFonts w:ascii="Book Antiqua" w:eastAsia="MS Gothic" w:hAnsi="Book Antiqua" w:cs="Arial"/>
          <w:color w:val="000000" w:themeColor="text1"/>
          <w:sz w:val="24"/>
          <w:szCs w:val="24"/>
          <w:vertAlign w:val="superscript"/>
        </w:rPr>
        <w:t>64</w:t>
      </w:r>
      <w:r w:rsidRPr="0028500E">
        <w:rPr>
          <w:rFonts w:ascii="Book Antiqua" w:eastAsia="MS Gothic" w:hAnsi="Book Antiqua" w:cs="Arial"/>
          <w:color w:val="000000" w:themeColor="text1"/>
          <w:sz w:val="24"/>
          <w:szCs w:val="24"/>
          <w:vertAlign w:val="superscript"/>
        </w:rPr>
        <w:t>]</w:t>
      </w:r>
      <w:r w:rsidRPr="0028500E">
        <w:rPr>
          <w:rFonts w:ascii="Book Antiqua" w:eastAsia="MS Gothic" w:hAnsi="Book Antiqua" w:cs="Arial"/>
          <w:color w:val="000000" w:themeColor="text1"/>
          <w:sz w:val="24"/>
          <w:szCs w:val="24"/>
        </w:rPr>
        <w:t xml:space="preserve">. </w:t>
      </w:r>
      <w:bookmarkStart w:id="33" w:name="_Hlk514613926"/>
      <w:r w:rsidR="00681F4B" w:rsidRPr="0028500E">
        <w:rPr>
          <w:rFonts w:ascii="Book Antiqua" w:eastAsia="MS Gothic" w:hAnsi="Book Antiqua" w:cs="Arial"/>
          <w:color w:val="000000" w:themeColor="text1"/>
          <w:sz w:val="24"/>
          <w:szCs w:val="24"/>
        </w:rPr>
        <w:t>An</w:t>
      </w:r>
      <w:r w:rsidR="00234C1B" w:rsidRPr="0028500E">
        <w:rPr>
          <w:rFonts w:ascii="Book Antiqua" w:eastAsia="MS Gothic" w:hAnsi="Book Antiqua" w:cs="Arial"/>
          <w:color w:val="000000" w:themeColor="text1"/>
          <w:sz w:val="24"/>
          <w:szCs w:val="24"/>
        </w:rPr>
        <w:t xml:space="preserve"> </w:t>
      </w:r>
      <w:r w:rsidR="0066787F" w:rsidRPr="0028500E">
        <w:rPr>
          <w:rFonts w:ascii="Book Antiqua" w:eastAsia="MS Gothic" w:hAnsi="Book Antiqua" w:cs="Arial"/>
          <w:color w:val="000000" w:themeColor="text1"/>
          <w:sz w:val="24"/>
          <w:szCs w:val="24"/>
        </w:rPr>
        <w:t xml:space="preserve">additional advantage of </w:t>
      </w:r>
      <w:r w:rsidR="00234C1B" w:rsidRPr="0028500E">
        <w:rPr>
          <w:rFonts w:ascii="Book Antiqua" w:eastAsia="MS Gothic" w:hAnsi="Book Antiqua" w:cs="Arial"/>
          <w:color w:val="000000" w:themeColor="text1"/>
          <w:sz w:val="24"/>
          <w:szCs w:val="24"/>
        </w:rPr>
        <w:t>these methods</w:t>
      </w:r>
      <w:r w:rsidR="0066787F" w:rsidRPr="0028500E">
        <w:rPr>
          <w:rFonts w:ascii="Book Antiqua" w:eastAsia="MS Gothic" w:hAnsi="Book Antiqua" w:cs="Arial"/>
          <w:color w:val="000000" w:themeColor="text1"/>
          <w:sz w:val="24"/>
          <w:szCs w:val="24"/>
        </w:rPr>
        <w:t xml:space="preserve"> is </w:t>
      </w:r>
      <w:r w:rsidR="00681F4B" w:rsidRPr="0028500E">
        <w:rPr>
          <w:rFonts w:ascii="Book Antiqua" w:eastAsia="MS Gothic" w:hAnsi="Book Antiqua" w:cs="Arial"/>
          <w:color w:val="000000" w:themeColor="text1"/>
          <w:sz w:val="24"/>
          <w:szCs w:val="24"/>
        </w:rPr>
        <w:t xml:space="preserve">the ability to evaluate </w:t>
      </w:r>
      <w:r w:rsidR="0066787F" w:rsidRPr="0028500E">
        <w:rPr>
          <w:rFonts w:ascii="Book Antiqua" w:eastAsia="MS Gothic" w:hAnsi="Book Antiqua" w:cs="Arial"/>
          <w:color w:val="000000" w:themeColor="text1"/>
          <w:sz w:val="24"/>
          <w:szCs w:val="24"/>
        </w:rPr>
        <w:t>the risk classification of GIST</w:t>
      </w:r>
      <w:r w:rsidR="00681F4B" w:rsidRPr="0028500E">
        <w:rPr>
          <w:rFonts w:ascii="Book Antiqua" w:eastAsia="MS Gothic" w:hAnsi="Book Antiqua" w:cs="Arial"/>
          <w:color w:val="000000" w:themeColor="text1"/>
          <w:sz w:val="24"/>
          <w:szCs w:val="24"/>
        </w:rPr>
        <w:t>s</w:t>
      </w:r>
      <w:r w:rsidR="0066787F" w:rsidRPr="0028500E">
        <w:rPr>
          <w:rFonts w:ascii="Book Antiqua" w:eastAsia="MS Gothic" w:hAnsi="Book Antiqua" w:cs="Arial"/>
          <w:color w:val="000000" w:themeColor="text1"/>
          <w:sz w:val="24"/>
          <w:szCs w:val="24"/>
        </w:rPr>
        <w:t xml:space="preserve"> </w:t>
      </w:r>
      <w:r w:rsidR="00681F4B" w:rsidRPr="0028500E">
        <w:rPr>
          <w:rFonts w:ascii="Book Antiqua" w:eastAsia="MS Gothic" w:hAnsi="Book Antiqua" w:cs="Arial"/>
          <w:color w:val="000000" w:themeColor="text1"/>
          <w:sz w:val="24"/>
          <w:szCs w:val="24"/>
        </w:rPr>
        <w:t xml:space="preserve">using the </w:t>
      </w:r>
      <w:r w:rsidR="0066787F" w:rsidRPr="0028500E">
        <w:rPr>
          <w:rFonts w:ascii="Book Antiqua" w:eastAsia="MS Gothic" w:hAnsi="Book Antiqua" w:cs="Arial"/>
          <w:color w:val="000000" w:themeColor="text1"/>
          <w:sz w:val="24"/>
          <w:szCs w:val="24"/>
        </w:rPr>
        <w:t>mitotic count</w:t>
      </w:r>
      <w:r w:rsidR="00681F4B" w:rsidRPr="0028500E">
        <w:rPr>
          <w:rFonts w:ascii="Book Antiqua" w:eastAsia="MS Gothic" w:hAnsi="Book Antiqua" w:cs="Arial"/>
          <w:color w:val="000000" w:themeColor="text1"/>
          <w:sz w:val="24"/>
          <w:szCs w:val="24"/>
        </w:rPr>
        <w:t xml:space="preserve"> per </w:t>
      </w:r>
      <w:r w:rsidR="0066787F" w:rsidRPr="0028500E">
        <w:rPr>
          <w:rFonts w:ascii="Book Antiqua" w:eastAsia="MS Gothic" w:hAnsi="Book Antiqua" w:cs="Arial"/>
          <w:color w:val="000000" w:themeColor="text1"/>
          <w:sz w:val="24"/>
          <w:szCs w:val="24"/>
        </w:rPr>
        <w:t>50 high-power field</w:t>
      </w:r>
      <w:r w:rsidR="00681F4B" w:rsidRPr="0028500E">
        <w:rPr>
          <w:rFonts w:ascii="Book Antiqua" w:eastAsia="MS Gothic" w:hAnsi="Book Antiqua" w:cs="Arial"/>
          <w:color w:val="000000" w:themeColor="text1"/>
          <w:sz w:val="24"/>
          <w:szCs w:val="24"/>
        </w:rPr>
        <w:t>s</w:t>
      </w:r>
      <w:r w:rsidR="0066787F" w:rsidRPr="0028500E">
        <w:rPr>
          <w:rFonts w:ascii="Book Antiqua" w:eastAsia="MS Gothic" w:hAnsi="Book Antiqua" w:cs="Arial"/>
          <w:color w:val="000000" w:themeColor="text1"/>
          <w:sz w:val="24"/>
          <w:szCs w:val="24"/>
          <w:vertAlign w:val="superscript"/>
        </w:rPr>
        <w:t>[</w:t>
      </w:r>
      <w:r w:rsidR="000829C7" w:rsidRPr="0028500E">
        <w:rPr>
          <w:rFonts w:ascii="Book Antiqua" w:eastAsia="MS Gothic" w:hAnsi="Book Antiqua" w:cs="Arial"/>
          <w:color w:val="000000" w:themeColor="text1"/>
          <w:sz w:val="24"/>
          <w:szCs w:val="24"/>
          <w:vertAlign w:val="superscript"/>
        </w:rPr>
        <w:t>65,66</w:t>
      </w:r>
      <w:r w:rsidR="0066787F" w:rsidRPr="0028500E">
        <w:rPr>
          <w:rFonts w:ascii="Book Antiqua" w:eastAsia="MS Gothic" w:hAnsi="Book Antiqua" w:cs="Arial"/>
          <w:color w:val="000000" w:themeColor="text1"/>
          <w:sz w:val="24"/>
          <w:szCs w:val="24"/>
          <w:vertAlign w:val="superscript"/>
        </w:rPr>
        <w:t>]</w:t>
      </w:r>
      <w:r w:rsidR="0066787F" w:rsidRPr="0028500E">
        <w:rPr>
          <w:rFonts w:ascii="Book Antiqua" w:eastAsia="MS Gothic" w:hAnsi="Book Antiqua" w:cs="Arial"/>
          <w:color w:val="000000" w:themeColor="text1"/>
          <w:sz w:val="24"/>
          <w:szCs w:val="24"/>
        </w:rPr>
        <w:t>.</w:t>
      </w:r>
      <w:bookmarkEnd w:id="33"/>
      <w:r w:rsidR="0066787F" w:rsidRPr="0028500E">
        <w:rPr>
          <w:rFonts w:ascii="Book Antiqua" w:eastAsia="MS Gothic" w:hAnsi="Book Antiqua" w:cs="Arial"/>
          <w:color w:val="000000" w:themeColor="text1"/>
          <w:sz w:val="24"/>
          <w:szCs w:val="24"/>
        </w:rPr>
        <w:t xml:space="preserve"> </w:t>
      </w:r>
      <w:bookmarkStart w:id="34" w:name="_Hlk514614074"/>
      <w:r w:rsidRPr="0028500E">
        <w:rPr>
          <w:rFonts w:ascii="Book Antiqua" w:eastAsia="MS Gothic" w:hAnsi="Book Antiqua" w:cs="Arial"/>
          <w:color w:val="000000" w:themeColor="text1"/>
          <w:sz w:val="24"/>
          <w:szCs w:val="24"/>
        </w:rPr>
        <w:t>However, ESD and endoscopic snare resection are invasive procedures; therefore, endoscopists should pay special attention to intraoperative bleeding and perforation while performing these techniques</w:t>
      </w:r>
      <w:r w:rsidR="00FA0925" w:rsidRPr="0028500E">
        <w:rPr>
          <w:rFonts w:ascii="Book Antiqua" w:eastAsia="MS Gothic" w:hAnsi="Book Antiqua" w:cs="Arial"/>
          <w:color w:val="000000" w:themeColor="text1"/>
          <w:sz w:val="24"/>
          <w:szCs w:val="24"/>
        </w:rPr>
        <w:t xml:space="preserve"> because such complications may </w:t>
      </w:r>
      <w:r w:rsidR="00681F4B" w:rsidRPr="0028500E">
        <w:rPr>
          <w:rFonts w:ascii="Book Antiqua" w:eastAsia="MS Gothic" w:hAnsi="Book Antiqua" w:cs="Arial"/>
          <w:color w:val="000000" w:themeColor="text1"/>
          <w:sz w:val="24"/>
          <w:szCs w:val="24"/>
        </w:rPr>
        <w:t xml:space="preserve">cause </w:t>
      </w:r>
      <w:r w:rsidR="00FA0925" w:rsidRPr="0028500E">
        <w:rPr>
          <w:rFonts w:ascii="Book Antiqua" w:eastAsia="MS Gothic" w:hAnsi="Book Antiqua" w:cs="Arial"/>
          <w:color w:val="000000" w:themeColor="text1"/>
          <w:sz w:val="24"/>
          <w:szCs w:val="24"/>
        </w:rPr>
        <w:t>severe hypotension or tumor cell seeding</w:t>
      </w:r>
      <w:r w:rsidRPr="0028500E">
        <w:rPr>
          <w:rFonts w:ascii="Book Antiqua" w:eastAsia="MS Gothic" w:hAnsi="Book Antiqua" w:cs="Arial"/>
          <w:color w:val="000000" w:themeColor="text1"/>
          <w:sz w:val="24"/>
          <w:szCs w:val="24"/>
        </w:rPr>
        <w:t>.</w:t>
      </w:r>
      <w:bookmarkEnd w:id="34"/>
      <w:r w:rsidRPr="0028500E">
        <w:rPr>
          <w:rFonts w:ascii="Book Antiqua" w:eastAsia="MS Gothic" w:hAnsi="Book Antiqua" w:cs="Arial"/>
          <w:color w:val="000000" w:themeColor="text1"/>
          <w:sz w:val="24"/>
          <w:szCs w:val="24"/>
        </w:rPr>
        <w:t xml:space="preserve"> Lee </w:t>
      </w:r>
      <w:r w:rsidRPr="0028500E">
        <w:rPr>
          <w:rFonts w:ascii="Book Antiqua" w:eastAsia="MS Gothic" w:hAnsi="Book Antiqua" w:cs="Arial"/>
          <w:i/>
          <w:color w:val="000000" w:themeColor="text1"/>
          <w:sz w:val="24"/>
          <w:szCs w:val="24"/>
        </w:rPr>
        <w:t>et al</w:t>
      </w:r>
      <w:r w:rsidRPr="0028500E">
        <w:rPr>
          <w:rFonts w:ascii="Book Antiqua" w:eastAsia="MS Gothic" w:hAnsi="Book Antiqua" w:cs="Arial"/>
          <w:color w:val="000000" w:themeColor="text1"/>
          <w:sz w:val="24"/>
          <w:szCs w:val="24"/>
          <w:vertAlign w:val="superscript"/>
        </w:rPr>
        <w:t>[</w:t>
      </w:r>
      <w:r w:rsidR="000829C7" w:rsidRPr="0028500E">
        <w:rPr>
          <w:rFonts w:ascii="Book Antiqua" w:eastAsia="MS Gothic" w:hAnsi="Book Antiqua" w:cs="Arial"/>
          <w:color w:val="000000" w:themeColor="text1"/>
          <w:sz w:val="24"/>
          <w:szCs w:val="24"/>
          <w:vertAlign w:val="superscript"/>
        </w:rPr>
        <w:t>63</w:t>
      </w:r>
      <w:r w:rsidRPr="0028500E">
        <w:rPr>
          <w:rFonts w:ascii="Book Antiqua" w:eastAsia="MS Gothic" w:hAnsi="Book Antiqua" w:cs="Arial"/>
          <w:color w:val="000000" w:themeColor="text1"/>
          <w:sz w:val="24"/>
          <w:szCs w:val="24"/>
          <w:vertAlign w:val="superscript"/>
        </w:rPr>
        <w:t>]</w:t>
      </w:r>
      <w:r w:rsidRPr="0028500E">
        <w:rPr>
          <w:rFonts w:ascii="Book Antiqua" w:eastAsia="MS Gothic" w:hAnsi="Book Antiqua" w:cs="Arial"/>
          <w:color w:val="000000" w:themeColor="text1"/>
          <w:sz w:val="24"/>
          <w:szCs w:val="24"/>
        </w:rPr>
        <w:t xml:space="preserve"> reported that minor hemorrhage occurred in 56% of patients who underwent endoscopic partial removal with the unroofing technique, but hemostasis was successfully achieved in all patients with argon plasma coagulation, and no perforations occurred. Furthermore, tissue sampling of SELs with an extraluminal growth pattern is difficult</w:t>
      </w:r>
      <w:r w:rsidRPr="0028500E">
        <w:rPr>
          <w:rFonts w:ascii="Book Antiqua" w:eastAsia="MS Gothic" w:hAnsi="Book Antiqua" w:cs="Arial"/>
          <w:color w:val="000000" w:themeColor="text1"/>
          <w:sz w:val="24"/>
          <w:szCs w:val="24"/>
          <w:vertAlign w:val="superscript"/>
        </w:rPr>
        <w:t>[</w:t>
      </w:r>
      <w:r w:rsidR="000829C7" w:rsidRPr="0028500E">
        <w:rPr>
          <w:rFonts w:ascii="Book Antiqua" w:eastAsia="MS Gothic" w:hAnsi="Book Antiqua" w:cs="Arial"/>
          <w:color w:val="000000" w:themeColor="text1"/>
          <w:sz w:val="24"/>
          <w:szCs w:val="24"/>
          <w:vertAlign w:val="superscript"/>
        </w:rPr>
        <w:t>64</w:t>
      </w:r>
      <w:r w:rsidRPr="0028500E">
        <w:rPr>
          <w:rFonts w:ascii="Book Antiqua" w:eastAsia="MS Gothic" w:hAnsi="Book Antiqua" w:cs="Arial"/>
          <w:color w:val="000000" w:themeColor="text1"/>
          <w:sz w:val="24"/>
          <w:szCs w:val="24"/>
          <w:vertAlign w:val="superscript"/>
        </w:rPr>
        <w:t>]</w:t>
      </w:r>
      <w:r w:rsidRPr="0028500E">
        <w:rPr>
          <w:rFonts w:ascii="Book Antiqua" w:eastAsia="MS Gothic" w:hAnsi="Book Antiqua" w:cs="Arial"/>
          <w:color w:val="000000" w:themeColor="text1"/>
          <w:sz w:val="24"/>
          <w:szCs w:val="24"/>
        </w:rPr>
        <w:t>. A potential disadvantage of these aggressive endoscopic tissue acquisition techniques using ESD or endoscopic snare resection is the development of perilesional fibrosis, which may render subsequent attempts at submucosal tunneling endoscopic resection</w:t>
      </w:r>
      <w:r w:rsidRPr="0028500E">
        <w:rPr>
          <w:rFonts w:ascii="Book Antiqua" w:eastAsia="MS Gothic" w:hAnsi="Book Antiqua" w:cs="Arial"/>
          <w:color w:val="000000" w:themeColor="text1"/>
          <w:sz w:val="24"/>
          <w:szCs w:val="24"/>
          <w:vertAlign w:val="superscript"/>
        </w:rPr>
        <w:t>[6</w:t>
      </w:r>
      <w:r w:rsidR="000829C7" w:rsidRPr="0028500E">
        <w:rPr>
          <w:rFonts w:ascii="Book Antiqua" w:eastAsia="MS Gothic" w:hAnsi="Book Antiqua" w:cs="Arial"/>
          <w:color w:val="000000" w:themeColor="text1"/>
          <w:sz w:val="24"/>
          <w:szCs w:val="24"/>
          <w:vertAlign w:val="superscript"/>
        </w:rPr>
        <w:t>7</w:t>
      </w:r>
      <w:r w:rsidRPr="0028500E">
        <w:rPr>
          <w:rFonts w:ascii="Book Antiqua" w:eastAsia="MS Gothic" w:hAnsi="Book Antiqua" w:cs="Arial"/>
          <w:color w:val="000000" w:themeColor="text1"/>
          <w:sz w:val="24"/>
          <w:szCs w:val="24"/>
          <w:vertAlign w:val="superscript"/>
        </w:rPr>
        <w:t>,6</w:t>
      </w:r>
      <w:r w:rsidR="000829C7" w:rsidRPr="0028500E">
        <w:rPr>
          <w:rFonts w:ascii="Book Antiqua" w:eastAsia="MS Gothic" w:hAnsi="Book Antiqua" w:cs="Arial"/>
          <w:color w:val="000000" w:themeColor="text1"/>
          <w:sz w:val="24"/>
          <w:szCs w:val="24"/>
          <w:vertAlign w:val="superscript"/>
        </w:rPr>
        <w:t>8</w:t>
      </w:r>
      <w:r w:rsidRPr="0028500E">
        <w:rPr>
          <w:rFonts w:ascii="Book Antiqua" w:eastAsia="MS Gothic" w:hAnsi="Book Antiqua" w:cs="Arial"/>
          <w:color w:val="000000" w:themeColor="text1"/>
          <w:sz w:val="24"/>
          <w:szCs w:val="24"/>
          <w:vertAlign w:val="superscript"/>
        </w:rPr>
        <w:t>]</w:t>
      </w:r>
      <w:r w:rsidRPr="0028500E">
        <w:rPr>
          <w:rFonts w:ascii="Book Antiqua" w:eastAsia="MS Gothic" w:hAnsi="Book Antiqua" w:cs="Arial"/>
          <w:color w:val="000000" w:themeColor="text1"/>
          <w:sz w:val="24"/>
          <w:szCs w:val="24"/>
        </w:rPr>
        <w:t xml:space="preserve"> difficult or even impossible</w:t>
      </w:r>
      <w:r w:rsidRPr="0028500E">
        <w:rPr>
          <w:rFonts w:ascii="Book Antiqua" w:eastAsia="MS Gothic" w:hAnsi="Book Antiqua" w:cs="Arial"/>
          <w:color w:val="000000" w:themeColor="text1"/>
          <w:sz w:val="24"/>
          <w:szCs w:val="24"/>
          <w:vertAlign w:val="superscript"/>
        </w:rPr>
        <w:t>[6</w:t>
      </w:r>
      <w:r w:rsidR="000829C7" w:rsidRPr="0028500E">
        <w:rPr>
          <w:rFonts w:ascii="Book Antiqua" w:eastAsia="MS Gothic" w:hAnsi="Book Antiqua" w:cs="Arial"/>
          <w:color w:val="000000" w:themeColor="text1"/>
          <w:sz w:val="24"/>
          <w:szCs w:val="24"/>
          <w:vertAlign w:val="superscript"/>
        </w:rPr>
        <w:t>9</w:t>
      </w:r>
      <w:r w:rsidRPr="0028500E">
        <w:rPr>
          <w:rFonts w:ascii="Book Antiqua" w:eastAsia="MS Gothic" w:hAnsi="Book Antiqua" w:cs="Arial"/>
          <w:color w:val="000000" w:themeColor="text1"/>
          <w:sz w:val="24"/>
          <w:szCs w:val="24"/>
          <w:vertAlign w:val="superscript"/>
        </w:rPr>
        <w:t>]</w:t>
      </w:r>
      <w:r w:rsidRPr="0028500E">
        <w:rPr>
          <w:rFonts w:ascii="Book Antiqua" w:eastAsia="MS Gothic" w:hAnsi="Book Antiqua" w:cs="Arial"/>
          <w:color w:val="000000" w:themeColor="text1"/>
          <w:sz w:val="24"/>
          <w:szCs w:val="24"/>
        </w:rPr>
        <w:t xml:space="preserve">. </w:t>
      </w:r>
    </w:p>
    <w:p w14:paraId="0EA547EE" w14:textId="77777777" w:rsidR="00F30E8A" w:rsidRPr="0028500E" w:rsidRDefault="00F30E8A" w:rsidP="001E53AA">
      <w:pPr>
        <w:pStyle w:val="BodyTextIndent"/>
        <w:snapToGrid w:val="0"/>
        <w:spacing w:line="360" w:lineRule="auto"/>
        <w:ind w:left="0" w:right="44" w:firstLine="0"/>
        <w:jc w:val="both"/>
        <w:rPr>
          <w:rFonts w:ascii="Book Antiqua" w:eastAsia="MS Gothic" w:hAnsi="Book Antiqua"/>
          <w:b/>
          <w:color w:val="000000" w:themeColor="text1"/>
          <w:szCs w:val="24"/>
        </w:rPr>
      </w:pPr>
    </w:p>
    <w:p w14:paraId="7B143A79" w14:textId="77777777" w:rsidR="00C23410" w:rsidRPr="0028500E" w:rsidRDefault="00F30E8A" w:rsidP="001E53AA">
      <w:pPr>
        <w:snapToGrid w:val="0"/>
        <w:spacing w:line="360" w:lineRule="auto"/>
        <w:rPr>
          <w:rFonts w:ascii="Book Antiqua" w:hAnsi="Book Antiqua" w:cs="Arial"/>
          <w:b/>
          <w:caps/>
          <w:color w:val="000000" w:themeColor="text1"/>
          <w:sz w:val="24"/>
          <w:szCs w:val="24"/>
          <w:lang w:val="en"/>
        </w:rPr>
      </w:pPr>
      <w:bookmarkStart w:id="35" w:name="_Hlk515715083"/>
      <w:r w:rsidRPr="0028500E">
        <w:rPr>
          <w:rFonts w:ascii="Book Antiqua" w:hAnsi="Book Antiqua" w:cs="Arial"/>
          <w:b/>
          <w:caps/>
          <w:color w:val="000000" w:themeColor="text1"/>
          <w:sz w:val="24"/>
          <w:szCs w:val="24"/>
          <w:lang w:val="en"/>
        </w:rPr>
        <w:t>Diagnostic process</w:t>
      </w:r>
    </w:p>
    <w:bookmarkEnd w:id="35"/>
    <w:p w14:paraId="629F0206" w14:textId="1ECE0E0D" w:rsidR="00F30E8A" w:rsidRPr="0028500E" w:rsidRDefault="00FF339F" w:rsidP="001E53AA">
      <w:pPr>
        <w:snapToGrid w:val="0"/>
        <w:spacing w:line="360" w:lineRule="auto"/>
        <w:rPr>
          <w:rFonts w:ascii="Book Antiqua" w:hAnsi="Book Antiqua" w:cs="Arial"/>
          <w:color w:val="000000" w:themeColor="text1"/>
          <w:sz w:val="24"/>
          <w:szCs w:val="24"/>
          <w:lang w:val="en"/>
        </w:rPr>
      </w:pPr>
      <w:r w:rsidRPr="0028500E">
        <w:rPr>
          <w:rFonts w:ascii="Book Antiqua" w:hAnsi="Book Antiqua" w:cs="Arial"/>
          <w:color w:val="000000" w:themeColor="text1"/>
          <w:sz w:val="24"/>
          <w:szCs w:val="24"/>
        </w:rPr>
        <w:t xml:space="preserve">GISTs have no specific endoscopic or EUS findings, and diagnosis is difficult to achieve by histopathological examination using hematoxylin and eosin staining alone. Immunohistochemical analysis such as that involving </w:t>
      </w:r>
      <w:r w:rsidR="001759FB" w:rsidRPr="0028500E">
        <w:rPr>
          <w:rFonts w:ascii="Book Antiqua" w:hAnsi="Book Antiqua" w:cs="Arial"/>
          <w:color w:val="000000" w:themeColor="text1"/>
          <w:sz w:val="24"/>
          <w:szCs w:val="24"/>
        </w:rPr>
        <w:t>KIT</w:t>
      </w:r>
      <w:r w:rsidRPr="0028500E">
        <w:rPr>
          <w:rFonts w:ascii="Book Antiqua" w:hAnsi="Book Antiqua" w:cs="Arial"/>
          <w:color w:val="000000" w:themeColor="text1"/>
          <w:sz w:val="24"/>
          <w:szCs w:val="24"/>
        </w:rPr>
        <w:t>, CD34, or DOG1 measurement is essential for a definitive diagnosis</w:t>
      </w:r>
      <w:r w:rsidRPr="0028500E">
        <w:rPr>
          <w:rFonts w:ascii="Book Antiqua" w:hAnsi="Book Antiqua" w:cs="Arial"/>
          <w:color w:val="000000" w:themeColor="text1"/>
          <w:sz w:val="24"/>
          <w:szCs w:val="24"/>
          <w:vertAlign w:val="superscript"/>
        </w:rPr>
        <w:t>[8,21]</w:t>
      </w:r>
      <w:r w:rsidRPr="0028500E">
        <w:rPr>
          <w:rFonts w:ascii="Book Antiqua" w:hAnsi="Book Antiqua" w:cs="Arial"/>
          <w:color w:val="000000" w:themeColor="text1"/>
          <w:sz w:val="24"/>
          <w:szCs w:val="24"/>
        </w:rPr>
        <w:t>. However, because not all SELs are GISTs, it is necessary to identify those SELs that are suspicious for GISTs and perform immunohistochemical analysis of these SELs in clinical practice. Figure 6 shows our institutional algorithm for the detection and management of SELs as discussed herein</w:t>
      </w:r>
      <w:r w:rsidRPr="0028500E">
        <w:rPr>
          <w:rFonts w:ascii="Book Antiqua" w:hAnsi="Book Antiqua" w:cs="Arial"/>
          <w:color w:val="000000" w:themeColor="text1"/>
          <w:sz w:val="24"/>
          <w:szCs w:val="24"/>
          <w:vertAlign w:val="superscript"/>
        </w:rPr>
        <w:t>[21]</w:t>
      </w:r>
      <w:r w:rsidRPr="0028500E">
        <w:rPr>
          <w:rFonts w:ascii="Book Antiqua" w:hAnsi="Book Antiqua" w:cs="Arial"/>
          <w:color w:val="000000" w:themeColor="text1"/>
          <w:sz w:val="24"/>
          <w:szCs w:val="24"/>
        </w:rPr>
        <w:t xml:space="preserve">. </w:t>
      </w:r>
      <w:bookmarkStart w:id="36" w:name="_Hlk514506256"/>
      <w:r w:rsidRPr="0028500E">
        <w:rPr>
          <w:rFonts w:ascii="Book Antiqua" w:hAnsi="Book Antiqua" w:cs="Arial"/>
          <w:color w:val="000000" w:themeColor="text1"/>
          <w:sz w:val="24"/>
          <w:szCs w:val="24"/>
        </w:rPr>
        <w:t>First, all SELs are examined by EUS, and the SEL</w:t>
      </w:r>
      <w:r w:rsidR="001759FB" w:rsidRPr="0028500E">
        <w:rPr>
          <w:rFonts w:ascii="Book Antiqua" w:hAnsi="Book Antiqua" w:cs="Arial"/>
          <w:color w:val="000000" w:themeColor="text1"/>
          <w:sz w:val="24"/>
          <w:szCs w:val="24"/>
        </w:rPr>
        <w:t>s</w:t>
      </w:r>
      <w:r w:rsidR="00E6659C" w:rsidRPr="0028500E">
        <w:rPr>
          <w:rFonts w:ascii="Book Antiqua" w:hAnsi="Book Antiqua" w:cs="Arial"/>
          <w:color w:val="000000" w:themeColor="text1"/>
          <w:sz w:val="24"/>
          <w:szCs w:val="24"/>
        </w:rPr>
        <w:t xml:space="preserve"> mentioned in the EUS section (Figure 3)</w:t>
      </w:r>
      <w:r w:rsidRPr="0028500E">
        <w:rPr>
          <w:rFonts w:ascii="Book Antiqua" w:hAnsi="Book Antiqua" w:cs="Arial"/>
          <w:color w:val="000000" w:themeColor="text1"/>
          <w:sz w:val="24"/>
          <w:szCs w:val="24"/>
        </w:rPr>
        <w:t xml:space="preserve"> that are conclusively diagnosed by EUS findings only are excluded.</w:t>
      </w:r>
      <w:bookmarkEnd w:id="36"/>
      <w:r w:rsidRPr="0028500E">
        <w:rPr>
          <w:rFonts w:ascii="Book Antiqua" w:hAnsi="Book Antiqua" w:cs="Arial"/>
          <w:color w:val="000000" w:themeColor="text1"/>
          <w:sz w:val="24"/>
          <w:szCs w:val="24"/>
        </w:rPr>
        <w:t xml:space="preserve"> Second, EUS-FNA using immunohistochemical analysis is performed for the remaining hypoechoic solid masses to differentiate GISTs from other tumors. Narrowing down of SELs by EUS is important for efficient performance of EUS-FNA in the diagnosis of GISTs. In the Japanese clinical practice guidelines for GISTs, biopsy is recommended for exclusion of </w:t>
      </w:r>
      <w:r w:rsidR="00B94101" w:rsidRPr="0028500E">
        <w:rPr>
          <w:rFonts w:ascii="Book Antiqua" w:hAnsi="Book Antiqua" w:cs="Arial"/>
          <w:color w:val="000000" w:themeColor="text1"/>
          <w:sz w:val="24"/>
          <w:szCs w:val="24"/>
        </w:rPr>
        <w:t>SEL</w:t>
      </w:r>
      <w:r w:rsidRPr="0028500E">
        <w:rPr>
          <w:rFonts w:ascii="Book Antiqua" w:hAnsi="Book Antiqua" w:cs="Arial"/>
          <w:color w:val="000000" w:themeColor="text1"/>
          <w:sz w:val="24"/>
          <w:szCs w:val="24"/>
        </w:rPr>
        <w:t>-like cancer when an SEL is endoscopically diagnosed</w:t>
      </w:r>
      <w:r w:rsidRPr="0028500E">
        <w:rPr>
          <w:rFonts w:ascii="Book Antiqua" w:hAnsi="Book Antiqua" w:cs="Arial"/>
          <w:color w:val="000000" w:themeColor="text1"/>
          <w:sz w:val="24"/>
          <w:szCs w:val="24"/>
          <w:vertAlign w:val="superscript"/>
        </w:rPr>
        <w:t>[</w:t>
      </w:r>
      <w:r w:rsidR="000829C7" w:rsidRPr="0028500E">
        <w:rPr>
          <w:rFonts w:ascii="Book Antiqua" w:hAnsi="Book Antiqua" w:cs="Arial"/>
          <w:color w:val="000000" w:themeColor="text1"/>
          <w:sz w:val="24"/>
          <w:szCs w:val="24"/>
          <w:vertAlign w:val="superscript"/>
        </w:rPr>
        <w:t>70</w:t>
      </w:r>
      <w:r w:rsidRPr="0028500E">
        <w:rPr>
          <w:rFonts w:ascii="Book Antiqua" w:hAnsi="Book Antiqua" w:cs="Arial"/>
          <w:color w:val="000000" w:themeColor="text1"/>
          <w:sz w:val="24"/>
          <w:szCs w:val="24"/>
          <w:vertAlign w:val="superscript"/>
        </w:rPr>
        <w:t>]</w:t>
      </w:r>
      <w:r w:rsidRPr="0028500E">
        <w:rPr>
          <w:rFonts w:ascii="Book Antiqua" w:hAnsi="Book Antiqua" w:cs="Arial"/>
          <w:color w:val="000000" w:themeColor="text1"/>
          <w:sz w:val="24"/>
          <w:szCs w:val="24"/>
        </w:rPr>
        <w:t xml:space="preserve">. However, because SELs also include vascular diseases for which biopsy is contraindicated, such as varices (Figure </w:t>
      </w:r>
      <w:r w:rsidR="005B2560" w:rsidRPr="0028500E">
        <w:rPr>
          <w:rFonts w:ascii="Book Antiqua" w:hAnsi="Book Antiqua" w:cs="Arial"/>
          <w:color w:val="000000" w:themeColor="text1"/>
          <w:sz w:val="24"/>
          <w:szCs w:val="24"/>
        </w:rPr>
        <w:t>3</w:t>
      </w:r>
      <w:r w:rsidR="001F4328" w:rsidRPr="0028500E">
        <w:rPr>
          <w:rFonts w:ascii="Book Antiqua" w:hAnsi="Book Antiqua" w:cs="Arial"/>
          <w:color w:val="000000" w:themeColor="text1"/>
          <w:sz w:val="24"/>
          <w:szCs w:val="24"/>
        </w:rPr>
        <w:t>G</w:t>
      </w:r>
      <w:r w:rsidR="001F4328" w:rsidRPr="0028500E">
        <w:rPr>
          <w:rFonts w:ascii="Book Antiqua" w:eastAsia="SimSun" w:hAnsi="Book Antiqua" w:cs="Arial"/>
          <w:color w:val="000000" w:themeColor="text1"/>
          <w:sz w:val="24"/>
          <w:szCs w:val="24"/>
          <w:lang w:eastAsia="zh-CN"/>
        </w:rPr>
        <w:t xml:space="preserve"> and </w:t>
      </w:r>
      <w:r w:rsidRPr="0028500E">
        <w:rPr>
          <w:rFonts w:ascii="Book Antiqua" w:hAnsi="Book Antiqua" w:cs="Arial"/>
          <w:color w:val="000000" w:themeColor="text1"/>
          <w:sz w:val="24"/>
          <w:szCs w:val="24"/>
        </w:rPr>
        <w:t>H), it is desirable to perform EUS before biopsy.</w:t>
      </w:r>
    </w:p>
    <w:p w14:paraId="79A573ED" w14:textId="77777777" w:rsidR="00BA44A7" w:rsidRPr="0028500E" w:rsidRDefault="00BA44A7" w:rsidP="001E53AA">
      <w:pPr>
        <w:snapToGrid w:val="0"/>
        <w:spacing w:line="360" w:lineRule="auto"/>
        <w:rPr>
          <w:rFonts w:ascii="Book Antiqua" w:hAnsi="Book Antiqua"/>
          <w:b/>
          <w:color w:val="000000" w:themeColor="text1"/>
          <w:sz w:val="24"/>
          <w:szCs w:val="24"/>
        </w:rPr>
      </w:pPr>
    </w:p>
    <w:p w14:paraId="391BE8D5" w14:textId="77777777" w:rsidR="00847B7F" w:rsidRPr="0028500E" w:rsidRDefault="00BA44A7" w:rsidP="001E53AA">
      <w:pPr>
        <w:snapToGrid w:val="0"/>
        <w:spacing w:line="360" w:lineRule="auto"/>
        <w:rPr>
          <w:rFonts w:ascii="Book Antiqua" w:hAnsi="Book Antiqua" w:cs="Arial"/>
          <w:caps/>
          <w:color w:val="000000" w:themeColor="text1"/>
          <w:sz w:val="24"/>
          <w:szCs w:val="24"/>
          <w:lang w:val="en"/>
        </w:rPr>
      </w:pPr>
      <w:r w:rsidRPr="0028500E">
        <w:rPr>
          <w:rFonts w:ascii="Book Antiqua" w:hAnsi="Book Antiqua" w:cs="Arial"/>
          <w:b/>
          <w:caps/>
          <w:color w:val="000000" w:themeColor="text1"/>
          <w:sz w:val="24"/>
          <w:szCs w:val="24"/>
          <w:lang w:val="en"/>
        </w:rPr>
        <w:t>Treatment</w:t>
      </w:r>
    </w:p>
    <w:p w14:paraId="57665E26" w14:textId="3B36ED0A" w:rsidR="00F16F28" w:rsidRPr="0028500E" w:rsidRDefault="006D143D" w:rsidP="001E53AA">
      <w:pPr>
        <w:snapToGrid w:val="0"/>
        <w:spacing w:line="360" w:lineRule="auto"/>
        <w:rPr>
          <w:rFonts w:ascii="Book Antiqua" w:hAnsi="Book Antiqua" w:cs="Arial"/>
          <w:color w:val="000000" w:themeColor="text1"/>
          <w:sz w:val="24"/>
          <w:szCs w:val="24"/>
        </w:rPr>
      </w:pPr>
      <w:r w:rsidRPr="0028500E">
        <w:rPr>
          <w:rFonts w:ascii="Book Antiqua" w:hAnsi="Book Antiqua" w:cs="Arial"/>
          <w:color w:val="000000" w:themeColor="text1"/>
          <w:sz w:val="24"/>
          <w:szCs w:val="24"/>
        </w:rPr>
        <w:t>The principle treatment strategy for immunohistologically</w:t>
      </w:r>
      <w:r w:rsidR="001F4328" w:rsidRPr="0028500E">
        <w:rPr>
          <w:rFonts w:ascii="Book Antiqua" w:hAnsi="Book Antiqua" w:cs="Arial"/>
          <w:color w:val="000000" w:themeColor="text1"/>
          <w:sz w:val="24"/>
          <w:szCs w:val="24"/>
        </w:rPr>
        <w:t xml:space="preserve"> confirmed GISTs is as follows</w:t>
      </w:r>
      <w:r w:rsidR="001F4328" w:rsidRPr="0028500E">
        <w:rPr>
          <w:rFonts w:ascii="Book Antiqua" w:eastAsia="SimSun" w:hAnsi="Book Antiqua" w:cs="Arial"/>
          <w:color w:val="000000" w:themeColor="text1"/>
          <w:sz w:val="24"/>
          <w:szCs w:val="24"/>
          <w:lang w:eastAsia="zh-CN"/>
        </w:rPr>
        <w:t>:</w:t>
      </w:r>
      <w:r w:rsidRPr="0028500E">
        <w:rPr>
          <w:rFonts w:ascii="Book Antiqua" w:hAnsi="Book Antiqua" w:cs="Arial"/>
          <w:color w:val="000000" w:themeColor="text1"/>
          <w:sz w:val="24"/>
          <w:szCs w:val="24"/>
        </w:rPr>
        <w:t xml:space="preserve"> </w:t>
      </w:r>
      <w:r w:rsidR="001F4328" w:rsidRPr="0028500E">
        <w:rPr>
          <w:rFonts w:ascii="Book Antiqua" w:eastAsia="SimSun" w:hAnsi="Book Antiqua" w:cs="Arial"/>
          <w:color w:val="000000" w:themeColor="text1"/>
          <w:sz w:val="24"/>
          <w:szCs w:val="24"/>
          <w:lang w:eastAsia="zh-CN"/>
        </w:rPr>
        <w:t>(</w:t>
      </w:r>
      <w:r w:rsidRPr="0028500E">
        <w:rPr>
          <w:rFonts w:ascii="Book Antiqua" w:hAnsi="Book Antiqua" w:cs="Arial"/>
          <w:color w:val="000000" w:themeColor="text1"/>
          <w:sz w:val="24"/>
          <w:szCs w:val="24"/>
        </w:rPr>
        <w:t>1) Surgical resection is the first choice for rese</w:t>
      </w:r>
      <w:r w:rsidR="001F4328" w:rsidRPr="0028500E">
        <w:rPr>
          <w:rFonts w:ascii="Book Antiqua" w:hAnsi="Book Antiqua" w:cs="Arial"/>
          <w:color w:val="000000" w:themeColor="text1"/>
          <w:sz w:val="24"/>
          <w:szCs w:val="24"/>
        </w:rPr>
        <w:t>ctable GISTs without metastasis</w:t>
      </w:r>
      <w:r w:rsidR="001F4328" w:rsidRPr="0028500E">
        <w:rPr>
          <w:rFonts w:ascii="Book Antiqua" w:eastAsia="SimSun" w:hAnsi="Book Antiqua" w:cs="Arial"/>
          <w:color w:val="000000" w:themeColor="text1"/>
          <w:sz w:val="24"/>
          <w:szCs w:val="24"/>
          <w:lang w:eastAsia="zh-CN"/>
        </w:rPr>
        <w:t>; and</w:t>
      </w:r>
      <w:r w:rsidRPr="0028500E">
        <w:rPr>
          <w:rFonts w:ascii="Book Antiqua" w:hAnsi="Book Antiqua" w:cs="Arial"/>
          <w:color w:val="000000" w:themeColor="text1"/>
          <w:sz w:val="24"/>
          <w:szCs w:val="24"/>
        </w:rPr>
        <w:t xml:space="preserve"> </w:t>
      </w:r>
      <w:r w:rsidR="001F4328" w:rsidRPr="0028500E">
        <w:rPr>
          <w:rFonts w:ascii="Book Antiqua" w:eastAsia="SimSun" w:hAnsi="Book Antiqua" w:cs="Arial"/>
          <w:color w:val="000000" w:themeColor="text1"/>
          <w:sz w:val="24"/>
          <w:szCs w:val="24"/>
          <w:lang w:eastAsia="zh-CN"/>
        </w:rPr>
        <w:t>(</w:t>
      </w:r>
      <w:r w:rsidRPr="0028500E">
        <w:rPr>
          <w:rFonts w:ascii="Book Antiqua" w:hAnsi="Book Antiqua" w:cs="Arial"/>
          <w:color w:val="000000" w:themeColor="text1"/>
          <w:sz w:val="24"/>
          <w:szCs w:val="24"/>
        </w:rPr>
        <w:t>2) Administration of tyrosine kinase inhibitors such as imatinib is the primary approach for unresectable, metastatic, or recurrent GISTs</w:t>
      </w:r>
      <w:r w:rsidRPr="0028500E">
        <w:rPr>
          <w:rFonts w:ascii="Book Antiqua" w:hAnsi="Book Antiqua" w:cs="Arial"/>
          <w:color w:val="000000" w:themeColor="text1"/>
          <w:sz w:val="24"/>
          <w:szCs w:val="24"/>
          <w:vertAlign w:val="superscript"/>
        </w:rPr>
        <w:t>[</w:t>
      </w:r>
      <w:r w:rsidR="000829C7" w:rsidRPr="0028500E">
        <w:rPr>
          <w:rFonts w:ascii="Book Antiqua" w:hAnsi="Book Antiqua" w:cs="Arial"/>
          <w:color w:val="000000" w:themeColor="text1"/>
          <w:sz w:val="24"/>
          <w:szCs w:val="24"/>
          <w:vertAlign w:val="superscript"/>
        </w:rPr>
        <w:t>70</w:t>
      </w:r>
      <w:r w:rsidRPr="0028500E">
        <w:rPr>
          <w:rFonts w:ascii="Book Antiqua" w:hAnsi="Book Antiqua" w:cs="Arial"/>
          <w:color w:val="000000" w:themeColor="text1"/>
          <w:sz w:val="24"/>
          <w:szCs w:val="24"/>
          <w:vertAlign w:val="superscript"/>
        </w:rPr>
        <w:t>-</w:t>
      </w:r>
      <w:r w:rsidR="000829C7" w:rsidRPr="0028500E">
        <w:rPr>
          <w:rFonts w:ascii="Book Antiqua" w:hAnsi="Book Antiqua" w:cs="Arial"/>
          <w:color w:val="000000" w:themeColor="text1"/>
          <w:sz w:val="24"/>
          <w:szCs w:val="24"/>
          <w:vertAlign w:val="superscript"/>
        </w:rPr>
        <w:t>73</w:t>
      </w:r>
      <w:r w:rsidRPr="0028500E">
        <w:rPr>
          <w:rFonts w:ascii="Book Antiqua" w:hAnsi="Book Antiqua" w:cs="Arial"/>
          <w:color w:val="000000" w:themeColor="text1"/>
          <w:sz w:val="24"/>
          <w:szCs w:val="24"/>
          <w:vertAlign w:val="superscript"/>
        </w:rPr>
        <w:t>]</w:t>
      </w:r>
      <w:r w:rsidRPr="0028500E">
        <w:rPr>
          <w:rFonts w:ascii="Book Antiqua" w:hAnsi="Book Antiqua" w:cs="Arial"/>
          <w:color w:val="000000" w:themeColor="text1"/>
          <w:sz w:val="24"/>
          <w:szCs w:val="24"/>
        </w:rPr>
        <w:t>. The objective of surgery is to achieve R0 resection to the greatest extent possible. Lymph node dissection is not recommended except when lymph node metastasis is clinically suspected; most metastasis of GIST is liver metastasis or peritoneal seeding, and lymph node metastasis is extremely rare</w:t>
      </w:r>
      <w:r w:rsidRPr="0028500E">
        <w:rPr>
          <w:rFonts w:ascii="Book Antiqua" w:hAnsi="Book Antiqua" w:cs="Arial"/>
          <w:color w:val="000000" w:themeColor="text1"/>
          <w:sz w:val="24"/>
          <w:szCs w:val="24"/>
          <w:vertAlign w:val="superscript"/>
        </w:rPr>
        <w:t>[</w:t>
      </w:r>
      <w:r w:rsidR="000829C7" w:rsidRPr="0028500E">
        <w:rPr>
          <w:rFonts w:ascii="Book Antiqua" w:hAnsi="Book Antiqua" w:cs="Arial"/>
          <w:color w:val="000000" w:themeColor="text1"/>
          <w:sz w:val="24"/>
          <w:szCs w:val="24"/>
          <w:vertAlign w:val="superscript"/>
        </w:rPr>
        <w:t>74</w:t>
      </w:r>
      <w:r w:rsidRPr="0028500E">
        <w:rPr>
          <w:rFonts w:ascii="Book Antiqua" w:hAnsi="Book Antiqua" w:cs="Arial"/>
          <w:color w:val="000000" w:themeColor="text1"/>
          <w:sz w:val="24"/>
          <w:szCs w:val="24"/>
          <w:vertAlign w:val="superscript"/>
        </w:rPr>
        <w:t>,</w:t>
      </w:r>
      <w:r w:rsidR="000829C7" w:rsidRPr="0028500E">
        <w:rPr>
          <w:rFonts w:ascii="Book Antiqua" w:hAnsi="Book Antiqua" w:cs="Arial"/>
          <w:color w:val="000000" w:themeColor="text1"/>
          <w:sz w:val="24"/>
          <w:szCs w:val="24"/>
          <w:vertAlign w:val="superscript"/>
        </w:rPr>
        <w:t>75</w:t>
      </w:r>
      <w:r w:rsidRPr="0028500E">
        <w:rPr>
          <w:rFonts w:ascii="Book Antiqua" w:hAnsi="Book Antiqua" w:cs="Arial"/>
          <w:color w:val="000000" w:themeColor="text1"/>
          <w:sz w:val="24"/>
          <w:szCs w:val="24"/>
          <w:vertAlign w:val="superscript"/>
        </w:rPr>
        <w:t>]</w:t>
      </w:r>
      <w:r w:rsidRPr="0028500E">
        <w:rPr>
          <w:rFonts w:ascii="Book Antiqua" w:hAnsi="Book Antiqua" w:cs="Arial"/>
          <w:color w:val="000000" w:themeColor="text1"/>
          <w:sz w:val="24"/>
          <w:szCs w:val="24"/>
        </w:rPr>
        <w:t xml:space="preserve">. Therefore, </w:t>
      </w:r>
      <w:r w:rsidRPr="0028500E">
        <w:rPr>
          <w:rFonts w:ascii="Book Antiqua" w:hAnsi="Book Antiqua" w:cs="Arial"/>
          <w:color w:val="000000" w:themeColor="text1"/>
          <w:sz w:val="24"/>
          <w:szCs w:val="24"/>
        </w:rPr>
        <w:lastRenderedPageBreak/>
        <w:t>wedge or segmental resection with preservation of organs and organ functions and maintenance of a good quality of life after surgery is recommended</w:t>
      </w:r>
      <w:r w:rsidRPr="0028500E">
        <w:rPr>
          <w:rFonts w:ascii="Book Antiqua" w:hAnsi="Book Antiqua" w:cs="Arial"/>
          <w:color w:val="000000" w:themeColor="text1"/>
          <w:sz w:val="24"/>
          <w:szCs w:val="24"/>
          <w:vertAlign w:val="superscript"/>
        </w:rPr>
        <w:t>[</w:t>
      </w:r>
      <w:r w:rsidR="000829C7" w:rsidRPr="0028500E">
        <w:rPr>
          <w:rFonts w:ascii="Book Antiqua" w:hAnsi="Book Antiqua" w:cs="Arial"/>
          <w:color w:val="000000" w:themeColor="text1"/>
          <w:sz w:val="24"/>
          <w:szCs w:val="24"/>
          <w:vertAlign w:val="superscript"/>
        </w:rPr>
        <w:t>7</w:t>
      </w:r>
      <w:r w:rsidRPr="0028500E">
        <w:rPr>
          <w:rFonts w:ascii="Book Antiqua" w:hAnsi="Book Antiqua" w:cs="Arial"/>
          <w:color w:val="000000" w:themeColor="text1"/>
          <w:sz w:val="24"/>
          <w:szCs w:val="24"/>
          <w:vertAlign w:val="superscript"/>
        </w:rPr>
        <w:t>6]</w:t>
      </w:r>
      <w:r w:rsidRPr="0028500E">
        <w:rPr>
          <w:rFonts w:ascii="Book Antiqua" w:hAnsi="Book Antiqua" w:cs="Arial"/>
          <w:color w:val="000000" w:themeColor="text1"/>
          <w:sz w:val="24"/>
          <w:szCs w:val="24"/>
        </w:rPr>
        <w:t>. Previous studies have shown that laparoscopic resection is feasible and safe for gastric GISTs and is less invasive than traditional open surgery, with similar oncological outcomes (Figure 7)</w:t>
      </w:r>
      <w:r w:rsidRPr="0028500E">
        <w:rPr>
          <w:rFonts w:ascii="Book Antiqua" w:hAnsi="Book Antiqua" w:cs="Arial"/>
          <w:color w:val="000000" w:themeColor="text1"/>
          <w:sz w:val="24"/>
          <w:szCs w:val="24"/>
          <w:vertAlign w:val="superscript"/>
        </w:rPr>
        <w:t>[7</w:t>
      </w:r>
      <w:r w:rsidR="000829C7" w:rsidRPr="0028500E">
        <w:rPr>
          <w:rFonts w:ascii="Book Antiqua" w:hAnsi="Book Antiqua" w:cs="Arial"/>
          <w:color w:val="000000" w:themeColor="text1"/>
          <w:sz w:val="24"/>
          <w:szCs w:val="24"/>
          <w:vertAlign w:val="superscript"/>
        </w:rPr>
        <w:t>7</w:t>
      </w:r>
      <w:r w:rsidRPr="0028500E">
        <w:rPr>
          <w:rFonts w:ascii="Book Antiqua" w:hAnsi="Book Antiqua" w:cs="Arial"/>
          <w:color w:val="000000" w:themeColor="text1"/>
          <w:sz w:val="24"/>
          <w:szCs w:val="24"/>
          <w:vertAlign w:val="superscript"/>
        </w:rPr>
        <w:t>-7</w:t>
      </w:r>
      <w:r w:rsidR="000829C7" w:rsidRPr="0028500E">
        <w:rPr>
          <w:rFonts w:ascii="Book Antiqua" w:hAnsi="Book Antiqua" w:cs="Arial"/>
          <w:color w:val="000000" w:themeColor="text1"/>
          <w:sz w:val="24"/>
          <w:szCs w:val="24"/>
          <w:vertAlign w:val="superscript"/>
        </w:rPr>
        <w:t>9</w:t>
      </w:r>
      <w:r w:rsidRPr="0028500E">
        <w:rPr>
          <w:rFonts w:ascii="Book Antiqua" w:hAnsi="Book Antiqua" w:cs="Arial"/>
          <w:color w:val="000000" w:themeColor="text1"/>
          <w:sz w:val="24"/>
          <w:szCs w:val="24"/>
          <w:vertAlign w:val="superscript"/>
        </w:rPr>
        <w:t>]</w:t>
      </w:r>
      <w:r w:rsidRPr="0028500E">
        <w:rPr>
          <w:rFonts w:ascii="Book Antiqua" w:hAnsi="Book Antiqua" w:cs="Arial"/>
          <w:color w:val="000000" w:themeColor="text1"/>
          <w:sz w:val="24"/>
          <w:szCs w:val="24"/>
        </w:rPr>
        <w:t>. Other minimally invasive techniques such as submucosal tunneling endoscopic resection</w:t>
      </w:r>
      <w:r w:rsidRPr="0028500E">
        <w:rPr>
          <w:rFonts w:ascii="Book Antiqua" w:hAnsi="Book Antiqua" w:cs="Arial"/>
          <w:color w:val="000000" w:themeColor="text1"/>
          <w:sz w:val="24"/>
          <w:szCs w:val="24"/>
          <w:vertAlign w:val="superscript"/>
        </w:rPr>
        <w:t>[6</w:t>
      </w:r>
      <w:r w:rsidR="005B2560" w:rsidRPr="0028500E">
        <w:rPr>
          <w:rFonts w:ascii="Book Antiqua" w:hAnsi="Book Antiqua" w:cs="Arial"/>
          <w:color w:val="000000" w:themeColor="text1"/>
          <w:sz w:val="24"/>
          <w:szCs w:val="24"/>
          <w:vertAlign w:val="superscript"/>
        </w:rPr>
        <w:t>7</w:t>
      </w:r>
      <w:r w:rsidRPr="0028500E">
        <w:rPr>
          <w:rFonts w:ascii="Book Antiqua" w:hAnsi="Book Antiqua" w:cs="Arial"/>
          <w:color w:val="000000" w:themeColor="text1"/>
          <w:sz w:val="24"/>
          <w:szCs w:val="24"/>
          <w:vertAlign w:val="superscript"/>
        </w:rPr>
        <w:t>,6</w:t>
      </w:r>
      <w:r w:rsidR="005B2560" w:rsidRPr="0028500E">
        <w:rPr>
          <w:rFonts w:ascii="Book Antiqua" w:hAnsi="Book Antiqua" w:cs="Arial"/>
          <w:color w:val="000000" w:themeColor="text1"/>
          <w:sz w:val="24"/>
          <w:szCs w:val="24"/>
          <w:vertAlign w:val="superscript"/>
        </w:rPr>
        <w:t>8</w:t>
      </w:r>
      <w:r w:rsidRPr="0028500E">
        <w:rPr>
          <w:rFonts w:ascii="Book Antiqua" w:hAnsi="Book Antiqua" w:cs="Arial"/>
          <w:color w:val="000000" w:themeColor="text1"/>
          <w:sz w:val="24"/>
          <w:szCs w:val="24"/>
          <w:vertAlign w:val="superscript"/>
        </w:rPr>
        <w:t>]</w:t>
      </w:r>
      <w:r w:rsidRPr="0028500E">
        <w:rPr>
          <w:rFonts w:ascii="Book Antiqua" w:hAnsi="Book Antiqua" w:cs="Arial"/>
          <w:color w:val="000000" w:themeColor="text1"/>
          <w:sz w:val="24"/>
          <w:szCs w:val="24"/>
        </w:rPr>
        <w:t>, endoscopic full-thickness resection</w:t>
      </w:r>
      <w:r w:rsidRPr="0028500E">
        <w:rPr>
          <w:rFonts w:ascii="Book Antiqua" w:hAnsi="Book Antiqua" w:cs="Arial"/>
          <w:color w:val="000000" w:themeColor="text1"/>
          <w:sz w:val="24"/>
          <w:szCs w:val="24"/>
          <w:vertAlign w:val="superscript"/>
        </w:rPr>
        <w:t>[</w:t>
      </w:r>
      <w:r w:rsidR="000829C7" w:rsidRPr="0028500E">
        <w:rPr>
          <w:rFonts w:ascii="Book Antiqua" w:hAnsi="Book Antiqua" w:cs="Arial"/>
          <w:color w:val="000000" w:themeColor="text1"/>
          <w:sz w:val="24"/>
          <w:szCs w:val="24"/>
          <w:vertAlign w:val="superscript"/>
        </w:rPr>
        <w:t>80</w:t>
      </w:r>
      <w:r w:rsidRPr="0028500E">
        <w:rPr>
          <w:rFonts w:ascii="Book Antiqua" w:hAnsi="Book Antiqua" w:cs="Arial"/>
          <w:color w:val="000000" w:themeColor="text1"/>
          <w:sz w:val="24"/>
          <w:szCs w:val="24"/>
          <w:vertAlign w:val="superscript"/>
        </w:rPr>
        <w:t>]</w:t>
      </w:r>
      <w:r w:rsidRPr="0028500E">
        <w:rPr>
          <w:rFonts w:ascii="Book Antiqua" w:hAnsi="Book Antiqua" w:cs="Arial"/>
          <w:color w:val="000000" w:themeColor="text1"/>
          <w:sz w:val="24"/>
          <w:szCs w:val="24"/>
        </w:rPr>
        <w:t>, and laparoscopic endoscopic cooperative surgery</w:t>
      </w:r>
      <w:r w:rsidRPr="0028500E">
        <w:rPr>
          <w:rFonts w:ascii="Book Antiqua" w:hAnsi="Book Antiqua" w:cs="Arial"/>
          <w:color w:val="000000" w:themeColor="text1"/>
          <w:sz w:val="24"/>
          <w:szCs w:val="24"/>
          <w:vertAlign w:val="superscript"/>
        </w:rPr>
        <w:t>[</w:t>
      </w:r>
      <w:r w:rsidR="000829C7" w:rsidRPr="0028500E">
        <w:rPr>
          <w:rFonts w:ascii="Book Antiqua" w:hAnsi="Book Antiqua" w:cs="Arial"/>
          <w:color w:val="000000" w:themeColor="text1"/>
          <w:sz w:val="24"/>
          <w:szCs w:val="24"/>
          <w:vertAlign w:val="superscript"/>
        </w:rPr>
        <w:t>81</w:t>
      </w:r>
      <w:r w:rsidRPr="0028500E">
        <w:rPr>
          <w:rFonts w:ascii="Book Antiqua" w:hAnsi="Book Antiqua" w:cs="Arial"/>
          <w:color w:val="000000" w:themeColor="text1"/>
          <w:sz w:val="24"/>
          <w:szCs w:val="24"/>
          <w:vertAlign w:val="superscript"/>
        </w:rPr>
        <w:t>]</w:t>
      </w:r>
      <w:r w:rsidRPr="0028500E">
        <w:rPr>
          <w:rFonts w:ascii="Book Antiqua" w:hAnsi="Book Antiqua" w:cs="Arial"/>
          <w:color w:val="000000" w:themeColor="text1"/>
          <w:sz w:val="24"/>
          <w:szCs w:val="24"/>
        </w:rPr>
        <w:t xml:space="preserve"> have recently shown good clinical outcomes; however, there are still insufficient studies concerning their long-term safety, and they are still at clinical research levels. </w:t>
      </w:r>
    </w:p>
    <w:p w14:paraId="11F06CB5" w14:textId="6399B245" w:rsidR="00557FB4" w:rsidRPr="0028500E" w:rsidRDefault="006D143D" w:rsidP="001E53AA">
      <w:pPr>
        <w:snapToGrid w:val="0"/>
        <w:spacing w:line="360" w:lineRule="auto"/>
        <w:ind w:firstLineChars="250" w:firstLine="600"/>
        <w:rPr>
          <w:rFonts w:ascii="Book Antiqua" w:hAnsi="Book Antiqua" w:cs="Arial"/>
          <w:color w:val="000000" w:themeColor="text1"/>
          <w:sz w:val="24"/>
          <w:szCs w:val="24"/>
        </w:rPr>
      </w:pPr>
      <w:bookmarkStart w:id="37" w:name="_Hlk514569280"/>
      <w:r w:rsidRPr="0028500E">
        <w:rPr>
          <w:rFonts w:ascii="Book Antiqua" w:hAnsi="Book Antiqua" w:cs="Arial"/>
          <w:color w:val="000000" w:themeColor="text1"/>
          <w:sz w:val="24"/>
          <w:szCs w:val="24"/>
        </w:rPr>
        <w:t xml:space="preserve">In contrast, the introduction of </w:t>
      </w:r>
      <w:r w:rsidR="00A22E94" w:rsidRPr="0028500E">
        <w:rPr>
          <w:rFonts w:ascii="Book Antiqua" w:hAnsi="Book Antiqua" w:cs="Arial"/>
          <w:color w:val="000000" w:themeColor="text1"/>
          <w:sz w:val="24"/>
          <w:szCs w:val="24"/>
        </w:rPr>
        <w:t>imatinib (</w:t>
      </w:r>
      <w:r w:rsidR="00491632" w:rsidRPr="0028500E">
        <w:rPr>
          <w:rFonts w:ascii="Book Antiqua" w:hAnsi="Book Antiqua" w:cs="Arial"/>
          <w:color w:val="000000" w:themeColor="text1"/>
          <w:sz w:val="24"/>
          <w:szCs w:val="24"/>
        </w:rPr>
        <w:t xml:space="preserve">first-line </w:t>
      </w:r>
      <w:r w:rsidRPr="0028500E">
        <w:rPr>
          <w:rFonts w:ascii="Book Antiqua" w:hAnsi="Book Antiqua" w:cs="Arial"/>
          <w:color w:val="000000" w:themeColor="text1"/>
          <w:sz w:val="24"/>
          <w:szCs w:val="24"/>
        </w:rPr>
        <w:t>tyrosine kinase inhibitor</w:t>
      </w:r>
      <w:r w:rsidR="00A22E94" w:rsidRPr="0028500E">
        <w:rPr>
          <w:rFonts w:ascii="Book Antiqua" w:hAnsi="Book Antiqua" w:cs="Arial"/>
          <w:color w:val="000000" w:themeColor="text1"/>
          <w:sz w:val="24"/>
          <w:szCs w:val="24"/>
        </w:rPr>
        <w:t>)</w:t>
      </w:r>
      <w:r w:rsidRPr="0028500E">
        <w:rPr>
          <w:rFonts w:ascii="Book Antiqua" w:hAnsi="Book Antiqua" w:cs="Arial"/>
          <w:color w:val="000000" w:themeColor="text1"/>
          <w:sz w:val="24"/>
          <w:szCs w:val="24"/>
        </w:rPr>
        <w:t xml:space="preserve"> has dramatically improved the management of GISTs, prolonging recurrence-free survival after surgery</w:t>
      </w:r>
      <w:r w:rsidRPr="0028500E">
        <w:rPr>
          <w:rFonts w:ascii="Book Antiqua" w:hAnsi="Book Antiqua" w:cs="Arial"/>
          <w:color w:val="000000" w:themeColor="text1"/>
          <w:sz w:val="24"/>
          <w:szCs w:val="24"/>
          <w:vertAlign w:val="superscript"/>
        </w:rPr>
        <w:t>[</w:t>
      </w:r>
      <w:r w:rsidR="000829C7" w:rsidRPr="0028500E">
        <w:rPr>
          <w:rFonts w:ascii="Book Antiqua" w:hAnsi="Book Antiqua" w:cs="Arial"/>
          <w:color w:val="000000" w:themeColor="text1"/>
          <w:sz w:val="24"/>
          <w:szCs w:val="24"/>
          <w:vertAlign w:val="superscript"/>
        </w:rPr>
        <w:t>82</w:t>
      </w:r>
      <w:r w:rsidRPr="0028500E">
        <w:rPr>
          <w:rFonts w:ascii="Book Antiqua" w:hAnsi="Book Antiqua" w:cs="Arial"/>
          <w:color w:val="000000" w:themeColor="text1"/>
          <w:sz w:val="24"/>
          <w:szCs w:val="24"/>
          <w:vertAlign w:val="superscript"/>
        </w:rPr>
        <w:t>]</w:t>
      </w:r>
      <w:r w:rsidRPr="0028500E">
        <w:rPr>
          <w:rFonts w:ascii="Book Antiqua" w:hAnsi="Book Antiqua" w:cs="Arial"/>
          <w:color w:val="000000" w:themeColor="text1"/>
          <w:sz w:val="24"/>
          <w:szCs w:val="24"/>
        </w:rPr>
        <w:t xml:space="preserve"> and extending overall survival in metastatic or unresectable cases</w:t>
      </w:r>
      <w:r w:rsidRPr="0028500E">
        <w:rPr>
          <w:rFonts w:ascii="Book Antiqua" w:hAnsi="Book Antiqua" w:cs="Arial"/>
          <w:color w:val="000000" w:themeColor="text1"/>
          <w:sz w:val="24"/>
          <w:szCs w:val="24"/>
          <w:vertAlign w:val="superscript"/>
        </w:rPr>
        <w:t>[14]</w:t>
      </w:r>
      <w:r w:rsidRPr="0028500E">
        <w:rPr>
          <w:rFonts w:ascii="Book Antiqua" w:hAnsi="Book Antiqua" w:cs="Arial"/>
          <w:color w:val="000000" w:themeColor="text1"/>
          <w:sz w:val="24"/>
          <w:szCs w:val="24"/>
        </w:rPr>
        <w:t xml:space="preserve">. </w:t>
      </w:r>
      <w:r w:rsidR="003F59AB" w:rsidRPr="0028500E">
        <w:rPr>
          <w:rFonts w:ascii="Book Antiqua" w:hAnsi="Book Antiqua" w:cs="Arial"/>
          <w:color w:val="000000" w:themeColor="text1"/>
          <w:sz w:val="24"/>
          <w:szCs w:val="24"/>
        </w:rPr>
        <w:t xml:space="preserve">Three years </w:t>
      </w:r>
      <w:r w:rsidR="00681F4B" w:rsidRPr="0028500E">
        <w:rPr>
          <w:rFonts w:ascii="Book Antiqua" w:hAnsi="Book Antiqua" w:cs="Arial"/>
          <w:color w:val="000000" w:themeColor="text1"/>
          <w:sz w:val="24"/>
          <w:szCs w:val="24"/>
        </w:rPr>
        <w:t xml:space="preserve">of </w:t>
      </w:r>
      <w:r w:rsidR="003F59AB" w:rsidRPr="0028500E">
        <w:rPr>
          <w:rFonts w:ascii="Book Antiqua" w:hAnsi="Book Antiqua" w:cs="Arial"/>
          <w:color w:val="000000" w:themeColor="text1"/>
          <w:sz w:val="24"/>
          <w:szCs w:val="24"/>
        </w:rPr>
        <w:t>a</w:t>
      </w:r>
      <w:r w:rsidR="00053DD4" w:rsidRPr="0028500E">
        <w:rPr>
          <w:rFonts w:ascii="Book Antiqua" w:hAnsi="Book Antiqua" w:cs="Arial"/>
          <w:color w:val="000000" w:themeColor="text1"/>
          <w:sz w:val="24"/>
          <w:szCs w:val="24"/>
        </w:rPr>
        <w:t xml:space="preserve">djuvant therapy with imatinib </w:t>
      </w:r>
      <w:r w:rsidR="003F59AB" w:rsidRPr="0028500E">
        <w:rPr>
          <w:rFonts w:ascii="Book Antiqua" w:hAnsi="Book Antiqua" w:cs="Arial"/>
          <w:color w:val="000000" w:themeColor="text1"/>
          <w:sz w:val="24"/>
          <w:szCs w:val="24"/>
        </w:rPr>
        <w:t>for patients with</w:t>
      </w:r>
      <w:r w:rsidR="00053DD4" w:rsidRPr="0028500E">
        <w:rPr>
          <w:rFonts w:ascii="Book Antiqua" w:hAnsi="Book Antiqua" w:cs="Arial"/>
          <w:color w:val="000000" w:themeColor="text1"/>
          <w:sz w:val="24"/>
          <w:szCs w:val="24"/>
        </w:rPr>
        <w:t xml:space="preserve"> high</w:t>
      </w:r>
      <w:r w:rsidR="00681F4B" w:rsidRPr="0028500E">
        <w:rPr>
          <w:rFonts w:ascii="Book Antiqua" w:hAnsi="Book Antiqua" w:cs="Arial"/>
          <w:color w:val="000000" w:themeColor="text1"/>
          <w:sz w:val="24"/>
          <w:szCs w:val="24"/>
        </w:rPr>
        <w:t>-</w:t>
      </w:r>
      <w:r w:rsidR="00053DD4" w:rsidRPr="0028500E">
        <w:rPr>
          <w:rFonts w:ascii="Book Antiqua" w:hAnsi="Book Antiqua" w:cs="Arial"/>
          <w:color w:val="000000" w:themeColor="text1"/>
          <w:sz w:val="24"/>
          <w:szCs w:val="24"/>
        </w:rPr>
        <w:t xml:space="preserve">risk GISTs </w:t>
      </w:r>
      <w:r w:rsidR="00A22E94" w:rsidRPr="0028500E">
        <w:rPr>
          <w:rFonts w:ascii="Book Antiqua" w:hAnsi="Book Antiqua" w:cs="Arial"/>
          <w:color w:val="000000" w:themeColor="text1"/>
          <w:sz w:val="24"/>
          <w:szCs w:val="24"/>
        </w:rPr>
        <w:t xml:space="preserve">who </w:t>
      </w:r>
      <w:r w:rsidR="00681F4B" w:rsidRPr="0028500E">
        <w:rPr>
          <w:rFonts w:ascii="Book Antiqua" w:hAnsi="Book Antiqua" w:cs="Arial"/>
          <w:color w:val="000000" w:themeColor="text1"/>
          <w:sz w:val="24"/>
          <w:szCs w:val="24"/>
        </w:rPr>
        <w:t xml:space="preserve">have undergone </w:t>
      </w:r>
      <w:r w:rsidR="003F59AB" w:rsidRPr="0028500E">
        <w:rPr>
          <w:rFonts w:ascii="Book Antiqua" w:hAnsi="Book Antiqua" w:cs="Arial"/>
          <w:color w:val="000000" w:themeColor="text1"/>
          <w:sz w:val="24"/>
          <w:szCs w:val="24"/>
        </w:rPr>
        <w:t xml:space="preserve">macroscopic </w:t>
      </w:r>
      <w:r w:rsidR="00A22E94" w:rsidRPr="0028500E">
        <w:rPr>
          <w:rFonts w:ascii="Book Antiqua" w:hAnsi="Book Antiqua" w:cs="Arial"/>
          <w:color w:val="000000" w:themeColor="text1"/>
          <w:sz w:val="24"/>
          <w:szCs w:val="24"/>
        </w:rPr>
        <w:t>complete tumor resection</w:t>
      </w:r>
      <w:r w:rsidR="00D71300" w:rsidRPr="0028500E">
        <w:rPr>
          <w:rFonts w:ascii="Book Antiqua" w:hAnsi="Book Antiqua" w:cs="Arial"/>
          <w:color w:val="000000" w:themeColor="text1"/>
          <w:sz w:val="24"/>
          <w:szCs w:val="24"/>
        </w:rPr>
        <w:t xml:space="preserve"> (R0 and R1)</w:t>
      </w:r>
      <w:r w:rsidR="00A81815" w:rsidRPr="0028500E">
        <w:rPr>
          <w:rFonts w:ascii="Book Antiqua" w:hAnsi="Book Antiqua" w:cs="Arial"/>
          <w:color w:val="000000" w:themeColor="text1"/>
          <w:sz w:val="24"/>
          <w:szCs w:val="24"/>
        </w:rPr>
        <w:t xml:space="preserve"> </w:t>
      </w:r>
      <w:r w:rsidR="003F59AB" w:rsidRPr="0028500E">
        <w:rPr>
          <w:rFonts w:ascii="Book Antiqua" w:hAnsi="Book Antiqua" w:cs="Arial"/>
          <w:color w:val="000000" w:themeColor="text1"/>
          <w:sz w:val="24"/>
          <w:szCs w:val="24"/>
        </w:rPr>
        <w:t>is recommended because it</w:t>
      </w:r>
      <w:r w:rsidR="00A22E94" w:rsidRPr="0028500E">
        <w:rPr>
          <w:rFonts w:ascii="Book Antiqua" w:hAnsi="Book Antiqua" w:cs="Arial"/>
          <w:color w:val="000000" w:themeColor="text1"/>
          <w:sz w:val="24"/>
          <w:szCs w:val="24"/>
        </w:rPr>
        <w:t xml:space="preserve"> </w:t>
      </w:r>
      <w:r w:rsidR="00053DD4" w:rsidRPr="0028500E">
        <w:rPr>
          <w:rFonts w:ascii="Book Antiqua" w:hAnsi="Book Antiqua" w:cs="Arial"/>
          <w:color w:val="000000" w:themeColor="text1"/>
          <w:sz w:val="24"/>
          <w:szCs w:val="24"/>
        </w:rPr>
        <w:t xml:space="preserve">improves </w:t>
      </w:r>
      <w:r w:rsidR="00384E13" w:rsidRPr="0028500E">
        <w:rPr>
          <w:rFonts w:ascii="Book Antiqua" w:hAnsi="Book Antiqua" w:cs="Arial"/>
          <w:color w:val="000000" w:themeColor="text1"/>
          <w:sz w:val="24"/>
          <w:szCs w:val="24"/>
        </w:rPr>
        <w:t>overall survival</w:t>
      </w:r>
      <w:r w:rsidR="00053DD4" w:rsidRPr="0028500E">
        <w:rPr>
          <w:rFonts w:ascii="Book Antiqua" w:hAnsi="Book Antiqua" w:cs="Arial"/>
          <w:color w:val="000000" w:themeColor="text1"/>
          <w:sz w:val="24"/>
          <w:szCs w:val="24"/>
        </w:rPr>
        <w:t xml:space="preserve"> and </w:t>
      </w:r>
      <w:r w:rsidR="00384E13" w:rsidRPr="0028500E">
        <w:rPr>
          <w:rFonts w:ascii="Book Antiqua" w:hAnsi="Book Antiqua" w:cs="Arial"/>
          <w:color w:val="000000" w:themeColor="text1"/>
          <w:sz w:val="24"/>
          <w:szCs w:val="24"/>
        </w:rPr>
        <w:t>recurrence</w:t>
      </w:r>
      <w:r w:rsidR="00681F4B" w:rsidRPr="0028500E">
        <w:rPr>
          <w:rFonts w:ascii="Book Antiqua" w:hAnsi="Book Antiqua" w:cs="Arial"/>
          <w:color w:val="000000" w:themeColor="text1"/>
          <w:sz w:val="24"/>
          <w:szCs w:val="24"/>
        </w:rPr>
        <w:t>-</w:t>
      </w:r>
      <w:r w:rsidR="00384E13" w:rsidRPr="0028500E">
        <w:rPr>
          <w:rFonts w:ascii="Book Antiqua" w:hAnsi="Book Antiqua" w:cs="Arial"/>
          <w:color w:val="000000" w:themeColor="text1"/>
          <w:sz w:val="24"/>
          <w:szCs w:val="24"/>
        </w:rPr>
        <w:t>free survival</w:t>
      </w:r>
      <w:bookmarkStart w:id="38" w:name="_Hlk514568150"/>
      <w:r w:rsidR="00D71300" w:rsidRPr="0028500E">
        <w:rPr>
          <w:rFonts w:ascii="Book Antiqua" w:hAnsi="Book Antiqua" w:cs="Arial"/>
          <w:color w:val="000000" w:themeColor="text1"/>
          <w:sz w:val="24"/>
          <w:szCs w:val="24"/>
          <w:vertAlign w:val="superscript"/>
        </w:rPr>
        <w:t>[</w:t>
      </w:r>
      <w:r w:rsidR="000829C7" w:rsidRPr="0028500E">
        <w:rPr>
          <w:rFonts w:ascii="Book Antiqua" w:hAnsi="Book Antiqua" w:cs="Arial"/>
          <w:color w:val="000000" w:themeColor="text1"/>
          <w:sz w:val="24"/>
          <w:szCs w:val="24"/>
          <w:vertAlign w:val="superscript"/>
        </w:rPr>
        <w:t>82</w:t>
      </w:r>
      <w:r w:rsidR="00D71300" w:rsidRPr="0028500E">
        <w:rPr>
          <w:rFonts w:ascii="Book Antiqua" w:hAnsi="Book Antiqua" w:cs="Arial"/>
          <w:color w:val="000000" w:themeColor="text1"/>
          <w:sz w:val="24"/>
          <w:szCs w:val="24"/>
          <w:vertAlign w:val="superscript"/>
        </w:rPr>
        <w:t>]</w:t>
      </w:r>
      <w:bookmarkEnd w:id="38"/>
      <w:r w:rsidR="00053DD4" w:rsidRPr="0028500E">
        <w:rPr>
          <w:rFonts w:ascii="Book Antiqua" w:hAnsi="Book Antiqua" w:cs="Arial"/>
          <w:color w:val="000000" w:themeColor="text1"/>
          <w:sz w:val="24"/>
          <w:szCs w:val="24"/>
        </w:rPr>
        <w:t>. Sunitinib</w:t>
      </w:r>
      <w:r w:rsidR="00F449EF" w:rsidRPr="0028500E">
        <w:rPr>
          <w:rFonts w:ascii="Book Antiqua" w:hAnsi="Book Antiqua" w:cs="Arial"/>
          <w:color w:val="000000" w:themeColor="text1"/>
          <w:sz w:val="24"/>
          <w:szCs w:val="24"/>
        </w:rPr>
        <w:t xml:space="preserve"> </w:t>
      </w:r>
      <w:bookmarkStart w:id="39" w:name="_Hlk514564077"/>
      <w:r w:rsidR="00491632" w:rsidRPr="0028500E">
        <w:rPr>
          <w:rFonts w:ascii="Book Antiqua" w:hAnsi="Book Antiqua" w:cs="Arial"/>
          <w:color w:val="000000" w:themeColor="text1"/>
          <w:sz w:val="24"/>
          <w:szCs w:val="24"/>
        </w:rPr>
        <w:t>(</w:t>
      </w:r>
      <w:r w:rsidR="00F449EF" w:rsidRPr="0028500E">
        <w:rPr>
          <w:rFonts w:ascii="Book Antiqua" w:hAnsi="Book Antiqua" w:cs="Arial"/>
          <w:color w:val="000000" w:themeColor="text1"/>
          <w:sz w:val="24"/>
          <w:szCs w:val="24"/>
        </w:rPr>
        <w:t>second-line tyrosine kinase inhibitor</w:t>
      </w:r>
      <w:r w:rsidR="00491632" w:rsidRPr="0028500E">
        <w:rPr>
          <w:rFonts w:ascii="Book Antiqua" w:hAnsi="Book Antiqua" w:cs="Arial"/>
          <w:color w:val="000000" w:themeColor="text1"/>
          <w:sz w:val="24"/>
          <w:szCs w:val="24"/>
        </w:rPr>
        <w:t>)</w:t>
      </w:r>
      <w:r w:rsidR="002E1B8C" w:rsidRPr="0028500E">
        <w:rPr>
          <w:rFonts w:ascii="Book Antiqua" w:hAnsi="Book Antiqua" w:cs="Arial"/>
          <w:color w:val="000000" w:themeColor="text1"/>
          <w:sz w:val="24"/>
          <w:szCs w:val="24"/>
          <w:vertAlign w:val="superscript"/>
        </w:rPr>
        <w:t>[</w:t>
      </w:r>
      <w:r w:rsidR="000829C7" w:rsidRPr="0028500E">
        <w:rPr>
          <w:rFonts w:ascii="Book Antiqua" w:hAnsi="Book Antiqua" w:cs="Arial"/>
          <w:color w:val="000000" w:themeColor="text1"/>
          <w:sz w:val="24"/>
          <w:szCs w:val="24"/>
          <w:vertAlign w:val="superscript"/>
        </w:rPr>
        <w:t>83</w:t>
      </w:r>
      <w:r w:rsidR="002E1B8C" w:rsidRPr="0028500E">
        <w:rPr>
          <w:rFonts w:ascii="Book Antiqua" w:hAnsi="Book Antiqua" w:cs="Arial"/>
          <w:color w:val="000000" w:themeColor="text1"/>
          <w:sz w:val="24"/>
          <w:szCs w:val="24"/>
          <w:vertAlign w:val="superscript"/>
        </w:rPr>
        <w:t>]</w:t>
      </w:r>
      <w:r w:rsidR="00053DD4" w:rsidRPr="0028500E">
        <w:rPr>
          <w:rFonts w:ascii="Book Antiqua" w:hAnsi="Book Antiqua" w:cs="Arial"/>
          <w:color w:val="000000" w:themeColor="text1"/>
          <w:sz w:val="24"/>
          <w:szCs w:val="24"/>
        </w:rPr>
        <w:t xml:space="preserve"> </w:t>
      </w:r>
      <w:bookmarkEnd w:id="39"/>
      <w:r w:rsidR="00053DD4" w:rsidRPr="0028500E">
        <w:rPr>
          <w:rFonts w:ascii="Book Antiqua" w:hAnsi="Book Antiqua" w:cs="Arial"/>
          <w:color w:val="000000" w:themeColor="text1"/>
          <w:sz w:val="24"/>
          <w:szCs w:val="24"/>
        </w:rPr>
        <w:t>and regorafenib</w:t>
      </w:r>
      <w:r w:rsidR="00F449EF" w:rsidRPr="0028500E">
        <w:rPr>
          <w:rFonts w:ascii="Book Antiqua" w:hAnsi="Book Antiqua" w:cs="Arial"/>
          <w:color w:val="000000" w:themeColor="text1"/>
          <w:sz w:val="24"/>
          <w:szCs w:val="24"/>
        </w:rPr>
        <w:t xml:space="preserve"> (third-line multikinase inhibitor)</w:t>
      </w:r>
      <w:r w:rsidR="002E1B8C" w:rsidRPr="0028500E">
        <w:rPr>
          <w:rFonts w:ascii="Book Antiqua" w:hAnsi="Book Antiqua" w:cs="Arial"/>
          <w:color w:val="000000" w:themeColor="text1"/>
          <w:sz w:val="24"/>
          <w:szCs w:val="24"/>
          <w:vertAlign w:val="superscript"/>
        </w:rPr>
        <w:t>[</w:t>
      </w:r>
      <w:r w:rsidR="000829C7" w:rsidRPr="0028500E">
        <w:rPr>
          <w:rFonts w:ascii="Book Antiqua" w:hAnsi="Book Antiqua" w:cs="Arial"/>
          <w:color w:val="000000" w:themeColor="text1"/>
          <w:sz w:val="24"/>
          <w:szCs w:val="24"/>
          <w:vertAlign w:val="superscript"/>
        </w:rPr>
        <w:t>84</w:t>
      </w:r>
      <w:r w:rsidR="002E1B8C" w:rsidRPr="0028500E">
        <w:rPr>
          <w:rFonts w:ascii="Book Antiqua" w:hAnsi="Book Antiqua" w:cs="Arial"/>
          <w:color w:val="000000" w:themeColor="text1"/>
          <w:sz w:val="24"/>
          <w:szCs w:val="24"/>
          <w:vertAlign w:val="superscript"/>
        </w:rPr>
        <w:t>]</w:t>
      </w:r>
      <w:r w:rsidR="00F449EF" w:rsidRPr="0028500E">
        <w:rPr>
          <w:rFonts w:ascii="Book Antiqua" w:hAnsi="Book Antiqua" w:cs="Arial"/>
          <w:color w:val="000000" w:themeColor="text1"/>
          <w:sz w:val="24"/>
          <w:szCs w:val="24"/>
        </w:rPr>
        <w:t xml:space="preserve"> </w:t>
      </w:r>
      <w:r w:rsidR="00053DD4" w:rsidRPr="0028500E">
        <w:rPr>
          <w:rFonts w:ascii="Book Antiqua" w:hAnsi="Book Antiqua" w:cs="Arial"/>
          <w:color w:val="000000" w:themeColor="text1"/>
          <w:sz w:val="24"/>
          <w:szCs w:val="24"/>
        </w:rPr>
        <w:t>can be used in advanced GISTs after treatment failure with imatinib.</w:t>
      </w:r>
      <w:bookmarkEnd w:id="37"/>
      <w:r w:rsidR="00053DD4" w:rsidRPr="0028500E">
        <w:rPr>
          <w:rFonts w:ascii="Book Antiqua" w:hAnsi="Book Antiqua" w:cs="Arial"/>
          <w:color w:val="000000" w:themeColor="text1"/>
          <w:sz w:val="24"/>
          <w:szCs w:val="24"/>
        </w:rPr>
        <w:t xml:space="preserve"> </w:t>
      </w:r>
      <w:r w:rsidRPr="0028500E">
        <w:rPr>
          <w:rFonts w:ascii="Book Antiqua" w:hAnsi="Book Antiqua" w:cs="Arial"/>
          <w:color w:val="000000" w:themeColor="text1"/>
          <w:sz w:val="24"/>
          <w:szCs w:val="24"/>
        </w:rPr>
        <w:t>However, it is difficult to obtain a permanent cure by tyrosine kinase inhibitors. Therefore, early diagnosis (early GISTs without metastasis) with early surgical resection is the only promising way to obtain complete cure of this disease</w:t>
      </w:r>
      <w:r w:rsidRPr="0028500E">
        <w:rPr>
          <w:rFonts w:ascii="Book Antiqua" w:hAnsi="Book Antiqua" w:cs="Arial"/>
          <w:color w:val="000000" w:themeColor="text1"/>
          <w:sz w:val="24"/>
          <w:szCs w:val="24"/>
          <w:vertAlign w:val="superscript"/>
        </w:rPr>
        <w:t>[20,21,5</w:t>
      </w:r>
      <w:r w:rsidR="000829C7" w:rsidRPr="0028500E">
        <w:rPr>
          <w:rFonts w:ascii="Book Antiqua" w:hAnsi="Book Antiqua" w:cs="Arial"/>
          <w:color w:val="000000" w:themeColor="text1"/>
          <w:sz w:val="24"/>
          <w:szCs w:val="24"/>
          <w:vertAlign w:val="superscript"/>
        </w:rPr>
        <w:t>6</w:t>
      </w:r>
      <w:r w:rsidRPr="0028500E">
        <w:rPr>
          <w:rFonts w:ascii="Book Antiqua" w:hAnsi="Book Antiqua" w:cs="Arial"/>
          <w:color w:val="000000" w:themeColor="text1"/>
          <w:sz w:val="24"/>
          <w:szCs w:val="24"/>
          <w:vertAlign w:val="superscript"/>
        </w:rPr>
        <w:t>]</w:t>
      </w:r>
      <w:r w:rsidRPr="0028500E">
        <w:rPr>
          <w:rFonts w:ascii="Book Antiqua" w:hAnsi="Book Antiqua" w:cs="Arial"/>
          <w:color w:val="000000" w:themeColor="text1"/>
          <w:sz w:val="24"/>
          <w:szCs w:val="24"/>
        </w:rPr>
        <w:t>.</w:t>
      </w:r>
      <w:r w:rsidR="0069114E" w:rsidRPr="0028500E">
        <w:rPr>
          <w:rFonts w:ascii="Book Antiqua" w:hAnsi="Book Antiqua" w:cs="Arial"/>
          <w:color w:val="000000" w:themeColor="text1"/>
          <w:sz w:val="24"/>
          <w:szCs w:val="24"/>
          <w:lang w:val="en"/>
        </w:rPr>
        <w:t xml:space="preserve"> </w:t>
      </w:r>
    </w:p>
    <w:p w14:paraId="69FE0DD4" w14:textId="77777777" w:rsidR="00E06BE6" w:rsidRPr="0028500E" w:rsidRDefault="00E06BE6" w:rsidP="001E53AA">
      <w:pPr>
        <w:snapToGrid w:val="0"/>
        <w:spacing w:line="360" w:lineRule="auto"/>
        <w:ind w:firstLineChars="250" w:firstLine="600"/>
        <w:rPr>
          <w:rFonts w:ascii="Book Antiqua" w:hAnsi="Book Antiqua" w:cs="Arial"/>
          <w:color w:val="000000" w:themeColor="text1"/>
          <w:sz w:val="24"/>
          <w:szCs w:val="24"/>
          <w:lang w:val="en"/>
        </w:rPr>
      </w:pPr>
    </w:p>
    <w:p w14:paraId="4253674A" w14:textId="77777777" w:rsidR="00FC27FD" w:rsidRPr="0028500E" w:rsidRDefault="00E330AA" w:rsidP="001E53AA">
      <w:pPr>
        <w:snapToGrid w:val="0"/>
        <w:spacing w:line="360" w:lineRule="auto"/>
        <w:rPr>
          <w:rFonts w:ascii="Book Antiqua" w:hAnsi="Book Antiqua" w:cs="Arial"/>
          <w:caps/>
          <w:color w:val="000000" w:themeColor="text1"/>
          <w:sz w:val="24"/>
          <w:szCs w:val="24"/>
          <w:lang w:val="en"/>
        </w:rPr>
      </w:pPr>
      <w:r w:rsidRPr="0028500E">
        <w:rPr>
          <w:rFonts w:ascii="Book Antiqua" w:hAnsi="Book Antiqua" w:cs="Arial"/>
          <w:b/>
          <w:caps/>
          <w:color w:val="000000" w:themeColor="text1"/>
          <w:sz w:val="24"/>
          <w:szCs w:val="24"/>
          <w:lang w:val="en"/>
        </w:rPr>
        <w:t>Prognosis and risk classification</w:t>
      </w:r>
    </w:p>
    <w:p w14:paraId="4768D796" w14:textId="0F7B4768" w:rsidR="002A5D95" w:rsidRPr="0028500E" w:rsidRDefault="002A5D95" w:rsidP="001E53AA">
      <w:pPr>
        <w:snapToGrid w:val="0"/>
        <w:spacing w:line="360" w:lineRule="auto"/>
        <w:rPr>
          <w:rFonts w:ascii="Book Antiqua" w:hAnsi="Book Antiqua" w:cs="Arial"/>
          <w:color w:val="000000" w:themeColor="text1"/>
          <w:sz w:val="24"/>
          <w:szCs w:val="24"/>
        </w:rPr>
      </w:pPr>
      <w:r w:rsidRPr="0028500E">
        <w:rPr>
          <w:rFonts w:ascii="Book Antiqua" w:hAnsi="Book Antiqua" w:cs="Arial"/>
          <w:color w:val="000000" w:themeColor="text1"/>
          <w:sz w:val="24"/>
          <w:szCs w:val="24"/>
        </w:rPr>
        <w:t xml:space="preserve">Differentiation between a benign and malignant GIST is difficult even using postoperative histopathological findings. Thus, even if the tumor diameter is small and/or the mitotic rate is low, postoperative metastasis is possible. GISTs are currently regarded as potentially malignant tumors. Discrimination of a benign GIST from a malignant GIST by postoperative histological analysis (tumor diameter, mitotic index, and Ki67 expression level) is difficult; therefore, risk classifications to predict postoperative metastasis have been </w:t>
      </w:r>
      <w:r w:rsidRPr="0028500E">
        <w:rPr>
          <w:rFonts w:ascii="Book Antiqua" w:hAnsi="Book Antiqua" w:cs="Arial"/>
          <w:color w:val="000000" w:themeColor="text1"/>
          <w:sz w:val="24"/>
          <w:szCs w:val="24"/>
        </w:rPr>
        <w:lastRenderedPageBreak/>
        <w:t>introduced</w:t>
      </w:r>
      <w:r w:rsidRPr="0028500E">
        <w:rPr>
          <w:rFonts w:ascii="Book Antiqua" w:hAnsi="Book Antiqua" w:cs="Arial"/>
          <w:color w:val="000000" w:themeColor="text1"/>
          <w:sz w:val="24"/>
          <w:szCs w:val="24"/>
          <w:vertAlign w:val="superscript"/>
        </w:rPr>
        <w:t>[7,</w:t>
      </w:r>
      <w:r w:rsidR="000829C7" w:rsidRPr="0028500E">
        <w:rPr>
          <w:rFonts w:ascii="Book Antiqua" w:hAnsi="Book Antiqua" w:cs="Arial"/>
          <w:color w:val="000000" w:themeColor="text1"/>
          <w:sz w:val="24"/>
          <w:szCs w:val="24"/>
          <w:vertAlign w:val="superscript"/>
        </w:rPr>
        <w:t>85</w:t>
      </w:r>
      <w:r w:rsidRPr="0028500E">
        <w:rPr>
          <w:rFonts w:ascii="Book Antiqua" w:hAnsi="Book Antiqua" w:cs="Arial"/>
          <w:color w:val="000000" w:themeColor="text1"/>
          <w:sz w:val="24"/>
          <w:szCs w:val="24"/>
          <w:vertAlign w:val="superscript"/>
        </w:rPr>
        <w:t>,</w:t>
      </w:r>
      <w:r w:rsidR="000829C7" w:rsidRPr="0028500E">
        <w:rPr>
          <w:rFonts w:ascii="Book Antiqua" w:hAnsi="Book Antiqua" w:cs="Arial"/>
          <w:color w:val="000000" w:themeColor="text1"/>
          <w:sz w:val="24"/>
          <w:szCs w:val="24"/>
          <w:vertAlign w:val="superscript"/>
        </w:rPr>
        <w:t>86</w:t>
      </w:r>
      <w:r w:rsidRPr="0028500E">
        <w:rPr>
          <w:rFonts w:ascii="Book Antiqua" w:hAnsi="Book Antiqua" w:cs="Arial"/>
          <w:color w:val="000000" w:themeColor="text1"/>
          <w:sz w:val="24"/>
          <w:szCs w:val="24"/>
          <w:vertAlign w:val="superscript"/>
        </w:rPr>
        <w:t>]</w:t>
      </w:r>
      <w:r w:rsidRPr="0028500E">
        <w:rPr>
          <w:rFonts w:ascii="Book Antiqua" w:hAnsi="Book Antiqua" w:cs="Arial"/>
          <w:color w:val="000000" w:themeColor="text1"/>
          <w:sz w:val="24"/>
          <w:szCs w:val="24"/>
        </w:rPr>
        <w:t>. Currently, the modified Fletcher classification (Joensuu classification) is widely used (Table 1)</w:t>
      </w:r>
      <w:r w:rsidRPr="0028500E">
        <w:rPr>
          <w:rFonts w:ascii="Book Antiqua" w:hAnsi="Book Antiqua" w:cs="Arial"/>
          <w:color w:val="000000" w:themeColor="text1"/>
          <w:sz w:val="24"/>
          <w:szCs w:val="24"/>
          <w:vertAlign w:val="superscript"/>
        </w:rPr>
        <w:t>[7]</w:t>
      </w:r>
      <w:r w:rsidRPr="0028500E">
        <w:rPr>
          <w:rFonts w:ascii="Book Antiqua" w:hAnsi="Book Antiqua" w:cs="Arial"/>
          <w:color w:val="000000" w:themeColor="text1"/>
          <w:sz w:val="24"/>
          <w:szCs w:val="24"/>
        </w:rPr>
        <w:t xml:space="preserve">. </w:t>
      </w:r>
      <w:bookmarkStart w:id="40" w:name="_Hlk514489377"/>
      <w:r w:rsidRPr="0028500E">
        <w:rPr>
          <w:rFonts w:ascii="Book Antiqua" w:hAnsi="Book Antiqua" w:cs="Arial"/>
          <w:color w:val="000000" w:themeColor="text1"/>
          <w:sz w:val="24"/>
          <w:szCs w:val="24"/>
        </w:rPr>
        <w:t xml:space="preserve">In addition, contour maps (Figure 8) can be created based on </w:t>
      </w:r>
      <w:r w:rsidR="007721CF" w:rsidRPr="0028500E">
        <w:rPr>
          <w:rFonts w:ascii="Book Antiqua" w:hAnsi="Book Antiqua" w:cs="Arial"/>
          <w:color w:val="000000" w:themeColor="text1"/>
          <w:sz w:val="24"/>
          <w:szCs w:val="24"/>
        </w:rPr>
        <w:t>investigation</w:t>
      </w:r>
      <w:r w:rsidR="00681F4B" w:rsidRPr="0028500E">
        <w:rPr>
          <w:rFonts w:ascii="Book Antiqua" w:hAnsi="Book Antiqua" w:cs="Arial"/>
          <w:color w:val="000000" w:themeColor="text1"/>
          <w:sz w:val="24"/>
          <w:szCs w:val="24"/>
        </w:rPr>
        <w:t xml:space="preserve"> of the prognosis</w:t>
      </w:r>
      <w:r w:rsidRPr="0028500E">
        <w:rPr>
          <w:rFonts w:ascii="Book Antiqua" w:hAnsi="Book Antiqua" w:cs="Arial"/>
          <w:color w:val="000000" w:themeColor="text1"/>
          <w:sz w:val="24"/>
          <w:szCs w:val="24"/>
        </w:rPr>
        <w:t xml:space="preserve"> of many cases worldwide</w:t>
      </w:r>
      <w:r w:rsidR="009916A7" w:rsidRPr="0028500E">
        <w:rPr>
          <w:rFonts w:ascii="Book Antiqua" w:hAnsi="Book Antiqua" w:cs="Arial"/>
          <w:color w:val="000000" w:themeColor="text1"/>
          <w:sz w:val="24"/>
          <w:szCs w:val="24"/>
        </w:rPr>
        <w:t xml:space="preserve">. </w:t>
      </w:r>
      <w:r w:rsidR="00D45D6F" w:rsidRPr="0028500E">
        <w:rPr>
          <w:rFonts w:ascii="Book Antiqua" w:hAnsi="Book Antiqua" w:cs="Arial"/>
          <w:color w:val="000000" w:themeColor="text1"/>
          <w:sz w:val="24"/>
          <w:szCs w:val="24"/>
        </w:rPr>
        <w:t>In th</w:t>
      </w:r>
      <w:r w:rsidR="00681F4B" w:rsidRPr="0028500E">
        <w:rPr>
          <w:rFonts w:ascii="Book Antiqua" w:hAnsi="Book Antiqua" w:cs="Arial"/>
          <w:color w:val="000000" w:themeColor="text1"/>
          <w:sz w:val="24"/>
          <w:szCs w:val="24"/>
        </w:rPr>
        <w:t>ese</w:t>
      </w:r>
      <w:r w:rsidR="00D45D6F" w:rsidRPr="0028500E">
        <w:rPr>
          <w:rFonts w:ascii="Book Antiqua" w:hAnsi="Book Antiqua" w:cs="Arial"/>
          <w:color w:val="000000" w:themeColor="text1"/>
          <w:sz w:val="24"/>
          <w:szCs w:val="24"/>
        </w:rPr>
        <w:t xml:space="preserve"> map</w:t>
      </w:r>
      <w:r w:rsidR="00681F4B" w:rsidRPr="0028500E">
        <w:rPr>
          <w:rFonts w:ascii="Book Antiqua" w:hAnsi="Book Antiqua" w:cs="Arial"/>
          <w:color w:val="000000" w:themeColor="text1"/>
          <w:sz w:val="24"/>
          <w:szCs w:val="24"/>
        </w:rPr>
        <w:t>s</w:t>
      </w:r>
      <w:r w:rsidR="00D45D6F" w:rsidRPr="0028500E">
        <w:rPr>
          <w:rFonts w:ascii="Book Antiqua" w:hAnsi="Book Antiqua" w:cs="Arial"/>
          <w:color w:val="000000" w:themeColor="text1"/>
          <w:sz w:val="24"/>
          <w:szCs w:val="24"/>
        </w:rPr>
        <w:t xml:space="preserve">, the risk of recurrence at the 10th year after </w:t>
      </w:r>
      <w:r w:rsidR="00681F4B" w:rsidRPr="0028500E">
        <w:rPr>
          <w:rFonts w:ascii="Book Antiqua" w:hAnsi="Book Antiqua" w:cs="Arial"/>
          <w:color w:val="000000" w:themeColor="text1"/>
          <w:sz w:val="24"/>
          <w:szCs w:val="24"/>
        </w:rPr>
        <w:t xml:space="preserve">surgical treatment of a </w:t>
      </w:r>
      <w:r w:rsidR="00D45D6F" w:rsidRPr="0028500E">
        <w:rPr>
          <w:rFonts w:ascii="Book Antiqua" w:hAnsi="Book Antiqua" w:cs="Arial"/>
          <w:color w:val="000000" w:themeColor="text1"/>
          <w:sz w:val="24"/>
          <w:szCs w:val="24"/>
        </w:rPr>
        <w:t xml:space="preserve">GIST </w:t>
      </w:r>
      <w:r w:rsidR="00681F4B" w:rsidRPr="0028500E">
        <w:rPr>
          <w:rFonts w:ascii="Book Antiqua" w:hAnsi="Book Antiqua" w:cs="Arial"/>
          <w:color w:val="000000" w:themeColor="text1"/>
          <w:sz w:val="24"/>
          <w:szCs w:val="24"/>
        </w:rPr>
        <w:t>is</w:t>
      </w:r>
      <w:r w:rsidR="00D45D6F" w:rsidRPr="0028500E">
        <w:rPr>
          <w:rFonts w:ascii="Book Antiqua" w:hAnsi="Book Antiqua" w:cs="Arial"/>
          <w:color w:val="000000" w:themeColor="text1"/>
          <w:sz w:val="24"/>
          <w:szCs w:val="24"/>
        </w:rPr>
        <w:t xml:space="preserve"> calculated using the maximum diameter of the tumor, the number of mito</w:t>
      </w:r>
      <w:r w:rsidR="00681F4B" w:rsidRPr="0028500E">
        <w:rPr>
          <w:rFonts w:ascii="Book Antiqua" w:hAnsi="Book Antiqua" w:cs="Arial"/>
          <w:color w:val="000000" w:themeColor="text1"/>
          <w:sz w:val="24"/>
          <w:szCs w:val="24"/>
        </w:rPr>
        <w:t>se</w:t>
      </w:r>
      <w:r w:rsidR="00D45D6F" w:rsidRPr="0028500E">
        <w:rPr>
          <w:rFonts w:ascii="Book Antiqua" w:hAnsi="Book Antiqua" w:cs="Arial"/>
          <w:color w:val="000000" w:themeColor="text1"/>
          <w:sz w:val="24"/>
          <w:szCs w:val="24"/>
        </w:rPr>
        <w:t>s, the</w:t>
      </w:r>
      <w:r w:rsidR="00681F4B" w:rsidRPr="0028500E">
        <w:rPr>
          <w:rFonts w:ascii="Book Antiqua" w:hAnsi="Book Antiqua" w:cs="Arial"/>
          <w:color w:val="000000" w:themeColor="text1"/>
          <w:sz w:val="24"/>
          <w:szCs w:val="24"/>
        </w:rPr>
        <w:t xml:space="preserve"> tumor</w:t>
      </w:r>
      <w:r w:rsidR="00D45D6F" w:rsidRPr="0028500E">
        <w:rPr>
          <w:rFonts w:ascii="Book Antiqua" w:hAnsi="Book Antiqua" w:cs="Arial"/>
          <w:color w:val="000000" w:themeColor="text1"/>
          <w:sz w:val="24"/>
          <w:szCs w:val="24"/>
        </w:rPr>
        <w:t xml:space="preserve"> site, and the presence or absence of tumor capsule rupture</w:t>
      </w:r>
      <w:r w:rsidR="00681F4B" w:rsidRPr="0028500E">
        <w:rPr>
          <w:rFonts w:ascii="Book Antiqua" w:hAnsi="Book Antiqua" w:cs="Arial"/>
          <w:color w:val="000000" w:themeColor="text1"/>
          <w:sz w:val="24"/>
          <w:szCs w:val="24"/>
        </w:rPr>
        <w:t>;</w:t>
      </w:r>
      <w:r w:rsidR="00D45D6F" w:rsidRPr="0028500E">
        <w:rPr>
          <w:rFonts w:ascii="Book Antiqua" w:hAnsi="Book Antiqua" w:cs="Arial"/>
          <w:color w:val="000000" w:themeColor="text1"/>
          <w:sz w:val="24"/>
          <w:szCs w:val="24"/>
        </w:rPr>
        <w:t xml:space="preserve"> continuous risk assessment is</w:t>
      </w:r>
      <w:r w:rsidR="00681F4B" w:rsidRPr="0028500E">
        <w:rPr>
          <w:rFonts w:ascii="Book Antiqua" w:hAnsi="Book Antiqua" w:cs="Arial"/>
          <w:color w:val="000000" w:themeColor="text1"/>
          <w:sz w:val="24"/>
          <w:szCs w:val="24"/>
        </w:rPr>
        <w:t xml:space="preserve"> also</w:t>
      </w:r>
      <w:r w:rsidR="00D45D6F" w:rsidRPr="0028500E">
        <w:rPr>
          <w:rFonts w:ascii="Book Antiqua" w:hAnsi="Book Antiqua" w:cs="Arial"/>
          <w:color w:val="000000" w:themeColor="text1"/>
          <w:sz w:val="24"/>
          <w:szCs w:val="24"/>
        </w:rPr>
        <w:t xml:space="preserve"> possible</w:t>
      </w:r>
      <w:r w:rsidRPr="0028500E">
        <w:rPr>
          <w:rFonts w:ascii="Book Antiqua" w:hAnsi="Book Antiqua" w:cs="Arial"/>
          <w:color w:val="000000" w:themeColor="text1"/>
          <w:sz w:val="24"/>
          <w:szCs w:val="24"/>
          <w:vertAlign w:val="superscript"/>
        </w:rPr>
        <w:t>[8</w:t>
      </w:r>
      <w:r w:rsidR="006658D6" w:rsidRPr="0028500E">
        <w:rPr>
          <w:rFonts w:ascii="Book Antiqua" w:hAnsi="Book Antiqua" w:cs="Arial"/>
          <w:color w:val="000000" w:themeColor="text1"/>
          <w:sz w:val="24"/>
          <w:szCs w:val="24"/>
          <w:vertAlign w:val="superscript"/>
        </w:rPr>
        <w:t>7</w:t>
      </w:r>
      <w:r w:rsidRPr="0028500E">
        <w:rPr>
          <w:rFonts w:ascii="Book Antiqua" w:hAnsi="Book Antiqua" w:cs="Arial"/>
          <w:color w:val="000000" w:themeColor="text1"/>
          <w:sz w:val="24"/>
          <w:szCs w:val="24"/>
          <w:vertAlign w:val="superscript"/>
        </w:rPr>
        <w:t>]</w:t>
      </w:r>
      <w:r w:rsidRPr="0028500E">
        <w:rPr>
          <w:rFonts w:ascii="Book Antiqua" w:hAnsi="Book Antiqua" w:cs="Arial"/>
          <w:color w:val="000000" w:themeColor="text1"/>
          <w:sz w:val="24"/>
          <w:szCs w:val="24"/>
        </w:rPr>
        <w:t xml:space="preserve">. </w:t>
      </w:r>
      <w:bookmarkEnd w:id="40"/>
      <w:r w:rsidRPr="0028500E">
        <w:rPr>
          <w:rFonts w:ascii="Book Antiqua" w:hAnsi="Book Antiqua" w:cs="Arial"/>
          <w:color w:val="000000" w:themeColor="text1"/>
          <w:sz w:val="24"/>
          <w:szCs w:val="24"/>
        </w:rPr>
        <w:t>Using such maps, physicians and patients can predict the probability of recurrence in the 10</w:t>
      </w:r>
      <w:r w:rsidRPr="0028500E">
        <w:rPr>
          <w:rFonts w:ascii="Book Antiqua" w:hAnsi="Book Antiqua" w:cs="Arial"/>
          <w:color w:val="000000" w:themeColor="text1"/>
          <w:sz w:val="24"/>
          <w:szCs w:val="24"/>
          <w:vertAlign w:val="superscript"/>
        </w:rPr>
        <w:t>th</w:t>
      </w:r>
      <w:r w:rsidRPr="0028500E">
        <w:rPr>
          <w:rFonts w:ascii="Book Antiqua" w:hAnsi="Book Antiqua" w:cs="Arial"/>
          <w:color w:val="000000" w:themeColor="text1"/>
          <w:sz w:val="24"/>
          <w:szCs w:val="24"/>
        </w:rPr>
        <w:t xml:space="preserve"> postoperative year. This is useful for individual decision-making with respect to adjuvant therapy. </w:t>
      </w:r>
    </w:p>
    <w:p w14:paraId="33D5813D" w14:textId="69F31337" w:rsidR="00F30E8A" w:rsidRPr="0028500E" w:rsidRDefault="00F30E8A" w:rsidP="001E53AA">
      <w:pPr>
        <w:snapToGrid w:val="0"/>
        <w:spacing w:line="360" w:lineRule="auto"/>
        <w:ind w:firstLineChars="300" w:firstLine="720"/>
        <w:rPr>
          <w:rFonts w:ascii="Book Antiqua" w:hAnsi="Book Antiqua" w:cs="Arial"/>
          <w:color w:val="000000" w:themeColor="text1"/>
          <w:sz w:val="24"/>
          <w:szCs w:val="24"/>
        </w:rPr>
      </w:pPr>
    </w:p>
    <w:p w14:paraId="1D0E9922" w14:textId="154CDC81" w:rsidR="00657B2C" w:rsidRPr="0028500E" w:rsidRDefault="00657B2C" w:rsidP="001E53AA">
      <w:pPr>
        <w:snapToGrid w:val="0"/>
        <w:spacing w:line="360" w:lineRule="auto"/>
        <w:rPr>
          <w:rFonts w:ascii="Book Antiqua" w:hAnsi="Book Antiqua" w:cs="Arial"/>
          <w:caps/>
          <w:color w:val="000000" w:themeColor="text1"/>
          <w:sz w:val="24"/>
          <w:szCs w:val="24"/>
        </w:rPr>
      </w:pPr>
      <w:r w:rsidRPr="0028500E">
        <w:rPr>
          <w:rFonts w:ascii="Book Antiqua" w:hAnsi="Book Antiqua" w:cs="Arial"/>
          <w:b/>
          <w:caps/>
          <w:color w:val="000000" w:themeColor="text1"/>
          <w:sz w:val="24"/>
          <w:szCs w:val="24"/>
        </w:rPr>
        <w:t>postoperative Follow-up</w:t>
      </w:r>
      <w:r w:rsidR="008C4E33" w:rsidRPr="0028500E">
        <w:rPr>
          <w:rFonts w:ascii="Book Antiqua" w:hAnsi="Book Antiqua" w:cs="Arial"/>
          <w:b/>
          <w:caps/>
          <w:color w:val="000000" w:themeColor="text1"/>
          <w:sz w:val="24"/>
          <w:szCs w:val="24"/>
        </w:rPr>
        <w:t xml:space="preserve"> BY CT</w:t>
      </w:r>
    </w:p>
    <w:p w14:paraId="13DA8DED" w14:textId="7BD89EB9" w:rsidR="00F30E8A" w:rsidRPr="0028500E" w:rsidRDefault="00657B2C" w:rsidP="001E53AA">
      <w:pPr>
        <w:snapToGrid w:val="0"/>
        <w:spacing w:line="360" w:lineRule="auto"/>
        <w:rPr>
          <w:rFonts w:ascii="Book Antiqua" w:hAnsi="Book Antiqua" w:cs="Arial"/>
          <w:color w:val="000000" w:themeColor="text1"/>
          <w:sz w:val="24"/>
          <w:szCs w:val="24"/>
          <w:lang w:val="en"/>
        </w:rPr>
      </w:pPr>
      <w:r w:rsidRPr="0028500E">
        <w:rPr>
          <w:rFonts w:ascii="Book Antiqua" w:hAnsi="Book Antiqua" w:cs="Arial"/>
          <w:color w:val="000000" w:themeColor="text1"/>
          <w:sz w:val="24"/>
          <w:szCs w:val="24"/>
        </w:rPr>
        <w:t>The goal of postoperative follow-up is early detection and management of recurrence. Because the targets of postoperative follow-up observation are local recurrence, liver metastasis, and peritoneal dissemination, abdominal contrast CT, which can be sufficiently evaluated from the diaphragm to the inguinal region, is recommended as a follow-up examination method according to the Japanese clinical practice guideline for GISTs</w:t>
      </w:r>
      <w:r w:rsidRPr="0028500E">
        <w:rPr>
          <w:rFonts w:ascii="Book Antiqua" w:hAnsi="Book Antiqua" w:cs="Arial"/>
          <w:color w:val="000000" w:themeColor="text1"/>
          <w:sz w:val="24"/>
          <w:szCs w:val="24"/>
          <w:vertAlign w:val="superscript"/>
        </w:rPr>
        <w:t>[</w:t>
      </w:r>
      <w:r w:rsidR="006658D6" w:rsidRPr="0028500E">
        <w:rPr>
          <w:rFonts w:ascii="Book Antiqua" w:hAnsi="Book Antiqua" w:cs="Arial"/>
          <w:color w:val="000000" w:themeColor="text1"/>
          <w:sz w:val="24"/>
          <w:szCs w:val="24"/>
          <w:vertAlign w:val="superscript"/>
        </w:rPr>
        <w:t>70</w:t>
      </w:r>
      <w:r w:rsidRPr="0028500E">
        <w:rPr>
          <w:rFonts w:ascii="Book Antiqua" w:hAnsi="Book Antiqua" w:cs="Arial"/>
          <w:color w:val="000000" w:themeColor="text1"/>
          <w:sz w:val="24"/>
          <w:szCs w:val="24"/>
          <w:vertAlign w:val="superscript"/>
        </w:rPr>
        <w:t>]</w:t>
      </w:r>
      <w:r w:rsidRPr="0028500E">
        <w:rPr>
          <w:rFonts w:ascii="Book Antiqua" w:hAnsi="Book Antiqua" w:cs="Arial"/>
          <w:color w:val="000000" w:themeColor="text1"/>
          <w:sz w:val="24"/>
          <w:szCs w:val="24"/>
        </w:rPr>
        <w:t>. Based on the above-mentioned risk classification, the following observation intervals are recommended</w:t>
      </w:r>
      <w:r w:rsidRPr="0028500E">
        <w:rPr>
          <w:rFonts w:ascii="Book Antiqua" w:hAnsi="Book Antiqua" w:cs="Arial"/>
          <w:color w:val="000000" w:themeColor="text1"/>
          <w:sz w:val="24"/>
          <w:szCs w:val="24"/>
          <w:vertAlign w:val="superscript"/>
        </w:rPr>
        <w:t>[</w:t>
      </w:r>
      <w:r w:rsidR="006658D6" w:rsidRPr="0028500E">
        <w:rPr>
          <w:rFonts w:ascii="Book Antiqua" w:hAnsi="Book Antiqua" w:cs="Arial"/>
          <w:color w:val="000000" w:themeColor="text1"/>
          <w:sz w:val="24"/>
          <w:szCs w:val="24"/>
          <w:vertAlign w:val="superscript"/>
        </w:rPr>
        <w:t>70</w:t>
      </w:r>
      <w:r w:rsidRPr="0028500E">
        <w:rPr>
          <w:rFonts w:ascii="Book Antiqua" w:hAnsi="Book Antiqua" w:cs="Arial"/>
          <w:color w:val="000000" w:themeColor="text1"/>
          <w:sz w:val="24"/>
          <w:szCs w:val="24"/>
          <w:vertAlign w:val="superscript"/>
        </w:rPr>
        <w:t>]</w:t>
      </w:r>
      <w:r w:rsidRPr="0028500E">
        <w:rPr>
          <w:rFonts w:ascii="Book Antiqua" w:hAnsi="Book Antiqua" w:cs="Arial"/>
          <w:color w:val="000000" w:themeColor="text1"/>
          <w:sz w:val="24"/>
          <w:szCs w:val="24"/>
        </w:rPr>
        <w:t xml:space="preserve">: GISTs with very low, low, and moderate risks are followed up by CT every 6 months to 1 year, and high-risk and clinically malignant GISTs (those with metastasis, injury to the pseudocapsule, peritoneal dissemination, or infiltration of other organs) are followed up by CT every 4 to 6 </w:t>
      </w:r>
      <w:r w:rsidR="001F4328" w:rsidRPr="0028500E">
        <w:rPr>
          <w:rFonts w:ascii="Book Antiqua" w:eastAsia="SimSun" w:hAnsi="Book Antiqua" w:cs="Arial"/>
          <w:color w:val="000000" w:themeColor="text1"/>
          <w:sz w:val="24"/>
          <w:szCs w:val="24"/>
          <w:lang w:eastAsia="zh-CN"/>
        </w:rPr>
        <w:t>mo</w:t>
      </w:r>
      <w:r w:rsidRPr="0028500E">
        <w:rPr>
          <w:rFonts w:ascii="Book Antiqua" w:hAnsi="Book Antiqua" w:cs="Arial"/>
          <w:color w:val="000000" w:themeColor="text1"/>
          <w:sz w:val="24"/>
          <w:szCs w:val="24"/>
        </w:rPr>
        <w:t>. The natural history of GISTs is unknown. Previous studies have shown that the estimated 5-year recurrence-free survival rate after surgery is 59.9%; few recurrences occurred after the first 10 years of follow-up</w:t>
      </w:r>
      <w:r w:rsidRPr="0028500E">
        <w:rPr>
          <w:rFonts w:ascii="Book Antiqua" w:hAnsi="Book Antiqua" w:cs="Arial"/>
          <w:color w:val="000000" w:themeColor="text1"/>
          <w:sz w:val="24"/>
          <w:szCs w:val="24"/>
          <w:vertAlign w:val="superscript"/>
        </w:rPr>
        <w:t>[7,</w:t>
      </w:r>
      <w:r w:rsidR="000E4C3F" w:rsidRPr="0028500E">
        <w:rPr>
          <w:rFonts w:ascii="Book Antiqua" w:hAnsi="Book Antiqua" w:cs="Arial"/>
          <w:color w:val="000000" w:themeColor="text1"/>
          <w:sz w:val="24"/>
          <w:szCs w:val="24"/>
          <w:vertAlign w:val="superscript"/>
        </w:rPr>
        <w:t>8</w:t>
      </w:r>
      <w:r w:rsidR="006658D6" w:rsidRPr="0028500E">
        <w:rPr>
          <w:rFonts w:ascii="Book Antiqua" w:hAnsi="Book Antiqua" w:cs="Arial"/>
          <w:color w:val="000000" w:themeColor="text1"/>
          <w:sz w:val="24"/>
          <w:szCs w:val="24"/>
          <w:vertAlign w:val="superscript"/>
        </w:rPr>
        <w:t>8</w:t>
      </w:r>
      <w:r w:rsidRPr="0028500E">
        <w:rPr>
          <w:rFonts w:ascii="Book Antiqua" w:hAnsi="Book Antiqua" w:cs="Arial"/>
          <w:color w:val="000000" w:themeColor="text1"/>
          <w:sz w:val="24"/>
          <w:szCs w:val="24"/>
          <w:vertAlign w:val="superscript"/>
        </w:rPr>
        <w:t>]</w:t>
      </w:r>
      <w:r w:rsidRPr="0028500E">
        <w:rPr>
          <w:rFonts w:ascii="Book Antiqua" w:hAnsi="Book Antiqua" w:cs="Arial"/>
          <w:color w:val="000000" w:themeColor="text1"/>
          <w:sz w:val="24"/>
          <w:szCs w:val="24"/>
        </w:rPr>
        <w:t>. Follow-up observation after surgery is considered necessary for more than 10 years.</w:t>
      </w:r>
    </w:p>
    <w:p w14:paraId="42BD6EA0" w14:textId="77777777" w:rsidR="00C90736" w:rsidRPr="0028500E" w:rsidRDefault="00C90736" w:rsidP="001E53AA">
      <w:pPr>
        <w:snapToGrid w:val="0"/>
        <w:spacing w:line="360" w:lineRule="auto"/>
        <w:rPr>
          <w:rFonts w:ascii="Book Antiqua" w:hAnsi="Book Antiqua" w:cs="Arial"/>
          <w:color w:val="000000" w:themeColor="text1"/>
          <w:sz w:val="24"/>
          <w:szCs w:val="24"/>
          <w:lang w:val="en"/>
        </w:rPr>
      </w:pPr>
    </w:p>
    <w:p w14:paraId="0276C5FC" w14:textId="4212327A" w:rsidR="00201A95" w:rsidRPr="0028500E" w:rsidRDefault="00724B9F" w:rsidP="001E53AA">
      <w:pPr>
        <w:snapToGrid w:val="0"/>
        <w:spacing w:line="360" w:lineRule="auto"/>
        <w:rPr>
          <w:rFonts w:ascii="Book Antiqua" w:hAnsi="Book Antiqua" w:cs="Arial"/>
          <w:b/>
          <w:color w:val="000000" w:themeColor="text1"/>
          <w:sz w:val="24"/>
          <w:szCs w:val="24"/>
          <w:lang w:val="en"/>
        </w:rPr>
      </w:pPr>
      <w:bookmarkStart w:id="41" w:name="_Hlk515717168"/>
      <w:r w:rsidRPr="0028500E">
        <w:rPr>
          <w:rFonts w:ascii="Book Antiqua" w:hAnsi="Book Antiqua" w:cs="Arial"/>
          <w:b/>
          <w:caps/>
          <w:color w:val="000000" w:themeColor="text1"/>
          <w:sz w:val="24"/>
          <w:szCs w:val="24"/>
          <w:lang w:val="en"/>
        </w:rPr>
        <w:t xml:space="preserve">Management of small </w:t>
      </w:r>
      <w:r w:rsidR="00825F55" w:rsidRPr="0028500E">
        <w:rPr>
          <w:rFonts w:ascii="Book Antiqua" w:hAnsi="Book Antiqua" w:cs="Arial"/>
          <w:b/>
          <w:caps/>
          <w:color w:val="000000" w:themeColor="text1"/>
          <w:sz w:val="24"/>
          <w:szCs w:val="24"/>
          <w:lang w:val="en"/>
        </w:rPr>
        <w:t>SEL</w:t>
      </w:r>
      <w:r w:rsidR="00BD10BA" w:rsidRPr="0028500E">
        <w:rPr>
          <w:rFonts w:ascii="Book Antiqua" w:hAnsi="Book Antiqua" w:cs="Arial"/>
          <w:b/>
          <w:color w:val="000000" w:themeColor="text1"/>
          <w:sz w:val="24"/>
          <w:szCs w:val="24"/>
          <w:lang w:val="en"/>
        </w:rPr>
        <w:t>s</w:t>
      </w:r>
      <w:r w:rsidR="00825F55" w:rsidRPr="0028500E">
        <w:rPr>
          <w:rFonts w:ascii="Book Antiqua" w:hAnsi="Book Antiqua" w:cs="Arial"/>
          <w:b/>
          <w:caps/>
          <w:color w:val="000000" w:themeColor="text1"/>
          <w:sz w:val="24"/>
          <w:szCs w:val="24"/>
          <w:lang w:val="en"/>
        </w:rPr>
        <w:t xml:space="preserve"> suspected </w:t>
      </w:r>
      <w:r w:rsidR="00BD10BA" w:rsidRPr="0028500E">
        <w:rPr>
          <w:rFonts w:ascii="Book Antiqua" w:hAnsi="Book Antiqua" w:cs="Arial"/>
          <w:b/>
          <w:caps/>
          <w:color w:val="000000" w:themeColor="text1"/>
          <w:sz w:val="24"/>
          <w:szCs w:val="24"/>
          <w:lang w:val="en"/>
        </w:rPr>
        <w:t>TO BE</w:t>
      </w:r>
      <w:r w:rsidR="00825F55" w:rsidRPr="0028500E">
        <w:rPr>
          <w:rFonts w:ascii="Book Antiqua" w:hAnsi="Book Antiqua" w:cs="Arial"/>
          <w:b/>
          <w:caps/>
          <w:color w:val="000000" w:themeColor="text1"/>
          <w:sz w:val="24"/>
          <w:szCs w:val="24"/>
          <w:lang w:val="en"/>
        </w:rPr>
        <w:t xml:space="preserve"> </w:t>
      </w:r>
      <w:r w:rsidRPr="0028500E">
        <w:rPr>
          <w:rFonts w:ascii="Book Antiqua" w:hAnsi="Book Antiqua" w:cs="Arial"/>
          <w:b/>
          <w:caps/>
          <w:color w:val="000000" w:themeColor="text1"/>
          <w:sz w:val="24"/>
          <w:szCs w:val="24"/>
          <w:lang w:val="en"/>
        </w:rPr>
        <w:t>GIST</w:t>
      </w:r>
      <w:r w:rsidR="00BD10BA" w:rsidRPr="0028500E">
        <w:rPr>
          <w:rFonts w:ascii="Book Antiqua" w:hAnsi="Book Antiqua" w:cs="Arial"/>
          <w:b/>
          <w:color w:val="000000" w:themeColor="text1"/>
          <w:sz w:val="24"/>
          <w:szCs w:val="24"/>
          <w:lang w:val="en"/>
        </w:rPr>
        <w:t>s</w:t>
      </w:r>
      <w:bookmarkEnd w:id="41"/>
    </w:p>
    <w:p w14:paraId="17DD023E" w14:textId="1484542B" w:rsidR="00BD10BA" w:rsidRPr="0028500E" w:rsidRDefault="00BD10BA" w:rsidP="001E53AA">
      <w:pPr>
        <w:snapToGrid w:val="0"/>
        <w:spacing w:line="360" w:lineRule="auto"/>
        <w:rPr>
          <w:rFonts w:ascii="Book Antiqua" w:hAnsi="Book Antiqua" w:cs="Arial"/>
          <w:color w:val="000000" w:themeColor="text1"/>
          <w:sz w:val="24"/>
          <w:szCs w:val="24"/>
        </w:rPr>
      </w:pPr>
      <w:r w:rsidRPr="0028500E">
        <w:rPr>
          <w:rFonts w:ascii="Book Antiqua" w:hAnsi="Book Antiqua" w:cs="Arial"/>
          <w:color w:val="000000" w:themeColor="text1"/>
          <w:sz w:val="24"/>
          <w:szCs w:val="24"/>
        </w:rPr>
        <w:t xml:space="preserve">The detection rate of small GISTs has continuously increased with </w:t>
      </w:r>
      <w:r w:rsidRPr="0028500E">
        <w:rPr>
          <w:rFonts w:ascii="Book Antiqua" w:hAnsi="Book Antiqua" w:cs="Arial"/>
          <w:color w:val="000000" w:themeColor="text1"/>
          <w:sz w:val="24"/>
          <w:szCs w:val="24"/>
        </w:rPr>
        <w:lastRenderedPageBreak/>
        <w:t>advancements in endoscopy</w:t>
      </w:r>
      <w:r w:rsidRPr="0028500E">
        <w:rPr>
          <w:rFonts w:ascii="Book Antiqua" w:hAnsi="Book Antiqua" w:cs="Arial"/>
          <w:color w:val="000000" w:themeColor="text1"/>
          <w:sz w:val="24"/>
          <w:szCs w:val="24"/>
          <w:vertAlign w:val="superscript"/>
        </w:rPr>
        <w:t>[8</w:t>
      </w:r>
      <w:r w:rsidR="006658D6" w:rsidRPr="0028500E">
        <w:rPr>
          <w:rFonts w:ascii="Book Antiqua" w:hAnsi="Book Antiqua" w:cs="Arial"/>
          <w:color w:val="000000" w:themeColor="text1"/>
          <w:sz w:val="24"/>
          <w:szCs w:val="24"/>
          <w:vertAlign w:val="superscript"/>
        </w:rPr>
        <w:t>9</w:t>
      </w:r>
      <w:r w:rsidRPr="0028500E">
        <w:rPr>
          <w:rFonts w:ascii="Book Antiqua" w:hAnsi="Book Antiqua" w:cs="Arial"/>
          <w:color w:val="000000" w:themeColor="text1"/>
          <w:sz w:val="24"/>
          <w:szCs w:val="24"/>
          <w:vertAlign w:val="superscript"/>
        </w:rPr>
        <w:t>,</w:t>
      </w:r>
      <w:r w:rsidR="006658D6" w:rsidRPr="0028500E">
        <w:rPr>
          <w:rFonts w:ascii="Book Antiqua" w:hAnsi="Book Antiqua" w:cs="Arial"/>
          <w:color w:val="000000" w:themeColor="text1"/>
          <w:sz w:val="24"/>
          <w:szCs w:val="24"/>
          <w:vertAlign w:val="superscript"/>
        </w:rPr>
        <w:t>90</w:t>
      </w:r>
      <w:r w:rsidRPr="0028500E">
        <w:rPr>
          <w:rFonts w:ascii="Book Antiqua" w:hAnsi="Book Antiqua" w:cs="Arial"/>
          <w:color w:val="000000" w:themeColor="text1"/>
          <w:sz w:val="24"/>
          <w:szCs w:val="24"/>
          <w:vertAlign w:val="superscript"/>
        </w:rPr>
        <w:t>]</w:t>
      </w:r>
      <w:r w:rsidRPr="0028500E">
        <w:rPr>
          <w:rFonts w:ascii="Book Antiqua" w:hAnsi="Book Antiqua" w:cs="Arial"/>
          <w:color w:val="000000" w:themeColor="text1"/>
          <w:sz w:val="24"/>
          <w:szCs w:val="24"/>
        </w:rPr>
        <w:t>. However, the surveillance and management of GISTs smaller than 2 cm is controversial or lacks evidence-based approaches</w:t>
      </w:r>
      <w:r w:rsidRPr="0028500E">
        <w:rPr>
          <w:rFonts w:ascii="Book Antiqua" w:hAnsi="Book Antiqua" w:cs="Arial"/>
          <w:color w:val="000000" w:themeColor="text1"/>
          <w:sz w:val="24"/>
          <w:szCs w:val="24"/>
          <w:vertAlign w:val="superscript"/>
        </w:rPr>
        <w:t>[</w:t>
      </w:r>
      <w:r w:rsidR="002A4DCD" w:rsidRPr="0028500E">
        <w:rPr>
          <w:rFonts w:ascii="Book Antiqua" w:hAnsi="Book Antiqua" w:cs="Arial"/>
          <w:color w:val="000000" w:themeColor="text1"/>
          <w:sz w:val="24"/>
          <w:szCs w:val="24"/>
          <w:vertAlign w:val="superscript"/>
        </w:rPr>
        <w:t>41,</w:t>
      </w:r>
      <w:r w:rsidRPr="0028500E">
        <w:rPr>
          <w:rFonts w:ascii="Book Antiqua" w:hAnsi="Book Antiqua" w:cs="Arial"/>
          <w:color w:val="000000" w:themeColor="text1"/>
          <w:sz w:val="24"/>
          <w:szCs w:val="24"/>
          <w:vertAlign w:val="superscript"/>
        </w:rPr>
        <w:t>5</w:t>
      </w:r>
      <w:r w:rsidR="006658D6" w:rsidRPr="0028500E">
        <w:rPr>
          <w:rFonts w:ascii="Book Antiqua" w:hAnsi="Book Antiqua" w:cs="Arial"/>
          <w:color w:val="000000" w:themeColor="text1"/>
          <w:sz w:val="24"/>
          <w:szCs w:val="24"/>
          <w:vertAlign w:val="superscript"/>
        </w:rPr>
        <w:t>6</w:t>
      </w:r>
      <w:r w:rsidRPr="0028500E">
        <w:rPr>
          <w:rFonts w:ascii="Book Antiqua" w:hAnsi="Book Antiqua" w:cs="Arial"/>
          <w:color w:val="000000" w:themeColor="text1"/>
          <w:sz w:val="24"/>
          <w:szCs w:val="24"/>
          <w:vertAlign w:val="superscript"/>
        </w:rPr>
        <w:t>,8</w:t>
      </w:r>
      <w:r w:rsidR="006658D6" w:rsidRPr="0028500E">
        <w:rPr>
          <w:rFonts w:ascii="Book Antiqua" w:hAnsi="Book Antiqua" w:cs="Arial"/>
          <w:color w:val="000000" w:themeColor="text1"/>
          <w:sz w:val="24"/>
          <w:szCs w:val="24"/>
          <w:vertAlign w:val="superscript"/>
        </w:rPr>
        <w:t>9</w:t>
      </w:r>
      <w:r w:rsidRPr="0028500E">
        <w:rPr>
          <w:rFonts w:ascii="Book Antiqua" w:hAnsi="Book Antiqua" w:cs="Arial"/>
          <w:color w:val="000000" w:themeColor="text1"/>
          <w:sz w:val="24"/>
          <w:szCs w:val="24"/>
          <w:vertAlign w:val="superscript"/>
        </w:rPr>
        <w:t>-</w:t>
      </w:r>
      <w:r w:rsidR="006658D6" w:rsidRPr="0028500E">
        <w:rPr>
          <w:rFonts w:ascii="Book Antiqua" w:hAnsi="Book Antiqua" w:cs="Arial"/>
          <w:color w:val="000000" w:themeColor="text1"/>
          <w:sz w:val="24"/>
          <w:szCs w:val="24"/>
          <w:vertAlign w:val="superscript"/>
        </w:rPr>
        <w:t>9</w:t>
      </w:r>
      <w:r w:rsidR="00755B88" w:rsidRPr="0028500E">
        <w:rPr>
          <w:rFonts w:ascii="Book Antiqua" w:hAnsi="Book Antiqua" w:cs="Arial"/>
          <w:color w:val="000000" w:themeColor="text1"/>
          <w:sz w:val="24"/>
          <w:szCs w:val="24"/>
          <w:vertAlign w:val="superscript"/>
        </w:rPr>
        <w:t>2</w:t>
      </w:r>
      <w:r w:rsidRPr="0028500E">
        <w:rPr>
          <w:rFonts w:ascii="Book Antiqua" w:hAnsi="Book Antiqua" w:cs="Arial"/>
          <w:color w:val="000000" w:themeColor="text1"/>
          <w:sz w:val="24"/>
          <w:szCs w:val="24"/>
          <w:vertAlign w:val="superscript"/>
        </w:rPr>
        <w:t>]</w:t>
      </w:r>
      <w:r w:rsidRPr="0028500E">
        <w:rPr>
          <w:rFonts w:ascii="Book Antiqua" w:hAnsi="Book Antiqua" w:cs="Arial"/>
          <w:color w:val="000000" w:themeColor="text1"/>
          <w:sz w:val="24"/>
          <w:szCs w:val="24"/>
        </w:rPr>
        <w:t>. Most small GISTs are discovered incidentally and usually show a benign or indolent clinical course. Conversely, strict discrimination between benign and malignant GISTs is considered to be very difficult using both clinical and pathological examinations. Thus, the European Society for Medical Oncology</w:t>
      </w:r>
      <w:r w:rsidRPr="0028500E">
        <w:rPr>
          <w:rFonts w:ascii="Book Antiqua" w:hAnsi="Book Antiqua" w:cs="Arial"/>
          <w:color w:val="000000" w:themeColor="text1"/>
          <w:sz w:val="24"/>
          <w:szCs w:val="24"/>
          <w:vertAlign w:val="superscript"/>
        </w:rPr>
        <w:t>[</w:t>
      </w:r>
      <w:r w:rsidR="006658D6" w:rsidRPr="0028500E">
        <w:rPr>
          <w:rFonts w:ascii="Book Antiqua" w:hAnsi="Book Antiqua" w:cs="Arial"/>
          <w:color w:val="000000" w:themeColor="text1"/>
          <w:sz w:val="24"/>
          <w:szCs w:val="24"/>
          <w:vertAlign w:val="superscript"/>
        </w:rPr>
        <w:t>72</w:t>
      </w:r>
      <w:r w:rsidRPr="0028500E">
        <w:rPr>
          <w:rFonts w:ascii="Book Antiqua" w:hAnsi="Book Antiqua" w:cs="Arial"/>
          <w:color w:val="000000" w:themeColor="text1"/>
          <w:sz w:val="24"/>
          <w:szCs w:val="24"/>
          <w:vertAlign w:val="superscript"/>
        </w:rPr>
        <w:t>]</w:t>
      </w:r>
      <w:r w:rsidRPr="0028500E">
        <w:rPr>
          <w:rFonts w:ascii="Book Antiqua" w:hAnsi="Book Antiqua" w:cs="Arial"/>
          <w:color w:val="000000" w:themeColor="text1"/>
          <w:sz w:val="24"/>
          <w:szCs w:val="24"/>
        </w:rPr>
        <w:t>, Japanese</w:t>
      </w:r>
      <w:r w:rsidRPr="0028500E">
        <w:rPr>
          <w:rFonts w:ascii="Book Antiqua" w:hAnsi="Book Antiqua" w:cs="Arial"/>
          <w:color w:val="000000" w:themeColor="text1"/>
          <w:sz w:val="24"/>
          <w:szCs w:val="24"/>
          <w:vertAlign w:val="superscript"/>
        </w:rPr>
        <w:t>[</w:t>
      </w:r>
      <w:r w:rsidR="006658D6" w:rsidRPr="0028500E">
        <w:rPr>
          <w:rFonts w:ascii="Book Antiqua" w:hAnsi="Book Antiqua" w:cs="Arial"/>
          <w:color w:val="000000" w:themeColor="text1"/>
          <w:sz w:val="24"/>
          <w:szCs w:val="24"/>
          <w:vertAlign w:val="superscript"/>
        </w:rPr>
        <w:t>70</w:t>
      </w:r>
      <w:r w:rsidRPr="0028500E">
        <w:rPr>
          <w:rFonts w:ascii="Book Antiqua" w:hAnsi="Book Antiqua" w:cs="Arial"/>
          <w:color w:val="000000" w:themeColor="text1"/>
          <w:sz w:val="24"/>
          <w:szCs w:val="24"/>
          <w:vertAlign w:val="superscript"/>
        </w:rPr>
        <w:t>]</w:t>
      </w:r>
      <w:r w:rsidRPr="0028500E">
        <w:rPr>
          <w:rFonts w:ascii="Book Antiqua" w:hAnsi="Book Antiqua" w:cs="Arial"/>
          <w:color w:val="000000" w:themeColor="text1"/>
          <w:sz w:val="24"/>
          <w:szCs w:val="24"/>
        </w:rPr>
        <w:t>, and Chinese Society of Clinical Oncology</w:t>
      </w:r>
      <w:r w:rsidRPr="0028500E">
        <w:rPr>
          <w:rFonts w:ascii="Book Antiqua" w:hAnsi="Book Antiqua" w:cs="Arial"/>
          <w:color w:val="000000" w:themeColor="text1"/>
          <w:sz w:val="24"/>
          <w:szCs w:val="24"/>
          <w:vertAlign w:val="superscript"/>
        </w:rPr>
        <w:t>[</w:t>
      </w:r>
      <w:r w:rsidR="0008634E" w:rsidRPr="0028500E">
        <w:rPr>
          <w:rFonts w:ascii="Book Antiqua" w:hAnsi="Book Antiqua" w:cs="Arial"/>
          <w:color w:val="000000" w:themeColor="text1"/>
          <w:sz w:val="24"/>
          <w:szCs w:val="24"/>
          <w:vertAlign w:val="superscript"/>
        </w:rPr>
        <w:t>7</w:t>
      </w:r>
      <w:r w:rsidR="00A848FF" w:rsidRPr="0028500E">
        <w:rPr>
          <w:rFonts w:ascii="Book Antiqua" w:hAnsi="Book Antiqua" w:cs="Arial"/>
          <w:color w:val="000000" w:themeColor="text1"/>
          <w:sz w:val="24"/>
          <w:szCs w:val="24"/>
          <w:vertAlign w:val="superscript"/>
        </w:rPr>
        <w:t>3</w:t>
      </w:r>
      <w:r w:rsidRPr="0028500E">
        <w:rPr>
          <w:rFonts w:ascii="Book Antiqua" w:hAnsi="Book Antiqua" w:cs="Arial"/>
          <w:color w:val="000000" w:themeColor="text1"/>
          <w:sz w:val="24"/>
          <w:szCs w:val="24"/>
          <w:vertAlign w:val="superscript"/>
        </w:rPr>
        <w:t>]</w:t>
      </w:r>
      <w:r w:rsidRPr="0028500E">
        <w:rPr>
          <w:rFonts w:ascii="Book Antiqua" w:hAnsi="Book Antiqua" w:cs="Arial"/>
          <w:color w:val="000000" w:themeColor="text1"/>
          <w:sz w:val="24"/>
          <w:szCs w:val="24"/>
        </w:rPr>
        <w:t xml:space="preserve"> GIST guidelines recommend surgical resection when an SEL is immunohistologically diagnosed as a GIST, even when smaller than 2 cm. In contrast, the National Comprehensive Cancer Network</w:t>
      </w:r>
      <w:r w:rsidRPr="0028500E">
        <w:rPr>
          <w:rFonts w:ascii="Book Antiqua" w:hAnsi="Book Antiqua" w:cs="Arial"/>
          <w:color w:val="000000" w:themeColor="text1"/>
          <w:sz w:val="24"/>
          <w:szCs w:val="24"/>
          <w:vertAlign w:val="superscript"/>
        </w:rPr>
        <w:t>[</w:t>
      </w:r>
      <w:r w:rsidR="006658D6" w:rsidRPr="0028500E">
        <w:rPr>
          <w:rFonts w:ascii="Book Antiqua" w:hAnsi="Book Antiqua" w:cs="Arial"/>
          <w:color w:val="000000" w:themeColor="text1"/>
          <w:sz w:val="24"/>
          <w:szCs w:val="24"/>
          <w:vertAlign w:val="superscript"/>
        </w:rPr>
        <w:t>71</w:t>
      </w:r>
      <w:r w:rsidRPr="0028500E">
        <w:rPr>
          <w:rFonts w:ascii="Book Antiqua" w:hAnsi="Book Antiqua" w:cs="Arial"/>
          <w:color w:val="000000" w:themeColor="text1"/>
          <w:sz w:val="24"/>
          <w:szCs w:val="24"/>
          <w:vertAlign w:val="superscript"/>
        </w:rPr>
        <w:t>]</w:t>
      </w:r>
      <w:r w:rsidRPr="0028500E">
        <w:rPr>
          <w:rFonts w:ascii="Book Antiqua" w:hAnsi="Book Antiqua" w:cs="Arial"/>
          <w:color w:val="000000" w:themeColor="text1"/>
          <w:sz w:val="24"/>
          <w:szCs w:val="24"/>
        </w:rPr>
        <w:t xml:space="preserve"> guidelines recommend that small GISTs of &lt;2 cm may be periodically followed up by EUS when they lack high-risk features including an irregular border, cystic spaces, ulceration, echogenic foci, and heterogeneity. However, in the examination of 378 histologically diagnosed </w:t>
      </w:r>
      <w:bookmarkStart w:id="42" w:name="_Hlk515717294"/>
      <w:r w:rsidRPr="0028500E">
        <w:rPr>
          <w:rFonts w:ascii="Book Antiqua" w:hAnsi="Book Antiqua" w:cs="Arial"/>
          <w:color w:val="000000" w:themeColor="text1"/>
          <w:sz w:val="24"/>
          <w:szCs w:val="24"/>
        </w:rPr>
        <w:t xml:space="preserve">GISTs </w:t>
      </w:r>
      <w:r w:rsidR="00637737" w:rsidRPr="0028500E">
        <w:rPr>
          <w:rFonts w:ascii="Book Antiqua" w:hAnsi="Book Antiqua" w:cs="Arial"/>
          <w:color w:val="000000" w:themeColor="text1"/>
          <w:sz w:val="24"/>
          <w:szCs w:val="24"/>
        </w:rPr>
        <w:t>of &lt;</w:t>
      </w:r>
      <w:r w:rsidR="00A502AC" w:rsidRPr="0028500E">
        <w:rPr>
          <w:rFonts w:ascii="Book Antiqua" w:eastAsia="SimSun" w:hAnsi="Book Antiqua" w:cs="Arial"/>
          <w:color w:val="000000" w:themeColor="text1"/>
          <w:sz w:val="24"/>
          <w:szCs w:val="24"/>
          <w:lang w:eastAsia="zh-CN"/>
        </w:rPr>
        <w:t xml:space="preserve"> </w:t>
      </w:r>
      <w:r w:rsidR="00637737" w:rsidRPr="0028500E">
        <w:rPr>
          <w:rFonts w:ascii="Book Antiqua" w:hAnsi="Book Antiqua" w:cs="Arial"/>
          <w:color w:val="000000" w:themeColor="text1"/>
          <w:sz w:val="24"/>
          <w:szCs w:val="24"/>
        </w:rPr>
        <w:t xml:space="preserve">2 cm </w:t>
      </w:r>
      <w:r w:rsidRPr="0028500E">
        <w:rPr>
          <w:rFonts w:ascii="Book Antiqua" w:hAnsi="Book Antiqua" w:cs="Arial"/>
          <w:color w:val="000000" w:themeColor="text1"/>
          <w:sz w:val="24"/>
          <w:szCs w:val="24"/>
        </w:rPr>
        <w:t>registered in the National</w:t>
      </w:r>
      <w:bookmarkEnd w:id="42"/>
      <w:r w:rsidRPr="0028500E">
        <w:rPr>
          <w:rFonts w:ascii="Book Antiqua" w:hAnsi="Book Antiqua" w:cs="Arial"/>
          <w:color w:val="000000" w:themeColor="text1"/>
          <w:sz w:val="24"/>
          <w:szCs w:val="24"/>
        </w:rPr>
        <w:t xml:space="preserve"> Cancer Institute’s Surveillance Epidemiology and End Results database, which is a cancer database in the United States, 11.4% of the patients had regional/distant metastatic disease and the 5-year GIST-specific mortality rate was 12.9%</w:t>
      </w:r>
      <w:r w:rsidRPr="0028500E">
        <w:rPr>
          <w:rFonts w:ascii="Book Antiqua" w:hAnsi="Book Antiqua" w:cs="Arial"/>
          <w:color w:val="000000" w:themeColor="text1"/>
          <w:sz w:val="24"/>
          <w:szCs w:val="24"/>
          <w:vertAlign w:val="superscript"/>
        </w:rPr>
        <w:t>[</w:t>
      </w:r>
      <w:r w:rsidR="00F75022" w:rsidRPr="0028500E">
        <w:rPr>
          <w:rFonts w:ascii="Book Antiqua" w:hAnsi="Book Antiqua" w:cs="Arial"/>
          <w:color w:val="000000" w:themeColor="text1"/>
          <w:sz w:val="24"/>
          <w:szCs w:val="24"/>
          <w:vertAlign w:val="superscript"/>
        </w:rPr>
        <w:t>9</w:t>
      </w:r>
      <w:r w:rsidR="00755B88" w:rsidRPr="0028500E">
        <w:rPr>
          <w:rFonts w:ascii="Book Antiqua" w:hAnsi="Book Antiqua" w:cs="Arial"/>
          <w:color w:val="000000" w:themeColor="text1"/>
          <w:sz w:val="24"/>
          <w:szCs w:val="24"/>
          <w:vertAlign w:val="superscript"/>
        </w:rPr>
        <w:t>3</w:t>
      </w:r>
      <w:r w:rsidRPr="0028500E">
        <w:rPr>
          <w:rFonts w:ascii="Book Antiqua" w:hAnsi="Book Antiqua" w:cs="Arial"/>
          <w:color w:val="000000" w:themeColor="text1"/>
          <w:sz w:val="24"/>
          <w:szCs w:val="24"/>
          <w:vertAlign w:val="superscript"/>
        </w:rPr>
        <w:t>]</w:t>
      </w:r>
      <w:r w:rsidRPr="0028500E">
        <w:rPr>
          <w:rFonts w:ascii="Book Antiqua" w:hAnsi="Book Antiqua" w:cs="Arial"/>
          <w:color w:val="000000" w:themeColor="text1"/>
          <w:sz w:val="24"/>
          <w:szCs w:val="24"/>
        </w:rPr>
        <w:t>. In a study of 43 surgically resected small GISTs of &lt;</w:t>
      </w:r>
      <w:r w:rsidR="003E1B9D" w:rsidRPr="0028500E">
        <w:rPr>
          <w:rFonts w:ascii="Book Antiqua" w:eastAsia="SimSun" w:hAnsi="Book Antiqua" w:cs="Arial"/>
          <w:color w:val="000000" w:themeColor="text1"/>
          <w:sz w:val="24"/>
          <w:szCs w:val="24"/>
          <w:lang w:eastAsia="zh-CN"/>
        </w:rPr>
        <w:t xml:space="preserve"> </w:t>
      </w:r>
      <w:r w:rsidRPr="0028500E">
        <w:rPr>
          <w:rFonts w:ascii="Book Antiqua" w:hAnsi="Book Antiqua" w:cs="Arial"/>
          <w:color w:val="000000" w:themeColor="text1"/>
          <w:sz w:val="24"/>
          <w:szCs w:val="24"/>
        </w:rPr>
        <w:t>2 cm with immunohistochemical analysis, 23% of lesions were classified as having intermediate risk according to the Joensuu risk stratification</w:t>
      </w:r>
      <w:r w:rsidRPr="0028500E">
        <w:rPr>
          <w:rFonts w:ascii="Book Antiqua" w:hAnsi="Book Antiqua" w:cs="Arial"/>
          <w:color w:val="000000" w:themeColor="text1"/>
          <w:sz w:val="24"/>
          <w:szCs w:val="24"/>
          <w:vertAlign w:val="superscript"/>
        </w:rPr>
        <w:t>[5</w:t>
      </w:r>
      <w:r w:rsidR="00F75022" w:rsidRPr="0028500E">
        <w:rPr>
          <w:rFonts w:ascii="Book Antiqua" w:hAnsi="Book Antiqua" w:cs="Arial"/>
          <w:color w:val="000000" w:themeColor="text1"/>
          <w:sz w:val="24"/>
          <w:szCs w:val="24"/>
          <w:vertAlign w:val="superscript"/>
        </w:rPr>
        <w:t>6</w:t>
      </w:r>
      <w:r w:rsidRPr="0028500E">
        <w:rPr>
          <w:rFonts w:ascii="Book Antiqua" w:hAnsi="Book Antiqua" w:cs="Arial"/>
          <w:color w:val="000000" w:themeColor="text1"/>
          <w:sz w:val="24"/>
          <w:szCs w:val="24"/>
          <w:vertAlign w:val="superscript"/>
        </w:rPr>
        <w:t>]</w:t>
      </w:r>
      <w:r w:rsidRPr="0028500E">
        <w:rPr>
          <w:rFonts w:ascii="Book Antiqua" w:hAnsi="Book Antiqua" w:cs="Arial"/>
          <w:color w:val="000000" w:themeColor="text1"/>
          <w:sz w:val="24"/>
          <w:szCs w:val="24"/>
        </w:rPr>
        <w:t>. Although GISTs of ≤</w:t>
      </w:r>
      <w:r w:rsidR="00CF198E" w:rsidRPr="0028500E">
        <w:rPr>
          <w:rFonts w:ascii="Book Antiqua" w:eastAsia="SimSun" w:hAnsi="Book Antiqua" w:cs="Arial"/>
          <w:color w:val="000000" w:themeColor="text1"/>
          <w:sz w:val="24"/>
          <w:szCs w:val="24"/>
          <w:lang w:eastAsia="zh-CN"/>
        </w:rPr>
        <w:t xml:space="preserve"> </w:t>
      </w:r>
      <w:r w:rsidRPr="0028500E">
        <w:rPr>
          <w:rFonts w:ascii="Book Antiqua" w:hAnsi="Book Antiqua" w:cs="Arial"/>
          <w:color w:val="000000" w:themeColor="text1"/>
          <w:sz w:val="24"/>
          <w:szCs w:val="24"/>
        </w:rPr>
        <w:t>2 cm are reportedly metastatic at a low frequency (but not 0%)</w:t>
      </w:r>
      <w:r w:rsidRPr="0028500E">
        <w:rPr>
          <w:rFonts w:ascii="Book Antiqua" w:hAnsi="Book Antiqua" w:cs="Arial"/>
          <w:color w:val="000000" w:themeColor="text1"/>
          <w:sz w:val="24"/>
          <w:szCs w:val="24"/>
          <w:vertAlign w:val="superscript"/>
        </w:rPr>
        <w:t>[8</w:t>
      </w:r>
      <w:r w:rsidR="00F75022" w:rsidRPr="0028500E">
        <w:rPr>
          <w:rFonts w:ascii="Book Antiqua" w:hAnsi="Book Antiqua" w:cs="Arial"/>
          <w:color w:val="000000" w:themeColor="text1"/>
          <w:sz w:val="24"/>
          <w:szCs w:val="24"/>
          <w:vertAlign w:val="superscript"/>
        </w:rPr>
        <w:t>9</w:t>
      </w:r>
      <w:r w:rsidRPr="0028500E">
        <w:rPr>
          <w:rFonts w:ascii="Book Antiqua" w:hAnsi="Book Antiqua" w:cs="Arial"/>
          <w:color w:val="000000" w:themeColor="text1"/>
          <w:sz w:val="24"/>
          <w:szCs w:val="24"/>
          <w:vertAlign w:val="superscript"/>
        </w:rPr>
        <w:t>,</w:t>
      </w:r>
      <w:r w:rsidR="00F75022" w:rsidRPr="0028500E">
        <w:rPr>
          <w:rFonts w:ascii="Book Antiqua" w:hAnsi="Book Antiqua" w:cs="Arial"/>
          <w:color w:val="000000" w:themeColor="text1"/>
          <w:sz w:val="24"/>
          <w:szCs w:val="24"/>
          <w:vertAlign w:val="superscript"/>
        </w:rPr>
        <w:t>90</w:t>
      </w:r>
      <w:r w:rsidRPr="0028500E">
        <w:rPr>
          <w:rFonts w:ascii="Book Antiqua" w:hAnsi="Book Antiqua" w:cs="Arial"/>
          <w:color w:val="000000" w:themeColor="text1"/>
          <w:sz w:val="24"/>
          <w:szCs w:val="24"/>
          <w:vertAlign w:val="superscript"/>
        </w:rPr>
        <w:t>,</w:t>
      </w:r>
      <w:r w:rsidR="00F75022" w:rsidRPr="0028500E">
        <w:rPr>
          <w:rFonts w:ascii="Book Antiqua" w:hAnsi="Book Antiqua" w:cs="Arial"/>
          <w:color w:val="000000" w:themeColor="text1"/>
          <w:sz w:val="24"/>
          <w:szCs w:val="24"/>
          <w:vertAlign w:val="superscript"/>
        </w:rPr>
        <w:t>9</w:t>
      </w:r>
      <w:r w:rsidR="00755B88" w:rsidRPr="0028500E">
        <w:rPr>
          <w:rFonts w:ascii="Book Antiqua" w:hAnsi="Book Antiqua" w:cs="Arial"/>
          <w:color w:val="000000" w:themeColor="text1"/>
          <w:sz w:val="24"/>
          <w:szCs w:val="24"/>
          <w:vertAlign w:val="superscript"/>
        </w:rPr>
        <w:t>3</w:t>
      </w:r>
      <w:r w:rsidRPr="0028500E">
        <w:rPr>
          <w:rFonts w:ascii="Book Antiqua" w:hAnsi="Book Antiqua" w:cs="Arial"/>
          <w:color w:val="000000" w:themeColor="text1"/>
          <w:sz w:val="24"/>
          <w:szCs w:val="24"/>
          <w:vertAlign w:val="superscript"/>
        </w:rPr>
        <w:t>]</w:t>
      </w:r>
      <w:r w:rsidRPr="0028500E">
        <w:rPr>
          <w:rFonts w:ascii="Book Antiqua" w:hAnsi="Book Antiqua" w:cs="Arial"/>
          <w:color w:val="000000" w:themeColor="text1"/>
          <w:sz w:val="24"/>
          <w:szCs w:val="24"/>
        </w:rPr>
        <w:t xml:space="preserve">, early tissue diagnosis and early resection with </w:t>
      </w:r>
      <w:r w:rsidR="007F0D0E" w:rsidRPr="0028500E">
        <w:rPr>
          <w:rFonts w:ascii="Book Antiqua" w:hAnsi="Book Antiqua" w:cs="Arial"/>
          <w:color w:val="000000" w:themeColor="text1"/>
          <w:sz w:val="24"/>
          <w:szCs w:val="24"/>
        </w:rPr>
        <w:t>postoperative</w:t>
      </w:r>
      <w:r w:rsidRPr="0028500E">
        <w:rPr>
          <w:rFonts w:ascii="Book Antiqua" w:hAnsi="Book Antiqua" w:cs="Arial"/>
          <w:color w:val="000000" w:themeColor="text1"/>
          <w:sz w:val="24"/>
          <w:szCs w:val="24"/>
        </w:rPr>
        <w:t xml:space="preserve"> follow-up are desired. Importantly, therefore, gastroenterologists should consider early interventions such as EUS for incidentally detected small SELs.</w:t>
      </w:r>
      <w:bookmarkStart w:id="43" w:name="_Hlk514576298"/>
      <w:bookmarkStart w:id="44" w:name="_Hlk514575578"/>
      <w:r w:rsidRPr="0028500E">
        <w:rPr>
          <w:rFonts w:ascii="Book Antiqua" w:hAnsi="Book Antiqua" w:cs="Arial"/>
          <w:color w:val="000000" w:themeColor="text1"/>
          <w:sz w:val="24"/>
          <w:szCs w:val="24"/>
        </w:rPr>
        <w:t xml:space="preserve"> </w:t>
      </w:r>
      <w:r w:rsidR="0005791D" w:rsidRPr="0028500E">
        <w:rPr>
          <w:rFonts w:ascii="Book Antiqua" w:hAnsi="Book Antiqua" w:cs="Arial"/>
          <w:color w:val="000000" w:themeColor="text1"/>
          <w:sz w:val="24"/>
          <w:szCs w:val="24"/>
        </w:rPr>
        <w:t xml:space="preserve">Active performance of </w:t>
      </w:r>
      <w:r w:rsidRPr="0028500E">
        <w:rPr>
          <w:rFonts w:ascii="Book Antiqua" w:hAnsi="Book Antiqua" w:cs="Arial"/>
          <w:color w:val="000000" w:themeColor="text1"/>
          <w:sz w:val="24"/>
          <w:szCs w:val="24"/>
        </w:rPr>
        <w:t>EUS</w:t>
      </w:r>
      <w:r w:rsidR="0005791D" w:rsidRPr="0028500E">
        <w:rPr>
          <w:rFonts w:ascii="Book Antiqua" w:hAnsi="Book Antiqua" w:cs="Arial"/>
          <w:color w:val="000000" w:themeColor="text1"/>
          <w:sz w:val="24"/>
          <w:szCs w:val="24"/>
        </w:rPr>
        <w:t xml:space="preserve"> is effective</w:t>
      </w:r>
      <w:r w:rsidRPr="0028500E">
        <w:rPr>
          <w:rFonts w:ascii="Book Antiqua" w:hAnsi="Book Antiqua" w:cs="Arial"/>
          <w:color w:val="000000" w:themeColor="text1"/>
          <w:sz w:val="24"/>
          <w:szCs w:val="24"/>
        </w:rPr>
        <w:t xml:space="preserve"> even for small SELs of ≤</w:t>
      </w:r>
      <w:r w:rsidR="00CF198E" w:rsidRPr="0028500E">
        <w:rPr>
          <w:rFonts w:ascii="Book Antiqua" w:eastAsia="SimSun" w:hAnsi="Book Antiqua" w:cs="Arial"/>
          <w:color w:val="000000" w:themeColor="text1"/>
          <w:sz w:val="24"/>
          <w:szCs w:val="24"/>
          <w:lang w:eastAsia="zh-CN"/>
        </w:rPr>
        <w:t xml:space="preserve"> </w:t>
      </w:r>
      <w:r w:rsidRPr="0028500E">
        <w:rPr>
          <w:rFonts w:ascii="Book Antiqua" w:hAnsi="Book Antiqua" w:cs="Arial"/>
          <w:color w:val="000000" w:themeColor="text1"/>
          <w:sz w:val="24"/>
          <w:szCs w:val="24"/>
        </w:rPr>
        <w:t>2 cm to ensure early detection of hypoechoic solid masses suspected to be GISTs</w:t>
      </w:r>
      <w:r w:rsidR="00E744F0" w:rsidRPr="0028500E">
        <w:rPr>
          <w:rFonts w:ascii="Book Antiqua" w:hAnsi="Book Antiqua" w:cs="Arial"/>
          <w:color w:val="000000" w:themeColor="text1"/>
          <w:sz w:val="24"/>
          <w:szCs w:val="24"/>
          <w:vertAlign w:val="superscript"/>
        </w:rPr>
        <w:t>[</w:t>
      </w:r>
      <w:r w:rsidR="00F75022" w:rsidRPr="0028500E">
        <w:rPr>
          <w:rFonts w:ascii="Book Antiqua" w:hAnsi="Book Antiqua" w:cs="Arial"/>
          <w:color w:val="000000" w:themeColor="text1"/>
          <w:sz w:val="24"/>
          <w:szCs w:val="24"/>
          <w:vertAlign w:val="superscript"/>
        </w:rPr>
        <w:t>56</w:t>
      </w:r>
      <w:r w:rsidR="00E744F0" w:rsidRPr="0028500E">
        <w:rPr>
          <w:rFonts w:ascii="Book Antiqua" w:hAnsi="Book Antiqua" w:cs="Arial"/>
          <w:color w:val="000000" w:themeColor="text1"/>
          <w:sz w:val="24"/>
          <w:szCs w:val="24"/>
          <w:vertAlign w:val="superscript"/>
        </w:rPr>
        <w:t>]</w:t>
      </w:r>
      <w:r w:rsidRPr="0028500E">
        <w:rPr>
          <w:rFonts w:ascii="Book Antiqua" w:hAnsi="Book Antiqua" w:cs="Arial"/>
          <w:color w:val="000000" w:themeColor="text1"/>
          <w:sz w:val="24"/>
          <w:szCs w:val="24"/>
        </w:rPr>
        <w:t xml:space="preserve">. If EUS imaging of a SEL with </w:t>
      </w:r>
      <w:r w:rsidR="0005791D" w:rsidRPr="0028500E">
        <w:rPr>
          <w:rFonts w:ascii="Book Antiqua" w:hAnsi="Book Antiqua" w:cs="Arial"/>
          <w:color w:val="000000" w:themeColor="text1"/>
          <w:sz w:val="24"/>
          <w:szCs w:val="24"/>
        </w:rPr>
        <w:t xml:space="preserve">an </w:t>
      </w:r>
      <w:r w:rsidRPr="0028500E">
        <w:rPr>
          <w:rFonts w:ascii="Book Antiqua" w:hAnsi="Book Antiqua" w:cs="Arial"/>
          <w:color w:val="000000" w:themeColor="text1"/>
          <w:sz w:val="24"/>
          <w:szCs w:val="24"/>
        </w:rPr>
        <w:t>endoscopic</w:t>
      </w:r>
      <w:r w:rsidR="0005791D" w:rsidRPr="0028500E">
        <w:rPr>
          <w:rFonts w:ascii="Book Antiqua" w:hAnsi="Book Antiqua" w:cs="Arial"/>
          <w:color w:val="000000" w:themeColor="text1"/>
          <w:sz w:val="24"/>
          <w:szCs w:val="24"/>
        </w:rPr>
        <w:t>ally</w:t>
      </w:r>
      <w:r w:rsidRPr="0028500E">
        <w:rPr>
          <w:rFonts w:ascii="Book Antiqua" w:hAnsi="Book Antiqua" w:cs="Arial"/>
          <w:color w:val="000000" w:themeColor="text1"/>
          <w:sz w:val="24"/>
          <w:szCs w:val="24"/>
        </w:rPr>
        <w:t xml:space="preserve"> negative biopsy shows a hypoechoic solid mass</w:t>
      </w:r>
      <w:r w:rsidR="0005791D" w:rsidRPr="0028500E">
        <w:rPr>
          <w:rFonts w:ascii="Book Antiqua" w:hAnsi="Book Antiqua" w:cs="Arial"/>
          <w:color w:val="000000" w:themeColor="text1"/>
          <w:sz w:val="24"/>
          <w:szCs w:val="24"/>
        </w:rPr>
        <w:t xml:space="preserve"> of</w:t>
      </w:r>
      <w:r w:rsidR="00E744F0" w:rsidRPr="0028500E">
        <w:rPr>
          <w:rFonts w:ascii="Book Antiqua" w:hAnsi="Book Antiqua" w:cs="Arial"/>
          <w:color w:val="000000" w:themeColor="text1"/>
          <w:sz w:val="24"/>
          <w:szCs w:val="24"/>
        </w:rPr>
        <w:t xml:space="preserve"> &gt;</w:t>
      </w:r>
      <w:r w:rsidR="00CF198E" w:rsidRPr="0028500E">
        <w:rPr>
          <w:rFonts w:ascii="Book Antiqua" w:eastAsia="SimSun" w:hAnsi="Book Antiqua" w:cs="Arial"/>
          <w:color w:val="000000" w:themeColor="text1"/>
          <w:sz w:val="24"/>
          <w:szCs w:val="24"/>
          <w:lang w:eastAsia="zh-CN"/>
        </w:rPr>
        <w:t xml:space="preserve"> </w:t>
      </w:r>
      <w:r w:rsidR="00E744F0" w:rsidRPr="0028500E">
        <w:rPr>
          <w:rFonts w:ascii="Book Antiqua" w:hAnsi="Book Antiqua" w:cs="Arial"/>
          <w:color w:val="000000" w:themeColor="text1"/>
          <w:sz w:val="24"/>
          <w:szCs w:val="24"/>
        </w:rPr>
        <w:t>1</w:t>
      </w:r>
      <w:r w:rsidR="0005791D" w:rsidRPr="0028500E">
        <w:rPr>
          <w:rFonts w:ascii="Book Antiqua" w:hAnsi="Book Antiqua" w:cs="Arial"/>
          <w:color w:val="000000" w:themeColor="text1"/>
          <w:sz w:val="24"/>
          <w:szCs w:val="24"/>
        </w:rPr>
        <w:t xml:space="preserve"> </w:t>
      </w:r>
      <w:r w:rsidR="00E744F0" w:rsidRPr="0028500E">
        <w:rPr>
          <w:rFonts w:ascii="Book Antiqua" w:hAnsi="Book Antiqua" w:cs="Arial"/>
          <w:color w:val="000000" w:themeColor="text1"/>
          <w:sz w:val="24"/>
          <w:szCs w:val="24"/>
        </w:rPr>
        <w:t>cm</w:t>
      </w:r>
      <w:r w:rsidRPr="0028500E">
        <w:rPr>
          <w:rFonts w:ascii="Book Antiqua" w:hAnsi="Book Antiqua" w:cs="Arial"/>
          <w:color w:val="000000" w:themeColor="text1"/>
          <w:sz w:val="24"/>
          <w:szCs w:val="24"/>
        </w:rPr>
        <w:t>, subsequent EUS-FNA is needed to obtain a conclusive tissue diagnosis of</w:t>
      </w:r>
      <w:r w:rsidR="0005791D" w:rsidRPr="0028500E">
        <w:rPr>
          <w:rFonts w:ascii="Book Antiqua" w:hAnsi="Book Antiqua" w:cs="Arial"/>
          <w:color w:val="000000" w:themeColor="text1"/>
          <w:sz w:val="24"/>
          <w:szCs w:val="24"/>
        </w:rPr>
        <w:t xml:space="preserve"> a</w:t>
      </w:r>
      <w:r w:rsidRPr="0028500E">
        <w:rPr>
          <w:rFonts w:ascii="Book Antiqua" w:hAnsi="Book Antiqua" w:cs="Arial"/>
          <w:color w:val="000000" w:themeColor="text1"/>
          <w:sz w:val="24"/>
          <w:szCs w:val="24"/>
        </w:rPr>
        <w:t xml:space="preserve"> GIST</w:t>
      </w:r>
      <w:r w:rsidR="007F0D0E" w:rsidRPr="0028500E">
        <w:rPr>
          <w:rFonts w:ascii="Book Antiqua" w:hAnsi="Book Antiqua" w:cs="Arial"/>
          <w:color w:val="000000" w:themeColor="text1"/>
          <w:sz w:val="24"/>
          <w:szCs w:val="24"/>
          <w:vertAlign w:val="superscript"/>
        </w:rPr>
        <w:t>[21,5</w:t>
      </w:r>
      <w:r w:rsidR="00F75022" w:rsidRPr="0028500E">
        <w:rPr>
          <w:rFonts w:ascii="Book Antiqua" w:hAnsi="Book Antiqua" w:cs="Arial"/>
          <w:color w:val="000000" w:themeColor="text1"/>
          <w:sz w:val="24"/>
          <w:szCs w:val="24"/>
          <w:vertAlign w:val="superscript"/>
        </w:rPr>
        <w:t>6</w:t>
      </w:r>
      <w:r w:rsidR="007F0D0E" w:rsidRPr="0028500E">
        <w:rPr>
          <w:rFonts w:ascii="Book Antiqua" w:hAnsi="Book Antiqua" w:cs="Arial"/>
          <w:color w:val="000000" w:themeColor="text1"/>
          <w:sz w:val="24"/>
          <w:szCs w:val="24"/>
          <w:vertAlign w:val="superscript"/>
        </w:rPr>
        <w:t>]</w:t>
      </w:r>
      <w:r w:rsidR="007F0D0E" w:rsidRPr="0028500E">
        <w:rPr>
          <w:rFonts w:ascii="Book Antiqua" w:hAnsi="Book Antiqua" w:cs="Arial"/>
          <w:color w:val="000000" w:themeColor="text1"/>
          <w:sz w:val="24"/>
          <w:szCs w:val="24"/>
        </w:rPr>
        <w:t>.</w:t>
      </w:r>
      <w:bookmarkEnd w:id="43"/>
      <w:bookmarkEnd w:id="44"/>
      <w:r w:rsidRPr="0028500E">
        <w:rPr>
          <w:rFonts w:ascii="Book Antiqua" w:hAnsi="Book Antiqua" w:cs="Arial"/>
          <w:color w:val="000000" w:themeColor="text1"/>
          <w:sz w:val="24"/>
          <w:szCs w:val="24"/>
        </w:rPr>
        <w:t xml:space="preserve"> </w:t>
      </w:r>
      <w:bookmarkStart w:id="45" w:name="_Hlk514875788"/>
      <w:r w:rsidRPr="0028500E">
        <w:rPr>
          <w:rFonts w:ascii="Book Antiqua" w:hAnsi="Book Antiqua" w:cs="Arial"/>
          <w:color w:val="000000" w:themeColor="text1"/>
          <w:sz w:val="24"/>
          <w:szCs w:val="24"/>
        </w:rPr>
        <w:t>Small SELs of &lt;</w:t>
      </w:r>
      <w:r w:rsidR="005E6A77" w:rsidRPr="0028500E">
        <w:rPr>
          <w:rFonts w:ascii="Book Antiqua" w:eastAsia="SimSun" w:hAnsi="Book Antiqua" w:cs="Arial"/>
          <w:color w:val="000000" w:themeColor="text1"/>
          <w:sz w:val="24"/>
          <w:szCs w:val="24"/>
          <w:lang w:eastAsia="zh-CN"/>
        </w:rPr>
        <w:t xml:space="preserve"> </w:t>
      </w:r>
      <w:r w:rsidRPr="0028500E">
        <w:rPr>
          <w:rFonts w:ascii="Book Antiqua" w:hAnsi="Book Antiqua" w:cs="Arial"/>
          <w:color w:val="000000" w:themeColor="text1"/>
          <w:sz w:val="24"/>
          <w:szCs w:val="24"/>
        </w:rPr>
        <w:t xml:space="preserve">1 cm are currently recommended to undergo periodic EUS follow-up (every 6 </w:t>
      </w:r>
      <w:r w:rsidR="00CF198E" w:rsidRPr="0028500E">
        <w:rPr>
          <w:rFonts w:ascii="Book Antiqua" w:eastAsia="SimSun" w:hAnsi="Book Antiqua" w:cs="Arial"/>
          <w:color w:val="000000" w:themeColor="text1"/>
          <w:sz w:val="24"/>
          <w:szCs w:val="24"/>
          <w:lang w:eastAsia="zh-CN"/>
        </w:rPr>
        <w:t>mo</w:t>
      </w:r>
      <w:r w:rsidRPr="0028500E">
        <w:rPr>
          <w:rFonts w:ascii="Book Antiqua" w:hAnsi="Book Antiqua" w:cs="Arial"/>
          <w:color w:val="000000" w:themeColor="text1"/>
          <w:sz w:val="24"/>
          <w:szCs w:val="24"/>
        </w:rPr>
        <w:t xml:space="preserve"> or 1 year)</w:t>
      </w:r>
      <w:r w:rsidRPr="0028500E">
        <w:rPr>
          <w:rFonts w:ascii="Book Antiqua" w:hAnsi="Book Antiqua" w:cs="Arial"/>
          <w:color w:val="000000" w:themeColor="text1"/>
          <w:sz w:val="24"/>
          <w:szCs w:val="24"/>
          <w:vertAlign w:val="superscript"/>
        </w:rPr>
        <w:t>[5</w:t>
      </w:r>
      <w:r w:rsidR="00F75022" w:rsidRPr="0028500E">
        <w:rPr>
          <w:rFonts w:ascii="Book Antiqua" w:hAnsi="Book Antiqua" w:cs="Arial"/>
          <w:color w:val="000000" w:themeColor="text1"/>
          <w:sz w:val="24"/>
          <w:szCs w:val="24"/>
          <w:vertAlign w:val="superscript"/>
        </w:rPr>
        <w:t>6</w:t>
      </w:r>
      <w:r w:rsidRPr="0028500E">
        <w:rPr>
          <w:rFonts w:ascii="Book Antiqua" w:hAnsi="Book Antiqua" w:cs="Arial"/>
          <w:color w:val="000000" w:themeColor="text1"/>
          <w:sz w:val="24"/>
          <w:szCs w:val="24"/>
          <w:vertAlign w:val="superscript"/>
        </w:rPr>
        <w:t>,</w:t>
      </w:r>
      <w:r w:rsidR="00F75022" w:rsidRPr="0028500E">
        <w:rPr>
          <w:rFonts w:ascii="Book Antiqua" w:hAnsi="Book Antiqua" w:cs="Arial"/>
          <w:color w:val="000000" w:themeColor="text1"/>
          <w:sz w:val="24"/>
          <w:szCs w:val="24"/>
          <w:vertAlign w:val="superscript"/>
        </w:rPr>
        <w:t>91</w:t>
      </w:r>
      <w:r w:rsidRPr="0028500E">
        <w:rPr>
          <w:rFonts w:ascii="Book Antiqua" w:hAnsi="Book Antiqua" w:cs="Arial"/>
          <w:color w:val="000000" w:themeColor="text1"/>
          <w:sz w:val="24"/>
          <w:szCs w:val="24"/>
          <w:vertAlign w:val="superscript"/>
        </w:rPr>
        <w:t>]</w:t>
      </w:r>
      <w:r w:rsidR="00F107FA" w:rsidRPr="0028500E">
        <w:rPr>
          <w:rFonts w:ascii="Book Antiqua" w:hAnsi="Book Antiqua" w:cs="Arial"/>
          <w:color w:val="000000" w:themeColor="text1"/>
          <w:sz w:val="24"/>
          <w:szCs w:val="24"/>
        </w:rPr>
        <w:t xml:space="preserve"> because EUS-FNA for small </w:t>
      </w:r>
      <w:r w:rsidR="00F107FA" w:rsidRPr="0028500E">
        <w:rPr>
          <w:rFonts w:ascii="Book Antiqua" w:hAnsi="Book Antiqua" w:cs="Arial"/>
          <w:color w:val="000000" w:themeColor="text1"/>
          <w:sz w:val="24"/>
          <w:szCs w:val="24"/>
        </w:rPr>
        <w:lastRenderedPageBreak/>
        <w:t>SELs</w:t>
      </w:r>
      <w:r w:rsidR="0005791D" w:rsidRPr="0028500E">
        <w:rPr>
          <w:rFonts w:ascii="Book Antiqua" w:hAnsi="Book Antiqua" w:cs="Arial"/>
          <w:color w:val="000000" w:themeColor="text1"/>
          <w:sz w:val="24"/>
          <w:szCs w:val="24"/>
        </w:rPr>
        <w:t xml:space="preserve"> of</w:t>
      </w:r>
      <w:r w:rsidR="00A303EB" w:rsidRPr="0028500E">
        <w:rPr>
          <w:rFonts w:ascii="Book Antiqua" w:hAnsi="Book Antiqua" w:cs="Arial"/>
          <w:color w:val="000000" w:themeColor="text1"/>
          <w:sz w:val="24"/>
          <w:szCs w:val="24"/>
        </w:rPr>
        <w:t xml:space="preserve"> </w:t>
      </w:r>
      <w:r w:rsidR="00F107FA" w:rsidRPr="0028500E">
        <w:rPr>
          <w:rFonts w:ascii="Book Antiqua" w:hAnsi="Book Antiqua" w:cs="Arial"/>
          <w:color w:val="000000" w:themeColor="text1"/>
          <w:sz w:val="24"/>
          <w:szCs w:val="24"/>
        </w:rPr>
        <w:t>&lt;</w:t>
      </w:r>
      <w:r w:rsidR="00CF198E" w:rsidRPr="0028500E">
        <w:rPr>
          <w:rFonts w:ascii="Book Antiqua" w:eastAsia="SimSun" w:hAnsi="Book Antiqua" w:cs="Arial"/>
          <w:color w:val="000000" w:themeColor="text1"/>
          <w:sz w:val="24"/>
          <w:szCs w:val="24"/>
          <w:lang w:eastAsia="zh-CN"/>
        </w:rPr>
        <w:t xml:space="preserve"> </w:t>
      </w:r>
      <w:r w:rsidR="00F107FA" w:rsidRPr="0028500E">
        <w:rPr>
          <w:rFonts w:ascii="Book Antiqua" w:hAnsi="Book Antiqua" w:cs="Arial"/>
          <w:color w:val="000000" w:themeColor="text1"/>
          <w:sz w:val="24"/>
          <w:szCs w:val="24"/>
        </w:rPr>
        <w:t>1</w:t>
      </w:r>
      <w:r w:rsidR="00A303EB" w:rsidRPr="0028500E">
        <w:rPr>
          <w:rFonts w:ascii="Book Antiqua" w:hAnsi="Book Antiqua" w:cs="Arial"/>
          <w:color w:val="000000" w:themeColor="text1"/>
          <w:sz w:val="24"/>
          <w:szCs w:val="24"/>
        </w:rPr>
        <w:t xml:space="preserve"> </w:t>
      </w:r>
      <w:r w:rsidR="00F107FA" w:rsidRPr="0028500E">
        <w:rPr>
          <w:rFonts w:ascii="Book Antiqua" w:hAnsi="Book Antiqua" w:cs="Arial"/>
          <w:color w:val="000000" w:themeColor="text1"/>
          <w:sz w:val="24"/>
          <w:szCs w:val="24"/>
        </w:rPr>
        <w:t>cm is technically difficult</w:t>
      </w:r>
      <w:r w:rsidRPr="0028500E">
        <w:rPr>
          <w:rFonts w:ascii="Book Antiqua" w:hAnsi="Book Antiqua" w:cs="Arial"/>
          <w:color w:val="000000" w:themeColor="text1"/>
          <w:sz w:val="24"/>
          <w:szCs w:val="24"/>
        </w:rPr>
        <w:t>.</w:t>
      </w:r>
      <w:bookmarkEnd w:id="45"/>
      <w:r w:rsidRPr="0028500E">
        <w:rPr>
          <w:rFonts w:ascii="Book Antiqua" w:hAnsi="Book Antiqua" w:cs="Arial"/>
          <w:color w:val="000000" w:themeColor="text1"/>
          <w:sz w:val="24"/>
          <w:szCs w:val="24"/>
        </w:rPr>
        <w:t xml:space="preserve"> These aggressive approaches for early diagnosis and early treatment of small SELs, similar to the approaches for gastrointestinal tract cancer, seem to be the only promising way to improve patients’ quality of life and prognosis.</w:t>
      </w:r>
    </w:p>
    <w:p w14:paraId="6EDFB7D6" w14:textId="77777777" w:rsidR="001D7B24" w:rsidRPr="0028500E" w:rsidRDefault="001D7B24" w:rsidP="001E53AA">
      <w:pPr>
        <w:snapToGrid w:val="0"/>
        <w:spacing w:line="360" w:lineRule="auto"/>
        <w:rPr>
          <w:rFonts w:ascii="Book Antiqua" w:hAnsi="Book Antiqua" w:cs="Arial"/>
          <w:color w:val="000000" w:themeColor="text1"/>
          <w:sz w:val="24"/>
          <w:szCs w:val="24"/>
          <w:lang w:val="en"/>
        </w:rPr>
      </w:pPr>
    </w:p>
    <w:p w14:paraId="5010754E" w14:textId="77777777" w:rsidR="005E6A77" w:rsidRPr="0028500E" w:rsidRDefault="001D7B24" w:rsidP="001E53AA">
      <w:pPr>
        <w:snapToGrid w:val="0"/>
        <w:spacing w:line="360" w:lineRule="auto"/>
        <w:rPr>
          <w:rFonts w:ascii="Book Antiqua" w:eastAsia="SimSun" w:hAnsi="Book Antiqua" w:cs="Arial"/>
          <w:b/>
          <w:caps/>
          <w:color w:val="000000" w:themeColor="text1"/>
          <w:sz w:val="24"/>
          <w:szCs w:val="24"/>
          <w:lang w:val="en" w:eastAsia="zh-CN"/>
        </w:rPr>
      </w:pPr>
      <w:r w:rsidRPr="0028500E">
        <w:rPr>
          <w:rFonts w:ascii="Book Antiqua" w:hAnsi="Book Antiqua" w:cs="Arial"/>
          <w:b/>
          <w:caps/>
          <w:color w:val="000000" w:themeColor="text1"/>
          <w:sz w:val="24"/>
          <w:szCs w:val="24"/>
          <w:lang w:val="en"/>
        </w:rPr>
        <w:t>Conclusion</w:t>
      </w:r>
      <w:r w:rsidR="00D17603" w:rsidRPr="0028500E">
        <w:rPr>
          <w:rFonts w:ascii="Book Antiqua" w:hAnsi="Book Antiqua" w:cs="Arial"/>
          <w:b/>
          <w:caps/>
          <w:color w:val="000000" w:themeColor="text1"/>
          <w:sz w:val="24"/>
          <w:szCs w:val="24"/>
          <w:lang w:val="en"/>
        </w:rPr>
        <w:t xml:space="preserve"> </w:t>
      </w:r>
    </w:p>
    <w:p w14:paraId="7FD80572" w14:textId="227102DC" w:rsidR="00D17603" w:rsidRPr="0028500E" w:rsidRDefault="00253F87" w:rsidP="001E53AA">
      <w:pPr>
        <w:snapToGrid w:val="0"/>
        <w:spacing w:line="360" w:lineRule="auto"/>
        <w:rPr>
          <w:rFonts w:ascii="Book Antiqua" w:hAnsi="Book Antiqua" w:cs="Arial"/>
          <w:b/>
          <w:caps/>
          <w:color w:val="000000" w:themeColor="text1"/>
          <w:sz w:val="24"/>
          <w:szCs w:val="24"/>
          <w:lang w:val="en"/>
        </w:rPr>
      </w:pPr>
      <w:r w:rsidRPr="0028500E">
        <w:rPr>
          <w:rFonts w:ascii="Book Antiqua" w:hAnsi="Book Antiqua"/>
          <w:color w:val="000000" w:themeColor="text1"/>
          <w:sz w:val="24"/>
          <w:szCs w:val="24"/>
        </w:rPr>
        <w:t>GISTs are the most common malignant SELs of the digestive tract. According to previous studies, early histologic diagnosis and early surgical resection of small localized disease is currently the most reliable and curative treatment technique for GISTs. However, sufficient prospective studies including small GISTs have not been performed to improve the current clinical GIST management. Further studies are needed to focus on early tissue diagnosis and therapeutic approaches, especially for small SELs.</w:t>
      </w:r>
    </w:p>
    <w:p w14:paraId="52C0AA84" w14:textId="445A67EA" w:rsidR="006E4527" w:rsidRPr="0028500E" w:rsidRDefault="006E4527" w:rsidP="001E53AA">
      <w:pPr>
        <w:snapToGrid w:val="0"/>
        <w:spacing w:line="360" w:lineRule="auto"/>
        <w:rPr>
          <w:rFonts w:ascii="Book Antiqua" w:hAnsi="Book Antiqua" w:cs="Arial"/>
          <w:b/>
          <w:caps/>
          <w:color w:val="000000" w:themeColor="text1"/>
          <w:sz w:val="24"/>
          <w:szCs w:val="24"/>
        </w:rPr>
      </w:pPr>
    </w:p>
    <w:p w14:paraId="48752A7F" w14:textId="77777777" w:rsidR="006E4527" w:rsidRPr="0028500E" w:rsidRDefault="006E4527" w:rsidP="001E53AA">
      <w:pPr>
        <w:widowControl/>
        <w:snapToGrid w:val="0"/>
        <w:spacing w:line="360" w:lineRule="auto"/>
        <w:rPr>
          <w:rFonts w:ascii="Book Antiqua" w:eastAsia="MS Gothic" w:hAnsi="Book Antiqua"/>
          <w:b/>
          <w:color w:val="000000" w:themeColor="text1"/>
          <w:sz w:val="24"/>
          <w:szCs w:val="24"/>
        </w:rPr>
      </w:pPr>
      <w:r w:rsidRPr="0028500E">
        <w:rPr>
          <w:rFonts w:ascii="Book Antiqua" w:eastAsia="MS Gothic" w:hAnsi="Book Antiqua"/>
          <w:b/>
          <w:color w:val="000000" w:themeColor="text1"/>
          <w:sz w:val="24"/>
          <w:szCs w:val="24"/>
        </w:rPr>
        <w:br w:type="page"/>
      </w:r>
    </w:p>
    <w:p w14:paraId="1BDA344C" w14:textId="77777777" w:rsidR="006B41C3" w:rsidRPr="0028500E" w:rsidRDefault="006B41C3" w:rsidP="001E53AA">
      <w:pPr>
        <w:pStyle w:val="BodyTextIndent"/>
        <w:snapToGrid w:val="0"/>
        <w:spacing w:line="360" w:lineRule="auto"/>
        <w:ind w:left="840" w:right="44"/>
        <w:jc w:val="both"/>
        <w:rPr>
          <w:rFonts w:ascii="Book Antiqua" w:hAnsi="Book Antiqua"/>
          <w:b/>
          <w:color w:val="000000" w:themeColor="text1"/>
          <w:szCs w:val="24"/>
        </w:rPr>
      </w:pPr>
      <w:r w:rsidRPr="0028500E">
        <w:rPr>
          <w:rFonts w:ascii="Book Antiqua" w:hAnsi="Book Antiqua"/>
          <w:b/>
          <w:color w:val="000000" w:themeColor="text1"/>
          <w:szCs w:val="24"/>
        </w:rPr>
        <w:lastRenderedPageBreak/>
        <w:t>REFERENCES</w:t>
      </w:r>
    </w:p>
    <w:p w14:paraId="7494D7F2" w14:textId="12930009"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1 </w:t>
      </w:r>
      <w:r w:rsidRPr="0028500E">
        <w:rPr>
          <w:rFonts w:ascii="Book Antiqua" w:hAnsi="Book Antiqua"/>
          <w:b/>
          <w:sz w:val="24"/>
          <w:szCs w:val="24"/>
        </w:rPr>
        <w:t>Miettinen M</w:t>
      </w:r>
      <w:r w:rsidRPr="0028500E">
        <w:rPr>
          <w:rFonts w:ascii="Book Antiqua" w:hAnsi="Book Antiqua"/>
          <w:sz w:val="24"/>
          <w:szCs w:val="24"/>
        </w:rPr>
        <w:t xml:space="preserve">, Lasota J. Gastrointestinal stromal tumors: review on morphology, molecular pathology, prognosis, and differential diagnosis. </w:t>
      </w:r>
      <w:r w:rsidRPr="0028500E">
        <w:rPr>
          <w:rFonts w:ascii="Book Antiqua" w:hAnsi="Book Antiqua"/>
          <w:i/>
          <w:sz w:val="24"/>
          <w:szCs w:val="24"/>
        </w:rPr>
        <w:t>Arch Pathol Lab Med</w:t>
      </w:r>
      <w:r w:rsidRPr="0028500E">
        <w:rPr>
          <w:rFonts w:ascii="Book Antiqua" w:hAnsi="Book Antiqua"/>
          <w:sz w:val="24"/>
          <w:szCs w:val="24"/>
        </w:rPr>
        <w:t xml:space="preserve"> 2006; </w:t>
      </w:r>
      <w:r w:rsidRPr="0028500E">
        <w:rPr>
          <w:rFonts w:ascii="Book Antiqua" w:hAnsi="Book Antiqua"/>
          <w:b/>
          <w:sz w:val="24"/>
          <w:szCs w:val="24"/>
        </w:rPr>
        <w:t>130</w:t>
      </w:r>
      <w:r w:rsidRPr="0028500E">
        <w:rPr>
          <w:rFonts w:ascii="Book Antiqua" w:hAnsi="Book Antiqua"/>
          <w:sz w:val="24"/>
          <w:szCs w:val="24"/>
        </w:rPr>
        <w:t>: 1466-1478 [PMID: 17090188 DOI: 10.1043/1543-2165(2006)130[1466:GSTROM]2.0.CO;2]</w:t>
      </w:r>
    </w:p>
    <w:p w14:paraId="0D2D52E8"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2 </w:t>
      </w:r>
      <w:r w:rsidRPr="0028500E">
        <w:rPr>
          <w:rFonts w:ascii="Book Antiqua" w:hAnsi="Book Antiqua"/>
          <w:b/>
          <w:sz w:val="24"/>
          <w:szCs w:val="24"/>
        </w:rPr>
        <w:t>Rubin BP</w:t>
      </w:r>
      <w:r w:rsidRPr="0028500E">
        <w:rPr>
          <w:rFonts w:ascii="Book Antiqua" w:hAnsi="Book Antiqua"/>
          <w:sz w:val="24"/>
          <w:szCs w:val="24"/>
        </w:rPr>
        <w:t xml:space="preserve">, Heinrich MC, Corless CL. Gastrointestinal stromal tumour. </w:t>
      </w:r>
      <w:r w:rsidRPr="0028500E">
        <w:rPr>
          <w:rFonts w:ascii="Book Antiqua" w:hAnsi="Book Antiqua"/>
          <w:i/>
          <w:sz w:val="24"/>
          <w:szCs w:val="24"/>
        </w:rPr>
        <w:t>Lancet</w:t>
      </w:r>
      <w:r w:rsidRPr="0028500E">
        <w:rPr>
          <w:rFonts w:ascii="Book Antiqua" w:hAnsi="Book Antiqua"/>
          <w:sz w:val="24"/>
          <w:szCs w:val="24"/>
        </w:rPr>
        <w:t xml:space="preserve"> 2007; </w:t>
      </w:r>
      <w:r w:rsidRPr="0028500E">
        <w:rPr>
          <w:rFonts w:ascii="Book Antiqua" w:hAnsi="Book Antiqua"/>
          <w:b/>
          <w:sz w:val="24"/>
          <w:szCs w:val="24"/>
        </w:rPr>
        <w:t>369</w:t>
      </w:r>
      <w:r w:rsidRPr="0028500E">
        <w:rPr>
          <w:rFonts w:ascii="Book Antiqua" w:hAnsi="Book Antiqua"/>
          <w:sz w:val="24"/>
          <w:szCs w:val="24"/>
        </w:rPr>
        <w:t>: 1731-1741 [PMID: 17512858]</w:t>
      </w:r>
    </w:p>
    <w:p w14:paraId="1ED248A7"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3 </w:t>
      </w:r>
      <w:r w:rsidRPr="0028500E">
        <w:rPr>
          <w:rFonts w:ascii="Book Antiqua" w:hAnsi="Book Antiqua"/>
          <w:b/>
          <w:sz w:val="24"/>
          <w:szCs w:val="24"/>
        </w:rPr>
        <w:t>Kindblom LG</w:t>
      </w:r>
      <w:r w:rsidRPr="0028500E">
        <w:rPr>
          <w:rFonts w:ascii="Book Antiqua" w:hAnsi="Book Antiqua"/>
          <w:sz w:val="24"/>
          <w:szCs w:val="24"/>
        </w:rPr>
        <w:t xml:space="preserve">, Remotti HE, Aldenborg F, Meis-Kindblom JM. Gastrointestinal pacemaker cell tumor (GIPACT): gastrointestinal stromal tumors show phenotypic characteristics of the interstitial cells of Cajal. </w:t>
      </w:r>
      <w:r w:rsidRPr="0028500E">
        <w:rPr>
          <w:rFonts w:ascii="Book Antiqua" w:hAnsi="Book Antiqua"/>
          <w:i/>
          <w:sz w:val="24"/>
          <w:szCs w:val="24"/>
        </w:rPr>
        <w:t>Am J Pathol</w:t>
      </w:r>
      <w:r w:rsidRPr="0028500E">
        <w:rPr>
          <w:rFonts w:ascii="Book Antiqua" w:hAnsi="Book Antiqua"/>
          <w:sz w:val="24"/>
          <w:szCs w:val="24"/>
        </w:rPr>
        <w:t xml:space="preserve"> 1998; </w:t>
      </w:r>
      <w:r w:rsidRPr="0028500E">
        <w:rPr>
          <w:rFonts w:ascii="Book Antiqua" w:hAnsi="Book Antiqua"/>
          <w:b/>
          <w:sz w:val="24"/>
          <w:szCs w:val="24"/>
        </w:rPr>
        <w:t>152</w:t>
      </w:r>
      <w:r w:rsidRPr="0028500E">
        <w:rPr>
          <w:rFonts w:ascii="Book Antiqua" w:hAnsi="Book Antiqua"/>
          <w:sz w:val="24"/>
          <w:szCs w:val="24"/>
        </w:rPr>
        <w:t>: 1259-1269 [PMID: 9588894]</w:t>
      </w:r>
    </w:p>
    <w:p w14:paraId="0439F541"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4 </w:t>
      </w:r>
      <w:r w:rsidRPr="0028500E">
        <w:rPr>
          <w:rFonts w:ascii="Book Antiqua" w:hAnsi="Book Antiqua"/>
          <w:b/>
          <w:sz w:val="24"/>
          <w:szCs w:val="24"/>
        </w:rPr>
        <w:t>Hirota S</w:t>
      </w:r>
      <w:r w:rsidRPr="0028500E">
        <w:rPr>
          <w:rFonts w:ascii="Book Antiqua" w:hAnsi="Book Antiqua"/>
          <w:sz w:val="24"/>
          <w:szCs w:val="24"/>
        </w:rPr>
        <w:t xml:space="preserve">, Isozaki K, Moriyama Y, Hashimoto K, Nishida T, Ishiguro S, Kawano K, Hanada M, Kurata A, Takeda M, Muhammad Tunio G, Matsuzawa Y, Kanakura Y, Shinomura Y, Kitamura Y. Gain-of-function mutations of c-kit in human gastrointestinal stromal tumors. </w:t>
      </w:r>
      <w:r w:rsidRPr="0028500E">
        <w:rPr>
          <w:rFonts w:ascii="Book Antiqua" w:hAnsi="Book Antiqua"/>
          <w:i/>
          <w:sz w:val="24"/>
          <w:szCs w:val="24"/>
        </w:rPr>
        <w:t>Science</w:t>
      </w:r>
      <w:r w:rsidRPr="0028500E">
        <w:rPr>
          <w:rFonts w:ascii="Book Antiqua" w:hAnsi="Book Antiqua"/>
          <w:sz w:val="24"/>
          <w:szCs w:val="24"/>
        </w:rPr>
        <w:t xml:space="preserve"> 1998; </w:t>
      </w:r>
      <w:r w:rsidRPr="0028500E">
        <w:rPr>
          <w:rFonts w:ascii="Book Antiqua" w:hAnsi="Book Antiqua"/>
          <w:b/>
          <w:sz w:val="24"/>
          <w:szCs w:val="24"/>
        </w:rPr>
        <w:t>279</w:t>
      </w:r>
      <w:r w:rsidRPr="0028500E">
        <w:rPr>
          <w:rFonts w:ascii="Book Antiqua" w:hAnsi="Book Antiqua"/>
          <w:sz w:val="24"/>
          <w:szCs w:val="24"/>
        </w:rPr>
        <w:t>: 577-580 [PMID: 9438854 DOI: 10.1126/science.279.5350.577]</w:t>
      </w:r>
    </w:p>
    <w:p w14:paraId="3E827623"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5 </w:t>
      </w:r>
      <w:r w:rsidRPr="0028500E">
        <w:rPr>
          <w:rFonts w:ascii="Book Antiqua" w:hAnsi="Book Antiqua"/>
          <w:b/>
          <w:sz w:val="24"/>
          <w:szCs w:val="24"/>
        </w:rPr>
        <w:t>Heinrich MC</w:t>
      </w:r>
      <w:r w:rsidRPr="0028500E">
        <w:rPr>
          <w:rFonts w:ascii="Book Antiqua" w:hAnsi="Book Antiqua"/>
          <w:sz w:val="24"/>
          <w:szCs w:val="24"/>
        </w:rPr>
        <w:t xml:space="preserve">, Corless CL, Duensing A, McGreevey L, Chen CJ, Joseph N, Singer S, Griffith DJ, Haley A, Town A, Demetri GD, Fletcher CD, Fletcher JA. PDGFRA activating mutations in gastrointestinal stromal tumors. </w:t>
      </w:r>
      <w:r w:rsidRPr="0028500E">
        <w:rPr>
          <w:rFonts w:ascii="Book Antiqua" w:hAnsi="Book Antiqua"/>
          <w:i/>
          <w:sz w:val="24"/>
          <w:szCs w:val="24"/>
        </w:rPr>
        <w:t>Science</w:t>
      </w:r>
      <w:r w:rsidRPr="0028500E">
        <w:rPr>
          <w:rFonts w:ascii="Book Antiqua" w:hAnsi="Book Antiqua"/>
          <w:sz w:val="24"/>
          <w:szCs w:val="24"/>
        </w:rPr>
        <w:t xml:space="preserve"> 2003; </w:t>
      </w:r>
      <w:r w:rsidRPr="0028500E">
        <w:rPr>
          <w:rFonts w:ascii="Book Antiqua" w:hAnsi="Book Antiqua"/>
          <w:b/>
          <w:sz w:val="24"/>
          <w:szCs w:val="24"/>
        </w:rPr>
        <w:t>299</w:t>
      </w:r>
      <w:r w:rsidRPr="0028500E">
        <w:rPr>
          <w:rFonts w:ascii="Book Antiqua" w:hAnsi="Book Antiqua"/>
          <w:sz w:val="24"/>
          <w:szCs w:val="24"/>
        </w:rPr>
        <w:t>: 708-710 [PMID: 12522257 DOI: 10.1126/science.1079666]</w:t>
      </w:r>
    </w:p>
    <w:p w14:paraId="2DFAE70C"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6 </w:t>
      </w:r>
      <w:r w:rsidRPr="0028500E">
        <w:rPr>
          <w:rFonts w:ascii="Book Antiqua" w:hAnsi="Book Antiqua"/>
          <w:b/>
          <w:sz w:val="24"/>
          <w:szCs w:val="24"/>
        </w:rPr>
        <w:t>Miettinen M</w:t>
      </w:r>
      <w:r w:rsidRPr="0028500E">
        <w:rPr>
          <w:rFonts w:ascii="Book Antiqua" w:hAnsi="Book Antiqua"/>
          <w:sz w:val="24"/>
          <w:szCs w:val="24"/>
        </w:rPr>
        <w:t xml:space="preserve">, Sobin LH, Lasota J. Gastrointestinal stromal tumors of the stomach: a clinicopathologic, immunohistochemical, and molecular genetic study of 1765 cases with long-term follow-up. </w:t>
      </w:r>
      <w:r w:rsidRPr="0028500E">
        <w:rPr>
          <w:rFonts w:ascii="Book Antiqua" w:hAnsi="Book Antiqua"/>
          <w:i/>
          <w:sz w:val="24"/>
          <w:szCs w:val="24"/>
        </w:rPr>
        <w:t>Am J Surg Pathol</w:t>
      </w:r>
      <w:r w:rsidRPr="0028500E">
        <w:rPr>
          <w:rFonts w:ascii="Book Antiqua" w:hAnsi="Book Antiqua"/>
          <w:sz w:val="24"/>
          <w:szCs w:val="24"/>
        </w:rPr>
        <w:t xml:space="preserve"> 2005; </w:t>
      </w:r>
      <w:r w:rsidRPr="0028500E">
        <w:rPr>
          <w:rFonts w:ascii="Book Antiqua" w:hAnsi="Book Antiqua"/>
          <w:b/>
          <w:sz w:val="24"/>
          <w:szCs w:val="24"/>
        </w:rPr>
        <w:t>29</w:t>
      </w:r>
      <w:r w:rsidRPr="0028500E">
        <w:rPr>
          <w:rFonts w:ascii="Book Antiqua" w:hAnsi="Book Antiqua"/>
          <w:sz w:val="24"/>
          <w:szCs w:val="24"/>
        </w:rPr>
        <w:t>: 52-68 [PMID: 15613856 DOI: 10.1097/01.pas.0000146010.92933.de]</w:t>
      </w:r>
    </w:p>
    <w:p w14:paraId="0D7E7208"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7 </w:t>
      </w:r>
      <w:r w:rsidRPr="0028500E">
        <w:rPr>
          <w:rFonts w:ascii="Book Antiqua" w:hAnsi="Book Antiqua"/>
          <w:b/>
          <w:sz w:val="24"/>
          <w:szCs w:val="24"/>
        </w:rPr>
        <w:t>Joensuu H</w:t>
      </w:r>
      <w:r w:rsidRPr="0028500E">
        <w:rPr>
          <w:rFonts w:ascii="Book Antiqua" w:hAnsi="Book Antiqua"/>
          <w:sz w:val="24"/>
          <w:szCs w:val="24"/>
        </w:rPr>
        <w:t xml:space="preserve">. Risk stratification of patients diagnosed with gastrointestinal stromal tumor. </w:t>
      </w:r>
      <w:r w:rsidRPr="0028500E">
        <w:rPr>
          <w:rFonts w:ascii="Book Antiqua" w:hAnsi="Book Antiqua"/>
          <w:i/>
          <w:sz w:val="24"/>
          <w:szCs w:val="24"/>
        </w:rPr>
        <w:t>Hum Pathol</w:t>
      </w:r>
      <w:r w:rsidRPr="0028500E">
        <w:rPr>
          <w:rFonts w:ascii="Book Antiqua" w:hAnsi="Book Antiqua"/>
          <w:sz w:val="24"/>
          <w:szCs w:val="24"/>
        </w:rPr>
        <w:t xml:space="preserve"> 2008; </w:t>
      </w:r>
      <w:r w:rsidRPr="0028500E">
        <w:rPr>
          <w:rFonts w:ascii="Book Antiqua" w:hAnsi="Book Antiqua"/>
          <w:b/>
          <w:sz w:val="24"/>
          <w:szCs w:val="24"/>
        </w:rPr>
        <w:t>39</w:t>
      </w:r>
      <w:r w:rsidRPr="0028500E">
        <w:rPr>
          <w:rFonts w:ascii="Book Antiqua" w:hAnsi="Book Antiqua"/>
          <w:sz w:val="24"/>
          <w:szCs w:val="24"/>
        </w:rPr>
        <w:t>: 1411-1419 [PMID: 18774375 DOI: 10.1016/j.humpath.2008.06.025]</w:t>
      </w:r>
    </w:p>
    <w:p w14:paraId="46E95900"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8 </w:t>
      </w:r>
      <w:r w:rsidRPr="0028500E">
        <w:rPr>
          <w:rFonts w:ascii="Book Antiqua" w:hAnsi="Book Antiqua"/>
          <w:b/>
          <w:sz w:val="24"/>
          <w:szCs w:val="24"/>
        </w:rPr>
        <w:t>Nishida T</w:t>
      </w:r>
      <w:r w:rsidRPr="0028500E">
        <w:rPr>
          <w:rFonts w:ascii="Book Antiqua" w:hAnsi="Book Antiqua"/>
          <w:sz w:val="24"/>
          <w:szCs w:val="24"/>
        </w:rPr>
        <w:t xml:space="preserve">, Blay JY, Hirota S, Kitagawa Y, Kang YK. The standard diagnosis, treatment, and follow-up of gastrointestinal stromal tumors based on guidelines. </w:t>
      </w:r>
      <w:r w:rsidRPr="0028500E">
        <w:rPr>
          <w:rFonts w:ascii="Book Antiqua" w:hAnsi="Book Antiqua"/>
          <w:i/>
          <w:sz w:val="24"/>
          <w:szCs w:val="24"/>
        </w:rPr>
        <w:t>Gastric Cancer</w:t>
      </w:r>
      <w:r w:rsidRPr="0028500E">
        <w:rPr>
          <w:rFonts w:ascii="Book Antiqua" w:hAnsi="Book Antiqua"/>
          <w:sz w:val="24"/>
          <w:szCs w:val="24"/>
        </w:rPr>
        <w:t xml:space="preserve"> 2016; </w:t>
      </w:r>
      <w:r w:rsidRPr="0028500E">
        <w:rPr>
          <w:rFonts w:ascii="Book Antiqua" w:hAnsi="Book Antiqua"/>
          <w:b/>
          <w:sz w:val="24"/>
          <w:szCs w:val="24"/>
        </w:rPr>
        <w:t>19</w:t>
      </w:r>
      <w:r w:rsidRPr="0028500E">
        <w:rPr>
          <w:rFonts w:ascii="Book Antiqua" w:hAnsi="Book Antiqua"/>
          <w:sz w:val="24"/>
          <w:szCs w:val="24"/>
        </w:rPr>
        <w:t>: 3-14 [PMID: 26276366 DOI: 10.1007/s10120-015-0526-8]</w:t>
      </w:r>
    </w:p>
    <w:p w14:paraId="01082268"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lastRenderedPageBreak/>
        <w:t xml:space="preserve">9 </w:t>
      </w:r>
      <w:r w:rsidRPr="0028500E">
        <w:rPr>
          <w:rFonts w:ascii="Book Antiqua" w:hAnsi="Book Antiqua"/>
          <w:b/>
          <w:sz w:val="24"/>
          <w:szCs w:val="24"/>
        </w:rPr>
        <w:t>Plaat BE</w:t>
      </w:r>
      <w:r w:rsidRPr="0028500E">
        <w:rPr>
          <w:rFonts w:ascii="Book Antiqua" w:hAnsi="Book Antiqua"/>
          <w:sz w:val="24"/>
          <w:szCs w:val="24"/>
        </w:rPr>
        <w:t xml:space="preserve">, Hollema H, Molenaar WM, Torn Broers GH, Pijpe J, Mastik MF, Hoekstra HJ, van den Berg E, Scheper RJ, van der Graaf WT. Soft tissue leiomyosarcomas and malignant gastrointestinal stromal tumors: differences in clinical outcome and expression of multidrug resistance proteins. </w:t>
      </w:r>
      <w:r w:rsidRPr="0028500E">
        <w:rPr>
          <w:rFonts w:ascii="Book Antiqua" w:hAnsi="Book Antiqua"/>
          <w:i/>
          <w:sz w:val="24"/>
          <w:szCs w:val="24"/>
        </w:rPr>
        <w:t>J Clin Oncol</w:t>
      </w:r>
      <w:r w:rsidRPr="0028500E">
        <w:rPr>
          <w:rFonts w:ascii="Book Antiqua" w:hAnsi="Book Antiqua"/>
          <w:sz w:val="24"/>
          <w:szCs w:val="24"/>
        </w:rPr>
        <w:t xml:space="preserve"> 2000; </w:t>
      </w:r>
      <w:r w:rsidRPr="0028500E">
        <w:rPr>
          <w:rFonts w:ascii="Book Antiqua" w:hAnsi="Book Antiqua"/>
          <w:b/>
          <w:sz w:val="24"/>
          <w:szCs w:val="24"/>
        </w:rPr>
        <w:t>18</w:t>
      </w:r>
      <w:r w:rsidRPr="0028500E">
        <w:rPr>
          <w:rFonts w:ascii="Book Antiqua" w:hAnsi="Book Antiqua"/>
          <w:sz w:val="24"/>
          <w:szCs w:val="24"/>
        </w:rPr>
        <w:t>: 3211-3220 [PMID: 10986053 DOI: 10.1200/JCO.2000.18.18.3211]</w:t>
      </w:r>
    </w:p>
    <w:p w14:paraId="301C953F"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10 </w:t>
      </w:r>
      <w:r w:rsidRPr="0028500E">
        <w:rPr>
          <w:rFonts w:ascii="Book Antiqua" w:hAnsi="Book Antiqua"/>
          <w:b/>
          <w:sz w:val="24"/>
          <w:szCs w:val="24"/>
        </w:rPr>
        <w:t>Demetri GD</w:t>
      </w:r>
      <w:r w:rsidRPr="0028500E">
        <w:rPr>
          <w:rFonts w:ascii="Book Antiqua" w:hAnsi="Book Antiqua"/>
          <w:sz w:val="24"/>
          <w:szCs w:val="24"/>
        </w:rPr>
        <w:t xml:space="preserve">, von Mehren M, Blanke CD, Van den Abbeele AD, Eisenberg B, Roberts PJ, Heinrich MC, Tuveson DA, Singer S, Janicek M, Fletcher JA, Silverman SG, Silberman SL, Capdeville R, Kiese B, Peng B, Dimitrijevic S, Druker BJ, Corless C, Fletcher CD, Joensuu H. Efficacy and safety of imatinib mesylate in advanced gastrointestinal stromal tumors. </w:t>
      </w:r>
      <w:r w:rsidRPr="0028500E">
        <w:rPr>
          <w:rFonts w:ascii="Book Antiqua" w:hAnsi="Book Antiqua"/>
          <w:i/>
          <w:sz w:val="24"/>
          <w:szCs w:val="24"/>
        </w:rPr>
        <w:t>N Engl J Med</w:t>
      </w:r>
      <w:r w:rsidRPr="0028500E">
        <w:rPr>
          <w:rFonts w:ascii="Book Antiqua" w:hAnsi="Book Antiqua"/>
          <w:sz w:val="24"/>
          <w:szCs w:val="24"/>
        </w:rPr>
        <w:t xml:space="preserve"> 2002; </w:t>
      </w:r>
      <w:r w:rsidRPr="0028500E">
        <w:rPr>
          <w:rFonts w:ascii="Book Antiqua" w:hAnsi="Book Antiqua"/>
          <w:b/>
          <w:sz w:val="24"/>
          <w:szCs w:val="24"/>
        </w:rPr>
        <w:t>347</w:t>
      </w:r>
      <w:r w:rsidRPr="0028500E">
        <w:rPr>
          <w:rFonts w:ascii="Book Antiqua" w:hAnsi="Book Antiqua"/>
          <w:sz w:val="24"/>
          <w:szCs w:val="24"/>
        </w:rPr>
        <w:t>: 472-480 [PMID: 12181401 DOI: 10.1056/NEJMoa020461]</w:t>
      </w:r>
    </w:p>
    <w:p w14:paraId="539664D5" w14:textId="4E57168B"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11 </w:t>
      </w:r>
      <w:r w:rsidRPr="0028500E">
        <w:rPr>
          <w:rFonts w:ascii="Book Antiqua" w:hAnsi="Book Antiqua"/>
          <w:b/>
          <w:sz w:val="24"/>
          <w:szCs w:val="24"/>
        </w:rPr>
        <w:t>Blanke CD</w:t>
      </w:r>
      <w:r w:rsidRPr="0028500E">
        <w:rPr>
          <w:rFonts w:ascii="Book Antiqua" w:hAnsi="Book Antiqua"/>
          <w:sz w:val="24"/>
          <w:szCs w:val="24"/>
        </w:rPr>
        <w:t xml:space="preserve">, Demetri GD, von Mehren M, Heinrich MC, Eisenberg B, Fletcher JA, Corless CL, Fletcher CD, Roberts PJ, Heinz D, Wehre E, Nikolova Z, Joensuu H. Long-term results from a randomized phase II trial of standard- versus higher-dose imatinib mesylate for patients with unresectable or metastatic gastrointestinal stromal tumors expressing KIT. </w:t>
      </w:r>
      <w:r w:rsidRPr="0028500E">
        <w:rPr>
          <w:rFonts w:ascii="Book Antiqua" w:hAnsi="Book Antiqua"/>
          <w:i/>
          <w:sz w:val="24"/>
          <w:szCs w:val="24"/>
        </w:rPr>
        <w:t>J Clin Oncol</w:t>
      </w:r>
      <w:r w:rsidRPr="0028500E">
        <w:rPr>
          <w:rFonts w:ascii="Book Antiqua" w:hAnsi="Book Antiqua"/>
          <w:sz w:val="24"/>
          <w:szCs w:val="24"/>
        </w:rPr>
        <w:t xml:space="preserve"> 2008; </w:t>
      </w:r>
      <w:r w:rsidRPr="0028500E">
        <w:rPr>
          <w:rFonts w:ascii="Book Antiqua" w:hAnsi="Book Antiqua"/>
          <w:b/>
          <w:sz w:val="24"/>
          <w:szCs w:val="24"/>
        </w:rPr>
        <w:t>26</w:t>
      </w:r>
      <w:r w:rsidRPr="0028500E">
        <w:rPr>
          <w:rFonts w:ascii="Book Antiqua" w:hAnsi="Book Antiqua"/>
          <w:sz w:val="24"/>
          <w:szCs w:val="24"/>
        </w:rPr>
        <w:t xml:space="preserve">: 620-625 [PMID: 18235121 DOI: </w:t>
      </w:r>
      <w:r w:rsidR="00147788" w:rsidRPr="0028500E">
        <w:rPr>
          <w:rFonts w:ascii="Book Antiqua" w:hAnsi="Book Antiqua"/>
          <w:sz w:val="24"/>
          <w:szCs w:val="24"/>
        </w:rPr>
        <w:t>10.1200/JCO.2007.13.4403</w:t>
      </w:r>
      <w:r w:rsidRPr="0028500E">
        <w:rPr>
          <w:rFonts w:ascii="Book Antiqua" w:hAnsi="Book Antiqua"/>
          <w:sz w:val="24"/>
          <w:szCs w:val="24"/>
        </w:rPr>
        <w:t>]</w:t>
      </w:r>
    </w:p>
    <w:p w14:paraId="4BA727A4" w14:textId="08DF4AD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12 </w:t>
      </w:r>
      <w:r w:rsidRPr="0028500E">
        <w:rPr>
          <w:rFonts w:ascii="Book Antiqua" w:hAnsi="Book Antiqua"/>
          <w:b/>
          <w:sz w:val="24"/>
          <w:szCs w:val="24"/>
        </w:rPr>
        <w:t>Blanke CD</w:t>
      </w:r>
      <w:r w:rsidRPr="0028500E">
        <w:rPr>
          <w:rFonts w:ascii="Book Antiqua" w:hAnsi="Book Antiqua"/>
          <w:sz w:val="24"/>
          <w:szCs w:val="24"/>
        </w:rPr>
        <w:t xml:space="preserve">, Rankin C, Demetri GD, Ryan CW, von Mehren M, Benjamin RS, Raymond AK, Bramwell VH, Baker LH, Maki RG, Tanaka M, Hecht JR, Heinrich MC, Fletcher CD, Crowley JJ, Borden EC. Phase III randomized, intergroup trial assessing imatinib mesylate at two dose levels in patients with unresectable or metastatic gastrointestinal stromal tumors expressing the kit receptor tyrosine kinase: S0033. </w:t>
      </w:r>
      <w:r w:rsidRPr="0028500E">
        <w:rPr>
          <w:rFonts w:ascii="Book Antiqua" w:hAnsi="Book Antiqua"/>
          <w:i/>
          <w:sz w:val="24"/>
          <w:szCs w:val="24"/>
        </w:rPr>
        <w:t>J Clin Oncol</w:t>
      </w:r>
      <w:r w:rsidRPr="0028500E">
        <w:rPr>
          <w:rFonts w:ascii="Book Antiqua" w:hAnsi="Book Antiqua"/>
          <w:sz w:val="24"/>
          <w:szCs w:val="24"/>
        </w:rPr>
        <w:t xml:space="preserve"> 2008; </w:t>
      </w:r>
      <w:r w:rsidRPr="0028500E">
        <w:rPr>
          <w:rFonts w:ascii="Book Antiqua" w:hAnsi="Book Antiqua"/>
          <w:b/>
          <w:sz w:val="24"/>
          <w:szCs w:val="24"/>
        </w:rPr>
        <w:t>26</w:t>
      </w:r>
      <w:r w:rsidRPr="0028500E">
        <w:rPr>
          <w:rFonts w:ascii="Book Antiqua" w:hAnsi="Book Antiqua"/>
          <w:sz w:val="24"/>
          <w:szCs w:val="24"/>
        </w:rPr>
        <w:t xml:space="preserve">: 626-632 [PMID: 18235122 DOI: </w:t>
      </w:r>
      <w:r w:rsidR="006F5989" w:rsidRPr="0028500E">
        <w:rPr>
          <w:rFonts w:ascii="Book Antiqua" w:hAnsi="Book Antiqua"/>
          <w:sz w:val="24"/>
          <w:szCs w:val="24"/>
        </w:rPr>
        <w:t>10.1200/JCO.2007.13.4452</w:t>
      </w:r>
      <w:r w:rsidRPr="0028500E">
        <w:rPr>
          <w:rFonts w:ascii="Book Antiqua" w:hAnsi="Book Antiqua"/>
          <w:sz w:val="24"/>
          <w:szCs w:val="24"/>
        </w:rPr>
        <w:t>]</w:t>
      </w:r>
    </w:p>
    <w:p w14:paraId="66A8A228"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13 </w:t>
      </w:r>
      <w:r w:rsidRPr="0028500E">
        <w:rPr>
          <w:rFonts w:ascii="Book Antiqua" w:hAnsi="Book Antiqua"/>
          <w:b/>
          <w:sz w:val="24"/>
          <w:szCs w:val="24"/>
        </w:rPr>
        <w:t>Joensuu H</w:t>
      </w:r>
      <w:r w:rsidRPr="0028500E">
        <w:rPr>
          <w:rFonts w:ascii="Book Antiqua" w:hAnsi="Book Antiqua"/>
          <w:sz w:val="24"/>
          <w:szCs w:val="24"/>
        </w:rPr>
        <w:t xml:space="preserve">, Roberts PJ, Sarlomo-Rikala M, Andersson LC, Tervahartiala P, Tuveson D, Silberman S, Capdeville R, Dimitrijevic S, Druker B, Demetri GD. Effect of the tyrosine kinase inhibitor STI571 in a patient with a metastatic gastrointestinal stromal tumor. </w:t>
      </w:r>
      <w:r w:rsidRPr="0028500E">
        <w:rPr>
          <w:rFonts w:ascii="Book Antiqua" w:hAnsi="Book Antiqua"/>
          <w:i/>
          <w:sz w:val="24"/>
          <w:szCs w:val="24"/>
        </w:rPr>
        <w:t>N Engl J Med</w:t>
      </w:r>
      <w:r w:rsidRPr="0028500E">
        <w:rPr>
          <w:rFonts w:ascii="Book Antiqua" w:hAnsi="Book Antiqua"/>
          <w:sz w:val="24"/>
          <w:szCs w:val="24"/>
        </w:rPr>
        <w:t xml:space="preserve"> 2001; </w:t>
      </w:r>
      <w:r w:rsidRPr="0028500E">
        <w:rPr>
          <w:rFonts w:ascii="Book Antiqua" w:hAnsi="Book Antiqua"/>
          <w:b/>
          <w:sz w:val="24"/>
          <w:szCs w:val="24"/>
        </w:rPr>
        <w:t>344</w:t>
      </w:r>
      <w:r w:rsidRPr="0028500E">
        <w:rPr>
          <w:rFonts w:ascii="Book Antiqua" w:hAnsi="Book Antiqua"/>
          <w:sz w:val="24"/>
          <w:szCs w:val="24"/>
        </w:rPr>
        <w:t>: 1052-1056 [PMID: 11287975 DOI: 10.1056/NEJM200104053441404]</w:t>
      </w:r>
    </w:p>
    <w:p w14:paraId="6E61C1BA"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14 </w:t>
      </w:r>
      <w:r w:rsidRPr="0028500E">
        <w:rPr>
          <w:rFonts w:ascii="Book Antiqua" w:hAnsi="Book Antiqua"/>
          <w:b/>
          <w:sz w:val="24"/>
          <w:szCs w:val="24"/>
        </w:rPr>
        <w:t>Verweij J</w:t>
      </w:r>
      <w:r w:rsidRPr="0028500E">
        <w:rPr>
          <w:rFonts w:ascii="Book Antiqua" w:hAnsi="Book Antiqua"/>
          <w:sz w:val="24"/>
          <w:szCs w:val="24"/>
        </w:rPr>
        <w:t xml:space="preserve">, Casali PG, Zalcberg J, LeCesne A, Reichardt P, Blay JY, Issels R, </w:t>
      </w:r>
      <w:r w:rsidRPr="0028500E">
        <w:rPr>
          <w:rFonts w:ascii="Book Antiqua" w:hAnsi="Book Antiqua"/>
          <w:sz w:val="24"/>
          <w:szCs w:val="24"/>
        </w:rPr>
        <w:lastRenderedPageBreak/>
        <w:t xml:space="preserve">van Oosterom A, Hogendoorn PC, Van Glabbeke M, Bertulli R, Judson I. Progression-free survival in gastrointestinal stromal tumours with high-dose imatinib: randomised trial. </w:t>
      </w:r>
      <w:r w:rsidRPr="0028500E">
        <w:rPr>
          <w:rFonts w:ascii="Book Antiqua" w:hAnsi="Book Antiqua"/>
          <w:i/>
          <w:sz w:val="24"/>
          <w:szCs w:val="24"/>
        </w:rPr>
        <w:t>Lancet</w:t>
      </w:r>
      <w:r w:rsidRPr="0028500E">
        <w:rPr>
          <w:rFonts w:ascii="Book Antiqua" w:hAnsi="Book Antiqua"/>
          <w:sz w:val="24"/>
          <w:szCs w:val="24"/>
        </w:rPr>
        <w:t xml:space="preserve"> 2004; </w:t>
      </w:r>
      <w:r w:rsidRPr="0028500E">
        <w:rPr>
          <w:rFonts w:ascii="Book Antiqua" w:hAnsi="Book Antiqua"/>
          <w:b/>
          <w:sz w:val="24"/>
          <w:szCs w:val="24"/>
        </w:rPr>
        <w:t>364</w:t>
      </w:r>
      <w:r w:rsidRPr="0028500E">
        <w:rPr>
          <w:rFonts w:ascii="Book Antiqua" w:hAnsi="Book Antiqua"/>
          <w:sz w:val="24"/>
          <w:szCs w:val="24"/>
        </w:rPr>
        <w:t>: 1127-1134 [PMID: 15451219 DOI: 10.1016/S0140-6736(04)17098-0]</w:t>
      </w:r>
    </w:p>
    <w:p w14:paraId="3751FDAC"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15 </w:t>
      </w:r>
      <w:r w:rsidRPr="0028500E">
        <w:rPr>
          <w:rFonts w:ascii="Book Antiqua" w:hAnsi="Book Antiqua"/>
          <w:b/>
          <w:sz w:val="24"/>
          <w:szCs w:val="24"/>
        </w:rPr>
        <w:t>Verweij J</w:t>
      </w:r>
      <w:r w:rsidRPr="0028500E">
        <w:rPr>
          <w:rFonts w:ascii="Book Antiqua" w:hAnsi="Book Antiqua"/>
          <w:sz w:val="24"/>
          <w:szCs w:val="24"/>
        </w:rPr>
        <w:t xml:space="preserve">, van Oosterom A, Blay JY, Judson I, Rodenhuis S, van der Graaf W, Radford J, Le Cesne A, Hogendoorn PC, di Paola ED, Brown M, Nielsen OS. Imatinib mesylate (STI-571 Glivec, Gleevec) is an active agent for gastrointestinal stromal tumours, but does not yield responses in other soft-tissue sarcomas that are unselected for a molecular target. Results from an EORTC Soft Tissue and Bone Sarcoma Group phase II study. </w:t>
      </w:r>
      <w:r w:rsidRPr="0028500E">
        <w:rPr>
          <w:rFonts w:ascii="Book Antiqua" w:hAnsi="Book Antiqua"/>
          <w:i/>
          <w:sz w:val="24"/>
          <w:szCs w:val="24"/>
        </w:rPr>
        <w:t>Eur J Cancer</w:t>
      </w:r>
      <w:r w:rsidRPr="0028500E">
        <w:rPr>
          <w:rFonts w:ascii="Book Antiqua" w:hAnsi="Book Antiqua"/>
          <w:sz w:val="24"/>
          <w:szCs w:val="24"/>
        </w:rPr>
        <w:t xml:space="preserve"> 2003; </w:t>
      </w:r>
      <w:r w:rsidRPr="0028500E">
        <w:rPr>
          <w:rFonts w:ascii="Book Antiqua" w:hAnsi="Book Antiqua"/>
          <w:b/>
          <w:sz w:val="24"/>
          <w:szCs w:val="24"/>
        </w:rPr>
        <w:t>39</w:t>
      </w:r>
      <w:r w:rsidRPr="0028500E">
        <w:rPr>
          <w:rFonts w:ascii="Book Antiqua" w:hAnsi="Book Antiqua"/>
          <w:sz w:val="24"/>
          <w:szCs w:val="24"/>
        </w:rPr>
        <w:t>: 2006-2011 [PMID: 12957454]</w:t>
      </w:r>
    </w:p>
    <w:p w14:paraId="5F7D881F"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16 </w:t>
      </w:r>
      <w:r w:rsidRPr="0028500E">
        <w:rPr>
          <w:rFonts w:ascii="Book Antiqua" w:hAnsi="Book Antiqua"/>
          <w:b/>
          <w:sz w:val="24"/>
          <w:szCs w:val="24"/>
        </w:rPr>
        <w:t>van Oosterom AT</w:t>
      </w:r>
      <w:r w:rsidRPr="0028500E">
        <w:rPr>
          <w:rFonts w:ascii="Book Antiqua" w:hAnsi="Book Antiqua"/>
          <w:sz w:val="24"/>
          <w:szCs w:val="24"/>
        </w:rPr>
        <w:t xml:space="preserve">, Judson I, Verweij J, Stroobants S, Donato di Paola E, Dimitrijevic S, Martens M, Webb A, Sciot R, Van Glabbeke M, Silberman S, Nielsen OS; European Organisation for Research and Treatment of Cancer Soft Tissue and Bone Sarcoma Group. Safety and efficacy of imatinib (STI571) in metastatic gastrointestinal stromal tumours: a phase I study. </w:t>
      </w:r>
      <w:r w:rsidRPr="0028500E">
        <w:rPr>
          <w:rFonts w:ascii="Book Antiqua" w:hAnsi="Book Antiqua"/>
          <w:i/>
          <w:sz w:val="24"/>
          <w:szCs w:val="24"/>
        </w:rPr>
        <w:t>Lancet</w:t>
      </w:r>
      <w:r w:rsidRPr="0028500E">
        <w:rPr>
          <w:rFonts w:ascii="Book Antiqua" w:hAnsi="Book Antiqua"/>
          <w:sz w:val="24"/>
          <w:szCs w:val="24"/>
        </w:rPr>
        <w:t xml:space="preserve"> 2001; </w:t>
      </w:r>
      <w:r w:rsidRPr="0028500E">
        <w:rPr>
          <w:rFonts w:ascii="Book Antiqua" w:hAnsi="Book Antiqua"/>
          <w:b/>
          <w:sz w:val="24"/>
          <w:szCs w:val="24"/>
        </w:rPr>
        <w:t>358</w:t>
      </w:r>
      <w:r w:rsidRPr="0028500E">
        <w:rPr>
          <w:rFonts w:ascii="Book Antiqua" w:hAnsi="Book Antiqua"/>
          <w:sz w:val="24"/>
          <w:szCs w:val="24"/>
        </w:rPr>
        <w:t>: 1421-1423 [PMID: 11705489]</w:t>
      </w:r>
    </w:p>
    <w:p w14:paraId="6DDC08E4"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17 </w:t>
      </w:r>
      <w:r w:rsidRPr="0028500E">
        <w:rPr>
          <w:rFonts w:ascii="Book Antiqua" w:hAnsi="Book Antiqua"/>
          <w:b/>
          <w:sz w:val="24"/>
          <w:szCs w:val="24"/>
        </w:rPr>
        <w:t>Choi SM</w:t>
      </w:r>
      <w:r w:rsidRPr="0028500E">
        <w:rPr>
          <w:rFonts w:ascii="Book Antiqua" w:hAnsi="Book Antiqua"/>
          <w:sz w:val="24"/>
          <w:szCs w:val="24"/>
        </w:rPr>
        <w:t xml:space="preserve">, Kim MC, Jung GJ, Kim HH, Kwon HC, Choi SR, Jang JS, Jeong JS. Laparoscopic wedge resection for gastric GIST: long-term follow-up results. </w:t>
      </w:r>
      <w:r w:rsidRPr="0028500E">
        <w:rPr>
          <w:rFonts w:ascii="Book Antiqua" w:hAnsi="Book Antiqua"/>
          <w:i/>
          <w:sz w:val="24"/>
          <w:szCs w:val="24"/>
        </w:rPr>
        <w:t>Eur J Surg Oncol</w:t>
      </w:r>
      <w:r w:rsidRPr="0028500E">
        <w:rPr>
          <w:rFonts w:ascii="Book Antiqua" w:hAnsi="Book Antiqua"/>
          <w:sz w:val="24"/>
          <w:szCs w:val="24"/>
        </w:rPr>
        <w:t xml:space="preserve"> 2007; </w:t>
      </w:r>
      <w:r w:rsidRPr="0028500E">
        <w:rPr>
          <w:rFonts w:ascii="Book Antiqua" w:hAnsi="Book Antiqua"/>
          <w:b/>
          <w:sz w:val="24"/>
          <w:szCs w:val="24"/>
        </w:rPr>
        <w:t>33</w:t>
      </w:r>
      <w:r w:rsidRPr="0028500E">
        <w:rPr>
          <w:rFonts w:ascii="Book Antiqua" w:hAnsi="Book Antiqua"/>
          <w:sz w:val="24"/>
          <w:szCs w:val="24"/>
        </w:rPr>
        <w:t>: 444-447 [PMID: 17174060 DOI: 10.1016/j.ejso.2006.11.003]</w:t>
      </w:r>
    </w:p>
    <w:p w14:paraId="2D4E07CB"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18 </w:t>
      </w:r>
      <w:r w:rsidRPr="0028500E">
        <w:rPr>
          <w:rFonts w:ascii="Book Antiqua" w:hAnsi="Book Antiqua"/>
          <w:b/>
          <w:sz w:val="24"/>
          <w:szCs w:val="24"/>
        </w:rPr>
        <w:t>Sepe PS</w:t>
      </w:r>
      <w:r w:rsidRPr="0028500E">
        <w:rPr>
          <w:rFonts w:ascii="Book Antiqua" w:hAnsi="Book Antiqua"/>
          <w:sz w:val="24"/>
          <w:szCs w:val="24"/>
        </w:rPr>
        <w:t xml:space="preserve">, Brugge WR. A guide for the diagnosis and management of gastrointestinal stromal cell tumors. </w:t>
      </w:r>
      <w:r w:rsidRPr="0028500E">
        <w:rPr>
          <w:rFonts w:ascii="Book Antiqua" w:hAnsi="Book Antiqua"/>
          <w:i/>
          <w:sz w:val="24"/>
          <w:szCs w:val="24"/>
        </w:rPr>
        <w:t>Nat Rev Gastroenterol Hepatol</w:t>
      </w:r>
      <w:r w:rsidRPr="0028500E">
        <w:rPr>
          <w:rFonts w:ascii="Book Antiqua" w:hAnsi="Book Antiqua"/>
          <w:sz w:val="24"/>
          <w:szCs w:val="24"/>
        </w:rPr>
        <w:t xml:space="preserve"> 2009; </w:t>
      </w:r>
      <w:r w:rsidRPr="0028500E">
        <w:rPr>
          <w:rFonts w:ascii="Book Antiqua" w:hAnsi="Book Antiqua"/>
          <w:b/>
          <w:sz w:val="24"/>
          <w:szCs w:val="24"/>
        </w:rPr>
        <w:t>6</w:t>
      </w:r>
      <w:r w:rsidRPr="0028500E">
        <w:rPr>
          <w:rFonts w:ascii="Book Antiqua" w:hAnsi="Book Antiqua"/>
          <w:sz w:val="24"/>
          <w:szCs w:val="24"/>
        </w:rPr>
        <w:t>: 363-371 [PMID: 19365407 DOI: 10.1038/nrgastro.2009.43]</w:t>
      </w:r>
    </w:p>
    <w:p w14:paraId="258DBF0E"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19 </w:t>
      </w:r>
      <w:r w:rsidRPr="0028500E">
        <w:rPr>
          <w:rFonts w:ascii="Book Antiqua" w:hAnsi="Book Antiqua"/>
          <w:b/>
          <w:sz w:val="24"/>
          <w:szCs w:val="24"/>
        </w:rPr>
        <w:t>Faigel DO</w:t>
      </w:r>
      <w:r w:rsidRPr="0028500E">
        <w:rPr>
          <w:rFonts w:ascii="Book Antiqua" w:hAnsi="Book Antiqua"/>
          <w:sz w:val="24"/>
          <w:szCs w:val="24"/>
        </w:rPr>
        <w:t xml:space="preserve">, Abulhawa S. Gastrointestinal stromal tumors: the role of the gastroenterologist in diagnosis and risk stratification. </w:t>
      </w:r>
      <w:r w:rsidRPr="0028500E">
        <w:rPr>
          <w:rFonts w:ascii="Book Antiqua" w:hAnsi="Book Antiqua"/>
          <w:i/>
          <w:sz w:val="24"/>
          <w:szCs w:val="24"/>
        </w:rPr>
        <w:t>J Clin Gastroenterol</w:t>
      </w:r>
      <w:r w:rsidRPr="0028500E">
        <w:rPr>
          <w:rFonts w:ascii="Book Antiqua" w:hAnsi="Book Antiqua"/>
          <w:sz w:val="24"/>
          <w:szCs w:val="24"/>
        </w:rPr>
        <w:t xml:space="preserve"> 2012; </w:t>
      </w:r>
      <w:r w:rsidRPr="0028500E">
        <w:rPr>
          <w:rFonts w:ascii="Book Antiqua" w:hAnsi="Book Antiqua"/>
          <w:b/>
          <w:sz w:val="24"/>
          <w:szCs w:val="24"/>
        </w:rPr>
        <w:t>46</w:t>
      </w:r>
      <w:r w:rsidRPr="0028500E">
        <w:rPr>
          <w:rFonts w:ascii="Book Antiqua" w:hAnsi="Book Antiqua"/>
          <w:sz w:val="24"/>
          <w:szCs w:val="24"/>
        </w:rPr>
        <w:t>: 629-636 [PMID: 22858511 DOI: 10.1097/MCG.0b013e3182548f6c]</w:t>
      </w:r>
    </w:p>
    <w:p w14:paraId="49E73A6D"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20 </w:t>
      </w:r>
      <w:r w:rsidRPr="0028500E">
        <w:rPr>
          <w:rFonts w:ascii="Book Antiqua" w:hAnsi="Book Antiqua"/>
          <w:b/>
          <w:sz w:val="24"/>
          <w:szCs w:val="24"/>
        </w:rPr>
        <w:t>Mullady DK</w:t>
      </w:r>
      <w:r w:rsidRPr="0028500E">
        <w:rPr>
          <w:rFonts w:ascii="Book Antiqua" w:hAnsi="Book Antiqua"/>
          <w:sz w:val="24"/>
          <w:szCs w:val="24"/>
        </w:rPr>
        <w:t xml:space="preserve">, Tan BR. A multidisciplinary approach to the diagnosis and treatment of gastrointestinal stromal tumor. </w:t>
      </w:r>
      <w:r w:rsidRPr="0028500E">
        <w:rPr>
          <w:rFonts w:ascii="Book Antiqua" w:hAnsi="Book Antiqua"/>
          <w:i/>
          <w:sz w:val="24"/>
          <w:szCs w:val="24"/>
        </w:rPr>
        <w:t>J Clin Gastroenterol</w:t>
      </w:r>
      <w:r w:rsidRPr="0028500E">
        <w:rPr>
          <w:rFonts w:ascii="Book Antiqua" w:hAnsi="Book Antiqua"/>
          <w:sz w:val="24"/>
          <w:szCs w:val="24"/>
        </w:rPr>
        <w:t xml:space="preserve"> 2013; </w:t>
      </w:r>
      <w:r w:rsidRPr="0028500E">
        <w:rPr>
          <w:rFonts w:ascii="Book Antiqua" w:hAnsi="Book Antiqua"/>
          <w:b/>
          <w:sz w:val="24"/>
          <w:szCs w:val="24"/>
        </w:rPr>
        <w:t>47</w:t>
      </w:r>
      <w:r w:rsidRPr="0028500E">
        <w:rPr>
          <w:rFonts w:ascii="Book Antiqua" w:hAnsi="Book Antiqua"/>
          <w:sz w:val="24"/>
          <w:szCs w:val="24"/>
        </w:rPr>
        <w:t>: 578-585 [PMID: 23751846 DOI: 10.1097/MCG.0b013e3182936c87]</w:t>
      </w:r>
    </w:p>
    <w:p w14:paraId="46B9463B"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21 </w:t>
      </w:r>
      <w:r w:rsidRPr="0028500E">
        <w:rPr>
          <w:rFonts w:ascii="Book Antiqua" w:hAnsi="Book Antiqua"/>
          <w:b/>
          <w:sz w:val="24"/>
          <w:szCs w:val="24"/>
        </w:rPr>
        <w:t>Akahoshi K</w:t>
      </w:r>
      <w:r w:rsidRPr="0028500E">
        <w:rPr>
          <w:rFonts w:ascii="Book Antiqua" w:hAnsi="Book Antiqua"/>
          <w:sz w:val="24"/>
          <w:szCs w:val="24"/>
        </w:rPr>
        <w:t xml:space="preserve">, Oya M. Gastrointestinal stromal tumor of the stomach: How to </w:t>
      </w:r>
      <w:r w:rsidRPr="0028500E">
        <w:rPr>
          <w:rFonts w:ascii="Book Antiqua" w:hAnsi="Book Antiqua"/>
          <w:sz w:val="24"/>
          <w:szCs w:val="24"/>
        </w:rPr>
        <w:lastRenderedPageBreak/>
        <w:t xml:space="preserve">manage? </w:t>
      </w:r>
      <w:r w:rsidRPr="0028500E">
        <w:rPr>
          <w:rFonts w:ascii="Book Antiqua" w:hAnsi="Book Antiqua"/>
          <w:i/>
          <w:sz w:val="24"/>
          <w:szCs w:val="24"/>
        </w:rPr>
        <w:t>World J Gastrointest Endosc</w:t>
      </w:r>
      <w:r w:rsidRPr="0028500E">
        <w:rPr>
          <w:rFonts w:ascii="Book Antiqua" w:hAnsi="Book Antiqua"/>
          <w:sz w:val="24"/>
          <w:szCs w:val="24"/>
        </w:rPr>
        <w:t xml:space="preserve"> 2010; </w:t>
      </w:r>
      <w:r w:rsidRPr="0028500E">
        <w:rPr>
          <w:rFonts w:ascii="Book Antiqua" w:hAnsi="Book Antiqua"/>
          <w:b/>
          <w:sz w:val="24"/>
          <w:szCs w:val="24"/>
        </w:rPr>
        <w:t>2</w:t>
      </w:r>
      <w:r w:rsidRPr="0028500E">
        <w:rPr>
          <w:rFonts w:ascii="Book Antiqua" w:hAnsi="Book Antiqua"/>
          <w:sz w:val="24"/>
          <w:szCs w:val="24"/>
        </w:rPr>
        <w:t>: 271-277 [PMID: 21160626 DOI: 10.4253/wjge.v2.i8.271]</w:t>
      </w:r>
    </w:p>
    <w:p w14:paraId="4CC82F15"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22 </w:t>
      </w:r>
      <w:r w:rsidRPr="0028500E">
        <w:rPr>
          <w:rFonts w:ascii="Book Antiqua" w:hAnsi="Book Antiqua"/>
          <w:b/>
          <w:sz w:val="24"/>
          <w:szCs w:val="24"/>
        </w:rPr>
        <w:t>Corless CL</w:t>
      </w:r>
      <w:r w:rsidRPr="0028500E">
        <w:rPr>
          <w:rFonts w:ascii="Book Antiqua" w:hAnsi="Book Antiqua"/>
          <w:sz w:val="24"/>
          <w:szCs w:val="24"/>
        </w:rPr>
        <w:t xml:space="preserve">, Heinrich MC. Molecular pathobiology of gastrointestinal stromal sarcomas. </w:t>
      </w:r>
      <w:r w:rsidRPr="0028500E">
        <w:rPr>
          <w:rFonts w:ascii="Book Antiqua" w:hAnsi="Book Antiqua"/>
          <w:i/>
          <w:sz w:val="24"/>
          <w:szCs w:val="24"/>
        </w:rPr>
        <w:t>Annu Rev Pathol</w:t>
      </w:r>
      <w:r w:rsidRPr="0028500E">
        <w:rPr>
          <w:rFonts w:ascii="Book Antiqua" w:hAnsi="Book Antiqua"/>
          <w:sz w:val="24"/>
          <w:szCs w:val="24"/>
        </w:rPr>
        <w:t xml:space="preserve"> 2008; </w:t>
      </w:r>
      <w:r w:rsidRPr="0028500E">
        <w:rPr>
          <w:rFonts w:ascii="Book Antiqua" w:hAnsi="Book Antiqua"/>
          <w:b/>
          <w:sz w:val="24"/>
          <w:szCs w:val="24"/>
        </w:rPr>
        <w:t>3</w:t>
      </w:r>
      <w:r w:rsidRPr="0028500E">
        <w:rPr>
          <w:rFonts w:ascii="Book Antiqua" w:hAnsi="Book Antiqua"/>
          <w:sz w:val="24"/>
          <w:szCs w:val="24"/>
        </w:rPr>
        <w:t>: 557-586 [PMID: 18039140 DOI: 10.1146/annurev.pathmechdis.3.121806.151538]</w:t>
      </w:r>
    </w:p>
    <w:p w14:paraId="36C316D1"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23 </w:t>
      </w:r>
      <w:r w:rsidRPr="0028500E">
        <w:rPr>
          <w:rFonts w:ascii="Book Antiqua" w:hAnsi="Book Antiqua"/>
          <w:b/>
          <w:sz w:val="24"/>
          <w:szCs w:val="24"/>
        </w:rPr>
        <w:t>Akahoshi K</w:t>
      </w:r>
      <w:r w:rsidRPr="0028500E">
        <w:rPr>
          <w:rFonts w:ascii="Book Antiqua" w:hAnsi="Book Antiqua"/>
          <w:sz w:val="24"/>
          <w:szCs w:val="24"/>
        </w:rPr>
        <w:t xml:space="preserve">, Sumida Y, Matsui N, Oya M, Akinaga R, Kubokawa M, Motomura Y, Honda K, Watanabe M, Nagaie T. Preoperative diagnosis of gastrointestinal stromal tumor by endoscopic ultrasound-guided fine needle aspiration. </w:t>
      </w:r>
      <w:r w:rsidRPr="0028500E">
        <w:rPr>
          <w:rFonts w:ascii="Book Antiqua" w:hAnsi="Book Antiqua"/>
          <w:i/>
          <w:sz w:val="24"/>
          <w:szCs w:val="24"/>
        </w:rPr>
        <w:t>World J Gastroenterol</w:t>
      </w:r>
      <w:r w:rsidRPr="0028500E">
        <w:rPr>
          <w:rFonts w:ascii="Book Antiqua" w:hAnsi="Book Antiqua"/>
          <w:sz w:val="24"/>
          <w:szCs w:val="24"/>
        </w:rPr>
        <w:t xml:space="preserve"> 2007; </w:t>
      </w:r>
      <w:r w:rsidRPr="0028500E">
        <w:rPr>
          <w:rFonts w:ascii="Book Antiqua" w:hAnsi="Book Antiqua"/>
          <w:b/>
          <w:sz w:val="24"/>
          <w:szCs w:val="24"/>
        </w:rPr>
        <w:t>13</w:t>
      </w:r>
      <w:r w:rsidRPr="0028500E">
        <w:rPr>
          <w:rFonts w:ascii="Book Antiqua" w:hAnsi="Book Antiqua"/>
          <w:sz w:val="24"/>
          <w:szCs w:val="24"/>
        </w:rPr>
        <w:t>: 2077-2082 [PMID: 17465451]</w:t>
      </w:r>
    </w:p>
    <w:p w14:paraId="754F0FC3"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24 </w:t>
      </w:r>
      <w:r w:rsidRPr="0028500E">
        <w:rPr>
          <w:rFonts w:ascii="Book Antiqua" w:hAnsi="Book Antiqua"/>
          <w:b/>
          <w:sz w:val="24"/>
          <w:szCs w:val="24"/>
        </w:rPr>
        <w:t>Tran T</w:t>
      </w:r>
      <w:r w:rsidRPr="0028500E">
        <w:rPr>
          <w:rFonts w:ascii="Book Antiqua" w:hAnsi="Book Antiqua"/>
          <w:sz w:val="24"/>
          <w:szCs w:val="24"/>
        </w:rPr>
        <w:t xml:space="preserve">, Davila JA, El-Serag HB. The epidemiology of malignant gastrointestinal stromal tumors: an analysis of 1,458 cases from 1992 to 2000. </w:t>
      </w:r>
      <w:r w:rsidRPr="0028500E">
        <w:rPr>
          <w:rFonts w:ascii="Book Antiqua" w:hAnsi="Book Antiqua"/>
          <w:i/>
          <w:sz w:val="24"/>
          <w:szCs w:val="24"/>
        </w:rPr>
        <w:t>Am J Gastroenterol</w:t>
      </w:r>
      <w:r w:rsidRPr="0028500E">
        <w:rPr>
          <w:rFonts w:ascii="Book Antiqua" w:hAnsi="Book Antiqua"/>
          <w:sz w:val="24"/>
          <w:szCs w:val="24"/>
        </w:rPr>
        <w:t xml:space="preserve"> 2005; </w:t>
      </w:r>
      <w:r w:rsidRPr="0028500E">
        <w:rPr>
          <w:rFonts w:ascii="Book Antiqua" w:hAnsi="Book Antiqua"/>
          <w:b/>
          <w:sz w:val="24"/>
          <w:szCs w:val="24"/>
        </w:rPr>
        <w:t>100</w:t>
      </w:r>
      <w:r w:rsidRPr="0028500E">
        <w:rPr>
          <w:rFonts w:ascii="Book Antiqua" w:hAnsi="Book Antiqua"/>
          <w:sz w:val="24"/>
          <w:szCs w:val="24"/>
        </w:rPr>
        <w:t>: 162-168 [PMID: 15654796 DOI: 10.1111/j.1572-0241.2005.40709.x]</w:t>
      </w:r>
    </w:p>
    <w:p w14:paraId="751CA2C0"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25 </w:t>
      </w:r>
      <w:r w:rsidRPr="0028500E">
        <w:rPr>
          <w:rFonts w:ascii="Book Antiqua" w:hAnsi="Book Antiqua"/>
          <w:b/>
          <w:sz w:val="24"/>
          <w:szCs w:val="24"/>
        </w:rPr>
        <w:t>Nilsson B</w:t>
      </w:r>
      <w:r w:rsidRPr="0028500E">
        <w:rPr>
          <w:rFonts w:ascii="Book Antiqua" w:hAnsi="Book Antiqua"/>
          <w:sz w:val="24"/>
          <w:szCs w:val="24"/>
        </w:rPr>
        <w:t xml:space="preserve">, Bümming P, Meis-Kindblom JM, Odén A, Dortok A, Gustavsson B, Sablinska K, Kindblom LG. Gastrointestinal stromal tumors: the incidence, prevalence, clinical course, and prognostication in the preimatinib mesylate era--a population-based study in western Sweden. </w:t>
      </w:r>
      <w:r w:rsidRPr="0028500E">
        <w:rPr>
          <w:rFonts w:ascii="Book Antiqua" w:hAnsi="Book Antiqua"/>
          <w:i/>
          <w:sz w:val="24"/>
          <w:szCs w:val="24"/>
        </w:rPr>
        <w:t>Cancer</w:t>
      </w:r>
      <w:r w:rsidRPr="0028500E">
        <w:rPr>
          <w:rFonts w:ascii="Book Antiqua" w:hAnsi="Book Antiqua"/>
          <w:sz w:val="24"/>
          <w:szCs w:val="24"/>
        </w:rPr>
        <w:t xml:space="preserve"> 2005; </w:t>
      </w:r>
      <w:r w:rsidRPr="0028500E">
        <w:rPr>
          <w:rFonts w:ascii="Book Antiqua" w:hAnsi="Book Antiqua"/>
          <w:b/>
          <w:sz w:val="24"/>
          <w:szCs w:val="24"/>
        </w:rPr>
        <w:t>103</w:t>
      </w:r>
      <w:r w:rsidRPr="0028500E">
        <w:rPr>
          <w:rFonts w:ascii="Book Antiqua" w:hAnsi="Book Antiqua"/>
          <w:sz w:val="24"/>
          <w:szCs w:val="24"/>
        </w:rPr>
        <w:t>: 821-829 [PMID: 15648083 DOI: 10.1002/cncr.20862]</w:t>
      </w:r>
    </w:p>
    <w:p w14:paraId="669C83C7"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26 </w:t>
      </w:r>
      <w:r w:rsidRPr="0028500E">
        <w:rPr>
          <w:rFonts w:ascii="Book Antiqua" w:hAnsi="Book Antiqua"/>
          <w:b/>
          <w:sz w:val="24"/>
          <w:szCs w:val="24"/>
        </w:rPr>
        <w:t>Tzen CY</w:t>
      </w:r>
      <w:r w:rsidRPr="0028500E">
        <w:rPr>
          <w:rFonts w:ascii="Book Antiqua" w:hAnsi="Book Antiqua"/>
          <w:sz w:val="24"/>
          <w:szCs w:val="24"/>
        </w:rPr>
        <w:t xml:space="preserve">, Wang JH, Huang YJ, Wang MN, Lin PC, Lai GL, Wu CY, Tzen CY. Incidence of gastrointestinal stromal tumor: a retrospective study based on immunohistochemical and mutational analyses. </w:t>
      </w:r>
      <w:r w:rsidRPr="0028500E">
        <w:rPr>
          <w:rFonts w:ascii="Book Antiqua" w:hAnsi="Book Antiqua"/>
          <w:i/>
          <w:sz w:val="24"/>
          <w:szCs w:val="24"/>
        </w:rPr>
        <w:t>Dig Dis Sci</w:t>
      </w:r>
      <w:r w:rsidRPr="0028500E">
        <w:rPr>
          <w:rFonts w:ascii="Book Antiqua" w:hAnsi="Book Antiqua"/>
          <w:sz w:val="24"/>
          <w:szCs w:val="24"/>
        </w:rPr>
        <w:t xml:space="preserve"> 2007; </w:t>
      </w:r>
      <w:r w:rsidRPr="0028500E">
        <w:rPr>
          <w:rFonts w:ascii="Book Antiqua" w:hAnsi="Book Antiqua"/>
          <w:b/>
          <w:sz w:val="24"/>
          <w:szCs w:val="24"/>
        </w:rPr>
        <w:t>52</w:t>
      </w:r>
      <w:r w:rsidRPr="0028500E">
        <w:rPr>
          <w:rFonts w:ascii="Book Antiqua" w:hAnsi="Book Antiqua"/>
          <w:sz w:val="24"/>
          <w:szCs w:val="24"/>
        </w:rPr>
        <w:t>: 792-797 [PMID: 17253141 DOI: 10.1007/s10620-006-9480-y]</w:t>
      </w:r>
    </w:p>
    <w:p w14:paraId="1D785604"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27 </w:t>
      </w:r>
      <w:r w:rsidRPr="0028500E">
        <w:rPr>
          <w:rFonts w:ascii="Book Antiqua" w:hAnsi="Book Antiqua"/>
          <w:b/>
          <w:sz w:val="24"/>
          <w:szCs w:val="24"/>
        </w:rPr>
        <w:t>Graadt van Roggen JF</w:t>
      </w:r>
      <w:r w:rsidRPr="0028500E">
        <w:rPr>
          <w:rFonts w:ascii="Book Antiqua" w:hAnsi="Book Antiqua"/>
          <w:sz w:val="24"/>
          <w:szCs w:val="24"/>
        </w:rPr>
        <w:t xml:space="preserve">, van Velthuysen ML, Hogendoorn PC. The histopathological differential diagnosis of gastrointestinal stromal tumours. </w:t>
      </w:r>
      <w:r w:rsidRPr="0028500E">
        <w:rPr>
          <w:rFonts w:ascii="Book Antiqua" w:hAnsi="Book Antiqua"/>
          <w:i/>
          <w:sz w:val="24"/>
          <w:szCs w:val="24"/>
        </w:rPr>
        <w:t>J Clin Pathol</w:t>
      </w:r>
      <w:r w:rsidRPr="0028500E">
        <w:rPr>
          <w:rFonts w:ascii="Book Antiqua" w:hAnsi="Book Antiqua"/>
          <w:sz w:val="24"/>
          <w:szCs w:val="24"/>
        </w:rPr>
        <w:t xml:space="preserve"> 2001; </w:t>
      </w:r>
      <w:r w:rsidRPr="0028500E">
        <w:rPr>
          <w:rFonts w:ascii="Book Antiqua" w:hAnsi="Book Antiqua"/>
          <w:b/>
          <w:sz w:val="24"/>
          <w:szCs w:val="24"/>
        </w:rPr>
        <w:t>54</w:t>
      </w:r>
      <w:r w:rsidRPr="0028500E">
        <w:rPr>
          <w:rFonts w:ascii="Book Antiqua" w:hAnsi="Book Antiqua"/>
          <w:sz w:val="24"/>
          <w:szCs w:val="24"/>
        </w:rPr>
        <w:t>: 96-102 [PMID: 11215292]</w:t>
      </w:r>
    </w:p>
    <w:p w14:paraId="2C88A06F"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28 </w:t>
      </w:r>
      <w:r w:rsidRPr="0028500E">
        <w:rPr>
          <w:rFonts w:ascii="Book Antiqua" w:hAnsi="Book Antiqua"/>
          <w:b/>
          <w:sz w:val="24"/>
          <w:szCs w:val="24"/>
        </w:rPr>
        <w:t>West RB</w:t>
      </w:r>
      <w:r w:rsidRPr="0028500E">
        <w:rPr>
          <w:rFonts w:ascii="Book Antiqua" w:hAnsi="Book Antiqua"/>
          <w:sz w:val="24"/>
          <w:szCs w:val="24"/>
        </w:rPr>
        <w:t xml:space="preserve">, Corless CL, Chen X, Rubin BP, Subramanian S, Montgomery K, Zhu S, Ball CA, Nielsen TO, Patel R, Goldblum JR, Brown PO, Heinrich MC, van de Rijn M. The novel marker, DOG1, is expressed ubiquitously in gastrointestinal stromal tumors irrespective of KIT or PDGFRA mutation status. </w:t>
      </w:r>
      <w:r w:rsidRPr="0028500E">
        <w:rPr>
          <w:rFonts w:ascii="Book Antiqua" w:hAnsi="Book Antiqua"/>
          <w:i/>
          <w:sz w:val="24"/>
          <w:szCs w:val="24"/>
        </w:rPr>
        <w:t>Am J Pathol</w:t>
      </w:r>
      <w:r w:rsidRPr="0028500E">
        <w:rPr>
          <w:rFonts w:ascii="Book Antiqua" w:hAnsi="Book Antiqua"/>
          <w:sz w:val="24"/>
          <w:szCs w:val="24"/>
        </w:rPr>
        <w:t xml:space="preserve"> 2004; </w:t>
      </w:r>
      <w:r w:rsidRPr="0028500E">
        <w:rPr>
          <w:rFonts w:ascii="Book Antiqua" w:hAnsi="Book Antiqua"/>
          <w:b/>
          <w:sz w:val="24"/>
          <w:szCs w:val="24"/>
        </w:rPr>
        <w:t>165</w:t>
      </w:r>
      <w:r w:rsidRPr="0028500E">
        <w:rPr>
          <w:rFonts w:ascii="Book Antiqua" w:hAnsi="Book Antiqua"/>
          <w:sz w:val="24"/>
          <w:szCs w:val="24"/>
        </w:rPr>
        <w:t xml:space="preserve">: 107-113 [PMID: 15215166 DOI: </w:t>
      </w:r>
      <w:r w:rsidRPr="0028500E">
        <w:rPr>
          <w:rFonts w:ascii="Book Antiqua" w:hAnsi="Book Antiqua"/>
          <w:sz w:val="24"/>
          <w:szCs w:val="24"/>
        </w:rPr>
        <w:lastRenderedPageBreak/>
        <w:t>10.1016/S0002-9440(10)63279-8]</w:t>
      </w:r>
    </w:p>
    <w:p w14:paraId="107F9905"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29 </w:t>
      </w:r>
      <w:r w:rsidRPr="0028500E">
        <w:rPr>
          <w:rFonts w:ascii="Book Antiqua" w:hAnsi="Book Antiqua"/>
          <w:b/>
          <w:sz w:val="24"/>
          <w:szCs w:val="24"/>
        </w:rPr>
        <w:t>Joensuu H</w:t>
      </w:r>
      <w:r w:rsidRPr="0028500E">
        <w:rPr>
          <w:rFonts w:ascii="Book Antiqua" w:hAnsi="Book Antiqua"/>
          <w:sz w:val="24"/>
          <w:szCs w:val="24"/>
        </w:rPr>
        <w:t xml:space="preserve">, Hohenberger P, Corless CL. Gastrointestinal stromal tumour. </w:t>
      </w:r>
      <w:r w:rsidRPr="0028500E">
        <w:rPr>
          <w:rFonts w:ascii="Book Antiqua" w:hAnsi="Book Antiqua"/>
          <w:i/>
          <w:sz w:val="24"/>
          <w:szCs w:val="24"/>
        </w:rPr>
        <w:t>Lancet</w:t>
      </w:r>
      <w:r w:rsidRPr="0028500E">
        <w:rPr>
          <w:rFonts w:ascii="Book Antiqua" w:hAnsi="Book Antiqua"/>
          <w:sz w:val="24"/>
          <w:szCs w:val="24"/>
        </w:rPr>
        <w:t xml:space="preserve"> 2013; </w:t>
      </w:r>
      <w:r w:rsidRPr="0028500E">
        <w:rPr>
          <w:rFonts w:ascii="Book Antiqua" w:hAnsi="Book Antiqua"/>
          <w:b/>
          <w:sz w:val="24"/>
          <w:szCs w:val="24"/>
        </w:rPr>
        <w:t>382</w:t>
      </w:r>
      <w:r w:rsidRPr="0028500E">
        <w:rPr>
          <w:rFonts w:ascii="Book Antiqua" w:hAnsi="Book Antiqua"/>
          <w:sz w:val="24"/>
          <w:szCs w:val="24"/>
        </w:rPr>
        <w:t>: 973-983 [PMID: 23623056 DOI: 10.1016/S0140-6736(13)60106-3]</w:t>
      </w:r>
    </w:p>
    <w:p w14:paraId="0A1E0E5D"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30 </w:t>
      </w:r>
      <w:r w:rsidRPr="0028500E">
        <w:rPr>
          <w:rFonts w:ascii="Book Antiqua" w:hAnsi="Book Antiqua"/>
          <w:b/>
          <w:sz w:val="24"/>
          <w:szCs w:val="24"/>
        </w:rPr>
        <w:t>Tryggvason G</w:t>
      </w:r>
      <w:r w:rsidRPr="0028500E">
        <w:rPr>
          <w:rFonts w:ascii="Book Antiqua" w:hAnsi="Book Antiqua"/>
          <w:sz w:val="24"/>
          <w:szCs w:val="24"/>
        </w:rPr>
        <w:t xml:space="preserve">, Kristmundsson T, Orvar K, Jónasson JG, Magnússon MK, Gíslason HG. Clinical study on gastrointestinal stromal tumors (GIST) in Iceland, 1990-2003. </w:t>
      </w:r>
      <w:r w:rsidRPr="0028500E">
        <w:rPr>
          <w:rFonts w:ascii="Book Antiqua" w:hAnsi="Book Antiqua"/>
          <w:i/>
          <w:sz w:val="24"/>
          <w:szCs w:val="24"/>
        </w:rPr>
        <w:t>Dig Dis Sci</w:t>
      </w:r>
      <w:r w:rsidRPr="0028500E">
        <w:rPr>
          <w:rFonts w:ascii="Book Antiqua" w:hAnsi="Book Antiqua"/>
          <w:sz w:val="24"/>
          <w:szCs w:val="24"/>
        </w:rPr>
        <w:t xml:space="preserve"> 2007; </w:t>
      </w:r>
      <w:r w:rsidRPr="0028500E">
        <w:rPr>
          <w:rFonts w:ascii="Book Antiqua" w:hAnsi="Book Antiqua"/>
          <w:b/>
          <w:sz w:val="24"/>
          <w:szCs w:val="24"/>
        </w:rPr>
        <w:t>52</w:t>
      </w:r>
      <w:r w:rsidRPr="0028500E">
        <w:rPr>
          <w:rFonts w:ascii="Book Antiqua" w:hAnsi="Book Antiqua"/>
          <w:sz w:val="24"/>
          <w:szCs w:val="24"/>
        </w:rPr>
        <w:t>: 2249-2253 [PMID: 17420941 DOI: 10.1007/s10620-006-9248-4]</w:t>
      </w:r>
    </w:p>
    <w:p w14:paraId="3E19CC71"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31 </w:t>
      </w:r>
      <w:r w:rsidRPr="0028500E">
        <w:rPr>
          <w:rFonts w:ascii="Book Antiqua" w:hAnsi="Book Antiqua"/>
          <w:b/>
          <w:sz w:val="24"/>
          <w:szCs w:val="24"/>
        </w:rPr>
        <w:t>Kawanowa K</w:t>
      </w:r>
      <w:r w:rsidRPr="0028500E">
        <w:rPr>
          <w:rFonts w:ascii="Book Antiqua" w:hAnsi="Book Antiqua"/>
          <w:sz w:val="24"/>
          <w:szCs w:val="24"/>
        </w:rPr>
        <w:t xml:space="preserve">, Sakuma Y, Sakurai S, Hishima T, Iwasaki Y, Saito K, Hosoya Y, Nakajima T, Funata N. High incidence of microscopic gastrointestinal stromal tumors in the stomach. </w:t>
      </w:r>
      <w:r w:rsidRPr="0028500E">
        <w:rPr>
          <w:rFonts w:ascii="Book Antiqua" w:hAnsi="Book Antiqua"/>
          <w:i/>
          <w:sz w:val="24"/>
          <w:szCs w:val="24"/>
        </w:rPr>
        <w:t>Hum Pathol</w:t>
      </w:r>
      <w:r w:rsidRPr="0028500E">
        <w:rPr>
          <w:rFonts w:ascii="Book Antiqua" w:hAnsi="Book Antiqua"/>
          <w:sz w:val="24"/>
          <w:szCs w:val="24"/>
        </w:rPr>
        <w:t xml:space="preserve"> 2006; </w:t>
      </w:r>
      <w:r w:rsidRPr="0028500E">
        <w:rPr>
          <w:rFonts w:ascii="Book Antiqua" w:hAnsi="Book Antiqua"/>
          <w:b/>
          <w:sz w:val="24"/>
          <w:szCs w:val="24"/>
        </w:rPr>
        <w:t>37</w:t>
      </w:r>
      <w:r w:rsidRPr="0028500E">
        <w:rPr>
          <w:rFonts w:ascii="Book Antiqua" w:hAnsi="Book Antiqua"/>
          <w:sz w:val="24"/>
          <w:szCs w:val="24"/>
        </w:rPr>
        <w:t>: 1527-1535 [PMID: 16996566 DOI: 10.1016/j.humpath.2006.07.002]</w:t>
      </w:r>
    </w:p>
    <w:p w14:paraId="7EC4EFE7"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32 </w:t>
      </w:r>
      <w:r w:rsidRPr="0028500E">
        <w:rPr>
          <w:rFonts w:ascii="Book Antiqua" w:hAnsi="Book Antiqua"/>
          <w:b/>
          <w:sz w:val="24"/>
          <w:szCs w:val="24"/>
        </w:rPr>
        <w:t>Agaimy A</w:t>
      </w:r>
      <w:r w:rsidRPr="0028500E">
        <w:rPr>
          <w:rFonts w:ascii="Book Antiqua" w:hAnsi="Book Antiqua"/>
          <w:sz w:val="24"/>
          <w:szCs w:val="24"/>
        </w:rPr>
        <w:t xml:space="preserve">, Wünsch PH, Hofstaedter F, Blaszyk H, Rümmele P, Gaumann A, Dietmaier W, Hartmann A. Minute gastric sclerosing stromal tumors (GIST tumorlets) are common in adults and frequently show c-KIT mutations. </w:t>
      </w:r>
      <w:r w:rsidRPr="0028500E">
        <w:rPr>
          <w:rFonts w:ascii="Book Antiqua" w:hAnsi="Book Antiqua"/>
          <w:i/>
          <w:sz w:val="24"/>
          <w:szCs w:val="24"/>
        </w:rPr>
        <w:t>Am J Surg Pathol</w:t>
      </w:r>
      <w:r w:rsidRPr="0028500E">
        <w:rPr>
          <w:rFonts w:ascii="Book Antiqua" w:hAnsi="Book Antiqua"/>
          <w:sz w:val="24"/>
          <w:szCs w:val="24"/>
        </w:rPr>
        <w:t xml:space="preserve"> 2007; </w:t>
      </w:r>
      <w:r w:rsidRPr="0028500E">
        <w:rPr>
          <w:rFonts w:ascii="Book Antiqua" w:hAnsi="Book Antiqua"/>
          <w:b/>
          <w:sz w:val="24"/>
          <w:szCs w:val="24"/>
        </w:rPr>
        <w:t>31</w:t>
      </w:r>
      <w:r w:rsidRPr="0028500E">
        <w:rPr>
          <w:rFonts w:ascii="Book Antiqua" w:hAnsi="Book Antiqua"/>
          <w:sz w:val="24"/>
          <w:szCs w:val="24"/>
        </w:rPr>
        <w:t>: 113-120 [PMID: 17197927 DOI: 10.1097/01.pas.0000213307.05811.f0]</w:t>
      </w:r>
    </w:p>
    <w:p w14:paraId="64345D7D"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33 </w:t>
      </w:r>
      <w:r w:rsidRPr="0028500E">
        <w:rPr>
          <w:rFonts w:ascii="Book Antiqua" w:hAnsi="Book Antiqua"/>
          <w:b/>
          <w:sz w:val="24"/>
          <w:szCs w:val="24"/>
        </w:rPr>
        <w:t>Agaimy A</w:t>
      </w:r>
      <w:r w:rsidRPr="0028500E">
        <w:rPr>
          <w:rFonts w:ascii="Book Antiqua" w:hAnsi="Book Antiqua"/>
          <w:sz w:val="24"/>
          <w:szCs w:val="24"/>
        </w:rPr>
        <w:t xml:space="preserve">, Wünsch PH, Dirnhofer S, Bihl MP, Terracciano LM, Tornillo L. Microscopic gastrointestinal stromal tumors in esophageal and intestinal surgical resection specimens: a clinicopathologic, immunohistochemical, and molecular study of 19 lesions. </w:t>
      </w:r>
      <w:r w:rsidRPr="0028500E">
        <w:rPr>
          <w:rFonts w:ascii="Book Antiqua" w:hAnsi="Book Antiqua"/>
          <w:i/>
          <w:sz w:val="24"/>
          <w:szCs w:val="24"/>
        </w:rPr>
        <w:t>Am J Surg Pathol</w:t>
      </w:r>
      <w:r w:rsidRPr="0028500E">
        <w:rPr>
          <w:rFonts w:ascii="Book Antiqua" w:hAnsi="Book Antiqua"/>
          <w:sz w:val="24"/>
          <w:szCs w:val="24"/>
        </w:rPr>
        <w:t xml:space="preserve"> 2008; </w:t>
      </w:r>
      <w:r w:rsidRPr="0028500E">
        <w:rPr>
          <w:rFonts w:ascii="Book Antiqua" w:hAnsi="Book Antiqua"/>
          <w:b/>
          <w:sz w:val="24"/>
          <w:szCs w:val="24"/>
        </w:rPr>
        <w:t>32</w:t>
      </w:r>
      <w:r w:rsidRPr="0028500E">
        <w:rPr>
          <w:rFonts w:ascii="Book Antiqua" w:hAnsi="Book Antiqua"/>
          <w:sz w:val="24"/>
          <w:szCs w:val="24"/>
        </w:rPr>
        <w:t>: 867-873 [PMID: 18408593 DOI: 10.1097/PAS.0b013e31815c0417]</w:t>
      </w:r>
    </w:p>
    <w:p w14:paraId="47F365E4"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34 </w:t>
      </w:r>
      <w:r w:rsidRPr="0028500E">
        <w:rPr>
          <w:rFonts w:ascii="Book Antiqua" w:hAnsi="Book Antiqua"/>
          <w:b/>
          <w:sz w:val="24"/>
          <w:szCs w:val="24"/>
        </w:rPr>
        <w:t>Abraham SC</w:t>
      </w:r>
      <w:r w:rsidRPr="0028500E">
        <w:rPr>
          <w:rFonts w:ascii="Book Antiqua" w:hAnsi="Book Antiqua"/>
          <w:sz w:val="24"/>
          <w:szCs w:val="24"/>
        </w:rPr>
        <w:t xml:space="preserve">, Krasinskas AM, Hofstetter WL, Swisher SG, Wu TT. "Seedling" mesenchymal tumors (gastrointestinal stromal tumors and leiomyomas) are common incidental tumors of the esophagogastric junction. </w:t>
      </w:r>
      <w:r w:rsidRPr="0028500E">
        <w:rPr>
          <w:rFonts w:ascii="Book Antiqua" w:hAnsi="Book Antiqua"/>
          <w:i/>
          <w:sz w:val="24"/>
          <w:szCs w:val="24"/>
        </w:rPr>
        <w:t>Am J Surg Pathol</w:t>
      </w:r>
      <w:r w:rsidRPr="0028500E">
        <w:rPr>
          <w:rFonts w:ascii="Book Antiqua" w:hAnsi="Book Antiqua"/>
          <w:sz w:val="24"/>
          <w:szCs w:val="24"/>
        </w:rPr>
        <w:t xml:space="preserve"> 2007; </w:t>
      </w:r>
      <w:r w:rsidRPr="0028500E">
        <w:rPr>
          <w:rFonts w:ascii="Book Antiqua" w:hAnsi="Book Antiqua"/>
          <w:b/>
          <w:sz w:val="24"/>
          <w:szCs w:val="24"/>
        </w:rPr>
        <w:t>31</w:t>
      </w:r>
      <w:r w:rsidRPr="0028500E">
        <w:rPr>
          <w:rFonts w:ascii="Book Antiqua" w:hAnsi="Book Antiqua"/>
          <w:sz w:val="24"/>
          <w:szCs w:val="24"/>
        </w:rPr>
        <w:t>: 1629-1635 [PMID: 18059218 DOI: 10.1097/PAS.0b013e31806ab2c3]</w:t>
      </w:r>
    </w:p>
    <w:p w14:paraId="5F98C1BB"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35 </w:t>
      </w:r>
      <w:r w:rsidRPr="0028500E">
        <w:rPr>
          <w:rFonts w:ascii="Book Antiqua" w:hAnsi="Book Antiqua"/>
          <w:b/>
          <w:sz w:val="24"/>
          <w:szCs w:val="24"/>
        </w:rPr>
        <w:t>Muenst S</w:t>
      </w:r>
      <w:r w:rsidRPr="0028500E">
        <w:rPr>
          <w:rFonts w:ascii="Book Antiqua" w:hAnsi="Book Antiqua"/>
          <w:sz w:val="24"/>
          <w:szCs w:val="24"/>
        </w:rPr>
        <w:t xml:space="preserve">, Thies S, Went P, Tornillo L, Bihl MP, Dirnhofer S. Frequency, phenotype, and genotype of minute gastrointestinal stromal tumors in the stomach: an autopsy study. </w:t>
      </w:r>
      <w:r w:rsidRPr="0028500E">
        <w:rPr>
          <w:rFonts w:ascii="Book Antiqua" w:hAnsi="Book Antiqua"/>
          <w:i/>
          <w:sz w:val="24"/>
          <w:szCs w:val="24"/>
        </w:rPr>
        <w:t>Hum Pathol</w:t>
      </w:r>
      <w:r w:rsidRPr="0028500E">
        <w:rPr>
          <w:rFonts w:ascii="Book Antiqua" w:hAnsi="Book Antiqua"/>
          <w:sz w:val="24"/>
          <w:szCs w:val="24"/>
        </w:rPr>
        <w:t xml:space="preserve"> 2011; </w:t>
      </w:r>
      <w:r w:rsidRPr="0028500E">
        <w:rPr>
          <w:rFonts w:ascii="Book Antiqua" w:hAnsi="Book Antiqua"/>
          <w:b/>
          <w:sz w:val="24"/>
          <w:szCs w:val="24"/>
        </w:rPr>
        <w:t>42</w:t>
      </w:r>
      <w:r w:rsidRPr="0028500E">
        <w:rPr>
          <w:rFonts w:ascii="Book Antiqua" w:hAnsi="Book Antiqua"/>
          <w:sz w:val="24"/>
          <w:szCs w:val="24"/>
        </w:rPr>
        <w:t>: 1849-1854 [PMID: 21658742 DOI: 10.1016/j.humpath.2011.01.024]</w:t>
      </w:r>
    </w:p>
    <w:p w14:paraId="024CFDFA"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lastRenderedPageBreak/>
        <w:t xml:space="preserve">36 </w:t>
      </w:r>
      <w:r w:rsidRPr="0028500E">
        <w:rPr>
          <w:rFonts w:ascii="Book Antiqua" w:hAnsi="Book Antiqua"/>
          <w:b/>
          <w:sz w:val="24"/>
          <w:szCs w:val="24"/>
        </w:rPr>
        <w:t>Nishida T</w:t>
      </w:r>
      <w:r w:rsidRPr="0028500E">
        <w:rPr>
          <w:rFonts w:ascii="Book Antiqua" w:hAnsi="Book Antiqua"/>
          <w:sz w:val="24"/>
          <w:szCs w:val="24"/>
        </w:rPr>
        <w:t xml:space="preserve">, Kawai N, Yamaguchi S, Nishida Y. Submucosal tumors: comprehensive guide for the diagnosis and therapy of gastrointestinal submucosal tumors. </w:t>
      </w:r>
      <w:r w:rsidRPr="0028500E">
        <w:rPr>
          <w:rFonts w:ascii="Book Antiqua" w:hAnsi="Book Antiqua"/>
          <w:i/>
          <w:sz w:val="24"/>
          <w:szCs w:val="24"/>
        </w:rPr>
        <w:t>Dig Endosc</w:t>
      </w:r>
      <w:r w:rsidRPr="0028500E">
        <w:rPr>
          <w:rFonts w:ascii="Book Antiqua" w:hAnsi="Book Antiqua"/>
          <w:sz w:val="24"/>
          <w:szCs w:val="24"/>
        </w:rPr>
        <w:t xml:space="preserve"> 2013; </w:t>
      </w:r>
      <w:r w:rsidRPr="0028500E">
        <w:rPr>
          <w:rFonts w:ascii="Book Antiqua" w:hAnsi="Book Antiqua"/>
          <w:b/>
          <w:sz w:val="24"/>
          <w:szCs w:val="24"/>
        </w:rPr>
        <w:t>25</w:t>
      </w:r>
      <w:r w:rsidRPr="0028500E">
        <w:rPr>
          <w:rFonts w:ascii="Book Antiqua" w:hAnsi="Book Antiqua"/>
          <w:sz w:val="24"/>
          <w:szCs w:val="24"/>
        </w:rPr>
        <w:t>: 479-489 [PMID: 23902569 DOI: 10.1111/den.12149]</w:t>
      </w:r>
    </w:p>
    <w:p w14:paraId="5EB80788"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37 </w:t>
      </w:r>
      <w:r w:rsidRPr="0028500E">
        <w:rPr>
          <w:rFonts w:ascii="Book Antiqua" w:hAnsi="Book Antiqua"/>
          <w:b/>
          <w:sz w:val="24"/>
          <w:szCs w:val="24"/>
        </w:rPr>
        <w:t>Hedenbro JL</w:t>
      </w:r>
      <w:r w:rsidRPr="0028500E">
        <w:rPr>
          <w:rFonts w:ascii="Book Antiqua" w:hAnsi="Book Antiqua"/>
          <w:sz w:val="24"/>
          <w:szCs w:val="24"/>
        </w:rPr>
        <w:t xml:space="preserve">, Ekelund M, Wetterberg P. Endoscopic diagnosis of submucosal gastric lesions. The results after routine endoscopy. </w:t>
      </w:r>
      <w:r w:rsidRPr="0028500E">
        <w:rPr>
          <w:rFonts w:ascii="Book Antiqua" w:hAnsi="Book Antiqua"/>
          <w:i/>
          <w:sz w:val="24"/>
          <w:szCs w:val="24"/>
        </w:rPr>
        <w:t>Surg Endosc</w:t>
      </w:r>
      <w:r w:rsidRPr="0028500E">
        <w:rPr>
          <w:rFonts w:ascii="Book Antiqua" w:hAnsi="Book Antiqua"/>
          <w:sz w:val="24"/>
          <w:szCs w:val="24"/>
        </w:rPr>
        <w:t xml:space="preserve"> 1991; </w:t>
      </w:r>
      <w:r w:rsidRPr="0028500E">
        <w:rPr>
          <w:rFonts w:ascii="Book Antiqua" w:hAnsi="Book Antiqua"/>
          <w:b/>
          <w:sz w:val="24"/>
          <w:szCs w:val="24"/>
        </w:rPr>
        <w:t>5</w:t>
      </w:r>
      <w:r w:rsidRPr="0028500E">
        <w:rPr>
          <w:rFonts w:ascii="Book Antiqua" w:hAnsi="Book Antiqua"/>
          <w:sz w:val="24"/>
          <w:szCs w:val="24"/>
        </w:rPr>
        <w:t>: 20-23 [PMID: 1871670]</w:t>
      </w:r>
    </w:p>
    <w:p w14:paraId="5505D096" w14:textId="4CABB561" w:rsidR="00D24EAB" w:rsidRPr="0028500E" w:rsidRDefault="00D24EAB" w:rsidP="001E53AA">
      <w:pPr>
        <w:snapToGrid w:val="0"/>
        <w:spacing w:line="360" w:lineRule="auto"/>
        <w:rPr>
          <w:rFonts w:ascii="Book Antiqua" w:eastAsia="SimSun" w:hAnsi="Book Antiqua"/>
          <w:sz w:val="24"/>
          <w:szCs w:val="24"/>
          <w:lang w:eastAsia="zh-CN"/>
        </w:rPr>
      </w:pPr>
      <w:r w:rsidRPr="0028500E">
        <w:rPr>
          <w:rFonts w:ascii="Book Antiqua" w:hAnsi="Book Antiqua"/>
          <w:sz w:val="24"/>
          <w:szCs w:val="24"/>
        </w:rPr>
        <w:t xml:space="preserve">38 </w:t>
      </w:r>
      <w:r w:rsidRPr="0028500E">
        <w:rPr>
          <w:rFonts w:ascii="Book Antiqua" w:hAnsi="Book Antiqua"/>
          <w:b/>
          <w:sz w:val="24"/>
          <w:szCs w:val="24"/>
        </w:rPr>
        <w:t>Akahoshi K,</w:t>
      </w:r>
      <w:r w:rsidR="004E05D9" w:rsidRPr="0028500E">
        <w:rPr>
          <w:rFonts w:ascii="Book Antiqua" w:hAnsi="Book Antiqua"/>
          <w:sz w:val="24"/>
          <w:szCs w:val="24"/>
        </w:rPr>
        <w:t xml:space="preserve"> </w:t>
      </w:r>
      <w:r w:rsidRPr="0028500E">
        <w:rPr>
          <w:rFonts w:ascii="Book Antiqua" w:hAnsi="Book Antiqua"/>
          <w:sz w:val="24"/>
          <w:szCs w:val="24"/>
        </w:rPr>
        <w:t xml:space="preserve">Inoue K, Oya M, Tamura S, Takaki M, Tatsushima S, Shiratsuchi Y, Kubokawa M, Gibo J, Yodoe K. Endoscopic ultrasonography-guided fine needle aspiration for gastrointestinal lesion </w:t>
      </w:r>
      <w:r w:rsidRPr="0028500E">
        <w:rPr>
          <w:rFonts w:ascii="Book Antiqua" w:hAnsi="Book Antiqua"/>
          <w:i/>
          <w:sz w:val="24"/>
          <w:szCs w:val="24"/>
        </w:rPr>
        <w:t>Endoscopia Digestiva</w:t>
      </w:r>
      <w:r w:rsidRPr="0028500E">
        <w:rPr>
          <w:rFonts w:ascii="Book Antiqua" w:hAnsi="Book Antiqua"/>
          <w:sz w:val="24"/>
          <w:szCs w:val="24"/>
        </w:rPr>
        <w:t xml:space="preserve"> 2016; </w:t>
      </w:r>
      <w:r w:rsidRPr="0028500E">
        <w:rPr>
          <w:rFonts w:ascii="Book Antiqua" w:hAnsi="Book Antiqua"/>
          <w:b/>
          <w:sz w:val="24"/>
          <w:szCs w:val="24"/>
        </w:rPr>
        <w:t>28</w:t>
      </w:r>
      <w:r w:rsidRPr="0028500E">
        <w:rPr>
          <w:rFonts w:ascii="Book Antiqua" w:hAnsi="Book Antiqua"/>
          <w:sz w:val="24"/>
          <w:szCs w:val="24"/>
        </w:rPr>
        <w:t>: 1581-1590</w:t>
      </w:r>
    </w:p>
    <w:p w14:paraId="5B1FF5B7" w14:textId="50E23071"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39 </w:t>
      </w:r>
      <w:r w:rsidRPr="0028500E">
        <w:rPr>
          <w:rFonts w:ascii="Book Antiqua" w:hAnsi="Book Antiqua"/>
          <w:b/>
          <w:sz w:val="24"/>
          <w:szCs w:val="24"/>
        </w:rPr>
        <w:t>Akahoshi K,</w:t>
      </w:r>
      <w:r w:rsidR="007127EC" w:rsidRPr="0028500E">
        <w:rPr>
          <w:rFonts w:ascii="Book Antiqua" w:hAnsi="Book Antiqua"/>
          <w:sz w:val="24"/>
          <w:szCs w:val="24"/>
        </w:rPr>
        <w:t xml:space="preserve"> </w:t>
      </w:r>
      <w:r w:rsidRPr="0028500E">
        <w:rPr>
          <w:rFonts w:ascii="Book Antiqua" w:hAnsi="Book Antiqua"/>
          <w:sz w:val="24"/>
          <w:szCs w:val="24"/>
        </w:rPr>
        <w:t xml:space="preserve">Oya M, Motomura Y, Kubokawa M, Itaba S, Osoegawa T, Nakama N, Komori K, Gibo J, Yamada M, Minoda Y, Tokumaru K, Sakamoto M, Nishida K, Koga K, Nakamura K. Diagnosis of gastric submucosal tumor and submucosal tumor like lesion by endoscopic ultrasonography-guided fine needle aspiration. </w:t>
      </w:r>
      <w:r w:rsidRPr="0028500E">
        <w:rPr>
          <w:rFonts w:ascii="Book Antiqua" w:hAnsi="Book Antiqua"/>
          <w:i/>
          <w:sz w:val="24"/>
          <w:szCs w:val="24"/>
        </w:rPr>
        <w:t>Endoscopia Digestiva</w:t>
      </w:r>
      <w:r w:rsidRPr="0028500E">
        <w:rPr>
          <w:rFonts w:ascii="Book Antiqua" w:hAnsi="Book Antiqua"/>
          <w:sz w:val="24"/>
          <w:szCs w:val="24"/>
        </w:rPr>
        <w:t xml:space="preserve"> 2011; </w:t>
      </w:r>
      <w:r w:rsidRPr="0028500E">
        <w:rPr>
          <w:rFonts w:ascii="Book Antiqua" w:hAnsi="Book Antiqua"/>
          <w:b/>
          <w:sz w:val="24"/>
          <w:szCs w:val="24"/>
        </w:rPr>
        <w:t>23</w:t>
      </w:r>
      <w:r w:rsidRPr="0028500E">
        <w:rPr>
          <w:rFonts w:ascii="Book Antiqua" w:hAnsi="Book Antiqua"/>
          <w:sz w:val="24"/>
          <w:szCs w:val="24"/>
        </w:rPr>
        <w:t>: 1530-1536</w:t>
      </w:r>
    </w:p>
    <w:p w14:paraId="7422448B"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40 </w:t>
      </w:r>
      <w:r w:rsidRPr="0028500E">
        <w:rPr>
          <w:rFonts w:ascii="Book Antiqua" w:hAnsi="Book Antiqua"/>
          <w:b/>
          <w:sz w:val="24"/>
          <w:szCs w:val="24"/>
        </w:rPr>
        <w:t>Hwang JH</w:t>
      </w:r>
      <w:r w:rsidRPr="0028500E">
        <w:rPr>
          <w:rFonts w:ascii="Book Antiqua" w:hAnsi="Book Antiqua"/>
          <w:sz w:val="24"/>
          <w:szCs w:val="24"/>
        </w:rPr>
        <w:t xml:space="preserve">, Rulyak SD, Kimmey MB; American Gastroenterological Association Institute. American Gastroenterological Association Institute technical review on the management of gastric subepithelial masses. </w:t>
      </w:r>
      <w:r w:rsidRPr="0028500E">
        <w:rPr>
          <w:rFonts w:ascii="Book Antiqua" w:hAnsi="Book Antiqua"/>
          <w:i/>
          <w:sz w:val="24"/>
          <w:szCs w:val="24"/>
        </w:rPr>
        <w:t>Gastroenterology</w:t>
      </w:r>
      <w:r w:rsidRPr="0028500E">
        <w:rPr>
          <w:rFonts w:ascii="Book Antiqua" w:hAnsi="Book Antiqua"/>
          <w:sz w:val="24"/>
          <w:szCs w:val="24"/>
        </w:rPr>
        <w:t xml:space="preserve"> 2006; </w:t>
      </w:r>
      <w:r w:rsidRPr="0028500E">
        <w:rPr>
          <w:rFonts w:ascii="Book Antiqua" w:hAnsi="Book Antiqua"/>
          <w:b/>
          <w:sz w:val="24"/>
          <w:szCs w:val="24"/>
        </w:rPr>
        <w:t>130</w:t>
      </w:r>
      <w:r w:rsidRPr="0028500E">
        <w:rPr>
          <w:rFonts w:ascii="Book Antiqua" w:hAnsi="Book Antiqua"/>
          <w:sz w:val="24"/>
          <w:szCs w:val="24"/>
        </w:rPr>
        <w:t>: 2217-2228 [PMID: 16762644 DOI: 10.1053/j.gastro.2006.04.033]</w:t>
      </w:r>
    </w:p>
    <w:p w14:paraId="61AC8B3F"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41 </w:t>
      </w:r>
      <w:r w:rsidRPr="0028500E">
        <w:rPr>
          <w:rFonts w:ascii="Book Antiqua" w:hAnsi="Book Antiqua"/>
          <w:b/>
          <w:sz w:val="24"/>
          <w:szCs w:val="24"/>
        </w:rPr>
        <w:t>Sekine M</w:t>
      </w:r>
      <w:r w:rsidRPr="0028500E">
        <w:rPr>
          <w:rFonts w:ascii="Book Antiqua" w:hAnsi="Book Antiqua"/>
          <w:sz w:val="24"/>
          <w:szCs w:val="24"/>
        </w:rPr>
        <w:t xml:space="preserve">, Imaoka H, Mizuno N, Hara K, Hijioka S, Niwa Y, Tajika M, Tanaka T, Ishihara M, Ito S, Misawa K, Ito Y, Shimizu Y, Yatabe Y, Ohnishi H, Yamao K. Clinical course of gastrointestinal stromal tumor diagnosed by endoscopic ultrasound-guided fine-needle aspiration. </w:t>
      </w:r>
      <w:r w:rsidRPr="0028500E">
        <w:rPr>
          <w:rFonts w:ascii="Book Antiqua" w:hAnsi="Book Antiqua"/>
          <w:i/>
          <w:sz w:val="24"/>
          <w:szCs w:val="24"/>
        </w:rPr>
        <w:t>Dig Endosc</w:t>
      </w:r>
      <w:r w:rsidRPr="0028500E">
        <w:rPr>
          <w:rFonts w:ascii="Book Antiqua" w:hAnsi="Book Antiqua"/>
          <w:sz w:val="24"/>
          <w:szCs w:val="24"/>
        </w:rPr>
        <w:t xml:space="preserve"> 2015; </w:t>
      </w:r>
      <w:r w:rsidRPr="0028500E">
        <w:rPr>
          <w:rFonts w:ascii="Book Antiqua" w:hAnsi="Book Antiqua"/>
          <w:b/>
          <w:sz w:val="24"/>
          <w:szCs w:val="24"/>
        </w:rPr>
        <w:t>27</w:t>
      </w:r>
      <w:r w:rsidRPr="0028500E">
        <w:rPr>
          <w:rFonts w:ascii="Book Antiqua" w:hAnsi="Book Antiqua"/>
          <w:sz w:val="24"/>
          <w:szCs w:val="24"/>
        </w:rPr>
        <w:t>: 44-52 [PMID: 25059428 DOI: 10.1111/den.12333]</w:t>
      </w:r>
    </w:p>
    <w:p w14:paraId="3366C861"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42 </w:t>
      </w:r>
      <w:r w:rsidRPr="0028500E">
        <w:rPr>
          <w:rFonts w:ascii="Book Antiqua" w:hAnsi="Book Antiqua"/>
          <w:b/>
          <w:sz w:val="24"/>
          <w:szCs w:val="24"/>
        </w:rPr>
        <w:t>Higuchi N</w:t>
      </w:r>
      <w:r w:rsidRPr="0028500E">
        <w:rPr>
          <w:rFonts w:ascii="Book Antiqua" w:hAnsi="Book Antiqua"/>
          <w:sz w:val="24"/>
          <w:szCs w:val="24"/>
        </w:rPr>
        <w:t xml:space="preserve">, Akahoshi K, Honda K, Matsui N, Kubokawa M, Motomura Y, Nakamura K, Takayanagi R. Diagnosis of a small splenic artery aneurysm mimicking a gastric submucosal tumor on endoscopic ultrasound. </w:t>
      </w:r>
      <w:r w:rsidRPr="0028500E">
        <w:rPr>
          <w:rFonts w:ascii="Book Antiqua" w:hAnsi="Book Antiqua"/>
          <w:i/>
          <w:sz w:val="24"/>
          <w:szCs w:val="24"/>
        </w:rPr>
        <w:t>Endoscopy</w:t>
      </w:r>
      <w:r w:rsidRPr="0028500E">
        <w:rPr>
          <w:rFonts w:ascii="Book Antiqua" w:hAnsi="Book Antiqua"/>
          <w:sz w:val="24"/>
          <w:szCs w:val="24"/>
        </w:rPr>
        <w:t xml:space="preserve"> 2010; </w:t>
      </w:r>
      <w:r w:rsidRPr="0028500E">
        <w:rPr>
          <w:rFonts w:ascii="Book Antiqua" w:hAnsi="Book Antiqua"/>
          <w:b/>
          <w:sz w:val="24"/>
          <w:szCs w:val="24"/>
        </w:rPr>
        <w:t>42 Suppl 2</w:t>
      </w:r>
      <w:r w:rsidRPr="0028500E">
        <w:rPr>
          <w:rFonts w:ascii="Book Antiqua" w:hAnsi="Book Antiqua"/>
          <w:sz w:val="24"/>
          <w:szCs w:val="24"/>
        </w:rPr>
        <w:t>: E107-E108 [PMID: 20306394 DOI: 10.1055/s-0029-1243940]</w:t>
      </w:r>
    </w:p>
    <w:p w14:paraId="0921F893"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lastRenderedPageBreak/>
        <w:t xml:space="preserve">43 </w:t>
      </w:r>
      <w:r w:rsidRPr="0028500E">
        <w:rPr>
          <w:rFonts w:ascii="Book Antiqua" w:hAnsi="Book Antiqua"/>
          <w:b/>
          <w:sz w:val="24"/>
          <w:szCs w:val="24"/>
        </w:rPr>
        <w:t>Boyce GA</w:t>
      </w:r>
      <w:r w:rsidRPr="0028500E">
        <w:rPr>
          <w:rFonts w:ascii="Book Antiqua" w:hAnsi="Book Antiqua"/>
          <w:sz w:val="24"/>
          <w:szCs w:val="24"/>
        </w:rPr>
        <w:t xml:space="preserve">, Sivak MV Jr, Rösch T, Classen M, Fleischer DE, Boyce HW Jr, Lightdale CJ, Botet JF, Hawes RH, Lehman GA. Evaluation of submucosal upper gastrointestinal tract lesions by endoscopic ultrasound. </w:t>
      </w:r>
      <w:r w:rsidRPr="0028500E">
        <w:rPr>
          <w:rFonts w:ascii="Book Antiqua" w:hAnsi="Book Antiqua"/>
          <w:i/>
          <w:sz w:val="24"/>
          <w:szCs w:val="24"/>
        </w:rPr>
        <w:t>Gastrointest Endosc</w:t>
      </w:r>
      <w:r w:rsidRPr="0028500E">
        <w:rPr>
          <w:rFonts w:ascii="Book Antiqua" w:hAnsi="Book Antiqua"/>
          <w:sz w:val="24"/>
          <w:szCs w:val="24"/>
        </w:rPr>
        <w:t xml:space="preserve"> 1991; </w:t>
      </w:r>
      <w:r w:rsidRPr="0028500E">
        <w:rPr>
          <w:rFonts w:ascii="Book Antiqua" w:hAnsi="Book Antiqua"/>
          <w:b/>
          <w:sz w:val="24"/>
          <w:szCs w:val="24"/>
        </w:rPr>
        <w:t>37</w:t>
      </w:r>
      <w:r w:rsidRPr="0028500E">
        <w:rPr>
          <w:rFonts w:ascii="Book Antiqua" w:hAnsi="Book Antiqua"/>
          <w:sz w:val="24"/>
          <w:szCs w:val="24"/>
        </w:rPr>
        <w:t>: 449-454 [PMID: 1916167]</w:t>
      </w:r>
    </w:p>
    <w:p w14:paraId="7749CFE1"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44 </w:t>
      </w:r>
      <w:r w:rsidRPr="0028500E">
        <w:rPr>
          <w:rFonts w:ascii="Book Antiqua" w:hAnsi="Book Antiqua"/>
          <w:b/>
          <w:sz w:val="24"/>
          <w:szCs w:val="24"/>
        </w:rPr>
        <w:t>Palazzo L</w:t>
      </w:r>
      <w:r w:rsidRPr="0028500E">
        <w:rPr>
          <w:rFonts w:ascii="Book Antiqua" w:hAnsi="Book Antiqua"/>
          <w:sz w:val="24"/>
          <w:szCs w:val="24"/>
        </w:rPr>
        <w:t xml:space="preserve">, Landi B, Cellier C, Cuillerier E, Roseau G, Barbier JP. Endosonographic features predictive of benign and malignant gastrointestinal stromal cell tumours. </w:t>
      </w:r>
      <w:r w:rsidRPr="0028500E">
        <w:rPr>
          <w:rFonts w:ascii="Book Antiqua" w:hAnsi="Book Antiqua"/>
          <w:i/>
          <w:sz w:val="24"/>
          <w:szCs w:val="24"/>
        </w:rPr>
        <w:t>Gut</w:t>
      </w:r>
      <w:r w:rsidRPr="0028500E">
        <w:rPr>
          <w:rFonts w:ascii="Book Antiqua" w:hAnsi="Book Antiqua"/>
          <w:sz w:val="24"/>
          <w:szCs w:val="24"/>
        </w:rPr>
        <w:t xml:space="preserve"> 2000; </w:t>
      </w:r>
      <w:r w:rsidRPr="0028500E">
        <w:rPr>
          <w:rFonts w:ascii="Book Antiqua" w:hAnsi="Book Antiqua"/>
          <w:b/>
          <w:sz w:val="24"/>
          <w:szCs w:val="24"/>
        </w:rPr>
        <w:t>46</w:t>
      </w:r>
      <w:r w:rsidRPr="0028500E">
        <w:rPr>
          <w:rFonts w:ascii="Book Antiqua" w:hAnsi="Book Antiqua"/>
          <w:sz w:val="24"/>
          <w:szCs w:val="24"/>
        </w:rPr>
        <w:t>: 88-92 [PMID: 10601061 DOI: 10.1136/gut.46.1.88]</w:t>
      </w:r>
    </w:p>
    <w:p w14:paraId="65B8D895"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45 </w:t>
      </w:r>
      <w:r w:rsidRPr="0028500E">
        <w:rPr>
          <w:rFonts w:ascii="Book Antiqua" w:hAnsi="Book Antiqua"/>
          <w:b/>
          <w:sz w:val="24"/>
          <w:szCs w:val="24"/>
        </w:rPr>
        <w:t>Chak A</w:t>
      </w:r>
      <w:r w:rsidRPr="0028500E">
        <w:rPr>
          <w:rFonts w:ascii="Book Antiqua" w:hAnsi="Book Antiqua"/>
          <w:sz w:val="24"/>
          <w:szCs w:val="24"/>
        </w:rPr>
        <w:t xml:space="preserve">, Canto MI, Rösch T, Dittler HJ, Hawes RH, Tio TL, Lightdale CJ, Boyce HW, Scheiman J, Carpenter SL, Van Dam J, Kochman ML, Sivak MV Jr. Endosonographic differentiation of benign and malignant stromal cell tumors. </w:t>
      </w:r>
      <w:r w:rsidRPr="0028500E">
        <w:rPr>
          <w:rFonts w:ascii="Book Antiqua" w:hAnsi="Book Antiqua"/>
          <w:i/>
          <w:sz w:val="24"/>
          <w:szCs w:val="24"/>
        </w:rPr>
        <w:t>Gastrointest Endosc</w:t>
      </w:r>
      <w:r w:rsidRPr="0028500E">
        <w:rPr>
          <w:rFonts w:ascii="Book Antiqua" w:hAnsi="Book Antiqua"/>
          <w:sz w:val="24"/>
          <w:szCs w:val="24"/>
        </w:rPr>
        <w:t xml:space="preserve"> 1997; </w:t>
      </w:r>
      <w:r w:rsidRPr="0028500E">
        <w:rPr>
          <w:rFonts w:ascii="Book Antiqua" w:hAnsi="Book Antiqua"/>
          <w:b/>
          <w:sz w:val="24"/>
          <w:szCs w:val="24"/>
        </w:rPr>
        <w:t>45</w:t>
      </w:r>
      <w:r w:rsidRPr="0028500E">
        <w:rPr>
          <w:rFonts w:ascii="Book Antiqua" w:hAnsi="Book Antiqua"/>
          <w:sz w:val="24"/>
          <w:szCs w:val="24"/>
        </w:rPr>
        <w:t>: 468-473 [PMID: 9199902 DOI: 10.1016/S0016-5107(97)70175-5]</w:t>
      </w:r>
    </w:p>
    <w:p w14:paraId="7F59B0E7" w14:textId="40129851"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46 </w:t>
      </w:r>
      <w:r w:rsidRPr="0028500E">
        <w:rPr>
          <w:rFonts w:ascii="Book Antiqua" w:hAnsi="Book Antiqua"/>
          <w:b/>
          <w:sz w:val="24"/>
          <w:szCs w:val="24"/>
        </w:rPr>
        <w:t>Kim MN</w:t>
      </w:r>
      <w:r w:rsidRPr="0028500E">
        <w:rPr>
          <w:rFonts w:ascii="Book Antiqua" w:hAnsi="Book Antiqua"/>
          <w:sz w:val="24"/>
          <w:szCs w:val="24"/>
        </w:rPr>
        <w:t xml:space="preserve">, Kang SJ, Kim SG, Im JP, Kim JS, Jung HC, Song IS. Prediction of risk of malignancy of gastrointestinal stromal tumors by endoscopic ultrasonography. </w:t>
      </w:r>
      <w:r w:rsidRPr="0028500E">
        <w:rPr>
          <w:rFonts w:ascii="Book Antiqua" w:hAnsi="Book Antiqua"/>
          <w:i/>
          <w:sz w:val="24"/>
          <w:szCs w:val="24"/>
        </w:rPr>
        <w:t>Gut Liver</w:t>
      </w:r>
      <w:r w:rsidRPr="0028500E">
        <w:rPr>
          <w:rFonts w:ascii="Book Antiqua" w:hAnsi="Book Antiqua"/>
          <w:sz w:val="24"/>
          <w:szCs w:val="24"/>
        </w:rPr>
        <w:t xml:space="preserve"> 2013; </w:t>
      </w:r>
      <w:r w:rsidRPr="0028500E">
        <w:rPr>
          <w:rFonts w:ascii="Book Antiqua" w:hAnsi="Book Antiqua"/>
          <w:b/>
          <w:sz w:val="24"/>
          <w:szCs w:val="24"/>
        </w:rPr>
        <w:t>7</w:t>
      </w:r>
      <w:r w:rsidRPr="0028500E">
        <w:rPr>
          <w:rFonts w:ascii="Book Antiqua" w:hAnsi="Book Antiqua"/>
          <w:sz w:val="24"/>
          <w:szCs w:val="24"/>
        </w:rPr>
        <w:t>: 642-647 [PMID: 2431270</w:t>
      </w:r>
      <w:r w:rsidR="001F60BB" w:rsidRPr="0028500E">
        <w:rPr>
          <w:rFonts w:ascii="Book Antiqua" w:hAnsi="Book Antiqua"/>
          <w:sz w:val="24"/>
          <w:szCs w:val="24"/>
        </w:rPr>
        <w:t>3 DOI: 10.5009/gnl.2013.7.6.642</w:t>
      </w:r>
      <w:r w:rsidRPr="0028500E">
        <w:rPr>
          <w:rFonts w:ascii="Book Antiqua" w:hAnsi="Book Antiqua"/>
          <w:sz w:val="24"/>
          <w:szCs w:val="24"/>
        </w:rPr>
        <w:t>]</w:t>
      </w:r>
    </w:p>
    <w:p w14:paraId="2EE499E3"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47 </w:t>
      </w:r>
      <w:r w:rsidRPr="0028500E">
        <w:rPr>
          <w:rFonts w:ascii="Book Antiqua" w:hAnsi="Book Antiqua"/>
          <w:b/>
          <w:sz w:val="24"/>
          <w:szCs w:val="24"/>
        </w:rPr>
        <w:t>Hwang JH</w:t>
      </w:r>
      <w:r w:rsidRPr="0028500E">
        <w:rPr>
          <w:rFonts w:ascii="Book Antiqua" w:hAnsi="Book Antiqua"/>
          <w:sz w:val="24"/>
          <w:szCs w:val="24"/>
        </w:rPr>
        <w:t xml:space="preserve">, Saunders MD, Rulyak SJ, Shaw S, Nietsch H, Kimmey MB. A prospective study comparing endoscopy and EUS in the evaluation of GI subepithelial masses. </w:t>
      </w:r>
      <w:r w:rsidRPr="0028500E">
        <w:rPr>
          <w:rFonts w:ascii="Book Antiqua" w:hAnsi="Book Antiqua"/>
          <w:i/>
          <w:sz w:val="24"/>
          <w:szCs w:val="24"/>
        </w:rPr>
        <w:t>Gastrointest Endosc</w:t>
      </w:r>
      <w:r w:rsidRPr="0028500E">
        <w:rPr>
          <w:rFonts w:ascii="Book Antiqua" w:hAnsi="Book Antiqua"/>
          <w:sz w:val="24"/>
          <w:szCs w:val="24"/>
        </w:rPr>
        <w:t xml:space="preserve"> 2005; </w:t>
      </w:r>
      <w:r w:rsidRPr="0028500E">
        <w:rPr>
          <w:rFonts w:ascii="Book Antiqua" w:hAnsi="Book Antiqua"/>
          <w:b/>
          <w:sz w:val="24"/>
          <w:szCs w:val="24"/>
        </w:rPr>
        <w:t>62</w:t>
      </w:r>
      <w:r w:rsidRPr="0028500E">
        <w:rPr>
          <w:rFonts w:ascii="Book Antiqua" w:hAnsi="Book Antiqua"/>
          <w:sz w:val="24"/>
          <w:szCs w:val="24"/>
        </w:rPr>
        <w:t>: 202-208 [PMID: 16046979]</w:t>
      </w:r>
    </w:p>
    <w:p w14:paraId="12F058A2"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48 </w:t>
      </w:r>
      <w:r w:rsidRPr="0028500E">
        <w:rPr>
          <w:rFonts w:ascii="Book Antiqua" w:hAnsi="Book Antiqua"/>
          <w:b/>
          <w:sz w:val="24"/>
          <w:szCs w:val="24"/>
        </w:rPr>
        <w:t>Karaca C</w:t>
      </w:r>
      <w:r w:rsidRPr="0028500E">
        <w:rPr>
          <w:rFonts w:ascii="Book Antiqua" w:hAnsi="Book Antiqua"/>
          <w:sz w:val="24"/>
          <w:szCs w:val="24"/>
        </w:rPr>
        <w:t xml:space="preserve">, Turner BG, Cizginer S, Forcione D, Brugge W. Accuracy of EUS in the evaluation of small gastric subepithelial lesions. </w:t>
      </w:r>
      <w:r w:rsidRPr="0028500E">
        <w:rPr>
          <w:rFonts w:ascii="Book Antiqua" w:hAnsi="Book Antiqua"/>
          <w:i/>
          <w:sz w:val="24"/>
          <w:szCs w:val="24"/>
        </w:rPr>
        <w:t>Gastrointest Endosc</w:t>
      </w:r>
      <w:r w:rsidRPr="0028500E">
        <w:rPr>
          <w:rFonts w:ascii="Book Antiqua" w:hAnsi="Book Antiqua"/>
          <w:sz w:val="24"/>
          <w:szCs w:val="24"/>
        </w:rPr>
        <w:t xml:space="preserve"> 2010; </w:t>
      </w:r>
      <w:r w:rsidRPr="0028500E">
        <w:rPr>
          <w:rFonts w:ascii="Book Antiqua" w:hAnsi="Book Antiqua"/>
          <w:b/>
          <w:sz w:val="24"/>
          <w:szCs w:val="24"/>
        </w:rPr>
        <w:t>71</w:t>
      </w:r>
      <w:r w:rsidRPr="0028500E">
        <w:rPr>
          <w:rFonts w:ascii="Book Antiqua" w:hAnsi="Book Antiqua"/>
          <w:sz w:val="24"/>
          <w:szCs w:val="24"/>
        </w:rPr>
        <w:t>: 722-727 [PMID: 20171632 DOI: 10.1016/j.gie.2009.10.019]</w:t>
      </w:r>
    </w:p>
    <w:p w14:paraId="2984F70D"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49 </w:t>
      </w:r>
      <w:r w:rsidRPr="0028500E">
        <w:rPr>
          <w:rFonts w:ascii="Book Antiqua" w:hAnsi="Book Antiqua"/>
          <w:b/>
          <w:sz w:val="24"/>
          <w:szCs w:val="24"/>
        </w:rPr>
        <w:t>Kaneko E</w:t>
      </w:r>
      <w:r w:rsidRPr="0028500E">
        <w:rPr>
          <w:rFonts w:ascii="Book Antiqua" w:hAnsi="Book Antiqua"/>
          <w:sz w:val="24"/>
          <w:szCs w:val="24"/>
        </w:rPr>
        <w:t xml:space="preserve">, Kumagai J, Honda N, Nakamura S, Kino I. Evaluation of the new giant-biopsy forceps in the diagnosis of mucosal and submucosal gastric lesions. </w:t>
      </w:r>
      <w:r w:rsidRPr="0028500E">
        <w:rPr>
          <w:rFonts w:ascii="Book Antiqua" w:hAnsi="Book Antiqua"/>
          <w:i/>
          <w:sz w:val="24"/>
          <w:szCs w:val="24"/>
        </w:rPr>
        <w:t>Endoscopy</w:t>
      </w:r>
      <w:r w:rsidRPr="0028500E">
        <w:rPr>
          <w:rFonts w:ascii="Book Antiqua" w:hAnsi="Book Antiqua"/>
          <w:sz w:val="24"/>
          <w:szCs w:val="24"/>
        </w:rPr>
        <w:t xml:space="preserve"> 1983; </w:t>
      </w:r>
      <w:r w:rsidRPr="0028500E">
        <w:rPr>
          <w:rFonts w:ascii="Book Antiqua" w:hAnsi="Book Antiqua"/>
          <w:b/>
          <w:sz w:val="24"/>
          <w:szCs w:val="24"/>
        </w:rPr>
        <w:t>15</w:t>
      </w:r>
      <w:r w:rsidRPr="0028500E">
        <w:rPr>
          <w:rFonts w:ascii="Book Antiqua" w:hAnsi="Book Antiqua"/>
          <w:sz w:val="24"/>
          <w:szCs w:val="24"/>
        </w:rPr>
        <w:t>: 322-326 [PMID: 6628343 DOI: 10.1055/s-2007-1021545]</w:t>
      </w:r>
    </w:p>
    <w:p w14:paraId="6D066A0A"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50 </w:t>
      </w:r>
      <w:r w:rsidRPr="0028500E">
        <w:rPr>
          <w:rFonts w:ascii="Book Antiqua" w:hAnsi="Book Antiqua"/>
          <w:b/>
          <w:sz w:val="24"/>
          <w:szCs w:val="24"/>
        </w:rPr>
        <w:t>Scarpa M</w:t>
      </w:r>
      <w:r w:rsidRPr="0028500E">
        <w:rPr>
          <w:rFonts w:ascii="Book Antiqua" w:hAnsi="Book Antiqua"/>
          <w:sz w:val="24"/>
          <w:szCs w:val="24"/>
        </w:rPr>
        <w:t xml:space="preserve">, Bertin M, Ruffolo C, Polese L, D'Amico DF, Angriman I. A systematic review on the clinical diagnosis of gastrointestinal stromal tumors. </w:t>
      </w:r>
      <w:r w:rsidRPr="0028500E">
        <w:rPr>
          <w:rFonts w:ascii="Book Antiqua" w:hAnsi="Book Antiqua"/>
          <w:i/>
          <w:sz w:val="24"/>
          <w:szCs w:val="24"/>
        </w:rPr>
        <w:t>J Surg Oncol</w:t>
      </w:r>
      <w:r w:rsidRPr="0028500E">
        <w:rPr>
          <w:rFonts w:ascii="Book Antiqua" w:hAnsi="Book Antiqua"/>
          <w:sz w:val="24"/>
          <w:szCs w:val="24"/>
        </w:rPr>
        <w:t xml:space="preserve"> 2008; </w:t>
      </w:r>
      <w:r w:rsidRPr="0028500E">
        <w:rPr>
          <w:rFonts w:ascii="Book Antiqua" w:hAnsi="Book Antiqua"/>
          <w:b/>
          <w:sz w:val="24"/>
          <w:szCs w:val="24"/>
        </w:rPr>
        <w:t>98</w:t>
      </w:r>
      <w:r w:rsidRPr="0028500E">
        <w:rPr>
          <w:rFonts w:ascii="Book Antiqua" w:hAnsi="Book Antiqua"/>
          <w:sz w:val="24"/>
          <w:szCs w:val="24"/>
        </w:rPr>
        <w:t>: 384-392 [PMID: 18668671 DOI: 10.1002/jso.21120]</w:t>
      </w:r>
    </w:p>
    <w:p w14:paraId="2A1EE3F1"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51 </w:t>
      </w:r>
      <w:r w:rsidRPr="0028500E">
        <w:rPr>
          <w:rFonts w:ascii="Book Antiqua" w:hAnsi="Book Antiqua"/>
          <w:b/>
          <w:sz w:val="24"/>
          <w:szCs w:val="24"/>
        </w:rPr>
        <w:t>Cantor MJ</w:t>
      </w:r>
      <w:r w:rsidRPr="0028500E">
        <w:rPr>
          <w:rFonts w:ascii="Book Antiqua" w:hAnsi="Book Antiqua"/>
          <w:sz w:val="24"/>
          <w:szCs w:val="24"/>
        </w:rPr>
        <w:t xml:space="preserve">, Davila RE, Faigel DO. Yield of tissue sampling for subepithelial </w:t>
      </w:r>
      <w:r w:rsidRPr="0028500E">
        <w:rPr>
          <w:rFonts w:ascii="Book Antiqua" w:hAnsi="Book Antiqua"/>
          <w:sz w:val="24"/>
          <w:szCs w:val="24"/>
        </w:rPr>
        <w:lastRenderedPageBreak/>
        <w:t xml:space="preserve">lesions evaluated by EUS: a comparison between forceps biopsies and endoscopic submucosal resection. </w:t>
      </w:r>
      <w:r w:rsidRPr="0028500E">
        <w:rPr>
          <w:rFonts w:ascii="Book Antiqua" w:hAnsi="Book Antiqua"/>
          <w:i/>
          <w:sz w:val="24"/>
          <w:szCs w:val="24"/>
        </w:rPr>
        <w:t>Gastrointest Endosc</w:t>
      </w:r>
      <w:r w:rsidRPr="0028500E">
        <w:rPr>
          <w:rFonts w:ascii="Book Antiqua" w:hAnsi="Book Antiqua"/>
          <w:sz w:val="24"/>
          <w:szCs w:val="24"/>
        </w:rPr>
        <w:t xml:space="preserve"> 2006; </w:t>
      </w:r>
      <w:r w:rsidRPr="0028500E">
        <w:rPr>
          <w:rFonts w:ascii="Book Antiqua" w:hAnsi="Book Antiqua"/>
          <w:b/>
          <w:sz w:val="24"/>
          <w:szCs w:val="24"/>
        </w:rPr>
        <w:t>64</w:t>
      </w:r>
      <w:r w:rsidRPr="0028500E">
        <w:rPr>
          <w:rFonts w:ascii="Book Antiqua" w:hAnsi="Book Antiqua"/>
          <w:sz w:val="24"/>
          <w:szCs w:val="24"/>
        </w:rPr>
        <w:t>: 29-34 [PMID: 16813799 DOI: 10.1016/j.gie.2006.02.027]</w:t>
      </w:r>
    </w:p>
    <w:p w14:paraId="7E1B5403"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52 </w:t>
      </w:r>
      <w:r w:rsidRPr="0028500E">
        <w:rPr>
          <w:rFonts w:ascii="Book Antiqua" w:hAnsi="Book Antiqua"/>
          <w:b/>
          <w:sz w:val="24"/>
          <w:szCs w:val="24"/>
        </w:rPr>
        <w:t>Hunt GC</w:t>
      </w:r>
      <w:r w:rsidRPr="0028500E">
        <w:rPr>
          <w:rFonts w:ascii="Book Antiqua" w:hAnsi="Book Antiqua"/>
          <w:sz w:val="24"/>
          <w:szCs w:val="24"/>
        </w:rPr>
        <w:t xml:space="preserve">, Smith PP, Faigel DO. Yield of tissue sampling for submucosal lesions evaluated by EUS. </w:t>
      </w:r>
      <w:r w:rsidRPr="0028500E">
        <w:rPr>
          <w:rFonts w:ascii="Book Antiqua" w:hAnsi="Book Antiqua"/>
          <w:i/>
          <w:sz w:val="24"/>
          <w:szCs w:val="24"/>
        </w:rPr>
        <w:t>Gastrointest Endosc</w:t>
      </w:r>
      <w:r w:rsidRPr="0028500E">
        <w:rPr>
          <w:rFonts w:ascii="Book Antiqua" w:hAnsi="Book Antiqua"/>
          <w:sz w:val="24"/>
          <w:szCs w:val="24"/>
        </w:rPr>
        <w:t xml:space="preserve"> 2003; </w:t>
      </w:r>
      <w:r w:rsidRPr="0028500E">
        <w:rPr>
          <w:rFonts w:ascii="Book Antiqua" w:hAnsi="Book Antiqua"/>
          <w:b/>
          <w:sz w:val="24"/>
          <w:szCs w:val="24"/>
        </w:rPr>
        <w:t>57</w:t>
      </w:r>
      <w:r w:rsidRPr="0028500E">
        <w:rPr>
          <w:rFonts w:ascii="Book Antiqua" w:hAnsi="Book Antiqua"/>
          <w:sz w:val="24"/>
          <w:szCs w:val="24"/>
        </w:rPr>
        <w:t>: 68-72 [PMID: 12518134 DOI: 10.1067/mge.2003.34]</w:t>
      </w:r>
    </w:p>
    <w:p w14:paraId="7972F185"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53 </w:t>
      </w:r>
      <w:r w:rsidRPr="0028500E">
        <w:rPr>
          <w:rFonts w:ascii="Book Antiqua" w:hAnsi="Book Antiqua"/>
          <w:b/>
          <w:sz w:val="24"/>
          <w:szCs w:val="24"/>
        </w:rPr>
        <w:t>Buscaglia JM</w:t>
      </w:r>
      <w:r w:rsidRPr="0028500E">
        <w:rPr>
          <w:rFonts w:ascii="Book Antiqua" w:hAnsi="Book Antiqua"/>
          <w:sz w:val="24"/>
          <w:szCs w:val="24"/>
        </w:rPr>
        <w:t xml:space="preserve">, Nagula S, Jayaraman V, Robbins DH, Vadada D, Gross SA, DiMaio CJ, Pais S, Patel K, Sejpal DV, Kim MK. Diagnostic yield and safety of jumbo biopsy forceps in patients with subepithelial lesions of the upper and lower GI tract. </w:t>
      </w:r>
      <w:r w:rsidRPr="0028500E">
        <w:rPr>
          <w:rFonts w:ascii="Book Antiqua" w:hAnsi="Book Antiqua"/>
          <w:i/>
          <w:sz w:val="24"/>
          <w:szCs w:val="24"/>
        </w:rPr>
        <w:t>Gastrointest Endosc</w:t>
      </w:r>
      <w:r w:rsidRPr="0028500E">
        <w:rPr>
          <w:rFonts w:ascii="Book Antiqua" w:hAnsi="Book Antiqua"/>
          <w:sz w:val="24"/>
          <w:szCs w:val="24"/>
        </w:rPr>
        <w:t xml:space="preserve"> 2012; </w:t>
      </w:r>
      <w:r w:rsidRPr="0028500E">
        <w:rPr>
          <w:rFonts w:ascii="Book Antiqua" w:hAnsi="Book Antiqua"/>
          <w:b/>
          <w:sz w:val="24"/>
          <w:szCs w:val="24"/>
        </w:rPr>
        <w:t>75</w:t>
      </w:r>
      <w:r w:rsidRPr="0028500E">
        <w:rPr>
          <w:rFonts w:ascii="Book Antiqua" w:hAnsi="Book Antiqua"/>
          <w:sz w:val="24"/>
          <w:szCs w:val="24"/>
        </w:rPr>
        <w:t>: 1147-1152 [PMID: 22425270 DOI: 10.1016/j.gie.2012.01.032]</w:t>
      </w:r>
    </w:p>
    <w:p w14:paraId="49A873E0"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54 </w:t>
      </w:r>
      <w:r w:rsidRPr="0028500E">
        <w:rPr>
          <w:rFonts w:ascii="Book Antiqua" w:hAnsi="Book Antiqua"/>
          <w:b/>
          <w:sz w:val="24"/>
          <w:szCs w:val="24"/>
        </w:rPr>
        <w:t>Mekky MA</w:t>
      </w:r>
      <w:r w:rsidRPr="0028500E">
        <w:rPr>
          <w:rFonts w:ascii="Book Antiqua" w:hAnsi="Book Antiqua"/>
          <w:sz w:val="24"/>
          <w:szCs w:val="24"/>
        </w:rPr>
        <w:t xml:space="preserve">, Yamao K, Sawaki A, Mizuno N, Hara K, Nafeh MA, Osman AM, Koshikawa T, Yatabe Y, Bhatia V. Diagnostic utility of EUS-guided FNA in patients with gastric submucosal tumors. </w:t>
      </w:r>
      <w:r w:rsidRPr="0028500E">
        <w:rPr>
          <w:rFonts w:ascii="Book Antiqua" w:hAnsi="Book Antiqua"/>
          <w:i/>
          <w:sz w:val="24"/>
          <w:szCs w:val="24"/>
        </w:rPr>
        <w:t>Gastrointest Endosc</w:t>
      </w:r>
      <w:r w:rsidRPr="0028500E">
        <w:rPr>
          <w:rFonts w:ascii="Book Antiqua" w:hAnsi="Book Antiqua"/>
          <w:sz w:val="24"/>
          <w:szCs w:val="24"/>
        </w:rPr>
        <w:t xml:space="preserve"> 2010; </w:t>
      </w:r>
      <w:r w:rsidRPr="0028500E">
        <w:rPr>
          <w:rFonts w:ascii="Book Antiqua" w:hAnsi="Book Antiqua"/>
          <w:b/>
          <w:sz w:val="24"/>
          <w:szCs w:val="24"/>
        </w:rPr>
        <w:t>71</w:t>
      </w:r>
      <w:r w:rsidRPr="0028500E">
        <w:rPr>
          <w:rFonts w:ascii="Book Antiqua" w:hAnsi="Book Antiqua"/>
          <w:sz w:val="24"/>
          <w:szCs w:val="24"/>
        </w:rPr>
        <w:t>: 913-919 [PMID: 20226456 DOI: 10.1016/j.gie.2009.11.044]</w:t>
      </w:r>
    </w:p>
    <w:p w14:paraId="5E723C41"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55 </w:t>
      </w:r>
      <w:r w:rsidRPr="0028500E">
        <w:rPr>
          <w:rFonts w:ascii="Book Antiqua" w:hAnsi="Book Antiqua"/>
          <w:b/>
          <w:sz w:val="24"/>
          <w:szCs w:val="24"/>
        </w:rPr>
        <w:t>Larghi A</w:t>
      </w:r>
      <w:r w:rsidRPr="0028500E">
        <w:rPr>
          <w:rFonts w:ascii="Book Antiqua" w:hAnsi="Book Antiqua"/>
          <w:sz w:val="24"/>
          <w:szCs w:val="24"/>
        </w:rPr>
        <w:t xml:space="preserve">, Fuccio L, Chiarello G, Attili F, Vanella G, Paliani GB, Napoleone M, Rindi G, Larocca LM, Costamagna G, Ricci R. Fine-needle tissue acquisition from subepithelial lesions using a forward-viewing linear echoendoscope. </w:t>
      </w:r>
      <w:r w:rsidRPr="0028500E">
        <w:rPr>
          <w:rFonts w:ascii="Book Antiqua" w:hAnsi="Book Antiqua"/>
          <w:i/>
          <w:sz w:val="24"/>
          <w:szCs w:val="24"/>
        </w:rPr>
        <w:t>Endoscopy</w:t>
      </w:r>
      <w:r w:rsidRPr="0028500E">
        <w:rPr>
          <w:rFonts w:ascii="Book Antiqua" w:hAnsi="Book Antiqua"/>
          <w:sz w:val="24"/>
          <w:szCs w:val="24"/>
        </w:rPr>
        <w:t xml:space="preserve"> 2014; </w:t>
      </w:r>
      <w:r w:rsidRPr="0028500E">
        <w:rPr>
          <w:rFonts w:ascii="Book Antiqua" w:hAnsi="Book Antiqua"/>
          <w:b/>
          <w:sz w:val="24"/>
          <w:szCs w:val="24"/>
        </w:rPr>
        <w:t>46</w:t>
      </w:r>
      <w:r w:rsidRPr="0028500E">
        <w:rPr>
          <w:rFonts w:ascii="Book Antiqua" w:hAnsi="Book Antiqua"/>
          <w:sz w:val="24"/>
          <w:szCs w:val="24"/>
        </w:rPr>
        <w:t>: 39-45 [PMID: 24218311 DOI: 10.1055/s-0033-1344895]</w:t>
      </w:r>
    </w:p>
    <w:p w14:paraId="5F7E6852"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56 </w:t>
      </w:r>
      <w:r w:rsidRPr="0028500E">
        <w:rPr>
          <w:rFonts w:ascii="Book Antiqua" w:hAnsi="Book Antiqua"/>
          <w:b/>
          <w:sz w:val="24"/>
          <w:szCs w:val="24"/>
        </w:rPr>
        <w:t>Akahoshi K</w:t>
      </w:r>
      <w:r w:rsidRPr="0028500E">
        <w:rPr>
          <w:rFonts w:ascii="Book Antiqua" w:hAnsi="Book Antiqua"/>
          <w:sz w:val="24"/>
          <w:szCs w:val="24"/>
        </w:rPr>
        <w:t xml:space="preserve">, Oya M, Koga T, Koga H, Motomura Y, Kubokawa M, Gibo J, Nakamura K. Clinical usefulness of endoscopic ultrasound-guided fine needle aspiration for gastric subepithelial lesions smaller than 2 cm. </w:t>
      </w:r>
      <w:r w:rsidRPr="0028500E">
        <w:rPr>
          <w:rFonts w:ascii="Book Antiqua" w:hAnsi="Book Antiqua"/>
          <w:i/>
          <w:sz w:val="24"/>
          <w:szCs w:val="24"/>
        </w:rPr>
        <w:t>J Gastrointestin Liver Dis</w:t>
      </w:r>
      <w:r w:rsidRPr="0028500E">
        <w:rPr>
          <w:rFonts w:ascii="Book Antiqua" w:hAnsi="Book Antiqua"/>
          <w:sz w:val="24"/>
          <w:szCs w:val="24"/>
        </w:rPr>
        <w:t xml:space="preserve"> 2014; </w:t>
      </w:r>
      <w:r w:rsidRPr="0028500E">
        <w:rPr>
          <w:rFonts w:ascii="Book Antiqua" w:hAnsi="Book Antiqua"/>
          <w:b/>
          <w:sz w:val="24"/>
          <w:szCs w:val="24"/>
        </w:rPr>
        <w:t>23</w:t>
      </w:r>
      <w:r w:rsidRPr="0028500E">
        <w:rPr>
          <w:rFonts w:ascii="Book Antiqua" w:hAnsi="Book Antiqua"/>
          <w:sz w:val="24"/>
          <w:szCs w:val="24"/>
        </w:rPr>
        <w:t>: 405-412 [PMID: 25531999]</w:t>
      </w:r>
    </w:p>
    <w:p w14:paraId="0F750269"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57 </w:t>
      </w:r>
      <w:r w:rsidRPr="0028500E">
        <w:rPr>
          <w:rFonts w:ascii="Book Antiqua" w:hAnsi="Book Antiqua"/>
          <w:b/>
          <w:sz w:val="24"/>
          <w:szCs w:val="24"/>
        </w:rPr>
        <w:t>Hoda KM</w:t>
      </w:r>
      <w:r w:rsidRPr="0028500E">
        <w:rPr>
          <w:rFonts w:ascii="Book Antiqua" w:hAnsi="Book Antiqua"/>
          <w:sz w:val="24"/>
          <w:szCs w:val="24"/>
        </w:rPr>
        <w:t xml:space="preserve">, Rodriguez SA, Faigel DO. EUS-guided sampling of suspected GI stromal tumors. </w:t>
      </w:r>
      <w:r w:rsidRPr="0028500E">
        <w:rPr>
          <w:rFonts w:ascii="Book Antiqua" w:hAnsi="Book Antiqua"/>
          <w:i/>
          <w:sz w:val="24"/>
          <w:szCs w:val="24"/>
        </w:rPr>
        <w:t>Gastrointest Endosc</w:t>
      </w:r>
      <w:r w:rsidRPr="0028500E">
        <w:rPr>
          <w:rFonts w:ascii="Book Antiqua" w:hAnsi="Book Antiqua"/>
          <w:sz w:val="24"/>
          <w:szCs w:val="24"/>
        </w:rPr>
        <w:t xml:space="preserve"> 2009; </w:t>
      </w:r>
      <w:r w:rsidRPr="0028500E">
        <w:rPr>
          <w:rFonts w:ascii="Book Antiqua" w:hAnsi="Book Antiqua"/>
          <w:b/>
          <w:sz w:val="24"/>
          <w:szCs w:val="24"/>
        </w:rPr>
        <w:t>69</w:t>
      </w:r>
      <w:r w:rsidRPr="0028500E">
        <w:rPr>
          <w:rFonts w:ascii="Book Antiqua" w:hAnsi="Book Antiqua"/>
          <w:sz w:val="24"/>
          <w:szCs w:val="24"/>
        </w:rPr>
        <w:t>: 1218-1223 [PMID: 19394006 DOI: 10.1016/j.gie.2008.09.045]</w:t>
      </w:r>
    </w:p>
    <w:p w14:paraId="16EA29D9"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58 </w:t>
      </w:r>
      <w:r w:rsidRPr="0028500E">
        <w:rPr>
          <w:rFonts w:ascii="Book Antiqua" w:hAnsi="Book Antiqua"/>
          <w:b/>
          <w:sz w:val="24"/>
          <w:szCs w:val="24"/>
        </w:rPr>
        <w:t>Yamabe A</w:t>
      </w:r>
      <w:r w:rsidRPr="0028500E">
        <w:rPr>
          <w:rFonts w:ascii="Book Antiqua" w:hAnsi="Book Antiqua"/>
          <w:sz w:val="24"/>
          <w:szCs w:val="24"/>
        </w:rPr>
        <w:t xml:space="preserve">, Irisawa A, Bhutani MS, Shibukawa G, Abe Y, Saito A, Imbe K, Hoshi K, Igarashi R. Usefulness of endoscopic ultrasound-guided fine-needle aspiration with a forward-viewing and curved linear-array echoendoscope for small gastrointestinal subepithelial lesions. </w:t>
      </w:r>
      <w:r w:rsidRPr="0028500E">
        <w:rPr>
          <w:rFonts w:ascii="Book Antiqua" w:hAnsi="Book Antiqua"/>
          <w:i/>
          <w:sz w:val="24"/>
          <w:szCs w:val="24"/>
        </w:rPr>
        <w:t>Endosc Int Open</w:t>
      </w:r>
      <w:r w:rsidRPr="0028500E">
        <w:rPr>
          <w:rFonts w:ascii="Book Antiqua" w:hAnsi="Book Antiqua"/>
          <w:sz w:val="24"/>
          <w:szCs w:val="24"/>
        </w:rPr>
        <w:t xml:space="preserve"> 2015; </w:t>
      </w:r>
      <w:r w:rsidRPr="0028500E">
        <w:rPr>
          <w:rFonts w:ascii="Book Antiqua" w:hAnsi="Book Antiqua"/>
          <w:b/>
          <w:sz w:val="24"/>
          <w:szCs w:val="24"/>
        </w:rPr>
        <w:t>3</w:t>
      </w:r>
      <w:r w:rsidRPr="0028500E">
        <w:rPr>
          <w:rFonts w:ascii="Book Antiqua" w:hAnsi="Book Antiqua"/>
          <w:sz w:val="24"/>
          <w:szCs w:val="24"/>
        </w:rPr>
        <w:t xml:space="preserve">: E161-E164 </w:t>
      </w:r>
      <w:r w:rsidRPr="0028500E">
        <w:rPr>
          <w:rFonts w:ascii="Book Antiqua" w:hAnsi="Book Antiqua"/>
          <w:sz w:val="24"/>
          <w:szCs w:val="24"/>
        </w:rPr>
        <w:lastRenderedPageBreak/>
        <w:t>[PMID: 26135661 DOI: 10.1055/s-0034-1391671]</w:t>
      </w:r>
    </w:p>
    <w:p w14:paraId="30542A0C"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59 </w:t>
      </w:r>
      <w:r w:rsidRPr="0028500E">
        <w:rPr>
          <w:rFonts w:ascii="Book Antiqua" w:hAnsi="Book Antiqua"/>
          <w:b/>
          <w:sz w:val="24"/>
          <w:szCs w:val="24"/>
        </w:rPr>
        <w:t>Uesato M</w:t>
      </w:r>
      <w:r w:rsidRPr="0028500E">
        <w:rPr>
          <w:rFonts w:ascii="Book Antiqua" w:hAnsi="Book Antiqua"/>
          <w:sz w:val="24"/>
          <w:szCs w:val="24"/>
        </w:rPr>
        <w:t xml:space="preserve">, Tamachi T, Hanari N, Muto Y, Kagaya A, Urahama R, Ogura Y, Suito H, Nakano A, Aikawa M, Oide T, Matsubara H. Drill needle aspiration biopsy for submucosal tumors in an experimental study. </w:t>
      </w:r>
      <w:r w:rsidRPr="0028500E">
        <w:rPr>
          <w:rFonts w:ascii="Book Antiqua" w:hAnsi="Book Antiqua"/>
          <w:i/>
          <w:sz w:val="24"/>
          <w:szCs w:val="24"/>
        </w:rPr>
        <w:t>Gastric Cancer</w:t>
      </w:r>
      <w:r w:rsidRPr="0028500E">
        <w:rPr>
          <w:rFonts w:ascii="Book Antiqua" w:hAnsi="Book Antiqua"/>
          <w:sz w:val="24"/>
          <w:szCs w:val="24"/>
        </w:rPr>
        <w:t xml:space="preserve"> 2017; </w:t>
      </w:r>
      <w:r w:rsidRPr="0028500E">
        <w:rPr>
          <w:rFonts w:ascii="Book Antiqua" w:hAnsi="Book Antiqua"/>
          <w:b/>
          <w:sz w:val="24"/>
          <w:szCs w:val="24"/>
        </w:rPr>
        <w:t>20</w:t>
      </w:r>
      <w:r w:rsidRPr="0028500E">
        <w:rPr>
          <w:rFonts w:ascii="Book Antiqua" w:hAnsi="Book Antiqua"/>
          <w:sz w:val="24"/>
          <w:szCs w:val="24"/>
        </w:rPr>
        <w:t>: 475-480 [PMID: 27530623 DOI: 10.1007/s10120-016-0630-4]</w:t>
      </w:r>
    </w:p>
    <w:p w14:paraId="27DDDB63"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60 </w:t>
      </w:r>
      <w:r w:rsidRPr="0028500E">
        <w:rPr>
          <w:rFonts w:ascii="Book Antiqua" w:hAnsi="Book Antiqua"/>
          <w:b/>
          <w:sz w:val="24"/>
          <w:szCs w:val="24"/>
        </w:rPr>
        <w:t>Ando N</w:t>
      </w:r>
      <w:r w:rsidRPr="0028500E">
        <w:rPr>
          <w:rFonts w:ascii="Book Antiqua" w:hAnsi="Book Antiqua"/>
          <w:sz w:val="24"/>
          <w:szCs w:val="24"/>
        </w:rPr>
        <w:t xml:space="preserve">, Goto H, Niwa Y, Hirooka Y, Ohmiya N, Nagasaka T, Hayakawa T. The diagnosis of GI stromal tumors with EUS-guided fine needle aspiration with immunohistochemical analysis. </w:t>
      </w:r>
      <w:r w:rsidRPr="0028500E">
        <w:rPr>
          <w:rFonts w:ascii="Book Antiqua" w:hAnsi="Book Antiqua"/>
          <w:i/>
          <w:sz w:val="24"/>
          <w:szCs w:val="24"/>
        </w:rPr>
        <w:t>Gastrointest Endosc</w:t>
      </w:r>
      <w:r w:rsidRPr="0028500E">
        <w:rPr>
          <w:rFonts w:ascii="Book Antiqua" w:hAnsi="Book Antiqua"/>
          <w:sz w:val="24"/>
          <w:szCs w:val="24"/>
        </w:rPr>
        <w:t xml:space="preserve"> 2002; </w:t>
      </w:r>
      <w:r w:rsidRPr="0028500E">
        <w:rPr>
          <w:rFonts w:ascii="Book Antiqua" w:hAnsi="Book Antiqua"/>
          <w:b/>
          <w:sz w:val="24"/>
          <w:szCs w:val="24"/>
        </w:rPr>
        <w:t>55</w:t>
      </w:r>
      <w:r w:rsidRPr="0028500E">
        <w:rPr>
          <w:rFonts w:ascii="Book Antiqua" w:hAnsi="Book Antiqua"/>
          <w:sz w:val="24"/>
          <w:szCs w:val="24"/>
        </w:rPr>
        <w:t>: 37-43 [PMID: 11756912 DOI: 10.1067/mge.2002.120323]</w:t>
      </w:r>
    </w:p>
    <w:p w14:paraId="05363451"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61 </w:t>
      </w:r>
      <w:r w:rsidRPr="0028500E">
        <w:rPr>
          <w:rFonts w:ascii="Book Antiqua" w:hAnsi="Book Antiqua"/>
          <w:b/>
          <w:sz w:val="24"/>
          <w:szCs w:val="24"/>
        </w:rPr>
        <w:t>de la Serna-Higuera C</w:t>
      </w:r>
      <w:r w:rsidRPr="0028500E">
        <w:rPr>
          <w:rFonts w:ascii="Book Antiqua" w:hAnsi="Book Antiqua"/>
          <w:sz w:val="24"/>
          <w:szCs w:val="24"/>
        </w:rPr>
        <w:t xml:space="preserve">, Pérez-Miranda M, Díez-Redondo P, Gil-Simón P, Herranz T, Pérez-Martín E, Ochoa C, Caro-Patón A. EUS-guided single-incision needle-knife biopsy: description and results of a new method for tissue sampling of subepithelial GI tumors (with video). </w:t>
      </w:r>
      <w:r w:rsidRPr="0028500E">
        <w:rPr>
          <w:rFonts w:ascii="Book Antiqua" w:hAnsi="Book Antiqua"/>
          <w:i/>
          <w:sz w:val="24"/>
          <w:szCs w:val="24"/>
        </w:rPr>
        <w:t>Gastrointest Endosc</w:t>
      </w:r>
      <w:r w:rsidRPr="0028500E">
        <w:rPr>
          <w:rFonts w:ascii="Book Antiqua" w:hAnsi="Book Antiqua"/>
          <w:sz w:val="24"/>
          <w:szCs w:val="24"/>
        </w:rPr>
        <w:t xml:space="preserve"> 2011; </w:t>
      </w:r>
      <w:r w:rsidRPr="0028500E">
        <w:rPr>
          <w:rFonts w:ascii="Book Antiqua" w:hAnsi="Book Antiqua"/>
          <w:b/>
          <w:sz w:val="24"/>
          <w:szCs w:val="24"/>
        </w:rPr>
        <w:t>74</w:t>
      </w:r>
      <w:r w:rsidRPr="0028500E">
        <w:rPr>
          <w:rFonts w:ascii="Book Antiqua" w:hAnsi="Book Antiqua"/>
          <w:sz w:val="24"/>
          <w:szCs w:val="24"/>
        </w:rPr>
        <w:t>: 672-676 [PMID: 21872716 DOI: 10.1016/j.gie.2011.05.042]</w:t>
      </w:r>
    </w:p>
    <w:p w14:paraId="0B81C89E"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62 </w:t>
      </w:r>
      <w:r w:rsidRPr="0028500E">
        <w:rPr>
          <w:rFonts w:ascii="Book Antiqua" w:hAnsi="Book Antiqua"/>
          <w:b/>
          <w:sz w:val="24"/>
          <w:szCs w:val="24"/>
        </w:rPr>
        <w:t>Mimura T</w:t>
      </w:r>
      <w:r w:rsidRPr="0028500E">
        <w:rPr>
          <w:rFonts w:ascii="Book Antiqua" w:hAnsi="Book Antiqua"/>
          <w:sz w:val="24"/>
          <w:szCs w:val="24"/>
        </w:rPr>
        <w:t xml:space="preserve">, Kuramoto S, Hashimoto M, Yamasaki K, Kobayashi K, Kobayashi M, Oohara T. Unroofing for lymphangioma of the large intestine: a new approach to endoscopic treatment. </w:t>
      </w:r>
      <w:r w:rsidRPr="0028500E">
        <w:rPr>
          <w:rFonts w:ascii="Book Antiqua" w:hAnsi="Book Antiqua"/>
          <w:i/>
          <w:sz w:val="24"/>
          <w:szCs w:val="24"/>
        </w:rPr>
        <w:t>Gastrointest Endosc</w:t>
      </w:r>
      <w:r w:rsidRPr="0028500E">
        <w:rPr>
          <w:rFonts w:ascii="Book Antiqua" w:hAnsi="Book Antiqua"/>
          <w:sz w:val="24"/>
          <w:szCs w:val="24"/>
        </w:rPr>
        <w:t xml:space="preserve"> 1997; </w:t>
      </w:r>
      <w:r w:rsidRPr="0028500E">
        <w:rPr>
          <w:rFonts w:ascii="Book Antiqua" w:hAnsi="Book Antiqua"/>
          <w:b/>
          <w:sz w:val="24"/>
          <w:szCs w:val="24"/>
        </w:rPr>
        <w:t>46</w:t>
      </w:r>
      <w:r w:rsidRPr="0028500E">
        <w:rPr>
          <w:rFonts w:ascii="Book Antiqua" w:hAnsi="Book Antiqua"/>
          <w:sz w:val="24"/>
          <w:szCs w:val="24"/>
        </w:rPr>
        <w:t>: 259-263 [PMID: 9378215]</w:t>
      </w:r>
    </w:p>
    <w:p w14:paraId="0CFA09ED"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63 </w:t>
      </w:r>
      <w:r w:rsidRPr="0028500E">
        <w:rPr>
          <w:rFonts w:ascii="Book Antiqua" w:hAnsi="Book Antiqua"/>
          <w:b/>
          <w:sz w:val="24"/>
          <w:szCs w:val="24"/>
        </w:rPr>
        <w:t>Lee CK</w:t>
      </w:r>
      <w:r w:rsidRPr="0028500E">
        <w:rPr>
          <w:rFonts w:ascii="Book Antiqua" w:hAnsi="Book Antiqua"/>
          <w:sz w:val="24"/>
          <w:szCs w:val="24"/>
        </w:rPr>
        <w:t xml:space="preserve">, Chung IK, Lee SH, Lee SH, Lee TH, Park SH, Kim HS, Kim SJ, Cho HD. Endoscopic partial resection with the unroofing technique for reliable tissue diagnosis of upper GI subepithelial tumors originating from the muscularis propria on EUS (with video). </w:t>
      </w:r>
      <w:r w:rsidRPr="0028500E">
        <w:rPr>
          <w:rFonts w:ascii="Book Antiqua" w:hAnsi="Book Antiqua"/>
          <w:i/>
          <w:sz w:val="24"/>
          <w:szCs w:val="24"/>
        </w:rPr>
        <w:t>Gastrointest Endosc</w:t>
      </w:r>
      <w:r w:rsidRPr="0028500E">
        <w:rPr>
          <w:rFonts w:ascii="Book Antiqua" w:hAnsi="Book Antiqua"/>
          <w:sz w:val="24"/>
          <w:szCs w:val="24"/>
        </w:rPr>
        <w:t xml:space="preserve"> 2010; </w:t>
      </w:r>
      <w:r w:rsidRPr="0028500E">
        <w:rPr>
          <w:rFonts w:ascii="Book Antiqua" w:hAnsi="Book Antiqua"/>
          <w:b/>
          <w:sz w:val="24"/>
          <w:szCs w:val="24"/>
        </w:rPr>
        <w:t>71</w:t>
      </w:r>
      <w:r w:rsidRPr="0028500E">
        <w:rPr>
          <w:rFonts w:ascii="Book Antiqua" w:hAnsi="Book Antiqua"/>
          <w:sz w:val="24"/>
          <w:szCs w:val="24"/>
        </w:rPr>
        <w:t>: 188-194 [PMID: 19879567 DOI: 10.1016/j.gie.2009.07.029]</w:t>
      </w:r>
    </w:p>
    <w:p w14:paraId="6F5B893C"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64 </w:t>
      </w:r>
      <w:r w:rsidRPr="0028500E">
        <w:rPr>
          <w:rFonts w:ascii="Book Antiqua" w:hAnsi="Book Antiqua"/>
          <w:b/>
          <w:sz w:val="24"/>
          <w:szCs w:val="24"/>
        </w:rPr>
        <w:t>Ihara E</w:t>
      </w:r>
      <w:r w:rsidRPr="0028500E">
        <w:rPr>
          <w:rFonts w:ascii="Book Antiqua" w:hAnsi="Book Antiqua"/>
          <w:sz w:val="24"/>
          <w:szCs w:val="24"/>
        </w:rPr>
        <w:t xml:space="preserve">, Matsuzaka H, Honda K, Hata Y, Sumida Y, Akiho H, Misawa T, Toyoshima S, Chijiiwa Y, Nakamura K, Takayanagi R. Mucosal-incision assisted biopsy for suspected gastric gastrointestinal stromal tumors. </w:t>
      </w:r>
      <w:r w:rsidRPr="0028500E">
        <w:rPr>
          <w:rFonts w:ascii="Book Antiqua" w:hAnsi="Book Antiqua"/>
          <w:i/>
          <w:sz w:val="24"/>
          <w:szCs w:val="24"/>
        </w:rPr>
        <w:t>World J Gastrointest Endosc</w:t>
      </w:r>
      <w:r w:rsidRPr="0028500E">
        <w:rPr>
          <w:rFonts w:ascii="Book Antiqua" w:hAnsi="Book Antiqua"/>
          <w:sz w:val="24"/>
          <w:szCs w:val="24"/>
        </w:rPr>
        <w:t xml:space="preserve"> 2013; </w:t>
      </w:r>
      <w:r w:rsidRPr="0028500E">
        <w:rPr>
          <w:rFonts w:ascii="Book Antiqua" w:hAnsi="Book Antiqua"/>
          <w:b/>
          <w:sz w:val="24"/>
          <w:szCs w:val="24"/>
        </w:rPr>
        <w:t>5</w:t>
      </w:r>
      <w:r w:rsidRPr="0028500E">
        <w:rPr>
          <w:rFonts w:ascii="Book Antiqua" w:hAnsi="Book Antiqua"/>
          <w:sz w:val="24"/>
          <w:szCs w:val="24"/>
        </w:rPr>
        <w:t>: 191-196 [PMID: 23596545 DOI: 10.4253/wjge.v5.i4.191]</w:t>
      </w:r>
    </w:p>
    <w:p w14:paraId="25ACAF38"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65 </w:t>
      </w:r>
      <w:r w:rsidRPr="0028500E">
        <w:rPr>
          <w:rFonts w:ascii="Book Antiqua" w:hAnsi="Book Antiqua"/>
          <w:b/>
          <w:sz w:val="24"/>
          <w:szCs w:val="24"/>
        </w:rPr>
        <w:t>Dolak W</w:t>
      </w:r>
      <w:r w:rsidRPr="0028500E">
        <w:rPr>
          <w:rFonts w:ascii="Book Antiqua" w:hAnsi="Book Antiqua"/>
          <w:sz w:val="24"/>
          <w:szCs w:val="24"/>
        </w:rPr>
        <w:t xml:space="preserve">, Beer A, Kristo I, Tribl B, Asari R, Schöniger-Hekele M, Wrba F, Schoppmann SF, Trauner M, Püspök A. A retrospective study on the safety, </w:t>
      </w:r>
      <w:r w:rsidRPr="0028500E">
        <w:rPr>
          <w:rFonts w:ascii="Book Antiqua" w:hAnsi="Book Antiqua"/>
          <w:sz w:val="24"/>
          <w:szCs w:val="24"/>
        </w:rPr>
        <w:lastRenderedPageBreak/>
        <w:t xml:space="preserve">diagnostic yield, and therapeutic effects of endoscopic unroofing for small gastric subepithelial tumors. </w:t>
      </w:r>
      <w:r w:rsidRPr="0028500E">
        <w:rPr>
          <w:rFonts w:ascii="Book Antiqua" w:hAnsi="Book Antiqua"/>
          <w:i/>
          <w:sz w:val="24"/>
          <w:szCs w:val="24"/>
        </w:rPr>
        <w:t>Gastrointest Endosc</w:t>
      </w:r>
      <w:r w:rsidRPr="0028500E">
        <w:rPr>
          <w:rFonts w:ascii="Book Antiqua" w:hAnsi="Book Antiqua"/>
          <w:sz w:val="24"/>
          <w:szCs w:val="24"/>
        </w:rPr>
        <w:t xml:space="preserve"> 2016; </w:t>
      </w:r>
      <w:r w:rsidRPr="0028500E">
        <w:rPr>
          <w:rFonts w:ascii="Book Antiqua" w:hAnsi="Book Antiqua"/>
          <w:b/>
          <w:sz w:val="24"/>
          <w:szCs w:val="24"/>
        </w:rPr>
        <w:t>84</w:t>
      </w:r>
      <w:r w:rsidRPr="0028500E">
        <w:rPr>
          <w:rFonts w:ascii="Book Antiqua" w:hAnsi="Book Antiqua"/>
          <w:sz w:val="24"/>
          <w:szCs w:val="24"/>
        </w:rPr>
        <w:t>: 924-929 [PMID: 27109457 DOI: 10.1016/j.gie.2016.04.019]</w:t>
      </w:r>
    </w:p>
    <w:p w14:paraId="6CCACAE3"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66 </w:t>
      </w:r>
      <w:r w:rsidRPr="0028500E">
        <w:rPr>
          <w:rFonts w:ascii="Book Antiqua" w:hAnsi="Book Antiqua"/>
          <w:b/>
          <w:sz w:val="24"/>
          <w:szCs w:val="24"/>
        </w:rPr>
        <w:t>Kobara H</w:t>
      </w:r>
      <w:r w:rsidRPr="0028500E">
        <w:rPr>
          <w:rFonts w:ascii="Book Antiqua" w:hAnsi="Book Antiqua"/>
          <w:sz w:val="24"/>
          <w:szCs w:val="24"/>
        </w:rPr>
        <w:t xml:space="preserve">, Mori H, Nishimoto N, Fujihara S, Nishiyama N, Ayaki M, Yachida T, Matsunaga T, Chiyo T, Kobayashi N, Fujita K, Kato K, Kamada H, Oryu M, Tsutsui K, Iwama H, Haba R, Masaki T. Comparison of submucosal tunneling biopsy versus EUS-guided FNA for gastric subepithelial lesions: a prospective study with crossover design. </w:t>
      </w:r>
      <w:r w:rsidRPr="0028500E">
        <w:rPr>
          <w:rFonts w:ascii="Book Antiqua" w:hAnsi="Book Antiqua"/>
          <w:i/>
          <w:sz w:val="24"/>
          <w:szCs w:val="24"/>
        </w:rPr>
        <w:t>Endosc Int Open</w:t>
      </w:r>
      <w:r w:rsidRPr="0028500E">
        <w:rPr>
          <w:rFonts w:ascii="Book Antiqua" w:hAnsi="Book Antiqua"/>
          <w:sz w:val="24"/>
          <w:szCs w:val="24"/>
        </w:rPr>
        <w:t xml:space="preserve"> 2017; </w:t>
      </w:r>
      <w:r w:rsidRPr="0028500E">
        <w:rPr>
          <w:rFonts w:ascii="Book Antiqua" w:hAnsi="Book Antiqua"/>
          <w:b/>
          <w:sz w:val="24"/>
          <w:szCs w:val="24"/>
        </w:rPr>
        <w:t>5</w:t>
      </w:r>
      <w:r w:rsidRPr="0028500E">
        <w:rPr>
          <w:rFonts w:ascii="Book Antiqua" w:hAnsi="Book Antiqua"/>
          <w:sz w:val="24"/>
          <w:szCs w:val="24"/>
        </w:rPr>
        <w:t>: E695-E705 [PMID: 28782002 DOI: 10.1055/s-0043-112497]</w:t>
      </w:r>
    </w:p>
    <w:p w14:paraId="3AD6549C"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67 </w:t>
      </w:r>
      <w:r w:rsidRPr="0028500E">
        <w:rPr>
          <w:rFonts w:ascii="Book Antiqua" w:hAnsi="Book Antiqua"/>
          <w:b/>
          <w:sz w:val="24"/>
          <w:szCs w:val="24"/>
        </w:rPr>
        <w:t>Inoue H</w:t>
      </w:r>
      <w:r w:rsidRPr="0028500E">
        <w:rPr>
          <w:rFonts w:ascii="Book Antiqua" w:hAnsi="Book Antiqua"/>
          <w:sz w:val="24"/>
          <w:szCs w:val="24"/>
        </w:rPr>
        <w:t xml:space="preserve">, Ikeda H, Hosoya T, Onimaru M, Yoshida A, Eleftheriadis N, Maselli R, Kudo S. Submucosal endoscopic tumor resection for subepithelial tumors in the esophagus and cardia. </w:t>
      </w:r>
      <w:r w:rsidRPr="0028500E">
        <w:rPr>
          <w:rFonts w:ascii="Book Antiqua" w:hAnsi="Book Antiqua"/>
          <w:i/>
          <w:sz w:val="24"/>
          <w:szCs w:val="24"/>
        </w:rPr>
        <w:t>Endoscopy</w:t>
      </w:r>
      <w:r w:rsidRPr="0028500E">
        <w:rPr>
          <w:rFonts w:ascii="Book Antiqua" w:hAnsi="Book Antiqua"/>
          <w:sz w:val="24"/>
          <w:szCs w:val="24"/>
        </w:rPr>
        <w:t xml:space="preserve"> 2012; </w:t>
      </w:r>
      <w:r w:rsidRPr="0028500E">
        <w:rPr>
          <w:rFonts w:ascii="Book Antiqua" w:hAnsi="Book Antiqua"/>
          <w:b/>
          <w:sz w:val="24"/>
          <w:szCs w:val="24"/>
        </w:rPr>
        <w:t>44</w:t>
      </w:r>
      <w:r w:rsidRPr="0028500E">
        <w:rPr>
          <w:rFonts w:ascii="Book Antiqua" w:hAnsi="Book Antiqua"/>
          <w:sz w:val="24"/>
          <w:szCs w:val="24"/>
        </w:rPr>
        <w:t>: 225-230 [PMID: 22354822 DOI: 10.1055/s-0031-1291659]</w:t>
      </w:r>
    </w:p>
    <w:p w14:paraId="4B78BEF6"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68 </w:t>
      </w:r>
      <w:r w:rsidRPr="0028500E">
        <w:rPr>
          <w:rFonts w:ascii="Book Antiqua" w:hAnsi="Book Antiqua"/>
          <w:b/>
          <w:sz w:val="24"/>
          <w:szCs w:val="24"/>
        </w:rPr>
        <w:t>Ye LP</w:t>
      </w:r>
      <w:r w:rsidRPr="0028500E">
        <w:rPr>
          <w:rFonts w:ascii="Book Antiqua" w:hAnsi="Book Antiqua"/>
          <w:sz w:val="24"/>
          <w:szCs w:val="24"/>
        </w:rPr>
        <w:t xml:space="preserve">, Zhang Y, Mao XL, Zhu LH, Zhou X, Chen JY. Submucosal tunneling endoscopic resection for small upper gastrointestinal subepithelial tumors originating from the muscularis propria layer. </w:t>
      </w:r>
      <w:r w:rsidRPr="0028500E">
        <w:rPr>
          <w:rFonts w:ascii="Book Antiqua" w:hAnsi="Book Antiqua"/>
          <w:i/>
          <w:sz w:val="24"/>
          <w:szCs w:val="24"/>
        </w:rPr>
        <w:t>Surg Endosc</w:t>
      </w:r>
      <w:r w:rsidRPr="0028500E">
        <w:rPr>
          <w:rFonts w:ascii="Book Antiqua" w:hAnsi="Book Antiqua"/>
          <w:sz w:val="24"/>
          <w:szCs w:val="24"/>
        </w:rPr>
        <w:t xml:space="preserve"> 2014; </w:t>
      </w:r>
      <w:r w:rsidRPr="0028500E">
        <w:rPr>
          <w:rFonts w:ascii="Book Antiqua" w:hAnsi="Book Antiqua"/>
          <w:b/>
          <w:sz w:val="24"/>
          <w:szCs w:val="24"/>
        </w:rPr>
        <w:t>28</w:t>
      </w:r>
      <w:r w:rsidRPr="0028500E">
        <w:rPr>
          <w:rFonts w:ascii="Book Antiqua" w:hAnsi="Book Antiqua"/>
          <w:sz w:val="24"/>
          <w:szCs w:val="24"/>
        </w:rPr>
        <w:t>: 524-530 [PMID: 24013472 DOI: 10.1007/s00464-013-3197-8]</w:t>
      </w:r>
    </w:p>
    <w:p w14:paraId="7242B87C" w14:textId="246A4201"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69 </w:t>
      </w:r>
      <w:r w:rsidRPr="0028500E">
        <w:rPr>
          <w:rFonts w:ascii="Book Antiqua" w:hAnsi="Book Antiqua"/>
          <w:b/>
          <w:sz w:val="24"/>
          <w:szCs w:val="24"/>
        </w:rPr>
        <w:t>Standards of Practice Committee</w:t>
      </w:r>
      <w:r w:rsidRPr="0028500E">
        <w:rPr>
          <w:rFonts w:ascii="Book Antiqua" w:hAnsi="Book Antiqua"/>
          <w:sz w:val="24"/>
          <w:szCs w:val="24"/>
        </w:rPr>
        <w:t xml:space="preserve">, Faulx AL, Kothari S, Acosta RD, Agrawal D, Bruining DH, Chandrasekhara V, Eloubeidi MA, Fanelli RD, Gurudu SR, Khashab MA, Lightdale JR, Muthusamy VR, Shaukat A, Qumseya BJ, Wang A, Wani SB, Yang J, DeWitt JM. The role of endoscopy in subepithelial lesions of the GI tract. </w:t>
      </w:r>
      <w:r w:rsidRPr="0028500E">
        <w:rPr>
          <w:rFonts w:ascii="Book Antiqua" w:hAnsi="Book Antiqua"/>
          <w:i/>
          <w:sz w:val="24"/>
          <w:szCs w:val="24"/>
        </w:rPr>
        <w:t>Gastrointest Endosc</w:t>
      </w:r>
      <w:r w:rsidRPr="0028500E">
        <w:rPr>
          <w:rFonts w:ascii="Book Antiqua" w:hAnsi="Book Antiqua"/>
          <w:sz w:val="24"/>
          <w:szCs w:val="24"/>
        </w:rPr>
        <w:t xml:space="preserve"> 2017; </w:t>
      </w:r>
      <w:r w:rsidRPr="0028500E">
        <w:rPr>
          <w:rFonts w:ascii="Book Antiqua" w:hAnsi="Book Antiqua"/>
          <w:b/>
          <w:sz w:val="24"/>
          <w:szCs w:val="24"/>
        </w:rPr>
        <w:t>85</w:t>
      </w:r>
      <w:r w:rsidRPr="0028500E">
        <w:rPr>
          <w:rFonts w:ascii="Book Antiqua" w:hAnsi="Book Antiqua"/>
          <w:sz w:val="24"/>
          <w:szCs w:val="24"/>
        </w:rPr>
        <w:t>: 1117-1132 [PMID: 28385194 DOI: 10.1016/j.gie.2017.02.022]</w:t>
      </w:r>
    </w:p>
    <w:p w14:paraId="04AC5414"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70 </w:t>
      </w:r>
      <w:r w:rsidRPr="0028500E">
        <w:rPr>
          <w:rFonts w:ascii="Book Antiqua" w:hAnsi="Book Antiqua"/>
          <w:b/>
          <w:sz w:val="24"/>
          <w:szCs w:val="24"/>
        </w:rPr>
        <w:t>Nishida T</w:t>
      </w:r>
      <w:r w:rsidRPr="0028500E">
        <w:rPr>
          <w:rFonts w:ascii="Book Antiqua" w:hAnsi="Book Antiqua"/>
          <w:sz w:val="24"/>
          <w:szCs w:val="24"/>
        </w:rPr>
        <w:t xml:space="preserve">, Hirota S, Yanagisawa A, Sugino Y, Minami M, Yamamura Y, Otani Y, Shimada Y, Takahashi F, Kubota T; GIST Guideline Subcommittee. Clinical practice guidelines for gastrointestinal stromal tumor (GIST) in Japan: English version. </w:t>
      </w:r>
      <w:r w:rsidRPr="0028500E">
        <w:rPr>
          <w:rFonts w:ascii="Book Antiqua" w:hAnsi="Book Antiqua"/>
          <w:i/>
          <w:sz w:val="24"/>
          <w:szCs w:val="24"/>
        </w:rPr>
        <w:t>Int J Clin Oncol</w:t>
      </w:r>
      <w:r w:rsidRPr="0028500E">
        <w:rPr>
          <w:rFonts w:ascii="Book Antiqua" w:hAnsi="Book Antiqua"/>
          <w:sz w:val="24"/>
          <w:szCs w:val="24"/>
        </w:rPr>
        <w:t xml:space="preserve"> 2008; </w:t>
      </w:r>
      <w:r w:rsidRPr="0028500E">
        <w:rPr>
          <w:rFonts w:ascii="Book Antiqua" w:hAnsi="Book Antiqua"/>
          <w:b/>
          <w:sz w:val="24"/>
          <w:szCs w:val="24"/>
        </w:rPr>
        <w:t>13</w:t>
      </w:r>
      <w:r w:rsidRPr="0028500E">
        <w:rPr>
          <w:rFonts w:ascii="Book Antiqua" w:hAnsi="Book Antiqua"/>
          <w:sz w:val="24"/>
          <w:szCs w:val="24"/>
        </w:rPr>
        <w:t>: 416-430 [PMID: 18946752 DOI: 10.1007/s10147-008-0798-7]</w:t>
      </w:r>
    </w:p>
    <w:p w14:paraId="62222D73" w14:textId="601C3DD2" w:rsidR="00D24EAB" w:rsidRPr="0028500E" w:rsidRDefault="00D24EAB" w:rsidP="001E53AA">
      <w:pPr>
        <w:snapToGrid w:val="0"/>
        <w:spacing w:line="360" w:lineRule="auto"/>
        <w:rPr>
          <w:rFonts w:ascii="Book Antiqua" w:eastAsia="SimSun" w:hAnsi="Book Antiqua"/>
          <w:sz w:val="24"/>
          <w:szCs w:val="24"/>
          <w:lang w:eastAsia="zh-CN"/>
        </w:rPr>
      </w:pPr>
      <w:r w:rsidRPr="0028500E">
        <w:rPr>
          <w:rFonts w:ascii="Book Antiqua" w:hAnsi="Book Antiqua"/>
          <w:sz w:val="24"/>
          <w:szCs w:val="24"/>
        </w:rPr>
        <w:t xml:space="preserve">71 </w:t>
      </w:r>
      <w:r w:rsidRPr="0028500E">
        <w:rPr>
          <w:rFonts w:ascii="Book Antiqua" w:hAnsi="Book Antiqua"/>
          <w:b/>
          <w:sz w:val="24"/>
          <w:szCs w:val="24"/>
        </w:rPr>
        <w:t>Nation</w:t>
      </w:r>
      <w:r w:rsidR="001F60BB" w:rsidRPr="0028500E">
        <w:rPr>
          <w:rFonts w:ascii="Book Antiqua" w:hAnsi="Book Antiqua"/>
          <w:b/>
          <w:sz w:val="24"/>
          <w:szCs w:val="24"/>
        </w:rPr>
        <w:t>al Comprehensive Cancer Network</w:t>
      </w:r>
      <w:r w:rsidRPr="0028500E">
        <w:rPr>
          <w:rFonts w:ascii="Book Antiqua" w:hAnsi="Book Antiqua"/>
          <w:b/>
          <w:sz w:val="24"/>
          <w:szCs w:val="24"/>
        </w:rPr>
        <w:t xml:space="preserve">. </w:t>
      </w:r>
      <w:r w:rsidRPr="0028500E">
        <w:rPr>
          <w:rFonts w:ascii="Book Antiqua" w:hAnsi="Book Antiqua"/>
          <w:sz w:val="24"/>
          <w:szCs w:val="24"/>
        </w:rPr>
        <w:t xml:space="preserve">NCCN clinical practice guidelines in oncology: soft tissue sarcoma, version 1. Available from: </w:t>
      </w:r>
      <w:r w:rsidR="001F60BB" w:rsidRPr="0028500E">
        <w:rPr>
          <w:rFonts w:ascii="Book Antiqua" w:eastAsia="SimSun" w:hAnsi="Book Antiqua"/>
          <w:sz w:val="24"/>
          <w:szCs w:val="24"/>
          <w:lang w:eastAsia="zh-CN"/>
        </w:rPr>
        <w:t xml:space="preserve">URL: </w:t>
      </w:r>
      <w:r w:rsidRPr="0028500E">
        <w:rPr>
          <w:rFonts w:ascii="Book Antiqua" w:hAnsi="Book Antiqua"/>
          <w:sz w:val="24"/>
          <w:szCs w:val="24"/>
        </w:rPr>
        <w:lastRenderedPageBreak/>
        <w:t>http://www.nccn.org/professional</w:t>
      </w:r>
      <w:r w:rsidR="001F60BB" w:rsidRPr="0028500E">
        <w:rPr>
          <w:rFonts w:ascii="Book Antiqua" w:hAnsi="Book Antiqua"/>
          <w:sz w:val="24"/>
          <w:szCs w:val="24"/>
        </w:rPr>
        <w:t>s/physician_gls/pdf/sarcoma.pdf</w:t>
      </w:r>
    </w:p>
    <w:p w14:paraId="543678BB" w14:textId="367C7FC6"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72 </w:t>
      </w:r>
      <w:r w:rsidRPr="0028500E">
        <w:rPr>
          <w:rFonts w:ascii="Book Antiqua" w:hAnsi="Book Antiqua"/>
          <w:b/>
          <w:sz w:val="24"/>
          <w:szCs w:val="24"/>
        </w:rPr>
        <w:t>ESMO/European Sarcoma Network Working Group</w:t>
      </w:r>
      <w:r w:rsidRPr="0028500E">
        <w:rPr>
          <w:rFonts w:ascii="Book Antiqua" w:hAnsi="Book Antiqua"/>
          <w:sz w:val="24"/>
          <w:szCs w:val="24"/>
        </w:rPr>
        <w:t xml:space="preserve">. Gastrointestinal stromal tumours: ESMO Clinical Practice Guidelines for diagnosis, treatment and follow-up. </w:t>
      </w:r>
      <w:r w:rsidRPr="0028500E">
        <w:rPr>
          <w:rFonts w:ascii="Book Antiqua" w:hAnsi="Book Antiqua"/>
          <w:i/>
          <w:sz w:val="24"/>
          <w:szCs w:val="24"/>
        </w:rPr>
        <w:t>Ann Oncol</w:t>
      </w:r>
      <w:r w:rsidRPr="0028500E">
        <w:rPr>
          <w:rFonts w:ascii="Book Antiqua" w:hAnsi="Book Antiqua"/>
          <w:sz w:val="24"/>
          <w:szCs w:val="24"/>
        </w:rPr>
        <w:t xml:space="preserve"> 2014; </w:t>
      </w:r>
      <w:r w:rsidRPr="0028500E">
        <w:rPr>
          <w:rFonts w:ascii="Book Antiqua" w:hAnsi="Book Antiqua"/>
          <w:b/>
          <w:sz w:val="24"/>
          <w:szCs w:val="24"/>
        </w:rPr>
        <w:t>25 Suppl 3</w:t>
      </w:r>
      <w:r w:rsidRPr="0028500E">
        <w:rPr>
          <w:rFonts w:ascii="Book Antiqua" w:hAnsi="Book Antiqua"/>
          <w:sz w:val="24"/>
          <w:szCs w:val="24"/>
        </w:rPr>
        <w:t>: iii21-iii26 [PMID: 25210085 DOI: 10.1093/annonc/mdu255]</w:t>
      </w:r>
    </w:p>
    <w:p w14:paraId="48C2839C" w14:textId="5C40DC7B" w:rsidR="00D24EAB" w:rsidRPr="0028500E" w:rsidRDefault="00D24EAB" w:rsidP="001E53AA">
      <w:pPr>
        <w:snapToGrid w:val="0"/>
        <w:spacing w:line="360" w:lineRule="auto"/>
        <w:rPr>
          <w:rFonts w:ascii="Book Antiqua" w:eastAsia="SimSun" w:hAnsi="Book Antiqua"/>
          <w:sz w:val="24"/>
          <w:szCs w:val="24"/>
          <w:lang w:eastAsia="zh-CN"/>
        </w:rPr>
      </w:pPr>
      <w:r w:rsidRPr="0028500E">
        <w:rPr>
          <w:rFonts w:ascii="Book Antiqua" w:hAnsi="Book Antiqua"/>
          <w:sz w:val="24"/>
          <w:szCs w:val="24"/>
        </w:rPr>
        <w:t xml:space="preserve">73 </w:t>
      </w:r>
      <w:r w:rsidRPr="0028500E">
        <w:rPr>
          <w:rFonts w:ascii="Book Antiqua" w:hAnsi="Book Antiqua"/>
          <w:b/>
          <w:sz w:val="24"/>
          <w:szCs w:val="24"/>
        </w:rPr>
        <w:t>Li J,</w:t>
      </w:r>
      <w:r w:rsidR="001F60BB" w:rsidRPr="0028500E">
        <w:rPr>
          <w:rFonts w:ascii="Book Antiqua" w:hAnsi="Book Antiqua"/>
          <w:sz w:val="24"/>
          <w:szCs w:val="24"/>
        </w:rPr>
        <w:t xml:space="preserve"> </w:t>
      </w:r>
      <w:r w:rsidRPr="0028500E">
        <w:rPr>
          <w:rFonts w:ascii="Book Antiqua" w:hAnsi="Book Antiqua"/>
          <w:sz w:val="24"/>
          <w:szCs w:val="24"/>
        </w:rPr>
        <w:t xml:space="preserve">Ye Y, Wang J, Zhang B, Qin S, Shi Y, He Y, Liang X, Liu X, Zhou Y, Wu X, Zhang X, Wang M, Gao Z, Lin T, Cao H, Shen L, Chinese Society of Clinical Oncology CSCO Expert Committee on Gastrointestinal Stromal Tumor. Chinese consensus guidelines for diagnosis and management of gastrointestinal stromal tumor. </w:t>
      </w:r>
      <w:r w:rsidRPr="0028500E">
        <w:rPr>
          <w:rFonts w:ascii="Book Antiqua" w:hAnsi="Book Antiqua"/>
          <w:i/>
          <w:sz w:val="24"/>
          <w:szCs w:val="24"/>
        </w:rPr>
        <w:t>Chin J Cancer Res</w:t>
      </w:r>
      <w:r w:rsidR="001F60BB" w:rsidRPr="0028500E">
        <w:rPr>
          <w:rFonts w:ascii="Book Antiqua" w:hAnsi="Book Antiqua"/>
          <w:sz w:val="24"/>
          <w:szCs w:val="24"/>
        </w:rPr>
        <w:t xml:space="preserve"> 2017</w:t>
      </w:r>
      <w:r w:rsidRPr="0028500E">
        <w:rPr>
          <w:rFonts w:ascii="Book Antiqua" w:hAnsi="Book Antiqua"/>
          <w:sz w:val="24"/>
          <w:szCs w:val="24"/>
        </w:rPr>
        <w:t xml:space="preserve">; </w:t>
      </w:r>
      <w:r w:rsidRPr="0028500E">
        <w:rPr>
          <w:rFonts w:ascii="Book Antiqua" w:hAnsi="Book Antiqua"/>
          <w:b/>
          <w:sz w:val="24"/>
          <w:szCs w:val="24"/>
        </w:rPr>
        <w:t>29</w:t>
      </w:r>
      <w:r w:rsidR="001F60BB" w:rsidRPr="0028500E">
        <w:rPr>
          <w:rFonts w:ascii="Book Antiqua" w:hAnsi="Book Antiqua"/>
          <w:sz w:val="24"/>
          <w:szCs w:val="24"/>
        </w:rPr>
        <w:t>: 281-293</w:t>
      </w:r>
      <w:r w:rsidR="00503F1E" w:rsidRPr="0028500E">
        <w:rPr>
          <w:rFonts w:ascii="Book Antiqua" w:eastAsia="SimSun" w:hAnsi="Book Antiqua"/>
          <w:sz w:val="24"/>
          <w:szCs w:val="24"/>
          <w:lang w:eastAsia="zh-CN"/>
        </w:rPr>
        <w:t xml:space="preserve"> [DOI:</w:t>
      </w:r>
      <w:r w:rsidR="00503F1E" w:rsidRPr="0028500E">
        <w:rPr>
          <w:rFonts w:ascii="Book Antiqua" w:hAnsi="Book Antiqua"/>
          <w:sz w:val="24"/>
          <w:szCs w:val="24"/>
        </w:rPr>
        <w:t xml:space="preserve"> </w:t>
      </w:r>
      <w:r w:rsidR="00503F1E" w:rsidRPr="0028500E">
        <w:rPr>
          <w:rFonts w:ascii="Book Antiqua" w:eastAsia="SimSun" w:hAnsi="Book Antiqua"/>
          <w:sz w:val="24"/>
          <w:szCs w:val="24"/>
          <w:lang w:eastAsia="zh-CN"/>
        </w:rPr>
        <w:t>10.21147/j.issn.1000-9604.2017.04.01]</w:t>
      </w:r>
    </w:p>
    <w:p w14:paraId="693FE42A"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74 </w:t>
      </w:r>
      <w:r w:rsidRPr="0028500E">
        <w:rPr>
          <w:rFonts w:ascii="Book Antiqua" w:hAnsi="Book Antiqua"/>
          <w:b/>
          <w:sz w:val="24"/>
          <w:szCs w:val="24"/>
        </w:rPr>
        <w:t>Demetri GD</w:t>
      </w:r>
      <w:r w:rsidRPr="0028500E">
        <w:rPr>
          <w:rFonts w:ascii="Book Antiqua" w:hAnsi="Book Antiqua"/>
          <w:sz w:val="24"/>
          <w:szCs w:val="24"/>
        </w:rPr>
        <w:t xml:space="preserve">, von Mehren M, Antonescu CR, DeMatteo RP, Ganjoo KN, Maki RG, Pisters PW, Raut CP, Riedel RF, Schuetze S, Sundar HM, Trent JC, Wayne JD. NCCN Task Force report: update on the management of patients with gastrointestinal stromal tumors. </w:t>
      </w:r>
      <w:r w:rsidRPr="0028500E">
        <w:rPr>
          <w:rFonts w:ascii="Book Antiqua" w:hAnsi="Book Antiqua"/>
          <w:i/>
          <w:sz w:val="24"/>
          <w:szCs w:val="24"/>
        </w:rPr>
        <w:t>J Natl Compr Canc Netw</w:t>
      </w:r>
      <w:r w:rsidRPr="0028500E">
        <w:rPr>
          <w:rFonts w:ascii="Book Antiqua" w:hAnsi="Book Antiqua"/>
          <w:sz w:val="24"/>
          <w:szCs w:val="24"/>
        </w:rPr>
        <w:t xml:space="preserve"> 2010; </w:t>
      </w:r>
      <w:r w:rsidRPr="0028500E">
        <w:rPr>
          <w:rFonts w:ascii="Book Antiqua" w:hAnsi="Book Antiqua"/>
          <w:b/>
          <w:sz w:val="24"/>
          <w:szCs w:val="24"/>
        </w:rPr>
        <w:t>8 Suppl 2</w:t>
      </w:r>
      <w:r w:rsidRPr="0028500E">
        <w:rPr>
          <w:rFonts w:ascii="Book Antiqua" w:hAnsi="Book Antiqua"/>
          <w:sz w:val="24"/>
          <w:szCs w:val="24"/>
        </w:rPr>
        <w:t>: S1-41; quiz S42-4 [PMID: 20457867]</w:t>
      </w:r>
    </w:p>
    <w:p w14:paraId="5321200F"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75 </w:t>
      </w:r>
      <w:r w:rsidRPr="0028500E">
        <w:rPr>
          <w:rFonts w:ascii="Book Antiqua" w:hAnsi="Book Antiqua"/>
          <w:b/>
          <w:sz w:val="24"/>
          <w:szCs w:val="24"/>
        </w:rPr>
        <w:t>Fong Y</w:t>
      </w:r>
      <w:r w:rsidRPr="0028500E">
        <w:rPr>
          <w:rFonts w:ascii="Book Antiqua" w:hAnsi="Book Antiqua"/>
          <w:sz w:val="24"/>
          <w:szCs w:val="24"/>
        </w:rPr>
        <w:t xml:space="preserve">, Coit DG, Woodruff JM, Brennan MF. Lymph node metastasis from soft tissue sarcoma in adults. Analysis of data from a prospective database of 1772 sarcoma patients. </w:t>
      </w:r>
      <w:r w:rsidRPr="0028500E">
        <w:rPr>
          <w:rFonts w:ascii="Book Antiqua" w:hAnsi="Book Antiqua"/>
          <w:i/>
          <w:sz w:val="24"/>
          <w:szCs w:val="24"/>
        </w:rPr>
        <w:t>Ann Surg</w:t>
      </w:r>
      <w:r w:rsidRPr="0028500E">
        <w:rPr>
          <w:rFonts w:ascii="Book Antiqua" w:hAnsi="Book Antiqua"/>
          <w:sz w:val="24"/>
          <w:szCs w:val="24"/>
        </w:rPr>
        <w:t xml:space="preserve"> 1993; </w:t>
      </w:r>
      <w:r w:rsidRPr="0028500E">
        <w:rPr>
          <w:rFonts w:ascii="Book Antiqua" w:hAnsi="Book Antiqua"/>
          <w:b/>
          <w:sz w:val="24"/>
          <w:szCs w:val="24"/>
        </w:rPr>
        <w:t>217</w:t>
      </w:r>
      <w:r w:rsidRPr="0028500E">
        <w:rPr>
          <w:rFonts w:ascii="Book Antiqua" w:hAnsi="Book Antiqua"/>
          <w:sz w:val="24"/>
          <w:szCs w:val="24"/>
        </w:rPr>
        <w:t>: 72-77 [PMID: 8424704]</w:t>
      </w:r>
    </w:p>
    <w:p w14:paraId="38D7C281" w14:textId="426961A2" w:rsidR="00D24EAB" w:rsidRPr="0028500E" w:rsidRDefault="00D24EAB" w:rsidP="001E53AA">
      <w:pPr>
        <w:snapToGrid w:val="0"/>
        <w:spacing w:line="360" w:lineRule="auto"/>
        <w:rPr>
          <w:rFonts w:ascii="Book Antiqua" w:eastAsia="SimSun" w:hAnsi="Book Antiqua"/>
          <w:sz w:val="24"/>
          <w:szCs w:val="24"/>
          <w:lang w:eastAsia="zh-CN"/>
        </w:rPr>
      </w:pPr>
      <w:r w:rsidRPr="0028500E">
        <w:rPr>
          <w:rFonts w:ascii="Book Antiqua" w:hAnsi="Book Antiqua"/>
          <w:sz w:val="24"/>
          <w:szCs w:val="24"/>
        </w:rPr>
        <w:t xml:space="preserve">76 </w:t>
      </w:r>
      <w:r w:rsidRPr="0028500E">
        <w:rPr>
          <w:rFonts w:ascii="Book Antiqua" w:hAnsi="Book Antiqua"/>
          <w:b/>
          <w:sz w:val="24"/>
          <w:szCs w:val="24"/>
        </w:rPr>
        <w:t>Koga T,</w:t>
      </w:r>
      <w:r w:rsidR="00A961CA" w:rsidRPr="0028500E">
        <w:rPr>
          <w:rFonts w:ascii="Book Antiqua" w:hAnsi="Book Antiqua"/>
          <w:sz w:val="24"/>
          <w:szCs w:val="24"/>
        </w:rPr>
        <w:t xml:space="preserve"> </w:t>
      </w:r>
      <w:r w:rsidRPr="0028500E">
        <w:rPr>
          <w:rFonts w:ascii="Book Antiqua" w:hAnsi="Book Antiqua"/>
          <w:sz w:val="24"/>
          <w:szCs w:val="24"/>
        </w:rPr>
        <w:t xml:space="preserve">Hirayama Y, Yoshiya S, Taketani K, Nakanoko T, Yoshida R, Minagawa R, Kai M, Kajiyama K, Akahoshi K, Maehara Y. Necessity for resection of gastric gastrointestinal stromal tumors ≤ 20 mm. </w:t>
      </w:r>
      <w:r w:rsidRPr="0028500E">
        <w:rPr>
          <w:rFonts w:ascii="Book Antiqua" w:hAnsi="Book Antiqua"/>
          <w:i/>
          <w:sz w:val="24"/>
          <w:szCs w:val="24"/>
        </w:rPr>
        <w:t>Anticancer Res</w:t>
      </w:r>
      <w:r w:rsidRPr="0028500E">
        <w:rPr>
          <w:rFonts w:ascii="Book Antiqua" w:hAnsi="Book Antiqua"/>
          <w:sz w:val="24"/>
          <w:szCs w:val="24"/>
        </w:rPr>
        <w:t xml:space="preserve"> 2015; </w:t>
      </w:r>
      <w:r w:rsidRPr="0028500E">
        <w:rPr>
          <w:rFonts w:ascii="Book Antiqua" w:hAnsi="Book Antiqua"/>
          <w:b/>
          <w:sz w:val="24"/>
          <w:szCs w:val="24"/>
        </w:rPr>
        <w:t>35</w:t>
      </w:r>
      <w:r w:rsidRPr="0028500E">
        <w:rPr>
          <w:rFonts w:ascii="Book Antiqua" w:hAnsi="Book Antiqua"/>
          <w:sz w:val="24"/>
          <w:szCs w:val="24"/>
        </w:rPr>
        <w:t>:</w:t>
      </w:r>
      <w:r w:rsidR="00A961CA" w:rsidRPr="0028500E">
        <w:rPr>
          <w:rFonts w:ascii="Book Antiqua" w:eastAsia="SimSun" w:hAnsi="Book Antiqua"/>
          <w:sz w:val="24"/>
          <w:szCs w:val="24"/>
          <w:lang w:eastAsia="zh-CN"/>
        </w:rPr>
        <w:t xml:space="preserve"> </w:t>
      </w:r>
      <w:r w:rsidR="00A961CA" w:rsidRPr="0028500E">
        <w:rPr>
          <w:rFonts w:ascii="Book Antiqua" w:hAnsi="Book Antiqua"/>
          <w:sz w:val="24"/>
          <w:szCs w:val="24"/>
        </w:rPr>
        <w:t>2341-2344</w:t>
      </w:r>
    </w:p>
    <w:p w14:paraId="484DADA6" w14:textId="3876FEE9"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77 </w:t>
      </w:r>
      <w:r w:rsidRPr="0028500E">
        <w:rPr>
          <w:rFonts w:ascii="Book Antiqua" w:hAnsi="Book Antiqua"/>
          <w:b/>
          <w:sz w:val="24"/>
          <w:szCs w:val="24"/>
        </w:rPr>
        <w:t>Akahoshi K,</w:t>
      </w:r>
      <w:r w:rsidRPr="0028500E">
        <w:rPr>
          <w:rFonts w:ascii="Book Antiqua" w:hAnsi="Book Antiqua"/>
          <w:sz w:val="24"/>
          <w:szCs w:val="24"/>
        </w:rPr>
        <w:t xml:space="preserve"> Oya M, Koga T. Diagnosis and treatment of gastrointestinal stromal tumor (GIST)</w:t>
      </w:r>
      <w:r w:rsidR="005532B1" w:rsidRPr="0028500E">
        <w:rPr>
          <w:rFonts w:ascii="Book Antiqua" w:eastAsia="SimSun" w:hAnsi="Book Antiqua"/>
          <w:sz w:val="24"/>
          <w:szCs w:val="24"/>
          <w:lang w:eastAsia="zh-CN"/>
        </w:rPr>
        <w:t>.</w:t>
      </w:r>
      <w:r w:rsidRPr="0028500E">
        <w:rPr>
          <w:rFonts w:ascii="Book Antiqua" w:hAnsi="Book Antiqua"/>
          <w:sz w:val="24"/>
          <w:szCs w:val="24"/>
        </w:rPr>
        <w:t xml:space="preserve"> </w:t>
      </w:r>
      <w:r w:rsidRPr="0028500E">
        <w:rPr>
          <w:rFonts w:ascii="Book Antiqua" w:hAnsi="Book Antiqua"/>
          <w:i/>
          <w:sz w:val="24"/>
          <w:szCs w:val="24"/>
        </w:rPr>
        <w:t>Endoscopia Digestiva</w:t>
      </w:r>
      <w:r w:rsidRPr="0028500E">
        <w:rPr>
          <w:rFonts w:ascii="Book Antiqua" w:hAnsi="Book Antiqua"/>
          <w:sz w:val="24"/>
          <w:szCs w:val="24"/>
        </w:rPr>
        <w:t xml:space="preserve"> 2012; </w:t>
      </w:r>
      <w:r w:rsidRPr="0028500E">
        <w:rPr>
          <w:rFonts w:ascii="Book Antiqua" w:hAnsi="Book Antiqua"/>
          <w:b/>
          <w:sz w:val="24"/>
          <w:szCs w:val="24"/>
        </w:rPr>
        <w:t>24</w:t>
      </w:r>
      <w:r w:rsidRPr="0028500E">
        <w:rPr>
          <w:rFonts w:ascii="Book Antiqua" w:hAnsi="Book Antiqua"/>
          <w:sz w:val="24"/>
          <w:szCs w:val="24"/>
        </w:rPr>
        <w:t>: 626-632</w:t>
      </w:r>
    </w:p>
    <w:p w14:paraId="670B8A86"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78 </w:t>
      </w:r>
      <w:r w:rsidRPr="0028500E">
        <w:rPr>
          <w:rFonts w:ascii="Book Antiqua" w:hAnsi="Book Antiqua"/>
          <w:b/>
          <w:sz w:val="24"/>
          <w:szCs w:val="24"/>
        </w:rPr>
        <w:t>Chen K</w:t>
      </w:r>
      <w:r w:rsidRPr="0028500E">
        <w:rPr>
          <w:rFonts w:ascii="Book Antiqua" w:hAnsi="Book Antiqua"/>
          <w:sz w:val="24"/>
          <w:szCs w:val="24"/>
        </w:rPr>
        <w:t xml:space="preserve">, Zhou YC, Mou YP, Xu XW, Jin WW, Ajoodhea H. Systematic review and meta-analysis of safety and efficacy of laparoscopic resection for gastrointestinal stromal tumors of the stomach. </w:t>
      </w:r>
      <w:r w:rsidRPr="0028500E">
        <w:rPr>
          <w:rFonts w:ascii="Book Antiqua" w:hAnsi="Book Antiqua"/>
          <w:i/>
          <w:sz w:val="24"/>
          <w:szCs w:val="24"/>
        </w:rPr>
        <w:t>Surg Endosc</w:t>
      </w:r>
      <w:r w:rsidRPr="0028500E">
        <w:rPr>
          <w:rFonts w:ascii="Book Antiqua" w:hAnsi="Book Antiqua"/>
          <w:sz w:val="24"/>
          <w:szCs w:val="24"/>
        </w:rPr>
        <w:t xml:space="preserve"> 2015; </w:t>
      </w:r>
      <w:r w:rsidRPr="0028500E">
        <w:rPr>
          <w:rFonts w:ascii="Book Antiqua" w:hAnsi="Book Antiqua"/>
          <w:b/>
          <w:sz w:val="24"/>
          <w:szCs w:val="24"/>
        </w:rPr>
        <w:t>29</w:t>
      </w:r>
      <w:r w:rsidRPr="0028500E">
        <w:rPr>
          <w:rFonts w:ascii="Book Antiqua" w:hAnsi="Book Antiqua"/>
          <w:sz w:val="24"/>
          <w:szCs w:val="24"/>
        </w:rPr>
        <w:t>: 355-367 [PMID: 25005014 DOI: 10.1007/s00464-014-3676-6]</w:t>
      </w:r>
    </w:p>
    <w:p w14:paraId="40CE32FC"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79 </w:t>
      </w:r>
      <w:r w:rsidRPr="0028500E">
        <w:rPr>
          <w:rFonts w:ascii="Book Antiqua" w:hAnsi="Book Antiqua"/>
          <w:b/>
          <w:sz w:val="24"/>
          <w:szCs w:val="24"/>
        </w:rPr>
        <w:t>Koh YX</w:t>
      </w:r>
      <w:r w:rsidRPr="0028500E">
        <w:rPr>
          <w:rFonts w:ascii="Book Antiqua" w:hAnsi="Book Antiqua"/>
          <w:sz w:val="24"/>
          <w:szCs w:val="24"/>
        </w:rPr>
        <w:t xml:space="preserve">, Chok AY, Zheng HL, Tan CS, Chow PK, Wong WK, Goh BK. A </w:t>
      </w:r>
      <w:r w:rsidRPr="0028500E">
        <w:rPr>
          <w:rFonts w:ascii="Book Antiqua" w:hAnsi="Book Antiqua"/>
          <w:sz w:val="24"/>
          <w:szCs w:val="24"/>
        </w:rPr>
        <w:lastRenderedPageBreak/>
        <w:t xml:space="preserve">systematic review and meta-analysis comparing laparoscopic versus open gastric resections for gastrointestinal stromal tumors of the stomach. </w:t>
      </w:r>
      <w:r w:rsidRPr="0028500E">
        <w:rPr>
          <w:rFonts w:ascii="Book Antiqua" w:hAnsi="Book Antiqua"/>
          <w:i/>
          <w:sz w:val="24"/>
          <w:szCs w:val="24"/>
        </w:rPr>
        <w:t>Ann Surg Oncol</w:t>
      </w:r>
      <w:r w:rsidRPr="0028500E">
        <w:rPr>
          <w:rFonts w:ascii="Book Antiqua" w:hAnsi="Book Antiqua"/>
          <w:sz w:val="24"/>
          <w:szCs w:val="24"/>
        </w:rPr>
        <w:t xml:space="preserve"> 2013; </w:t>
      </w:r>
      <w:r w:rsidRPr="0028500E">
        <w:rPr>
          <w:rFonts w:ascii="Book Antiqua" w:hAnsi="Book Antiqua"/>
          <w:b/>
          <w:sz w:val="24"/>
          <w:szCs w:val="24"/>
        </w:rPr>
        <w:t>20</w:t>
      </w:r>
      <w:r w:rsidRPr="0028500E">
        <w:rPr>
          <w:rFonts w:ascii="Book Antiqua" w:hAnsi="Book Antiqua"/>
          <w:sz w:val="24"/>
          <w:szCs w:val="24"/>
        </w:rPr>
        <w:t>: 3549-3560 [PMID: 23793362 DOI: 10.1245/s10434-013-3051-1]</w:t>
      </w:r>
    </w:p>
    <w:p w14:paraId="4186D480"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80 </w:t>
      </w:r>
      <w:r w:rsidRPr="0028500E">
        <w:rPr>
          <w:rFonts w:ascii="Book Antiqua" w:hAnsi="Book Antiqua"/>
          <w:b/>
          <w:sz w:val="24"/>
          <w:szCs w:val="24"/>
        </w:rPr>
        <w:t>Zhou PH</w:t>
      </w:r>
      <w:r w:rsidRPr="0028500E">
        <w:rPr>
          <w:rFonts w:ascii="Book Antiqua" w:hAnsi="Book Antiqua"/>
          <w:sz w:val="24"/>
          <w:szCs w:val="24"/>
        </w:rPr>
        <w:t xml:space="preserve">, Yao LQ, Qin XY, Cai MY, Xu MD, Zhong YS, Chen WF, Zhang YQ, Qin WZ, Hu JW, Liu JZ. Endoscopic full-thickness resection without laparoscopic assistance for gastric submucosal tumors originated from the muscularis propria. </w:t>
      </w:r>
      <w:r w:rsidRPr="0028500E">
        <w:rPr>
          <w:rFonts w:ascii="Book Antiqua" w:hAnsi="Book Antiqua"/>
          <w:i/>
          <w:sz w:val="24"/>
          <w:szCs w:val="24"/>
        </w:rPr>
        <w:t>Surg Endosc</w:t>
      </w:r>
      <w:r w:rsidRPr="0028500E">
        <w:rPr>
          <w:rFonts w:ascii="Book Antiqua" w:hAnsi="Book Antiqua"/>
          <w:sz w:val="24"/>
          <w:szCs w:val="24"/>
        </w:rPr>
        <w:t xml:space="preserve"> 2011; </w:t>
      </w:r>
      <w:r w:rsidRPr="0028500E">
        <w:rPr>
          <w:rFonts w:ascii="Book Antiqua" w:hAnsi="Book Antiqua"/>
          <w:b/>
          <w:sz w:val="24"/>
          <w:szCs w:val="24"/>
        </w:rPr>
        <w:t>25</w:t>
      </w:r>
      <w:r w:rsidRPr="0028500E">
        <w:rPr>
          <w:rFonts w:ascii="Book Antiqua" w:hAnsi="Book Antiqua"/>
          <w:sz w:val="24"/>
          <w:szCs w:val="24"/>
        </w:rPr>
        <w:t>: 2926-2931 [PMID: 21424195 DOI: 10.1007/s00464-011-1644-y]</w:t>
      </w:r>
    </w:p>
    <w:p w14:paraId="6C92FC01"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81 </w:t>
      </w:r>
      <w:r w:rsidRPr="0028500E">
        <w:rPr>
          <w:rFonts w:ascii="Book Antiqua" w:hAnsi="Book Antiqua"/>
          <w:b/>
          <w:sz w:val="24"/>
          <w:szCs w:val="24"/>
        </w:rPr>
        <w:t>Hiki N</w:t>
      </w:r>
      <w:r w:rsidRPr="0028500E">
        <w:rPr>
          <w:rFonts w:ascii="Book Antiqua" w:hAnsi="Book Antiqua"/>
          <w:sz w:val="24"/>
          <w:szCs w:val="24"/>
        </w:rPr>
        <w:t xml:space="preserve">, Nunobe S, Matsuda T, Hirasawa T, Yamamoto Y, Yamaguchi T. Laparoscopic endoscopic cooperative surgery. </w:t>
      </w:r>
      <w:r w:rsidRPr="0028500E">
        <w:rPr>
          <w:rFonts w:ascii="Book Antiqua" w:hAnsi="Book Antiqua"/>
          <w:i/>
          <w:sz w:val="24"/>
          <w:szCs w:val="24"/>
        </w:rPr>
        <w:t>Dig Endosc</w:t>
      </w:r>
      <w:r w:rsidRPr="0028500E">
        <w:rPr>
          <w:rFonts w:ascii="Book Antiqua" w:hAnsi="Book Antiqua"/>
          <w:sz w:val="24"/>
          <w:szCs w:val="24"/>
        </w:rPr>
        <w:t xml:space="preserve"> 2015; </w:t>
      </w:r>
      <w:r w:rsidRPr="0028500E">
        <w:rPr>
          <w:rFonts w:ascii="Book Antiqua" w:hAnsi="Book Antiqua"/>
          <w:b/>
          <w:sz w:val="24"/>
          <w:szCs w:val="24"/>
        </w:rPr>
        <w:t>27</w:t>
      </w:r>
      <w:r w:rsidRPr="0028500E">
        <w:rPr>
          <w:rFonts w:ascii="Book Antiqua" w:hAnsi="Book Antiqua"/>
          <w:sz w:val="24"/>
          <w:szCs w:val="24"/>
        </w:rPr>
        <w:t>: 197-204 [PMID: 25394216 DOI: 10.1111/den.12404]</w:t>
      </w:r>
    </w:p>
    <w:p w14:paraId="5DDA9378"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82 </w:t>
      </w:r>
      <w:r w:rsidRPr="0028500E">
        <w:rPr>
          <w:rFonts w:ascii="Book Antiqua" w:hAnsi="Book Antiqua"/>
          <w:b/>
          <w:sz w:val="24"/>
          <w:szCs w:val="24"/>
        </w:rPr>
        <w:t>Joensuu H</w:t>
      </w:r>
      <w:r w:rsidRPr="0028500E">
        <w:rPr>
          <w:rFonts w:ascii="Book Antiqua" w:hAnsi="Book Antiqua"/>
          <w:sz w:val="24"/>
          <w:szCs w:val="24"/>
        </w:rPr>
        <w:t xml:space="preserve">, Eriksson M, Sundby Hall K, Hartmann JT, Pink D, Schütte J, Ramadori G, Hohenberger P, Duyster J, Al-Batran SE, Schlemmer M, Bauer S, Wardelmann E, Sarlomo-Rikala M, Nilsson B, Sihto H, Monge OR, Bono P, Kallio R, Vehtari A, Leinonen M, Alvegård T, Reichardt P. One vs three years of adjuvant imatinib for operable gastrointestinal stromal tumor: a randomized trial. </w:t>
      </w:r>
      <w:r w:rsidRPr="0028500E">
        <w:rPr>
          <w:rFonts w:ascii="Book Antiqua" w:hAnsi="Book Antiqua"/>
          <w:i/>
          <w:sz w:val="24"/>
          <w:szCs w:val="24"/>
        </w:rPr>
        <w:t>JAMA</w:t>
      </w:r>
      <w:r w:rsidRPr="0028500E">
        <w:rPr>
          <w:rFonts w:ascii="Book Antiqua" w:hAnsi="Book Antiqua"/>
          <w:sz w:val="24"/>
          <w:szCs w:val="24"/>
        </w:rPr>
        <w:t xml:space="preserve"> 2012; </w:t>
      </w:r>
      <w:r w:rsidRPr="0028500E">
        <w:rPr>
          <w:rFonts w:ascii="Book Antiqua" w:hAnsi="Book Antiqua"/>
          <w:b/>
          <w:sz w:val="24"/>
          <w:szCs w:val="24"/>
        </w:rPr>
        <w:t>307</w:t>
      </w:r>
      <w:r w:rsidRPr="0028500E">
        <w:rPr>
          <w:rFonts w:ascii="Book Antiqua" w:hAnsi="Book Antiqua"/>
          <w:sz w:val="24"/>
          <w:szCs w:val="24"/>
        </w:rPr>
        <w:t>: 1265-1272 [PMID: 22453568 DOI: 10.1001/jama.2012.347]</w:t>
      </w:r>
    </w:p>
    <w:p w14:paraId="25584C05"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83 </w:t>
      </w:r>
      <w:r w:rsidRPr="0028500E">
        <w:rPr>
          <w:rFonts w:ascii="Book Antiqua" w:hAnsi="Book Antiqua"/>
          <w:b/>
          <w:sz w:val="24"/>
          <w:szCs w:val="24"/>
        </w:rPr>
        <w:t>Demetri GD</w:t>
      </w:r>
      <w:r w:rsidRPr="0028500E">
        <w:rPr>
          <w:rFonts w:ascii="Book Antiqua" w:hAnsi="Book Antiqua"/>
          <w:sz w:val="24"/>
          <w:szCs w:val="24"/>
        </w:rPr>
        <w:t xml:space="preserve">, van Oosterom AT, Garrett CR, Blackstein ME, Shah MH, Verweij J, McArthur G, Judson IR, Heinrich MC, Morgan JA, Desai J, Fletcher CD, George S, Bello CL, Huang X, Baum CM, Casali PG. Efficacy and safety of sunitinib in patients with advanced gastrointestinal stromal tumour after failure of imatinib: a randomised controlled trial. </w:t>
      </w:r>
      <w:r w:rsidRPr="0028500E">
        <w:rPr>
          <w:rFonts w:ascii="Book Antiqua" w:hAnsi="Book Antiqua"/>
          <w:i/>
          <w:sz w:val="24"/>
          <w:szCs w:val="24"/>
        </w:rPr>
        <w:t>Lancet</w:t>
      </w:r>
      <w:r w:rsidRPr="0028500E">
        <w:rPr>
          <w:rFonts w:ascii="Book Antiqua" w:hAnsi="Book Antiqua"/>
          <w:sz w:val="24"/>
          <w:szCs w:val="24"/>
        </w:rPr>
        <w:t xml:space="preserve"> 2006; </w:t>
      </w:r>
      <w:r w:rsidRPr="0028500E">
        <w:rPr>
          <w:rFonts w:ascii="Book Antiqua" w:hAnsi="Book Antiqua"/>
          <w:b/>
          <w:sz w:val="24"/>
          <w:szCs w:val="24"/>
        </w:rPr>
        <w:t>368</w:t>
      </w:r>
      <w:r w:rsidRPr="0028500E">
        <w:rPr>
          <w:rFonts w:ascii="Book Antiqua" w:hAnsi="Book Antiqua"/>
          <w:sz w:val="24"/>
          <w:szCs w:val="24"/>
        </w:rPr>
        <w:t>: 1329-1338 [PMID: 17046465 DOI: 10.1016/S0140-6736(06)69446-4]</w:t>
      </w:r>
    </w:p>
    <w:p w14:paraId="47692519" w14:textId="54F99945" w:rsidR="00D24EAB" w:rsidRPr="0028500E" w:rsidRDefault="00D24EAB" w:rsidP="001E53AA">
      <w:pPr>
        <w:snapToGrid w:val="0"/>
        <w:spacing w:line="360" w:lineRule="auto"/>
        <w:rPr>
          <w:rFonts w:ascii="Book Antiqua" w:eastAsia="SimSun" w:hAnsi="Book Antiqua"/>
          <w:sz w:val="24"/>
          <w:szCs w:val="24"/>
          <w:lang w:eastAsia="zh-CN"/>
        </w:rPr>
      </w:pPr>
      <w:r w:rsidRPr="0028500E">
        <w:rPr>
          <w:rFonts w:ascii="Book Antiqua" w:hAnsi="Book Antiqua"/>
          <w:sz w:val="24"/>
          <w:szCs w:val="24"/>
        </w:rPr>
        <w:t xml:space="preserve">84 </w:t>
      </w:r>
      <w:r w:rsidRPr="0028500E">
        <w:rPr>
          <w:rFonts w:ascii="Book Antiqua" w:hAnsi="Book Antiqua"/>
          <w:b/>
          <w:sz w:val="24"/>
          <w:szCs w:val="24"/>
        </w:rPr>
        <w:t>Demetri GD,</w:t>
      </w:r>
      <w:r w:rsidR="007C2069" w:rsidRPr="0028500E">
        <w:rPr>
          <w:rFonts w:ascii="Book Antiqua" w:hAnsi="Book Antiqua"/>
          <w:sz w:val="24"/>
          <w:szCs w:val="24"/>
        </w:rPr>
        <w:t xml:space="preserve"> </w:t>
      </w:r>
      <w:r w:rsidRPr="0028500E">
        <w:rPr>
          <w:rFonts w:ascii="Book Antiqua" w:hAnsi="Book Antiqua"/>
          <w:sz w:val="24"/>
          <w:szCs w:val="24"/>
        </w:rPr>
        <w:t>Reichardt P, Kang YK, Blay JY, Rutkowski P, Gelderblom H, Hohenberger P, Leahy M, von Mehren M, Joensuu H, Badalamenti G, Blackstein M, Le Cesne A, Schöffski P, Maki RG, Bauer S, Nguyen BB, Xu J, Nishida T, Chung J, Kappeler C, Kuss I, Laurent D, Casali PG; GRID study investigators. Efficacy and safety of regorafenib for advanced gastrointestinal stromal tumours after failure of imatinib and sunitinib (GRID): an international, multicentre, randomised, placebo-controlled</w:t>
      </w:r>
      <w:r w:rsidR="00112938" w:rsidRPr="0028500E">
        <w:rPr>
          <w:rFonts w:ascii="Book Antiqua" w:hAnsi="Book Antiqua"/>
          <w:sz w:val="24"/>
          <w:szCs w:val="24"/>
        </w:rPr>
        <w:t xml:space="preserve">, phase 3 trial. </w:t>
      </w:r>
      <w:r w:rsidR="00112938" w:rsidRPr="0028500E">
        <w:rPr>
          <w:rFonts w:ascii="Book Antiqua" w:hAnsi="Book Antiqua"/>
          <w:i/>
          <w:sz w:val="24"/>
          <w:szCs w:val="24"/>
        </w:rPr>
        <w:t>Lancet</w:t>
      </w:r>
      <w:r w:rsidRPr="0028500E">
        <w:rPr>
          <w:rFonts w:ascii="Book Antiqua" w:hAnsi="Book Antiqua"/>
          <w:sz w:val="24"/>
          <w:szCs w:val="24"/>
        </w:rPr>
        <w:t xml:space="preserve"> 2013; </w:t>
      </w:r>
      <w:r w:rsidRPr="0028500E">
        <w:rPr>
          <w:rFonts w:ascii="Book Antiqua" w:hAnsi="Book Antiqua"/>
          <w:b/>
          <w:sz w:val="24"/>
          <w:szCs w:val="24"/>
        </w:rPr>
        <w:lastRenderedPageBreak/>
        <w:t>381</w:t>
      </w:r>
      <w:r w:rsidR="00AA70D9" w:rsidRPr="0028500E">
        <w:rPr>
          <w:rFonts w:ascii="Book Antiqua" w:hAnsi="Book Antiqua"/>
          <w:sz w:val="24"/>
          <w:szCs w:val="24"/>
        </w:rPr>
        <w:t>:295-302</w:t>
      </w:r>
      <w:r w:rsidR="00AA70D9" w:rsidRPr="0028500E">
        <w:rPr>
          <w:rFonts w:ascii="Book Antiqua" w:eastAsia="SimSun" w:hAnsi="Book Antiqua"/>
          <w:sz w:val="24"/>
          <w:szCs w:val="24"/>
          <w:lang w:eastAsia="zh-CN"/>
        </w:rPr>
        <w:t xml:space="preserve"> [PMID: 23177515 DOI: 10.1016/S0140-6736(12)61857-1]</w:t>
      </w:r>
    </w:p>
    <w:p w14:paraId="27C0FC49"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85 </w:t>
      </w:r>
      <w:r w:rsidRPr="0028500E">
        <w:rPr>
          <w:rFonts w:ascii="Book Antiqua" w:hAnsi="Book Antiqua"/>
          <w:b/>
          <w:sz w:val="24"/>
          <w:szCs w:val="24"/>
        </w:rPr>
        <w:t>Fletcher CD</w:t>
      </w:r>
      <w:r w:rsidRPr="0028500E">
        <w:rPr>
          <w:rFonts w:ascii="Book Antiqua" w:hAnsi="Book Antiqua"/>
          <w:sz w:val="24"/>
          <w:szCs w:val="24"/>
        </w:rPr>
        <w:t xml:space="preserve">, Berman JJ, Corless C, Gorstein F, Lasota J, Longley BJ, Miettinen M, O'Leary TJ, Remotti H, Rubin BP, Shmookler B, Sobin LH, Weiss SW. Diagnosis of gastrointestinal stromal tumors: A consensus approach. </w:t>
      </w:r>
      <w:r w:rsidRPr="0028500E">
        <w:rPr>
          <w:rFonts w:ascii="Book Antiqua" w:hAnsi="Book Antiqua"/>
          <w:i/>
          <w:sz w:val="24"/>
          <w:szCs w:val="24"/>
        </w:rPr>
        <w:t>Hum Pathol</w:t>
      </w:r>
      <w:r w:rsidRPr="0028500E">
        <w:rPr>
          <w:rFonts w:ascii="Book Antiqua" w:hAnsi="Book Antiqua"/>
          <w:sz w:val="24"/>
          <w:szCs w:val="24"/>
        </w:rPr>
        <w:t xml:space="preserve"> 2002; </w:t>
      </w:r>
      <w:r w:rsidRPr="0028500E">
        <w:rPr>
          <w:rFonts w:ascii="Book Antiqua" w:hAnsi="Book Antiqua"/>
          <w:b/>
          <w:sz w:val="24"/>
          <w:szCs w:val="24"/>
        </w:rPr>
        <w:t>33</w:t>
      </w:r>
      <w:r w:rsidRPr="0028500E">
        <w:rPr>
          <w:rFonts w:ascii="Book Antiqua" w:hAnsi="Book Antiqua"/>
          <w:sz w:val="24"/>
          <w:szCs w:val="24"/>
        </w:rPr>
        <w:t>: 459-465 [PMID: 12094370 DOI: 10.1053/hupa.2002.123545]</w:t>
      </w:r>
    </w:p>
    <w:p w14:paraId="319B4BF2"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86 </w:t>
      </w:r>
      <w:r w:rsidRPr="0028500E">
        <w:rPr>
          <w:rFonts w:ascii="Book Antiqua" w:hAnsi="Book Antiqua"/>
          <w:b/>
          <w:sz w:val="24"/>
          <w:szCs w:val="24"/>
        </w:rPr>
        <w:t>Miettinen M</w:t>
      </w:r>
      <w:r w:rsidRPr="0028500E">
        <w:rPr>
          <w:rFonts w:ascii="Book Antiqua" w:hAnsi="Book Antiqua"/>
          <w:sz w:val="24"/>
          <w:szCs w:val="24"/>
        </w:rPr>
        <w:t xml:space="preserve">, Lasota J. Gastrointestinal stromal tumors: pathology and prognosis at different sites. </w:t>
      </w:r>
      <w:r w:rsidRPr="0028500E">
        <w:rPr>
          <w:rFonts w:ascii="Book Antiqua" w:hAnsi="Book Antiqua"/>
          <w:i/>
          <w:sz w:val="24"/>
          <w:szCs w:val="24"/>
        </w:rPr>
        <w:t>Semin Diagn Pathol</w:t>
      </w:r>
      <w:r w:rsidRPr="0028500E">
        <w:rPr>
          <w:rFonts w:ascii="Book Antiqua" w:hAnsi="Book Antiqua"/>
          <w:sz w:val="24"/>
          <w:szCs w:val="24"/>
        </w:rPr>
        <w:t xml:space="preserve"> 2006; </w:t>
      </w:r>
      <w:r w:rsidRPr="0028500E">
        <w:rPr>
          <w:rFonts w:ascii="Book Antiqua" w:hAnsi="Book Antiqua"/>
          <w:b/>
          <w:sz w:val="24"/>
          <w:szCs w:val="24"/>
        </w:rPr>
        <w:t>23</w:t>
      </w:r>
      <w:r w:rsidRPr="0028500E">
        <w:rPr>
          <w:rFonts w:ascii="Book Antiqua" w:hAnsi="Book Antiqua"/>
          <w:sz w:val="24"/>
          <w:szCs w:val="24"/>
        </w:rPr>
        <w:t>: 70-83 [PMID: 17193820]</w:t>
      </w:r>
    </w:p>
    <w:p w14:paraId="2DBD4B12"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87 </w:t>
      </w:r>
      <w:r w:rsidRPr="0028500E">
        <w:rPr>
          <w:rFonts w:ascii="Book Antiqua" w:hAnsi="Book Antiqua"/>
          <w:b/>
          <w:sz w:val="24"/>
          <w:szCs w:val="24"/>
        </w:rPr>
        <w:t>Joensuu H</w:t>
      </w:r>
      <w:r w:rsidRPr="0028500E">
        <w:rPr>
          <w:rFonts w:ascii="Book Antiqua" w:hAnsi="Book Antiqua"/>
          <w:sz w:val="24"/>
          <w:szCs w:val="24"/>
        </w:rPr>
        <w:t xml:space="preserve">, Vehtari A, Riihimäki J, Nishida T, Steigen SE, Brabec P, Plank L, Nilsson B, Cirilli C, Braconi C, Bordoni A, Magnusson MK, Linke Z, Sufliarsky J, Federico M, Jonasson JG, Dei Tos AP, Rutkowski P. Risk of recurrence of gastrointestinal stromal tumour after surgery: an analysis of pooled population-based cohorts. </w:t>
      </w:r>
      <w:r w:rsidRPr="0028500E">
        <w:rPr>
          <w:rFonts w:ascii="Book Antiqua" w:hAnsi="Book Antiqua"/>
          <w:i/>
          <w:sz w:val="24"/>
          <w:szCs w:val="24"/>
        </w:rPr>
        <w:t>Lancet Oncol</w:t>
      </w:r>
      <w:r w:rsidRPr="0028500E">
        <w:rPr>
          <w:rFonts w:ascii="Book Antiqua" w:hAnsi="Book Antiqua"/>
          <w:sz w:val="24"/>
          <w:szCs w:val="24"/>
        </w:rPr>
        <w:t xml:space="preserve"> 2012; </w:t>
      </w:r>
      <w:r w:rsidRPr="0028500E">
        <w:rPr>
          <w:rFonts w:ascii="Book Antiqua" w:hAnsi="Book Antiqua"/>
          <w:b/>
          <w:sz w:val="24"/>
          <w:szCs w:val="24"/>
        </w:rPr>
        <w:t>13</w:t>
      </w:r>
      <w:r w:rsidRPr="0028500E">
        <w:rPr>
          <w:rFonts w:ascii="Book Antiqua" w:hAnsi="Book Antiqua"/>
          <w:sz w:val="24"/>
          <w:szCs w:val="24"/>
        </w:rPr>
        <w:t>: 265-274 [PMID: 22153892 DOI: 10.1016/s1470-2045(11)70299-6]</w:t>
      </w:r>
    </w:p>
    <w:p w14:paraId="51F5C84E"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88 </w:t>
      </w:r>
      <w:r w:rsidRPr="0028500E">
        <w:rPr>
          <w:rFonts w:ascii="Book Antiqua" w:hAnsi="Book Antiqua"/>
          <w:b/>
          <w:sz w:val="24"/>
          <w:szCs w:val="24"/>
        </w:rPr>
        <w:t>Joensuu H</w:t>
      </w:r>
      <w:r w:rsidRPr="0028500E">
        <w:rPr>
          <w:rFonts w:ascii="Book Antiqua" w:hAnsi="Book Antiqua"/>
          <w:sz w:val="24"/>
          <w:szCs w:val="24"/>
        </w:rPr>
        <w:t xml:space="preserve">, Martin-Broto J, Nishida T, Reichardt P, Schöffski P, Maki RG. Follow-up strategies for patients with gastrointestinal stromal tumour treated with or without adjuvant imatinib after surgery. </w:t>
      </w:r>
      <w:r w:rsidRPr="0028500E">
        <w:rPr>
          <w:rFonts w:ascii="Book Antiqua" w:hAnsi="Book Antiqua"/>
          <w:i/>
          <w:sz w:val="24"/>
          <w:szCs w:val="24"/>
        </w:rPr>
        <w:t>Eur J Cancer</w:t>
      </w:r>
      <w:r w:rsidRPr="0028500E">
        <w:rPr>
          <w:rFonts w:ascii="Book Antiqua" w:hAnsi="Book Antiqua"/>
          <w:sz w:val="24"/>
          <w:szCs w:val="24"/>
        </w:rPr>
        <w:t xml:space="preserve"> 2015; </w:t>
      </w:r>
      <w:r w:rsidRPr="0028500E">
        <w:rPr>
          <w:rFonts w:ascii="Book Antiqua" w:hAnsi="Book Antiqua"/>
          <w:b/>
          <w:sz w:val="24"/>
          <w:szCs w:val="24"/>
        </w:rPr>
        <w:t>51</w:t>
      </w:r>
      <w:r w:rsidRPr="0028500E">
        <w:rPr>
          <w:rFonts w:ascii="Book Antiqua" w:hAnsi="Book Antiqua"/>
          <w:sz w:val="24"/>
          <w:szCs w:val="24"/>
        </w:rPr>
        <w:t>: 1611-1617 [PMID: 26022432 DOI: 10.1016/j.ejca.2015.05.009]</w:t>
      </w:r>
    </w:p>
    <w:p w14:paraId="5D123F36"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89 </w:t>
      </w:r>
      <w:r w:rsidRPr="0028500E">
        <w:rPr>
          <w:rFonts w:ascii="Book Antiqua" w:hAnsi="Book Antiqua"/>
          <w:b/>
          <w:sz w:val="24"/>
          <w:szCs w:val="24"/>
        </w:rPr>
        <w:t>Tanaka J</w:t>
      </w:r>
      <w:r w:rsidRPr="0028500E">
        <w:rPr>
          <w:rFonts w:ascii="Book Antiqua" w:hAnsi="Book Antiqua"/>
          <w:sz w:val="24"/>
          <w:szCs w:val="24"/>
        </w:rPr>
        <w:t xml:space="preserve">, Oshima T, Hori K, Tomita T, Kim Y, Watari J, Oh K, Hirota S, Matsumoto T, Miwa H. Small gastrointestinal stromal tumor of the stomach showing rapid growth and early metastasis to the liver. </w:t>
      </w:r>
      <w:r w:rsidRPr="0028500E">
        <w:rPr>
          <w:rFonts w:ascii="Book Antiqua" w:hAnsi="Book Antiqua"/>
          <w:i/>
          <w:sz w:val="24"/>
          <w:szCs w:val="24"/>
        </w:rPr>
        <w:t>Dig Endosc</w:t>
      </w:r>
      <w:r w:rsidRPr="0028500E">
        <w:rPr>
          <w:rFonts w:ascii="Book Antiqua" w:hAnsi="Book Antiqua"/>
          <w:sz w:val="24"/>
          <w:szCs w:val="24"/>
        </w:rPr>
        <w:t xml:space="preserve"> 2010; </w:t>
      </w:r>
      <w:r w:rsidRPr="0028500E">
        <w:rPr>
          <w:rFonts w:ascii="Book Antiqua" w:hAnsi="Book Antiqua"/>
          <w:b/>
          <w:sz w:val="24"/>
          <w:szCs w:val="24"/>
        </w:rPr>
        <w:t>22</w:t>
      </w:r>
      <w:r w:rsidRPr="0028500E">
        <w:rPr>
          <w:rFonts w:ascii="Book Antiqua" w:hAnsi="Book Antiqua"/>
          <w:sz w:val="24"/>
          <w:szCs w:val="24"/>
        </w:rPr>
        <w:t>: 354-356 [PMID: 21175497 DOI: 10.1111/j.1443-1661.2010.01032.x]</w:t>
      </w:r>
    </w:p>
    <w:p w14:paraId="200FE385"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t xml:space="preserve">90 </w:t>
      </w:r>
      <w:r w:rsidRPr="0028500E">
        <w:rPr>
          <w:rFonts w:ascii="Book Antiqua" w:hAnsi="Book Antiqua"/>
          <w:b/>
          <w:sz w:val="24"/>
          <w:szCs w:val="24"/>
        </w:rPr>
        <w:t>Aso A</w:t>
      </w:r>
      <w:r w:rsidRPr="0028500E">
        <w:rPr>
          <w:rFonts w:ascii="Book Antiqua" w:hAnsi="Book Antiqua"/>
          <w:sz w:val="24"/>
          <w:szCs w:val="24"/>
        </w:rPr>
        <w:t xml:space="preserve">, Ihara E, Kubo H, Osoegawa T, Oono T, Nakamura K, Ito T, Kakeji Y, Mikako O, Yamamoto H, Oishi T, Oishi Y, Hachitanda Y, Takayanagi R. Gastric gastrointestinal stromal tumor smaller than 20 mm with liver metastasis. </w:t>
      </w:r>
      <w:r w:rsidRPr="0028500E">
        <w:rPr>
          <w:rFonts w:ascii="Book Antiqua" w:hAnsi="Book Antiqua"/>
          <w:i/>
          <w:sz w:val="24"/>
          <w:szCs w:val="24"/>
        </w:rPr>
        <w:t>Clin J Gastroenterol</w:t>
      </w:r>
      <w:r w:rsidRPr="0028500E">
        <w:rPr>
          <w:rFonts w:ascii="Book Antiqua" w:hAnsi="Book Antiqua"/>
          <w:sz w:val="24"/>
          <w:szCs w:val="24"/>
        </w:rPr>
        <w:t xml:space="preserve"> 2013; </w:t>
      </w:r>
      <w:r w:rsidRPr="0028500E">
        <w:rPr>
          <w:rFonts w:ascii="Book Antiqua" w:hAnsi="Book Antiqua"/>
          <w:b/>
          <w:sz w:val="24"/>
          <w:szCs w:val="24"/>
        </w:rPr>
        <w:t>6</w:t>
      </w:r>
      <w:r w:rsidRPr="0028500E">
        <w:rPr>
          <w:rFonts w:ascii="Book Antiqua" w:hAnsi="Book Antiqua"/>
          <w:sz w:val="24"/>
          <w:szCs w:val="24"/>
        </w:rPr>
        <w:t>: 29-32 [PMID: 26181401 DOI: 10.1007/s12328-012-0351-0]</w:t>
      </w:r>
    </w:p>
    <w:p w14:paraId="1C98242F" w14:textId="2916B4CE" w:rsidR="00D24EAB" w:rsidRPr="0028500E" w:rsidRDefault="00D24EAB" w:rsidP="001E53AA">
      <w:pPr>
        <w:snapToGrid w:val="0"/>
        <w:spacing w:line="360" w:lineRule="auto"/>
        <w:rPr>
          <w:rFonts w:ascii="Book Antiqua" w:eastAsia="SimSun" w:hAnsi="Book Antiqua"/>
          <w:sz w:val="24"/>
          <w:szCs w:val="24"/>
          <w:lang w:eastAsia="zh-CN"/>
        </w:rPr>
      </w:pPr>
      <w:r w:rsidRPr="0028500E">
        <w:rPr>
          <w:rFonts w:ascii="Book Antiqua" w:hAnsi="Book Antiqua"/>
          <w:sz w:val="24"/>
          <w:szCs w:val="24"/>
        </w:rPr>
        <w:t xml:space="preserve">91 </w:t>
      </w:r>
      <w:r w:rsidRPr="0028500E">
        <w:rPr>
          <w:rFonts w:ascii="Book Antiqua" w:hAnsi="Book Antiqua"/>
          <w:b/>
          <w:sz w:val="24"/>
          <w:szCs w:val="24"/>
        </w:rPr>
        <w:t>Gao Z,</w:t>
      </w:r>
      <w:r w:rsidR="007C2069" w:rsidRPr="0028500E">
        <w:rPr>
          <w:rFonts w:ascii="Book Antiqua" w:hAnsi="Book Antiqua"/>
          <w:sz w:val="24"/>
          <w:szCs w:val="24"/>
        </w:rPr>
        <w:t xml:space="preserve"> </w:t>
      </w:r>
      <w:r w:rsidRPr="0028500E">
        <w:rPr>
          <w:rFonts w:ascii="Book Antiqua" w:hAnsi="Book Antiqua"/>
          <w:sz w:val="24"/>
          <w:szCs w:val="24"/>
        </w:rPr>
        <w:t>Wang C, Xue Q, Wang J, Shen Z, Jiang K, Shen K, Liang B, Yang X, Xie Q, Wang S, Ye Y. The cut-off value of tumor size and appropriate timing of follow-up for management of minimal EUS-suspected gastric gastrointestinal stromal tumor</w:t>
      </w:r>
      <w:r w:rsidR="007C2069" w:rsidRPr="0028500E">
        <w:rPr>
          <w:rFonts w:ascii="Book Antiqua" w:hAnsi="Book Antiqua"/>
          <w:sz w:val="24"/>
          <w:szCs w:val="24"/>
        </w:rPr>
        <w:t xml:space="preserve">s. </w:t>
      </w:r>
      <w:r w:rsidR="007C2069" w:rsidRPr="0028500E">
        <w:rPr>
          <w:rFonts w:ascii="Book Antiqua" w:hAnsi="Book Antiqua"/>
          <w:i/>
          <w:sz w:val="24"/>
          <w:szCs w:val="24"/>
        </w:rPr>
        <w:t>BMC Gastroenterol</w:t>
      </w:r>
      <w:r w:rsidR="007C2069" w:rsidRPr="0028500E">
        <w:rPr>
          <w:rFonts w:ascii="Book Antiqua" w:hAnsi="Book Antiqua"/>
          <w:sz w:val="24"/>
          <w:szCs w:val="24"/>
        </w:rPr>
        <w:t xml:space="preserve"> 2017;</w:t>
      </w:r>
      <w:r w:rsidR="007C2069" w:rsidRPr="0028500E">
        <w:rPr>
          <w:rFonts w:ascii="Book Antiqua" w:eastAsia="SimSun" w:hAnsi="Book Antiqua"/>
          <w:sz w:val="24"/>
          <w:szCs w:val="24"/>
          <w:lang w:eastAsia="zh-CN"/>
        </w:rPr>
        <w:t xml:space="preserve"> </w:t>
      </w:r>
      <w:r w:rsidR="007C2069" w:rsidRPr="0028500E">
        <w:rPr>
          <w:rFonts w:ascii="Book Antiqua" w:hAnsi="Book Antiqua"/>
          <w:b/>
          <w:sz w:val="24"/>
          <w:szCs w:val="24"/>
        </w:rPr>
        <w:t>17</w:t>
      </w:r>
      <w:r w:rsidR="007C2069" w:rsidRPr="0028500E">
        <w:rPr>
          <w:rFonts w:ascii="Book Antiqua" w:hAnsi="Book Antiqua"/>
          <w:sz w:val="24"/>
          <w:szCs w:val="24"/>
        </w:rPr>
        <w:t>:</w:t>
      </w:r>
      <w:r w:rsidR="007C2069" w:rsidRPr="0028500E">
        <w:rPr>
          <w:rFonts w:ascii="Book Antiqua" w:eastAsia="SimSun" w:hAnsi="Book Antiqua"/>
          <w:sz w:val="24"/>
          <w:szCs w:val="24"/>
          <w:lang w:eastAsia="zh-CN"/>
        </w:rPr>
        <w:t xml:space="preserve"> </w:t>
      </w:r>
      <w:r w:rsidR="007C2069" w:rsidRPr="0028500E">
        <w:rPr>
          <w:rFonts w:ascii="Book Antiqua" w:hAnsi="Book Antiqua"/>
          <w:sz w:val="24"/>
          <w:szCs w:val="24"/>
        </w:rPr>
        <w:t>8</w:t>
      </w:r>
      <w:r w:rsidR="007C2069" w:rsidRPr="0028500E">
        <w:rPr>
          <w:rFonts w:ascii="Book Antiqua" w:eastAsia="SimSun" w:hAnsi="Book Antiqua"/>
          <w:sz w:val="24"/>
          <w:szCs w:val="24"/>
          <w:lang w:eastAsia="zh-CN"/>
        </w:rPr>
        <w:t xml:space="preserve"> [PMID: 28077094 DOI: 10.1186/s12876-016-0567-4]</w:t>
      </w:r>
    </w:p>
    <w:p w14:paraId="13B0E1C3" w14:textId="77777777" w:rsidR="00D24EAB" w:rsidRPr="0028500E" w:rsidRDefault="00D24EAB" w:rsidP="001E53AA">
      <w:pPr>
        <w:snapToGrid w:val="0"/>
        <w:spacing w:line="360" w:lineRule="auto"/>
        <w:rPr>
          <w:rFonts w:ascii="Book Antiqua" w:hAnsi="Book Antiqua"/>
          <w:sz w:val="24"/>
          <w:szCs w:val="24"/>
        </w:rPr>
      </w:pPr>
      <w:r w:rsidRPr="0028500E">
        <w:rPr>
          <w:rFonts w:ascii="Book Antiqua" w:hAnsi="Book Antiqua"/>
          <w:sz w:val="24"/>
          <w:szCs w:val="24"/>
        </w:rPr>
        <w:lastRenderedPageBreak/>
        <w:t xml:space="preserve">92 </w:t>
      </w:r>
      <w:r w:rsidRPr="0028500E">
        <w:rPr>
          <w:rFonts w:ascii="Book Antiqua" w:hAnsi="Book Antiqua"/>
          <w:b/>
          <w:sz w:val="24"/>
          <w:szCs w:val="24"/>
        </w:rPr>
        <w:t>Kim MC</w:t>
      </w:r>
      <w:r w:rsidRPr="0028500E">
        <w:rPr>
          <w:rFonts w:ascii="Book Antiqua" w:hAnsi="Book Antiqua"/>
          <w:sz w:val="24"/>
          <w:szCs w:val="24"/>
        </w:rPr>
        <w:t xml:space="preserve">, Yook JH, Yang HK, Lee HJ, Sohn TS, Hyung WJ, Ryu SW, Kurokawa Y, Kim YW, Han SU, Kim HH, Park DJ, Kim W, Lee SI, Cho H, Cho GS, Kim JJ, Kim KH, Yoo MW. Long-Term Surgical Outcome of 1057 Gastric GISTs According to 7th UICC/AJCC TNM System: Multicenter Observational Study From Korea and Japan. </w:t>
      </w:r>
      <w:r w:rsidRPr="0028500E">
        <w:rPr>
          <w:rFonts w:ascii="Book Antiqua" w:hAnsi="Book Antiqua"/>
          <w:i/>
          <w:sz w:val="24"/>
          <w:szCs w:val="24"/>
        </w:rPr>
        <w:t>Medicine (Baltimore)</w:t>
      </w:r>
      <w:r w:rsidRPr="0028500E">
        <w:rPr>
          <w:rFonts w:ascii="Book Antiqua" w:hAnsi="Book Antiqua"/>
          <w:sz w:val="24"/>
          <w:szCs w:val="24"/>
        </w:rPr>
        <w:t xml:space="preserve"> 2015; </w:t>
      </w:r>
      <w:r w:rsidRPr="0028500E">
        <w:rPr>
          <w:rFonts w:ascii="Book Antiqua" w:hAnsi="Book Antiqua"/>
          <w:b/>
          <w:sz w:val="24"/>
          <w:szCs w:val="24"/>
        </w:rPr>
        <w:t>94</w:t>
      </w:r>
      <w:r w:rsidRPr="0028500E">
        <w:rPr>
          <w:rFonts w:ascii="Book Antiqua" w:hAnsi="Book Antiqua"/>
          <w:sz w:val="24"/>
          <w:szCs w:val="24"/>
        </w:rPr>
        <w:t>: e1526 [PMID: 26469894 DOI: 10.1097/MD.0000000000001526]</w:t>
      </w:r>
    </w:p>
    <w:p w14:paraId="67230F30" w14:textId="470A81CC" w:rsidR="007C2069" w:rsidRPr="0028500E" w:rsidRDefault="00D24EAB" w:rsidP="001E53AA">
      <w:pPr>
        <w:snapToGrid w:val="0"/>
        <w:spacing w:line="360" w:lineRule="auto"/>
        <w:rPr>
          <w:rFonts w:ascii="Book Antiqua" w:eastAsia="SimSun" w:hAnsi="Book Antiqua"/>
          <w:sz w:val="24"/>
          <w:szCs w:val="24"/>
          <w:lang w:eastAsia="zh-CN"/>
        </w:rPr>
      </w:pPr>
      <w:r w:rsidRPr="0028500E">
        <w:rPr>
          <w:rFonts w:ascii="Book Antiqua" w:hAnsi="Book Antiqua"/>
          <w:sz w:val="24"/>
          <w:szCs w:val="24"/>
        </w:rPr>
        <w:t xml:space="preserve">93 </w:t>
      </w:r>
      <w:r w:rsidRPr="0028500E">
        <w:rPr>
          <w:rFonts w:ascii="Book Antiqua" w:hAnsi="Book Antiqua"/>
          <w:b/>
          <w:sz w:val="24"/>
          <w:szCs w:val="24"/>
        </w:rPr>
        <w:t>Coe TM</w:t>
      </w:r>
      <w:r w:rsidRPr="0028500E">
        <w:rPr>
          <w:rFonts w:ascii="Book Antiqua" w:hAnsi="Book Antiqua"/>
          <w:sz w:val="24"/>
          <w:szCs w:val="24"/>
        </w:rPr>
        <w:t xml:space="preserve">, Fero KE, Fanta PT, Mallory RJ, Tang CM, Murphy JD, Sicklick JK. Population-Based Epidemiology and Mortality of Small Malignant Gastrointestinal Stromal Tumors in the USA. </w:t>
      </w:r>
      <w:r w:rsidRPr="0028500E">
        <w:rPr>
          <w:rFonts w:ascii="Book Antiqua" w:hAnsi="Book Antiqua"/>
          <w:i/>
          <w:sz w:val="24"/>
          <w:szCs w:val="24"/>
        </w:rPr>
        <w:t>J Gastrointest Surg</w:t>
      </w:r>
      <w:r w:rsidRPr="0028500E">
        <w:rPr>
          <w:rFonts w:ascii="Book Antiqua" w:hAnsi="Book Antiqua"/>
          <w:sz w:val="24"/>
          <w:szCs w:val="24"/>
        </w:rPr>
        <w:t xml:space="preserve"> 2016; </w:t>
      </w:r>
      <w:r w:rsidRPr="0028500E">
        <w:rPr>
          <w:rFonts w:ascii="Book Antiqua" w:hAnsi="Book Antiqua"/>
          <w:b/>
          <w:sz w:val="24"/>
          <w:szCs w:val="24"/>
        </w:rPr>
        <w:t>20</w:t>
      </w:r>
      <w:r w:rsidRPr="0028500E">
        <w:rPr>
          <w:rFonts w:ascii="Book Antiqua" w:hAnsi="Book Antiqua"/>
          <w:sz w:val="24"/>
          <w:szCs w:val="24"/>
        </w:rPr>
        <w:t>: 1132-1140 [PMID: 27025710 DOI: 10.1007/s11605-016-3134-y]</w:t>
      </w:r>
    </w:p>
    <w:p w14:paraId="66F43FB5" w14:textId="6A11B6B7" w:rsidR="005E6A77" w:rsidRPr="0028500E" w:rsidRDefault="005E6A77" w:rsidP="001E53AA">
      <w:pPr>
        <w:adjustRightInd w:val="0"/>
        <w:snapToGrid w:val="0"/>
        <w:spacing w:line="360" w:lineRule="auto"/>
        <w:jc w:val="right"/>
        <w:rPr>
          <w:rFonts w:ascii="Book Antiqua" w:hAnsi="Book Antiqua"/>
          <w:b/>
          <w:color w:val="000000" w:themeColor="text1"/>
          <w:sz w:val="24"/>
          <w:szCs w:val="24"/>
        </w:rPr>
      </w:pPr>
      <w:r w:rsidRPr="0028500E">
        <w:rPr>
          <w:rFonts w:ascii="Book Antiqua" w:hAnsi="Book Antiqua"/>
          <w:b/>
          <w:color w:val="000000" w:themeColor="text1"/>
          <w:sz w:val="24"/>
          <w:szCs w:val="24"/>
        </w:rPr>
        <w:t>P-Reviewer:</w:t>
      </w:r>
      <w:r w:rsidRPr="0028500E">
        <w:rPr>
          <w:rFonts w:ascii="Book Antiqua" w:hAnsi="Book Antiqua"/>
          <w:color w:val="000000" w:themeColor="text1"/>
          <w:sz w:val="24"/>
          <w:szCs w:val="24"/>
          <w:shd w:val="clear" w:color="auto" w:fill="FFFFFF"/>
        </w:rPr>
        <w:t xml:space="preserve"> </w:t>
      </w:r>
      <w:r w:rsidR="0067490C" w:rsidRPr="0028500E">
        <w:rPr>
          <w:rFonts w:ascii="Book Antiqua" w:hAnsi="Book Antiqua"/>
          <w:color w:val="000000" w:themeColor="text1"/>
          <w:sz w:val="24"/>
          <w:szCs w:val="24"/>
        </w:rPr>
        <w:t>Adachi</w:t>
      </w:r>
      <w:r w:rsidR="0067490C" w:rsidRPr="0028500E">
        <w:rPr>
          <w:rFonts w:ascii="Book Antiqua" w:eastAsia="SimSun" w:hAnsi="Book Antiqua"/>
          <w:color w:val="000000" w:themeColor="text1"/>
          <w:sz w:val="24"/>
          <w:szCs w:val="24"/>
          <w:lang w:eastAsia="zh-CN"/>
        </w:rPr>
        <w:t xml:space="preserve"> Y, </w:t>
      </w:r>
      <w:r w:rsidR="0067490C" w:rsidRPr="0028500E">
        <w:rPr>
          <w:rFonts w:ascii="Book Antiqua" w:hAnsi="Book Antiqua"/>
          <w:color w:val="000000" w:themeColor="text1"/>
          <w:sz w:val="24"/>
          <w:szCs w:val="24"/>
        </w:rPr>
        <w:t>Akbulut</w:t>
      </w:r>
      <w:r w:rsidR="0067490C" w:rsidRPr="0028500E">
        <w:rPr>
          <w:rFonts w:ascii="Book Antiqua" w:eastAsia="SimSun" w:hAnsi="Book Antiqua"/>
          <w:color w:val="000000" w:themeColor="text1"/>
          <w:sz w:val="24"/>
          <w:szCs w:val="24"/>
          <w:lang w:eastAsia="zh-CN"/>
        </w:rPr>
        <w:t xml:space="preserve"> S, </w:t>
      </w:r>
      <w:r w:rsidR="0067490C" w:rsidRPr="0028500E">
        <w:rPr>
          <w:rFonts w:ascii="Book Antiqua" w:hAnsi="Book Antiqua"/>
          <w:color w:val="000000" w:themeColor="text1"/>
          <w:sz w:val="24"/>
          <w:szCs w:val="24"/>
          <w:shd w:val="clear" w:color="auto" w:fill="FFFFFF"/>
        </w:rPr>
        <w:t>Contini</w:t>
      </w:r>
      <w:r w:rsidR="0067490C" w:rsidRPr="0028500E">
        <w:rPr>
          <w:rFonts w:ascii="Book Antiqua" w:eastAsia="SimSun" w:hAnsi="Book Antiqua"/>
          <w:color w:val="000000" w:themeColor="text1"/>
          <w:sz w:val="24"/>
          <w:szCs w:val="24"/>
          <w:shd w:val="clear" w:color="auto" w:fill="FFFFFF"/>
          <w:lang w:eastAsia="zh-CN"/>
        </w:rPr>
        <w:t xml:space="preserve"> S, </w:t>
      </w:r>
      <w:r w:rsidR="0067490C" w:rsidRPr="0028500E">
        <w:rPr>
          <w:rFonts w:ascii="Book Antiqua" w:hAnsi="Book Antiqua"/>
          <w:color w:val="000000" w:themeColor="text1"/>
          <w:sz w:val="24"/>
          <w:szCs w:val="24"/>
        </w:rPr>
        <w:t>Caboclo</w:t>
      </w:r>
      <w:r w:rsidR="0067490C" w:rsidRPr="0028500E">
        <w:rPr>
          <w:rFonts w:ascii="Book Antiqua" w:eastAsia="SimSun" w:hAnsi="Book Antiqua"/>
          <w:color w:val="000000" w:themeColor="text1"/>
          <w:sz w:val="24"/>
          <w:szCs w:val="24"/>
          <w:lang w:eastAsia="zh-CN"/>
        </w:rPr>
        <w:t xml:space="preserve"> JF, </w:t>
      </w:r>
      <w:r w:rsidR="0067490C" w:rsidRPr="0028500E">
        <w:rPr>
          <w:rFonts w:ascii="Book Antiqua" w:hAnsi="Book Antiqua"/>
          <w:color w:val="000000" w:themeColor="text1"/>
          <w:sz w:val="24"/>
          <w:szCs w:val="24"/>
        </w:rPr>
        <w:t>Rabago</w:t>
      </w:r>
      <w:r w:rsidR="0067490C" w:rsidRPr="0028500E">
        <w:rPr>
          <w:rFonts w:ascii="Book Antiqua" w:eastAsia="SimSun" w:hAnsi="Book Antiqua"/>
          <w:color w:val="000000" w:themeColor="text1"/>
          <w:sz w:val="24"/>
          <w:szCs w:val="24"/>
          <w:lang w:eastAsia="zh-CN"/>
        </w:rPr>
        <w:t xml:space="preserve"> LR, </w:t>
      </w:r>
      <w:r w:rsidR="0067490C" w:rsidRPr="0028500E">
        <w:rPr>
          <w:rFonts w:ascii="Book Antiqua" w:hAnsi="Book Antiqua"/>
          <w:color w:val="000000" w:themeColor="text1"/>
          <w:sz w:val="24"/>
          <w:szCs w:val="24"/>
        </w:rPr>
        <w:t>Yan</w:t>
      </w:r>
      <w:r w:rsidR="0067490C" w:rsidRPr="0028500E">
        <w:rPr>
          <w:rFonts w:ascii="Book Antiqua" w:eastAsia="SimSun" w:hAnsi="Book Antiqua"/>
          <w:color w:val="000000" w:themeColor="text1"/>
          <w:sz w:val="24"/>
          <w:szCs w:val="24"/>
          <w:lang w:eastAsia="zh-CN"/>
        </w:rPr>
        <w:t xml:space="preserve"> SL </w:t>
      </w:r>
      <w:r w:rsidRPr="0028500E">
        <w:rPr>
          <w:rFonts w:ascii="Book Antiqua" w:hAnsi="Book Antiqua"/>
          <w:color w:val="000000" w:themeColor="text1"/>
          <w:sz w:val="24"/>
          <w:szCs w:val="24"/>
          <w:lang w:eastAsia="zh-CN"/>
        </w:rPr>
        <w:t xml:space="preserve"> </w:t>
      </w:r>
      <w:r w:rsidRPr="0028500E">
        <w:rPr>
          <w:rFonts w:ascii="Book Antiqua" w:hAnsi="Book Antiqua"/>
          <w:b/>
          <w:color w:val="000000" w:themeColor="text1"/>
          <w:sz w:val="24"/>
          <w:szCs w:val="24"/>
        </w:rPr>
        <w:t>S-Editor:</w:t>
      </w:r>
      <w:r w:rsidRPr="0028500E">
        <w:rPr>
          <w:rFonts w:ascii="Book Antiqua" w:hAnsi="Book Antiqua"/>
          <w:color w:val="000000" w:themeColor="text1"/>
          <w:sz w:val="24"/>
          <w:szCs w:val="24"/>
        </w:rPr>
        <w:t xml:space="preserve"> Wang JL</w:t>
      </w:r>
      <w:r w:rsidR="00D24EAB" w:rsidRPr="0028500E">
        <w:rPr>
          <w:rFonts w:ascii="Book Antiqua" w:eastAsia="SimSun" w:hAnsi="Book Antiqua"/>
          <w:color w:val="000000" w:themeColor="text1"/>
          <w:sz w:val="24"/>
          <w:szCs w:val="24"/>
          <w:lang w:eastAsia="zh-CN"/>
        </w:rPr>
        <w:t xml:space="preserve"> </w:t>
      </w:r>
      <w:r w:rsidRPr="0028500E">
        <w:rPr>
          <w:rFonts w:ascii="Book Antiqua" w:hAnsi="Book Antiqua"/>
          <w:b/>
          <w:color w:val="000000" w:themeColor="text1"/>
          <w:sz w:val="24"/>
          <w:szCs w:val="24"/>
        </w:rPr>
        <w:t>L-Editor: E-Editor:</w:t>
      </w:r>
    </w:p>
    <w:p w14:paraId="433CF1F3" w14:textId="77777777" w:rsidR="005E6A77" w:rsidRPr="0028500E" w:rsidRDefault="005E6A77" w:rsidP="001E53AA">
      <w:pPr>
        <w:adjustRightInd w:val="0"/>
        <w:snapToGrid w:val="0"/>
        <w:spacing w:line="360" w:lineRule="auto"/>
        <w:rPr>
          <w:rFonts w:ascii="Book Antiqua" w:hAnsi="Book Antiqua"/>
          <w:color w:val="000000" w:themeColor="text1"/>
          <w:sz w:val="24"/>
          <w:szCs w:val="24"/>
        </w:rPr>
      </w:pPr>
      <w:r w:rsidRPr="0028500E">
        <w:rPr>
          <w:rFonts w:ascii="Book Antiqua" w:hAnsi="Book Antiqua"/>
          <w:b/>
          <w:color w:val="000000" w:themeColor="text1"/>
          <w:sz w:val="24"/>
          <w:szCs w:val="24"/>
        </w:rPr>
        <w:t>Specialty type:</w:t>
      </w:r>
      <w:r w:rsidRPr="0028500E">
        <w:rPr>
          <w:rFonts w:ascii="Book Antiqua" w:hAnsi="Book Antiqua"/>
          <w:color w:val="000000" w:themeColor="text1"/>
          <w:sz w:val="24"/>
          <w:szCs w:val="24"/>
        </w:rPr>
        <w:t xml:space="preserve"> Gastroenterology and hepatology</w:t>
      </w:r>
    </w:p>
    <w:p w14:paraId="141AC009" w14:textId="77777777" w:rsidR="005E6A77" w:rsidRPr="0028500E" w:rsidRDefault="005E6A77" w:rsidP="001E53AA">
      <w:pPr>
        <w:tabs>
          <w:tab w:val="left" w:pos="6317"/>
        </w:tabs>
        <w:adjustRightInd w:val="0"/>
        <w:snapToGrid w:val="0"/>
        <w:spacing w:line="360" w:lineRule="auto"/>
        <w:rPr>
          <w:rFonts w:ascii="Book Antiqua" w:hAnsi="Book Antiqua"/>
          <w:color w:val="000000" w:themeColor="text1"/>
          <w:sz w:val="24"/>
          <w:szCs w:val="24"/>
        </w:rPr>
      </w:pPr>
      <w:r w:rsidRPr="0028500E">
        <w:rPr>
          <w:rFonts w:ascii="Book Antiqua" w:hAnsi="Book Antiqua"/>
          <w:b/>
          <w:color w:val="000000" w:themeColor="text1"/>
          <w:sz w:val="24"/>
          <w:szCs w:val="24"/>
        </w:rPr>
        <w:t>Country of origin:</w:t>
      </w:r>
      <w:r w:rsidRPr="0028500E">
        <w:rPr>
          <w:rFonts w:ascii="Book Antiqua" w:hAnsi="Book Antiqua"/>
          <w:color w:val="000000" w:themeColor="text1"/>
          <w:sz w:val="24"/>
          <w:szCs w:val="24"/>
        </w:rPr>
        <w:t xml:space="preserve"> </w:t>
      </w:r>
      <w:r w:rsidRPr="0028500E">
        <w:rPr>
          <w:rFonts w:ascii="Book Antiqua" w:eastAsia="SimSun" w:hAnsi="Book Antiqua"/>
          <w:color w:val="000000" w:themeColor="text1"/>
          <w:sz w:val="24"/>
          <w:szCs w:val="24"/>
          <w:lang w:eastAsia="zh-CN"/>
        </w:rPr>
        <w:t>Japan</w:t>
      </w:r>
      <w:r w:rsidRPr="0028500E">
        <w:rPr>
          <w:rFonts w:ascii="Book Antiqua" w:hAnsi="Book Antiqua"/>
          <w:color w:val="000000" w:themeColor="text1"/>
          <w:sz w:val="24"/>
          <w:szCs w:val="24"/>
        </w:rPr>
        <w:tab/>
      </w:r>
    </w:p>
    <w:p w14:paraId="6145DB0E" w14:textId="77777777" w:rsidR="005E6A77" w:rsidRPr="0028500E" w:rsidRDefault="005E6A77" w:rsidP="001E53AA">
      <w:pPr>
        <w:adjustRightInd w:val="0"/>
        <w:snapToGrid w:val="0"/>
        <w:spacing w:line="360" w:lineRule="auto"/>
        <w:rPr>
          <w:rFonts w:ascii="Book Antiqua" w:hAnsi="Book Antiqua"/>
          <w:b/>
          <w:color w:val="000000" w:themeColor="text1"/>
          <w:sz w:val="24"/>
          <w:szCs w:val="24"/>
        </w:rPr>
      </w:pPr>
      <w:r w:rsidRPr="0028500E">
        <w:rPr>
          <w:rFonts w:ascii="Book Antiqua" w:hAnsi="Book Antiqua"/>
          <w:b/>
          <w:color w:val="000000" w:themeColor="text1"/>
          <w:sz w:val="24"/>
          <w:szCs w:val="24"/>
        </w:rPr>
        <w:t>Peer-review report classification</w:t>
      </w:r>
    </w:p>
    <w:p w14:paraId="4FF1945B" w14:textId="5BE66BDE" w:rsidR="005E6A77" w:rsidRPr="0028500E" w:rsidRDefault="005E6A77" w:rsidP="001E53AA">
      <w:pPr>
        <w:adjustRightInd w:val="0"/>
        <w:snapToGrid w:val="0"/>
        <w:spacing w:line="360" w:lineRule="auto"/>
        <w:rPr>
          <w:rFonts w:ascii="Book Antiqua" w:eastAsia="SimSun" w:hAnsi="Book Antiqua"/>
          <w:color w:val="000000" w:themeColor="text1"/>
          <w:sz w:val="24"/>
          <w:szCs w:val="24"/>
          <w:lang w:eastAsia="zh-CN"/>
        </w:rPr>
      </w:pPr>
      <w:r w:rsidRPr="0028500E">
        <w:rPr>
          <w:rFonts w:ascii="Book Antiqua" w:hAnsi="Book Antiqua"/>
          <w:color w:val="000000" w:themeColor="text1"/>
          <w:sz w:val="24"/>
          <w:szCs w:val="24"/>
        </w:rPr>
        <w:t xml:space="preserve">Grade A (Excellent): </w:t>
      </w:r>
      <w:r w:rsidRPr="0028500E">
        <w:rPr>
          <w:rFonts w:ascii="Book Antiqua" w:eastAsia="SimSun" w:hAnsi="Book Antiqua"/>
          <w:color w:val="000000" w:themeColor="text1"/>
          <w:sz w:val="24"/>
          <w:szCs w:val="24"/>
          <w:lang w:eastAsia="zh-CN"/>
        </w:rPr>
        <w:t>A, A</w:t>
      </w:r>
    </w:p>
    <w:p w14:paraId="01D552F6" w14:textId="074905BA" w:rsidR="005E6A77" w:rsidRPr="0028500E" w:rsidRDefault="005E6A77" w:rsidP="001E53AA">
      <w:pPr>
        <w:adjustRightInd w:val="0"/>
        <w:snapToGrid w:val="0"/>
        <w:spacing w:line="360" w:lineRule="auto"/>
        <w:rPr>
          <w:rFonts w:ascii="Book Antiqua" w:eastAsia="SimSun" w:hAnsi="Book Antiqua"/>
          <w:color w:val="000000" w:themeColor="text1"/>
          <w:sz w:val="24"/>
          <w:szCs w:val="24"/>
          <w:lang w:eastAsia="zh-CN"/>
        </w:rPr>
      </w:pPr>
      <w:r w:rsidRPr="0028500E">
        <w:rPr>
          <w:rFonts w:ascii="Book Antiqua" w:hAnsi="Book Antiqua"/>
          <w:color w:val="000000" w:themeColor="text1"/>
          <w:sz w:val="24"/>
          <w:szCs w:val="24"/>
        </w:rPr>
        <w:t>Grade B (Very good): B</w:t>
      </w:r>
    </w:p>
    <w:p w14:paraId="6FDC4A0E" w14:textId="5DAC0F1D" w:rsidR="005E6A77" w:rsidRPr="0028500E" w:rsidRDefault="005E6A77" w:rsidP="001E53AA">
      <w:pPr>
        <w:adjustRightInd w:val="0"/>
        <w:snapToGrid w:val="0"/>
        <w:spacing w:line="360" w:lineRule="auto"/>
        <w:rPr>
          <w:rFonts w:ascii="Book Antiqua" w:eastAsia="SimSun" w:hAnsi="Book Antiqua"/>
          <w:color w:val="000000" w:themeColor="text1"/>
          <w:sz w:val="24"/>
          <w:szCs w:val="24"/>
          <w:lang w:eastAsia="zh-CN"/>
        </w:rPr>
      </w:pPr>
      <w:r w:rsidRPr="0028500E">
        <w:rPr>
          <w:rFonts w:ascii="Book Antiqua" w:hAnsi="Book Antiqua"/>
          <w:color w:val="000000" w:themeColor="text1"/>
          <w:sz w:val="24"/>
          <w:szCs w:val="24"/>
        </w:rPr>
        <w:t>Grade C (Good): C</w:t>
      </w:r>
      <w:r w:rsidRPr="0028500E">
        <w:rPr>
          <w:rFonts w:ascii="Book Antiqua" w:eastAsia="SimSun" w:hAnsi="Book Antiqua"/>
          <w:color w:val="000000" w:themeColor="text1"/>
          <w:sz w:val="24"/>
          <w:szCs w:val="24"/>
          <w:lang w:eastAsia="zh-CN"/>
        </w:rPr>
        <w:t>, C, C</w:t>
      </w:r>
    </w:p>
    <w:p w14:paraId="7111FF1C" w14:textId="77777777" w:rsidR="005E6A77" w:rsidRPr="0028500E" w:rsidRDefault="005E6A77" w:rsidP="001E53AA">
      <w:pPr>
        <w:adjustRightInd w:val="0"/>
        <w:snapToGrid w:val="0"/>
        <w:spacing w:line="360" w:lineRule="auto"/>
        <w:rPr>
          <w:rFonts w:ascii="Book Antiqua" w:hAnsi="Book Antiqua"/>
          <w:color w:val="000000" w:themeColor="text1"/>
          <w:sz w:val="24"/>
          <w:szCs w:val="24"/>
        </w:rPr>
      </w:pPr>
      <w:r w:rsidRPr="0028500E">
        <w:rPr>
          <w:rFonts w:ascii="Book Antiqua" w:hAnsi="Book Antiqua"/>
          <w:color w:val="000000" w:themeColor="text1"/>
          <w:sz w:val="24"/>
          <w:szCs w:val="24"/>
        </w:rPr>
        <w:t>Grade D (Fair): 0</w:t>
      </w:r>
    </w:p>
    <w:p w14:paraId="295CB7D6" w14:textId="35328E7B" w:rsidR="009F2100" w:rsidRPr="0028500E" w:rsidRDefault="005E6A77" w:rsidP="001E53AA">
      <w:pPr>
        <w:adjustRightInd w:val="0"/>
        <w:snapToGrid w:val="0"/>
        <w:spacing w:line="360" w:lineRule="auto"/>
        <w:rPr>
          <w:rFonts w:ascii="Book Antiqua" w:eastAsia="MS Gothic" w:hAnsi="Book Antiqua"/>
          <w:b/>
          <w:color w:val="000000" w:themeColor="text1"/>
          <w:sz w:val="24"/>
          <w:szCs w:val="24"/>
        </w:rPr>
      </w:pPr>
      <w:r w:rsidRPr="0028500E">
        <w:rPr>
          <w:rFonts w:ascii="Book Antiqua" w:hAnsi="Book Antiqua"/>
          <w:color w:val="000000" w:themeColor="text1"/>
          <w:sz w:val="24"/>
          <w:szCs w:val="24"/>
        </w:rPr>
        <w:t>Grade E (Poor): 0</w:t>
      </w:r>
      <w:r w:rsidR="009F2100" w:rsidRPr="0028500E">
        <w:rPr>
          <w:rFonts w:ascii="Book Antiqua" w:eastAsia="MS Gothic" w:hAnsi="Book Antiqua"/>
          <w:b/>
          <w:color w:val="000000" w:themeColor="text1"/>
          <w:sz w:val="24"/>
          <w:szCs w:val="24"/>
        </w:rPr>
        <w:br w:type="page"/>
      </w:r>
    </w:p>
    <w:p w14:paraId="6B20F4F8" w14:textId="47E5A86F" w:rsidR="00AE7703" w:rsidRPr="0028500E" w:rsidRDefault="00AE7703" w:rsidP="001E53AA">
      <w:pPr>
        <w:tabs>
          <w:tab w:val="left" w:pos="180"/>
          <w:tab w:val="left" w:pos="360"/>
          <w:tab w:val="left" w:pos="720"/>
          <w:tab w:val="right" w:pos="3780"/>
          <w:tab w:val="right" w:pos="6840"/>
        </w:tabs>
        <w:snapToGrid w:val="0"/>
        <w:spacing w:line="360" w:lineRule="auto"/>
        <w:rPr>
          <w:rFonts w:ascii="Book Antiqua" w:hAnsi="Book Antiqua"/>
          <w:b/>
          <w:color w:val="000000" w:themeColor="text1"/>
          <w:sz w:val="24"/>
          <w:szCs w:val="24"/>
        </w:rPr>
      </w:pPr>
      <w:r w:rsidRPr="0028500E">
        <w:rPr>
          <w:rFonts w:ascii="Book Antiqua" w:hAnsi="Book Antiqua"/>
          <w:b/>
          <w:color w:val="000000" w:themeColor="text1"/>
          <w:sz w:val="24"/>
          <w:szCs w:val="24"/>
        </w:rPr>
        <w:lastRenderedPageBreak/>
        <w:t xml:space="preserve">Table 1 Modified Fletcher’s risk classification </w:t>
      </w:r>
    </w:p>
    <w:p w14:paraId="6A62C54D" w14:textId="37371109" w:rsidR="00AE7703" w:rsidRPr="0028500E" w:rsidRDefault="00AE7703" w:rsidP="001E53AA">
      <w:pPr>
        <w:tabs>
          <w:tab w:val="left" w:pos="264"/>
          <w:tab w:val="left" w:pos="2268"/>
          <w:tab w:val="left" w:pos="4395"/>
          <w:tab w:val="left" w:pos="6521"/>
        </w:tabs>
        <w:snapToGrid w:val="0"/>
        <w:spacing w:line="360" w:lineRule="auto"/>
        <w:rPr>
          <w:rFonts w:ascii="Book Antiqua" w:hAnsi="Book Antiqua"/>
          <w:b/>
          <w:color w:val="000000" w:themeColor="text1"/>
          <w:sz w:val="24"/>
          <w:szCs w:val="24"/>
        </w:rPr>
      </w:pPr>
      <w:r w:rsidRPr="0028500E">
        <w:rPr>
          <w:rFonts w:ascii="Book Antiqua" w:hAnsi="Book Antiqua"/>
          <w:b/>
          <w:noProof/>
          <w:color w:val="000000" w:themeColor="text1"/>
          <w:sz w:val="24"/>
          <w:szCs w:val="24"/>
          <w:lang w:eastAsia="zh-CN"/>
        </w:rPr>
        <mc:AlternateContent>
          <mc:Choice Requires="wps">
            <w:drawing>
              <wp:anchor distT="0" distB="0" distL="114300" distR="114300" simplePos="0" relativeHeight="251659264" behindDoc="0" locked="0" layoutInCell="1" allowOverlap="1" wp14:anchorId="0977E937" wp14:editId="413EA4A6">
                <wp:simplePos x="0" y="0"/>
                <wp:positionH relativeFrom="column">
                  <wp:posOffset>0</wp:posOffset>
                </wp:positionH>
                <wp:positionV relativeFrom="paragraph">
                  <wp:posOffset>19685</wp:posOffset>
                </wp:positionV>
                <wp:extent cx="5481320" cy="0"/>
                <wp:effectExtent l="19050" t="19685" r="14605" b="18415"/>
                <wp:wrapNone/>
                <wp:docPr id="3" name="直線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13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599A8" id="直線コネクタ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31.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" strokeweight="2.25pt"/>
            </w:pict>
          </mc:Fallback>
        </mc:AlternateContent>
      </w:r>
      <w:r w:rsidRPr="0028500E">
        <w:rPr>
          <w:rFonts w:ascii="Book Antiqua" w:hAnsi="Book Antiqua"/>
          <w:b/>
          <w:color w:val="000000" w:themeColor="text1"/>
          <w:sz w:val="24"/>
          <w:szCs w:val="24"/>
        </w:rPr>
        <w:tab/>
        <w:t>Risk category</w:t>
      </w:r>
      <w:r w:rsidRPr="0028500E">
        <w:rPr>
          <w:rFonts w:ascii="Book Antiqua" w:hAnsi="Book Antiqua"/>
          <w:b/>
          <w:color w:val="000000" w:themeColor="text1"/>
          <w:sz w:val="24"/>
          <w:szCs w:val="24"/>
        </w:rPr>
        <w:tab/>
        <w:t>Tumor size</w:t>
      </w:r>
      <w:r w:rsidRPr="0028500E">
        <w:rPr>
          <w:rFonts w:ascii="Book Antiqua" w:hAnsi="Book Antiqua"/>
          <w:b/>
          <w:color w:val="000000" w:themeColor="text1"/>
          <w:sz w:val="24"/>
          <w:szCs w:val="24"/>
        </w:rPr>
        <w:tab/>
        <w:t xml:space="preserve">Mitotic index </w:t>
      </w:r>
      <w:r w:rsidRPr="0028500E">
        <w:rPr>
          <w:rFonts w:ascii="Book Antiqua" w:hAnsi="Book Antiqua"/>
          <w:b/>
          <w:color w:val="000000" w:themeColor="text1"/>
          <w:sz w:val="24"/>
          <w:szCs w:val="24"/>
        </w:rPr>
        <w:tab/>
        <w:t xml:space="preserve">Primary </w:t>
      </w:r>
      <w:r w:rsidRPr="0028500E">
        <w:rPr>
          <w:rFonts w:ascii="Book Antiqua" w:hAnsi="Book Antiqua"/>
          <w:b/>
          <w:color w:val="000000" w:themeColor="text1"/>
          <w:sz w:val="24"/>
          <w:szCs w:val="24"/>
        </w:rPr>
        <w:tab/>
      </w:r>
      <w:r w:rsidRPr="0028500E">
        <w:rPr>
          <w:rFonts w:ascii="Book Antiqua" w:hAnsi="Book Antiqua"/>
          <w:b/>
          <w:color w:val="000000" w:themeColor="text1"/>
          <w:sz w:val="24"/>
          <w:szCs w:val="24"/>
        </w:rPr>
        <w:tab/>
      </w:r>
      <w:r w:rsidRPr="0028500E">
        <w:rPr>
          <w:rFonts w:ascii="Book Antiqua" w:hAnsi="Book Antiqua"/>
          <w:b/>
          <w:color w:val="000000" w:themeColor="text1"/>
          <w:sz w:val="24"/>
          <w:szCs w:val="24"/>
        </w:rPr>
        <w:tab/>
        <w:t>(cm)</w:t>
      </w:r>
      <w:r w:rsidRPr="0028500E">
        <w:rPr>
          <w:rFonts w:ascii="Book Antiqua" w:hAnsi="Book Antiqua"/>
          <w:b/>
          <w:color w:val="000000" w:themeColor="text1"/>
          <w:sz w:val="24"/>
          <w:szCs w:val="24"/>
        </w:rPr>
        <w:tab/>
        <w:t>(per 50 HPFs)</w:t>
      </w:r>
      <w:r w:rsidRPr="0028500E">
        <w:rPr>
          <w:rFonts w:ascii="Book Antiqua" w:hAnsi="Book Antiqua"/>
          <w:b/>
          <w:color w:val="000000" w:themeColor="text1"/>
          <w:sz w:val="24"/>
          <w:szCs w:val="24"/>
        </w:rPr>
        <w:tab/>
        <w:t>tumor site</w:t>
      </w:r>
    </w:p>
    <w:p w14:paraId="6A381ADF" w14:textId="00D22FCF" w:rsidR="00AE7703" w:rsidRPr="0028500E" w:rsidRDefault="00AE7703" w:rsidP="001E53AA">
      <w:pPr>
        <w:tabs>
          <w:tab w:val="left" w:pos="264"/>
          <w:tab w:val="left" w:pos="2268"/>
          <w:tab w:val="left" w:pos="4395"/>
          <w:tab w:val="left" w:pos="6521"/>
        </w:tabs>
        <w:snapToGrid w:val="0"/>
        <w:spacing w:line="360" w:lineRule="auto"/>
        <w:rPr>
          <w:rFonts w:ascii="Book Antiqua" w:hAnsi="Book Antiqua"/>
          <w:color w:val="000000" w:themeColor="text1"/>
          <w:sz w:val="24"/>
          <w:szCs w:val="24"/>
        </w:rPr>
      </w:pPr>
      <w:r w:rsidRPr="0028500E">
        <w:rPr>
          <w:rFonts w:ascii="Book Antiqua" w:hAnsi="Book Antiqua"/>
          <w:noProof/>
          <w:color w:val="000000" w:themeColor="text1"/>
          <w:sz w:val="24"/>
          <w:szCs w:val="24"/>
          <w:lang w:eastAsia="zh-CN"/>
        </w:rPr>
        <mc:AlternateContent>
          <mc:Choice Requires="wps">
            <w:drawing>
              <wp:anchor distT="0" distB="0" distL="114300" distR="114300" simplePos="0" relativeHeight="251661312" behindDoc="0" locked="0" layoutInCell="1" allowOverlap="1" wp14:anchorId="583A96FB" wp14:editId="12EFF09F">
                <wp:simplePos x="0" y="0"/>
                <wp:positionH relativeFrom="column">
                  <wp:posOffset>10160</wp:posOffset>
                </wp:positionH>
                <wp:positionV relativeFrom="paragraph">
                  <wp:posOffset>19685</wp:posOffset>
                </wp:positionV>
                <wp:extent cx="5481320" cy="0"/>
                <wp:effectExtent l="19685" t="19685" r="23495" b="18415"/>
                <wp:wrapNone/>
                <wp:docPr id="2"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13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858E8" id="直線コネクタ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55pt" to="432.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" strokeweight="2.25pt"/>
            </w:pict>
          </mc:Fallback>
        </mc:AlternateContent>
      </w:r>
      <w:r w:rsidRPr="0028500E">
        <w:rPr>
          <w:rFonts w:ascii="Book Antiqua" w:hAnsi="Book Antiqua"/>
          <w:color w:val="000000" w:themeColor="text1"/>
          <w:sz w:val="24"/>
          <w:szCs w:val="24"/>
        </w:rPr>
        <w:tab/>
        <w:t>Very low risk</w:t>
      </w:r>
      <w:r w:rsidRPr="0028500E">
        <w:rPr>
          <w:rFonts w:ascii="Book Antiqua" w:hAnsi="Book Antiqua"/>
          <w:color w:val="000000" w:themeColor="text1"/>
          <w:sz w:val="24"/>
          <w:szCs w:val="24"/>
        </w:rPr>
        <w:tab/>
        <w:t>&lt;</w:t>
      </w:r>
      <w:r w:rsidR="005F6451">
        <w:rPr>
          <w:rFonts w:ascii="Book Antiqua" w:hAnsi="Book Antiqua" w:hint="eastAsia"/>
          <w:color w:val="000000" w:themeColor="text1"/>
          <w:sz w:val="24"/>
          <w:szCs w:val="24"/>
          <w:lang w:eastAsia="zh-CN"/>
        </w:rPr>
        <w:t xml:space="preserve"> </w:t>
      </w:r>
      <w:r w:rsidRPr="0028500E">
        <w:rPr>
          <w:rFonts w:ascii="Book Antiqua" w:hAnsi="Book Antiqua"/>
          <w:color w:val="000000" w:themeColor="text1"/>
          <w:sz w:val="24"/>
          <w:szCs w:val="24"/>
        </w:rPr>
        <w:t>2.0</w:t>
      </w:r>
      <w:r w:rsidRPr="0028500E">
        <w:rPr>
          <w:rFonts w:ascii="Book Antiqua" w:hAnsi="Book Antiqua"/>
          <w:color w:val="000000" w:themeColor="text1"/>
          <w:sz w:val="24"/>
          <w:szCs w:val="24"/>
        </w:rPr>
        <w:tab/>
      </w:r>
      <w:bookmarkStart w:id="46" w:name="_Hlk509085317"/>
      <w:r w:rsidRPr="0028500E">
        <w:rPr>
          <w:rFonts w:ascii="Book Antiqua" w:hAnsi="Book Antiqua"/>
          <w:color w:val="000000" w:themeColor="text1"/>
          <w:sz w:val="24"/>
          <w:szCs w:val="24"/>
        </w:rPr>
        <w:t>≤</w:t>
      </w:r>
      <w:r w:rsidR="005F6451">
        <w:rPr>
          <w:rFonts w:ascii="Book Antiqua" w:hAnsi="Book Antiqua" w:hint="eastAsia"/>
          <w:color w:val="000000" w:themeColor="text1"/>
          <w:sz w:val="24"/>
          <w:szCs w:val="24"/>
          <w:lang w:eastAsia="zh-CN"/>
        </w:rPr>
        <w:t xml:space="preserve"> </w:t>
      </w:r>
      <w:r w:rsidRPr="0028500E">
        <w:rPr>
          <w:rFonts w:ascii="Book Antiqua" w:hAnsi="Book Antiqua"/>
          <w:color w:val="000000" w:themeColor="text1"/>
          <w:sz w:val="24"/>
          <w:szCs w:val="24"/>
        </w:rPr>
        <w:t>5</w:t>
      </w:r>
      <w:bookmarkEnd w:id="46"/>
      <w:r w:rsidRPr="0028500E">
        <w:rPr>
          <w:rFonts w:ascii="Book Antiqua" w:hAnsi="Book Antiqua"/>
          <w:color w:val="000000" w:themeColor="text1"/>
          <w:sz w:val="24"/>
          <w:szCs w:val="24"/>
        </w:rPr>
        <w:tab/>
        <w:t>Any</w:t>
      </w:r>
    </w:p>
    <w:p w14:paraId="056BDF8A" w14:textId="1A80BF3D" w:rsidR="00AE7703" w:rsidRPr="0028500E" w:rsidRDefault="00AE7703" w:rsidP="001E53AA">
      <w:pPr>
        <w:tabs>
          <w:tab w:val="left" w:pos="264"/>
          <w:tab w:val="left" w:pos="2268"/>
          <w:tab w:val="left" w:pos="4395"/>
          <w:tab w:val="left" w:pos="6521"/>
        </w:tabs>
        <w:snapToGrid w:val="0"/>
        <w:spacing w:line="360" w:lineRule="auto"/>
        <w:rPr>
          <w:rFonts w:ascii="Book Antiqua" w:hAnsi="Book Antiqua"/>
          <w:color w:val="000000" w:themeColor="text1"/>
          <w:sz w:val="24"/>
          <w:szCs w:val="24"/>
        </w:rPr>
      </w:pPr>
      <w:r w:rsidRPr="0028500E">
        <w:rPr>
          <w:rFonts w:ascii="Book Antiqua" w:hAnsi="Book Antiqua"/>
          <w:color w:val="000000" w:themeColor="text1"/>
          <w:sz w:val="24"/>
          <w:szCs w:val="24"/>
        </w:rPr>
        <w:tab/>
        <w:t>Low risk</w:t>
      </w:r>
      <w:r w:rsidRPr="0028500E">
        <w:rPr>
          <w:rFonts w:ascii="Book Antiqua" w:hAnsi="Book Antiqua"/>
          <w:color w:val="000000" w:themeColor="text1"/>
          <w:sz w:val="24"/>
          <w:szCs w:val="24"/>
        </w:rPr>
        <w:tab/>
        <w:t>2.1-5.0</w:t>
      </w:r>
      <w:r w:rsidRPr="0028500E">
        <w:rPr>
          <w:rFonts w:ascii="Book Antiqua" w:hAnsi="Book Antiqua"/>
          <w:color w:val="000000" w:themeColor="text1"/>
          <w:sz w:val="24"/>
          <w:szCs w:val="24"/>
        </w:rPr>
        <w:tab/>
      </w:r>
      <w:bookmarkStart w:id="47" w:name="_Hlk509085465"/>
      <w:r w:rsidRPr="0028500E">
        <w:rPr>
          <w:rFonts w:ascii="Book Antiqua" w:hAnsi="Book Antiqua"/>
          <w:color w:val="000000" w:themeColor="text1"/>
          <w:sz w:val="24"/>
          <w:szCs w:val="24"/>
        </w:rPr>
        <w:t>≤</w:t>
      </w:r>
      <w:r w:rsidR="005F6451">
        <w:rPr>
          <w:rFonts w:ascii="Book Antiqua" w:hAnsi="Book Antiqua" w:hint="eastAsia"/>
          <w:color w:val="000000" w:themeColor="text1"/>
          <w:sz w:val="24"/>
          <w:szCs w:val="24"/>
          <w:lang w:eastAsia="zh-CN"/>
        </w:rPr>
        <w:t xml:space="preserve"> </w:t>
      </w:r>
      <w:r w:rsidRPr="0028500E">
        <w:rPr>
          <w:rFonts w:ascii="Book Antiqua" w:hAnsi="Book Antiqua"/>
          <w:color w:val="000000" w:themeColor="text1"/>
          <w:sz w:val="24"/>
          <w:szCs w:val="24"/>
        </w:rPr>
        <w:t>5</w:t>
      </w:r>
      <w:bookmarkEnd w:id="47"/>
      <w:r w:rsidRPr="0028500E">
        <w:rPr>
          <w:rFonts w:ascii="Book Antiqua" w:hAnsi="Book Antiqua"/>
          <w:color w:val="000000" w:themeColor="text1"/>
          <w:sz w:val="24"/>
          <w:szCs w:val="24"/>
        </w:rPr>
        <w:tab/>
        <w:t>Any</w:t>
      </w:r>
    </w:p>
    <w:p w14:paraId="166B74A5" w14:textId="583552FD" w:rsidR="00AE7703" w:rsidRPr="0028500E" w:rsidRDefault="00AE7703" w:rsidP="001E53AA">
      <w:pPr>
        <w:tabs>
          <w:tab w:val="left" w:pos="264"/>
          <w:tab w:val="left" w:pos="2268"/>
          <w:tab w:val="left" w:pos="4395"/>
          <w:tab w:val="left" w:pos="6521"/>
        </w:tabs>
        <w:snapToGrid w:val="0"/>
        <w:spacing w:line="360" w:lineRule="auto"/>
        <w:rPr>
          <w:rFonts w:ascii="Book Antiqua" w:hAnsi="Book Antiqua"/>
          <w:color w:val="000000" w:themeColor="text1"/>
          <w:sz w:val="24"/>
          <w:szCs w:val="24"/>
        </w:rPr>
      </w:pPr>
      <w:r w:rsidRPr="0028500E">
        <w:rPr>
          <w:rFonts w:ascii="Book Antiqua" w:hAnsi="Book Antiqua"/>
          <w:color w:val="000000" w:themeColor="text1"/>
          <w:sz w:val="24"/>
          <w:szCs w:val="24"/>
        </w:rPr>
        <w:tab/>
        <w:t>Intermediate risk</w:t>
      </w:r>
      <w:r w:rsidRPr="0028500E">
        <w:rPr>
          <w:rFonts w:ascii="Book Antiqua" w:hAnsi="Book Antiqua"/>
          <w:color w:val="000000" w:themeColor="text1"/>
          <w:sz w:val="24"/>
          <w:szCs w:val="24"/>
        </w:rPr>
        <w:tab/>
        <w:t>2.1-5.0</w:t>
      </w:r>
      <w:r w:rsidRPr="0028500E">
        <w:rPr>
          <w:rFonts w:ascii="Book Antiqua" w:hAnsi="Book Antiqua"/>
          <w:color w:val="000000" w:themeColor="text1"/>
          <w:sz w:val="24"/>
          <w:szCs w:val="24"/>
        </w:rPr>
        <w:tab/>
        <w:t>&gt;</w:t>
      </w:r>
      <w:r w:rsidR="005F6451">
        <w:rPr>
          <w:rFonts w:ascii="Book Antiqua" w:hAnsi="Book Antiqua" w:hint="eastAsia"/>
          <w:color w:val="000000" w:themeColor="text1"/>
          <w:sz w:val="24"/>
          <w:szCs w:val="24"/>
          <w:lang w:eastAsia="zh-CN"/>
        </w:rPr>
        <w:t xml:space="preserve"> </w:t>
      </w:r>
      <w:r w:rsidRPr="0028500E">
        <w:rPr>
          <w:rFonts w:ascii="Book Antiqua" w:hAnsi="Book Antiqua"/>
          <w:color w:val="000000" w:themeColor="text1"/>
          <w:sz w:val="24"/>
          <w:szCs w:val="24"/>
        </w:rPr>
        <w:t>5</w:t>
      </w:r>
      <w:r w:rsidRPr="0028500E">
        <w:rPr>
          <w:rFonts w:ascii="Book Antiqua" w:hAnsi="Book Antiqua"/>
          <w:color w:val="000000" w:themeColor="text1"/>
          <w:sz w:val="24"/>
          <w:szCs w:val="24"/>
        </w:rPr>
        <w:tab/>
        <w:t>Gastric</w:t>
      </w:r>
    </w:p>
    <w:p w14:paraId="3366AAAB" w14:textId="25FA566A" w:rsidR="00AE7703" w:rsidRPr="0028500E" w:rsidRDefault="00AE7703" w:rsidP="001E53AA">
      <w:pPr>
        <w:tabs>
          <w:tab w:val="left" w:pos="264"/>
          <w:tab w:val="left" w:pos="2268"/>
          <w:tab w:val="left" w:pos="4395"/>
          <w:tab w:val="left" w:pos="6521"/>
        </w:tabs>
        <w:snapToGrid w:val="0"/>
        <w:spacing w:line="360" w:lineRule="auto"/>
        <w:rPr>
          <w:rFonts w:ascii="Book Antiqua" w:hAnsi="Book Antiqua"/>
          <w:color w:val="000000" w:themeColor="text1"/>
          <w:sz w:val="24"/>
          <w:szCs w:val="24"/>
        </w:rPr>
      </w:pPr>
      <w:r w:rsidRPr="0028500E">
        <w:rPr>
          <w:rFonts w:ascii="Book Antiqua" w:hAnsi="Book Antiqua"/>
          <w:color w:val="000000" w:themeColor="text1"/>
          <w:sz w:val="24"/>
          <w:szCs w:val="24"/>
        </w:rPr>
        <w:tab/>
      </w:r>
      <w:r w:rsidRPr="0028500E">
        <w:rPr>
          <w:rFonts w:ascii="Book Antiqua" w:hAnsi="Book Antiqua"/>
          <w:color w:val="000000" w:themeColor="text1"/>
          <w:sz w:val="24"/>
          <w:szCs w:val="24"/>
        </w:rPr>
        <w:tab/>
        <w:t>&lt;</w:t>
      </w:r>
      <w:r w:rsidR="005F6451">
        <w:rPr>
          <w:rFonts w:ascii="Book Antiqua" w:hAnsi="Book Antiqua" w:hint="eastAsia"/>
          <w:color w:val="000000" w:themeColor="text1"/>
          <w:sz w:val="24"/>
          <w:szCs w:val="24"/>
          <w:lang w:eastAsia="zh-CN"/>
        </w:rPr>
        <w:t xml:space="preserve"> </w:t>
      </w:r>
      <w:r w:rsidRPr="0028500E">
        <w:rPr>
          <w:rFonts w:ascii="Book Antiqua" w:hAnsi="Book Antiqua"/>
          <w:color w:val="000000" w:themeColor="text1"/>
          <w:sz w:val="24"/>
          <w:szCs w:val="24"/>
        </w:rPr>
        <w:t>5</w:t>
      </w:r>
      <w:r w:rsidRPr="0028500E">
        <w:rPr>
          <w:rFonts w:ascii="Book Antiqua" w:hAnsi="Book Antiqua"/>
          <w:color w:val="000000" w:themeColor="text1"/>
          <w:sz w:val="24"/>
          <w:szCs w:val="24"/>
        </w:rPr>
        <w:tab/>
        <w:t>6-10</w:t>
      </w:r>
      <w:r w:rsidRPr="0028500E">
        <w:rPr>
          <w:rFonts w:ascii="Book Antiqua" w:hAnsi="Book Antiqua"/>
          <w:color w:val="000000" w:themeColor="text1"/>
          <w:sz w:val="24"/>
          <w:szCs w:val="24"/>
        </w:rPr>
        <w:tab/>
        <w:t>Any</w:t>
      </w:r>
    </w:p>
    <w:p w14:paraId="04AE3BF7" w14:textId="10BD925C" w:rsidR="00AE7703" w:rsidRPr="0028500E" w:rsidRDefault="00AE7703" w:rsidP="001E53AA">
      <w:pPr>
        <w:tabs>
          <w:tab w:val="left" w:pos="264"/>
          <w:tab w:val="left" w:pos="2268"/>
          <w:tab w:val="left" w:pos="4395"/>
          <w:tab w:val="left" w:pos="6521"/>
        </w:tabs>
        <w:snapToGrid w:val="0"/>
        <w:spacing w:line="360" w:lineRule="auto"/>
        <w:rPr>
          <w:rFonts w:ascii="Book Antiqua" w:hAnsi="Book Antiqua"/>
          <w:color w:val="000000" w:themeColor="text1"/>
          <w:sz w:val="24"/>
          <w:szCs w:val="24"/>
        </w:rPr>
      </w:pPr>
      <w:r w:rsidRPr="0028500E">
        <w:rPr>
          <w:rFonts w:ascii="Book Antiqua" w:hAnsi="Book Antiqua"/>
          <w:color w:val="000000" w:themeColor="text1"/>
          <w:sz w:val="24"/>
          <w:szCs w:val="24"/>
        </w:rPr>
        <w:tab/>
      </w:r>
      <w:r w:rsidRPr="0028500E">
        <w:rPr>
          <w:rFonts w:ascii="Book Antiqua" w:hAnsi="Book Antiqua"/>
          <w:color w:val="000000" w:themeColor="text1"/>
          <w:sz w:val="24"/>
          <w:szCs w:val="24"/>
        </w:rPr>
        <w:tab/>
        <w:t>5.1-10.0</w:t>
      </w:r>
      <w:r w:rsidRPr="0028500E">
        <w:rPr>
          <w:rFonts w:ascii="Book Antiqua" w:hAnsi="Book Antiqua"/>
          <w:color w:val="000000" w:themeColor="text1"/>
          <w:sz w:val="24"/>
          <w:szCs w:val="24"/>
        </w:rPr>
        <w:tab/>
      </w:r>
      <w:bookmarkStart w:id="48" w:name="_Hlk509085723"/>
      <w:r w:rsidRPr="0028500E">
        <w:rPr>
          <w:rFonts w:ascii="Book Antiqua" w:hAnsi="Book Antiqua"/>
          <w:color w:val="000000" w:themeColor="text1"/>
          <w:sz w:val="24"/>
          <w:szCs w:val="24"/>
        </w:rPr>
        <w:t>≤</w:t>
      </w:r>
      <w:r w:rsidR="005F6451">
        <w:rPr>
          <w:rFonts w:ascii="Book Antiqua" w:hAnsi="Book Antiqua" w:hint="eastAsia"/>
          <w:color w:val="000000" w:themeColor="text1"/>
          <w:sz w:val="24"/>
          <w:szCs w:val="24"/>
          <w:lang w:eastAsia="zh-CN"/>
        </w:rPr>
        <w:t xml:space="preserve"> </w:t>
      </w:r>
      <w:r w:rsidRPr="0028500E">
        <w:rPr>
          <w:rFonts w:ascii="Book Antiqua" w:hAnsi="Book Antiqua"/>
          <w:color w:val="000000" w:themeColor="text1"/>
          <w:sz w:val="24"/>
          <w:szCs w:val="24"/>
        </w:rPr>
        <w:t>5</w:t>
      </w:r>
      <w:bookmarkEnd w:id="48"/>
      <w:r w:rsidRPr="0028500E">
        <w:rPr>
          <w:rFonts w:ascii="Book Antiqua" w:hAnsi="Book Antiqua"/>
          <w:color w:val="000000" w:themeColor="text1"/>
          <w:sz w:val="24"/>
          <w:szCs w:val="24"/>
        </w:rPr>
        <w:tab/>
        <w:t>Gastric</w:t>
      </w:r>
    </w:p>
    <w:p w14:paraId="2B3F1E0A" w14:textId="77777777" w:rsidR="00AE7703" w:rsidRPr="0028500E" w:rsidRDefault="00AE7703" w:rsidP="001E53AA">
      <w:pPr>
        <w:tabs>
          <w:tab w:val="left" w:pos="264"/>
          <w:tab w:val="left" w:pos="2268"/>
          <w:tab w:val="left" w:pos="4395"/>
          <w:tab w:val="left" w:pos="6521"/>
        </w:tabs>
        <w:snapToGrid w:val="0"/>
        <w:spacing w:line="360" w:lineRule="auto"/>
        <w:rPr>
          <w:rFonts w:ascii="Book Antiqua" w:hAnsi="Book Antiqua"/>
          <w:color w:val="000000" w:themeColor="text1"/>
          <w:sz w:val="24"/>
          <w:szCs w:val="24"/>
        </w:rPr>
      </w:pPr>
      <w:r w:rsidRPr="0028500E">
        <w:rPr>
          <w:rFonts w:ascii="Book Antiqua" w:hAnsi="Book Antiqua"/>
          <w:color w:val="000000" w:themeColor="text1"/>
          <w:sz w:val="24"/>
          <w:szCs w:val="24"/>
        </w:rPr>
        <w:tab/>
        <w:t>High risk</w:t>
      </w:r>
      <w:r w:rsidRPr="0028500E">
        <w:rPr>
          <w:rFonts w:ascii="Book Antiqua" w:hAnsi="Book Antiqua"/>
          <w:color w:val="000000" w:themeColor="text1"/>
          <w:sz w:val="24"/>
          <w:szCs w:val="24"/>
        </w:rPr>
        <w:tab/>
        <w:t>Any</w:t>
      </w:r>
      <w:r w:rsidRPr="0028500E">
        <w:rPr>
          <w:rFonts w:ascii="Book Antiqua" w:hAnsi="Book Antiqua"/>
          <w:color w:val="000000" w:themeColor="text1"/>
          <w:sz w:val="24"/>
          <w:szCs w:val="24"/>
        </w:rPr>
        <w:tab/>
        <w:t>Any</w:t>
      </w:r>
      <w:r w:rsidRPr="0028500E">
        <w:rPr>
          <w:rFonts w:ascii="Book Antiqua" w:hAnsi="Book Antiqua"/>
          <w:color w:val="000000" w:themeColor="text1"/>
          <w:sz w:val="24"/>
          <w:szCs w:val="24"/>
        </w:rPr>
        <w:tab/>
        <w:t>Tumor rupture</w:t>
      </w:r>
    </w:p>
    <w:p w14:paraId="2F703F06" w14:textId="74BA3118" w:rsidR="00AE7703" w:rsidRPr="0028500E" w:rsidRDefault="00AE7703" w:rsidP="001E53AA">
      <w:pPr>
        <w:tabs>
          <w:tab w:val="left" w:pos="264"/>
          <w:tab w:val="left" w:pos="2268"/>
          <w:tab w:val="left" w:pos="4395"/>
          <w:tab w:val="left" w:pos="6521"/>
        </w:tabs>
        <w:snapToGrid w:val="0"/>
        <w:spacing w:line="360" w:lineRule="auto"/>
        <w:rPr>
          <w:rFonts w:ascii="Book Antiqua" w:hAnsi="Book Antiqua"/>
          <w:color w:val="000000" w:themeColor="text1"/>
          <w:sz w:val="24"/>
          <w:szCs w:val="24"/>
        </w:rPr>
      </w:pPr>
      <w:r w:rsidRPr="0028500E">
        <w:rPr>
          <w:rFonts w:ascii="Book Antiqua" w:hAnsi="Book Antiqua"/>
          <w:color w:val="000000" w:themeColor="text1"/>
          <w:sz w:val="24"/>
          <w:szCs w:val="24"/>
        </w:rPr>
        <w:tab/>
      </w:r>
      <w:r w:rsidRPr="0028500E">
        <w:rPr>
          <w:rFonts w:ascii="Book Antiqua" w:hAnsi="Book Antiqua"/>
          <w:color w:val="000000" w:themeColor="text1"/>
          <w:sz w:val="24"/>
          <w:szCs w:val="24"/>
        </w:rPr>
        <w:tab/>
        <w:t>&gt;</w:t>
      </w:r>
      <w:r w:rsidR="005F6451">
        <w:rPr>
          <w:rFonts w:ascii="Book Antiqua" w:hAnsi="Book Antiqua" w:hint="eastAsia"/>
          <w:color w:val="000000" w:themeColor="text1"/>
          <w:sz w:val="24"/>
          <w:szCs w:val="24"/>
          <w:lang w:eastAsia="zh-CN"/>
        </w:rPr>
        <w:t xml:space="preserve"> </w:t>
      </w:r>
      <w:r w:rsidRPr="0028500E">
        <w:rPr>
          <w:rFonts w:ascii="Book Antiqua" w:hAnsi="Book Antiqua"/>
          <w:color w:val="000000" w:themeColor="text1"/>
          <w:sz w:val="24"/>
          <w:szCs w:val="24"/>
        </w:rPr>
        <w:t>10</w:t>
      </w:r>
      <w:r w:rsidR="005F6451">
        <w:rPr>
          <w:rFonts w:ascii="Book Antiqua" w:hAnsi="Book Antiqua" w:hint="eastAsia"/>
          <w:color w:val="000000" w:themeColor="text1"/>
          <w:sz w:val="24"/>
          <w:szCs w:val="24"/>
          <w:lang w:eastAsia="zh-CN"/>
        </w:rPr>
        <w:t xml:space="preserve"> </w:t>
      </w:r>
      <w:r w:rsidRPr="0028500E">
        <w:rPr>
          <w:rFonts w:ascii="Book Antiqua" w:hAnsi="Book Antiqua"/>
          <w:color w:val="000000" w:themeColor="text1"/>
          <w:sz w:val="24"/>
          <w:szCs w:val="24"/>
        </w:rPr>
        <w:t>cm</w:t>
      </w:r>
      <w:r w:rsidRPr="0028500E">
        <w:rPr>
          <w:rFonts w:ascii="Book Antiqua" w:hAnsi="Book Antiqua"/>
          <w:color w:val="000000" w:themeColor="text1"/>
          <w:sz w:val="24"/>
          <w:szCs w:val="24"/>
        </w:rPr>
        <w:tab/>
        <w:t>Any</w:t>
      </w:r>
      <w:r w:rsidRPr="0028500E">
        <w:rPr>
          <w:rFonts w:ascii="Book Antiqua" w:hAnsi="Book Antiqua"/>
          <w:color w:val="000000" w:themeColor="text1"/>
          <w:sz w:val="24"/>
          <w:szCs w:val="24"/>
        </w:rPr>
        <w:tab/>
        <w:t>Any</w:t>
      </w:r>
    </w:p>
    <w:p w14:paraId="002E9769" w14:textId="6C7B78D5" w:rsidR="00AE7703" w:rsidRPr="0028500E" w:rsidRDefault="00AE7703" w:rsidP="001E53AA">
      <w:pPr>
        <w:tabs>
          <w:tab w:val="left" w:pos="264"/>
          <w:tab w:val="left" w:pos="2268"/>
          <w:tab w:val="left" w:pos="4395"/>
          <w:tab w:val="left" w:pos="6521"/>
        </w:tabs>
        <w:snapToGrid w:val="0"/>
        <w:spacing w:line="360" w:lineRule="auto"/>
        <w:rPr>
          <w:rFonts w:ascii="Book Antiqua" w:hAnsi="Book Antiqua"/>
          <w:color w:val="000000" w:themeColor="text1"/>
          <w:sz w:val="24"/>
          <w:szCs w:val="24"/>
        </w:rPr>
      </w:pPr>
      <w:r w:rsidRPr="0028500E">
        <w:rPr>
          <w:rFonts w:ascii="Book Antiqua" w:hAnsi="Book Antiqua"/>
          <w:color w:val="000000" w:themeColor="text1"/>
          <w:sz w:val="24"/>
          <w:szCs w:val="24"/>
        </w:rPr>
        <w:tab/>
      </w:r>
      <w:r w:rsidRPr="0028500E">
        <w:rPr>
          <w:rFonts w:ascii="Book Antiqua" w:hAnsi="Book Antiqua"/>
          <w:color w:val="000000" w:themeColor="text1"/>
          <w:sz w:val="24"/>
          <w:szCs w:val="24"/>
        </w:rPr>
        <w:tab/>
        <w:t>Any</w:t>
      </w:r>
      <w:r w:rsidRPr="0028500E">
        <w:rPr>
          <w:rFonts w:ascii="Book Antiqua" w:hAnsi="Book Antiqua"/>
          <w:color w:val="000000" w:themeColor="text1"/>
          <w:sz w:val="24"/>
          <w:szCs w:val="24"/>
        </w:rPr>
        <w:tab/>
        <w:t>&gt;</w:t>
      </w:r>
      <w:r w:rsidR="005F6451">
        <w:rPr>
          <w:rFonts w:ascii="Book Antiqua" w:hAnsi="Book Antiqua" w:hint="eastAsia"/>
          <w:color w:val="000000" w:themeColor="text1"/>
          <w:sz w:val="24"/>
          <w:szCs w:val="24"/>
          <w:lang w:eastAsia="zh-CN"/>
        </w:rPr>
        <w:t xml:space="preserve"> </w:t>
      </w:r>
      <w:r w:rsidRPr="0028500E">
        <w:rPr>
          <w:rFonts w:ascii="Book Antiqua" w:hAnsi="Book Antiqua"/>
          <w:color w:val="000000" w:themeColor="text1"/>
          <w:sz w:val="24"/>
          <w:szCs w:val="24"/>
        </w:rPr>
        <w:t>10</w:t>
      </w:r>
      <w:r w:rsidRPr="0028500E">
        <w:rPr>
          <w:rFonts w:ascii="Book Antiqua" w:hAnsi="Book Antiqua"/>
          <w:color w:val="000000" w:themeColor="text1"/>
          <w:sz w:val="24"/>
          <w:szCs w:val="24"/>
        </w:rPr>
        <w:tab/>
        <w:t>Any</w:t>
      </w:r>
    </w:p>
    <w:p w14:paraId="16733C89" w14:textId="57D779C4" w:rsidR="00AE7703" w:rsidRPr="0028500E" w:rsidRDefault="00AE7703" w:rsidP="001E53AA">
      <w:pPr>
        <w:tabs>
          <w:tab w:val="left" w:pos="264"/>
          <w:tab w:val="left" w:pos="2268"/>
          <w:tab w:val="left" w:pos="4395"/>
          <w:tab w:val="left" w:pos="6521"/>
        </w:tabs>
        <w:snapToGrid w:val="0"/>
        <w:spacing w:line="360" w:lineRule="auto"/>
        <w:rPr>
          <w:rFonts w:ascii="Book Antiqua" w:hAnsi="Book Antiqua"/>
          <w:color w:val="000000" w:themeColor="text1"/>
          <w:sz w:val="24"/>
          <w:szCs w:val="24"/>
        </w:rPr>
      </w:pPr>
      <w:r w:rsidRPr="0028500E">
        <w:rPr>
          <w:rFonts w:ascii="Book Antiqua" w:hAnsi="Book Antiqua"/>
          <w:color w:val="000000" w:themeColor="text1"/>
          <w:sz w:val="24"/>
          <w:szCs w:val="24"/>
        </w:rPr>
        <w:tab/>
      </w:r>
      <w:r w:rsidRPr="0028500E">
        <w:rPr>
          <w:rFonts w:ascii="Book Antiqua" w:hAnsi="Book Antiqua"/>
          <w:color w:val="000000" w:themeColor="text1"/>
          <w:sz w:val="24"/>
          <w:szCs w:val="24"/>
        </w:rPr>
        <w:tab/>
        <w:t>&gt;</w:t>
      </w:r>
      <w:r w:rsidR="005F6451">
        <w:rPr>
          <w:rFonts w:ascii="Book Antiqua" w:hAnsi="Book Antiqua" w:hint="eastAsia"/>
          <w:color w:val="000000" w:themeColor="text1"/>
          <w:sz w:val="24"/>
          <w:szCs w:val="24"/>
          <w:lang w:eastAsia="zh-CN"/>
        </w:rPr>
        <w:t xml:space="preserve"> </w:t>
      </w:r>
      <w:r w:rsidRPr="0028500E">
        <w:rPr>
          <w:rFonts w:ascii="Book Antiqua" w:hAnsi="Book Antiqua"/>
          <w:color w:val="000000" w:themeColor="text1"/>
          <w:sz w:val="24"/>
          <w:szCs w:val="24"/>
        </w:rPr>
        <w:t>5.0</w:t>
      </w:r>
      <w:r w:rsidRPr="0028500E">
        <w:rPr>
          <w:rFonts w:ascii="Book Antiqua" w:hAnsi="Book Antiqua"/>
          <w:color w:val="000000" w:themeColor="text1"/>
          <w:sz w:val="24"/>
          <w:szCs w:val="24"/>
        </w:rPr>
        <w:tab/>
        <w:t>&gt;</w:t>
      </w:r>
      <w:r w:rsidR="005F6451">
        <w:rPr>
          <w:rFonts w:ascii="Book Antiqua" w:hAnsi="Book Antiqua" w:hint="eastAsia"/>
          <w:color w:val="000000" w:themeColor="text1"/>
          <w:sz w:val="24"/>
          <w:szCs w:val="24"/>
          <w:lang w:eastAsia="zh-CN"/>
        </w:rPr>
        <w:t xml:space="preserve"> </w:t>
      </w:r>
      <w:r w:rsidRPr="0028500E">
        <w:rPr>
          <w:rFonts w:ascii="Book Antiqua" w:hAnsi="Book Antiqua"/>
          <w:color w:val="000000" w:themeColor="text1"/>
          <w:sz w:val="24"/>
          <w:szCs w:val="24"/>
        </w:rPr>
        <w:t>5</w:t>
      </w:r>
      <w:r w:rsidRPr="0028500E">
        <w:rPr>
          <w:rFonts w:ascii="Book Antiqua" w:hAnsi="Book Antiqua"/>
          <w:color w:val="000000" w:themeColor="text1"/>
          <w:sz w:val="24"/>
          <w:szCs w:val="24"/>
        </w:rPr>
        <w:tab/>
        <w:t>Any</w:t>
      </w:r>
    </w:p>
    <w:p w14:paraId="5DE61FBF" w14:textId="00672DBF" w:rsidR="00AE7703" w:rsidRPr="0028500E" w:rsidRDefault="00AE7703" w:rsidP="001E53AA">
      <w:pPr>
        <w:tabs>
          <w:tab w:val="left" w:pos="264"/>
          <w:tab w:val="left" w:pos="2268"/>
          <w:tab w:val="left" w:pos="4395"/>
          <w:tab w:val="left" w:pos="6521"/>
        </w:tabs>
        <w:snapToGrid w:val="0"/>
        <w:spacing w:line="360" w:lineRule="auto"/>
        <w:rPr>
          <w:rFonts w:ascii="Book Antiqua" w:hAnsi="Book Antiqua"/>
          <w:color w:val="000000" w:themeColor="text1"/>
          <w:sz w:val="24"/>
          <w:szCs w:val="24"/>
        </w:rPr>
      </w:pPr>
      <w:r w:rsidRPr="0028500E">
        <w:rPr>
          <w:rFonts w:ascii="Book Antiqua" w:hAnsi="Book Antiqua"/>
          <w:color w:val="000000" w:themeColor="text1"/>
          <w:sz w:val="24"/>
          <w:szCs w:val="24"/>
        </w:rPr>
        <w:tab/>
      </w:r>
      <w:r w:rsidRPr="0028500E">
        <w:rPr>
          <w:rFonts w:ascii="Book Antiqua" w:hAnsi="Book Antiqua"/>
          <w:color w:val="000000" w:themeColor="text1"/>
          <w:sz w:val="24"/>
          <w:szCs w:val="24"/>
        </w:rPr>
        <w:tab/>
        <w:t>2.1-5.0</w:t>
      </w:r>
      <w:r w:rsidRPr="0028500E">
        <w:rPr>
          <w:rFonts w:ascii="Book Antiqua" w:hAnsi="Book Antiqua"/>
          <w:color w:val="000000" w:themeColor="text1"/>
          <w:sz w:val="24"/>
          <w:szCs w:val="24"/>
        </w:rPr>
        <w:tab/>
        <w:t>&gt;</w:t>
      </w:r>
      <w:r w:rsidR="005F6451">
        <w:rPr>
          <w:rFonts w:ascii="Book Antiqua" w:hAnsi="Book Antiqua" w:hint="eastAsia"/>
          <w:color w:val="000000" w:themeColor="text1"/>
          <w:sz w:val="24"/>
          <w:szCs w:val="24"/>
          <w:lang w:eastAsia="zh-CN"/>
        </w:rPr>
        <w:t xml:space="preserve"> </w:t>
      </w:r>
      <w:r w:rsidRPr="0028500E">
        <w:rPr>
          <w:rFonts w:ascii="Book Antiqua" w:hAnsi="Book Antiqua"/>
          <w:color w:val="000000" w:themeColor="text1"/>
          <w:sz w:val="24"/>
          <w:szCs w:val="24"/>
        </w:rPr>
        <w:t>5</w:t>
      </w:r>
      <w:r w:rsidRPr="0028500E">
        <w:rPr>
          <w:rFonts w:ascii="Book Antiqua" w:hAnsi="Book Antiqua"/>
          <w:color w:val="000000" w:themeColor="text1"/>
          <w:sz w:val="24"/>
          <w:szCs w:val="24"/>
        </w:rPr>
        <w:tab/>
        <w:t>Non-gastric</w:t>
      </w:r>
    </w:p>
    <w:p w14:paraId="605CD1A3" w14:textId="1152AE30" w:rsidR="00AE7703" w:rsidRPr="0028500E" w:rsidRDefault="00AE7703" w:rsidP="001E53AA">
      <w:pPr>
        <w:tabs>
          <w:tab w:val="left" w:pos="264"/>
          <w:tab w:val="left" w:pos="2268"/>
          <w:tab w:val="left" w:pos="4395"/>
          <w:tab w:val="left" w:pos="6521"/>
        </w:tabs>
        <w:snapToGrid w:val="0"/>
        <w:spacing w:line="360" w:lineRule="auto"/>
        <w:rPr>
          <w:rFonts w:ascii="Book Antiqua" w:hAnsi="Book Antiqua"/>
          <w:color w:val="000000" w:themeColor="text1"/>
          <w:sz w:val="24"/>
          <w:szCs w:val="24"/>
        </w:rPr>
      </w:pPr>
      <w:r w:rsidRPr="0028500E">
        <w:rPr>
          <w:rFonts w:ascii="Book Antiqua" w:hAnsi="Book Antiqua"/>
          <w:color w:val="000000" w:themeColor="text1"/>
          <w:sz w:val="24"/>
          <w:szCs w:val="24"/>
        </w:rPr>
        <w:tab/>
      </w:r>
      <w:r w:rsidRPr="0028500E">
        <w:rPr>
          <w:rFonts w:ascii="Book Antiqua" w:hAnsi="Book Antiqua"/>
          <w:color w:val="000000" w:themeColor="text1"/>
          <w:sz w:val="24"/>
          <w:szCs w:val="24"/>
        </w:rPr>
        <w:tab/>
        <w:t>5.1-10</w:t>
      </w:r>
      <w:r w:rsidRPr="0028500E">
        <w:rPr>
          <w:rFonts w:ascii="Book Antiqua" w:hAnsi="Book Antiqua"/>
          <w:color w:val="000000" w:themeColor="text1"/>
          <w:sz w:val="24"/>
          <w:szCs w:val="24"/>
        </w:rPr>
        <w:tab/>
        <w:t>≤</w:t>
      </w:r>
      <w:r w:rsidR="005F6451">
        <w:rPr>
          <w:rFonts w:ascii="Book Antiqua" w:hAnsi="Book Antiqua" w:hint="eastAsia"/>
          <w:color w:val="000000" w:themeColor="text1"/>
          <w:sz w:val="24"/>
          <w:szCs w:val="24"/>
          <w:lang w:eastAsia="zh-CN"/>
        </w:rPr>
        <w:t xml:space="preserve"> </w:t>
      </w:r>
      <w:r w:rsidRPr="0028500E">
        <w:rPr>
          <w:rFonts w:ascii="Book Antiqua" w:hAnsi="Book Antiqua"/>
          <w:color w:val="000000" w:themeColor="text1"/>
          <w:sz w:val="24"/>
          <w:szCs w:val="24"/>
        </w:rPr>
        <w:t>5</w:t>
      </w:r>
      <w:r w:rsidRPr="0028500E">
        <w:rPr>
          <w:rFonts w:ascii="Book Antiqua" w:hAnsi="Book Antiqua"/>
          <w:color w:val="000000" w:themeColor="text1"/>
          <w:sz w:val="24"/>
          <w:szCs w:val="24"/>
        </w:rPr>
        <w:tab/>
        <w:t>Non-gastric</w:t>
      </w:r>
    </w:p>
    <w:p w14:paraId="7E71112E" w14:textId="0A82B836" w:rsidR="0005791D" w:rsidRPr="0028500E" w:rsidRDefault="00AE7703" w:rsidP="001E53AA">
      <w:pPr>
        <w:tabs>
          <w:tab w:val="left" w:pos="360"/>
          <w:tab w:val="left" w:pos="720"/>
          <w:tab w:val="right" w:pos="3780"/>
          <w:tab w:val="left" w:pos="4500"/>
          <w:tab w:val="right" w:pos="6840"/>
        </w:tabs>
        <w:snapToGrid w:val="0"/>
        <w:spacing w:line="360" w:lineRule="auto"/>
        <w:rPr>
          <w:rFonts w:ascii="Book Antiqua" w:eastAsia="SimSun" w:hAnsi="Book Antiqua"/>
          <w:color w:val="000000" w:themeColor="text1"/>
          <w:sz w:val="24"/>
          <w:szCs w:val="24"/>
          <w:lang w:eastAsia="zh-CN"/>
        </w:rPr>
      </w:pPr>
      <w:r w:rsidRPr="0028500E">
        <w:rPr>
          <w:rFonts w:ascii="Book Antiqua" w:hAnsi="Book Antiqua"/>
          <w:noProof/>
          <w:color w:val="000000" w:themeColor="text1"/>
          <w:sz w:val="24"/>
          <w:szCs w:val="24"/>
          <w:lang w:eastAsia="zh-CN"/>
        </w:rPr>
        <mc:AlternateContent>
          <mc:Choice Requires="wps">
            <w:drawing>
              <wp:anchor distT="0" distB="0" distL="114300" distR="114300" simplePos="0" relativeHeight="251660288" behindDoc="0" locked="0" layoutInCell="1" allowOverlap="1" wp14:anchorId="5ABEF745" wp14:editId="28AA330F">
                <wp:simplePos x="0" y="0"/>
                <wp:positionH relativeFrom="column">
                  <wp:posOffset>0</wp:posOffset>
                </wp:positionH>
                <wp:positionV relativeFrom="paragraph">
                  <wp:posOffset>23495</wp:posOffset>
                </wp:positionV>
                <wp:extent cx="5481320" cy="0"/>
                <wp:effectExtent l="19050" t="23495" r="14605" b="14605"/>
                <wp:wrapNone/>
                <wp:docPr id="1"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13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CAE5B" id="直線コネクタ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5pt" to="431.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" strokeweight="2.25pt"/>
            </w:pict>
          </mc:Fallback>
        </mc:AlternateContent>
      </w:r>
      <w:r w:rsidRPr="0028500E">
        <w:rPr>
          <w:rFonts w:ascii="Book Antiqua" w:hAnsi="Book Antiqua"/>
          <w:color w:val="000000" w:themeColor="text1"/>
          <w:sz w:val="24"/>
          <w:szCs w:val="24"/>
        </w:rPr>
        <w:t>Quoted and modified from reference [7] with permission.</w:t>
      </w:r>
      <w:r w:rsidR="0067490C" w:rsidRPr="0028500E">
        <w:rPr>
          <w:rFonts w:ascii="Book Antiqua" w:eastAsia="SimSun" w:hAnsi="Book Antiqua"/>
          <w:color w:val="000000" w:themeColor="text1"/>
          <w:sz w:val="24"/>
          <w:szCs w:val="24"/>
          <w:lang w:eastAsia="zh-CN"/>
        </w:rPr>
        <w:t xml:space="preserve"> </w:t>
      </w:r>
      <w:r w:rsidR="0005791D" w:rsidRPr="0028500E">
        <w:rPr>
          <w:rFonts w:ascii="Book Antiqua" w:hAnsi="Book Antiqua"/>
          <w:color w:val="000000" w:themeColor="text1"/>
          <w:sz w:val="24"/>
          <w:szCs w:val="24"/>
        </w:rPr>
        <w:t>HPF</w:t>
      </w:r>
      <w:r w:rsidR="0067490C" w:rsidRPr="0028500E">
        <w:rPr>
          <w:rFonts w:ascii="Book Antiqua" w:eastAsia="SimSun" w:hAnsi="Book Antiqua"/>
          <w:color w:val="000000" w:themeColor="text1"/>
          <w:sz w:val="24"/>
          <w:szCs w:val="24"/>
          <w:lang w:eastAsia="zh-CN"/>
        </w:rPr>
        <w:t>:</w:t>
      </w:r>
      <w:r w:rsidR="0005791D" w:rsidRPr="0028500E">
        <w:rPr>
          <w:rFonts w:ascii="Book Antiqua" w:hAnsi="Book Antiqua"/>
          <w:color w:val="000000" w:themeColor="text1"/>
          <w:sz w:val="24"/>
          <w:szCs w:val="24"/>
        </w:rPr>
        <w:t xml:space="preserve"> </w:t>
      </w:r>
      <w:r w:rsidR="0067490C" w:rsidRPr="0028500E">
        <w:rPr>
          <w:rFonts w:ascii="Book Antiqua" w:hAnsi="Book Antiqua"/>
          <w:color w:val="000000" w:themeColor="text1"/>
          <w:sz w:val="24"/>
          <w:szCs w:val="24"/>
        </w:rPr>
        <w:t>High</w:t>
      </w:r>
      <w:r w:rsidR="0005791D" w:rsidRPr="0028500E">
        <w:rPr>
          <w:rFonts w:ascii="Book Antiqua" w:hAnsi="Book Antiqua"/>
          <w:color w:val="000000" w:themeColor="text1"/>
          <w:sz w:val="24"/>
          <w:szCs w:val="24"/>
        </w:rPr>
        <w:t>-power fields</w:t>
      </w:r>
      <w:r w:rsidR="0067490C" w:rsidRPr="0028500E">
        <w:rPr>
          <w:rFonts w:ascii="Book Antiqua" w:eastAsia="SimSun" w:hAnsi="Book Antiqua"/>
          <w:color w:val="000000" w:themeColor="text1"/>
          <w:sz w:val="24"/>
          <w:szCs w:val="24"/>
          <w:lang w:eastAsia="zh-CN"/>
        </w:rPr>
        <w:t>.</w:t>
      </w:r>
    </w:p>
    <w:p w14:paraId="36923A1F" w14:textId="451AABD4" w:rsidR="00AE7703" w:rsidRPr="0028500E" w:rsidRDefault="00AE7703" w:rsidP="001E53AA">
      <w:pPr>
        <w:widowControl/>
        <w:snapToGrid w:val="0"/>
        <w:spacing w:line="360" w:lineRule="auto"/>
        <w:rPr>
          <w:rFonts w:ascii="Book Antiqua" w:eastAsia="MS Gothic" w:hAnsi="Book Antiqua"/>
          <w:b/>
          <w:color w:val="000000" w:themeColor="text1"/>
          <w:sz w:val="24"/>
          <w:szCs w:val="24"/>
        </w:rPr>
      </w:pPr>
      <w:r w:rsidRPr="0028500E">
        <w:rPr>
          <w:rFonts w:ascii="Book Antiqua" w:eastAsia="MS Gothic" w:hAnsi="Book Antiqua"/>
          <w:b/>
          <w:color w:val="000000" w:themeColor="text1"/>
          <w:sz w:val="24"/>
          <w:szCs w:val="24"/>
        </w:rPr>
        <w:br w:type="page"/>
      </w:r>
    </w:p>
    <w:p w14:paraId="39170943" w14:textId="77777777" w:rsidR="0050756B" w:rsidRPr="0028500E" w:rsidRDefault="00AE7703" w:rsidP="001E53AA">
      <w:pPr>
        <w:widowControl/>
        <w:snapToGrid w:val="0"/>
        <w:spacing w:line="360" w:lineRule="auto"/>
        <w:rPr>
          <w:rFonts w:ascii="Book Antiqua" w:eastAsia="SimSun" w:hAnsi="Book Antiqua"/>
          <w:b/>
          <w:color w:val="000000" w:themeColor="text1"/>
          <w:sz w:val="24"/>
          <w:szCs w:val="24"/>
          <w:lang w:eastAsia="zh-CN"/>
        </w:rPr>
      </w:pPr>
      <w:r w:rsidRPr="0028500E">
        <w:rPr>
          <w:rFonts w:ascii="Book Antiqua" w:hAnsi="Book Antiqua"/>
          <w:noProof/>
          <w:color w:val="000000" w:themeColor="text1"/>
          <w:sz w:val="24"/>
          <w:szCs w:val="24"/>
          <w:lang w:eastAsia="zh-CN"/>
        </w:rPr>
        <w:lastRenderedPageBreak/>
        <w:drawing>
          <wp:inline distT="0" distB="0" distL="0" distR="0" wp14:anchorId="48CAD2B5" wp14:editId="133A48F1">
            <wp:extent cx="5400040" cy="3600027"/>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14:paraId="6184F793" w14:textId="1F70CA6E" w:rsidR="0050756B" w:rsidRPr="0028500E" w:rsidRDefault="0050756B" w:rsidP="001E53AA">
      <w:pPr>
        <w:snapToGrid w:val="0"/>
        <w:spacing w:line="360" w:lineRule="auto"/>
        <w:rPr>
          <w:rFonts w:ascii="Book Antiqua" w:eastAsia="MS Gothic" w:hAnsi="Book Antiqua"/>
          <w:color w:val="000000" w:themeColor="text1"/>
          <w:sz w:val="24"/>
          <w:szCs w:val="24"/>
        </w:rPr>
      </w:pPr>
      <w:r w:rsidRPr="0028500E">
        <w:rPr>
          <w:rFonts w:ascii="Book Antiqua" w:eastAsia="MS Gothic" w:hAnsi="Book Antiqua"/>
          <w:b/>
          <w:color w:val="000000" w:themeColor="text1"/>
          <w:sz w:val="24"/>
          <w:szCs w:val="24"/>
        </w:rPr>
        <w:t>Figure 1 Rate of metastasis or tumor-related death according to tumor diameter and mitotic index.</w:t>
      </w:r>
      <w:r w:rsidRPr="0028500E">
        <w:rPr>
          <w:rFonts w:ascii="Book Antiqua" w:eastAsia="MS Gothic" w:hAnsi="Book Antiqua"/>
          <w:color w:val="000000" w:themeColor="text1"/>
          <w:sz w:val="24"/>
          <w:szCs w:val="24"/>
        </w:rPr>
        <w:t xml:space="preserve"> Created using reference</w:t>
      </w:r>
      <w:r w:rsidRPr="0028500E">
        <w:rPr>
          <w:rFonts w:ascii="Book Antiqua" w:eastAsia="MS Gothic" w:hAnsi="Book Antiqua"/>
          <w:color w:val="000000" w:themeColor="text1"/>
          <w:sz w:val="24"/>
          <w:szCs w:val="24"/>
          <w:vertAlign w:val="superscript"/>
        </w:rPr>
        <w:t>[6]</w:t>
      </w:r>
      <w:r w:rsidRPr="0028500E">
        <w:rPr>
          <w:rFonts w:ascii="Book Antiqua" w:eastAsia="MS Gothic" w:hAnsi="Book Antiqua"/>
          <w:color w:val="000000" w:themeColor="text1"/>
          <w:sz w:val="24"/>
          <w:szCs w:val="24"/>
        </w:rPr>
        <w:t xml:space="preserve">. </w:t>
      </w:r>
    </w:p>
    <w:p w14:paraId="4AAE77C4" w14:textId="43CB18D8" w:rsidR="00AE7703" w:rsidRPr="0028500E" w:rsidRDefault="00AE7703" w:rsidP="001E53AA">
      <w:pPr>
        <w:widowControl/>
        <w:snapToGrid w:val="0"/>
        <w:spacing w:line="360" w:lineRule="auto"/>
        <w:rPr>
          <w:rFonts w:ascii="Book Antiqua" w:eastAsia="MS Gothic" w:hAnsi="Book Antiqua"/>
          <w:b/>
          <w:color w:val="000000" w:themeColor="text1"/>
          <w:sz w:val="24"/>
          <w:szCs w:val="24"/>
        </w:rPr>
      </w:pPr>
      <w:r w:rsidRPr="0028500E">
        <w:rPr>
          <w:rFonts w:ascii="Book Antiqua" w:eastAsia="MS Gothic" w:hAnsi="Book Antiqua"/>
          <w:b/>
          <w:color w:val="000000" w:themeColor="text1"/>
          <w:sz w:val="24"/>
          <w:szCs w:val="24"/>
        </w:rPr>
        <w:br w:type="page"/>
      </w:r>
    </w:p>
    <w:p w14:paraId="4472918C" w14:textId="77777777" w:rsidR="0050756B" w:rsidRPr="0028500E" w:rsidRDefault="00AE7703" w:rsidP="001E53AA">
      <w:pPr>
        <w:widowControl/>
        <w:snapToGrid w:val="0"/>
        <w:spacing w:line="360" w:lineRule="auto"/>
        <w:rPr>
          <w:rFonts w:ascii="Book Antiqua" w:eastAsia="SimSun" w:hAnsi="Book Antiqua"/>
          <w:b/>
          <w:color w:val="000000" w:themeColor="text1"/>
          <w:sz w:val="24"/>
          <w:szCs w:val="24"/>
          <w:lang w:eastAsia="zh-CN"/>
        </w:rPr>
      </w:pPr>
      <w:r w:rsidRPr="0028500E">
        <w:rPr>
          <w:rFonts w:ascii="Book Antiqua" w:hAnsi="Book Antiqua"/>
          <w:noProof/>
          <w:color w:val="000000" w:themeColor="text1"/>
          <w:sz w:val="24"/>
          <w:szCs w:val="24"/>
          <w:lang w:eastAsia="zh-CN"/>
        </w:rPr>
        <w:lastRenderedPageBreak/>
        <w:drawing>
          <wp:inline distT="0" distB="0" distL="0" distR="0" wp14:anchorId="6887C6E8" wp14:editId="298A975F">
            <wp:extent cx="5400040" cy="3600027"/>
            <wp:effectExtent l="0" t="0" r="0" b="6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14:paraId="2C2D3484" w14:textId="75D5DA05" w:rsidR="0050756B" w:rsidRPr="0028500E" w:rsidRDefault="0050756B" w:rsidP="001E53AA">
      <w:pPr>
        <w:snapToGrid w:val="0"/>
        <w:spacing w:line="360" w:lineRule="auto"/>
        <w:rPr>
          <w:rFonts w:ascii="Book Antiqua" w:eastAsia="SimSun" w:hAnsi="Book Antiqua"/>
          <w:color w:val="000000" w:themeColor="text1"/>
          <w:sz w:val="24"/>
          <w:szCs w:val="24"/>
          <w:lang w:eastAsia="zh-CN"/>
        </w:rPr>
      </w:pPr>
      <w:r w:rsidRPr="0028500E">
        <w:rPr>
          <w:rFonts w:ascii="Book Antiqua" w:eastAsia="MS Gothic" w:hAnsi="Book Antiqua"/>
          <w:b/>
          <w:color w:val="000000" w:themeColor="text1"/>
          <w:sz w:val="24"/>
          <w:szCs w:val="24"/>
        </w:rPr>
        <w:t>Figure 2 Flow chart of diagnosis of gastrointestinal mesenchymal tumors using immunohistochemical or genetic analysis.</w:t>
      </w:r>
      <w:r w:rsidRPr="0028500E">
        <w:rPr>
          <w:rFonts w:ascii="Book Antiqua" w:eastAsia="MS Gothic" w:hAnsi="Book Antiqua"/>
          <w:color w:val="000000" w:themeColor="text1"/>
          <w:sz w:val="24"/>
          <w:szCs w:val="24"/>
        </w:rPr>
        <w:t xml:space="preserve"> </w:t>
      </w:r>
      <w:r w:rsidRPr="0028500E">
        <w:rPr>
          <w:rFonts w:ascii="Book Antiqua" w:eastAsia="MS Gothic" w:hAnsi="Book Antiqua"/>
          <w:color w:val="000000" w:themeColor="text1"/>
          <w:sz w:val="24"/>
          <w:szCs w:val="24"/>
          <w:vertAlign w:val="superscript"/>
        </w:rPr>
        <w:t>a</w:t>
      </w:r>
      <w:r w:rsidRPr="0028500E">
        <w:rPr>
          <w:rFonts w:ascii="Book Antiqua" w:eastAsia="MS Gothic" w:hAnsi="Book Antiqua"/>
          <w:color w:val="000000" w:themeColor="text1"/>
          <w:sz w:val="24"/>
          <w:szCs w:val="24"/>
        </w:rPr>
        <w:t>Solitary fibrous tumors should be ruled out. Quoted and modified from reference</w:t>
      </w:r>
      <w:r w:rsidRPr="0028500E">
        <w:rPr>
          <w:rFonts w:ascii="Book Antiqua" w:eastAsia="MS Gothic" w:hAnsi="Book Antiqua"/>
          <w:color w:val="000000" w:themeColor="text1"/>
          <w:sz w:val="24"/>
          <w:szCs w:val="24"/>
          <w:vertAlign w:val="superscript"/>
        </w:rPr>
        <w:t>[8]</w:t>
      </w:r>
      <w:r w:rsidRPr="0028500E">
        <w:rPr>
          <w:rFonts w:ascii="Book Antiqua" w:eastAsia="MS Gothic" w:hAnsi="Book Antiqua"/>
          <w:color w:val="000000" w:themeColor="text1"/>
          <w:sz w:val="24"/>
          <w:szCs w:val="24"/>
        </w:rPr>
        <w:t xml:space="preserve">. </w:t>
      </w:r>
      <w:r w:rsidRPr="0028500E">
        <w:rPr>
          <w:rFonts w:ascii="Book Antiqua" w:eastAsia="SimSun" w:hAnsi="Book Antiqua"/>
          <w:color w:val="000000" w:themeColor="text1"/>
          <w:sz w:val="24"/>
          <w:szCs w:val="24"/>
          <w:lang w:eastAsia="zh-CN"/>
        </w:rPr>
        <w:t xml:space="preserve">GIST: </w:t>
      </w:r>
      <w:r w:rsidR="00065230" w:rsidRPr="0028500E">
        <w:rPr>
          <w:rFonts w:ascii="Book Antiqua" w:eastAsia="MS Gothic" w:hAnsi="Book Antiqua"/>
          <w:color w:val="000000" w:themeColor="text1"/>
          <w:sz w:val="24"/>
          <w:szCs w:val="24"/>
        </w:rPr>
        <w:t xml:space="preserve">Gastrointestinal </w:t>
      </w:r>
      <w:r w:rsidRPr="0028500E">
        <w:rPr>
          <w:rFonts w:ascii="Book Antiqua" w:eastAsia="MS Gothic" w:hAnsi="Book Antiqua"/>
          <w:color w:val="000000" w:themeColor="text1"/>
          <w:sz w:val="24"/>
          <w:szCs w:val="24"/>
        </w:rPr>
        <w:t>stromal tumor</w:t>
      </w:r>
      <w:r w:rsidRPr="0028500E">
        <w:rPr>
          <w:rFonts w:ascii="Book Antiqua" w:eastAsia="SimSun" w:hAnsi="Book Antiqua"/>
          <w:color w:val="000000" w:themeColor="text1"/>
          <w:sz w:val="24"/>
          <w:szCs w:val="24"/>
          <w:lang w:eastAsia="zh-CN"/>
        </w:rPr>
        <w:t>.</w:t>
      </w:r>
    </w:p>
    <w:p w14:paraId="5D4467D2" w14:textId="77777777" w:rsidR="0050756B" w:rsidRPr="0028500E" w:rsidRDefault="0050756B" w:rsidP="001E53AA">
      <w:pPr>
        <w:snapToGrid w:val="0"/>
        <w:spacing w:line="360" w:lineRule="auto"/>
        <w:rPr>
          <w:rFonts w:ascii="Book Antiqua" w:eastAsia="MS Gothic" w:hAnsi="Book Antiqua"/>
          <w:color w:val="000000" w:themeColor="text1"/>
          <w:sz w:val="24"/>
          <w:szCs w:val="24"/>
        </w:rPr>
      </w:pPr>
    </w:p>
    <w:p w14:paraId="16D0A425" w14:textId="7A468BF6" w:rsidR="00AE7703" w:rsidRPr="0028500E" w:rsidRDefault="00AE7703" w:rsidP="001E53AA">
      <w:pPr>
        <w:widowControl/>
        <w:snapToGrid w:val="0"/>
        <w:spacing w:line="360" w:lineRule="auto"/>
        <w:rPr>
          <w:rFonts w:ascii="Book Antiqua" w:eastAsia="MS Gothic" w:hAnsi="Book Antiqua"/>
          <w:b/>
          <w:color w:val="000000" w:themeColor="text1"/>
          <w:sz w:val="24"/>
          <w:szCs w:val="24"/>
        </w:rPr>
      </w:pPr>
      <w:r w:rsidRPr="0028500E">
        <w:rPr>
          <w:rFonts w:ascii="Book Antiqua" w:eastAsia="MS Gothic" w:hAnsi="Book Antiqua"/>
          <w:b/>
          <w:color w:val="000000" w:themeColor="text1"/>
          <w:sz w:val="24"/>
          <w:szCs w:val="24"/>
        </w:rPr>
        <w:br w:type="page"/>
      </w:r>
    </w:p>
    <w:p w14:paraId="6D062594" w14:textId="77777777" w:rsidR="00487535" w:rsidRPr="0028500E" w:rsidRDefault="00C96AD1" w:rsidP="001E53AA">
      <w:pPr>
        <w:widowControl/>
        <w:snapToGrid w:val="0"/>
        <w:spacing w:line="360" w:lineRule="auto"/>
        <w:rPr>
          <w:rFonts w:ascii="Book Antiqua" w:eastAsia="SimSun" w:hAnsi="Book Antiqua"/>
          <w:b/>
          <w:color w:val="000000" w:themeColor="text1"/>
          <w:sz w:val="24"/>
          <w:szCs w:val="24"/>
          <w:lang w:eastAsia="zh-CN"/>
        </w:rPr>
      </w:pPr>
      <w:r w:rsidRPr="0028500E">
        <w:rPr>
          <w:rFonts w:ascii="Book Antiqua" w:hAnsi="Book Antiqua"/>
          <w:noProof/>
          <w:color w:val="000000" w:themeColor="text1"/>
          <w:sz w:val="24"/>
          <w:szCs w:val="24"/>
          <w:lang w:eastAsia="zh-CN"/>
        </w:rPr>
        <w:lastRenderedPageBreak/>
        <w:drawing>
          <wp:inline distT="0" distB="0" distL="0" distR="0" wp14:anchorId="5C15EBF3" wp14:editId="36ABAA43">
            <wp:extent cx="4347713" cy="697445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9475" cy="6993327"/>
                    </a:xfrm>
                    <a:prstGeom prst="rect">
                      <a:avLst/>
                    </a:prstGeom>
                    <a:noFill/>
                    <a:ln>
                      <a:noFill/>
                    </a:ln>
                  </pic:spPr>
                </pic:pic>
              </a:graphicData>
            </a:graphic>
          </wp:inline>
        </w:drawing>
      </w:r>
    </w:p>
    <w:p w14:paraId="28DCE682" w14:textId="354F52BE" w:rsidR="00487535" w:rsidRPr="0028500E" w:rsidRDefault="00487535" w:rsidP="001E53AA">
      <w:pPr>
        <w:snapToGrid w:val="0"/>
        <w:spacing w:line="360" w:lineRule="auto"/>
        <w:rPr>
          <w:rFonts w:ascii="Book Antiqua" w:eastAsia="MS Gothic" w:hAnsi="Book Antiqua"/>
          <w:color w:val="000000" w:themeColor="text1"/>
          <w:sz w:val="24"/>
          <w:szCs w:val="24"/>
        </w:rPr>
      </w:pPr>
      <w:r w:rsidRPr="0028500E">
        <w:rPr>
          <w:rFonts w:ascii="Book Antiqua" w:eastAsia="MS Gothic" w:hAnsi="Book Antiqua"/>
          <w:b/>
          <w:color w:val="000000" w:themeColor="text1"/>
          <w:sz w:val="24"/>
          <w:szCs w:val="24"/>
        </w:rPr>
        <w:t xml:space="preserve">Figure 3 Endoscopic images of subepithelial lesions that can be diagnosed only with </w:t>
      </w:r>
      <w:r w:rsidR="005A5D85" w:rsidRPr="0028500E">
        <w:rPr>
          <w:rFonts w:ascii="Book Antiqua" w:eastAsia="MS Gothic" w:hAnsi="Book Antiqua"/>
          <w:b/>
          <w:color w:val="000000" w:themeColor="text1"/>
          <w:sz w:val="24"/>
          <w:szCs w:val="24"/>
        </w:rPr>
        <w:t>endoscopic ultrasound</w:t>
      </w:r>
      <w:r w:rsidRPr="0028500E">
        <w:rPr>
          <w:rFonts w:ascii="Book Antiqua" w:eastAsia="MS Gothic" w:hAnsi="Book Antiqua"/>
          <w:b/>
          <w:color w:val="000000" w:themeColor="text1"/>
          <w:sz w:val="24"/>
          <w:szCs w:val="24"/>
        </w:rPr>
        <w:t xml:space="preserve"> findings and their specific endoscopic ultrasonography images.</w:t>
      </w:r>
      <w:r w:rsidRPr="0028500E">
        <w:rPr>
          <w:rFonts w:ascii="Book Antiqua" w:eastAsia="MS Gothic" w:hAnsi="Book Antiqua"/>
          <w:color w:val="000000" w:themeColor="text1"/>
          <w:sz w:val="24"/>
          <w:szCs w:val="24"/>
        </w:rPr>
        <w:t xml:space="preserve"> A: Endoscopic image of a gastric lipoma (arrow); B: </w:t>
      </w:r>
      <w:r w:rsidR="005A5D85" w:rsidRPr="0028500E">
        <w:rPr>
          <w:rFonts w:ascii="Book Antiqua" w:eastAsia="MS Gothic" w:hAnsi="Book Antiqua"/>
          <w:color w:val="000000" w:themeColor="text1"/>
          <w:sz w:val="24"/>
          <w:szCs w:val="24"/>
        </w:rPr>
        <w:t xml:space="preserve">Endoscopic ultrasound </w:t>
      </w:r>
      <w:r w:rsidR="005A5D85" w:rsidRPr="0028500E">
        <w:rPr>
          <w:rFonts w:ascii="Book Antiqua" w:eastAsia="SimSun" w:hAnsi="Book Antiqua"/>
          <w:color w:val="000000" w:themeColor="text1"/>
          <w:sz w:val="24"/>
          <w:szCs w:val="24"/>
          <w:lang w:eastAsia="zh-CN"/>
        </w:rPr>
        <w:t>(</w:t>
      </w:r>
      <w:r w:rsidRPr="0028500E">
        <w:rPr>
          <w:rFonts w:ascii="Book Antiqua" w:eastAsia="MS Gothic" w:hAnsi="Book Antiqua"/>
          <w:color w:val="000000" w:themeColor="text1"/>
          <w:sz w:val="24"/>
          <w:szCs w:val="24"/>
        </w:rPr>
        <w:t>EUS</w:t>
      </w:r>
      <w:r w:rsidR="005A5D85" w:rsidRPr="0028500E">
        <w:rPr>
          <w:rFonts w:ascii="Book Antiqua" w:eastAsia="SimSun" w:hAnsi="Book Antiqua"/>
          <w:color w:val="000000" w:themeColor="text1"/>
          <w:sz w:val="24"/>
          <w:szCs w:val="24"/>
          <w:lang w:eastAsia="zh-CN"/>
        </w:rPr>
        <w:t>)</w:t>
      </w:r>
      <w:r w:rsidRPr="0028500E">
        <w:rPr>
          <w:rFonts w:ascii="Book Antiqua" w:eastAsia="MS Gothic" w:hAnsi="Book Antiqua"/>
          <w:color w:val="000000" w:themeColor="text1"/>
          <w:sz w:val="24"/>
          <w:szCs w:val="24"/>
        </w:rPr>
        <w:t xml:space="preserve"> image of a lipoma (high-echo mass); C: Endoscopic image of a gastric cyst; D: EUS image of C (anechoic mass); E: </w:t>
      </w:r>
      <w:r w:rsidRPr="0028500E">
        <w:rPr>
          <w:rFonts w:ascii="Book Antiqua" w:eastAsia="MS Gothic" w:hAnsi="Book Antiqua"/>
          <w:color w:val="000000" w:themeColor="text1"/>
          <w:sz w:val="24"/>
          <w:szCs w:val="24"/>
        </w:rPr>
        <w:lastRenderedPageBreak/>
        <w:t>Endoscopic image of extra-gastric compression due to splenic arte</w:t>
      </w:r>
      <w:r w:rsidR="00E94390" w:rsidRPr="0028500E">
        <w:rPr>
          <w:rFonts w:ascii="Book Antiqua" w:eastAsia="MS Gothic" w:hAnsi="Book Antiqua"/>
          <w:color w:val="000000" w:themeColor="text1"/>
          <w:sz w:val="24"/>
          <w:szCs w:val="24"/>
        </w:rPr>
        <w:t xml:space="preserve">ry aneurysm; F: EUS image of E </w:t>
      </w:r>
      <w:r w:rsidR="00E94390" w:rsidRPr="0028500E">
        <w:rPr>
          <w:rFonts w:ascii="Book Antiqua" w:eastAsia="SimSun" w:hAnsi="Book Antiqua"/>
          <w:color w:val="000000" w:themeColor="text1"/>
          <w:sz w:val="24"/>
          <w:szCs w:val="24"/>
          <w:lang w:eastAsia="zh-CN"/>
        </w:rPr>
        <w:t>[</w:t>
      </w:r>
      <w:r w:rsidRPr="0028500E">
        <w:rPr>
          <w:rFonts w:ascii="Book Antiqua" w:eastAsia="MS Gothic" w:hAnsi="Book Antiqua"/>
          <w:color w:val="000000" w:themeColor="text1"/>
          <w:sz w:val="24"/>
          <w:szCs w:val="24"/>
        </w:rPr>
        <w:t xml:space="preserve">normal gastric wall is compressed by a </w:t>
      </w:r>
      <w:r w:rsidR="00E94390" w:rsidRPr="0028500E">
        <w:rPr>
          <w:rFonts w:ascii="Book Antiqua" w:eastAsia="MS Gothic" w:hAnsi="Book Antiqua"/>
          <w:color w:val="000000" w:themeColor="text1"/>
          <w:sz w:val="24"/>
          <w:szCs w:val="24"/>
        </w:rPr>
        <w:t>splenic artery aneurysm (arrow)</w:t>
      </w:r>
      <w:r w:rsidR="00E94390" w:rsidRPr="0028500E">
        <w:rPr>
          <w:rFonts w:ascii="Book Antiqua" w:eastAsia="SimSun" w:hAnsi="Book Antiqua"/>
          <w:color w:val="000000" w:themeColor="text1"/>
          <w:sz w:val="24"/>
          <w:szCs w:val="24"/>
          <w:lang w:eastAsia="zh-CN"/>
        </w:rPr>
        <w:t>]</w:t>
      </w:r>
      <w:r w:rsidRPr="0028500E">
        <w:rPr>
          <w:rFonts w:ascii="Book Antiqua" w:eastAsia="MS Gothic" w:hAnsi="Book Antiqua"/>
          <w:color w:val="000000" w:themeColor="text1"/>
          <w:sz w:val="24"/>
          <w:szCs w:val="24"/>
        </w:rPr>
        <w:t>; G: Endoscopic image of gastric varices (arrow); H: EU</w:t>
      </w:r>
      <w:r w:rsidR="00E94390" w:rsidRPr="0028500E">
        <w:rPr>
          <w:rFonts w:ascii="Book Antiqua" w:eastAsia="MS Gothic" w:hAnsi="Book Antiqua"/>
          <w:color w:val="000000" w:themeColor="text1"/>
          <w:sz w:val="24"/>
          <w:szCs w:val="24"/>
        </w:rPr>
        <w:t xml:space="preserve">S image of G </w:t>
      </w:r>
      <w:r w:rsidR="00E94390" w:rsidRPr="0028500E">
        <w:rPr>
          <w:rFonts w:ascii="Book Antiqua" w:eastAsia="SimSun" w:hAnsi="Book Antiqua"/>
          <w:color w:val="000000" w:themeColor="text1"/>
          <w:sz w:val="24"/>
          <w:szCs w:val="24"/>
          <w:lang w:eastAsia="zh-CN"/>
        </w:rPr>
        <w:t>[</w:t>
      </w:r>
      <w:r w:rsidRPr="0028500E">
        <w:rPr>
          <w:rFonts w:ascii="Book Antiqua" w:eastAsia="MS Gothic" w:hAnsi="Book Antiqua"/>
          <w:color w:val="000000" w:themeColor="text1"/>
          <w:sz w:val="24"/>
          <w:szCs w:val="24"/>
        </w:rPr>
        <w:t xml:space="preserve">varices are present in the submucosa from the </w:t>
      </w:r>
      <w:r w:rsidR="00E94390" w:rsidRPr="0028500E">
        <w:rPr>
          <w:rFonts w:ascii="Book Antiqua" w:eastAsia="MS Gothic" w:hAnsi="Book Antiqua"/>
          <w:color w:val="000000" w:themeColor="text1"/>
          <w:sz w:val="24"/>
          <w:szCs w:val="24"/>
        </w:rPr>
        <w:t>outside of the wall (V) (arrow)</w:t>
      </w:r>
      <w:r w:rsidR="00E94390" w:rsidRPr="0028500E">
        <w:rPr>
          <w:rFonts w:ascii="Book Antiqua" w:eastAsia="SimSun" w:hAnsi="Book Antiqua"/>
          <w:color w:val="000000" w:themeColor="text1"/>
          <w:sz w:val="24"/>
          <w:szCs w:val="24"/>
          <w:lang w:eastAsia="zh-CN"/>
        </w:rPr>
        <w:t>]</w:t>
      </w:r>
      <w:r w:rsidRPr="0028500E">
        <w:rPr>
          <w:rFonts w:ascii="Book Antiqua" w:eastAsia="MS Gothic" w:hAnsi="Book Antiqua"/>
          <w:color w:val="000000" w:themeColor="text1"/>
          <w:sz w:val="24"/>
          <w:szCs w:val="24"/>
        </w:rPr>
        <w:t xml:space="preserve">. Quoted and modified from </w:t>
      </w:r>
      <w:r w:rsidR="009F731E" w:rsidRPr="0028500E">
        <w:rPr>
          <w:rFonts w:ascii="Book Antiqua" w:eastAsia="MS Gothic" w:hAnsi="Book Antiqua"/>
          <w:color w:val="000000" w:themeColor="text1"/>
          <w:sz w:val="24"/>
          <w:szCs w:val="24"/>
        </w:rPr>
        <w:t>reference</w:t>
      </w:r>
      <w:r w:rsidRPr="0028500E">
        <w:rPr>
          <w:rFonts w:ascii="Book Antiqua" w:eastAsia="MS Gothic" w:hAnsi="Book Antiqua"/>
          <w:color w:val="000000" w:themeColor="text1"/>
          <w:sz w:val="24"/>
          <w:szCs w:val="24"/>
          <w:vertAlign w:val="superscript"/>
        </w:rPr>
        <w:t>[38]</w:t>
      </w:r>
      <w:r w:rsidRPr="0028500E">
        <w:rPr>
          <w:rFonts w:ascii="Book Antiqua" w:eastAsia="MS Gothic" w:hAnsi="Book Antiqua"/>
          <w:color w:val="000000" w:themeColor="text1"/>
          <w:sz w:val="24"/>
          <w:szCs w:val="24"/>
        </w:rPr>
        <w:t xml:space="preserve"> with permission.</w:t>
      </w:r>
    </w:p>
    <w:p w14:paraId="3D83E35E" w14:textId="77777777" w:rsidR="00487535" w:rsidRPr="0028500E" w:rsidRDefault="00487535" w:rsidP="001E53AA">
      <w:pPr>
        <w:snapToGrid w:val="0"/>
        <w:spacing w:line="360" w:lineRule="auto"/>
        <w:rPr>
          <w:rFonts w:ascii="Book Antiqua" w:eastAsia="MS Gothic" w:hAnsi="Book Antiqua"/>
          <w:color w:val="000000" w:themeColor="text1"/>
          <w:sz w:val="24"/>
          <w:szCs w:val="24"/>
        </w:rPr>
      </w:pPr>
    </w:p>
    <w:p w14:paraId="74429A8A" w14:textId="1FDC9202" w:rsidR="00AE7703" w:rsidRPr="0028500E" w:rsidRDefault="00AE7703" w:rsidP="001E53AA">
      <w:pPr>
        <w:widowControl/>
        <w:snapToGrid w:val="0"/>
        <w:spacing w:line="360" w:lineRule="auto"/>
        <w:rPr>
          <w:rFonts w:ascii="Book Antiqua" w:eastAsia="MS Gothic" w:hAnsi="Book Antiqua"/>
          <w:b/>
          <w:color w:val="000000" w:themeColor="text1"/>
          <w:sz w:val="24"/>
          <w:szCs w:val="24"/>
        </w:rPr>
      </w:pPr>
      <w:r w:rsidRPr="0028500E">
        <w:rPr>
          <w:rFonts w:ascii="Book Antiqua" w:eastAsia="MS Gothic" w:hAnsi="Book Antiqua"/>
          <w:b/>
          <w:color w:val="000000" w:themeColor="text1"/>
          <w:sz w:val="24"/>
          <w:szCs w:val="24"/>
        </w:rPr>
        <w:br w:type="page"/>
      </w:r>
    </w:p>
    <w:p w14:paraId="007510ED" w14:textId="77777777" w:rsidR="009F731E" w:rsidRPr="0028500E" w:rsidRDefault="00C96AD1" w:rsidP="001E53AA">
      <w:pPr>
        <w:widowControl/>
        <w:snapToGrid w:val="0"/>
        <w:spacing w:line="360" w:lineRule="auto"/>
        <w:rPr>
          <w:rFonts w:ascii="Book Antiqua" w:eastAsia="SimSun" w:hAnsi="Book Antiqua"/>
          <w:b/>
          <w:color w:val="000000" w:themeColor="text1"/>
          <w:sz w:val="24"/>
          <w:szCs w:val="24"/>
          <w:lang w:eastAsia="zh-CN"/>
        </w:rPr>
      </w:pPr>
      <w:r w:rsidRPr="0028500E">
        <w:rPr>
          <w:rFonts w:ascii="Book Antiqua" w:eastAsia="MS Gothic" w:hAnsi="Book Antiqua"/>
          <w:b/>
          <w:noProof/>
          <w:color w:val="000000" w:themeColor="text1"/>
          <w:sz w:val="24"/>
          <w:szCs w:val="24"/>
          <w:lang w:eastAsia="zh-CN"/>
        </w:rPr>
        <w:lastRenderedPageBreak/>
        <w:drawing>
          <wp:inline distT="0" distB="0" distL="0" distR="0" wp14:anchorId="1FFDBCD3" wp14:editId="72BB17D1">
            <wp:extent cx="5391150" cy="3596005"/>
            <wp:effectExtent l="0" t="0" r="0" b="44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3596005"/>
                    </a:xfrm>
                    <a:prstGeom prst="rect">
                      <a:avLst/>
                    </a:prstGeom>
                    <a:noFill/>
                    <a:ln>
                      <a:noFill/>
                    </a:ln>
                  </pic:spPr>
                </pic:pic>
              </a:graphicData>
            </a:graphic>
          </wp:inline>
        </w:drawing>
      </w:r>
    </w:p>
    <w:p w14:paraId="3698AE52" w14:textId="0F71FEED" w:rsidR="009F731E" w:rsidRPr="00760839" w:rsidRDefault="009F731E" w:rsidP="001E53AA">
      <w:pPr>
        <w:snapToGrid w:val="0"/>
        <w:spacing w:line="360" w:lineRule="auto"/>
        <w:rPr>
          <w:rFonts w:ascii="Book Antiqua" w:eastAsia="SimSun" w:hAnsi="Book Antiqua"/>
          <w:color w:val="000000" w:themeColor="text1"/>
          <w:sz w:val="24"/>
          <w:szCs w:val="24"/>
          <w:lang w:eastAsia="zh-CN"/>
        </w:rPr>
      </w:pPr>
      <w:r w:rsidRPr="0028500E">
        <w:rPr>
          <w:rFonts w:ascii="Book Antiqua" w:eastAsia="MS Gothic" w:hAnsi="Book Antiqua"/>
          <w:b/>
          <w:color w:val="000000" w:themeColor="text1"/>
          <w:sz w:val="24"/>
          <w:szCs w:val="24"/>
        </w:rPr>
        <w:t xml:space="preserve">Figure 4 Differential diagnosis of subepithelial lesions by </w:t>
      </w:r>
      <w:r w:rsidR="005A5D85" w:rsidRPr="0028500E">
        <w:rPr>
          <w:rFonts w:ascii="Book Antiqua" w:eastAsia="MS Gothic" w:hAnsi="Book Antiqua"/>
          <w:b/>
          <w:color w:val="000000" w:themeColor="text1"/>
          <w:sz w:val="24"/>
          <w:szCs w:val="24"/>
        </w:rPr>
        <w:t>endoscopic ultrasound</w:t>
      </w:r>
      <w:r w:rsidRPr="0028500E">
        <w:rPr>
          <w:rFonts w:ascii="Book Antiqua" w:eastAsia="MS Gothic" w:hAnsi="Book Antiqua"/>
          <w:b/>
          <w:color w:val="000000" w:themeColor="text1"/>
          <w:sz w:val="24"/>
          <w:szCs w:val="24"/>
        </w:rPr>
        <w:t xml:space="preserve">. </w:t>
      </w:r>
      <w:r w:rsidRPr="0028500E">
        <w:rPr>
          <w:rFonts w:ascii="Book Antiqua" w:eastAsia="MS Gothic" w:hAnsi="Book Antiqua"/>
          <w:color w:val="000000" w:themeColor="text1"/>
          <w:sz w:val="24"/>
          <w:szCs w:val="24"/>
        </w:rPr>
        <w:t>Quoted and modified from reference</w:t>
      </w:r>
      <w:r w:rsidRPr="0028500E">
        <w:rPr>
          <w:rFonts w:ascii="Book Antiqua" w:eastAsia="MS Gothic" w:hAnsi="Book Antiqua"/>
          <w:color w:val="000000" w:themeColor="text1"/>
          <w:sz w:val="24"/>
          <w:szCs w:val="24"/>
          <w:vertAlign w:val="superscript"/>
        </w:rPr>
        <w:t>[39]</w:t>
      </w:r>
      <w:r w:rsidRPr="0028500E">
        <w:rPr>
          <w:rFonts w:ascii="Book Antiqua" w:eastAsia="MS Gothic" w:hAnsi="Book Antiqua"/>
          <w:color w:val="000000" w:themeColor="text1"/>
          <w:sz w:val="24"/>
          <w:szCs w:val="24"/>
        </w:rPr>
        <w:t xml:space="preserve"> with permission.</w:t>
      </w:r>
      <w:r w:rsidR="0028138B" w:rsidRPr="0028500E">
        <w:rPr>
          <w:rFonts w:ascii="Book Antiqua" w:eastAsia="SimSun" w:hAnsi="Book Antiqua"/>
          <w:color w:val="000000" w:themeColor="text1"/>
          <w:sz w:val="24"/>
          <w:szCs w:val="24"/>
          <w:lang w:eastAsia="zh-CN"/>
        </w:rPr>
        <w:t xml:space="preserve"> GIST: </w:t>
      </w:r>
      <w:r w:rsidR="00065230" w:rsidRPr="0028500E">
        <w:rPr>
          <w:rFonts w:ascii="Book Antiqua" w:eastAsia="MS Gothic" w:hAnsi="Book Antiqua"/>
          <w:color w:val="000000" w:themeColor="text1"/>
          <w:sz w:val="24"/>
          <w:szCs w:val="24"/>
        </w:rPr>
        <w:t xml:space="preserve">Gastrointestinal </w:t>
      </w:r>
      <w:r w:rsidR="0028138B" w:rsidRPr="0028500E">
        <w:rPr>
          <w:rFonts w:ascii="Book Antiqua" w:eastAsia="MS Gothic" w:hAnsi="Book Antiqua"/>
          <w:color w:val="000000" w:themeColor="text1"/>
          <w:sz w:val="24"/>
          <w:szCs w:val="24"/>
        </w:rPr>
        <w:t>stromal tumor</w:t>
      </w:r>
      <w:r w:rsidR="0028138B" w:rsidRPr="0028500E">
        <w:rPr>
          <w:rFonts w:ascii="Book Antiqua" w:eastAsia="SimSun" w:hAnsi="Book Antiqua"/>
          <w:color w:val="000000" w:themeColor="text1"/>
          <w:sz w:val="24"/>
          <w:szCs w:val="24"/>
          <w:lang w:eastAsia="zh-CN"/>
        </w:rPr>
        <w:t>.</w:t>
      </w:r>
    </w:p>
    <w:p w14:paraId="3CEA0DE1" w14:textId="2616F90A" w:rsidR="00AE7703" w:rsidRPr="0028500E" w:rsidRDefault="00AE7703" w:rsidP="001E53AA">
      <w:pPr>
        <w:widowControl/>
        <w:snapToGrid w:val="0"/>
        <w:spacing w:line="360" w:lineRule="auto"/>
        <w:rPr>
          <w:rFonts w:ascii="Book Antiqua" w:eastAsia="MS Gothic" w:hAnsi="Book Antiqua"/>
          <w:b/>
          <w:noProof/>
          <w:color w:val="000000" w:themeColor="text1"/>
          <w:sz w:val="24"/>
          <w:szCs w:val="24"/>
        </w:rPr>
      </w:pPr>
      <w:r w:rsidRPr="0028500E">
        <w:rPr>
          <w:rFonts w:ascii="Book Antiqua" w:eastAsia="MS Gothic" w:hAnsi="Book Antiqua"/>
          <w:b/>
          <w:color w:val="000000" w:themeColor="text1"/>
          <w:sz w:val="24"/>
          <w:szCs w:val="24"/>
        </w:rPr>
        <w:br w:type="page"/>
      </w:r>
    </w:p>
    <w:p w14:paraId="48C63C32" w14:textId="77777777" w:rsidR="0028138B" w:rsidRPr="0028500E" w:rsidRDefault="00C96AD1" w:rsidP="001E53AA">
      <w:pPr>
        <w:widowControl/>
        <w:snapToGrid w:val="0"/>
        <w:spacing w:line="360" w:lineRule="auto"/>
        <w:rPr>
          <w:rFonts w:ascii="Book Antiqua" w:eastAsia="SimSun" w:hAnsi="Book Antiqua"/>
          <w:b/>
          <w:color w:val="000000" w:themeColor="text1"/>
          <w:sz w:val="24"/>
          <w:szCs w:val="24"/>
          <w:lang w:eastAsia="zh-CN"/>
        </w:rPr>
      </w:pPr>
      <w:r w:rsidRPr="0028500E">
        <w:rPr>
          <w:rFonts w:ascii="Book Antiqua" w:eastAsia="MS Gothic" w:hAnsi="Book Antiqua"/>
          <w:b/>
          <w:noProof/>
          <w:color w:val="000000" w:themeColor="text1"/>
          <w:sz w:val="24"/>
          <w:szCs w:val="24"/>
          <w:lang w:eastAsia="zh-CN"/>
        </w:rPr>
        <w:lastRenderedPageBreak/>
        <w:drawing>
          <wp:inline distT="0" distB="0" distL="0" distR="0" wp14:anchorId="108D5472" wp14:editId="03339151">
            <wp:extent cx="4054415" cy="6495281"/>
            <wp:effectExtent l="0" t="0" r="3810" b="127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4849" cy="6511997"/>
                    </a:xfrm>
                    <a:prstGeom prst="rect">
                      <a:avLst/>
                    </a:prstGeom>
                    <a:noFill/>
                    <a:ln>
                      <a:noFill/>
                    </a:ln>
                  </pic:spPr>
                </pic:pic>
              </a:graphicData>
            </a:graphic>
          </wp:inline>
        </w:drawing>
      </w:r>
    </w:p>
    <w:p w14:paraId="70EF685E" w14:textId="353F6482" w:rsidR="0028138B" w:rsidRPr="0028500E" w:rsidRDefault="0028138B" w:rsidP="001E53AA">
      <w:pPr>
        <w:snapToGrid w:val="0"/>
        <w:spacing w:line="360" w:lineRule="auto"/>
        <w:rPr>
          <w:rFonts w:ascii="Book Antiqua" w:eastAsia="MS Gothic" w:hAnsi="Book Antiqua"/>
          <w:color w:val="000000" w:themeColor="text1"/>
          <w:sz w:val="24"/>
          <w:szCs w:val="24"/>
        </w:rPr>
      </w:pPr>
      <w:r w:rsidRPr="0028500E">
        <w:rPr>
          <w:rFonts w:ascii="Book Antiqua" w:eastAsia="MS Gothic" w:hAnsi="Book Antiqua"/>
          <w:b/>
          <w:color w:val="000000" w:themeColor="text1"/>
          <w:sz w:val="24"/>
          <w:szCs w:val="24"/>
        </w:rPr>
        <w:t>Figure 5</w:t>
      </w:r>
      <w:r w:rsidRPr="0028500E">
        <w:rPr>
          <w:rFonts w:ascii="Book Antiqua" w:eastAsia="MS Gothic" w:hAnsi="Book Antiqua"/>
          <w:color w:val="000000" w:themeColor="text1"/>
          <w:sz w:val="24"/>
          <w:szCs w:val="24"/>
        </w:rPr>
        <w:t xml:space="preserve"> </w:t>
      </w:r>
      <w:r w:rsidR="005A5D85" w:rsidRPr="0028500E">
        <w:rPr>
          <w:rFonts w:ascii="Book Antiqua" w:eastAsia="MS Gothic" w:hAnsi="Book Antiqua"/>
          <w:b/>
          <w:color w:val="000000" w:themeColor="text1"/>
          <w:sz w:val="24"/>
          <w:szCs w:val="24"/>
        </w:rPr>
        <w:t>Endoscopic ultrasound</w:t>
      </w:r>
      <w:r w:rsidRPr="0028500E">
        <w:rPr>
          <w:rFonts w:ascii="Book Antiqua" w:eastAsia="MS Gothic" w:hAnsi="Book Antiqua"/>
          <w:b/>
          <w:color w:val="000000" w:themeColor="text1"/>
          <w:sz w:val="24"/>
          <w:szCs w:val="24"/>
        </w:rPr>
        <w:t xml:space="preserve"> images and corresponding </w:t>
      </w:r>
      <w:r w:rsidR="004942E8" w:rsidRPr="0028500E">
        <w:rPr>
          <w:rFonts w:ascii="Book Antiqua" w:eastAsia="MS Gothic" w:hAnsi="Book Antiqua"/>
          <w:b/>
          <w:color w:val="000000" w:themeColor="text1"/>
          <w:sz w:val="24"/>
          <w:szCs w:val="24"/>
        </w:rPr>
        <w:t xml:space="preserve">endoscopic ultrasonography-guided fine needle aspiration </w:t>
      </w:r>
      <w:r w:rsidRPr="0028500E">
        <w:rPr>
          <w:rFonts w:ascii="Book Antiqua" w:eastAsia="MS Gothic" w:hAnsi="Book Antiqua"/>
          <w:b/>
          <w:color w:val="000000" w:themeColor="text1"/>
          <w:sz w:val="24"/>
          <w:szCs w:val="24"/>
        </w:rPr>
        <w:t>specimens of hypoechoic solid tumors.</w:t>
      </w:r>
      <w:r w:rsidRPr="0028500E">
        <w:rPr>
          <w:rFonts w:ascii="Book Antiqua" w:eastAsia="MS Gothic" w:hAnsi="Book Antiqua"/>
          <w:color w:val="000000" w:themeColor="text1"/>
          <w:sz w:val="24"/>
          <w:szCs w:val="24"/>
        </w:rPr>
        <w:t xml:space="preserve"> A: </w:t>
      </w:r>
      <w:r w:rsidR="005A5D85" w:rsidRPr="0028500E">
        <w:rPr>
          <w:rFonts w:ascii="Book Antiqua" w:eastAsia="MS Gothic" w:hAnsi="Book Antiqua"/>
          <w:color w:val="000000" w:themeColor="text1"/>
          <w:sz w:val="24"/>
          <w:szCs w:val="24"/>
        </w:rPr>
        <w:t>Endoscopic ultrasound</w:t>
      </w:r>
      <w:r w:rsidR="00065230" w:rsidRPr="0028500E">
        <w:rPr>
          <w:rFonts w:ascii="Book Antiqua" w:eastAsia="MS Gothic" w:hAnsi="Book Antiqua"/>
          <w:color w:val="000000" w:themeColor="text1"/>
          <w:sz w:val="24"/>
          <w:szCs w:val="24"/>
        </w:rPr>
        <w:t xml:space="preserve"> </w:t>
      </w:r>
      <w:r w:rsidR="00065230" w:rsidRPr="0028500E">
        <w:rPr>
          <w:rFonts w:ascii="Book Antiqua" w:eastAsia="SimSun" w:hAnsi="Book Antiqua"/>
          <w:color w:val="000000" w:themeColor="text1"/>
          <w:sz w:val="24"/>
          <w:szCs w:val="24"/>
          <w:lang w:eastAsia="zh-CN"/>
        </w:rPr>
        <w:t xml:space="preserve">(EUS) </w:t>
      </w:r>
      <w:r w:rsidRPr="0028500E">
        <w:rPr>
          <w:rFonts w:ascii="Book Antiqua" w:eastAsia="MS Gothic" w:hAnsi="Book Antiqua"/>
          <w:color w:val="000000" w:themeColor="text1"/>
          <w:sz w:val="24"/>
          <w:szCs w:val="24"/>
        </w:rPr>
        <w:t xml:space="preserve">image of a gastric </w:t>
      </w:r>
      <w:r w:rsidR="00A95503" w:rsidRPr="0028500E">
        <w:rPr>
          <w:rFonts w:ascii="Book Antiqua" w:eastAsia="MS Gothic" w:hAnsi="Book Antiqua"/>
          <w:color w:val="000000" w:themeColor="text1"/>
          <w:sz w:val="24"/>
          <w:szCs w:val="24"/>
        </w:rPr>
        <w:t>gastrointestinal stromal tumor</w:t>
      </w:r>
      <w:r w:rsidRPr="0028500E">
        <w:rPr>
          <w:rFonts w:ascii="Book Antiqua" w:eastAsia="MS Gothic" w:hAnsi="Book Antiqua"/>
          <w:color w:val="000000" w:themeColor="text1"/>
          <w:sz w:val="24"/>
          <w:szCs w:val="24"/>
        </w:rPr>
        <w:t>; B: EUS-</w:t>
      </w:r>
      <w:r w:rsidR="00A95503" w:rsidRPr="0028500E">
        <w:rPr>
          <w:rFonts w:ascii="Book Antiqua" w:eastAsia="MS Gothic" w:hAnsi="Book Antiqua"/>
          <w:color w:val="000000" w:themeColor="text1"/>
          <w:sz w:val="24"/>
          <w:szCs w:val="24"/>
        </w:rPr>
        <w:t xml:space="preserve">guided fine needle aspiration </w:t>
      </w:r>
      <w:r w:rsidR="00A95503" w:rsidRPr="0028500E">
        <w:rPr>
          <w:rFonts w:ascii="Book Antiqua" w:eastAsia="SimSun" w:hAnsi="Book Antiqua"/>
          <w:color w:val="000000" w:themeColor="text1"/>
          <w:sz w:val="24"/>
          <w:szCs w:val="24"/>
          <w:lang w:eastAsia="zh-CN"/>
        </w:rPr>
        <w:t>(</w:t>
      </w:r>
      <w:r w:rsidR="00A95503" w:rsidRPr="0028500E">
        <w:rPr>
          <w:rFonts w:ascii="Book Antiqua" w:eastAsia="MS Gothic" w:hAnsi="Book Antiqua"/>
          <w:color w:val="000000" w:themeColor="text1"/>
          <w:sz w:val="24"/>
          <w:szCs w:val="24"/>
        </w:rPr>
        <w:t>EUS-</w:t>
      </w:r>
      <w:r w:rsidRPr="0028500E">
        <w:rPr>
          <w:rFonts w:ascii="Book Antiqua" w:eastAsia="MS Gothic" w:hAnsi="Book Antiqua"/>
          <w:color w:val="000000" w:themeColor="text1"/>
          <w:sz w:val="24"/>
          <w:szCs w:val="24"/>
        </w:rPr>
        <w:t>FNA</w:t>
      </w:r>
      <w:r w:rsidR="00A95503" w:rsidRPr="0028500E">
        <w:rPr>
          <w:rFonts w:ascii="Book Antiqua" w:eastAsia="SimSun" w:hAnsi="Book Antiqua"/>
          <w:color w:val="000000" w:themeColor="text1"/>
          <w:sz w:val="24"/>
          <w:szCs w:val="24"/>
          <w:lang w:eastAsia="zh-CN"/>
        </w:rPr>
        <w:t>)</w:t>
      </w:r>
      <w:r w:rsidRPr="0028500E">
        <w:rPr>
          <w:rFonts w:ascii="Book Antiqua" w:eastAsia="MS Gothic" w:hAnsi="Book Antiqua"/>
          <w:color w:val="000000" w:themeColor="text1"/>
          <w:sz w:val="24"/>
          <w:szCs w:val="24"/>
        </w:rPr>
        <w:t xml:space="preserve"> specimen tissue image of A (KIT-positive spindle-shaped tumor cells are observed); C: EUS image of gastric leiomyoma; D: EUS-FNA specimen tissue image of </w:t>
      </w:r>
      <w:r w:rsidR="00312036" w:rsidRPr="0028500E">
        <w:rPr>
          <w:rFonts w:ascii="Book Antiqua" w:eastAsia="MS Gothic" w:hAnsi="Book Antiqua"/>
          <w:color w:val="000000" w:themeColor="text1"/>
          <w:sz w:val="24"/>
          <w:szCs w:val="24"/>
        </w:rPr>
        <w:t xml:space="preserve">C </w:t>
      </w:r>
      <w:r w:rsidR="00312036" w:rsidRPr="0028500E">
        <w:rPr>
          <w:rFonts w:ascii="Book Antiqua" w:eastAsia="SimSun" w:hAnsi="Book Antiqua"/>
          <w:color w:val="000000" w:themeColor="text1"/>
          <w:sz w:val="24"/>
          <w:szCs w:val="24"/>
          <w:lang w:eastAsia="zh-CN"/>
        </w:rPr>
        <w:t>[</w:t>
      </w:r>
      <w:r w:rsidRPr="0028500E">
        <w:rPr>
          <w:rFonts w:ascii="Book Antiqua" w:eastAsia="MS Gothic" w:hAnsi="Book Antiqua"/>
          <w:color w:val="000000" w:themeColor="text1"/>
          <w:sz w:val="24"/>
          <w:szCs w:val="24"/>
        </w:rPr>
        <w:t xml:space="preserve">α-SMA-positive spindle-shaped tumor cells are observed; diagnosis </w:t>
      </w:r>
      <w:r w:rsidRPr="0028500E">
        <w:rPr>
          <w:rFonts w:ascii="Book Antiqua" w:eastAsia="MS Gothic" w:hAnsi="Book Antiqua"/>
          <w:color w:val="000000" w:themeColor="text1"/>
          <w:sz w:val="24"/>
          <w:szCs w:val="24"/>
        </w:rPr>
        <w:lastRenderedPageBreak/>
        <w:t>of leiomyoma was made by immunohistochemical analysis, which revealed α-SMA (+), KIT</w:t>
      </w:r>
      <w:r w:rsidR="00312036" w:rsidRPr="0028500E">
        <w:rPr>
          <w:rFonts w:ascii="Book Antiqua" w:eastAsia="MS Gothic" w:hAnsi="Book Antiqua"/>
          <w:color w:val="000000" w:themeColor="text1"/>
          <w:sz w:val="24"/>
          <w:szCs w:val="24"/>
        </w:rPr>
        <w:t xml:space="preserve"> (-), CD34 (-), and S-100 (-)</w:t>
      </w:r>
      <w:r w:rsidR="00312036" w:rsidRPr="0028500E">
        <w:rPr>
          <w:rFonts w:ascii="Book Antiqua" w:eastAsia="SimSun" w:hAnsi="Book Antiqua"/>
          <w:color w:val="000000" w:themeColor="text1"/>
          <w:sz w:val="24"/>
          <w:szCs w:val="24"/>
          <w:lang w:eastAsia="zh-CN"/>
        </w:rPr>
        <w:t>]</w:t>
      </w:r>
      <w:r w:rsidRPr="0028500E">
        <w:rPr>
          <w:rFonts w:ascii="Book Antiqua" w:eastAsia="MS Gothic" w:hAnsi="Book Antiqua"/>
          <w:color w:val="000000" w:themeColor="text1"/>
          <w:sz w:val="24"/>
          <w:szCs w:val="24"/>
        </w:rPr>
        <w:t xml:space="preserve">; E: EUS image of gastric malignant lymphoma; F: EUS-FNA specimen image of E (diagnosis of diffuse large B-cell lymphoma was made by CD20-positive lymphoid tumor cells); G: EUS image of rectal neuroendocrine tumor (NET); H: EUS-FNA specimen image of G (diagnosis of NET was made by typical findings of irregular nest of synaptophysin-positive epithelial-like cells). </w:t>
      </w:r>
      <w:bookmarkStart w:id="49" w:name="_Hlk509774528"/>
      <w:r w:rsidRPr="0028500E">
        <w:rPr>
          <w:rFonts w:ascii="Book Antiqua" w:eastAsia="MS Gothic" w:hAnsi="Book Antiqua"/>
          <w:color w:val="000000" w:themeColor="text1"/>
          <w:sz w:val="24"/>
          <w:szCs w:val="24"/>
        </w:rPr>
        <w:t>Quoted and modified from reference</w:t>
      </w:r>
      <w:r w:rsidRPr="0028500E">
        <w:rPr>
          <w:rFonts w:ascii="Book Antiqua" w:eastAsia="MS Gothic" w:hAnsi="Book Antiqua"/>
          <w:color w:val="000000" w:themeColor="text1"/>
          <w:sz w:val="24"/>
          <w:szCs w:val="24"/>
          <w:vertAlign w:val="superscript"/>
        </w:rPr>
        <w:t>[38]</w:t>
      </w:r>
      <w:r w:rsidRPr="0028500E">
        <w:rPr>
          <w:rFonts w:ascii="Book Antiqua" w:eastAsia="MS Gothic" w:hAnsi="Book Antiqua"/>
          <w:color w:val="000000" w:themeColor="text1"/>
          <w:sz w:val="24"/>
          <w:szCs w:val="24"/>
        </w:rPr>
        <w:t xml:space="preserve"> with permission.</w:t>
      </w:r>
      <w:bookmarkEnd w:id="49"/>
    </w:p>
    <w:p w14:paraId="2B83CA7F" w14:textId="77777777" w:rsidR="0028138B" w:rsidRPr="0028500E" w:rsidRDefault="0028138B" w:rsidP="001E53AA">
      <w:pPr>
        <w:snapToGrid w:val="0"/>
        <w:spacing w:line="360" w:lineRule="auto"/>
        <w:rPr>
          <w:rFonts w:ascii="Book Antiqua" w:eastAsia="MS Gothic" w:hAnsi="Book Antiqua"/>
          <w:color w:val="000000" w:themeColor="text1"/>
          <w:sz w:val="24"/>
          <w:szCs w:val="24"/>
        </w:rPr>
      </w:pPr>
    </w:p>
    <w:p w14:paraId="7162300C" w14:textId="78001949" w:rsidR="00C96AD1" w:rsidRPr="0028500E" w:rsidRDefault="00C96AD1" w:rsidP="001E53AA">
      <w:pPr>
        <w:widowControl/>
        <w:snapToGrid w:val="0"/>
        <w:spacing w:line="360" w:lineRule="auto"/>
        <w:rPr>
          <w:rFonts w:ascii="Book Antiqua" w:eastAsia="MS Gothic" w:hAnsi="Book Antiqua"/>
          <w:b/>
          <w:color w:val="000000" w:themeColor="text1"/>
          <w:sz w:val="24"/>
          <w:szCs w:val="24"/>
        </w:rPr>
      </w:pPr>
      <w:r w:rsidRPr="0028500E">
        <w:rPr>
          <w:rFonts w:ascii="Book Antiqua" w:eastAsia="MS Gothic" w:hAnsi="Book Antiqua"/>
          <w:b/>
          <w:color w:val="000000" w:themeColor="text1"/>
          <w:sz w:val="24"/>
          <w:szCs w:val="24"/>
        </w:rPr>
        <w:br w:type="page"/>
      </w:r>
    </w:p>
    <w:p w14:paraId="187813AD" w14:textId="79F98E0E" w:rsidR="005A5D85" w:rsidRPr="0028500E" w:rsidRDefault="00C96AD1" w:rsidP="001E53AA">
      <w:pPr>
        <w:widowControl/>
        <w:snapToGrid w:val="0"/>
        <w:spacing w:line="360" w:lineRule="auto"/>
        <w:rPr>
          <w:rFonts w:ascii="Book Antiqua" w:eastAsia="SimSun" w:hAnsi="Book Antiqua"/>
          <w:b/>
          <w:color w:val="000000" w:themeColor="text1"/>
          <w:sz w:val="24"/>
          <w:szCs w:val="24"/>
          <w:lang w:eastAsia="zh-CN"/>
        </w:rPr>
      </w:pPr>
      <w:r w:rsidRPr="0028500E">
        <w:rPr>
          <w:rFonts w:ascii="Book Antiqua" w:eastAsia="MS Gothic" w:hAnsi="Book Antiqua"/>
          <w:b/>
          <w:noProof/>
          <w:color w:val="000000" w:themeColor="text1"/>
          <w:sz w:val="24"/>
          <w:szCs w:val="24"/>
          <w:lang w:eastAsia="zh-CN"/>
        </w:rPr>
        <w:lastRenderedPageBreak/>
        <w:drawing>
          <wp:inline distT="0" distB="0" distL="0" distR="0" wp14:anchorId="5C7CB7FF" wp14:editId="1027D5A9">
            <wp:extent cx="5391150" cy="3596005"/>
            <wp:effectExtent l="0" t="0" r="0" b="444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3596005"/>
                    </a:xfrm>
                    <a:prstGeom prst="rect">
                      <a:avLst/>
                    </a:prstGeom>
                    <a:noFill/>
                    <a:ln>
                      <a:noFill/>
                    </a:ln>
                  </pic:spPr>
                </pic:pic>
              </a:graphicData>
            </a:graphic>
          </wp:inline>
        </w:drawing>
      </w:r>
    </w:p>
    <w:p w14:paraId="3C54D6A7" w14:textId="5A678323" w:rsidR="005A5D85" w:rsidRPr="0028500E" w:rsidRDefault="005A5D85" w:rsidP="001E53AA">
      <w:pPr>
        <w:snapToGrid w:val="0"/>
        <w:spacing w:line="360" w:lineRule="auto"/>
        <w:rPr>
          <w:rFonts w:ascii="Book Antiqua" w:eastAsia="MS Gothic" w:hAnsi="Book Antiqua"/>
          <w:color w:val="000000" w:themeColor="text1"/>
          <w:sz w:val="24"/>
          <w:szCs w:val="24"/>
        </w:rPr>
      </w:pPr>
      <w:r w:rsidRPr="0028500E">
        <w:rPr>
          <w:rFonts w:ascii="Book Antiqua" w:eastAsia="MS Gothic" w:hAnsi="Book Antiqua"/>
          <w:b/>
          <w:color w:val="000000" w:themeColor="text1"/>
          <w:sz w:val="24"/>
          <w:szCs w:val="24"/>
        </w:rPr>
        <w:t>Figure 6 Proposed algorithm for management of subepithelial lesions.</w:t>
      </w:r>
      <w:r w:rsidRPr="0028500E">
        <w:rPr>
          <w:rFonts w:ascii="Book Antiqua" w:eastAsia="MS Gothic" w:hAnsi="Book Antiqua"/>
          <w:color w:val="000000" w:themeColor="text1"/>
          <w:sz w:val="24"/>
          <w:szCs w:val="24"/>
        </w:rPr>
        <w:t xml:space="preserve"> Quoted and modified from reference</w:t>
      </w:r>
      <w:r w:rsidRPr="0028500E">
        <w:rPr>
          <w:rFonts w:ascii="Book Antiqua" w:eastAsia="MS Gothic" w:hAnsi="Book Antiqua"/>
          <w:color w:val="000000" w:themeColor="text1"/>
          <w:sz w:val="24"/>
          <w:szCs w:val="24"/>
          <w:vertAlign w:val="superscript"/>
        </w:rPr>
        <w:t>[21]</w:t>
      </w:r>
      <w:r w:rsidRPr="0028500E">
        <w:rPr>
          <w:rFonts w:ascii="Book Antiqua" w:eastAsia="MS Gothic" w:hAnsi="Book Antiqua"/>
          <w:color w:val="000000" w:themeColor="text1"/>
          <w:sz w:val="24"/>
          <w:szCs w:val="24"/>
        </w:rPr>
        <w:t xml:space="preserve">. GIST: </w:t>
      </w:r>
      <w:r w:rsidR="005B7D80" w:rsidRPr="0028500E">
        <w:rPr>
          <w:rFonts w:ascii="Book Antiqua" w:eastAsia="MS Gothic" w:hAnsi="Book Antiqua"/>
          <w:color w:val="000000" w:themeColor="text1"/>
          <w:sz w:val="24"/>
          <w:szCs w:val="24"/>
        </w:rPr>
        <w:t xml:space="preserve">Gastrointestinal </w:t>
      </w:r>
      <w:r w:rsidRPr="0028500E">
        <w:rPr>
          <w:rFonts w:ascii="Book Antiqua" w:eastAsia="MS Gothic" w:hAnsi="Book Antiqua"/>
          <w:color w:val="000000" w:themeColor="text1"/>
          <w:sz w:val="24"/>
          <w:szCs w:val="24"/>
        </w:rPr>
        <w:t>stromal tumor; GI: Gastrointestinal; SEL: Subepithelial lesion; EUS: Endoscopic ultrasound; EUS-FNA: Endoscopic ultrasound-guided fine needle aspiration.</w:t>
      </w:r>
    </w:p>
    <w:p w14:paraId="1DBBA45B" w14:textId="77777777" w:rsidR="005A5D85" w:rsidRPr="0028500E" w:rsidRDefault="005A5D85" w:rsidP="001E53AA">
      <w:pPr>
        <w:snapToGrid w:val="0"/>
        <w:spacing w:line="360" w:lineRule="auto"/>
        <w:rPr>
          <w:rFonts w:ascii="Book Antiqua" w:eastAsia="MS Gothic" w:hAnsi="Book Antiqua"/>
          <w:b/>
          <w:color w:val="000000" w:themeColor="text1"/>
          <w:sz w:val="24"/>
          <w:szCs w:val="24"/>
        </w:rPr>
      </w:pPr>
    </w:p>
    <w:p w14:paraId="7501B5AD" w14:textId="519781A1" w:rsidR="00C96AD1" w:rsidRPr="0028500E" w:rsidRDefault="00C96AD1" w:rsidP="001E53AA">
      <w:pPr>
        <w:widowControl/>
        <w:snapToGrid w:val="0"/>
        <w:spacing w:line="360" w:lineRule="auto"/>
        <w:rPr>
          <w:rFonts w:ascii="Book Antiqua" w:eastAsia="MS Gothic" w:hAnsi="Book Antiqua"/>
          <w:b/>
          <w:color w:val="000000" w:themeColor="text1"/>
          <w:sz w:val="24"/>
          <w:szCs w:val="24"/>
        </w:rPr>
      </w:pPr>
      <w:r w:rsidRPr="0028500E">
        <w:rPr>
          <w:rFonts w:ascii="Book Antiqua" w:eastAsia="MS Gothic" w:hAnsi="Book Antiqua"/>
          <w:b/>
          <w:color w:val="000000" w:themeColor="text1"/>
          <w:sz w:val="24"/>
          <w:szCs w:val="24"/>
        </w:rPr>
        <w:br w:type="page"/>
      </w:r>
    </w:p>
    <w:p w14:paraId="079C906F" w14:textId="77777777" w:rsidR="00BE5F21" w:rsidRPr="0028500E" w:rsidRDefault="00C96AD1" w:rsidP="001E53AA">
      <w:pPr>
        <w:widowControl/>
        <w:snapToGrid w:val="0"/>
        <w:spacing w:line="360" w:lineRule="auto"/>
        <w:rPr>
          <w:rFonts w:ascii="Book Antiqua" w:eastAsia="SimSun" w:hAnsi="Book Antiqua"/>
          <w:b/>
          <w:color w:val="000000" w:themeColor="text1"/>
          <w:sz w:val="24"/>
          <w:szCs w:val="24"/>
          <w:lang w:eastAsia="zh-CN"/>
        </w:rPr>
      </w:pPr>
      <w:r w:rsidRPr="0028500E">
        <w:rPr>
          <w:rFonts w:ascii="Book Antiqua" w:eastAsia="MS Gothic" w:hAnsi="Book Antiqua"/>
          <w:b/>
          <w:noProof/>
          <w:color w:val="000000" w:themeColor="text1"/>
          <w:sz w:val="24"/>
          <w:szCs w:val="24"/>
          <w:lang w:eastAsia="zh-CN"/>
        </w:rPr>
        <w:lastRenderedPageBreak/>
        <w:drawing>
          <wp:inline distT="0" distB="0" distL="0" distR="0" wp14:anchorId="5C838177" wp14:editId="6821D2C7">
            <wp:extent cx="3191773" cy="4850760"/>
            <wp:effectExtent l="0" t="0" r="8890" b="762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8008" cy="4860236"/>
                    </a:xfrm>
                    <a:prstGeom prst="rect">
                      <a:avLst/>
                    </a:prstGeom>
                    <a:noFill/>
                    <a:ln>
                      <a:noFill/>
                    </a:ln>
                  </pic:spPr>
                </pic:pic>
              </a:graphicData>
            </a:graphic>
          </wp:inline>
        </w:drawing>
      </w:r>
    </w:p>
    <w:p w14:paraId="18CE7E55" w14:textId="77777777" w:rsidR="00BE5F21" w:rsidRPr="0028500E" w:rsidRDefault="00BE5F21" w:rsidP="001E53AA">
      <w:pPr>
        <w:snapToGrid w:val="0"/>
        <w:spacing w:line="360" w:lineRule="auto"/>
        <w:rPr>
          <w:rFonts w:ascii="Book Antiqua" w:eastAsia="SimSun" w:hAnsi="Book Antiqua"/>
          <w:b/>
          <w:color w:val="000000" w:themeColor="text1"/>
          <w:sz w:val="24"/>
          <w:szCs w:val="24"/>
          <w:lang w:eastAsia="zh-CN"/>
        </w:rPr>
      </w:pPr>
    </w:p>
    <w:p w14:paraId="74A004AA" w14:textId="29232320" w:rsidR="00BE5F21" w:rsidRPr="00A262F6" w:rsidRDefault="00BE5F21" w:rsidP="00A262F6">
      <w:pPr>
        <w:snapToGrid w:val="0"/>
        <w:spacing w:line="360" w:lineRule="auto"/>
        <w:rPr>
          <w:rFonts w:ascii="Book Antiqua" w:eastAsia="DengXian" w:hAnsi="Book Antiqua"/>
          <w:color w:val="000000" w:themeColor="text1"/>
          <w:sz w:val="24"/>
          <w:szCs w:val="24"/>
          <w:lang w:eastAsia="zh-CN"/>
        </w:rPr>
      </w:pPr>
      <w:r w:rsidRPr="0028500E">
        <w:rPr>
          <w:rFonts w:ascii="Book Antiqua" w:eastAsia="MS Gothic" w:hAnsi="Book Antiqua"/>
          <w:b/>
          <w:color w:val="000000" w:themeColor="text1"/>
          <w:sz w:val="24"/>
          <w:szCs w:val="24"/>
        </w:rPr>
        <w:t>Figure 7</w:t>
      </w:r>
      <w:r w:rsidRPr="0028500E">
        <w:rPr>
          <w:rFonts w:ascii="Book Antiqua" w:eastAsia="MS Gothic" w:hAnsi="Book Antiqua"/>
          <w:color w:val="000000" w:themeColor="text1"/>
          <w:sz w:val="24"/>
          <w:szCs w:val="24"/>
        </w:rPr>
        <w:t xml:space="preserve"> </w:t>
      </w:r>
      <w:r w:rsidRPr="0028500E">
        <w:rPr>
          <w:rFonts w:ascii="Book Antiqua" w:eastAsia="MS Gothic" w:hAnsi="Book Antiqua"/>
          <w:b/>
          <w:color w:val="000000" w:themeColor="text1"/>
          <w:sz w:val="24"/>
          <w:szCs w:val="24"/>
        </w:rPr>
        <w:t>Laparoscopic resection of a small gastric gastrointestinal stromal tumor.</w:t>
      </w:r>
      <w:r w:rsidRPr="0028500E">
        <w:rPr>
          <w:rFonts w:ascii="Book Antiqua" w:eastAsia="MS Gothic" w:hAnsi="Book Antiqua"/>
          <w:color w:val="000000" w:themeColor="text1"/>
          <w:sz w:val="24"/>
          <w:szCs w:val="24"/>
        </w:rPr>
        <w:t xml:space="preserve"> A: Laparoscopic view of a small gastric </w:t>
      </w:r>
      <w:r w:rsidR="003F1548" w:rsidRPr="0028500E">
        <w:rPr>
          <w:rFonts w:ascii="Book Antiqua" w:eastAsia="MS Gothic" w:hAnsi="Book Antiqua"/>
          <w:color w:val="000000" w:themeColor="text1"/>
          <w:sz w:val="24"/>
          <w:szCs w:val="24"/>
        </w:rPr>
        <w:t xml:space="preserve">gastrointestinal stromal tumor </w:t>
      </w:r>
      <w:r w:rsidRPr="0028500E">
        <w:rPr>
          <w:rFonts w:ascii="Book Antiqua" w:eastAsia="MS Gothic" w:hAnsi="Book Antiqua"/>
          <w:color w:val="000000" w:themeColor="text1"/>
          <w:sz w:val="24"/>
          <w:szCs w:val="24"/>
        </w:rPr>
        <w:t xml:space="preserve">(arrow) during resection; B: Postoperative endoscopy shows mild postoperative deformity (arrow). Quoted and modified from </w:t>
      </w:r>
      <w:r w:rsidR="003F1548" w:rsidRPr="0028500E">
        <w:rPr>
          <w:rFonts w:ascii="Book Antiqua" w:eastAsia="MS Gothic" w:hAnsi="Book Antiqua"/>
          <w:color w:val="000000" w:themeColor="text1"/>
          <w:sz w:val="24"/>
          <w:szCs w:val="24"/>
        </w:rPr>
        <w:t>reference</w:t>
      </w:r>
      <w:r w:rsidRPr="0028500E">
        <w:rPr>
          <w:rFonts w:ascii="Book Antiqua" w:eastAsia="MS Gothic" w:hAnsi="Book Antiqua"/>
          <w:color w:val="000000" w:themeColor="text1"/>
          <w:sz w:val="24"/>
          <w:szCs w:val="24"/>
          <w:vertAlign w:val="superscript"/>
        </w:rPr>
        <w:t>[77]</w:t>
      </w:r>
      <w:r w:rsidRPr="0028500E">
        <w:rPr>
          <w:rFonts w:ascii="Book Antiqua" w:eastAsia="MS Gothic" w:hAnsi="Book Antiqua"/>
          <w:color w:val="000000" w:themeColor="text1"/>
          <w:sz w:val="24"/>
          <w:szCs w:val="24"/>
        </w:rPr>
        <w:t xml:space="preserve"> with permission.</w:t>
      </w:r>
    </w:p>
    <w:p w14:paraId="41AFCCC7" w14:textId="498F44D4" w:rsidR="00C96AD1" w:rsidRPr="0028500E" w:rsidRDefault="00C96AD1" w:rsidP="001E53AA">
      <w:pPr>
        <w:widowControl/>
        <w:snapToGrid w:val="0"/>
        <w:spacing w:line="360" w:lineRule="auto"/>
        <w:rPr>
          <w:rFonts w:ascii="Book Antiqua" w:eastAsia="MS Gothic" w:hAnsi="Book Antiqua"/>
          <w:b/>
          <w:color w:val="000000" w:themeColor="text1"/>
          <w:sz w:val="24"/>
          <w:szCs w:val="24"/>
        </w:rPr>
      </w:pPr>
      <w:r w:rsidRPr="0028500E">
        <w:rPr>
          <w:rFonts w:ascii="Book Antiqua" w:eastAsia="MS Gothic" w:hAnsi="Book Antiqua"/>
          <w:b/>
          <w:color w:val="000000" w:themeColor="text1"/>
          <w:sz w:val="24"/>
          <w:szCs w:val="24"/>
        </w:rPr>
        <w:br w:type="page"/>
      </w:r>
    </w:p>
    <w:p w14:paraId="50960D56" w14:textId="77777777" w:rsidR="00287D3A" w:rsidRPr="0028500E" w:rsidRDefault="00C96AD1" w:rsidP="001E53AA">
      <w:pPr>
        <w:widowControl/>
        <w:snapToGrid w:val="0"/>
        <w:spacing w:line="360" w:lineRule="auto"/>
        <w:rPr>
          <w:rFonts w:ascii="Book Antiqua" w:eastAsia="SimSun" w:hAnsi="Book Antiqua"/>
          <w:b/>
          <w:color w:val="000000" w:themeColor="text1"/>
          <w:sz w:val="24"/>
          <w:szCs w:val="24"/>
          <w:lang w:eastAsia="zh-CN"/>
        </w:rPr>
      </w:pPr>
      <w:r w:rsidRPr="0028500E">
        <w:rPr>
          <w:rFonts w:ascii="Book Antiqua" w:hAnsi="Book Antiqua"/>
          <w:noProof/>
          <w:color w:val="000000" w:themeColor="text1"/>
          <w:sz w:val="24"/>
          <w:szCs w:val="24"/>
          <w:lang w:eastAsia="zh-CN"/>
        </w:rPr>
        <w:lastRenderedPageBreak/>
        <w:drawing>
          <wp:inline distT="0" distB="0" distL="0" distR="0" wp14:anchorId="51BA1627" wp14:editId="79125C92">
            <wp:extent cx="5400040" cy="425461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4254610"/>
                    </a:xfrm>
                    <a:prstGeom prst="rect">
                      <a:avLst/>
                    </a:prstGeom>
                    <a:noFill/>
                    <a:ln>
                      <a:noFill/>
                    </a:ln>
                  </pic:spPr>
                </pic:pic>
              </a:graphicData>
            </a:graphic>
          </wp:inline>
        </w:drawing>
      </w:r>
    </w:p>
    <w:p w14:paraId="4FCEFA9B" w14:textId="6E426776" w:rsidR="00287D3A" w:rsidRPr="0028500E" w:rsidRDefault="00287D3A" w:rsidP="001E53AA">
      <w:pPr>
        <w:widowControl/>
        <w:snapToGrid w:val="0"/>
        <w:spacing w:line="360" w:lineRule="auto"/>
        <w:rPr>
          <w:rFonts w:ascii="Book Antiqua" w:eastAsia="MS Gothic" w:hAnsi="Book Antiqua"/>
          <w:color w:val="000000" w:themeColor="text1"/>
          <w:sz w:val="24"/>
          <w:szCs w:val="24"/>
        </w:rPr>
      </w:pPr>
      <w:r w:rsidRPr="0028500E">
        <w:rPr>
          <w:rFonts w:ascii="Book Antiqua" w:eastAsia="MS Gothic" w:hAnsi="Book Antiqua"/>
          <w:b/>
          <w:color w:val="000000" w:themeColor="text1"/>
          <w:sz w:val="24"/>
          <w:szCs w:val="24"/>
        </w:rPr>
        <w:t xml:space="preserve">Figure 8 Contour maps for estimating the risk of gastrointestinal stromal tumor recurrence after surgery. </w:t>
      </w:r>
      <w:bookmarkStart w:id="50" w:name="_Hlk514490956"/>
      <w:r w:rsidRPr="0028500E">
        <w:rPr>
          <w:rFonts w:ascii="Book Antiqua" w:eastAsia="MS Gothic" w:hAnsi="Book Antiqua"/>
          <w:color w:val="000000" w:themeColor="text1"/>
          <w:sz w:val="24"/>
          <w:szCs w:val="24"/>
        </w:rPr>
        <w:t>Areas of colors according to the recurrence rate</w:t>
      </w:r>
      <w:r w:rsidRPr="0028500E">
        <w:rPr>
          <w:rFonts w:ascii="Book Antiqua" w:hAnsi="Book Antiqua"/>
          <w:color w:val="000000" w:themeColor="text1"/>
          <w:sz w:val="24"/>
          <w:szCs w:val="24"/>
        </w:rPr>
        <w:t xml:space="preserve"> </w:t>
      </w:r>
      <w:r w:rsidRPr="0028500E">
        <w:rPr>
          <w:rFonts w:ascii="Book Antiqua" w:eastAsia="MS Gothic" w:hAnsi="Book Antiqua"/>
          <w:color w:val="000000" w:themeColor="text1"/>
          <w:sz w:val="24"/>
          <w:szCs w:val="24"/>
        </w:rPr>
        <w:t>at the 10th year after surgical treatment of GIST: Blue-black: 0%–10%, Blue: 10%–20%, Light blue: 20%–40%, Gray: 40%–60%, Pink: 60%–80%, Red: 80%–90%, Dark red: 90%–100%.</w:t>
      </w:r>
      <w:bookmarkEnd w:id="50"/>
      <w:r w:rsidRPr="0028500E">
        <w:rPr>
          <w:rFonts w:ascii="Book Antiqua" w:eastAsia="SimSun" w:hAnsi="Book Antiqua"/>
          <w:color w:val="000000" w:themeColor="text1"/>
          <w:sz w:val="24"/>
          <w:szCs w:val="24"/>
          <w:lang w:eastAsia="zh-CN"/>
        </w:rPr>
        <w:t xml:space="preserve"> </w:t>
      </w:r>
      <w:r w:rsidRPr="0028500E">
        <w:rPr>
          <w:rFonts w:ascii="Book Antiqua" w:eastAsia="MS Gothic" w:hAnsi="Book Antiqua"/>
          <w:color w:val="000000" w:themeColor="text1"/>
          <w:sz w:val="24"/>
          <w:szCs w:val="24"/>
        </w:rPr>
        <w:t>Reprinted from reference</w:t>
      </w:r>
      <w:r w:rsidRPr="0028500E">
        <w:rPr>
          <w:rFonts w:ascii="Book Antiqua" w:eastAsia="MS Gothic" w:hAnsi="Book Antiqua"/>
          <w:color w:val="000000" w:themeColor="text1"/>
          <w:sz w:val="24"/>
          <w:szCs w:val="24"/>
          <w:vertAlign w:val="superscript"/>
        </w:rPr>
        <w:t>[87]</w:t>
      </w:r>
      <w:r w:rsidRPr="0028500E">
        <w:rPr>
          <w:rFonts w:ascii="Book Antiqua" w:eastAsia="MS Gothic" w:hAnsi="Book Antiqua"/>
          <w:color w:val="000000" w:themeColor="text1"/>
          <w:sz w:val="24"/>
          <w:szCs w:val="24"/>
        </w:rPr>
        <w:t xml:space="preserve"> with permission. </w:t>
      </w:r>
      <w:r w:rsidR="00AC288E" w:rsidRPr="0028500E">
        <w:rPr>
          <w:rFonts w:ascii="Book Antiqua" w:eastAsia="MS Gothic" w:hAnsi="Book Antiqua"/>
          <w:color w:val="000000" w:themeColor="text1"/>
          <w:sz w:val="24"/>
          <w:szCs w:val="24"/>
        </w:rPr>
        <w:t>E-GIST:</w:t>
      </w:r>
      <w:r w:rsidR="00AC288E" w:rsidRPr="0028500E">
        <w:rPr>
          <w:rFonts w:ascii="Book Antiqua" w:eastAsia="SimSun" w:hAnsi="Book Antiqua"/>
          <w:color w:val="000000" w:themeColor="text1"/>
          <w:sz w:val="24"/>
          <w:szCs w:val="24"/>
          <w:lang w:eastAsia="zh-CN"/>
        </w:rPr>
        <w:t xml:space="preserve"> </w:t>
      </w:r>
      <w:r w:rsidRPr="0028500E">
        <w:rPr>
          <w:rFonts w:ascii="Book Antiqua" w:eastAsia="MS Gothic" w:hAnsi="Book Antiqua"/>
          <w:color w:val="000000" w:themeColor="text1"/>
          <w:sz w:val="24"/>
          <w:szCs w:val="24"/>
        </w:rPr>
        <w:t>Extra-gastrointestinal stromal tumor (arising outside the gastrointestinal tract).</w:t>
      </w:r>
    </w:p>
    <w:p w14:paraId="3B919249" w14:textId="39814B31" w:rsidR="00915F48" w:rsidRPr="0028500E" w:rsidRDefault="00915F48" w:rsidP="001E53AA">
      <w:pPr>
        <w:snapToGrid w:val="0"/>
        <w:spacing w:line="360" w:lineRule="auto"/>
        <w:rPr>
          <w:rFonts w:ascii="Book Antiqua" w:eastAsia="SimSun" w:hAnsi="Book Antiqua"/>
          <w:b/>
          <w:color w:val="000000" w:themeColor="text1"/>
          <w:sz w:val="24"/>
          <w:szCs w:val="24"/>
          <w:lang w:eastAsia="zh-CN"/>
        </w:rPr>
      </w:pPr>
    </w:p>
    <w:sectPr w:rsidR="00915F48" w:rsidRPr="0028500E" w:rsidSect="00714F40">
      <w:footerReference w:type="even" r:id="rId17"/>
      <w:footerReference w:type="default" r:id="rId18"/>
      <w:pgSz w:w="11906" w:h="16838" w:code="9"/>
      <w:pgMar w:top="1701" w:right="1701" w:bottom="1701" w:left="1701" w:header="851" w:footer="992" w:gutter="0"/>
      <w:cols w:space="425"/>
      <w:docGrid w:type="lines" w:linePitch="3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5D7012" w14:textId="77777777" w:rsidR="00416A2A" w:rsidRDefault="00416A2A">
      <w:r>
        <w:separator/>
      </w:r>
    </w:p>
  </w:endnote>
  <w:endnote w:type="continuationSeparator" w:id="0">
    <w:p w14:paraId="19E75155" w14:textId="77777777" w:rsidR="00416A2A" w:rsidRDefault="00416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DengXian">
    <w:altName w:val="SimSun"/>
    <w:panose1 w:val="00000000000000000000"/>
    <w:charset w:val="86"/>
    <w:family w:val="roman"/>
    <w:notTrueType/>
    <w:pitch w:val="default"/>
  </w:font>
  <w:font w:name="Yu Gothic Light">
    <w:altName w:val="Arial Unicode MS"/>
    <w:charset w:val="80"/>
    <w:family w:val="modern"/>
    <w:pitch w:val="variable"/>
    <w:sig w:usb0="00000000" w:usb1="2AC7FDFF" w:usb2="00000016" w:usb3="00000000" w:csb0="0002009F" w:csb1="00000000"/>
  </w:font>
  <w:font w:name="Yu Mincho">
    <w:altName w:val="MS Mincho"/>
    <w:charset w:val="80"/>
    <w:family w:val="roman"/>
    <w:pitch w:val="variable"/>
    <w:sig w:usb0="00000000"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7DEB9" w14:textId="77777777" w:rsidR="0005791D" w:rsidRDefault="000579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768280A" w14:textId="77777777" w:rsidR="0005791D" w:rsidRDefault="000579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B4E1E" w14:textId="5FE729C6" w:rsidR="0005791D" w:rsidRDefault="000579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C3D0F">
      <w:rPr>
        <w:rStyle w:val="PageNumber"/>
        <w:noProof/>
      </w:rPr>
      <w:t>40</w:t>
    </w:r>
    <w:r>
      <w:rPr>
        <w:rStyle w:val="PageNumber"/>
      </w:rPr>
      <w:fldChar w:fldCharType="end"/>
    </w:r>
  </w:p>
  <w:p w14:paraId="30009ACF" w14:textId="77777777" w:rsidR="0005791D" w:rsidRDefault="000579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346277" w14:textId="77777777" w:rsidR="00416A2A" w:rsidRDefault="00416A2A">
      <w:r>
        <w:separator/>
      </w:r>
    </w:p>
  </w:footnote>
  <w:footnote w:type="continuationSeparator" w:id="0">
    <w:p w14:paraId="70656355" w14:textId="77777777" w:rsidR="00416A2A" w:rsidRDefault="00416A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91551"/>
    <w:multiLevelType w:val="singleLevel"/>
    <w:tmpl w:val="DE84F524"/>
    <w:lvl w:ilvl="0">
      <w:start w:val="6"/>
      <w:numFmt w:val="decimal"/>
      <w:lvlText w:val="%1."/>
      <w:lvlJc w:val="left"/>
      <w:pPr>
        <w:tabs>
          <w:tab w:val="num" w:pos="855"/>
        </w:tabs>
        <w:ind w:left="855" w:hanging="735"/>
      </w:pPr>
      <w:rPr>
        <w:rFonts w:hint="eastAsia"/>
      </w:rPr>
    </w:lvl>
  </w:abstractNum>
  <w:abstractNum w:abstractNumId="1" w15:restartNumberingAfterBreak="0">
    <w:nsid w:val="0FEC71C6"/>
    <w:multiLevelType w:val="singleLevel"/>
    <w:tmpl w:val="BEAC8090"/>
    <w:lvl w:ilvl="0">
      <w:start w:val="1"/>
      <w:numFmt w:val="decimal"/>
      <w:lvlText w:val="%1."/>
      <w:lvlJc w:val="left"/>
      <w:pPr>
        <w:tabs>
          <w:tab w:val="num" w:pos="1151"/>
        </w:tabs>
        <w:ind w:left="1151" w:hanging="300"/>
      </w:pPr>
      <w:rPr>
        <w:color w:val="auto"/>
      </w:rPr>
    </w:lvl>
  </w:abstractNum>
  <w:abstractNum w:abstractNumId="2" w15:restartNumberingAfterBreak="0">
    <w:nsid w:val="26E842F3"/>
    <w:multiLevelType w:val="singleLevel"/>
    <w:tmpl w:val="407059A2"/>
    <w:lvl w:ilvl="0">
      <w:start w:val="4"/>
      <w:numFmt w:val="decimal"/>
      <w:lvlText w:val="%1."/>
      <w:lvlJc w:val="left"/>
      <w:pPr>
        <w:tabs>
          <w:tab w:val="num" w:pos="855"/>
        </w:tabs>
        <w:ind w:left="855" w:hanging="735"/>
      </w:pPr>
      <w:rPr>
        <w:rFonts w:hint="eastAsia"/>
      </w:rPr>
    </w:lvl>
  </w:abstractNum>
  <w:abstractNum w:abstractNumId="3" w15:restartNumberingAfterBreak="0">
    <w:nsid w:val="4B857D19"/>
    <w:multiLevelType w:val="hybridMultilevel"/>
    <w:tmpl w:val="BD9806D6"/>
    <w:lvl w:ilvl="0" w:tplc="540A8C6E">
      <w:start w:val="1"/>
      <w:numFmt w:val="lowerLetter"/>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2763911"/>
    <w:multiLevelType w:val="hybridMultilevel"/>
    <w:tmpl w:val="11BCB162"/>
    <w:lvl w:ilvl="0" w:tplc="C324EAEC">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66328BC"/>
    <w:multiLevelType w:val="hybridMultilevel"/>
    <w:tmpl w:val="BD18EC3E"/>
    <w:lvl w:ilvl="0" w:tplc="B84AA562">
      <w:start w:val="1"/>
      <w:numFmt w:val="decimalFullWidth"/>
      <w:lvlText w:val="%1）"/>
      <w:lvlJc w:val="left"/>
      <w:pPr>
        <w:tabs>
          <w:tab w:val="num" w:pos="480"/>
        </w:tabs>
        <w:ind w:left="480" w:hanging="480"/>
      </w:pPr>
      <w:rPr>
        <w:rFonts w:ascii="Times New Roman" w:eastAsia="Times New Roman" w:hAnsi="Times New Roman"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 w:numId="2">
    <w:abstractNumId w:val="2"/>
  </w:num>
  <w:num w:numId="3">
    <w:abstractNumId w:val="5"/>
  </w:num>
  <w:num w:numId="4">
    <w:abstractNumId w:val="1"/>
    <w:lvlOverride w:ilvl="0">
      <w:startOverride w:val="1"/>
    </w:lvlOverride>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rawingGridVerticalSpacing w:val="36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823"/>
    <w:rsid w:val="00000C63"/>
    <w:rsid w:val="0000372E"/>
    <w:rsid w:val="000038E0"/>
    <w:rsid w:val="00006A86"/>
    <w:rsid w:val="00007FC4"/>
    <w:rsid w:val="000103E4"/>
    <w:rsid w:val="00010C66"/>
    <w:rsid w:val="00010E4E"/>
    <w:rsid w:val="00011B8D"/>
    <w:rsid w:val="0001307A"/>
    <w:rsid w:val="00016FCE"/>
    <w:rsid w:val="000214BB"/>
    <w:rsid w:val="00021907"/>
    <w:rsid w:val="00025EEA"/>
    <w:rsid w:val="00030FD4"/>
    <w:rsid w:val="00033234"/>
    <w:rsid w:val="000336A7"/>
    <w:rsid w:val="000349FB"/>
    <w:rsid w:val="00036554"/>
    <w:rsid w:val="00040BDB"/>
    <w:rsid w:val="000458D9"/>
    <w:rsid w:val="00047F01"/>
    <w:rsid w:val="00053903"/>
    <w:rsid w:val="00053DD4"/>
    <w:rsid w:val="00054673"/>
    <w:rsid w:val="00055677"/>
    <w:rsid w:val="0005791D"/>
    <w:rsid w:val="00057973"/>
    <w:rsid w:val="00060B5D"/>
    <w:rsid w:val="00061709"/>
    <w:rsid w:val="000619AB"/>
    <w:rsid w:val="00061B48"/>
    <w:rsid w:val="00065230"/>
    <w:rsid w:val="00067654"/>
    <w:rsid w:val="00071694"/>
    <w:rsid w:val="00074AFE"/>
    <w:rsid w:val="000763D3"/>
    <w:rsid w:val="00082621"/>
    <w:rsid w:val="000829C7"/>
    <w:rsid w:val="0008634E"/>
    <w:rsid w:val="00092C3B"/>
    <w:rsid w:val="0009569C"/>
    <w:rsid w:val="000956C2"/>
    <w:rsid w:val="000A2066"/>
    <w:rsid w:val="000A2A45"/>
    <w:rsid w:val="000A56EF"/>
    <w:rsid w:val="000A7C32"/>
    <w:rsid w:val="000B43A9"/>
    <w:rsid w:val="000B4783"/>
    <w:rsid w:val="000B5EA7"/>
    <w:rsid w:val="000B630D"/>
    <w:rsid w:val="000B6A8C"/>
    <w:rsid w:val="000C0D1C"/>
    <w:rsid w:val="000C11E4"/>
    <w:rsid w:val="000C15E7"/>
    <w:rsid w:val="000C4307"/>
    <w:rsid w:val="000C785D"/>
    <w:rsid w:val="000C78C6"/>
    <w:rsid w:val="000D14C4"/>
    <w:rsid w:val="000D1C29"/>
    <w:rsid w:val="000D347E"/>
    <w:rsid w:val="000D466C"/>
    <w:rsid w:val="000D59C2"/>
    <w:rsid w:val="000D5FF0"/>
    <w:rsid w:val="000D71A4"/>
    <w:rsid w:val="000E26AE"/>
    <w:rsid w:val="000E277A"/>
    <w:rsid w:val="000E38AB"/>
    <w:rsid w:val="000E438F"/>
    <w:rsid w:val="000E4C3F"/>
    <w:rsid w:val="000E4D69"/>
    <w:rsid w:val="000E64E2"/>
    <w:rsid w:val="000F05D3"/>
    <w:rsid w:val="000F0FC1"/>
    <w:rsid w:val="000F1E87"/>
    <w:rsid w:val="000F207C"/>
    <w:rsid w:val="000F3223"/>
    <w:rsid w:val="000F5515"/>
    <w:rsid w:val="000F5F48"/>
    <w:rsid w:val="000F7AFC"/>
    <w:rsid w:val="000F7BE5"/>
    <w:rsid w:val="001027A6"/>
    <w:rsid w:val="001049FE"/>
    <w:rsid w:val="001101A3"/>
    <w:rsid w:val="00111501"/>
    <w:rsid w:val="00112938"/>
    <w:rsid w:val="00114FFB"/>
    <w:rsid w:val="00115703"/>
    <w:rsid w:val="00121903"/>
    <w:rsid w:val="00122890"/>
    <w:rsid w:val="00122D49"/>
    <w:rsid w:val="0012553E"/>
    <w:rsid w:val="001255B9"/>
    <w:rsid w:val="00125F3F"/>
    <w:rsid w:val="00130549"/>
    <w:rsid w:val="00132977"/>
    <w:rsid w:val="00132997"/>
    <w:rsid w:val="00132FFE"/>
    <w:rsid w:val="00134F01"/>
    <w:rsid w:val="0013651A"/>
    <w:rsid w:val="0013657F"/>
    <w:rsid w:val="00136AD6"/>
    <w:rsid w:val="001432CE"/>
    <w:rsid w:val="00146656"/>
    <w:rsid w:val="00146D7C"/>
    <w:rsid w:val="00147788"/>
    <w:rsid w:val="00147945"/>
    <w:rsid w:val="001508F5"/>
    <w:rsid w:val="001530AE"/>
    <w:rsid w:val="00153805"/>
    <w:rsid w:val="0015445A"/>
    <w:rsid w:val="001553A6"/>
    <w:rsid w:val="00160EFE"/>
    <w:rsid w:val="001616A1"/>
    <w:rsid w:val="0016583E"/>
    <w:rsid w:val="00165D38"/>
    <w:rsid w:val="00165FDC"/>
    <w:rsid w:val="00167396"/>
    <w:rsid w:val="00170DF3"/>
    <w:rsid w:val="001728BE"/>
    <w:rsid w:val="001759FB"/>
    <w:rsid w:val="00176350"/>
    <w:rsid w:val="001769D9"/>
    <w:rsid w:val="0018099D"/>
    <w:rsid w:val="00181AEF"/>
    <w:rsid w:val="00182C24"/>
    <w:rsid w:val="001844A7"/>
    <w:rsid w:val="00185081"/>
    <w:rsid w:val="001858EF"/>
    <w:rsid w:val="001865FE"/>
    <w:rsid w:val="0019044B"/>
    <w:rsid w:val="00191E1E"/>
    <w:rsid w:val="001925B3"/>
    <w:rsid w:val="00195407"/>
    <w:rsid w:val="00195C91"/>
    <w:rsid w:val="00195F02"/>
    <w:rsid w:val="001966A9"/>
    <w:rsid w:val="001969F7"/>
    <w:rsid w:val="00196C9D"/>
    <w:rsid w:val="00196DB2"/>
    <w:rsid w:val="001A0CE3"/>
    <w:rsid w:val="001A223E"/>
    <w:rsid w:val="001A24E6"/>
    <w:rsid w:val="001A3529"/>
    <w:rsid w:val="001A6D34"/>
    <w:rsid w:val="001B3C3F"/>
    <w:rsid w:val="001C0E36"/>
    <w:rsid w:val="001C14E6"/>
    <w:rsid w:val="001C2121"/>
    <w:rsid w:val="001C5252"/>
    <w:rsid w:val="001C6627"/>
    <w:rsid w:val="001C67CC"/>
    <w:rsid w:val="001D445C"/>
    <w:rsid w:val="001D7B24"/>
    <w:rsid w:val="001E0CA8"/>
    <w:rsid w:val="001E1D4F"/>
    <w:rsid w:val="001E1E77"/>
    <w:rsid w:val="001E53AA"/>
    <w:rsid w:val="001F14B1"/>
    <w:rsid w:val="001F2C45"/>
    <w:rsid w:val="001F2E2B"/>
    <w:rsid w:val="001F4328"/>
    <w:rsid w:val="001F4891"/>
    <w:rsid w:val="001F60BB"/>
    <w:rsid w:val="001F6816"/>
    <w:rsid w:val="00201A95"/>
    <w:rsid w:val="00201D0A"/>
    <w:rsid w:val="00206800"/>
    <w:rsid w:val="00210486"/>
    <w:rsid w:val="002104CD"/>
    <w:rsid w:val="00212745"/>
    <w:rsid w:val="00212ACF"/>
    <w:rsid w:val="00212EB4"/>
    <w:rsid w:val="00213955"/>
    <w:rsid w:val="00214E99"/>
    <w:rsid w:val="00215460"/>
    <w:rsid w:val="00216F34"/>
    <w:rsid w:val="00217811"/>
    <w:rsid w:val="00220B18"/>
    <w:rsid w:val="00222124"/>
    <w:rsid w:val="00222D0D"/>
    <w:rsid w:val="00223C0A"/>
    <w:rsid w:val="00224222"/>
    <w:rsid w:val="0022606A"/>
    <w:rsid w:val="002270E6"/>
    <w:rsid w:val="00230F8B"/>
    <w:rsid w:val="00234369"/>
    <w:rsid w:val="00234C1B"/>
    <w:rsid w:val="002357C3"/>
    <w:rsid w:val="00235D60"/>
    <w:rsid w:val="00241B67"/>
    <w:rsid w:val="00243600"/>
    <w:rsid w:val="00243F65"/>
    <w:rsid w:val="00244EE5"/>
    <w:rsid w:val="00246EEC"/>
    <w:rsid w:val="00250BEE"/>
    <w:rsid w:val="00252FBE"/>
    <w:rsid w:val="00253F87"/>
    <w:rsid w:val="00256960"/>
    <w:rsid w:val="002657DE"/>
    <w:rsid w:val="0026749A"/>
    <w:rsid w:val="00267671"/>
    <w:rsid w:val="0027117B"/>
    <w:rsid w:val="0027557D"/>
    <w:rsid w:val="002767E1"/>
    <w:rsid w:val="002800D5"/>
    <w:rsid w:val="0028138B"/>
    <w:rsid w:val="002828D4"/>
    <w:rsid w:val="00282DC3"/>
    <w:rsid w:val="00283732"/>
    <w:rsid w:val="00283956"/>
    <w:rsid w:val="00284CAE"/>
    <w:rsid w:val="0028500E"/>
    <w:rsid w:val="002850A7"/>
    <w:rsid w:val="002856E1"/>
    <w:rsid w:val="00287D3A"/>
    <w:rsid w:val="00291712"/>
    <w:rsid w:val="00292437"/>
    <w:rsid w:val="0029617D"/>
    <w:rsid w:val="002A0533"/>
    <w:rsid w:val="002A0F13"/>
    <w:rsid w:val="002A159F"/>
    <w:rsid w:val="002A1AD9"/>
    <w:rsid w:val="002A2ACC"/>
    <w:rsid w:val="002A3AB6"/>
    <w:rsid w:val="002A48E4"/>
    <w:rsid w:val="002A4DCD"/>
    <w:rsid w:val="002A50EB"/>
    <w:rsid w:val="002A5D95"/>
    <w:rsid w:val="002A7653"/>
    <w:rsid w:val="002B0231"/>
    <w:rsid w:val="002B0B4C"/>
    <w:rsid w:val="002B146F"/>
    <w:rsid w:val="002B293E"/>
    <w:rsid w:val="002B3372"/>
    <w:rsid w:val="002B33E9"/>
    <w:rsid w:val="002B60B3"/>
    <w:rsid w:val="002B624A"/>
    <w:rsid w:val="002B7CD6"/>
    <w:rsid w:val="002C08D7"/>
    <w:rsid w:val="002C3D0F"/>
    <w:rsid w:val="002C4183"/>
    <w:rsid w:val="002C4668"/>
    <w:rsid w:val="002C5323"/>
    <w:rsid w:val="002D0B09"/>
    <w:rsid w:val="002D45B9"/>
    <w:rsid w:val="002D4EB7"/>
    <w:rsid w:val="002E0F3D"/>
    <w:rsid w:val="002E1B8C"/>
    <w:rsid w:val="002E2E95"/>
    <w:rsid w:val="002E32CE"/>
    <w:rsid w:val="002E459E"/>
    <w:rsid w:val="002E4FAE"/>
    <w:rsid w:val="002E676A"/>
    <w:rsid w:val="002F004E"/>
    <w:rsid w:val="002F0A41"/>
    <w:rsid w:val="002F2F9D"/>
    <w:rsid w:val="002F38D8"/>
    <w:rsid w:val="002F451D"/>
    <w:rsid w:val="002F4DA1"/>
    <w:rsid w:val="002F7769"/>
    <w:rsid w:val="002F7E50"/>
    <w:rsid w:val="00302229"/>
    <w:rsid w:val="00303707"/>
    <w:rsid w:val="00304385"/>
    <w:rsid w:val="0030553F"/>
    <w:rsid w:val="0030699B"/>
    <w:rsid w:val="00307828"/>
    <w:rsid w:val="00312036"/>
    <w:rsid w:val="003120EC"/>
    <w:rsid w:val="003126CD"/>
    <w:rsid w:val="00313B49"/>
    <w:rsid w:val="00313C36"/>
    <w:rsid w:val="00315D11"/>
    <w:rsid w:val="00315D2C"/>
    <w:rsid w:val="00320B61"/>
    <w:rsid w:val="00322464"/>
    <w:rsid w:val="00324F4D"/>
    <w:rsid w:val="00325167"/>
    <w:rsid w:val="00326BA8"/>
    <w:rsid w:val="00330AF9"/>
    <w:rsid w:val="00333493"/>
    <w:rsid w:val="00333931"/>
    <w:rsid w:val="00336997"/>
    <w:rsid w:val="00337CAD"/>
    <w:rsid w:val="00342235"/>
    <w:rsid w:val="00342586"/>
    <w:rsid w:val="00343EB4"/>
    <w:rsid w:val="0034636B"/>
    <w:rsid w:val="003501F8"/>
    <w:rsid w:val="00352F37"/>
    <w:rsid w:val="00353D7A"/>
    <w:rsid w:val="00354361"/>
    <w:rsid w:val="003555BC"/>
    <w:rsid w:val="0036160C"/>
    <w:rsid w:val="00362FA1"/>
    <w:rsid w:val="0036497E"/>
    <w:rsid w:val="00366337"/>
    <w:rsid w:val="0036756F"/>
    <w:rsid w:val="003676A7"/>
    <w:rsid w:val="003707BD"/>
    <w:rsid w:val="00371AA3"/>
    <w:rsid w:val="0037303B"/>
    <w:rsid w:val="003759E1"/>
    <w:rsid w:val="00375F14"/>
    <w:rsid w:val="0037610B"/>
    <w:rsid w:val="00377246"/>
    <w:rsid w:val="003816FE"/>
    <w:rsid w:val="00381CB9"/>
    <w:rsid w:val="00382438"/>
    <w:rsid w:val="00382557"/>
    <w:rsid w:val="00383AEA"/>
    <w:rsid w:val="0038449F"/>
    <w:rsid w:val="00384E13"/>
    <w:rsid w:val="00385AE2"/>
    <w:rsid w:val="00393837"/>
    <w:rsid w:val="0039406C"/>
    <w:rsid w:val="00394B0E"/>
    <w:rsid w:val="00396089"/>
    <w:rsid w:val="003A169E"/>
    <w:rsid w:val="003A27B2"/>
    <w:rsid w:val="003B002C"/>
    <w:rsid w:val="003B17DC"/>
    <w:rsid w:val="003B4FAA"/>
    <w:rsid w:val="003B51B5"/>
    <w:rsid w:val="003B5A71"/>
    <w:rsid w:val="003B7075"/>
    <w:rsid w:val="003C12B5"/>
    <w:rsid w:val="003C1975"/>
    <w:rsid w:val="003C2F10"/>
    <w:rsid w:val="003C5995"/>
    <w:rsid w:val="003C62B7"/>
    <w:rsid w:val="003C72AF"/>
    <w:rsid w:val="003C73B4"/>
    <w:rsid w:val="003C7607"/>
    <w:rsid w:val="003D43E5"/>
    <w:rsid w:val="003D6216"/>
    <w:rsid w:val="003E1B9D"/>
    <w:rsid w:val="003E457D"/>
    <w:rsid w:val="003F1548"/>
    <w:rsid w:val="003F1D15"/>
    <w:rsid w:val="003F30D5"/>
    <w:rsid w:val="003F4BFE"/>
    <w:rsid w:val="003F59AB"/>
    <w:rsid w:val="003F64A3"/>
    <w:rsid w:val="004042E4"/>
    <w:rsid w:val="00407A1B"/>
    <w:rsid w:val="00410E08"/>
    <w:rsid w:val="0041348E"/>
    <w:rsid w:val="00413926"/>
    <w:rsid w:val="00416A2A"/>
    <w:rsid w:val="004247FE"/>
    <w:rsid w:val="00425260"/>
    <w:rsid w:val="00430717"/>
    <w:rsid w:val="00431A32"/>
    <w:rsid w:val="00436C1A"/>
    <w:rsid w:val="0044211D"/>
    <w:rsid w:val="00442174"/>
    <w:rsid w:val="004423C6"/>
    <w:rsid w:val="00454FED"/>
    <w:rsid w:val="00456835"/>
    <w:rsid w:val="00457389"/>
    <w:rsid w:val="0046576D"/>
    <w:rsid w:val="004662CF"/>
    <w:rsid w:val="00471B50"/>
    <w:rsid w:val="0047477C"/>
    <w:rsid w:val="00480922"/>
    <w:rsid w:val="00481735"/>
    <w:rsid w:val="0048523F"/>
    <w:rsid w:val="00485592"/>
    <w:rsid w:val="004861BB"/>
    <w:rsid w:val="00487535"/>
    <w:rsid w:val="004879F7"/>
    <w:rsid w:val="004900D3"/>
    <w:rsid w:val="00491180"/>
    <w:rsid w:val="004911B6"/>
    <w:rsid w:val="00491632"/>
    <w:rsid w:val="0049316D"/>
    <w:rsid w:val="004942E8"/>
    <w:rsid w:val="004A0472"/>
    <w:rsid w:val="004A17F0"/>
    <w:rsid w:val="004A1E8D"/>
    <w:rsid w:val="004A612F"/>
    <w:rsid w:val="004B0F5F"/>
    <w:rsid w:val="004B3AD9"/>
    <w:rsid w:val="004B3E6B"/>
    <w:rsid w:val="004B40EA"/>
    <w:rsid w:val="004B638D"/>
    <w:rsid w:val="004B72BB"/>
    <w:rsid w:val="004C1F4D"/>
    <w:rsid w:val="004D15A0"/>
    <w:rsid w:val="004D27A3"/>
    <w:rsid w:val="004E05D9"/>
    <w:rsid w:val="004E172D"/>
    <w:rsid w:val="004E198E"/>
    <w:rsid w:val="004E6984"/>
    <w:rsid w:val="004F5A38"/>
    <w:rsid w:val="004F71A8"/>
    <w:rsid w:val="005003EE"/>
    <w:rsid w:val="00501B10"/>
    <w:rsid w:val="00501EC4"/>
    <w:rsid w:val="00502F18"/>
    <w:rsid w:val="00503F1E"/>
    <w:rsid w:val="00503FAF"/>
    <w:rsid w:val="005058F7"/>
    <w:rsid w:val="00505BC9"/>
    <w:rsid w:val="0050756B"/>
    <w:rsid w:val="005112F8"/>
    <w:rsid w:val="00511610"/>
    <w:rsid w:val="005126E2"/>
    <w:rsid w:val="0051489B"/>
    <w:rsid w:val="00516B2D"/>
    <w:rsid w:val="00521BB1"/>
    <w:rsid w:val="00523CAA"/>
    <w:rsid w:val="005269C3"/>
    <w:rsid w:val="00527CA8"/>
    <w:rsid w:val="00527FC1"/>
    <w:rsid w:val="00531003"/>
    <w:rsid w:val="00531EFB"/>
    <w:rsid w:val="00533036"/>
    <w:rsid w:val="00533FE4"/>
    <w:rsid w:val="00536701"/>
    <w:rsid w:val="00545D48"/>
    <w:rsid w:val="00546780"/>
    <w:rsid w:val="0054711B"/>
    <w:rsid w:val="005532B1"/>
    <w:rsid w:val="00556BF8"/>
    <w:rsid w:val="00557A64"/>
    <w:rsid w:val="00557FB4"/>
    <w:rsid w:val="005602ED"/>
    <w:rsid w:val="0056113C"/>
    <w:rsid w:val="0056207E"/>
    <w:rsid w:val="00570C4E"/>
    <w:rsid w:val="0057279B"/>
    <w:rsid w:val="005755FA"/>
    <w:rsid w:val="00575680"/>
    <w:rsid w:val="005773A0"/>
    <w:rsid w:val="00577813"/>
    <w:rsid w:val="00577C09"/>
    <w:rsid w:val="00582F9C"/>
    <w:rsid w:val="0058315C"/>
    <w:rsid w:val="0058365E"/>
    <w:rsid w:val="00583DF6"/>
    <w:rsid w:val="00584424"/>
    <w:rsid w:val="0058522F"/>
    <w:rsid w:val="00586053"/>
    <w:rsid w:val="00590431"/>
    <w:rsid w:val="005910B4"/>
    <w:rsid w:val="005A14AF"/>
    <w:rsid w:val="005A3897"/>
    <w:rsid w:val="005A3F5A"/>
    <w:rsid w:val="005A5D85"/>
    <w:rsid w:val="005A79EA"/>
    <w:rsid w:val="005B1862"/>
    <w:rsid w:val="005B2560"/>
    <w:rsid w:val="005B2572"/>
    <w:rsid w:val="005B337D"/>
    <w:rsid w:val="005B4E75"/>
    <w:rsid w:val="005B69A5"/>
    <w:rsid w:val="005B7D80"/>
    <w:rsid w:val="005C0896"/>
    <w:rsid w:val="005C1E84"/>
    <w:rsid w:val="005C3940"/>
    <w:rsid w:val="005C6248"/>
    <w:rsid w:val="005C65C5"/>
    <w:rsid w:val="005C79F8"/>
    <w:rsid w:val="005C7BD7"/>
    <w:rsid w:val="005D2ED4"/>
    <w:rsid w:val="005D3F56"/>
    <w:rsid w:val="005D7871"/>
    <w:rsid w:val="005E0351"/>
    <w:rsid w:val="005E3312"/>
    <w:rsid w:val="005E37DF"/>
    <w:rsid w:val="005E4500"/>
    <w:rsid w:val="005E480B"/>
    <w:rsid w:val="005E4DD0"/>
    <w:rsid w:val="005E6021"/>
    <w:rsid w:val="005E6A77"/>
    <w:rsid w:val="005F5629"/>
    <w:rsid w:val="005F6451"/>
    <w:rsid w:val="006000B2"/>
    <w:rsid w:val="006000C3"/>
    <w:rsid w:val="006010DA"/>
    <w:rsid w:val="00603398"/>
    <w:rsid w:val="0060435C"/>
    <w:rsid w:val="00604B2B"/>
    <w:rsid w:val="006051C1"/>
    <w:rsid w:val="00606931"/>
    <w:rsid w:val="00607714"/>
    <w:rsid w:val="00611928"/>
    <w:rsid w:val="00612CEA"/>
    <w:rsid w:val="00615904"/>
    <w:rsid w:val="006171C6"/>
    <w:rsid w:val="00617771"/>
    <w:rsid w:val="006210E0"/>
    <w:rsid w:val="00621F4D"/>
    <w:rsid w:val="00622E38"/>
    <w:rsid w:val="00623EA2"/>
    <w:rsid w:val="0063244A"/>
    <w:rsid w:val="00635295"/>
    <w:rsid w:val="006358B5"/>
    <w:rsid w:val="00636EAA"/>
    <w:rsid w:val="00637737"/>
    <w:rsid w:val="00637D43"/>
    <w:rsid w:val="00644072"/>
    <w:rsid w:val="00644CB0"/>
    <w:rsid w:val="006514F3"/>
    <w:rsid w:val="0065395C"/>
    <w:rsid w:val="00655F6F"/>
    <w:rsid w:val="00657029"/>
    <w:rsid w:val="0065770E"/>
    <w:rsid w:val="00657B2C"/>
    <w:rsid w:val="006641AC"/>
    <w:rsid w:val="006658D6"/>
    <w:rsid w:val="00667400"/>
    <w:rsid w:val="0066787F"/>
    <w:rsid w:val="00667E24"/>
    <w:rsid w:val="00670433"/>
    <w:rsid w:val="00672F10"/>
    <w:rsid w:val="0067490C"/>
    <w:rsid w:val="00675C1C"/>
    <w:rsid w:val="00677128"/>
    <w:rsid w:val="00677A00"/>
    <w:rsid w:val="00677E37"/>
    <w:rsid w:val="00680AD5"/>
    <w:rsid w:val="00681917"/>
    <w:rsid w:val="00681F4B"/>
    <w:rsid w:val="00682450"/>
    <w:rsid w:val="00682C86"/>
    <w:rsid w:val="00683397"/>
    <w:rsid w:val="006840E8"/>
    <w:rsid w:val="0069114E"/>
    <w:rsid w:val="00696D5E"/>
    <w:rsid w:val="006A28C5"/>
    <w:rsid w:val="006B0402"/>
    <w:rsid w:val="006B09D7"/>
    <w:rsid w:val="006B11F7"/>
    <w:rsid w:val="006B17D8"/>
    <w:rsid w:val="006B1FCC"/>
    <w:rsid w:val="006B21F8"/>
    <w:rsid w:val="006B41C3"/>
    <w:rsid w:val="006B4FB6"/>
    <w:rsid w:val="006B5D51"/>
    <w:rsid w:val="006B6DB5"/>
    <w:rsid w:val="006C0CAF"/>
    <w:rsid w:val="006C19E1"/>
    <w:rsid w:val="006C2704"/>
    <w:rsid w:val="006C36C7"/>
    <w:rsid w:val="006C4DBA"/>
    <w:rsid w:val="006D143D"/>
    <w:rsid w:val="006D1D0F"/>
    <w:rsid w:val="006D2C41"/>
    <w:rsid w:val="006D47C0"/>
    <w:rsid w:val="006D6A50"/>
    <w:rsid w:val="006E0B24"/>
    <w:rsid w:val="006E140E"/>
    <w:rsid w:val="006E3F61"/>
    <w:rsid w:val="006E4527"/>
    <w:rsid w:val="006E6427"/>
    <w:rsid w:val="006E66F7"/>
    <w:rsid w:val="006F497B"/>
    <w:rsid w:val="006F57DB"/>
    <w:rsid w:val="006F5989"/>
    <w:rsid w:val="007015BC"/>
    <w:rsid w:val="00701C1F"/>
    <w:rsid w:val="00704C90"/>
    <w:rsid w:val="0070525D"/>
    <w:rsid w:val="00710420"/>
    <w:rsid w:val="007105C0"/>
    <w:rsid w:val="007105D4"/>
    <w:rsid w:val="00710A75"/>
    <w:rsid w:val="007127EC"/>
    <w:rsid w:val="00714F40"/>
    <w:rsid w:val="007151F5"/>
    <w:rsid w:val="00715C3D"/>
    <w:rsid w:val="00715D5E"/>
    <w:rsid w:val="00716AE5"/>
    <w:rsid w:val="0072041E"/>
    <w:rsid w:val="007222BE"/>
    <w:rsid w:val="00724B9F"/>
    <w:rsid w:val="0072548A"/>
    <w:rsid w:val="00727416"/>
    <w:rsid w:val="00727BA2"/>
    <w:rsid w:val="0073235C"/>
    <w:rsid w:val="007341C8"/>
    <w:rsid w:val="00734F94"/>
    <w:rsid w:val="007379B7"/>
    <w:rsid w:val="00740AB4"/>
    <w:rsid w:val="00741AC3"/>
    <w:rsid w:val="00743176"/>
    <w:rsid w:val="0074561F"/>
    <w:rsid w:val="0074743B"/>
    <w:rsid w:val="00751AAF"/>
    <w:rsid w:val="00755B88"/>
    <w:rsid w:val="00756732"/>
    <w:rsid w:val="00757163"/>
    <w:rsid w:val="007572FE"/>
    <w:rsid w:val="007577C1"/>
    <w:rsid w:val="00760839"/>
    <w:rsid w:val="007628C0"/>
    <w:rsid w:val="0076717D"/>
    <w:rsid w:val="00767B37"/>
    <w:rsid w:val="00770809"/>
    <w:rsid w:val="007721CF"/>
    <w:rsid w:val="00772B55"/>
    <w:rsid w:val="00773CE4"/>
    <w:rsid w:val="00775176"/>
    <w:rsid w:val="00781215"/>
    <w:rsid w:val="007817C4"/>
    <w:rsid w:val="00792BF9"/>
    <w:rsid w:val="007932E8"/>
    <w:rsid w:val="00797E1D"/>
    <w:rsid w:val="007B14C9"/>
    <w:rsid w:val="007B1AC6"/>
    <w:rsid w:val="007B2841"/>
    <w:rsid w:val="007B352C"/>
    <w:rsid w:val="007B36F2"/>
    <w:rsid w:val="007B53CE"/>
    <w:rsid w:val="007B7C5F"/>
    <w:rsid w:val="007B7FCB"/>
    <w:rsid w:val="007C2069"/>
    <w:rsid w:val="007C6257"/>
    <w:rsid w:val="007C667A"/>
    <w:rsid w:val="007C6A7C"/>
    <w:rsid w:val="007C7D99"/>
    <w:rsid w:val="007D163D"/>
    <w:rsid w:val="007D16E3"/>
    <w:rsid w:val="007D25AA"/>
    <w:rsid w:val="007D4C3C"/>
    <w:rsid w:val="007D550C"/>
    <w:rsid w:val="007D56B1"/>
    <w:rsid w:val="007D5A5B"/>
    <w:rsid w:val="007D7FD8"/>
    <w:rsid w:val="007D7FDE"/>
    <w:rsid w:val="007E12D5"/>
    <w:rsid w:val="007E1E37"/>
    <w:rsid w:val="007E7808"/>
    <w:rsid w:val="007F0D0E"/>
    <w:rsid w:val="007F5A75"/>
    <w:rsid w:val="007F5C9F"/>
    <w:rsid w:val="007F6ED4"/>
    <w:rsid w:val="00800192"/>
    <w:rsid w:val="008016C5"/>
    <w:rsid w:val="00804BFF"/>
    <w:rsid w:val="00805044"/>
    <w:rsid w:val="008110E5"/>
    <w:rsid w:val="00811BB5"/>
    <w:rsid w:val="00820CC7"/>
    <w:rsid w:val="0082150C"/>
    <w:rsid w:val="008239FD"/>
    <w:rsid w:val="00825F55"/>
    <w:rsid w:val="008265C2"/>
    <w:rsid w:val="00826FA2"/>
    <w:rsid w:val="00831275"/>
    <w:rsid w:val="008326F3"/>
    <w:rsid w:val="00833327"/>
    <w:rsid w:val="00833F26"/>
    <w:rsid w:val="00835666"/>
    <w:rsid w:val="00840A2C"/>
    <w:rsid w:val="00840EDB"/>
    <w:rsid w:val="00843D54"/>
    <w:rsid w:val="008460C4"/>
    <w:rsid w:val="008471DC"/>
    <w:rsid w:val="00847B7F"/>
    <w:rsid w:val="00850E02"/>
    <w:rsid w:val="00853F32"/>
    <w:rsid w:val="008541FD"/>
    <w:rsid w:val="00856A6A"/>
    <w:rsid w:val="0086029F"/>
    <w:rsid w:val="00860DB9"/>
    <w:rsid w:val="008639FD"/>
    <w:rsid w:val="00865850"/>
    <w:rsid w:val="00870646"/>
    <w:rsid w:val="00871091"/>
    <w:rsid w:val="00871E71"/>
    <w:rsid w:val="00877354"/>
    <w:rsid w:val="00877F62"/>
    <w:rsid w:val="00886ABC"/>
    <w:rsid w:val="00890D97"/>
    <w:rsid w:val="00892611"/>
    <w:rsid w:val="00893D25"/>
    <w:rsid w:val="00894A00"/>
    <w:rsid w:val="00896233"/>
    <w:rsid w:val="008A09A5"/>
    <w:rsid w:val="008A7270"/>
    <w:rsid w:val="008A7B14"/>
    <w:rsid w:val="008B016E"/>
    <w:rsid w:val="008B570E"/>
    <w:rsid w:val="008B59F8"/>
    <w:rsid w:val="008C2CBC"/>
    <w:rsid w:val="008C4E33"/>
    <w:rsid w:val="008D3D82"/>
    <w:rsid w:val="008D5320"/>
    <w:rsid w:val="008D6BBF"/>
    <w:rsid w:val="008D7249"/>
    <w:rsid w:val="008D78D5"/>
    <w:rsid w:val="008E17F4"/>
    <w:rsid w:val="008F051D"/>
    <w:rsid w:val="008F0B4A"/>
    <w:rsid w:val="008F0F67"/>
    <w:rsid w:val="008F209F"/>
    <w:rsid w:val="008F3802"/>
    <w:rsid w:val="008F4723"/>
    <w:rsid w:val="008F57C1"/>
    <w:rsid w:val="008F7032"/>
    <w:rsid w:val="008F705C"/>
    <w:rsid w:val="008F719D"/>
    <w:rsid w:val="00901C8C"/>
    <w:rsid w:val="0090340B"/>
    <w:rsid w:val="00904716"/>
    <w:rsid w:val="009049BE"/>
    <w:rsid w:val="00904CF9"/>
    <w:rsid w:val="009066F5"/>
    <w:rsid w:val="00910595"/>
    <w:rsid w:val="009109F2"/>
    <w:rsid w:val="00914C4D"/>
    <w:rsid w:val="00915B5E"/>
    <w:rsid w:val="00915F48"/>
    <w:rsid w:val="00916DEA"/>
    <w:rsid w:val="00921F8A"/>
    <w:rsid w:val="00922374"/>
    <w:rsid w:val="009303DF"/>
    <w:rsid w:val="0093564C"/>
    <w:rsid w:val="009359E0"/>
    <w:rsid w:val="009373EB"/>
    <w:rsid w:val="00940410"/>
    <w:rsid w:val="009408AE"/>
    <w:rsid w:val="009425E8"/>
    <w:rsid w:val="009428AA"/>
    <w:rsid w:val="0094328A"/>
    <w:rsid w:val="00955FAF"/>
    <w:rsid w:val="00956E13"/>
    <w:rsid w:val="00963333"/>
    <w:rsid w:val="00963949"/>
    <w:rsid w:val="009674F4"/>
    <w:rsid w:val="0096753C"/>
    <w:rsid w:val="0096760E"/>
    <w:rsid w:val="00971904"/>
    <w:rsid w:val="009723E2"/>
    <w:rsid w:val="009728EC"/>
    <w:rsid w:val="00972C01"/>
    <w:rsid w:val="00975307"/>
    <w:rsid w:val="009769E5"/>
    <w:rsid w:val="00976E0E"/>
    <w:rsid w:val="00980900"/>
    <w:rsid w:val="00981F19"/>
    <w:rsid w:val="00983B76"/>
    <w:rsid w:val="00983BD0"/>
    <w:rsid w:val="00983CEB"/>
    <w:rsid w:val="009841DF"/>
    <w:rsid w:val="00986111"/>
    <w:rsid w:val="00986FE8"/>
    <w:rsid w:val="00990C63"/>
    <w:rsid w:val="009916A7"/>
    <w:rsid w:val="00992CA0"/>
    <w:rsid w:val="00992CB5"/>
    <w:rsid w:val="00996F61"/>
    <w:rsid w:val="009979C2"/>
    <w:rsid w:val="009A2AD7"/>
    <w:rsid w:val="009A3637"/>
    <w:rsid w:val="009A4122"/>
    <w:rsid w:val="009A45DE"/>
    <w:rsid w:val="009A4B6A"/>
    <w:rsid w:val="009A6CA3"/>
    <w:rsid w:val="009B2845"/>
    <w:rsid w:val="009B388B"/>
    <w:rsid w:val="009B3FE5"/>
    <w:rsid w:val="009B4F8E"/>
    <w:rsid w:val="009B50BA"/>
    <w:rsid w:val="009B6FBE"/>
    <w:rsid w:val="009C0498"/>
    <w:rsid w:val="009C4B78"/>
    <w:rsid w:val="009C547D"/>
    <w:rsid w:val="009C61AA"/>
    <w:rsid w:val="009D10FF"/>
    <w:rsid w:val="009D111A"/>
    <w:rsid w:val="009D115B"/>
    <w:rsid w:val="009D383B"/>
    <w:rsid w:val="009D3AA0"/>
    <w:rsid w:val="009D56DB"/>
    <w:rsid w:val="009D64F4"/>
    <w:rsid w:val="009E01C7"/>
    <w:rsid w:val="009E74A3"/>
    <w:rsid w:val="009F12AA"/>
    <w:rsid w:val="009F2100"/>
    <w:rsid w:val="009F2994"/>
    <w:rsid w:val="009F3AA4"/>
    <w:rsid w:val="009F5D39"/>
    <w:rsid w:val="009F731E"/>
    <w:rsid w:val="009F7B5A"/>
    <w:rsid w:val="00A03465"/>
    <w:rsid w:val="00A05186"/>
    <w:rsid w:val="00A07D6D"/>
    <w:rsid w:val="00A101C8"/>
    <w:rsid w:val="00A103CF"/>
    <w:rsid w:val="00A111A0"/>
    <w:rsid w:val="00A14A78"/>
    <w:rsid w:val="00A152CD"/>
    <w:rsid w:val="00A1566A"/>
    <w:rsid w:val="00A163A3"/>
    <w:rsid w:val="00A16752"/>
    <w:rsid w:val="00A16E16"/>
    <w:rsid w:val="00A20265"/>
    <w:rsid w:val="00A22E94"/>
    <w:rsid w:val="00A23B64"/>
    <w:rsid w:val="00A24329"/>
    <w:rsid w:val="00A24725"/>
    <w:rsid w:val="00A262F6"/>
    <w:rsid w:val="00A26CBB"/>
    <w:rsid w:val="00A27733"/>
    <w:rsid w:val="00A27E18"/>
    <w:rsid w:val="00A27FD9"/>
    <w:rsid w:val="00A303EB"/>
    <w:rsid w:val="00A3109C"/>
    <w:rsid w:val="00A34E5C"/>
    <w:rsid w:val="00A4328B"/>
    <w:rsid w:val="00A43D07"/>
    <w:rsid w:val="00A502AC"/>
    <w:rsid w:val="00A55E02"/>
    <w:rsid w:val="00A625A7"/>
    <w:rsid w:val="00A62F71"/>
    <w:rsid w:val="00A648FC"/>
    <w:rsid w:val="00A742FA"/>
    <w:rsid w:val="00A7549F"/>
    <w:rsid w:val="00A77BAF"/>
    <w:rsid w:val="00A81815"/>
    <w:rsid w:val="00A82DA0"/>
    <w:rsid w:val="00A84343"/>
    <w:rsid w:val="00A8447A"/>
    <w:rsid w:val="00A848FF"/>
    <w:rsid w:val="00A905A7"/>
    <w:rsid w:val="00A92406"/>
    <w:rsid w:val="00A95503"/>
    <w:rsid w:val="00A95BC0"/>
    <w:rsid w:val="00A961CA"/>
    <w:rsid w:val="00A9700F"/>
    <w:rsid w:val="00A9793F"/>
    <w:rsid w:val="00A97C55"/>
    <w:rsid w:val="00AA1BB6"/>
    <w:rsid w:val="00AA1C38"/>
    <w:rsid w:val="00AA2FF5"/>
    <w:rsid w:val="00AA405C"/>
    <w:rsid w:val="00AA70D9"/>
    <w:rsid w:val="00AB1EAA"/>
    <w:rsid w:val="00AB317A"/>
    <w:rsid w:val="00AB33CB"/>
    <w:rsid w:val="00AB69E2"/>
    <w:rsid w:val="00AB6E37"/>
    <w:rsid w:val="00AC023F"/>
    <w:rsid w:val="00AC288E"/>
    <w:rsid w:val="00AC3B40"/>
    <w:rsid w:val="00AC51A1"/>
    <w:rsid w:val="00AC7AB6"/>
    <w:rsid w:val="00AD1E65"/>
    <w:rsid w:val="00AD3418"/>
    <w:rsid w:val="00AD4151"/>
    <w:rsid w:val="00AE10F1"/>
    <w:rsid w:val="00AE2DA7"/>
    <w:rsid w:val="00AE4586"/>
    <w:rsid w:val="00AE579E"/>
    <w:rsid w:val="00AE6226"/>
    <w:rsid w:val="00AE7703"/>
    <w:rsid w:val="00AE7BAC"/>
    <w:rsid w:val="00AE7D43"/>
    <w:rsid w:val="00AE7D97"/>
    <w:rsid w:val="00AF358A"/>
    <w:rsid w:val="00AF7403"/>
    <w:rsid w:val="00AF7DAC"/>
    <w:rsid w:val="00B00BA2"/>
    <w:rsid w:val="00B00BEE"/>
    <w:rsid w:val="00B00C9E"/>
    <w:rsid w:val="00B0208A"/>
    <w:rsid w:val="00B03A13"/>
    <w:rsid w:val="00B04465"/>
    <w:rsid w:val="00B05AED"/>
    <w:rsid w:val="00B07F39"/>
    <w:rsid w:val="00B13E9A"/>
    <w:rsid w:val="00B14D70"/>
    <w:rsid w:val="00B2182E"/>
    <w:rsid w:val="00B2291E"/>
    <w:rsid w:val="00B22994"/>
    <w:rsid w:val="00B229E9"/>
    <w:rsid w:val="00B2496D"/>
    <w:rsid w:val="00B25647"/>
    <w:rsid w:val="00B26161"/>
    <w:rsid w:val="00B26BB0"/>
    <w:rsid w:val="00B31D97"/>
    <w:rsid w:val="00B32674"/>
    <w:rsid w:val="00B357D8"/>
    <w:rsid w:val="00B35CCB"/>
    <w:rsid w:val="00B40CD7"/>
    <w:rsid w:val="00B42D36"/>
    <w:rsid w:val="00B44023"/>
    <w:rsid w:val="00B44D07"/>
    <w:rsid w:val="00B52AFC"/>
    <w:rsid w:val="00B53F91"/>
    <w:rsid w:val="00B543E2"/>
    <w:rsid w:val="00B55325"/>
    <w:rsid w:val="00B55538"/>
    <w:rsid w:val="00B55ACD"/>
    <w:rsid w:val="00B55B03"/>
    <w:rsid w:val="00B56B24"/>
    <w:rsid w:val="00B61D76"/>
    <w:rsid w:val="00B6375B"/>
    <w:rsid w:val="00B71DF9"/>
    <w:rsid w:val="00B733D1"/>
    <w:rsid w:val="00B73BE5"/>
    <w:rsid w:val="00B74344"/>
    <w:rsid w:val="00B7467F"/>
    <w:rsid w:val="00B75BC9"/>
    <w:rsid w:val="00B779B3"/>
    <w:rsid w:val="00B779D8"/>
    <w:rsid w:val="00B848E5"/>
    <w:rsid w:val="00B94101"/>
    <w:rsid w:val="00B94834"/>
    <w:rsid w:val="00B95444"/>
    <w:rsid w:val="00B95BC8"/>
    <w:rsid w:val="00BA0477"/>
    <w:rsid w:val="00BA1A7A"/>
    <w:rsid w:val="00BA37D6"/>
    <w:rsid w:val="00BA3F23"/>
    <w:rsid w:val="00BA44A7"/>
    <w:rsid w:val="00BA58E5"/>
    <w:rsid w:val="00BB1C11"/>
    <w:rsid w:val="00BB4BF1"/>
    <w:rsid w:val="00BB5DB3"/>
    <w:rsid w:val="00BB667A"/>
    <w:rsid w:val="00BB7102"/>
    <w:rsid w:val="00BC1893"/>
    <w:rsid w:val="00BC2DA9"/>
    <w:rsid w:val="00BC35F9"/>
    <w:rsid w:val="00BD0127"/>
    <w:rsid w:val="00BD10BA"/>
    <w:rsid w:val="00BD14B6"/>
    <w:rsid w:val="00BD1614"/>
    <w:rsid w:val="00BD1D3A"/>
    <w:rsid w:val="00BD276A"/>
    <w:rsid w:val="00BD3B4F"/>
    <w:rsid w:val="00BD5008"/>
    <w:rsid w:val="00BD5143"/>
    <w:rsid w:val="00BD5913"/>
    <w:rsid w:val="00BE0F8D"/>
    <w:rsid w:val="00BE25E6"/>
    <w:rsid w:val="00BE5A56"/>
    <w:rsid w:val="00BE5F21"/>
    <w:rsid w:val="00BE5F92"/>
    <w:rsid w:val="00BF17A9"/>
    <w:rsid w:val="00BF3EBA"/>
    <w:rsid w:val="00BF3FF1"/>
    <w:rsid w:val="00C01401"/>
    <w:rsid w:val="00C02D31"/>
    <w:rsid w:val="00C07823"/>
    <w:rsid w:val="00C10BA3"/>
    <w:rsid w:val="00C11C7D"/>
    <w:rsid w:val="00C1611C"/>
    <w:rsid w:val="00C21C2C"/>
    <w:rsid w:val="00C23410"/>
    <w:rsid w:val="00C23A11"/>
    <w:rsid w:val="00C246E8"/>
    <w:rsid w:val="00C24EF2"/>
    <w:rsid w:val="00C25740"/>
    <w:rsid w:val="00C26256"/>
    <w:rsid w:val="00C26467"/>
    <w:rsid w:val="00C30A4E"/>
    <w:rsid w:val="00C35889"/>
    <w:rsid w:val="00C37452"/>
    <w:rsid w:val="00C41770"/>
    <w:rsid w:val="00C4308E"/>
    <w:rsid w:val="00C4613D"/>
    <w:rsid w:val="00C55EEE"/>
    <w:rsid w:val="00C60BB3"/>
    <w:rsid w:val="00C6463A"/>
    <w:rsid w:val="00C65CFB"/>
    <w:rsid w:val="00C65F0F"/>
    <w:rsid w:val="00C6732C"/>
    <w:rsid w:val="00C67FC3"/>
    <w:rsid w:val="00C74260"/>
    <w:rsid w:val="00C80CD0"/>
    <w:rsid w:val="00C81C01"/>
    <w:rsid w:val="00C823FE"/>
    <w:rsid w:val="00C82EFD"/>
    <w:rsid w:val="00C84F9A"/>
    <w:rsid w:val="00C8664F"/>
    <w:rsid w:val="00C867C6"/>
    <w:rsid w:val="00C868EA"/>
    <w:rsid w:val="00C86CF4"/>
    <w:rsid w:val="00C90736"/>
    <w:rsid w:val="00C945B4"/>
    <w:rsid w:val="00C96AD1"/>
    <w:rsid w:val="00C96D67"/>
    <w:rsid w:val="00C970AF"/>
    <w:rsid w:val="00CA057F"/>
    <w:rsid w:val="00CA3CF2"/>
    <w:rsid w:val="00CB1072"/>
    <w:rsid w:val="00CB1393"/>
    <w:rsid w:val="00CB2265"/>
    <w:rsid w:val="00CB70B8"/>
    <w:rsid w:val="00CC00E7"/>
    <w:rsid w:val="00CC0DE2"/>
    <w:rsid w:val="00CC10B8"/>
    <w:rsid w:val="00CC27E2"/>
    <w:rsid w:val="00CC324D"/>
    <w:rsid w:val="00CC44B0"/>
    <w:rsid w:val="00CC63A3"/>
    <w:rsid w:val="00CD061C"/>
    <w:rsid w:val="00CD0AD6"/>
    <w:rsid w:val="00CD1693"/>
    <w:rsid w:val="00CD2961"/>
    <w:rsid w:val="00CD4D48"/>
    <w:rsid w:val="00CD5DBA"/>
    <w:rsid w:val="00CD65F5"/>
    <w:rsid w:val="00CD7823"/>
    <w:rsid w:val="00CD7F11"/>
    <w:rsid w:val="00CE0AE0"/>
    <w:rsid w:val="00CE2357"/>
    <w:rsid w:val="00CE27F6"/>
    <w:rsid w:val="00CE2CFA"/>
    <w:rsid w:val="00CE2D5D"/>
    <w:rsid w:val="00CE3690"/>
    <w:rsid w:val="00CE386D"/>
    <w:rsid w:val="00CE4E4F"/>
    <w:rsid w:val="00CE6951"/>
    <w:rsid w:val="00CF187E"/>
    <w:rsid w:val="00CF198E"/>
    <w:rsid w:val="00CF53DE"/>
    <w:rsid w:val="00D0398F"/>
    <w:rsid w:val="00D064E3"/>
    <w:rsid w:val="00D14BEF"/>
    <w:rsid w:val="00D152CB"/>
    <w:rsid w:val="00D1709A"/>
    <w:rsid w:val="00D17603"/>
    <w:rsid w:val="00D20709"/>
    <w:rsid w:val="00D23A03"/>
    <w:rsid w:val="00D24EAB"/>
    <w:rsid w:val="00D26623"/>
    <w:rsid w:val="00D2775C"/>
    <w:rsid w:val="00D328F4"/>
    <w:rsid w:val="00D32B87"/>
    <w:rsid w:val="00D33703"/>
    <w:rsid w:val="00D415E5"/>
    <w:rsid w:val="00D416CF"/>
    <w:rsid w:val="00D4228A"/>
    <w:rsid w:val="00D42B09"/>
    <w:rsid w:val="00D42DD8"/>
    <w:rsid w:val="00D45D6F"/>
    <w:rsid w:val="00D5406D"/>
    <w:rsid w:val="00D54797"/>
    <w:rsid w:val="00D56797"/>
    <w:rsid w:val="00D570AE"/>
    <w:rsid w:val="00D6017A"/>
    <w:rsid w:val="00D60FEC"/>
    <w:rsid w:val="00D6132C"/>
    <w:rsid w:val="00D65C7A"/>
    <w:rsid w:val="00D6705C"/>
    <w:rsid w:val="00D709F4"/>
    <w:rsid w:val="00D71300"/>
    <w:rsid w:val="00D71349"/>
    <w:rsid w:val="00D72F3F"/>
    <w:rsid w:val="00D752C3"/>
    <w:rsid w:val="00D765A2"/>
    <w:rsid w:val="00D76918"/>
    <w:rsid w:val="00D81C58"/>
    <w:rsid w:val="00D823CC"/>
    <w:rsid w:val="00D832EE"/>
    <w:rsid w:val="00D83361"/>
    <w:rsid w:val="00D83602"/>
    <w:rsid w:val="00D85A45"/>
    <w:rsid w:val="00D85A9D"/>
    <w:rsid w:val="00D91864"/>
    <w:rsid w:val="00D93101"/>
    <w:rsid w:val="00D94204"/>
    <w:rsid w:val="00D95DA3"/>
    <w:rsid w:val="00D963C8"/>
    <w:rsid w:val="00D97935"/>
    <w:rsid w:val="00DA3C41"/>
    <w:rsid w:val="00DA5CFE"/>
    <w:rsid w:val="00DA65EE"/>
    <w:rsid w:val="00DB040E"/>
    <w:rsid w:val="00DB05B2"/>
    <w:rsid w:val="00DB4738"/>
    <w:rsid w:val="00DB53F6"/>
    <w:rsid w:val="00DC17C4"/>
    <w:rsid w:val="00DC2AEC"/>
    <w:rsid w:val="00DD1406"/>
    <w:rsid w:val="00DD2A5F"/>
    <w:rsid w:val="00DD788C"/>
    <w:rsid w:val="00DD7F3D"/>
    <w:rsid w:val="00DE0E81"/>
    <w:rsid w:val="00DE4A68"/>
    <w:rsid w:val="00DE7BE5"/>
    <w:rsid w:val="00DF02A4"/>
    <w:rsid w:val="00DF136B"/>
    <w:rsid w:val="00DF14C8"/>
    <w:rsid w:val="00DF602F"/>
    <w:rsid w:val="00DF646E"/>
    <w:rsid w:val="00DF6C25"/>
    <w:rsid w:val="00DF7351"/>
    <w:rsid w:val="00E04B86"/>
    <w:rsid w:val="00E05349"/>
    <w:rsid w:val="00E06330"/>
    <w:rsid w:val="00E06BE6"/>
    <w:rsid w:val="00E13484"/>
    <w:rsid w:val="00E152EE"/>
    <w:rsid w:val="00E172B7"/>
    <w:rsid w:val="00E2092E"/>
    <w:rsid w:val="00E245EF"/>
    <w:rsid w:val="00E316C2"/>
    <w:rsid w:val="00E31EC7"/>
    <w:rsid w:val="00E330AA"/>
    <w:rsid w:val="00E33904"/>
    <w:rsid w:val="00E37390"/>
    <w:rsid w:val="00E4169E"/>
    <w:rsid w:val="00E41C10"/>
    <w:rsid w:val="00E445B2"/>
    <w:rsid w:val="00E4732E"/>
    <w:rsid w:val="00E47947"/>
    <w:rsid w:val="00E5116F"/>
    <w:rsid w:val="00E51B8B"/>
    <w:rsid w:val="00E51BDD"/>
    <w:rsid w:val="00E51E6E"/>
    <w:rsid w:val="00E52D52"/>
    <w:rsid w:val="00E52F08"/>
    <w:rsid w:val="00E53FE4"/>
    <w:rsid w:val="00E54A4A"/>
    <w:rsid w:val="00E60450"/>
    <w:rsid w:val="00E61DBD"/>
    <w:rsid w:val="00E66016"/>
    <w:rsid w:val="00E6659C"/>
    <w:rsid w:val="00E70299"/>
    <w:rsid w:val="00E72523"/>
    <w:rsid w:val="00E725BD"/>
    <w:rsid w:val="00E73849"/>
    <w:rsid w:val="00E744F0"/>
    <w:rsid w:val="00E74C52"/>
    <w:rsid w:val="00E76BE4"/>
    <w:rsid w:val="00E809A3"/>
    <w:rsid w:val="00E81974"/>
    <w:rsid w:val="00E81A85"/>
    <w:rsid w:val="00E85BFA"/>
    <w:rsid w:val="00E85C81"/>
    <w:rsid w:val="00E913F2"/>
    <w:rsid w:val="00E93C4A"/>
    <w:rsid w:val="00E94390"/>
    <w:rsid w:val="00E94FA7"/>
    <w:rsid w:val="00E96AD6"/>
    <w:rsid w:val="00EB4261"/>
    <w:rsid w:val="00EB4B3B"/>
    <w:rsid w:val="00EB4BC3"/>
    <w:rsid w:val="00EB6193"/>
    <w:rsid w:val="00EB72D4"/>
    <w:rsid w:val="00EC134B"/>
    <w:rsid w:val="00EC33CB"/>
    <w:rsid w:val="00EC49FE"/>
    <w:rsid w:val="00EC544D"/>
    <w:rsid w:val="00EC7D91"/>
    <w:rsid w:val="00ED29CD"/>
    <w:rsid w:val="00ED2D77"/>
    <w:rsid w:val="00ED331B"/>
    <w:rsid w:val="00ED586A"/>
    <w:rsid w:val="00ED68E1"/>
    <w:rsid w:val="00EE04B7"/>
    <w:rsid w:val="00EE1E06"/>
    <w:rsid w:val="00EE4981"/>
    <w:rsid w:val="00EE664E"/>
    <w:rsid w:val="00EE7B72"/>
    <w:rsid w:val="00EF466E"/>
    <w:rsid w:val="00EF4D03"/>
    <w:rsid w:val="00EF58D7"/>
    <w:rsid w:val="00EF5C08"/>
    <w:rsid w:val="00EF69D6"/>
    <w:rsid w:val="00F00F11"/>
    <w:rsid w:val="00F01CEA"/>
    <w:rsid w:val="00F01EB7"/>
    <w:rsid w:val="00F0547B"/>
    <w:rsid w:val="00F06E7D"/>
    <w:rsid w:val="00F10599"/>
    <w:rsid w:val="00F107FA"/>
    <w:rsid w:val="00F10EB5"/>
    <w:rsid w:val="00F11367"/>
    <w:rsid w:val="00F12AFF"/>
    <w:rsid w:val="00F16F28"/>
    <w:rsid w:val="00F174F8"/>
    <w:rsid w:val="00F22BA7"/>
    <w:rsid w:val="00F241C1"/>
    <w:rsid w:val="00F3073A"/>
    <w:rsid w:val="00F30E8A"/>
    <w:rsid w:val="00F33BC3"/>
    <w:rsid w:val="00F344AA"/>
    <w:rsid w:val="00F35EA1"/>
    <w:rsid w:val="00F36239"/>
    <w:rsid w:val="00F40695"/>
    <w:rsid w:val="00F40BE1"/>
    <w:rsid w:val="00F42442"/>
    <w:rsid w:val="00F43449"/>
    <w:rsid w:val="00F449EF"/>
    <w:rsid w:val="00F46518"/>
    <w:rsid w:val="00F5481E"/>
    <w:rsid w:val="00F60F6C"/>
    <w:rsid w:val="00F6163F"/>
    <w:rsid w:val="00F618D7"/>
    <w:rsid w:val="00F621E2"/>
    <w:rsid w:val="00F635A2"/>
    <w:rsid w:val="00F65529"/>
    <w:rsid w:val="00F725E8"/>
    <w:rsid w:val="00F72B7A"/>
    <w:rsid w:val="00F75022"/>
    <w:rsid w:val="00F7540B"/>
    <w:rsid w:val="00F75E46"/>
    <w:rsid w:val="00F76113"/>
    <w:rsid w:val="00F76A53"/>
    <w:rsid w:val="00F77DB1"/>
    <w:rsid w:val="00F77E85"/>
    <w:rsid w:val="00F8135A"/>
    <w:rsid w:val="00F824E2"/>
    <w:rsid w:val="00F8287B"/>
    <w:rsid w:val="00F84598"/>
    <w:rsid w:val="00F853C6"/>
    <w:rsid w:val="00F90DBF"/>
    <w:rsid w:val="00F91690"/>
    <w:rsid w:val="00F9342B"/>
    <w:rsid w:val="00F95171"/>
    <w:rsid w:val="00F956A5"/>
    <w:rsid w:val="00F9648E"/>
    <w:rsid w:val="00F97E82"/>
    <w:rsid w:val="00FA0925"/>
    <w:rsid w:val="00FA1900"/>
    <w:rsid w:val="00FA1CB9"/>
    <w:rsid w:val="00FA1E43"/>
    <w:rsid w:val="00FA292A"/>
    <w:rsid w:val="00FA3367"/>
    <w:rsid w:val="00FB67ED"/>
    <w:rsid w:val="00FC0465"/>
    <w:rsid w:val="00FC09C2"/>
    <w:rsid w:val="00FC150C"/>
    <w:rsid w:val="00FC2571"/>
    <w:rsid w:val="00FC27FD"/>
    <w:rsid w:val="00FC2CCA"/>
    <w:rsid w:val="00FC39DD"/>
    <w:rsid w:val="00FC3BD2"/>
    <w:rsid w:val="00FC6150"/>
    <w:rsid w:val="00FC66FD"/>
    <w:rsid w:val="00FC6BB1"/>
    <w:rsid w:val="00FC7A99"/>
    <w:rsid w:val="00FD0910"/>
    <w:rsid w:val="00FD5DBE"/>
    <w:rsid w:val="00FD7DEA"/>
    <w:rsid w:val="00FE12D4"/>
    <w:rsid w:val="00FE1500"/>
    <w:rsid w:val="00FE3147"/>
    <w:rsid w:val="00FE475B"/>
    <w:rsid w:val="00FF2BBD"/>
    <w:rsid w:val="00FF339F"/>
    <w:rsid w:val="00FF5BB9"/>
    <w:rsid w:val="00FF5E31"/>
    <w:rsid w:val="00FF5E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23139DA"/>
  <w15:docId w15:val="{35551E9D-E34E-4F20-8749-760B1127D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MS Mincho"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rPr>
  </w:style>
  <w:style w:type="paragraph" w:styleId="Heading1">
    <w:name w:val="heading 1"/>
    <w:basedOn w:val="Normal"/>
    <w:next w:val="Normal"/>
    <w:qFormat/>
    <w:pPr>
      <w:keepNext/>
      <w:outlineLvl w:val="0"/>
    </w:pPr>
    <w:rPr>
      <w:rFonts w:ascii="Times New Roman" w:hAnsi="Times New Roman"/>
      <w:b/>
      <w:sz w:val="24"/>
    </w:rPr>
  </w:style>
  <w:style w:type="paragraph" w:styleId="Heading2">
    <w:name w:val="heading 2"/>
    <w:basedOn w:val="Normal"/>
    <w:next w:val="NormalIndent"/>
    <w:qFormat/>
    <w:pPr>
      <w:keepNext/>
      <w:outlineLvl w:val="1"/>
    </w:pPr>
    <w:rPr>
      <w:rFonts w:ascii="Times New Roman" w:hAnsi="Times New Roman"/>
      <w:i/>
      <w:sz w:val="24"/>
    </w:rPr>
  </w:style>
  <w:style w:type="paragraph" w:styleId="Heading3">
    <w:name w:val="heading 3"/>
    <w:basedOn w:val="Normal"/>
    <w:next w:val="NormalIndent"/>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Times New Roman" w:hAnsi="Times New Roman"/>
      <w:b/>
      <w:sz w:val="24"/>
    </w:rPr>
  </w:style>
  <w:style w:type="paragraph" w:styleId="BodyText2">
    <w:name w:val="Body Text 2"/>
    <w:basedOn w:val="Normal"/>
    <w:link w:val="BodyText2Char"/>
    <w:rPr>
      <w:rFonts w:ascii="Times New Roman" w:hAnsi="Times New Roman"/>
      <w:sz w:val="24"/>
    </w:rPr>
  </w:style>
  <w:style w:type="paragraph" w:styleId="NormalIndent">
    <w:name w:val="Normal Indent"/>
    <w:basedOn w:val="Normal"/>
    <w:pPr>
      <w:ind w:left="851"/>
    </w:pPr>
  </w:style>
  <w:style w:type="paragraph" w:styleId="BodyTextIndent">
    <w:name w:val="Body Text Indent"/>
    <w:basedOn w:val="Normal"/>
    <w:link w:val="BodyTextIndentChar"/>
    <w:pPr>
      <w:ind w:left="851" w:hanging="851"/>
      <w:jc w:val="left"/>
    </w:pPr>
    <w:rPr>
      <w:rFonts w:ascii="Times New Roman" w:hAnsi="Times New Roman"/>
      <w:sz w:val="24"/>
    </w:rPr>
  </w:style>
  <w:style w:type="paragraph" w:styleId="Footer">
    <w:name w:val="footer"/>
    <w:basedOn w:val="Normal"/>
    <w:pPr>
      <w:tabs>
        <w:tab w:val="center" w:pos="4252"/>
        <w:tab w:val="right" w:pos="8504"/>
      </w:tabs>
      <w:snapToGrid w:val="0"/>
    </w:pPr>
  </w:style>
  <w:style w:type="character" w:styleId="PageNumber">
    <w:name w:val="page number"/>
    <w:basedOn w:val="DefaultParagraphFont"/>
  </w:style>
  <w:style w:type="paragraph" w:styleId="Header">
    <w:name w:val="header"/>
    <w:basedOn w:val="Normal"/>
    <w:pPr>
      <w:tabs>
        <w:tab w:val="center" w:pos="4252"/>
        <w:tab w:val="right" w:pos="8504"/>
      </w:tabs>
      <w:snapToGrid w:val="0"/>
    </w:pPr>
  </w:style>
  <w:style w:type="paragraph" w:styleId="BalloonText">
    <w:name w:val="Balloon Text"/>
    <w:basedOn w:val="Normal"/>
    <w:semiHidden/>
    <w:rsid w:val="00210486"/>
    <w:rPr>
      <w:rFonts w:ascii="Arial" w:eastAsia="MS Gothic" w:hAnsi="Arial"/>
      <w:sz w:val="18"/>
      <w:szCs w:val="18"/>
    </w:rPr>
  </w:style>
  <w:style w:type="character" w:styleId="Hyperlink">
    <w:name w:val="Hyperlink"/>
    <w:rsid w:val="00536701"/>
    <w:rPr>
      <w:color w:val="0000FF"/>
      <w:u w:val="single"/>
    </w:rPr>
  </w:style>
  <w:style w:type="paragraph" w:styleId="ListParagraph">
    <w:name w:val="List Paragraph"/>
    <w:basedOn w:val="Normal"/>
    <w:uiPriority w:val="34"/>
    <w:qFormat/>
    <w:rsid w:val="000D71A4"/>
    <w:pPr>
      <w:ind w:leftChars="400" w:left="840"/>
    </w:pPr>
    <w:rPr>
      <w:szCs w:val="24"/>
    </w:rPr>
  </w:style>
  <w:style w:type="character" w:customStyle="1" w:styleId="rprtid1">
    <w:name w:val="rprtid1"/>
    <w:rsid w:val="009373EB"/>
    <w:rPr>
      <w:vanish w:val="0"/>
      <w:webHidden w:val="0"/>
      <w:color w:val="696969"/>
      <w:specVanish w:val="0"/>
    </w:rPr>
  </w:style>
  <w:style w:type="character" w:customStyle="1" w:styleId="src1">
    <w:name w:val="src1"/>
    <w:rsid w:val="009373EB"/>
    <w:rPr>
      <w:vanish w:val="0"/>
      <w:webHidden w:val="0"/>
      <w:specVanish w:val="0"/>
    </w:rPr>
  </w:style>
  <w:style w:type="character" w:customStyle="1" w:styleId="BodyText2Char">
    <w:name w:val="Body Text 2 Char"/>
    <w:basedOn w:val="DefaultParagraphFont"/>
    <w:link w:val="BodyText2"/>
    <w:rsid w:val="00B00BA2"/>
    <w:rPr>
      <w:rFonts w:ascii="Times New Roman" w:hAnsi="Times New Roman"/>
      <w:kern w:val="2"/>
      <w:sz w:val="24"/>
    </w:rPr>
  </w:style>
  <w:style w:type="paragraph" w:styleId="CommentText">
    <w:name w:val="annotation text"/>
    <w:basedOn w:val="Normal"/>
    <w:link w:val="CommentTextChar"/>
    <w:semiHidden/>
    <w:unhideWhenUsed/>
    <w:rsid w:val="002F4DA1"/>
    <w:pPr>
      <w:jc w:val="left"/>
    </w:pPr>
  </w:style>
  <w:style w:type="character" w:customStyle="1" w:styleId="CommentTextChar">
    <w:name w:val="Comment Text Char"/>
    <w:basedOn w:val="DefaultParagraphFont"/>
    <w:link w:val="CommentText"/>
    <w:semiHidden/>
    <w:rsid w:val="002F4DA1"/>
    <w:rPr>
      <w:kern w:val="2"/>
      <w:sz w:val="21"/>
    </w:rPr>
  </w:style>
  <w:style w:type="character" w:styleId="CommentReference">
    <w:name w:val="annotation reference"/>
    <w:basedOn w:val="DefaultParagraphFont"/>
    <w:semiHidden/>
    <w:unhideWhenUsed/>
    <w:rsid w:val="002F4DA1"/>
    <w:rPr>
      <w:sz w:val="18"/>
      <w:szCs w:val="18"/>
    </w:rPr>
  </w:style>
  <w:style w:type="character" w:customStyle="1" w:styleId="BodyTextIndentChar">
    <w:name w:val="Body Text Indent Char"/>
    <w:link w:val="BodyTextIndent"/>
    <w:rsid w:val="009F2100"/>
    <w:rPr>
      <w:rFonts w:ascii="Times New Roman" w:hAnsi="Times New Roman"/>
      <w:kern w:val="2"/>
      <w:sz w:val="24"/>
    </w:rPr>
  </w:style>
  <w:style w:type="paragraph" w:styleId="CommentSubject">
    <w:name w:val="annotation subject"/>
    <w:basedOn w:val="CommentText"/>
    <w:next w:val="CommentText"/>
    <w:link w:val="CommentSubjectChar"/>
    <w:semiHidden/>
    <w:unhideWhenUsed/>
    <w:rsid w:val="001F2C45"/>
    <w:rPr>
      <w:b/>
      <w:bCs/>
    </w:rPr>
  </w:style>
  <w:style w:type="character" w:customStyle="1" w:styleId="CommentSubjectChar">
    <w:name w:val="Comment Subject Char"/>
    <w:basedOn w:val="CommentTextChar"/>
    <w:link w:val="CommentSubject"/>
    <w:semiHidden/>
    <w:rsid w:val="001F2C45"/>
    <w:rPr>
      <w:b/>
      <w:bCs/>
      <w:kern w:val="2"/>
      <w:sz w:val="21"/>
    </w:rPr>
  </w:style>
  <w:style w:type="paragraph" w:styleId="Revision">
    <w:name w:val="Revision"/>
    <w:hidden/>
    <w:uiPriority w:val="99"/>
    <w:semiHidden/>
    <w:rsid w:val="00804BFF"/>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581542">
      <w:bodyDiv w:val="1"/>
      <w:marLeft w:val="0"/>
      <w:marRight w:val="0"/>
      <w:marTop w:val="0"/>
      <w:marBottom w:val="0"/>
      <w:divBdr>
        <w:top w:val="none" w:sz="0" w:space="0" w:color="auto"/>
        <w:left w:val="none" w:sz="0" w:space="0" w:color="auto"/>
        <w:bottom w:val="none" w:sz="0" w:space="0" w:color="auto"/>
        <w:right w:val="none" w:sz="0" w:space="0" w:color="auto"/>
      </w:divBdr>
      <w:divsChild>
        <w:div w:id="1617323879">
          <w:marLeft w:val="0"/>
          <w:marRight w:val="0"/>
          <w:marTop w:val="240"/>
          <w:marBottom w:val="0"/>
          <w:divBdr>
            <w:top w:val="none" w:sz="0" w:space="0" w:color="auto"/>
            <w:left w:val="none" w:sz="0" w:space="0" w:color="auto"/>
            <w:bottom w:val="none" w:sz="0" w:space="0" w:color="auto"/>
            <w:right w:val="none" w:sz="0" w:space="0" w:color="auto"/>
          </w:divBdr>
          <w:divsChild>
            <w:div w:id="238054106">
              <w:marLeft w:val="0"/>
              <w:marRight w:val="0"/>
              <w:marTop w:val="0"/>
              <w:marBottom w:val="0"/>
              <w:divBdr>
                <w:top w:val="none" w:sz="0" w:space="0" w:color="auto"/>
                <w:left w:val="none" w:sz="0" w:space="0" w:color="auto"/>
                <w:bottom w:val="none" w:sz="0" w:space="0" w:color="auto"/>
                <w:right w:val="none" w:sz="0" w:space="0" w:color="auto"/>
              </w:divBdr>
              <w:divsChild>
                <w:div w:id="12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51027">
      <w:bodyDiv w:val="1"/>
      <w:marLeft w:val="0"/>
      <w:marRight w:val="0"/>
      <w:marTop w:val="0"/>
      <w:marBottom w:val="0"/>
      <w:divBdr>
        <w:top w:val="none" w:sz="0" w:space="0" w:color="auto"/>
        <w:left w:val="none" w:sz="0" w:space="0" w:color="auto"/>
        <w:bottom w:val="none" w:sz="0" w:space="0" w:color="auto"/>
        <w:right w:val="none" w:sz="0" w:space="0" w:color="auto"/>
      </w:divBdr>
    </w:div>
    <w:div w:id="870144648">
      <w:bodyDiv w:val="1"/>
      <w:marLeft w:val="0"/>
      <w:marRight w:val="0"/>
      <w:marTop w:val="0"/>
      <w:marBottom w:val="0"/>
      <w:divBdr>
        <w:top w:val="none" w:sz="0" w:space="0" w:color="auto"/>
        <w:left w:val="none" w:sz="0" w:space="0" w:color="auto"/>
        <w:bottom w:val="none" w:sz="0" w:space="0" w:color="auto"/>
        <w:right w:val="none" w:sz="0" w:space="0" w:color="auto"/>
      </w:divBdr>
      <w:divsChild>
        <w:div w:id="467548178">
          <w:marLeft w:val="0"/>
          <w:marRight w:val="0"/>
          <w:marTop w:val="0"/>
          <w:marBottom w:val="0"/>
          <w:divBdr>
            <w:top w:val="none" w:sz="0" w:space="0" w:color="auto"/>
            <w:left w:val="none" w:sz="0" w:space="0" w:color="auto"/>
            <w:bottom w:val="none" w:sz="0" w:space="0" w:color="auto"/>
            <w:right w:val="none" w:sz="0" w:space="0" w:color="auto"/>
          </w:divBdr>
        </w:div>
      </w:divsChild>
    </w:div>
    <w:div w:id="1634099128">
      <w:bodyDiv w:val="1"/>
      <w:marLeft w:val="0"/>
      <w:marRight w:val="0"/>
      <w:marTop w:val="0"/>
      <w:marBottom w:val="0"/>
      <w:divBdr>
        <w:top w:val="none" w:sz="0" w:space="0" w:color="auto"/>
        <w:left w:val="none" w:sz="0" w:space="0" w:color="auto"/>
        <w:bottom w:val="none" w:sz="0" w:space="0" w:color="auto"/>
        <w:right w:val="none" w:sz="0" w:space="0" w:color="auto"/>
      </w:divBdr>
      <w:divsChild>
        <w:div w:id="340275473">
          <w:marLeft w:val="0"/>
          <w:marRight w:val="0"/>
          <w:marTop w:val="0"/>
          <w:marBottom w:val="0"/>
          <w:divBdr>
            <w:top w:val="none" w:sz="0" w:space="0" w:color="auto"/>
            <w:left w:val="none" w:sz="0" w:space="0" w:color="auto"/>
            <w:bottom w:val="none" w:sz="0" w:space="0" w:color="auto"/>
            <w:right w:val="none" w:sz="0" w:space="0" w:color="auto"/>
          </w:divBdr>
        </w:div>
      </w:divsChild>
    </w:div>
    <w:div w:id="1728071651">
      <w:bodyDiv w:val="1"/>
      <w:marLeft w:val="0"/>
      <w:marRight w:val="0"/>
      <w:marTop w:val="0"/>
      <w:marBottom w:val="0"/>
      <w:divBdr>
        <w:top w:val="none" w:sz="0" w:space="0" w:color="auto"/>
        <w:left w:val="none" w:sz="0" w:space="0" w:color="auto"/>
        <w:bottom w:val="none" w:sz="0" w:space="0" w:color="auto"/>
        <w:right w:val="none" w:sz="0" w:space="0" w:color="auto"/>
      </w:divBdr>
      <w:divsChild>
        <w:div w:id="1190804160">
          <w:marLeft w:val="0"/>
          <w:marRight w:val="1"/>
          <w:marTop w:val="0"/>
          <w:marBottom w:val="0"/>
          <w:divBdr>
            <w:top w:val="none" w:sz="0" w:space="0" w:color="auto"/>
            <w:left w:val="none" w:sz="0" w:space="0" w:color="auto"/>
            <w:bottom w:val="none" w:sz="0" w:space="0" w:color="auto"/>
            <w:right w:val="none" w:sz="0" w:space="0" w:color="auto"/>
          </w:divBdr>
          <w:divsChild>
            <w:div w:id="681932006">
              <w:marLeft w:val="0"/>
              <w:marRight w:val="0"/>
              <w:marTop w:val="0"/>
              <w:marBottom w:val="0"/>
              <w:divBdr>
                <w:top w:val="none" w:sz="0" w:space="0" w:color="auto"/>
                <w:left w:val="none" w:sz="0" w:space="0" w:color="auto"/>
                <w:bottom w:val="none" w:sz="0" w:space="0" w:color="auto"/>
                <w:right w:val="none" w:sz="0" w:space="0" w:color="auto"/>
              </w:divBdr>
              <w:divsChild>
                <w:div w:id="994602990">
                  <w:marLeft w:val="0"/>
                  <w:marRight w:val="1"/>
                  <w:marTop w:val="0"/>
                  <w:marBottom w:val="0"/>
                  <w:divBdr>
                    <w:top w:val="none" w:sz="0" w:space="0" w:color="auto"/>
                    <w:left w:val="none" w:sz="0" w:space="0" w:color="auto"/>
                    <w:bottom w:val="none" w:sz="0" w:space="0" w:color="auto"/>
                    <w:right w:val="none" w:sz="0" w:space="0" w:color="auto"/>
                  </w:divBdr>
                  <w:divsChild>
                    <w:div w:id="1872306133">
                      <w:marLeft w:val="0"/>
                      <w:marRight w:val="0"/>
                      <w:marTop w:val="0"/>
                      <w:marBottom w:val="0"/>
                      <w:divBdr>
                        <w:top w:val="none" w:sz="0" w:space="0" w:color="auto"/>
                        <w:left w:val="none" w:sz="0" w:space="0" w:color="auto"/>
                        <w:bottom w:val="none" w:sz="0" w:space="0" w:color="auto"/>
                        <w:right w:val="none" w:sz="0" w:space="0" w:color="auto"/>
                      </w:divBdr>
                      <w:divsChild>
                        <w:div w:id="1981499270">
                          <w:marLeft w:val="0"/>
                          <w:marRight w:val="0"/>
                          <w:marTop w:val="0"/>
                          <w:marBottom w:val="0"/>
                          <w:divBdr>
                            <w:top w:val="none" w:sz="0" w:space="0" w:color="auto"/>
                            <w:left w:val="none" w:sz="0" w:space="0" w:color="auto"/>
                            <w:bottom w:val="none" w:sz="0" w:space="0" w:color="auto"/>
                            <w:right w:val="none" w:sz="0" w:space="0" w:color="auto"/>
                          </w:divBdr>
                          <w:divsChild>
                            <w:div w:id="443962634">
                              <w:marLeft w:val="0"/>
                              <w:marRight w:val="0"/>
                              <w:marTop w:val="120"/>
                              <w:marBottom w:val="360"/>
                              <w:divBdr>
                                <w:top w:val="none" w:sz="0" w:space="0" w:color="auto"/>
                                <w:left w:val="none" w:sz="0" w:space="0" w:color="auto"/>
                                <w:bottom w:val="none" w:sz="0" w:space="0" w:color="auto"/>
                                <w:right w:val="none" w:sz="0" w:space="0" w:color="auto"/>
                              </w:divBdr>
                              <w:divsChild>
                                <w:div w:id="1775251273">
                                  <w:marLeft w:val="0"/>
                                  <w:marRight w:val="0"/>
                                  <w:marTop w:val="0"/>
                                  <w:marBottom w:val="0"/>
                                  <w:divBdr>
                                    <w:top w:val="none" w:sz="0" w:space="0" w:color="auto"/>
                                    <w:left w:val="none" w:sz="0" w:space="0" w:color="auto"/>
                                    <w:bottom w:val="none" w:sz="0" w:space="0" w:color="auto"/>
                                    <w:right w:val="none" w:sz="0" w:space="0" w:color="auto"/>
                                  </w:divBdr>
                                  <w:divsChild>
                                    <w:div w:id="105323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kahoshi2@aol.com" TargetMode="External"/><Relationship Id="rId13" Type="http://schemas.openxmlformats.org/officeDocument/2006/relationships/image" Target="media/image5.tif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9AD9D-BE35-47ED-AF7C-175592A1F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8478</Words>
  <Characters>48331</Characters>
  <Application>Microsoft Office Word</Application>
  <DocSecurity>0</DocSecurity>
  <Lines>402</Lines>
  <Paragraphs>113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Preoperative TN Staging of Colorectal Cancer Using a 12 Megahertz Ultrasound Catheter Probe</vt:lpstr>
      <vt:lpstr>Preoperative TN Staging of Colorectal Cancer Using a 12 Megahertz Ultrasound Catheter Probe</vt:lpstr>
    </vt:vector>
  </TitlesOfParts>
  <Company> </Company>
  <LinksUpToDate>false</LinksUpToDate>
  <CharactersWithSpaces>56696</CharactersWithSpaces>
  <SharedDoc>false</SharedDoc>
  <HLinks>
    <vt:vector size="522" baseType="variant">
      <vt:variant>
        <vt:i4>7929915</vt:i4>
      </vt:variant>
      <vt:variant>
        <vt:i4>258</vt:i4>
      </vt:variant>
      <vt:variant>
        <vt:i4>0</vt:i4>
      </vt:variant>
      <vt:variant>
        <vt:i4>5</vt:i4>
      </vt:variant>
      <vt:variant>
        <vt:lpwstr>http://dx.doi.org/10.1016/S0039-6060(03)00314-3</vt:lpwstr>
      </vt:variant>
      <vt:variant>
        <vt:lpwstr/>
      </vt:variant>
      <vt:variant>
        <vt:i4>3801146</vt:i4>
      </vt:variant>
      <vt:variant>
        <vt:i4>255</vt:i4>
      </vt:variant>
      <vt:variant>
        <vt:i4>0</vt:i4>
      </vt:variant>
      <vt:variant>
        <vt:i4>5</vt:i4>
      </vt:variant>
      <vt:variant>
        <vt:lpwstr>http://www.ncbi.nlm.nih.gov/pubmed?term=%22Ulm%20K%22%5BAuthor%5D&amp;itool=EntrezSystem2.PEntrez.Pubmed.Pubmed_ResultsPanel.Pubmed_RVAbstract</vt:lpwstr>
      </vt:variant>
      <vt:variant>
        <vt:lpwstr/>
      </vt:variant>
      <vt:variant>
        <vt:i4>393247</vt:i4>
      </vt:variant>
      <vt:variant>
        <vt:i4>252</vt:i4>
      </vt:variant>
      <vt:variant>
        <vt:i4>0</vt:i4>
      </vt:variant>
      <vt:variant>
        <vt:i4>5</vt:i4>
      </vt:variant>
      <vt:variant>
        <vt:lpwstr>http://www.ncbi.nlm.nih.gov/pubmed?term=%22Lorenz%20R%22%5BAuthor%5D&amp;itool=EntrezSystem2.PEntrez.Pubmed.Pubmed_ResultsPanel.Pubmed_RVAbstract</vt:lpwstr>
      </vt:variant>
      <vt:variant>
        <vt:lpwstr/>
      </vt:variant>
      <vt:variant>
        <vt:i4>2818088</vt:i4>
      </vt:variant>
      <vt:variant>
        <vt:i4>249</vt:i4>
      </vt:variant>
      <vt:variant>
        <vt:i4>0</vt:i4>
      </vt:variant>
      <vt:variant>
        <vt:i4>5</vt:i4>
      </vt:variant>
      <vt:variant>
        <vt:lpwstr>http://www.ncbi.nlm.nih.gov/pubmed?term=%22Strobel%20M%22%5BAuthor%5D&amp;itool=EntrezSystem2.PEntrez.Pubmed.Pubmed_ResultsPanel.Pubmed_RVAbstract</vt:lpwstr>
      </vt:variant>
      <vt:variant>
        <vt:lpwstr/>
      </vt:variant>
      <vt:variant>
        <vt:i4>8192126</vt:i4>
      </vt:variant>
      <vt:variant>
        <vt:i4>246</vt:i4>
      </vt:variant>
      <vt:variant>
        <vt:i4>0</vt:i4>
      </vt:variant>
      <vt:variant>
        <vt:i4>5</vt:i4>
      </vt:variant>
      <vt:variant>
        <vt:lpwstr>http://www.ncbi.nlm.nih.gov/pubmed?term=%22Baronius%20W%22%5BAuthor%5D&amp;itool=EntrezSystem2.PEntrez.Pubmed.Pubmed_ResultsPanel.Pubmed_RVAbstract</vt:lpwstr>
      </vt:variant>
      <vt:variant>
        <vt:lpwstr/>
      </vt:variant>
      <vt:variant>
        <vt:i4>7471167</vt:i4>
      </vt:variant>
      <vt:variant>
        <vt:i4>243</vt:i4>
      </vt:variant>
      <vt:variant>
        <vt:i4>0</vt:i4>
      </vt:variant>
      <vt:variant>
        <vt:i4>5</vt:i4>
      </vt:variant>
      <vt:variant>
        <vt:lpwstr>http://dx.doi.org/10.1016/S0002-9610(97)00064-0</vt:lpwstr>
      </vt:variant>
      <vt:variant>
        <vt:lpwstr/>
      </vt:variant>
      <vt:variant>
        <vt:i4>7209064</vt:i4>
      </vt:variant>
      <vt:variant>
        <vt:i4>240</vt:i4>
      </vt:variant>
      <vt:variant>
        <vt:i4>0</vt:i4>
      </vt:variant>
      <vt:variant>
        <vt:i4>5</vt:i4>
      </vt:variant>
      <vt:variant>
        <vt:lpwstr>http://dx.doi.org/10.1097/00000658-200001000-00008</vt:lpwstr>
      </vt:variant>
      <vt:variant>
        <vt:lpwstr/>
      </vt:variant>
      <vt:variant>
        <vt:i4>2162785</vt:i4>
      </vt:variant>
      <vt:variant>
        <vt:i4>237</vt:i4>
      </vt:variant>
      <vt:variant>
        <vt:i4>0</vt:i4>
      </vt:variant>
      <vt:variant>
        <vt:i4>5</vt:i4>
      </vt:variant>
      <vt:variant>
        <vt:lpwstr>http://dx.doi.org/10.1002/ijc.11374</vt:lpwstr>
      </vt:variant>
      <vt:variant>
        <vt:lpwstr/>
      </vt:variant>
      <vt:variant>
        <vt:i4>7798836</vt:i4>
      </vt:variant>
      <vt:variant>
        <vt:i4>234</vt:i4>
      </vt:variant>
      <vt:variant>
        <vt:i4>0</vt:i4>
      </vt:variant>
      <vt:variant>
        <vt:i4>5</vt:i4>
      </vt:variant>
      <vt:variant>
        <vt:lpwstr>http://dx.doi.org/10.1016/S0959-8049(02)80602-5</vt:lpwstr>
      </vt:variant>
      <vt:variant>
        <vt:lpwstr/>
      </vt:variant>
      <vt:variant>
        <vt:i4>7864359</vt:i4>
      </vt:variant>
      <vt:variant>
        <vt:i4>231</vt:i4>
      </vt:variant>
      <vt:variant>
        <vt:i4>0</vt:i4>
      </vt:variant>
      <vt:variant>
        <vt:i4>5</vt:i4>
      </vt:variant>
      <vt:variant>
        <vt:lpwstr>http://dx.doi.org/10.1007/s10147-006-0579-0</vt:lpwstr>
      </vt:variant>
      <vt:variant>
        <vt:lpwstr/>
      </vt:variant>
      <vt:variant>
        <vt:i4>1900617</vt:i4>
      </vt:variant>
      <vt:variant>
        <vt:i4>228</vt:i4>
      </vt:variant>
      <vt:variant>
        <vt:i4>0</vt:i4>
      </vt:variant>
      <vt:variant>
        <vt:i4>5</vt:i4>
      </vt:variant>
      <vt:variant>
        <vt:lpwstr>http://dx.doi.org/10.1067/mge.2002.120323</vt:lpwstr>
      </vt:variant>
      <vt:variant>
        <vt:lpwstr/>
      </vt:variant>
      <vt:variant>
        <vt:i4>8061033</vt:i4>
      </vt:variant>
      <vt:variant>
        <vt:i4>225</vt:i4>
      </vt:variant>
      <vt:variant>
        <vt:i4>0</vt:i4>
      </vt:variant>
      <vt:variant>
        <vt:i4>5</vt:i4>
      </vt:variant>
      <vt:variant>
        <vt:lpwstr>http://www.ncbi.nlm.nih.gov/pubmed?term=%22Hayakawa%20T%22%5BAuthor%5D&amp;itool=EntrezSystem2.PEntrez.Pubmed.Pubmed_ResultsPanel.Pubmed_RVAbstract</vt:lpwstr>
      </vt:variant>
      <vt:variant>
        <vt:lpwstr/>
      </vt:variant>
      <vt:variant>
        <vt:i4>6750313</vt:i4>
      </vt:variant>
      <vt:variant>
        <vt:i4>222</vt:i4>
      </vt:variant>
      <vt:variant>
        <vt:i4>0</vt:i4>
      </vt:variant>
      <vt:variant>
        <vt:i4>5</vt:i4>
      </vt:variant>
      <vt:variant>
        <vt:lpwstr>http://www.ncbi.nlm.nih.gov/pubmed?term=%22Nagasaka%20T%22%5BAuthor%5D&amp;itool=EntrezSystem2.PEntrez.Pubmed.Pubmed_ResultsPanel.Pubmed_RVAbstract</vt:lpwstr>
      </vt:variant>
      <vt:variant>
        <vt:lpwstr/>
      </vt:variant>
      <vt:variant>
        <vt:i4>851987</vt:i4>
      </vt:variant>
      <vt:variant>
        <vt:i4>219</vt:i4>
      </vt:variant>
      <vt:variant>
        <vt:i4>0</vt:i4>
      </vt:variant>
      <vt:variant>
        <vt:i4>5</vt:i4>
      </vt:variant>
      <vt:variant>
        <vt:lpwstr>http://www.ncbi.nlm.nih.gov/pubmed?term=%22Ohmiya%20N%22%5BAuthor%5D&amp;itool=EntrezSystem2.PEntrez.Pubmed.Pubmed_ResultsPanel.Pubmed_RVAbstract</vt:lpwstr>
      </vt:variant>
      <vt:variant>
        <vt:lpwstr/>
      </vt:variant>
      <vt:variant>
        <vt:i4>2359355</vt:i4>
      </vt:variant>
      <vt:variant>
        <vt:i4>216</vt:i4>
      </vt:variant>
      <vt:variant>
        <vt:i4>0</vt:i4>
      </vt:variant>
      <vt:variant>
        <vt:i4>5</vt:i4>
      </vt:variant>
      <vt:variant>
        <vt:lpwstr>http://www.ncbi.nlm.nih.gov/pubmed?term=%22Hirooka%20Y%22%5BAuthor%5D&amp;itool=EntrezSystem2.PEntrez.Pubmed.Pubmed_ResultsPanel.Pubmed_RVAbstract</vt:lpwstr>
      </vt:variant>
      <vt:variant>
        <vt:lpwstr/>
      </vt:variant>
      <vt:variant>
        <vt:i4>2752555</vt:i4>
      </vt:variant>
      <vt:variant>
        <vt:i4>213</vt:i4>
      </vt:variant>
      <vt:variant>
        <vt:i4>0</vt:i4>
      </vt:variant>
      <vt:variant>
        <vt:i4>5</vt:i4>
      </vt:variant>
      <vt:variant>
        <vt:lpwstr>http://dx.doi.org/10.1111/j.1443-1661.2006.00573.x</vt:lpwstr>
      </vt:variant>
      <vt:variant>
        <vt:lpwstr/>
      </vt:variant>
      <vt:variant>
        <vt:i4>1441804</vt:i4>
      </vt:variant>
      <vt:variant>
        <vt:i4>210</vt:i4>
      </vt:variant>
      <vt:variant>
        <vt:i4>0</vt:i4>
      </vt:variant>
      <vt:variant>
        <vt:i4>5</vt:i4>
      </vt:variant>
      <vt:variant>
        <vt:lpwstr>http://www.ncbi.nlm.nih.gov/pubmed?term=%22Nagaie%20T%22%5BAuthor%5D&amp;itool=EntrezSystem2.PEntrez.Pubmed.Pubmed_ResultsPanel.Pubmed_RVAbstract</vt:lpwstr>
      </vt:variant>
      <vt:variant>
        <vt:lpwstr/>
      </vt:variant>
      <vt:variant>
        <vt:i4>7929972</vt:i4>
      </vt:variant>
      <vt:variant>
        <vt:i4>207</vt:i4>
      </vt:variant>
      <vt:variant>
        <vt:i4>0</vt:i4>
      </vt:variant>
      <vt:variant>
        <vt:i4>5</vt:i4>
      </vt:variant>
      <vt:variant>
        <vt:lpwstr>http://www.ncbi.nlm.nih.gov/pubmed?term=%22Watanabe%20M%22%5BAuthor%5D&amp;itool=EntrezSystem2.PEntrez.Pubmed.Pubmed_ResultsPanel.Pubmed_RVAbstract</vt:lpwstr>
      </vt:variant>
      <vt:variant>
        <vt:lpwstr/>
      </vt:variant>
      <vt:variant>
        <vt:i4>4522077</vt:i4>
      </vt:variant>
      <vt:variant>
        <vt:i4>204</vt:i4>
      </vt:variant>
      <vt:variant>
        <vt:i4>0</vt:i4>
      </vt:variant>
      <vt:variant>
        <vt:i4>5</vt:i4>
      </vt:variant>
      <vt:variant>
        <vt:lpwstr>http://www.ncbi.nlm.nih.gov/pubmed?term=%22Honda%20K%22%5BAuthor%5D&amp;itool=EntrezSystem2.PEntrez.Pubmed.Pubmed_ResultsPanel.Pubmed_RVAbstract</vt:lpwstr>
      </vt:variant>
      <vt:variant>
        <vt:lpwstr/>
      </vt:variant>
      <vt:variant>
        <vt:i4>7340144</vt:i4>
      </vt:variant>
      <vt:variant>
        <vt:i4>201</vt:i4>
      </vt:variant>
      <vt:variant>
        <vt:i4>0</vt:i4>
      </vt:variant>
      <vt:variant>
        <vt:i4>5</vt:i4>
      </vt:variant>
      <vt:variant>
        <vt:lpwstr>http://www.ncbi.nlm.nih.gov/pubmed?term=%22Motomura%20Y%22%5BAuthor%5D&amp;itool=EntrezSystem2.PEntrez.Pubmed.Pubmed_ResultsPanel.Pubmed_RVAbstract</vt:lpwstr>
      </vt:variant>
      <vt:variant>
        <vt:lpwstr/>
      </vt:variant>
      <vt:variant>
        <vt:i4>6488170</vt:i4>
      </vt:variant>
      <vt:variant>
        <vt:i4>198</vt:i4>
      </vt:variant>
      <vt:variant>
        <vt:i4>0</vt:i4>
      </vt:variant>
      <vt:variant>
        <vt:i4>5</vt:i4>
      </vt:variant>
      <vt:variant>
        <vt:lpwstr>http://www.ncbi.nlm.nih.gov/pubmed?term=%22Kubokawa%20M%22%5BAuthor%5D&amp;itool=EntrezSystem2.PEntrez.Pubmed.Pubmed_ResultsPanel.Pubmed_RVAbstract</vt:lpwstr>
      </vt:variant>
      <vt:variant>
        <vt:lpwstr/>
      </vt:variant>
      <vt:variant>
        <vt:i4>3342388</vt:i4>
      </vt:variant>
      <vt:variant>
        <vt:i4>195</vt:i4>
      </vt:variant>
      <vt:variant>
        <vt:i4>0</vt:i4>
      </vt:variant>
      <vt:variant>
        <vt:i4>5</vt:i4>
      </vt:variant>
      <vt:variant>
        <vt:lpwstr>http://www.ncbi.nlm.nih.gov/pubmed?term=%22Akinaga%20R%22%5BAuthor%5D&amp;itool=EntrezSystem2.PEntrez.Pubmed.Pubmed_ResultsPanel.Pubmed_RVAbstract</vt:lpwstr>
      </vt:variant>
      <vt:variant>
        <vt:lpwstr/>
      </vt:variant>
      <vt:variant>
        <vt:i4>2752559</vt:i4>
      </vt:variant>
      <vt:variant>
        <vt:i4>192</vt:i4>
      </vt:variant>
      <vt:variant>
        <vt:i4>0</vt:i4>
      </vt:variant>
      <vt:variant>
        <vt:i4>5</vt:i4>
      </vt:variant>
      <vt:variant>
        <vt:lpwstr>http://www.ncbi.nlm.nih.gov/pubmed?term=%22Oya%20M%22%5BAuthor%5D&amp;itool=EntrezSystem2.PEntrez.Pubmed.Pubmed_ResultsPanel.Pubmed_RVAbstract</vt:lpwstr>
      </vt:variant>
      <vt:variant>
        <vt:lpwstr/>
      </vt:variant>
      <vt:variant>
        <vt:i4>2490483</vt:i4>
      </vt:variant>
      <vt:variant>
        <vt:i4>189</vt:i4>
      </vt:variant>
      <vt:variant>
        <vt:i4>0</vt:i4>
      </vt:variant>
      <vt:variant>
        <vt:i4>5</vt:i4>
      </vt:variant>
      <vt:variant>
        <vt:lpwstr>http://dx.doi.org/10.1093/annonc/mdp131</vt:lpwstr>
      </vt:variant>
      <vt:variant>
        <vt:lpwstr/>
      </vt:variant>
      <vt:variant>
        <vt:i4>655454</vt:i4>
      </vt:variant>
      <vt:variant>
        <vt:i4>186</vt:i4>
      </vt:variant>
      <vt:variant>
        <vt:i4>0</vt:i4>
      </vt:variant>
      <vt:variant>
        <vt:i4>5</vt:i4>
      </vt:variant>
      <vt:variant>
        <vt:lpwstr>http://dx.doi.org/10.1097/01.pas.0000146010.92933.de</vt:lpwstr>
      </vt:variant>
      <vt:variant>
        <vt:lpwstr/>
      </vt:variant>
      <vt:variant>
        <vt:i4>7077994</vt:i4>
      </vt:variant>
      <vt:variant>
        <vt:i4>183</vt:i4>
      </vt:variant>
      <vt:variant>
        <vt:i4>0</vt:i4>
      </vt:variant>
      <vt:variant>
        <vt:i4>5</vt:i4>
      </vt:variant>
      <vt:variant>
        <vt:lpwstr>http://dx.doi.org/10.1053/hupa.2002.123545</vt:lpwstr>
      </vt:variant>
      <vt:variant>
        <vt:lpwstr/>
      </vt:variant>
      <vt:variant>
        <vt:i4>4063347</vt:i4>
      </vt:variant>
      <vt:variant>
        <vt:i4>180</vt:i4>
      </vt:variant>
      <vt:variant>
        <vt:i4>0</vt:i4>
      </vt:variant>
      <vt:variant>
        <vt:i4>5</vt:i4>
      </vt:variant>
      <vt:variant>
        <vt:lpwstr>http://dx.doi.org/10.1093/annonc/mdi127</vt:lpwstr>
      </vt:variant>
      <vt:variant>
        <vt:lpwstr/>
      </vt:variant>
      <vt:variant>
        <vt:i4>4915216</vt:i4>
      </vt:variant>
      <vt:variant>
        <vt:i4>177</vt:i4>
      </vt:variant>
      <vt:variant>
        <vt:i4>0</vt:i4>
      </vt:variant>
      <vt:variant>
        <vt:i4>5</vt:i4>
      </vt:variant>
      <vt:variant>
        <vt:lpwstr>http://www.ncbi.nlm.nih.gov/pubmed?term=%22GIST%20consensus%20meeting%20panelists%22%5BCorporate%20Author%5D&amp;itool=EntrezSystem2.PEntrez.Pubmed.Pubmed_ResultsPanel.Pubmed_RVAbstract</vt:lpwstr>
      </vt:variant>
      <vt:variant>
        <vt:lpwstr/>
      </vt:variant>
      <vt:variant>
        <vt:i4>2228268</vt:i4>
      </vt:variant>
      <vt:variant>
        <vt:i4>174</vt:i4>
      </vt:variant>
      <vt:variant>
        <vt:i4>0</vt:i4>
      </vt:variant>
      <vt:variant>
        <vt:i4>5</vt:i4>
      </vt:variant>
      <vt:variant>
        <vt:lpwstr>http://www.ncbi.nlm.nih.gov/pubmed?term=%22Demetri%20GD%22%5BAuthor%5D&amp;itool=EntrezSystem2.PEntrez.Pubmed.Pubmed_ResultsPanel.Pubmed_RVAbstract</vt:lpwstr>
      </vt:variant>
      <vt:variant>
        <vt:lpwstr/>
      </vt:variant>
      <vt:variant>
        <vt:i4>4849676</vt:i4>
      </vt:variant>
      <vt:variant>
        <vt:i4>171</vt:i4>
      </vt:variant>
      <vt:variant>
        <vt:i4>0</vt:i4>
      </vt:variant>
      <vt:variant>
        <vt:i4>5</vt:i4>
      </vt:variant>
      <vt:variant>
        <vt:lpwstr>http://www.ncbi.nlm.nih.gov/pubmed?term=%22van%20Oosterom%20A%22%5BAuthor%5D&amp;itool=EntrezSystem2.PEntrez.Pubmed.Pubmed_ResultsPanel.Pubmed_RVAbstract</vt:lpwstr>
      </vt:variant>
      <vt:variant>
        <vt:lpwstr/>
      </vt:variant>
      <vt:variant>
        <vt:i4>5439498</vt:i4>
      </vt:variant>
      <vt:variant>
        <vt:i4>168</vt:i4>
      </vt:variant>
      <vt:variant>
        <vt:i4>0</vt:i4>
      </vt:variant>
      <vt:variant>
        <vt:i4>5</vt:i4>
      </vt:variant>
      <vt:variant>
        <vt:lpwstr>http://www.ncbi.nlm.nih.gov/pubmed?term=%22van%20Glabbeke%20M%22%5BAuthor%5D&amp;itool=EntrezSystem2.PEntrez.Pubmed.Pubmed_ResultsPanel.Pubmed_RVAbstract</vt:lpwstr>
      </vt:variant>
      <vt:variant>
        <vt:lpwstr/>
      </vt:variant>
      <vt:variant>
        <vt:i4>851978</vt:i4>
      </vt:variant>
      <vt:variant>
        <vt:i4>165</vt:i4>
      </vt:variant>
      <vt:variant>
        <vt:i4>0</vt:i4>
      </vt:variant>
      <vt:variant>
        <vt:i4>5</vt:i4>
      </vt:variant>
      <vt:variant>
        <vt:lpwstr>http://www.ncbi.nlm.nih.gov/pubmed?term=%22Stroobants%20S%22%5BAuthor%5D&amp;itool=EntrezSystem2.PEntrez.Pubmed.Pubmed_ResultsPanel.Pubmed_RVAbstract</vt:lpwstr>
      </vt:variant>
      <vt:variant>
        <vt:lpwstr/>
      </vt:variant>
      <vt:variant>
        <vt:i4>5570650</vt:i4>
      </vt:variant>
      <vt:variant>
        <vt:i4>162</vt:i4>
      </vt:variant>
      <vt:variant>
        <vt:i4>0</vt:i4>
      </vt:variant>
      <vt:variant>
        <vt:i4>5</vt:i4>
      </vt:variant>
      <vt:variant>
        <vt:lpwstr>http://www.ncbi.nlm.nih.gov/pubmed?term=%22Sciot%20R%22%5BAuthor%5D&amp;itool=EntrezSystem2.PEntrez.Pubmed.Pubmed_ResultsPanel.Pubmed_RVAbstract</vt:lpwstr>
      </vt:variant>
      <vt:variant>
        <vt:lpwstr/>
      </vt:variant>
      <vt:variant>
        <vt:i4>4980821</vt:i4>
      </vt:variant>
      <vt:variant>
        <vt:i4>159</vt:i4>
      </vt:variant>
      <vt:variant>
        <vt:i4>0</vt:i4>
      </vt:variant>
      <vt:variant>
        <vt:i4>5</vt:i4>
      </vt:variant>
      <vt:variant>
        <vt:lpwstr>http://www.ncbi.nlm.nih.gov/pubmed?term=%22Reichardt%20P%22%5BAuthor%5D&amp;itool=EntrezSystem2.PEntrez.Pubmed.Pubmed_ResultsPanel.Pubmed_RVAbstract</vt:lpwstr>
      </vt:variant>
      <vt:variant>
        <vt:lpwstr/>
      </vt:variant>
      <vt:variant>
        <vt:i4>3932274</vt:i4>
      </vt:variant>
      <vt:variant>
        <vt:i4>156</vt:i4>
      </vt:variant>
      <vt:variant>
        <vt:i4>0</vt:i4>
      </vt:variant>
      <vt:variant>
        <vt:i4>5</vt:i4>
      </vt:variant>
      <vt:variant>
        <vt:lpwstr>http://www.ncbi.nlm.nih.gov/pubmed?term=%22Ray-Coquard%20I%22%5BAuthor%5D&amp;itool=EntrezSystem2.PEntrez.Pubmed.Pubmed_ResultsPanel.Pubmed_RVAbstract</vt:lpwstr>
      </vt:variant>
      <vt:variant>
        <vt:lpwstr/>
      </vt:variant>
      <vt:variant>
        <vt:i4>6422646</vt:i4>
      </vt:variant>
      <vt:variant>
        <vt:i4>153</vt:i4>
      </vt:variant>
      <vt:variant>
        <vt:i4>0</vt:i4>
      </vt:variant>
      <vt:variant>
        <vt:i4>5</vt:i4>
      </vt:variant>
      <vt:variant>
        <vt:lpwstr>http://www.ncbi.nlm.nih.gov/pubmed?term=%22Nupponen%20N%22%5BAuthor%5D&amp;itool=EntrezSystem2.PEntrez.Pubmed.Pubmed_ResultsPanel.Pubmed_RVAbstract</vt:lpwstr>
      </vt:variant>
      <vt:variant>
        <vt:lpwstr/>
      </vt:variant>
      <vt:variant>
        <vt:i4>720904</vt:i4>
      </vt:variant>
      <vt:variant>
        <vt:i4>150</vt:i4>
      </vt:variant>
      <vt:variant>
        <vt:i4>0</vt:i4>
      </vt:variant>
      <vt:variant>
        <vt:i4>5</vt:i4>
      </vt:variant>
      <vt:variant>
        <vt:lpwstr>http://www.ncbi.nlm.nih.gov/pubmed?term=%22Maurel%20J%22%5BAuthor%5D&amp;itool=EntrezSystem2.PEntrez.Pubmed.Pubmed_ResultsPanel.Pubmed_RVAbstract</vt:lpwstr>
      </vt:variant>
      <vt:variant>
        <vt:lpwstr/>
      </vt:variant>
      <vt:variant>
        <vt:i4>3997739</vt:i4>
      </vt:variant>
      <vt:variant>
        <vt:i4>147</vt:i4>
      </vt:variant>
      <vt:variant>
        <vt:i4>0</vt:i4>
      </vt:variant>
      <vt:variant>
        <vt:i4>5</vt:i4>
      </vt:variant>
      <vt:variant>
        <vt:lpwstr>http://www.ncbi.nlm.nih.gov/pubmed?term=%22McClure%20J%22%5BAuthor%5D&amp;itool=EntrezSystem2.PEntrez.Pubmed.Pubmed_ResultsPanel.Pubmed_RVAbstract</vt:lpwstr>
      </vt:variant>
      <vt:variant>
        <vt:lpwstr/>
      </vt:variant>
      <vt:variant>
        <vt:i4>262238</vt:i4>
      </vt:variant>
      <vt:variant>
        <vt:i4>144</vt:i4>
      </vt:variant>
      <vt:variant>
        <vt:i4>0</vt:i4>
      </vt:variant>
      <vt:variant>
        <vt:i4>5</vt:i4>
      </vt:variant>
      <vt:variant>
        <vt:lpwstr>http://www.ncbi.nlm.nih.gov/pubmed?term=%22Le%20Cesne%20A%22%5BAuthor%5D&amp;itool=EntrezSystem2.PEntrez.Pubmed.Pubmed_ResultsPanel.Pubmed_RVAbstract</vt:lpwstr>
      </vt:variant>
      <vt:variant>
        <vt:lpwstr/>
      </vt:variant>
      <vt:variant>
        <vt:i4>2621474</vt:i4>
      </vt:variant>
      <vt:variant>
        <vt:i4>141</vt:i4>
      </vt:variant>
      <vt:variant>
        <vt:i4>0</vt:i4>
      </vt:variant>
      <vt:variant>
        <vt:i4>5</vt:i4>
      </vt:variant>
      <vt:variant>
        <vt:lpwstr>http://www.ncbi.nlm.nih.gov/pubmed?term=%22Joensuu%20H%22%5BAuthor%5D&amp;itool=EntrezSystem2.PEntrez.Pubmed.Pubmed_ResultsPanel.Pubmed_RVAbstract</vt:lpwstr>
      </vt:variant>
      <vt:variant>
        <vt:lpwstr/>
      </vt:variant>
      <vt:variant>
        <vt:i4>7405678</vt:i4>
      </vt:variant>
      <vt:variant>
        <vt:i4>138</vt:i4>
      </vt:variant>
      <vt:variant>
        <vt:i4>0</vt:i4>
      </vt:variant>
      <vt:variant>
        <vt:i4>5</vt:i4>
      </vt:variant>
      <vt:variant>
        <vt:lpwstr>http://www.ncbi.nlm.nih.gov/pubmed?term=%22Hogendoorn%20PC%22%5BAuthor%5D&amp;itool=EntrezSystem2.PEntrez.Pubmed.Pubmed_ResultsPanel.Pubmed_RVAbstract</vt:lpwstr>
      </vt:variant>
      <vt:variant>
        <vt:lpwstr/>
      </vt:variant>
      <vt:variant>
        <vt:i4>2752546</vt:i4>
      </vt:variant>
      <vt:variant>
        <vt:i4>135</vt:i4>
      </vt:variant>
      <vt:variant>
        <vt:i4>0</vt:i4>
      </vt:variant>
      <vt:variant>
        <vt:i4>5</vt:i4>
      </vt:variant>
      <vt:variant>
        <vt:lpwstr>http://www.ncbi.nlm.nih.gov/pubmed?term=%22Gronchi%20A%22%5BAuthor%5D&amp;itool=EntrezSystem2.PEntrez.Pubmed.Pubmed_ResultsPanel.Pubmed_RVAbstract</vt:lpwstr>
      </vt:variant>
      <vt:variant>
        <vt:lpwstr/>
      </vt:variant>
      <vt:variant>
        <vt:i4>5374045</vt:i4>
      </vt:variant>
      <vt:variant>
        <vt:i4>132</vt:i4>
      </vt:variant>
      <vt:variant>
        <vt:i4>0</vt:i4>
      </vt:variant>
      <vt:variant>
        <vt:i4>5</vt:i4>
      </vt:variant>
      <vt:variant>
        <vt:lpwstr>http://www.ncbi.nlm.nih.gov/pubmed?term=%22Emile%20JF%22%5BAuthor%5D&amp;itool=EntrezSystem2.PEntrez.Pubmed.Pubmed_ResultsPanel.Pubmed_RVAbstract</vt:lpwstr>
      </vt:variant>
      <vt:variant>
        <vt:lpwstr/>
      </vt:variant>
      <vt:variant>
        <vt:i4>524373</vt:i4>
      </vt:variant>
      <vt:variant>
        <vt:i4>129</vt:i4>
      </vt:variant>
      <vt:variant>
        <vt:i4>0</vt:i4>
      </vt:variant>
      <vt:variant>
        <vt:i4>5</vt:i4>
      </vt:variant>
      <vt:variant>
        <vt:lpwstr>http://www.ncbi.nlm.nih.gov/pubmed?term=%22Dei%20Tos%20AP%22%5BAuthor%5D&amp;itool=EntrezSystem2.PEntrez.Pubmed.Pubmed_ResultsPanel.Pubmed_RVAbstract</vt:lpwstr>
      </vt:variant>
      <vt:variant>
        <vt:lpwstr/>
      </vt:variant>
      <vt:variant>
        <vt:i4>6029320</vt:i4>
      </vt:variant>
      <vt:variant>
        <vt:i4>126</vt:i4>
      </vt:variant>
      <vt:variant>
        <vt:i4>0</vt:i4>
      </vt:variant>
      <vt:variant>
        <vt:i4>5</vt:i4>
      </vt:variant>
      <vt:variant>
        <vt:lpwstr>http://www.ncbi.nlm.nih.gov/pubmed?term=%22Debiec-Richter%20M%22%5BAuthor%5D&amp;itool=EntrezSystem2.PEntrez.Pubmed.Pubmed_ResultsPanel.Pubmed_RVAbstract</vt:lpwstr>
      </vt:variant>
      <vt:variant>
        <vt:lpwstr/>
      </vt:variant>
      <vt:variant>
        <vt:i4>7995508</vt:i4>
      </vt:variant>
      <vt:variant>
        <vt:i4>123</vt:i4>
      </vt:variant>
      <vt:variant>
        <vt:i4>0</vt:i4>
      </vt:variant>
      <vt:variant>
        <vt:i4>5</vt:i4>
      </vt:variant>
      <vt:variant>
        <vt:lpwstr>http://www.ncbi.nlm.nih.gov/pubmed?term=%22Choi%20H%22%5BAuthor%5D&amp;itool=EntrezSystem2.PEntrez.Pubmed.Pubmed_ResultsPanel.Pubmed_RVAbstract</vt:lpwstr>
      </vt:variant>
      <vt:variant>
        <vt:lpwstr/>
      </vt:variant>
      <vt:variant>
        <vt:i4>2490410</vt:i4>
      </vt:variant>
      <vt:variant>
        <vt:i4>120</vt:i4>
      </vt:variant>
      <vt:variant>
        <vt:i4>0</vt:i4>
      </vt:variant>
      <vt:variant>
        <vt:i4>5</vt:i4>
      </vt:variant>
      <vt:variant>
        <vt:lpwstr>http://www.ncbi.nlm.nih.gov/pubmed?term=%22NCCN%20Task%20Force%22%5BCorporate%20Author%5D&amp;itool=EntrezSystem2.PEntrez.Pubmed.Pubmed_ResultsPanel.Pubmed_RVAbstract</vt:lpwstr>
      </vt:variant>
      <vt:variant>
        <vt:lpwstr/>
      </vt:variant>
      <vt:variant>
        <vt:i4>7340151</vt:i4>
      </vt:variant>
      <vt:variant>
        <vt:i4>117</vt:i4>
      </vt:variant>
      <vt:variant>
        <vt:i4>0</vt:i4>
      </vt:variant>
      <vt:variant>
        <vt:i4>5</vt:i4>
      </vt:variant>
      <vt:variant>
        <vt:lpwstr>http://www.ncbi.nlm.nih.gov/pubmed?term=%22Zalcberg%20J%22%5BAuthor%5D&amp;itool=EntrezSystem2.PEntrez.Pubmed.Pubmed_ResultsPanel.Pubmed_RVAbstract</vt:lpwstr>
      </vt:variant>
      <vt:variant>
        <vt:lpwstr/>
      </vt:variant>
      <vt:variant>
        <vt:i4>5242961</vt:i4>
      </vt:variant>
      <vt:variant>
        <vt:i4>114</vt:i4>
      </vt:variant>
      <vt:variant>
        <vt:i4>0</vt:i4>
      </vt:variant>
      <vt:variant>
        <vt:i4>5</vt:i4>
      </vt:variant>
      <vt:variant>
        <vt:lpwstr>http://www.ncbi.nlm.nih.gov/pubmed?term=%22Wayne%20JD%22%5BAuthor%5D&amp;itool=EntrezSystem2.PEntrez.Pubmed.Pubmed_ResultsPanel.Pubmed_RVAbstract</vt:lpwstr>
      </vt:variant>
      <vt:variant>
        <vt:lpwstr/>
      </vt:variant>
      <vt:variant>
        <vt:i4>3932275</vt:i4>
      </vt:variant>
      <vt:variant>
        <vt:i4>111</vt:i4>
      </vt:variant>
      <vt:variant>
        <vt:i4>0</vt:i4>
      </vt:variant>
      <vt:variant>
        <vt:i4>5</vt:i4>
      </vt:variant>
      <vt:variant>
        <vt:lpwstr>http://www.ncbi.nlm.nih.gov/pubmed?term=%22von%20Mehren%20M%22%5BAuthor%5D&amp;itool=EntrezSystem2.PEntrez.Pubmed.Pubmed_ResultsPanel.Pubmed_RVAbstract</vt:lpwstr>
      </vt:variant>
      <vt:variant>
        <vt:lpwstr/>
      </vt:variant>
      <vt:variant>
        <vt:i4>2162737</vt:i4>
      </vt:variant>
      <vt:variant>
        <vt:i4>108</vt:i4>
      </vt:variant>
      <vt:variant>
        <vt:i4>0</vt:i4>
      </vt:variant>
      <vt:variant>
        <vt:i4>5</vt:i4>
      </vt:variant>
      <vt:variant>
        <vt:lpwstr>http://www.ncbi.nlm.nih.gov/pubmed?term=%22Van%20den%20Abbeele%20AD%22%5BAuthor%5D&amp;itool=EntrezSystem2.PEntrez.Pubmed.Pubmed_ResultsPanel.Pubmed_RVAbstract</vt:lpwstr>
      </vt:variant>
      <vt:variant>
        <vt:lpwstr/>
      </vt:variant>
      <vt:variant>
        <vt:i4>6226005</vt:i4>
      </vt:variant>
      <vt:variant>
        <vt:i4>105</vt:i4>
      </vt:variant>
      <vt:variant>
        <vt:i4>0</vt:i4>
      </vt:variant>
      <vt:variant>
        <vt:i4>5</vt:i4>
      </vt:variant>
      <vt:variant>
        <vt:lpwstr>http://www.ncbi.nlm.nih.gov/pubmed?term=%22Tyler%20DS%22%5BAuthor%5D&amp;itool=EntrezSystem2.PEntrez.Pubmed.Pubmed_ResultsPanel.Pubmed_RVAbstract</vt:lpwstr>
      </vt:variant>
      <vt:variant>
        <vt:lpwstr/>
      </vt:variant>
      <vt:variant>
        <vt:i4>4980821</vt:i4>
      </vt:variant>
      <vt:variant>
        <vt:i4>102</vt:i4>
      </vt:variant>
      <vt:variant>
        <vt:i4>0</vt:i4>
      </vt:variant>
      <vt:variant>
        <vt:i4>5</vt:i4>
      </vt:variant>
      <vt:variant>
        <vt:lpwstr>http://www.ncbi.nlm.nih.gov/pubmed?term=%22Reichardt%20P%22%5BAuthor%5D&amp;itool=EntrezSystem2.PEntrez.Pubmed.Pubmed_ResultsPanel.Pubmed_RVAbstract</vt:lpwstr>
      </vt:variant>
      <vt:variant>
        <vt:lpwstr/>
      </vt:variant>
      <vt:variant>
        <vt:i4>1638407</vt:i4>
      </vt:variant>
      <vt:variant>
        <vt:i4>99</vt:i4>
      </vt:variant>
      <vt:variant>
        <vt:i4>0</vt:i4>
      </vt:variant>
      <vt:variant>
        <vt:i4>5</vt:i4>
      </vt:variant>
      <vt:variant>
        <vt:lpwstr>http://www.ncbi.nlm.nih.gov/pubmed?term=%22Raut%20CP%22%5BAuthor%5D&amp;itool=EntrezSystem2.PEntrez.Pubmed.Pubmed_ResultsPanel.Pubmed_RVAbstract</vt:lpwstr>
      </vt:variant>
      <vt:variant>
        <vt:lpwstr/>
      </vt:variant>
      <vt:variant>
        <vt:i4>3407906</vt:i4>
      </vt:variant>
      <vt:variant>
        <vt:i4>96</vt:i4>
      </vt:variant>
      <vt:variant>
        <vt:i4>0</vt:i4>
      </vt:variant>
      <vt:variant>
        <vt:i4>5</vt:i4>
      </vt:variant>
      <vt:variant>
        <vt:lpwstr>http://www.ncbi.nlm.nih.gov/pubmed?term=%22Pisters%20PW%22%5BAuthor%5D&amp;itool=EntrezSystem2.PEntrez.Pubmed.Pubmed_ResultsPanel.Pubmed_RVAbstract</vt:lpwstr>
      </vt:variant>
      <vt:variant>
        <vt:lpwstr/>
      </vt:variant>
      <vt:variant>
        <vt:i4>6226008</vt:i4>
      </vt:variant>
      <vt:variant>
        <vt:i4>93</vt:i4>
      </vt:variant>
      <vt:variant>
        <vt:i4>0</vt:i4>
      </vt:variant>
      <vt:variant>
        <vt:i4>5</vt:i4>
      </vt:variant>
      <vt:variant>
        <vt:lpwstr>http://www.ncbi.nlm.nih.gov/pubmed?term=%22Pappo%20AS%22%5BAuthor%5D&amp;itool=EntrezSystem2.PEntrez.Pubmed.Pubmed_ResultsPanel.Pubmed_RVAbstract</vt:lpwstr>
      </vt:variant>
      <vt:variant>
        <vt:lpwstr/>
      </vt:variant>
      <vt:variant>
        <vt:i4>6160458</vt:i4>
      </vt:variant>
      <vt:variant>
        <vt:i4>90</vt:i4>
      </vt:variant>
      <vt:variant>
        <vt:i4>0</vt:i4>
      </vt:variant>
      <vt:variant>
        <vt:i4>5</vt:i4>
      </vt:variant>
      <vt:variant>
        <vt:lpwstr>http://www.ncbi.nlm.nih.gov/pubmed?term=%22Morse%20M%22%5BAuthor%5D&amp;itool=EntrezSystem2.PEntrez.Pubmed.Pubmed_ResultsPanel.Pubmed_RVAbstract</vt:lpwstr>
      </vt:variant>
      <vt:variant>
        <vt:lpwstr/>
      </vt:variant>
      <vt:variant>
        <vt:i4>983051</vt:i4>
      </vt:variant>
      <vt:variant>
        <vt:i4>87</vt:i4>
      </vt:variant>
      <vt:variant>
        <vt:i4>0</vt:i4>
      </vt:variant>
      <vt:variant>
        <vt:i4>5</vt:i4>
      </vt:variant>
      <vt:variant>
        <vt:lpwstr>http://www.ncbi.nlm.nih.gov/pubmed?term=%22Maki%20RG%22%5BAuthor%5D&amp;itool=EntrezSystem2.PEntrez.Pubmed.Pubmed_ResultsPanel.Pubmed_RVAbstract</vt:lpwstr>
      </vt:variant>
      <vt:variant>
        <vt:lpwstr/>
      </vt:variant>
      <vt:variant>
        <vt:i4>262238</vt:i4>
      </vt:variant>
      <vt:variant>
        <vt:i4>84</vt:i4>
      </vt:variant>
      <vt:variant>
        <vt:i4>0</vt:i4>
      </vt:variant>
      <vt:variant>
        <vt:i4>5</vt:i4>
      </vt:variant>
      <vt:variant>
        <vt:lpwstr>http://www.ncbi.nlm.nih.gov/pubmed?term=%22Le%20Cesne%20A%22%5BAuthor%5D&amp;itool=EntrezSystem2.PEntrez.Pubmed.Pubmed_ResultsPanel.Pubmed_RVAbstract</vt:lpwstr>
      </vt:variant>
      <vt:variant>
        <vt:lpwstr/>
      </vt:variant>
      <vt:variant>
        <vt:i4>1507356</vt:i4>
      </vt:variant>
      <vt:variant>
        <vt:i4>81</vt:i4>
      </vt:variant>
      <vt:variant>
        <vt:i4>0</vt:i4>
      </vt:variant>
      <vt:variant>
        <vt:i4>5</vt:i4>
      </vt:variant>
      <vt:variant>
        <vt:lpwstr>http://www.ncbi.nlm.nih.gov/pubmed?term=%22Judson%20I%22%5BAuthor%5D&amp;itool=EntrezSystem2.PEntrez.Pubmed.Pubmed_ResultsPanel.Pubmed_RVAbstract</vt:lpwstr>
      </vt:variant>
      <vt:variant>
        <vt:lpwstr/>
      </vt:variant>
      <vt:variant>
        <vt:i4>2621474</vt:i4>
      </vt:variant>
      <vt:variant>
        <vt:i4>78</vt:i4>
      </vt:variant>
      <vt:variant>
        <vt:i4>0</vt:i4>
      </vt:variant>
      <vt:variant>
        <vt:i4>5</vt:i4>
      </vt:variant>
      <vt:variant>
        <vt:lpwstr>http://www.ncbi.nlm.nih.gov/pubmed?term=%22Joensuu%20H%22%5BAuthor%5D&amp;itool=EntrezSystem2.PEntrez.Pubmed.Pubmed_ResultsPanel.Pubmed_RVAbstract</vt:lpwstr>
      </vt:variant>
      <vt:variant>
        <vt:lpwstr/>
      </vt:variant>
      <vt:variant>
        <vt:i4>1835038</vt:i4>
      </vt:variant>
      <vt:variant>
        <vt:i4>75</vt:i4>
      </vt:variant>
      <vt:variant>
        <vt:i4>0</vt:i4>
      </vt:variant>
      <vt:variant>
        <vt:i4>5</vt:i4>
      </vt:variant>
      <vt:variant>
        <vt:lpwstr>http://www.ncbi.nlm.nih.gov/pubmed?term=%22Hughes%20M%22%5BAuthor%5D&amp;itool=EntrezSystem2.PEntrez.Pubmed.Pubmed_ResultsPanel.Pubmed_RVAbstract</vt:lpwstr>
      </vt:variant>
      <vt:variant>
        <vt:lpwstr/>
      </vt:variant>
      <vt:variant>
        <vt:i4>2555945</vt:i4>
      </vt:variant>
      <vt:variant>
        <vt:i4>72</vt:i4>
      </vt:variant>
      <vt:variant>
        <vt:i4>0</vt:i4>
      </vt:variant>
      <vt:variant>
        <vt:i4>5</vt:i4>
      </vt:variant>
      <vt:variant>
        <vt:lpwstr>http://www.ncbi.nlm.nih.gov/pubmed?term=%22Hohenberger%20P%22%5BAuthor%5D&amp;itool=EntrezSystem2.PEntrez.Pubmed.Pubmed_ResultsPanel.Pubmed_RVAbstract</vt:lpwstr>
      </vt:variant>
      <vt:variant>
        <vt:lpwstr/>
      </vt:variant>
      <vt:variant>
        <vt:i4>2752546</vt:i4>
      </vt:variant>
      <vt:variant>
        <vt:i4>69</vt:i4>
      </vt:variant>
      <vt:variant>
        <vt:i4>0</vt:i4>
      </vt:variant>
      <vt:variant>
        <vt:i4>5</vt:i4>
      </vt:variant>
      <vt:variant>
        <vt:lpwstr>http://www.ncbi.nlm.nih.gov/pubmed?term=%22Gronchi%20A%22%5BAuthor%5D&amp;itool=EntrezSystem2.PEntrez.Pubmed.Pubmed_ResultsPanel.Pubmed_RVAbstract</vt:lpwstr>
      </vt:variant>
      <vt:variant>
        <vt:lpwstr/>
      </vt:variant>
      <vt:variant>
        <vt:i4>983056</vt:i4>
      </vt:variant>
      <vt:variant>
        <vt:i4>66</vt:i4>
      </vt:variant>
      <vt:variant>
        <vt:i4>0</vt:i4>
      </vt:variant>
      <vt:variant>
        <vt:i4>5</vt:i4>
      </vt:variant>
      <vt:variant>
        <vt:lpwstr>http://www.ncbi.nlm.nih.gov/pubmed?term=%22Fletcher%20CD%22%5BAuthor%5D&amp;itool=EntrezSystem2.PEntrez.Pubmed.Pubmed_ResultsPanel.Pubmed_RVAbstract</vt:lpwstr>
      </vt:variant>
      <vt:variant>
        <vt:lpwstr/>
      </vt:variant>
      <vt:variant>
        <vt:i4>8323173</vt:i4>
      </vt:variant>
      <vt:variant>
        <vt:i4>63</vt:i4>
      </vt:variant>
      <vt:variant>
        <vt:i4>0</vt:i4>
      </vt:variant>
      <vt:variant>
        <vt:i4>5</vt:i4>
      </vt:variant>
      <vt:variant>
        <vt:lpwstr>http://www.ncbi.nlm.nih.gov/pubmed?term=%22Fisher%20GA%22%5BAuthor%5D&amp;itool=EntrezSystem2.PEntrez.Pubmed.Pubmed_ResultsPanel.Pubmed_RVAbstract</vt:lpwstr>
      </vt:variant>
      <vt:variant>
        <vt:lpwstr/>
      </vt:variant>
      <vt:variant>
        <vt:i4>458781</vt:i4>
      </vt:variant>
      <vt:variant>
        <vt:i4>60</vt:i4>
      </vt:variant>
      <vt:variant>
        <vt:i4>0</vt:i4>
      </vt:variant>
      <vt:variant>
        <vt:i4>5</vt:i4>
      </vt:variant>
      <vt:variant>
        <vt:lpwstr>http://www.ncbi.nlm.nih.gov/pubmed?term=%22Ettinger%20DS%22%5BAuthor%5D&amp;itool=EntrezSystem2.PEntrez.Pubmed.Pubmed_ResultsPanel.Pubmed_RVAbstract</vt:lpwstr>
      </vt:variant>
      <vt:variant>
        <vt:lpwstr/>
      </vt:variant>
      <vt:variant>
        <vt:i4>393244</vt:i4>
      </vt:variant>
      <vt:variant>
        <vt:i4>57</vt:i4>
      </vt:variant>
      <vt:variant>
        <vt:i4>0</vt:i4>
      </vt:variant>
      <vt:variant>
        <vt:i4>5</vt:i4>
      </vt:variant>
      <vt:variant>
        <vt:lpwstr>http://www.ncbi.nlm.nih.gov/pubmed?term=%22DeMatteo%20RP%22%5BAuthor%5D&amp;itool=EntrezSystem2.PEntrez.Pubmed.Pubmed_ResultsPanel.Pubmed_RVAbstract</vt:lpwstr>
      </vt:variant>
      <vt:variant>
        <vt:lpwstr/>
      </vt:variant>
      <vt:variant>
        <vt:i4>4980744</vt:i4>
      </vt:variant>
      <vt:variant>
        <vt:i4>54</vt:i4>
      </vt:variant>
      <vt:variant>
        <vt:i4>0</vt:i4>
      </vt:variant>
      <vt:variant>
        <vt:i4>5</vt:i4>
      </vt:variant>
      <vt:variant>
        <vt:lpwstr>http://www.ncbi.nlm.nih.gov/pubmed?term=%22Debiec-Rychter%20M%22%5BAuthor%5D&amp;itool=EntrezSystem2.PEntrez.Pubmed.Pubmed_ResultsPanel.Pubmed_RVAbstract</vt:lpwstr>
      </vt:variant>
      <vt:variant>
        <vt:lpwstr/>
      </vt:variant>
      <vt:variant>
        <vt:i4>3473446</vt:i4>
      </vt:variant>
      <vt:variant>
        <vt:i4>51</vt:i4>
      </vt:variant>
      <vt:variant>
        <vt:i4>0</vt:i4>
      </vt:variant>
      <vt:variant>
        <vt:i4>5</vt:i4>
      </vt:variant>
      <vt:variant>
        <vt:lpwstr>http://www.ncbi.nlm.nih.gov/pubmed?term=%22Corless%20CL%22%5BAuthor%5D&amp;itool=EntrezSystem2.PEntrez.Pubmed.Pubmed_ResultsPanel.Pubmed_RVAbstract</vt:lpwstr>
      </vt:variant>
      <vt:variant>
        <vt:lpwstr/>
      </vt:variant>
      <vt:variant>
        <vt:i4>7995508</vt:i4>
      </vt:variant>
      <vt:variant>
        <vt:i4>48</vt:i4>
      </vt:variant>
      <vt:variant>
        <vt:i4>0</vt:i4>
      </vt:variant>
      <vt:variant>
        <vt:i4>5</vt:i4>
      </vt:variant>
      <vt:variant>
        <vt:lpwstr>http://www.ncbi.nlm.nih.gov/pubmed?term=%22Choi%20H%22%5BAuthor%5D&amp;itool=EntrezSystem2.PEntrez.Pubmed.Pubmed_ResultsPanel.Pubmed_RVAbstract</vt:lpwstr>
      </vt:variant>
      <vt:variant>
        <vt:lpwstr/>
      </vt:variant>
      <vt:variant>
        <vt:i4>655364</vt:i4>
      </vt:variant>
      <vt:variant>
        <vt:i4>45</vt:i4>
      </vt:variant>
      <vt:variant>
        <vt:i4>0</vt:i4>
      </vt:variant>
      <vt:variant>
        <vt:i4>5</vt:i4>
      </vt:variant>
      <vt:variant>
        <vt:lpwstr>http://www.ncbi.nlm.nih.gov/pubmed?term=%22Casali%20P%22%5BAuthor%5D&amp;itool=EntrezSystem2.PEntrez.Pubmed.Pubmed_ResultsPanel.Pubmed_RVAbstract</vt:lpwstr>
      </vt:variant>
      <vt:variant>
        <vt:lpwstr/>
      </vt:variant>
      <vt:variant>
        <vt:i4>1310734</vt:i4>
      </vt:variant>
      <vt:variant>
        <vt:i4>42</vt:i4>
      </vt:variant>
      <vt:variant>
        <vt:i4>0</vt:i4>
      </vt:variant>
      <vt:variant>
        <vt:i4>5</vt:i4>
      </vt:variant>
      <vt:variant>
        <vt:lpwstr>http://www.ncbi.nlm.nih.gov/pubmed?term=%22Blay%20JY%22%5BAuthor%5D&amp;itool=EntrezSystem2.PEntrez.Pubmed.Pubmed_ResultsPanel.Pubmed_RVAbstract</vt:lpwstr>
      </vt:variant>
      <vt:variant>
        <vt:lpwstr/>
      </vt:variant>
      <vt:variant>
        <vt:i4>3276911</vt:i4>
      </vt:variant>
      <vt:variant>
        <vt:i4>39</vt:i4>
      </vt:variant>
      <vt:variant>
        <vt:i4>0</vt:i4>
      </vt:variant>
      <vt:variant>
        <vt:i4>5</vt:i4>
      </vt:variant>
      <vt:variant>
        <vt:lpwstr>http://dx.doi.org/10.1126/science.279.5350.577</vt:lpwstr>
      </vt:variant>
      <vt:variant>
        <vt:lpwstr/>
      </vt:variant>
      <vt:variant>
        <vt:i4>7733368</vt:i4>
      </vt:variant>
      <vt:variant>
        <vt:i4>36</vt:i4>
      </vt:variant>
      <vt:variant>
        <vt:i4>0</vt:i4>
      </vt:variant>
      <vt:variant>
        <vt:i4>5</vt:i4>
      </vt:variant>
      <vt:variant>
        <vt:lpwstr>http://www.ncbi.nlm.nih.gov/pubmed?term=%22Kitamura%20Y%22%5BAuthor%5D&amp;itool=EntrezSystem2.PEntrez.Pubmed.Pubmed_ResultsPanel.Pubmed_RVAbstract</vt:lpwstr>
      </vt:variant>
      <vt:variant>
        <vt:lpwstr/>
      </vt:variant>
      <vt:variant>
        <vt:i4>5308495</vt:i4>
      </vt:variant>
      <vt:variant>
        <vt:i4>33</vt:i4>
      </vt:variant>
      <vt:variant>
        <vt:i4>0</vt:i4>
      </vt:variant>
      <vt:variant>
        <vt:i4>5</vt:i4>
      </vt:variant>
      <vt:variant>
        <vt:lpwstr>http://www.ncbi.nlm.nih.gov/pubmed?term=%22Shinomura%20Y%22%5BAuthor%5D&amp;itool=EntrezSystem2.PEntrez.Pubmed.Pubmed_ResultsPanel.Pubmed_RVAbstract</vt:lpwstr>
      </vt:variant>
      <vt:variant>
        <vt:lpwstr/>
      </vt:variant>
      <vt:variant>
        <vt:i4>6946928</vt:i4>
      </vt:variant>
      <vt:variant>
        <vt:i4>30</vt:i4>
      </vt:variant>
      <vt:variant>
        <vt:i4>0</vt:i4>
      </vt:variant>
      <vt:variant>
        <vt:i4>5</vt:i4>
      </vt:variant>
      <vt:variant>
        <vt:lpwstr>http://www.ncbi.nlm.nih.gov/pubmed?term=%22Kanakura%20Y%22%5BAuthor%5D&amp;itool=EntrezSystem2.PEntrez.Pubmed.Pubmed_ResultsPanel.Pubmed_RVAbstract</vt:lpwstr>
      </vt:variant>
      <vt:variant>
        <vt:lpwstr/>
      </vt:variant>
      <vt:variant>
        <vt:i4>6029385</vt:i4>
      </vt:variant>
      <vt:variant>
        <vt:i4>27</vt:i4>
      </vt:variant>
      <vt:variant>
        <vt:i4>0</vt:i4>
      </vt:variant>
      <vt:variant>
        <vt:i4>5</vt:i4>
      </vt:variant>
      <vt:variant>
        <vt:lpwstr>http://www.ncbi.nlm.nih.gov/pubmed?term=%22Matsuzawa%20Y%22%5BAuthor%5D&amp;itool=EntrezSystem2.PEntrez.Pubmed.Pubmed_ResultsPanel.Pubmed_RVAbstract</vt:lpwstr>
      </vt:variant>
      <vt:variant>
        <vt:lpwstr/>
      </vt:variant>
      <vt:variant>
        <vt:i4>7733280</vt:i4>
      </vt:variant>
      <vt:variant>
        <vt:i4>24</vt:i4>
      </vt:variant>
      <vt:variant>
        <vt:i4>0</vt:i4>
      </vt:variant>
      <vt:variant>
        <vt:i4>5</vt:i4>
      </vt:variant>
      <vt:variant>
        <vt:lpwstr>http://www.ncbi.nlm.nih.gov/pubmed?term=%22Muhammad%20Tunio%20G%22%5BAuthor%5D&amp;itool=EntrezSystem2.PEntrez.Pubmed.Pubmed_ResultsPanel.Pubmed_RVAbstract</vt:lpwstr>
      </vt:variant>
      <vt:variant>
        <vt:lpwstr/>
      </vt:variant>
      <vt:variant>
        <vt:i4>851989</vt:i4>
      </vt:variant>
      <vt:variant>
        <vt:i4>21</vt:i4>
      </vt:variant>
      <vt:variant>
        <vt:i4>0</vt:i4>
      </vt:variant>
      <vt:variant>
        <vt:i4>5</vt:i4>
      </vt:variant>
      <vt:variant>
        <vt:lpwstr>http://www.ncbi.nlm.nih.gov/pubmed?term=%22Takeda%20M%22%5BAuthor%5D&amp;itool=EntrezSystem2.PEntrez.Pubmed.Pubmed_ResultsPanel.Pubmed_RVAbstract</vt:lpwstr>
      </vt:variant>
      <vt:variant>
        <vt:lpwstr/>
      </vt:variant>
      <vt:variant>
        <vt:i4>1769481</vt:i4>
      </vt:variant>
      <vt:variant>
        <vt:i4>18</vt:i4>
      </vt:variant>
      <vt:variant>
        <vt:i4>0</vt:i4>
      </vt:variant>
      <vt:variant>
        <vt:i4>5</vt:i4>
      </vt:variant>
      <vt:variant>
        <vt:lpwstr>http://www.ncbi.nlm.nih.gov/pubmed?term=%22Kurata%20A%22%5BAuthor%5D&amp;itool=EntrezSystem2.PEntrez.Pubmed.Pubmed_ResultsPanel.Pubmed_RVAbstract</vt:lpwstr>
      </vt:variant>
      <vt:variant>
        <vt:lpwstr/>
      </vt:variant>
      <vt:variant>
        <vt:i4>1310737</vt:i4>
      </vt:variant>
      <vt:variant>
        <vt:i4>15</vt:i4>
      </vt:variant>
      <vt:variant>
        <vt:i4>0</vt:i4>
      </vt:variant>
      <vt:variant>
        <vt:i4>5</vt:i4>
      </vt:variant>
      <vt:variant>
        <vt:lpwstr>http://www.ncbi.nlm.nih.gov/pubmed?term=%22Hanada%20M%22%5BAuthor%5D&amp;itool=EntrezSystem2.PEntrez.Pubmed.Pubmed_ResultsPanel.Pubmed_RVAbstract</vt:lpwstr>
      </vt:variant>
      <vt:variant>
        <vt:lpwstr/>
      </vt:variant>
      <vt:variant>
        <vt:i4>262169</vt:i4>
      </vt:variant>
      <vt:variant>
        <vt:i4>12</vt:i4>
      </vt:variant>
      <vt:variant>
        <vt:i4>0</vt:i4>
      </vt:variant>
      <vt:variant>
        <vt:i4>5</vt:i4>
      </vt:variant>
      <vt:variant>
        <vt:lpwstr>http://www.ncbi.nlm.nih.gov/pubmed?term=%22Kawano%20K%22%5BAuthor%5D&amp;itool=EntrezSystem2.PEntrez.Pubmed.Pubmed_ResultsPanel.Pubmed_RVAbstract</vt:lpwstr>
      </vt:variant>
      <vt:variant>
        <vt:lpwstr/>
      </vt:variant>
      <vt:variant>
        <vt:i4>6422638</vt:i4>
      </vt:variant>
      <vt:variant>
        <vt:i4>9</vt:i4>
      </vt:variant>
      <vt:variant>
        <vt:i4>0</vt:i4>
      </vt:variant>
      <vt:variant>
        <vt:i4>5</vt:i4>
      </vt:variant>
      <vt:variant>
        <vt:lpwstr>http://www.ncbi.nlm.nih.gov/pubmed?term=%22Ishiguro%20S%22%5BAuthor%5D&amp;itool=EntrezSystem2.PEntrez.Pubmed.Pubmed_ResultsPanel.Pubmed_RVAbstract</vt:lpwstr>
      </vt:variant>
      <vt:variant>
        <vt:lpwstr/>
      </vt:variant>
      <vt:variant>
        <vt:i4>2621491</vt:i4>
      </vt:variant>
      <vt:variant>
        <vt:i4>6</vt:i4>
      </vt:variant>
      <vt:variant>
        <vt:i4>0</vt:i4>
      </vt:variant>
      <vt:variant>
        <vt:i4>5</vt:i4>
      </vt:variant>
      <vt:variant>
        <vt:lpwstr>http://www.ncbi.nlm.nih.gov/pubmed?term=%22Nishida%20T%22%5BAuthor%5D&amp;itool=EntrezSystem2.PEntrez.Pubmed.Pubmed_ResultsPanel.Pubmed_RVAbstract</vt:lpwstr>
      </vt:variant>
      <vt:variant>
        <vt:lpwstr/>
      </vt:variant>
      <vt:variant>
        <vt:i4>5242950</vt:i4>
      </vt:variant>
      <vt:variant>
        <vt:i4>3</vt:i4>
      </vt:variant>
      <vt:variant>
        <vt:i4>0</vt:i4>
      </vt:variant>
      <vt:variant>
        <vt:i4>5</vt:i4>
      </vt:variant>
      <vt:variant>
        <vt:lpwstr>http://www.ncbi.nlm.nih.gov/pubmed?term=%22Hashimoto%20K%22%5BAuthor%5D&amp;itool=EntrezSystem2.PEntrez.Pubmed.Pubmed_ResultsPanel.Pubmed_RVAbstract</vt:lpwstr>
      </vt:variant>
      <vt:variant>
        <vt:lpwstr/>
      </vt:variant>
      <vt:variant>
        <vt:i4>8257553</vt:i4>
      </vt:variant>
      <vt:variant>
        <vt:i4>0</vt:i4>
      </vt:variant>
      <vt:variant>
        <vt:i4>0</vt:i4>
      </vt:variant>
      <vt:variant>
        <vt:i4>5</vt:i4>
      </vt:variant>
      <vt:variant>
        <vt:lpwstr>mailto:kakahoshi2@aol.com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Preoperative TN Staging of Colorectal Cancer Using a 12 Megahertz Ultrasound Catheter Probe</dc:title>
  <dc:subject/>
  <dc:creator>和也</dc:creator>
  <cp:keywords/>
  <dc:description/>
  <cp:lastModifiedBy>Na Ma</cp:lastModifiedBy>
  <cp:revision>3</cp:revision>
  <cp:lastPrinted>2018-03-15T11:45:00Z</cp:lastPrinted>
  <dcterms:created xsi:type="dcterms:W3CDTF">2018-06-21T17:45:00Z</dcterms:created>
  <dcterms:modified xsi:type="dcterms:W3CDTF">2018-06-21T17:45:00Z</dcterms:modified>
</cp:coreProperties>
</file>