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C39FC" w14:textId="77777777" w:rsidR="0084227B" w:rsidRPr="00923307" w:rsidRDefault="0084227B" w:rsidP="00327F62">
      <w:pPr>
        <w:pStyle w:val="13"/>
        <w:snapToGrid w:val="0"/>
        <w:spacing w:line="360" w:lineRule="auto"/>
        <w:jc w:val="both"/>
        <w:rPr>
          <w:rFonts w:ascii="Book Antiqua" w:hAnsi="Book Antiqua" w:cs="Times New Roman"/>
          <w:b/>
          <w:color w:val="auto"/>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bookmarkStart w:id="19" w:name="_Hlk507950714"/>
      <w:r w:rsidRPr="00923307">
        <w:rPr>
          <w:rFonts w:ascii="Book Antiqua" w:hAnsi="Book Antiqua" w:cs="Times New Roman"/>
          <w:b/>
          <w:color w:val="auto"/>
          <w:sz w:val="24"/>
          <w:szCs w:val="24"/>
          <w:lang w:val="en-US" w:eastAsia="zh-CN"/>
        </w:rPr>
        <w:t xml:space="preserve">Name of </w:t>
      </w:r>
      <w:r w:rsidRPr="00923307">
        <w:rPr>
          <w:rFonts w:ascii="Book Antiqua" w:hAnsi="Book Antiqua" w:cs="Times New Roman"/>
          <w:b/>
          <w:caps/>
          <w:color w:val="auto"/>
          <w:sz w:val="24"/>
          <w:szCs w:val="24"/>
          <w:lang w:val="en-US" w:eastAsia="zh-CN"/>
        </w:rPr>
        <w:t>j</w:t>
      </w:r>
      <w:r w:rsidRPr="00923307">
        <w:rPr>
          <w:rFonts w:ascii="Book Antiqua" w:hAnsi="Book Antiqua" w:cs="Times New Roman"/>
          <w:b/>
          <w:color w:val="auto"/>
          <w:sz w:val="24"/>
          <w:szCs w:val="24"/>
          <w:lang w:val="en-US" w:eastAsia="zh-CN"/>
        </w:rPr>
        <w:t xml:space="preserve">ournal: </w:t>
      </w:r>
      <w:bookmarkStart w:id="20" w:name="OLE_LINK718"/>
      <w:bookmarkStart w:id="21" w:name="OLE_LINK719"/>
      <w:r w:rsidRPr="00923307">
        <w:rPr>
          <w:rFonts w:ascii="Book Antiqua" w:hAnsi="Book Antiqua" w:cs="Times New Roman"/>
          <w:b/>
          <w:i/>
          <w:color w:val="auto"/>
          <w:sz w:val="24"/>
          <w:szCs w:val="24"/>
          <w:lang w:val="en-US" w:eastAsia="zh-CN"/>
        </w:rPr>
        <w:t>World Journal of Gastroenterology</w:t>
      </w:r>
      <w:bookmarkEnd w:id="20"/>
      <w:bookmarkEnd w:id="21"/>
    </w:p>
    <w:p w14:paraId="72E94AAA" w14:textId="77777777" w:rsidR="0084227B" w:rsidRPr="00923307" w:rsidRDefault="0084227B" w:rsidP="00327F62">
      <w:pPr>
        <w:pStyle w:val="13"/>
        <w:snapToGrid w:val="0"/>
        <w:spacing w:line="360" w:lineRule="auto"/>
        <w:jc w:val="both"/>
        <w:rPr>
          <w:rFonts w:ascii="Book Antiqua" w:hAnsi="Book Antiqua" w:cs="Times New Roman"/>
          <w:b/>
          <w:i/>
          <w:color w:val="auto"/>
          <w:sz w:val="24"/>
          <w:szCs w:val="24"/>
          <w:lang w:val="en-US" w:eastAsia="zh-CN"/>
        </w:rPr>
      </w:pPr>
      <w:bookmarkStart w:id="22" w:name="OLE_LINK485"/>
      <w:bookmarkStart w:id="23" w:name="OLE_LINK486"/>
      <w:bookmarkStart w:id="24" w:name="OLE_LINK661"/>
      <w:bookmarkStart w:id="25" w:name="OLE_LINK768"/>
      <w:bookmarkStart w:id="26" w:name="OLE_LINK514"/>
      <w:bookmarkStart w:id="27" w:name="OLE_LINK515"/>
      <w:r w:rsidRPr="00923307">
        <w:rPr>
          <w:rFonts w:ascii="Book Antiqua" w:hAnsi="Book Antiqua" w:cs="Times New Roman"/>
          <w:b/>
          <w:color w:val="auto"/>
          <w:sz w:val="24"/>
          <w:szCs w:val="24"/>
          <w:lang w:eastAsia="zh-CN"/>
        </w:rPr>
        <w:t>Manuscript NO:</w:t>
      </w:r>
      <w:bookmarkEnd w:id="22"/>
      <w:bookmarkEnd w:id="23"/>
      <w:bookmarkEnd w:id="24"/>
      <w:bookmarkEnd w:id="25"/>
      <w:r w:rsidRPr="00923307">
        <w:rPr>
          <w:rFonts w:ascii="Book Antiqua" w:hAnsi="Book Antiqua" w:cs="Times New Roman"/>
          <w:b/>
          <w:color w:val="auto"/>
          <w:sz w:val="24"/>
          <w:szCs w:val="24"/>
          <w:lang w:eastAsia="zh-CN"/>
        </w:rPr>
        <w:t xml:space="preserve"> </w:t>
      </w:r>
      <w:r w:rsidR="00E6022C" w:rsidRPr="00923307">
        <w:rPr>
          <w:rFonts w:ascii="Book Antiqua" w:hAnsi="Book Antiqua" w:cs="Times New Roman"/>
          <w:b/>
          <w:color w:val="auto"/>
          <w:sz w:val="24"/>
          <w:szCs w:val="24"/>
          <w:lang w:eastAsia="zh-CN"/>
        </w:rPr>
        <w:t>39036</w:t>
      </w:r>
    </w:p>
    <w:p w14:paraId="7AE25EF4" w14:textId="20C9EC5B" w:rsidR="0084227B" w:rsidRPr="00923307" w:rsidRDefault="0084227B" w:rsidP="00327F62">
      <w:pPr>
        <w:snapToGrid w:val="0"/>
        <w:spacing w:line="360" w:lineRule="auto"/>
        <w:rPr>
          <w:rFonts w:ascii="Book Antiqua" w:hAnsi="Book Antiqua"/>
          <w:b/>
          <w:lang w:val="it-IT"/>
        </w:rPr>
      </w:pPr>
      <w:bookmarkStart w:id="28" w:name="OLE_LINK511"/>
      <w:bookmarkStart w:id="29" w:name="OLE_LINK512"/>
      <w:bookmarkEnd w:id="26"/>
      <w:bookmarkEnd w:id="27"/>
      <w:r w:rsidRPr="00923307">
        <w:rPr>
          <w:rFonts w:ascii="Book Antiqua" w:hAnsi="Book Antiqua"/>
          <w:b/>
          <w:lang w:val="it-IT"/>
        </w:rPr>
        <w:t xml:space="preserve">Manuscript </w:t>
      </w:r>
      <w:r w:rsidRPr="00923307">
        <w:rPr>
          <w:rFonts w:ascii="Book Antiqua" w:hAnsi="Book Antiqua" w:hint="eastAsia"/>
          <w:b/>
          <w:caps/>
        </w:rPr>
        <w:t>t</w:t>
      </w:r>
      <w:r w:rsidRPr="00923307">
        <w:rPr>
          <w:rFonts w:ascii="Book Antiqua" w:hAnsi="Book Antiqua"/>
          <w:b/>
          <w:lang w:val="it-IT"/>
        </w:rPr>
        <w:t>ype</w:t>
      </w:r>
      <w:r w:rsidRPr="00923307">
        <w:rPr>
          <w:rFonts w:ascii="Book Antiqua" w:hAnsi="Book Antiqua" w:hint="eastAsia"/>
          <w:b/>
          <w:lang w:val="it-IT"/>
        </w:rPr>
        <w:t>:</w:t>
      </w:r>
      <w:bookmarkEnd w:id="0"/>
      <w:bookmarkEnd w:id="1"/>
      <w:bookmarkEnd w:id="2"/>
      <w:bookmarkEnd w:id="3"/>
      <w:bookmarkEnd w:id="4"/>
      <w:bookmarkEnd w:id="5"/>
      <w:bookmarkEnd w:id="6"/>
      <w:bookmarkEnd w:id="7"/>
      <w:bookmarkEnd w:id="8"/>
      <w:bookmarkEnd w:id="9"/>
      <w:bookmarkEnd w:id="10"/>
      <w:r w:rsidR="00923307">
        <w:rPr>
          <w:rFonts w:ascii="Book Antiqua" w:hAnsi="Book Antiqua" w:hint="eastAsia"/>
          <w:b/>
          <w:lang w:val="it-IT"/>
        </w:rPr>
        <w:t xml:space="preserve"> </w:t>
      </w:r>
      <w:r w:rsidRPr="00923307">
        <w:rPr>
          <w:rFonts w:ascii="Book Antiqua" w:hAnsi="Book Antiqua" w:hint="eastAsia"/>
          <w:b/>
          <w:lang w:val="it-IT"/>
        </w:rPr>
        <w:t xml:space="preserve"> </w:t>
      </w:r>
      <w:r w:rsidR="00923307" w:rsidRPr="00923307">
        <w:rPr>
          <w:rFonts w:ascii="Book Antiqua" w:hAnsi="Book Antiqua"/>
          <w:b/>
          <w:lang w:val="it-IT"/>
        </w:rPr>
        <w:t>REVIEW</w:t>
      </w:r>
    </w:p>
    <w:bookmarkEnd w:id="11"/>
    <w:bookmarkEnd w:id="12"/>
    <w:bookmarkEnd w:id="13"/>
    <w:bookmarkEnd w:id="14"/>
    <w:bookmarkEnd w:id="15"/>
    <w:bookmarkEnd w:id="16"/>
    <w:bookmarkEnd w:id="17"/>
    <w:bookmarkEnd w:id="18"/>
    <w:bookmarkEnd w:id="28"/>
    <w:bookmarkEnd w:id="29"/>
    <w:p w14:paraId="5961B8F1" w14:textId="77777777" w:rsidR="0084227B" w:rsidRPr="00923307" w:rsidRDefault="0084227B" w:rsidP="00327F62">
      <w:pPr>
        <w:snapToGrid w:val="0"/>
        <w:spacing w:line="360" w:lineRule="auto"/>
        <w:rPr>
          <w:rFonts w:ascii="Book Antiqua" w:hAnsi="Book Antiqua"/>
          <w:b/>
          <w:sz w:val="24"/>
          <w:szCs w:val="24"/>
        </w:rPr>
      </w:pPr>
    </w:p>
    <w:p w14:paraId="1500CA99" w14:textId="1895A90A" w:rsidR="005B5EE9" w:rsidRPr="00923307" w:rsidRDefault="00085198" w:rsidP="00327F62">
      <w:pPr>
        <w:snapToGrid w:val="0"/>
        <w:spacing w:line="360" w:lineRule="auto"/>
        <w:rPr>
          <w:rFonts w:ascii="Book Antiqua" w:hAnsi="Book Antiqua"/>
          <w:b/>
          <w:sz w:val="24"/>
          <w:szCs w:val="24"/>
        </w:rPr>
      </w:pPr>
      <w:bookmarkStart w:id="30" w:name="_Hlk511551773"/>
      <w:r w:rsidRPr="00923307">
        <w:rPr>
          <w:rFonts w:ascii="Book Antiqua" w:hAnsi="Book Antiqua"/>
          <w:b/>
          <w:sz w:val="24"/>
          <w:szCs w:val="24"/>
        </w:rPr>
        <w:t xml:space="preserve">Noninvasive </w:t>
      </w:r>
      <w:r w:rsidR="00923307" w:rsidRPr="00923307">
        <w:rPr>
          <w:rFonts w:ascii="Book Antiqua" w:hAnsi="Book Antiqua"/>
          <w:b/>
          <w:sz w:val="24"/>
          <w:szCs w:val="24"/>
        </w:rPr>
        <w:t>imaging of hepatocellular carcinoma: From diagnosis to prognosis</w:t>
      </w:r>
    </w:p>
    <w:bookmarkEnd w:id="30"/>
    <w:p w14:paraId="5A690947" w14:textId="77777777" w:rsidR="0084227B" w:rsidRPr="00923307" w:rsidRDefault="0084227B" w:rsidP="00327F62">
      <w:pPr>
        <w:snapToGrid w:val="0"/>
        <w:spacing w:line="360" w:lineRule="auto"/>
        <w:rPr>
          <w:rFonts w:ascii="Book Antiqua" w:hAnsi="Book Antiqua"/>
          <w:b/>
          <w:sz w:val="24"/>
          <w:szCs w:val="24"/>
        </w:rPr>
      </w:pPr>
    </w:p>
    <w:p w14:paraId="0A95BD64" w14:textId="68291D8B" w:rsidR="0084227B" w:rsidRPr="00923307" w:rsidRDefault="00923307" w:rsidP="00327F62">
      <w:pPr>
        <w:snapToGrid w:val="0"/>
        <w:spacing w:line="360" w:lineRule="auto"/>
        <w:rPr>
          <w:rFonts w:ascii="Book Antiqua" w:hAnsi="Book Antiqua"/>
          <w:sz w:val="24"/>
          <w:szCs w:val="24"/>
        </w:rPr>
      </w:pPr>
      <w:r w:rsidRPr="00923307">
        <w:rPr>
          <w:rFonts w:ascii="Book Antiqua" w:hAnsi="Book Antiqua"/>
          <w:kern w:val="0"/>
          <w:sz w:val="24"/>
          <w:szCs w:val="24"/>
        </w:rPr>
        <w:t>Jiang HY</w:t>
      </w:r>
      <w:r w:rsidRPr="00923307">
        <w:rPr>
          <w:rFonts w:ascii="Book Antiqua" w:hAnsi="Book Antiqua"/>
          <w:sz w:val="24"/>
          <w:szCs w:val="24"/>
        </w:rPr>
        <w:t xml:space="preserve"> </w:t>
      </w:r>
      <w:r w:rsidRPr="00923307">
        <w:rPr>
          <w:rFonts w:ascii="Book Antiqua" w:hAnsi="Book Antiqua" w:hint="eastAsia"/>
          <w:i/>
          <w:sz w:val="24"/>
          <w:szCs w:val="24"/>
        </w:rPr>
        <w:t>et al</w:t>
      </w:r>
      <w:r w:rsidRPr="00923307">
        <w:rPr>
          <w:rFonts w:ascii="Book Antiqua" w:hAnsi="Book Antiqua" w:hint="eastAsia"/>
          <w:sz w:val="24"/>
          <w:szCs w:val="24"/>
        </w:rPr>
        <w:t xml:space="preserve">. </w:t>
      </w:r>
      <w:r w:rsidR="00105D04" w:rsidRPr="00923307">
        <w:rPr>
          <w:rFonts w:ascii="Book Antiqua" w:hAnsi="Book Antiqua"/>
          <w:sz w:val="24"/>
          <w:szCs w:val="24"/>
        </w:rPr>
        <w:t>N</w:t>
      </w:r>
      <w:r w:rsidR="00105D04" w:rsidRPr="00923307">
        <w:rPr>
          <w:rFonts w:ascii="Book Antiqua" w:hAnsi="Book Antiqua" w:hint="eastAsia"/>
          <w:sz w:val="24"/>
          <w:szCs w:val="24"/>
        </w:rPr>
        <w:t>on</w:t>
      </w:r>
      <w:r w:rsidR="00105D04" w:rsidRPr="00923307">
        <w:rPr>
          <w:rFonts w:ascii="Book Antiqua" w:hAnsi="Book Antiqua"/>
          <w:sz w:val="24"/>
          <w:szCs w:val="24"/>
        </w:rPr>
        <w:t xml:space="preserve">invasive </w:t>
      </w:r>
      <w:r w:rsidRPr="00923307">
        <w:rPr>
          <w:rFonts w:ascii="Book Antiqua" w:hAnsi="Book Antiqua"/>
          <w:sz w:val="24"/>
          <w:szCs w:val="24"/>
        </w:rPr>
        <w:t>i</w:t>
      </w:r>
      <w:r w:rsidR="00105D04" w:rsidRPr="00923307">
        <w:rPr>
          <w:rFonts w:ascii="Book Antiqua" w:hAnsi="Book Antiqua"/>
          <w:sz w:val="24"/>
          <w:szCs w:val="24"/>
        </w:rPr>
        <w:t xml:space="preserve">maging of </w:t>
      </w:r>
      <w:r w:rsidRPr="00923307">
        <w:rPr>
          <w:rFonts w:ascii="Book Antiqua" w:hAnsi="Book Antiqua" w:hint="eastAsia"/>
          <w:sz w:val="24"/>
          <w:szCs w:val="24"/>
        </w:rPr>
        <w:t>HCC</w:t>
      </w:r>
    </w:p>
    <w:p w14:paraId="6B219F03" w14:textId="77777777" w:rsidR="00923307" w:rsidRDefault="00923307" w:rsidP="00327F62">
      <w:pPr>
        <w:snapToGrid w:val="0"/>
        <w:spacing w:line="360" w:lineRule="auto"/>
        <w:rPr>
          <w:rFonts w:ascii="Book Antiqua" w:hAnsi="Book Antiqua"/>
          <w:sz w:val="24"/>
          <w:szCs w:val="24"/>
        </w:rPr>
      </w:pPr>
    </w:p>
    <w:p w14:paraId="2D8F5B94" w14:textId="1913903B" w:rsidR="005B5EE9" w:rsidRPr="00923307" w:rsidRDefault="00923307" w:rsidP="00327F62">
      <w:pPr>
        <w:snapToGrid w:val="0"/>
        <w:spacing w:line="360" w:lineRule="auto"/>
        <w:rPr>
          <w:rFonts w:ascii="Book Antiqua" w:hAnsi="Book Antiqua"/>
          <w:b/>
          <w:i/>
          <w:sz w:val="24"/>
          <w:szCs w:val="24"/>
        </w:rPr>
      </w:pPr>
      <w:r w:rsidRPr="00923307">
        <w:rPr>
          <w:rFonts w:ascii="Book Antiqua" w:hAnsi="Book Antiqua"/>
          <w:sz w:val="24"/>
          <w:szCs w:val="24"/>
        </w:rPr>
        <w:t>Han</w:t>
      </w:r>
      <w:r w:rsidR="006A528C">
        <w:rPr>
          <w:rFonts w:ascii="Book Antiqua" w:hAnsi="Book Antiqua" w:hint="eastAsia"/>
          <w:sz w:val="24"/>
          <w:szCs w:val="24"/>
        </w:rPr>
        <w:t>-</w:t>
      </w:r>
      <w:r w:rsidRPr="006A528C">
        <w:rPr>
          <w:rFonts w:ascii="Book Antiqua" w:hAnsi="Book Antiqua"/>
          <w:caps/>
          <w:sz w:val="24"/>
          <w:szCs w:val="24"/>
        </w:rPr>
        <w:t>y</w:t>
      </w:r>
      <w:r w:rsidRPr="00923307">
        <w:rPr>
          <w:rFonts w:ascii="Book Antiqua" w:hAnsi="Book Antiqua"/>
          <w:sz w:val="24"/>
          <w:szCs w:val="24"/>
        </w:rPr>
        <w:t>u Jiang</w:t>
      </w:r>
      <w:r>
        <w:rPr>
          <w:rFonts w:ascii="Book Antiqua" w:hAnsi="Book Antiqua" w:hint="eastAsia"/>
          <w:sz w:val="24"/>
          <w:szCs w:val="24"/>
        </w:rPr>
        <w:t xml:space="preserve">, </w:t>
      </w:r>
      <w:r w:rsidRPr="00923307">
        <w:rPr>
          <w:rFonts w:ascii="Book Antiqua" w:hAnsi="Book Antiqua"/>
          <w:sz w:val="24"/>
          <w:szCs w:val="24"/>
        </w:rPr>
        <w:t>Jie Chen</w:t>
      </w:r>
      <w:r>
        <w:rPr>
          <w:rFonts w:ascii="Book Antiqua" w:hAnsi="Book Antiqua" w:hint="eastAsia"/>
          <w:sz w:val="24"/>
          <w:szCs w:val="24"/>
        </w:rPr>
        <w:t xml:space="preserve">, </w:t>
      </w:r>
      <w:r w:rsidRPr="00923307">
        <w:rPr>
          <w:rFonts w:ascii="Book Antiqua" w:hAnsi="Book Antiqua"/>
          <w:sz w:val="24"/>
          <w:szCs w:val="24"/>
        </w:rPr>
        <w:t>Chun</w:t>
      </w:r>
      <w:r w:rsidR="006A528C">
        <w:rPr>
          <w:rFonts w:ascii="Book Antiqua" w:hAnsi="Book Antiqua" w:hint="eastAsia"/>
          <w:sz w:val="24"/>
          <w:szCs w:val="24"/>
        </w:rPr>
        <w:t>-</w:t>
      </w:r>
      <w:r w:rsidRPr="006A528C">
        <w:rPr>
          <w:rFonts w:ascii="Book Antiqua" w:hAnsi="Book Antiqua"/>
          <w:caps/>
          <w:sz w:val="24"/>
          <w:szCs w:val="24"/>
        </w:rPr>
        <w:t>c</w:t>
      </w:r>
      <w:r w:rsidRPr="00923307">
        <w:rPr>
          <w:rFonts w:ascii="Book Antiqua" w:hAnsi="Book Antiqua"/>
          <w:sz w:val="24"/>
          <w:szCs w:val="24"/>
        </w:rPr>
        <w:t>hao Xia</w:t>
      </w:r>
      <w:r>
        <w:rPr>
          <w:rFonts w:ascii="Book Antiqua" w:hAnsi="Book Antiqua" w:hint="eastAsia"/>
          <w:sz w:val="24"/>
          <w:szCs w:val="24"/>
        </w:rPr>
        <w:t xml:space="preserve">, </w:t>
      </w:r>
      <w:r w:rsidRPr="00923307">
        <w:rPr>
          <w:rFonts w:ascii="Book Antiqua" w:hAnsi="Book Antiqua"/>
          <w:sz w:val="24"/>
          <w:szCs w:val="24"/>
        </w:rPr>
        <w:t>Li</w:t>
      </w:r>
      <w:r w:rsidR="006A528C">
        <w:rPr>
          <w:rFonts w:ascii="Book Antiqua" w:hAnsi="Book Antiqua" w:hint="eastAsia"/>
          <w:sz w:val="24"/>
          <w:szCs w:val="24"/>
        </w:rPr>
        <w:t>-</w:t>
      </w:r>
      <w:r w:rsidRPr="006A528C">
        <w:rPr>
          <w:rFonts w:ascii="Book Antiqua" w:hAnsi="Book Antiqua"/>
          <w:caps/>
          <w:sz w:val="24"/>
          <w:szCs w:val="24"/>
        </w:rPr>
        <w:t>k</w:t>
      </w:r>
      <w:r w:rsidRPr="00923307">
        <w:rPr>
          <w:rFonts w:ascii="Book Antiqua" w:hAnsi="Book Antiqua"/>
          <w:sz w:val="24"/>
          <w:szCs w:val="24"/>
        </w:rPr>
        <w:t>un Cao</w:t>
      </w:r>
      <w:r>
        <w:rPr>
          <w:rFonts w:ascii="Book Antiqua" w:hAnsi="Book Antiqua" w:hint="eastAsia"/>
          <w:sz w:val="24"/>
          <w:szCs w:val="24"/>
        </w:rPr>
        <w:t xml:space="preserve">, </w:t>
      </w:r>
      <w:r w:rsidRPr="00923307">
        <w:rPr>
          <w:rFonts w:ascii="Book Antiqua" w:hAnsi="Book Antiqua"/>
          <w:sz w:val="24"/>
          <w:szCs w:val="24"/>
        </w:rPr>
        <w:t>Ting Duan</w:t>
      </w:r>
      <w:r>
        <w:rPr>
          <w:rFonts w:ascii="Book Antiqua" w:hAnsi="Book Antiqua" w:hint="eastAsia"/>
          <w:sz w:val="24"/>
          <w:szCs w:val="24"/>
        </w:rPr>
        <w:t xml:space="preserve">, </w:t>
      </w:r>
      <w:r w:rsidRPr="00923307">
        <w:rPr>
          <w:rFonts w:ascii="Book Antiqua" w:hAnsi="Book Antiqua"/>
          <w:sz w:val="24"/>
          <w:szCs w:val="24"/>
        </w:rPr>
        <w:t>Bin Song</w:t>
      </w:r>
    </w:p>
    <w:p w14:paraId="03DE32B3" w14:textId="77777777" w:rsidR="00923307" w:rsidRDefault="00923307" w:rsidP="00327F62">
      <w:pPr>
        <w:snapToGrid w:val="0"/>
        <w:spacing w:line="360" w:lineRule="auto"/>
        <w:rPr>
          <w:rFonts w:ascii="Book Antiqua" w:hAnsi="Book Antiqua"/>
          <w:b/>
          <w:sz w:val="24"/>
          <w:szCs w:val="24"/>
        </w:rPr>
      </w:pPr>
    </w:p>
    <w:p w14:paraId="27D0AA93" w14:textId="1E90F882" w:rsidR="005B5EE9" w:rsidRPr="00923307" w:rsidRDefault="00085198" w:rsidP="00327F62">
      <w:pPr>
        <w:snapToGrid w:val="0"/>
        <w:spacing w:line="360" w:lineRule="auto"/>
        <w:rPr>
          <w:rFonts w:ascii="Book Antiqua" w:hAnsi="Book Antiqua"/>
          <w:sz w:val="24"/>
          <w:szCs w:val="24"/>
        </w:rPr>
      </w:pPr>
      <w:r w:rsidRPr="00923307">
        <w:rPr>
          <w:rFonts w:ascii="Book Antiqua" w:hAnsi="Book Antiqua"/>
          <w:b/>
          <w:sz w:val="24"/>
          <w:szCs w:val="24"/>
        </w:rPr>
        <w:t>Han</w:t>
      </w:r>
      <w:r w:rsidR="0084227B" w:rsidRPr="00923307">
        <w:rPr>
          <w:rFonts w:ascii="Book Antiqua" w:hAnsi="Book Antiqua" w:hint="eastAsia"/>
          <w:b/>
          <w:sz w:val="24"/>
          <w:szCs w:val="24"/>
        </w:rPr>
        <w:t>-</w:t>
      </w:r>
      <w:r w:rsidRPr="00923307">
        <w:rPr>
          <w:rFonts w:ascii="Book Antiqua" w:hAnsi="Book Antiqua"/>
          <w:b/>
          <w:caps/>
          <w:sz w:val="24"/>
          <w:szCs w:val="24"/>
        </w:rPr>
        <w:t>y</w:t>
      </w:r>
      <w:r w:rsidRPr="00923307">
        <w:rPr>
          <w:rFonts w:ascii="Book Antiqua" w:hAnsi="Book Antiqua"/>
          <w:b/>
          <w:sz w:val="24"/>
          <w:szCs w:val="24"/>
        </w:rPr>
        <w:t xml:space="preserve">u Jiang, Jie Chen, </w:t>
      </w:r>
      <w:r w:rsidR="004D0C0C" w:rsidRPr="00923307">
        <w:rPr>
          <w:rFonts w:ascii="Book Antiqua" w:hAnsi="Book Antiqua"/>
          <w:b/>
          <w:sz w:val="24"/>
          <w:szCs w:val="24"/>
        </w:rPr>
        <w:t>Chun</w:t>
      </w:r>
      <w:r w:rsidR="0084227B" w:rsidRPr="00923307">
        <w:rPr>
          <w:rFonts w:ascii="Book Antiqua" w:hAnsi="Book Antiqua" w:hint="eastAsia"/>
          <w:b/>
          <w:sz w:val="24"/>
          <w:szCs w:val="24"/>
        </w:rPr>
        <w:t>-</w:t>
      </w:r>
      <w:r w:rsidR="004D0C0C" w:rsidRPr="00923307">
        <w:rPr>
          <w:rFonts w:ascii="Book Antiqua" w:hAnsi="Book Antiqua"/>
          <w:b/>
          <w:caps/>
          <w:sz w:val="24"/>
          <w:szCs w:val="24"/>
        </w:rPr>
        <w:t>c</w:t>
      </w:r>
      <w:r w:rsidR="004D0C0C" w:rsidRPr="00923307">
        <w:rPr>
          <w:rFonts w:ascii="Book Antiqua" w:hAnsi="Book Antiqua"/>
          <w:b/>
          <w:sz w:val="24"/>
          <w:szCs w:val="24"/>
        </w:rPr>
        <w:t>hao Xia</w:t>
      </w:r>
      <w:r w:rsidR="008E1177" w:rsidRPr="00923307">
        <w:rPr>
          <w:rFonts w:ascii="Book Antiqua" w:hAnsi="Book Antiqua"/>
          <w:b/>
          <w:sz w:val="24"/>
          <w:szCs w:val="24"/>
        </w:rPr>
        <w:t>,</w:t>
      </w:r>
      <w:r w:rsidR="004D0C0C" w:rsidRPr="00923307">
        <w:rPr>
          <w:rFonts w:ascii="Book Antiqua" w:hAnsi="Book Antiqua"/>
          <w:b/>
          <w:sz w:val="24"/>
          <w:szCs w:val="24"/>
        </w:rPr>
        <w:t xml:space="preserve"> </w:t>
      </w:r>
      <w:r w:rsidRPr="00923307">
        <w:rPr>
          <w:rFonts w:ascii="Book Antiqua" w:hAnsi="Book Antiqua"/>
          <w:b/>
          <w:sz w:val="24"/>
          <w:szCs w:val="24"/>
        </w:rPr>
        <w:t>Li</w:t>
      </w:r>
      <w:r w:rsidR="0084227B" w:rsidRPr="00923307">
        <w:rPr>
          <w:rFonts w:ascii="Book Antiqua" w:hAnsi="Book Antiqua" w:hint="eastAsia"/>
          <w:b/>
          <w:sz w:val="24"/>
          <w:szCs w:val="24"/>
        </w:rPr>
        <w:t>-</w:t>
      </w:r>
      <w:r w:rsidRPr="00923307">
        <w:rPr>
          <w:rFonts w:ascii="Book Antiqua" w:hAnsi="Book Antiqua"/>
          <w:b/>
          <w:caps/>
          <w:sz w:val="24"/>
          <w:szCs w:val="24"/>
        </w:rPr>
        <w:t>k</w:t>
      </w:r>
      <w:r w:rsidRPr="00923307">
        <w:rPr>
          <w:rFonts w:ascii="Book Antiqua" w:hAnsi="Book Antiqua"/>
          <w:b/>
          <w:sz w:val="24"/>
          <w:szCs w:val="24"/>
        </w:rPr>
        <w:t xml:space="preserve">un Cao, </w:t>
      </w:r>
      <w:r w:rsidR="00A12905" w:rsidRPr="00923307">
        <w:rPr>
          <w:rFonts w:ascii="Book Antiqua" w:hAnsi="Book Antiqua"/>
          <w:b/>
          <w:sz w:val="24"/>
          <w:szCs w:val="24"/>
        </w:rPr>
        <w:t xml:space="preserve">Ting Duan, </w:t>
      </w:r>
      <w:r w:rsidRPr="00923307">
        <w:rPr>
          <w:rFonts w:ascii="Book Antiqua" w:hAnsi="Book Antiqua"/>
          <w:b/>
          <w:sz w:val="24"/>
          <w:szCs w:val="24"/>
        </w:rPr>
        <w:t>Bin Song</w:t>
      </w:r>
      <w:r w:rsidR="00923307" w:rsidRPr="00923307">
        <w:rPr>
          <w:rFonts w:ascii="Book Antiqua" w:hAnsi="Book Antiqua" w:hint="eastAsia"/>
          <w:b/>
          <w:sz w:val="24"/>
          <w:szCs w:val="24"/>
        </w:rPr>
        <w:t>,</w:t>
      </w:r>
      <w:r w:rsidR="00923307">
        <w:rPr>
          <w:rFonts w:ascii="Book Antiqua" w:hAnsi="Book Antiqua" w:hint="eastAsia"/>
          <w:sz w:val="24"/>
          <w:szCs w:val="24"/>
        </w:rPr>
        <w:t xml:space="preserve"> </w:t>
      </w:r>
      <w:r w:rsidRPr="00923307">
        <w:rPr>
          <w:rFonts w:ascii="Book Antiqua" w:hAnsi="Book Antiqua"/>
          <w:sz w:val="24"/>
          <w:szCs w:val="24"/>
        </w:rPr>
        <w:t xml:space="preserve">Department of </w:t>
      </w:r>
      <w:r w:rsidR="00923307" w:rsidRPr="00923307">
        <w:rPr>
          <w:rFonts w:ascii="Book Antiqua" w:hAnsi="Book Antiqua"/>
          <w:sz w:val="24"/>
          <w:szCs w:val="24"/>
        </w:rPr>
        <w:t>R</w:t>
      </w:r>
      <w:r w:rsidRPr="00923307">
        <w:rPr>
          <w:rFonts w:ascii="Book Antiqua" w:hAnsi="Book Antiqua"/>
          <w:sz w:val="24"/>
          <w:szCs w:val="24"/>
        </w:rPr>
        <w:t>adiology, Sichuan University West China Hospital, Chengdu</w:t>
      </w:r>
      <w:r w:rsidR="00923307">
        <w:rPr>
          <w:rFonts w:ascii="Book Antiqua" w:hAnsi="Book Antiqua" w:hint="eastAsia"/>
          <w:sz w:val="24"/>
          <w:szCs w:val="24"/>
        </w:rPr>
        <w:t xml:space="preserve"> </w:t>
      </w:r>
      <w:r w:rsidR="00923307" w:rsidRPr="00923307">
        <w:rPr>
          <w:rFonts w:ascii="Book Antiqua" w:hAnsi="Book Antiqua"/>
          <w:sz w:val="24"/>
          <w:szCs w:val="24"/>
        </w:rPr>
        <w:t>610041</w:t>
      </w:r>
      <w:r w:rsidRPr="00923307">
        <w:rPr>
          <w:rFonts w:ascii="Book Antiqua" w:hAnsi="Book Antiqua"/>
          <w:sz w:val="24"/>
          <w:szCs w:val="24"/>
        </w:rPr>
        <w:t>, Sichuan</w:t>
      </w:r>
      <w:r w:rsidR="00923307">
        <w:rPr>
          <w:rFonts w:ascii="Book Antiqua" w:hAnsi="Book Antiqua" w:hint="eastAsia"/>
          <w:sz w:val="24"/>
          <w:szCs w:val="24"/>
        </w:rPr>
        <w:t xml:space="preserve"> </w:t>
      </w:r>
      <w:r w:rsidR="00923307" w:rsidRPr="003F46AE">
        <w:rPr>
          <w:rFonts w:ascii="Book Antiqua" w:hAnsi="Book Antiqua"/>
          <w:sz w:val="24"/>
          <w:szCs w:val="24"/>
        </w:rPr>
        <w:t>Province</w:t>
      </w:r>
      <w:r w:rsidRPr="00923307">
        <w:rPr>
          <w:rFonts w:ascii="Book Antiqua" w:hAnsi="Book Antiqua"/>
          <w:sz w:val="24"/>
          <w:szCs w:val="24"/>
        </w:rPr>
        <w:t>, China</w:t>
      </w:r>
    </w:p>
    <w:p w14:paraId="0B2C7F48" w14:textId="77777777" w:rsidR="0084227B" w:rsidRPr="00923307" w:rsidRDefault="0084227B" w:rsidP="00327F62">
      <w:pPr>
        <w:snapToGrid w:val="0"/>
        <w:spacing w:line="360" w:lineRule="auto"/>
        <w:rPr>
          <w:rFonts w:ascii="Book Antiqua" w:hAnsi="Book Antiqua"/>
          <w:b/>
          <w:sz w:val="24"/>
          <w:szCs w:val="24"/>
        </w:rPr>
      </w:pPr>
    </w:p>
    <w:p w14:paraId="451B9146" w14:textId="0AD24A3F" w:rsidR="00A11A89" w:rsidRPr="00923307" w:rsidRDefault="00821C99" w:rsidP="00327F62">
      <w:pPr>
        <w:snapToGrid w:val="0"/>
        <w:spacing w:line="360" w:lineRule="auto"/>
        <w:rPr>
          <w:rFonts w:ascii="Book Antiqua" w:hAnsi="Book Antiqua"/>
          <w:sz w:val="24"/>
          <w:szCs w:val="24"/>
        </w:rPr>
      </w:pPr>
      <w:r w:rsidRPr="00923307">
        <w:rPr>
          <w:rFonts w:ascii="Book Antiqua" w:hAnsi="Book Antiqua"/>
          <w:b/>
          <w:sz w:val="24"/>
          <w:szCs w:val="24"/>
        </w:rPr>
        <w:t>ORCID number:</w:t>
      </w:r>
      <w:r w:rsidRPr="00923307">
        <w:rPr>
          <w:rFonts w:ascii="Book Antiqua" w:hAnsi="Book Antiqua"/>
          <w:sz w:val="24"/>
          <w:szCs w:val="24"/>
        </w:rPr>
        <w:t xml:space="preserve"> Han</w:t>
      </w:r>
      <w:r w:rsidR="006A528C">
        <w:rPr>
          <w:rFonts w:ascii="Book Antiqua" w:hAnsi="Book Antiqua" w:hint="eastAsia"/>
          <w:sz w:val="24"/>
          <w:szCs w:val="24"/>
        </w:rPr>
        <w:t>-</w:t>
      </w:r>
      <w:r w:rsidRPr="006A528C">
        <w:rPr>
          <w:rFonts w:ascii="Book Antiqua" w:hAnsi="Book Antiqua"/>
          <w:caps/>
          <w:sz w:val="24"/>
          <w:szCs w:val="24"/>
        </w:rPr>
        <w:t>y</w:t>
      </w:r>
      <w:r w:rsidRPr="00923307">
        <w:rPr>
          <w:rFonts w:ascii="Book Antiqua" w:hAnsi="Book Antiqua"/>
          <w:sz w:val="24"/>
          <w:szCs w:val="24"/>
        </w:rPr>
        <w:t>u Jian</w:t>
      </w:r>
      <w:r w:rsidR="00CA768B">
        <w:rPr>
          <w:rFonts w:ascii="Book Antiqua" w:hAnsi="Book Antiqua"/>
          <w:sz w:val="24"/>
          <w:szCs w:val="24"/>
        </w:rPr>
        <w:t>g (0000-0002-7726-1618)</w:t>
      </w:r>
      <w:r w:rsidR="00CA768B">
        <w:rPr>
          <w:rFonts w:ascii="Book Antiqua" w:hAnsi="Book Antiqua" w:hint="eastAsia"/>
          <w:sz w:val="24"/>
          <w:szCs w:val="24"/>
        </w:rPr>
        <w:t>;</w:t>
      </w:r>
      <w:r w:rsidRPr="00923307">
        <w:rPr>
          <w:rFonts w:ascii="Book Antiqua" w:hAnsi="Book Antiqua"/>
          <w:sz w:val="24"/>
          <w:szCs w:val="24"/>
        </w:rPr>
        <w:t xml:space="preserve"> Jie Chen (</w:t>
      </w:r>
      <w:r w:rsidR="00E95330" w:rsidRPr="00923307">
        <w:rPr>
          <w:rFonts w:ascii="Book Antiqua" w:hAnsi="Book Antiqua"/>
          <w:sz w:val="24"/>
          <w:szCs w:val="24"/>
        </w:rPr>
        <w:t>0000-0002-7543-0449</w:t>
      </w:r>
      <w:r w:rsidR="00CA768B">
        <w:rPr>
          <w:rFonts w:ascii="Book Antiqua" w:hAnsi="Book Antiqua"/>
          <w:sz w:val="24"/>
          <w:szCs w:val="24"/>
        </w:rPr>
        <w:t>)</w:t>
      </w:r>
      <w:r w:rsidR="00CA768B">
        <w:rPr>
          <w:rFonts w:ascii="Book Antiqua" w:hAnsi="Book Antiqua" w:hint="eastAsia"/>
          <w:sz w:val="24"/>
          <w:szCs w:val="24"/>
        </w:rPr>
        <w:t>;</w:t>
      </w:r>
      <w:r w:rsidRPr="00923307">
        <w:rPr>
          <w:rFonts w:ascii="Book Antiqua" w:hAnsi="Book Antiqua"/>
          <w:sz w:val="24"/>
          <w:szCs w:val="24"/>
        </w:rPr>
        <w:t xml:space="preserve"> </w:t>
      </w:r>
      <w:r w:rsidR="00161B27" w:rsidRPr="00923307">
        <w:rPr>
          <w:rFonts w:ascii="Book Antiqua" w:hAnsi="Book Antiqua"/>
          <w:sz w:val="24"/>
          <w:szCs w:val="24"/>
        </w:rPr>
        <w:t>Chu</w:t>
      </w:r>
      <w:r w:rsidR="00CA768B">
        <w:rPr>
          <w:rFonts w:ascii="Book Antiqua" w:hAnsi="Book Antiqua"/>
          <w:sz w:val="24"/>
          <w:szCs w:val="24"/>
        </w:rPr>
        <w:t>n</w:t>
      </w:r>
      <w:r w:rsidR="006A528C">
        <w:rPr>
          <w:rFonts w:ascii="Book Antiqua" w:hAnsi="Book Antiqua" w:hint="eastAsia"/>
          <w:sz w:val="24"/>
          <w:szCs w:val="24"/>
        </w:rPr>
        <w:t>-</w:t>
      </w:r>
      <w:r w:rsidR="00CA768B" w:rsidRPr="006A528C">
        <w:rPr>
          <w:rFonts w:ascii="Book Antiqua" w:hAnsi="Book Antiqua"/>
          <w:caps/>
          <w:sz w:val="24"/>
          <w:szCs w:val="24"/>
        </w:rPr>
        <w:t>c</w:t>
      </w:r>
      <w:r w:rsidR="00CA768B">
        <w:rPr>
          <w:rFonts w:ascii="Book Antiqua" w:hAnsi="Book Antiqua"/>
          <w:sz w:val="24"/>
          <w:szCs w:val="24"/>
        </w:rPr>
        <w:t>hao Xia (0000-0003-4338-7199)</w:t>
      </w:r>
      <w:r w:rsidR="00CA768B">
        <w:rPr>
          <w:rFonts w:ascii="Book Antiqua" w:hAnsi="Book Antiqua" w:hint="eastAsia"/>
          <w:sz w:val="24"/>
          <w:szCs w:val="24"/>
        </w:rPr>
        <w:t>;</w:t>
      </w:r>
      <w:r w:rsidR="00161B27" w:rsidRPr="00923307">
        <w:rPr>
          <w:rFonts w:ascii="Book Antiqua" w:hAnsi="Book Antiqua"/>
          <w:sz w:val="24"/>
          <w:szCs w:val="24"/>
        </w:rPr>
        <w:t xml:space="preserve"> </w:t>
      </w:r>
      <w:r w:rsidR="00CA768B">
        <w:rPr>
          <w:rFonts w:ascii="Book Antiqua" w:hAnsi="Book Antiqua"/>
          <w:sz w:val="24"/>
          <w:szCs w:val="24"/>
        </w:rPr>
        <w:t>Li</w:t>
      </w:r>
      <w:r w:rsidR="006A528C">
        <w:rPr>
          <w:rFonts w:ascii="Book Antiqua" w:hAnsi="Book Antiqua" w:hint="eastAsia"/>
          <w:sz w:val="24"/>
          <w:szCs w:val="24"/>
        </w:rPr>
        <w:t>-</w:t>
      </w:r>
      <w:r w:rsidR="00CA768B" w:rsidRPr="006A528C">
        <w:rPr>
          <w:rFonts w:ascii="Book Antiqua" w:hAnsi="Book Antiqua"/>
          <w:caps/>
          <w:sz w:val="24"/>
          <w:szCs w:val="24"/>
        </w:rPr>
        <w:t>k</w:t>
      </w:r>
      <w:r w:rsidR="00CA768B">
        <w:rPr>
          <w:rFonts w:ascii="Book Antiqua" w:hAnsi="Book Antiqua"/>
          <w:sz w:val="24"/>
          <w:szCs w:val="24"/>
        </w:rPr>
        <w:t>un Cao (0000-0003-1505-9649)</w:t>
      </w:r>
      <w:r w:rsidR="00CA768B">
        <w:rPr>
          <w:rFonts w:ascii="Book Antiqua" w:hAnsi="Book Antiqua" w:hint="eastAsia"/>
          <w:sz w:val="24"/>
          <w:szCs w:val="24"/>
        </w:rPr>
        <w:t>;</w:t>
      </w:r>
      <w:r w:rsidR="00161B27" w:rsidRPr="00923307">
        <w:rPr>
          <w:rFonts w:ascii="Book Antiqua" w:hAnsi="Book Antiqua"/>
          <w:sz w:val="24"/>
          <w:szCs w:val="24"/>
        </w:rPr>
        <w:t xml:space="preserve"> </w:t>
      </w:r>
      <w:r w:rsidR="00CA768B">
        <w:rPr>
          <w:rFonts w:ascii="Book Antiqua" w:hAnsi="Book Antiqua"/>
          <w:sz w:val="24"/>
          <w:szCs w:val="24"/>
        </w:rPr>
        <w:t>Ting Duan (0000-0001-6694-4520)</w:t>
      </w:r>
      <w:r w:rsidR="00CA768B">
        <w:rPr>
          <w:rFonts w:ascii="Book Antiqua" w:hAnsi="Book Antiqua" w:hint="eastAsia"/>
          <w:sz w:val="24"/>
          <w:szCs w:val="24"/>
        </w:rPr>
        <w:t>;</w:t>
      </w:r>
      <w:r w:rsidRPr="00923307">
        <w:rPr>
          <w:rFonts w:ascii="Book Antiqua" w:hAnsi="Book Antiqua"/>
          <w:sz w:val="24"/>
          <w:szCs w:val="24"/>
        </w:rPr>
        <w:t xml:space="preserve"> Bin Song (</w:t>
      </w:r>
      <w:r w:rsidR="008B1154" w:rsidRPr="00923307">
        <w:rPr>
          <w:rFonts w:ascii="Book Antiqua" w:hAnsi="Book Antiqua"/>
          <w:sz w:val="24"/>
          <w:szCs w:val="24"/>
        </w:rPr>
        <w:t>0000-0001-7007-6367</w:t>
      </w:r>
      <w:r w:rsidRPr="00923307">
        <w:rPr>
          <w:rFonts w:ascii="Book Antiqua" w:hAnsi="Book Antiqua"/>
          <w:sz w:val="24"/>
          <w:szCs w:val="24"/>
        </w:rPr>
        <w:t>)</w:t>
      </w:r>
      <w:r w:rsidR="00CA768B">
        <w:rPr>
          <w:rFonts w:ascii="Book Antiqua" w:hAnsi="Book Antiqua" w:hint="eastAsia"/>
          <w:sz w:val="24"/>
          <w:szCs w:val="24"/>
        </w:rPr>
        <w:t>.</w:t>
      </w:r>
    </w:p>
    <w:p w14:paraId="4DA0F309" w14:textId="77777777" w:rsidR="005B5EE9" w:rsidRPr="00923307" w:rsidRDefault="005B5EE9" w:rsidP="00327F62">
      <w:pPr>
        <w:snapToGrid w:val="0"/>
        <w:spacing w:line="360" w:lineRule="auto"/>
        <w:rPr>
          <w:rFonts w:ascii="Book Antiqua" w:hAnsi="Book Antiqua"/>
          <w:b/>
          <w:sz w:val="24"/>
          <w:szCs w:val="24"/>
        </w:rPr>
      </w:pPr>
    </w:p>
    <w:p w14:paraId="32987A7C" w14:textId="3360F6C2" w:rsidR="005B5EE9" w:rsidRPr="00923307" w:rsidRDefault="00085198" w:rsidP="00327F62">
      <w:pPr>
        <w:snapToGrid w:val="0"/>
        <w:spacing w:line="360" w:lineRule="auto"/>
        <w:rPr>
          <w:rFonts w:ascii="Book Antiqua" w:hAnsi="Book Antiqua"/>
          <w:sz w:val="24"/>
          <w:szCs w:val="24"/>
        </w:rPr>
      </w:pPr>
      <w:r w:rsidRPr="00923307">
        <w:rPr>
          <w:rFonts w:ascii="Book Antiqua" w:hAnsi="Book Antiqua"/>
          <w:b/>
          <w:sz w:val="24"/>
          <w:szCs w:val="24"/>
        </w:rPr>
        <w:t>Author contributions:</w:t>
      </w:r>
      <w:r w:rsidRPr="00923307">
        <w:rPr>
          <w:rFonts w:ascii="Book Antiqua" w:hAnsi="Book Antiqua"/>
          <w:sz w:val="24"/>
          <w:szCs w:val="24"/>
        </w:rPr>
        <w:t xml:space="preserve"> </w:t>
      </w:r>
      <w:r w:rsidR="00105D04" w:rsidRPr="00923307">
        <w:rPr>
          <w:rFonts w:ascii="Book Antiqua" w:hAnsi="Book Antiqua"/>
          <w:kern w:val="0"/>
          <w:sz w:val="24"/>
          <w:szCs w:val="24"/>
        </w:rPr>
        <w:t>Jiang H</w:t>
      </w:r>
      <w:r w:rsidR="00E6022C" w:rsidRPr="00923307">
        <w:rPr>
          <w:rFonts w:ascii="Book Antiqua" w:hAnsi="Book Antiqua"/>
          <w:kern w:val="0"/>
          <w:sz w:val="24"/>
          <w:szCs w:val="24"/>
        </w:rPr>
        <w:t>Y and Song B</w:t>
      </w:r>
      <w:r w:rsidR="00105D04" w:rsidRPr="00923307">
        <w:rPr>
          <w:rFonts w:ascii="Book Antiqua" w:hAnsi="Book Antiqua"/>
          <w:kern w:val="0"/>
          <w:sz w:val="24"/>
          <w:szCs w:val="24"/>
        </w:rPr>
        <w:t xml:space="preserve"> </w:t>
      </w:r>
      <w:r w:rsidR="00E6022C" w:rsidRPr="00923307">
        <w:rPr>
          <w:rFonts w:ascii="Book Antiqua" w:hAnsi="Book Antiqua"/>
          <w:kern w:val="0"/>
          <w:sz w:val="24"/>
          <w:szCs w:val="24"/>
        </w:rPr>
        <w:t>designed the research; Jiang HY and Chen J conducted literature search and analysis; Duan T, Cao LK</w:t>
      </w:r>
      <w:r w:rsidR="006A528C">
        <w:rPr>
          <w:rFonts w:ascii="Book Antiqua" w:hAnsi="Book Antiqua" w:hint="eastAsia"/>
          <w:kern w:val="0"/>
          <w:sz w:val="24"/>
          <w:szCs w:val="24"/>
        </w:rPr>
        <w:t xml:space="preserve"> </w:t>
      </w:r>
      <w:r w:rsidR="00E6022C" w:rsidRPr="00923307">
        <w:rPr>
          <w:rFonts w:ascii="Book Antiqua" w:hAnsi="Book Antiqua"/>
          <w:kern w:val="0"/>
          <w:sz w:val="24"/>
          <w:szCs w:val="24"/>
        </w:rPr>
        <w:t>and Xia CC provided material support; Song B provided funding for the article; Jiang HY and Chen J wrote the paper.</w:t>
      </w:r>
    </w:p>
    <w:p w14:paraId="1E9FB533" w14:textId="77777777" w:rsidR="005B5EE9" w:rsidRPr="006A528C" w:rsidRDefault="005B5EE9" w:rsidP="00327F62">
      <w:pPr>
        <w:snapToGrid w:val="0"/>
        <w:spacing w:line="360" w:lineRule="auto"/>
        <w:rPr>
          <w:rFonts w:ascii="Book Antiqua" w:hAnsi="Book Antiqua"/>
          <w:sz w:val="24"/>
          <w:szCs w:val="24"/>
        </w:rPr>
      </w:pPr>
    </w:p>
    <w:p w14:paraId="6FF72A4F" w14:textId="0CE8B060" w:rsidR="005B5EE9" w:rsidRPr="00923307" w:rsidRDefault="00085198" w:rsidP="00327F62">
      <w:pPr>
        <w:snapToGrid w:val="0"/>
        <w:spacing w:line="360" w:lineRule="auto"/>
        <w:rPr>
          <w:rFonts w:ascii="Book Antiqua" w:hAnsi="Book Antiqua"/>
          <w:sz w:val="24"/>
          <w:szCs w:val="24"/>
        </w:rPr>
      </w:pPr>
      <w:r w:rsidRPr="00923307">
        <w:rPr>
          <w:rFonts w:ascii="Book Antiqua" w:hAnsi="Book Antiqua"/>
          <w:b/>
          <w:sz w:val="24"/>
          <w:szCs w:val="24"/>
        </w:rPr>
        <w:t>Supported by</w:t>
      </w:r>
      <w:r w:rsidR="0056397A" w:rsidRPr="00923307">
        <w:rPr>
          <w:rFonts w:ascii="Book Antiqua" w:hAnsi="Book Antiqua"/>
          <w:b/>
          <w:sz w:val="24"/>
          <w:szCs w:val="24"/>
        </w:rPr>
        <w:t xml:space="preserve"> </w:t>
      </w:r>
      <w:r w:rsidRPr="00923307">
        <w:rPr>
          <w:rFonts w:ascii="Book Antiqua" w:hAnsi="Book Antiqua"/>
          <w:sz w:val="24"/>
          <w:szCs w:val="24"/>
        </w:rPr>
        <w:t>National Natural Science Foundation of China</w:t>
      </w:r>
      <w:r w:rsidR="0056397A" w:rsidRPr="00923307">
        <w:rPr>
          <w:rFonts w:ascii="Book Antiqua" w:hAnsi="Book Antiqua"/>
          <w:sz w:val="24"/>
          <w:szCs w:val="24"/>
        </w:rPr>
        <w:t>,</w:t>
      </w:r>
      <w:r w:rsidRPr="00923307">
        <w:rPr>
          <w:rFonts w:ascii="Book Antiqua" w:hAnsi="Book Antiqua"/>
          <w:sz w:val="24"/>
          <w:szCs w:val="24"/>
        </w:rPr>
        <w:t xml:space="preserve"> </w:t>
      </w:r>
      <w:r w:rsidR="0056397A" w:rsidRPr="00923307">
        <w:rPr>
          <w:rFonts w:ascii="Book Antiqua" w:hAnsi="Book Antiqua"/>
          <w:sz w:val="24"/>
          <w:szCs w:val="24"/>
        </w:rPr>
        <w:t xml:space="preserve">No. </w:t>
      </w:r>
      <w:r w:rsidRPr="00923307">
        <w:rPr>
          <w:rFonts w:ascii="Book Antiqua" w:hAnsi="Book Antiqua"/>
          <w:sz w:val="24"/>
          <w:szCs w:val="24"/>
        </w:rPr>
        <w:t>81471658</w:t>
      </w:r>
      <w:r w:rsidR="006A528C">
        <w:rPr>
          <w:rFonts w:ascii="Book Antiqua" w:hAnsi="Book Antiqua" w:hint="eastAsia"/>
          <w:sz w:val="24"/>
          <w:szCs w:val="24"/>
        </w:rPr>
        <w:t xml:space="preserve">; </w:t>
      </w:r>
      <w:r w:rsidR="0056397A" w:rsidRPr="00923307">
        <w:rPr>
          <w:rFonts w:ascii="Book Antiqua" w:hAnsi="Book Antiqua"/>
          <w:sz w:val="24"/>
          <w:szCs w:val="24"/>
        </w:rPr>
        <w:t>and</w:t>
      </w:r>
      <w:r w:rsidRPr="00923307">
        <w:rPr>
          <w:rFonts w:ascii="Book Antiqua" w:hAnsi="Book Antiqua"/>
          <w:sz w:val="24"/>
          <w:szCs w:val="24"/>
        </w:rPr>
        <w:t xml:space="preserve"> Science and Technology Support Program of Sichuan Province</w:t>
      </w:r>
      <w:r w:rsidR="006A528C">
        <w:rPr>
          <w:rFonts w:ascii="Book Antiqua" w:hAnsi="Book Antiqua" w:hint="eastAsia"/>
          <w:sz w:val="24"/>
          <w:szCs w:val="24"/>
        </w:rPr>
        <w:t xml:space="preserve">, </w:t>
      </w:r>
      <w:r w:rsidR="0056397A" w:rsidRPr="00923307">
        <w:rPr>
          <w:rFonts w:ascii="Book Antiqua" w:hAnsi="Book Antiqua"/>
          <w:sz w:val="24"/>
          <w:szCs w:val="24"/>
        </w:rPr>
        <w:t>No.</w:t>
      </w:r>
      <w:r w:rsidRPr="00923307">
        <w:rPr>
          <w:rFonts w:ascii="Book Antiqua" w:hAnsi="Book Antiqua"/>
          <w:sz w:val="24"/>
          <w:szCs w:val="24"/>
        </w:rPr>
        <w:t xml:space="preserve"> 2017SZ0003.</w:t>
      </w:r>
    </w:p>
    <w:p w14:paraId="781F0F28" w14:textId="77777777" w:rsidR="005B5EE9" w:rsidRPr="00923307" w:rsidRDefault="005B5EE9" w:rsidP="00327F62">
      <w:pPr>
        <w:snapToGrid w:val="0"/>
        <w:spacing w:line="360" w:lineRule="auto"/>
        <w:rPr>
          <w:rFonts w:ascii="Book Antiqua" w:hAnsi="Book Antiqua"/>
          <w:sz w:val="24"/>
          <w:szCs w:val="24"/>
        </w:rPr>
      </w:pPr>
    </w:p>
    <w:p w14:paraId="5A95787A" w14:textId="77777777" w:rsidR="005B5EE9" w:rsidRPr="00923307" w:rsidRDefault="00085198" w:rsidP="00327F62">
      <w:pPr>
        <w:snapToGrid w:val="0"/>
        <w:spacing w:line="360" w:lineRule="auto"/>
        <w:rPr>
          <w:rFonts w:ascii="Book Antiqua" w:hAnsi="Book Antiqua"/>
          <w:sz w:val="24"/>
          <w:szCs w:val="24"/>
        </w:rPr>
      </w:pPr>
      <w:r w:rsidRPr="00923307">
        <w:rPr>
          <w:rFonts w:ascii="Book Antiqua" w:hAnsi="Book Antiqua"/>
          <w:b/>
          <w:sz w:val="24"/>
          <w:szCs w:val="24"/>
        </w:rPr>
        <w:t xml:space="preserve">Conflict-of-interest statement: </w:t>
      </w:r>
      <w:r w:rsidRPr="00923307">
        <w:rPr>
          <w:rFonts w:ascii="Book Antiqua" w:hAnsi="Book Antiqua"/>
          <w:sz w:val="24"/>
          <w:szCs w:val="24"/>
        </w:rPr>
        <w:t>All authors declared no potential conflict of interests related to this publication.</w:t>
      </w:r>
    </w:p>
    <w:p w14:paraId="333BBF68" w14:textId="77777777" w:rsidR="00E6022C" w:rsidRPr="00923307" w:rsidRDefault="00E6022C" w:rsidP="00327F62">
      <w:pPr>
        <w:snapToGrid w:val="0"/>
        <w:spacing w:line="360" w:lineRule="auto"/>
        <w:rPr>
          <w:rFonts w:ascii="Book Antiqua" w:hAnsi="Book Antiqua"/>
          <w:sz w:val="24"/>
          <w:szCs w:val="24"/>
        </w:rPr>
      </w:pPr>
    </w:p>
    <w:p w14:paraId="162ABF84" w14:textId="55C316D5" w:rsidR="005B5EE9" w:rsidRPr="00923307" w:rsidRDefault="00E6022C" w:rsidP="00327F62">
      <w:pPr>
        <w:snapToGrid w:val="0"/>
        <w:spacing w:line="360" w:lineRule="auto"/>
        <w:rPr>
          <w:rFonts w:ascii="Book Antiqua" w:hAnsi="Book Antiqua"/>
          <w:sz w:val="24"/>
          <w:szCs w:val="24"/>
        </w:rPr>
      </w:pPr>
      <w:r w:rsidRPr="00923307">
        <w:rPr>
          <w:rFonts w:ascii="Book Antiqua" w:hAnsi="Book Antiqua" w:hint="eastAsia"/>
          <w:b/>
          <w:sz w:val="24"/>
          <w:szCs w:val="24"/>
        </w:rPr>
        <w:lastRenderedPageBreak/>
        <w:t>O</w:t>
      </w:r>
      <w:r w:rsidRPr="00923307">
        <w:rPr>
          <w:rFonts w:ascii="Book Antiqua" w:hAnsi="Book Antiqua"/>
          <w:b/>
          <w:sz w:val="24"/>
          <w:szCs w:val="24"/>
        </w:rPr>
        <w:t xml:space="preserve">pen-Access: </w:t>
      </w:r>
      <w:r w:rsidRPr="00923307">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23307">
          <w:rPr>
            <w:rStyle w:val="Hyperlink"/>
            <w:rFonts w:ascii="Book Antiqua" w:hAnsi="Book Antiqua"/>
            <w:color w:val="auto"/>
            <w:sz w:val="24"/>
            <w:szCs w:val="24"/>
          </w:rPr>
          <w:t>http://creativecommons.org/licenses/by-nc/4.0/</w:t>
        </w:r>
      </w:hyperlink>
    </w:p>
    <w:p w14:paraId="54088B5E" w14:textId="77777777" w:rsidR="00CA768B" w:rsidRDefault="00CA768B" w:rsidP="00327F62">
      <w:pPr>
        <w:pStyle w:val="13"/>
        <w:snapToGrid w:val="0"/>
        <w:spacing w:line="360" w:lineRule="auto"/>
        <w:jc w:val="both"/>
        <w:rPr>
          <w:rFonts w:ascii="Book Antiqua" w:hAnsi="Book Antiqua" w:cs="Times New Roman"/>
          <w:b/>
          <w:bCs/>
          <w:color w:val="auto"/>
          <w:sz w:val="24"/>
          <w:szCs w:val="24"/>
          <w:lang w:val="en-US" w:eastAsia="zh-CN"/>
        </w:rPr>
      </w:pPr>
    </w:p>
    <w:p w14:paraId="4676BB9F" w14:textId="77777777" w:rsidR="00CA768B" w:rsidRPr="003B57AF" w:rsidRDefault="00CA768B" w:rsidP="00327F62">
      <w:pPr>
        <w:pStyle w:val="13"/>
        <w:snapToGrid w:val="0"/>
        <w:spacing w:line="360" w:lineRule="auto"/>
        <w:jc w:val="both"/>
        <w:rPr>
          <w:rFonts w:ascii="Book Antiqua" w:hAnsi="Book Antiqua" w:cs="Times New Roman"/>
          <w:bCs/>
          <w:color w:val="auto"/>
          <w:sz w:val="24"/>
          <w:szCs w:val="24"/>
          <w:lang w:val="en-US" w:eastAsia="zh-CN"/>
        </w:rPr>
      </w:pPr>
      <w:r w:rsidRPr="003B57AF">
        <w:rPr>
          <w:rFonts w:ascii="Book Antiqua" w:hAnsi="Book Antiqua" w:cs="Times New Roman"/>
          <w:b/>
          <w:bCs/>
          <w:color w:val="auto"/>
          <w:sz w:val="24"/>
          <w:szCs w:val="24"/>
          <w:lang w:val="en-US"/>
        </w:rPr>
        <w:t>Manuscript source:</w:t>
      </w:r>
      <w:r w:rsidRPr="003B57AF">
        <w:rPr>
          <w:rFonts w:ascii="Book Antiqua" w:hAnsi="Book Antiqua" w:cs="Times New Roman" w:hint="eastAsia"/>
          <w:b/>
          <w:bCs/>
          <w:color w:val="auto"/>
          <w:sz w:val="24"/>
          <w:szCs w:val="24"/>
          <w:lang w:val="en-US" w:eastAsia="zh-CN"/>
        </w:rPr>
        <w:t xml:space="preserve"> </w:t>
      </w:r>
      <w:r w:rsidRPr="003B57AF">
        <w:rPr>
          <w:rFonts w:ascii="Book Antiqua" w:hAnsi="Book Antiqua" w:cs="Times New Roman"/>
          <w:bCs/>
          <w:color w:val="auto"/>
          <w:sz w:val="24"/>
          <w:szCs w:val="24"/>
          <w:lang w:val="en-US"/>
        </w:rPr>
        <w:t>Invited manuscript</w:t>
      </w:r>
    </w:p>
    <w:p w14:paraId="0101F06A" w14:textId="77777777" w:rsidR="00E6022C" w:rsidRPr="00923307" w:rsidRDefault="00E6022C" w:rsidP="00327F62">
      <w:pPr>
        <w:snapToGrid w:val="0"/>
        <w:spacing w:line="360" w:lineRule="auto"/>
        <w:rPr>
          <w:rFonts w:ascii="Book Antiqua" w:hAnsi="Book Antiqua"/>
          <w:sz w:val="24"/>
          <w:szCs w:val="24"/>
        </w:rPr>
      </w:pPr>
    </w:p>
    <w:p w14:paraId="4270D498" w14:textId="266DA49D" w:rsidR="005B5EE9" w:rsidRPr="00923307" w:rsidRDefault="00085198" w:rsidP="00327F62">
      <w:pPr>
        <w:snapToGrid w:val="0"/>
        <w:spacing w:line="360" w:lineRule="auto"/>
        <w:rPr>
          <w:rFonts w:ascii="Book Antiqua" w:hAnsi="Book Antiqua"/>
          <w:sz w:val="24"/>
          <w:szCs w:val="24"/>
        </w:rPr>
      </w:pPr>
      <w:r w:rsidRPr="00923307">
        <w:rPr>
          <w:rFonts w:ascii="Book Antiqua" w:hAnsi="Book Antiqua"/>
          <w:b/>
          <w:sz w:val="24"/>
          <w:szCs w:val="24"/>
        </w:rPr>
        <w:t>Correspondence to: Bin Song, MD,</w:t>
      </w:r>
      <w:r w:rsidRPr="00923307">
        <w:rPr>
          <w:rFonts w:ascii="Book Antiqua" w:hAnsi="Book Antiqua"/>
          <w:sz w:val="24"/>
          <w:szCs w:val="24"/>
        </w:rPr>
        <w:t xml:space="preserve"> </w:t>
      </w:r>
      <w:r w:rsidR="004C0EFC" w:rsidRPr="004C0EFC">
        <w:rPr>
          <w:rFonts w:ascii="Book Antiqua" w:hAnsi="Book Antiqua"/>
          <w:b/>
          <w:sz w:val="24"/>
          <w:szCs w:val="24"/>
        </w:rPr>
        <w:t>Chief Doctor,</w:t>
      </w:r>
      <w:r w:rsidR="004C0EFC" w:rsidRPr="004C0EFC">
        <w:rPr>
          <w:rFonts w:ascii="Book Antiqua" w:hAnsi="Book Antiqua" w:hint="eastAsia"/>
          <w:b/>
          <w:sz w:val="24"/>
          <w:szCs w:val="24"/>
        </w:rPr>
        <w:t xml:space="preserve"> </w:t>
      </w:r>
      <w:r w:rsidR="004C0EFC" w:rsidRPr="004C0EFC">
        <w:rPr>
          <w:rFonts w:ascii="Book Antiqua" w:hAnsi="Book Antiqua"/>
          <w:b/>
          <w:sz w:val="24"/>
          <w:szCs w:val="24"/>
        </w:rPr>
        <w:t>Professor</w:t>
      </w:r>
      <w:r w:rsidR="004C0EFC" w:rsidRPr="004C0EFC">
        <w:rPr>
          <w:rFonts w:ascii="Book Antiqua" w:hAnsi="Book Antiqua" w:hint="eastAsia"/>
          <w:b/>
          <w:sz w:val="24"/>
          <w:szCs w:val="24"/>
        </w:rPr>
        <w:t>,</w:t>
      </w:r>
      <w:r w:rsidR="004C0EFC">
        <w:rPr>
          <w:rFonts w:ascii="Book Antiqua" w:hAnsi="Book Antiqua" w:hint="eastAsia"/>
          <w:sz w:val="24"/>
          <w:szCs w:val="24"/>
        </w:rPr>
        <w:t xml:space="preserve"> </w:t>
      </w:r>
      <w:r w:rsidRPr="00923307">
        <w:rPr>
          <w:rFonts w:ascii="Book Antiqua" w:hAnsi="Book Antiqua"/>
          <w:sz w:val="24"/>
          <w:szCs w:val="24"/>
        </w:rPr>
        <w:t>Department of Radiology, Sichuan University West China Hospital, No. 37 Guoxue Alley, Chengdu</w:t>
      </w:r>
      <w:r w:rsidR="00C75D1C">
        <w:rPr>
          <w:rFonts w:ascii="Book Antiqua" w:hAnsi="Book Antiqua" w:hint="eastAsia"/>
          <w:sz w:val="24"/>
          <w:szCs w:val="24"/>
        </w:rPr>
        <w:t xml:space="preserve"> </w:t>
      </w:r>
      <w:r w:rsidR="00C75D1C" w:rsidRPr="00923307">
        <w:rPr>
          <w:rFonts w:ascii="Book Antiqua" w:hAnsi="Book Antiqua"/>
          <w:sz w:val="24"/>
          <w:szCs w:val="24"/>
        </w:rPr>
        <w:t>610041</w:t>
      </w:r>
      <w:r w:rsidRPr="00923307">
        <w:rPr>
          <w:rFonts w:ascii="Book Antiqua" w:hAnsi="Book Antiqua"/>
          <w:sz w:val="24"/>
          <w:szCs w:val="24"/>
        </w:rPr>
        <w:t xml:space="preserve">, Sichuan </w:t>
      </w:r>
      <w:r w:rsidR="00C75D1C">
        <w:rPr>
          <w:rFonts w:ascii="Book Antiqua" w:hAnsi="Book Antiqua" w:hint="eastAsia"/>
          <w:sz w:val="24"/>
          <w:szCs w:val="24"/>
        </w:rPr>
        <w:t>Province</w:t>
      </w:r>
      <w:r w:rsidRPr="00923307">
        <w:rPr>
          <w:rFonts w:ascii="Book Antiqua" w:hAnsi="Book Antiqua"/>
          <w:sz w:val="24"/>
          <w:szCs w:val="24"/>
        </w:rPr>
        <w:t xml:space="preserve">, China. </w:t>
      </w:r>
      <w:r w:rsidR="00CA768B" w:rsidRPr="00923307">
        <w:rPr>
          <w:rFonts w:ascii="Book Antiqua" w:hAnsi="Book Antiqua"/>
          <w:sz w:val="24"/>
          <w:szCs w:val="24"/>
        </w:rPr>
        <w:t>anicesong@vip.sina.com</w:t>
      </w:r>
    </w:p>
    <w:p w14:paraId="1DB5ADE1" w14:textId="3FAD9BA5" w:rsidR="006E4E5E" w:rsidRPr="00CA768B" w:rsidRDefault="00085198" w:rsidP="00327F62">
      <w:pPr>
        <w:snapToGrid w:val="0"/>
        <w:spacing w:line="360" w:lineRule="auto"/>
        <w:rPr>
          <w:rFonts w:ascii="Book Antiqua" w:hAnsi="Book Antiqua"/>
          <w:sz w:val="24"/>
          <w:szCs w:val="24"/>
        </w:rPr>
      </w:pPr>
      <w:r w:rsidRPr="00923307">
        <w:rPr>
          <w:rFonts w:ascii="Book Antiqua" w:hAnsi="Book Antiqua"/>
          <w:b/>
          <w:sz w:val="24"/>
          <w:szCs w:val="24"/>
        </w:rPr>
        <w:t xml:space="preserve">Telephone: </w:t>
      </w:r>
      <w:r w:rsidRPr="00923307">
        <w:rPr>
          <w:rFonts w:ascii="Book Antiqua" w:hAnsi="Book Antiqua"/>
          <w:sz w:val="24"/>
          <w:szCs w:val="24"/>
        </w:rPr>
        <w:t>+86-28-85423680</w:t>
      </w:r>
    </w:p>
    <w:p w14:paraId="66DB5C05" w14:textId="08661E9C" w:rsidR="006E4E5E" w:rsidRPr="00923307" w:rsidRDefault="006E4E5E" w:rsidP="00327F62">
      <w:pPr>
        <w:snapToGrid w:val="0"/>
        <w:spacing w:line="360" w:lineRule="auto"/>
        <w:rPr>
          <w:rFonts w:ascii="Book Antiqua" w:hAnsi="Book Antiqua"/>
          <w:b/>
          <w:sz w:val="24"/>
          <w:szCs w:val="24"/>
        </w:rPr>
      </w:pPr>
    </w:p>
    <w:p w14:paraId="7F499E46" w14:textId="2214F532" w:rsidR="00CA768B" w:rsidRPr="003B57AF" w:rsidRDefault="00CA768B" w:rsidP="00327F62">
      <w:pPr>
        <w:snapToGrid w:val="0"/>
        <w:spacing w:line="360" w:lineRule="auto"/>
        <w:rPr>
          <w:rFonts w:ascii="Book Antiqua" w:hAnsi="Book Antiqua" w:cs="SimSun"/>
          <w:b/>
          <w:sz w:val="24"/>
          <w:szCs w:val="24"/>
        </w:rPr>
      </w:pPr>
      <w:r w:rsidRPr="003B57AF">
        <w:rPr>
          <w:rFonts w:ascii="Book Antiqua" w:hAnsi="Book Antiqua" w:cs="SimSun"/>
          <w:b/>
          <w:sz w:val="24"/>
          <w:szCs w:val="24"/>
        </w:rPr>
        <w:t>Received:</w:t>
      </w:r>
      <w:r w:rsidRPr="003B57AF">
        <w:rPr>
          <w:rFonts w:ascii="Book Antiqua" w:hAnsi="Book Antiqua" w:cs="SimSun" w:hint="eastAsia"/>
          <w:b/>
          <w:sz w:val="24"/>
          <w:szCs w:val="24"/>
        </w:rPr>
        <w:t xml:space="preserve"> </w:t>
      </w:r>
      <w:r w:rsidRPr="003B57AF">
        <w:rPr>
          <w:rFonts w:ascii="Book Antiqua" w:hAnsi="Book Antiqua" w:cs="SimSun" w:hint="eastAsia"/>
          <w:sz w:val="24"/>
          <w:szCs w:val="24"/>
        </w:rPr>
        <w:t xml:space="preserve">March </w:t>
      </w:r>
      <w:r>
        <w:rPr>
          <w:rFonts w:ascii="Book Antiqua" w:hAnsi="Book Antiqua" w:cs="SimSun" w:hint="eastAsia"/>
          <w:sz w:val="24"/>
          <w:szCs w:val="24"/>
        </w:rPr>
        <w:t>2</w:t>
      </w:r>
      <w:r w:rsidRPr="003B57AF">
        <w:rPr>
          <w:rFonts w:ascii="Book Antiqua" w:hAnsi="Book Antiqua" w:cs="SimSun" w:hint="eastAsia"/>
          <w:sz w:val="24"/>
          <w:szCs w:val="24"/>
        </w:rPr>
        <w:t>7, 2018</w:t>
      </w:r>
    </w:p>
    <w:p w14:paraId="4649CD61" w14:textId="17416E04" w:rsidR="00CA768B" w:rsidRPr="003B57AF" w:rsidRDefault="00CA768B" w:rsidP="00327F62">
      <w:pPr>
        <w:snapToGrid w:val="0"/>
        <w:spacing w:line="360" w:lineRule="auto"/>
        <w:rPr>
          <w:rFonts w:ascii="Book Antiqua" w:hAnsi="Book Antiqua" w:cs="SimSun"/>
          <w:b/>
          <w:sz w:val="24"/>
          <w:szCs w:val="24"/>
        </w:rPr>
      </w:pPr>
      <w:r w:rsidRPr="003B57AF">
        <w:rPr>
          <w:rFonts w:ascii="Book Antiqua" w:hAnsi="Book Antiqua" w:cs="SimSun"/>
          <w:b/>
          <w:sz w:val="24"/>
          <w:szCs w:val="24"/>
        </w:rPr>
        <w:t>Peer-review started:</w:t>
      </w:r>
      <w:r w:rsidRPr="003B57AF">
        <w:rPr>
          <w:rFonts w:ascii="Book Antiqua" w:hAnsi="Book Antiqua" w:cs="SimSun" w:hint="eastAsia"/>
          <w:b/>
          <w:sz w:val="24"/>
          <w:szCs w:val="24"/>
        </w:rPr>
        <w:t xml:space="preserve"> </w:t>
      </w:r>
      <w:r w:rsidRPr="003B57AF">
        <w:rPr>
          <w:rFonts w:ascii="Book Antiqua" w:hAnsi="Book Antiqua" w:cs="SimSun" w:hint="eastAsia"/>
          <w:sz w:val="24"/>
          <w:szCs w:val="24"/>
        </w:rPr>
        <w:t xml:space="preserve">March </w:t>
      </w:r>
      <w:r>
        <w:rPr>
          <w:rFonts w:ascii="Book Antiqua" w:hAnsi="Book Antiqua" w:cs="SimSun" w:hint="eastAsia"/>
          <w:sz w:val="24"/>
          <w:szCs w:val="24"/>
        </w:rPr>
        <w:t>2</w:t>
      </w:r>
      <w:r w:rsidRPr="003B57AF">
        <w:rPr>
          <w:rFonts w:ascii="Book Antiqua" w:hAnsi="Book Antiqua" w:cs="SimSun" w:hint="eastAsia"/>
          <w:sz w:val="24"/>
          <w:szCs w:val="24"/>
        </w:rPr>
        <w:t>7, 2018</w:t>
      </w:r>
    </w:p>
    <w:p w14:paraId="1858D5F0" w14:textId="2E92CA0E" w:rsidR="00CA768B" w:rsidRPr="003B57AF" w:rsidRDefault="00CA768B" w:rsidP="00327F62">
      <w:pPr>
        <w:snapToGrid w:val="0"/>
        <w:spacing w:line="360" w:lineRule="auto"/>
        <w:rPr>
          <w:rFonts w:ascii="Book Antiqua" w:hAnsi="Book Antiqua" w:cs="SimSun"/>
          <w:b/>
          <w:sz w:val="24"/>
          <w:szCs w:val="24"/>
        </w:rPr>
      </w:pPr>
      <w:r w:rsidRPr="003B57AF">
        <w:rPr>
          <w:rFonts w:ascii="Book Antiqua" w:hAnsi="Book Antiqua" w:cs="SimSun"/>
          <w:b/>
          <w:sz w:val="24"/>
          <w:szCs w:val="24"/>
        </w:rPr>
        <w:t>First decision:</w:t>
      </w:r>
      <w:r w:rsidRPr="003B57AF">
        <w:rPr>
          <w:rFonts w:ascii="Book Antiqua" w:hAnsi="Book Antiqua" w:cs="SimSun" w:hint="eastAsia"/>
          <w:b/>
          <w:sz w:val="24"/>
          <w:szCs w:val="24"/>
        </w:rPr>
        <w:t xml:space="preserve"> </w:t>
      </w:r>
      <w:r>
        <w:rPr>
          <w:rFonts w:ascii="Book Antiqua" w:hAnsi="Book Antiqua" w:cs="SimSun" w:hint="eastAsia"/>
          <w:sz w:val="24"/>
          <w:szCs w:val="24"/>
        </w:rPr>
        <w:t xml:space="preserve">April </w:t>
      </w:r>
      <w:r w:rsidR="00510209">
        <w:rPr>
          <w:rFonts w:ascii="Book Antiqua" w:hAnsi="Book Antiqua" w:cs="SimSun" w:hint="eastAsia"/>
          <w:sz w:val="24"/>
          <w:szCs w:val="24"/>
        </w:rPr>
        <w:t>11</w:t>
      </w:r>
      <w:r w:rsidRPr="003B57AF">
        <w:rPr>
          <w:rFonts w:ascii="Book Antiqua" w:hAnsi="Book Antiqua" w:cs="SimSun" w:hint="eastAsia"/>
          <w:sz w:val="24"/>
          <w:szCs w:val="24"/>
        </w:rPr>
        <w:t>, 2018</w:t>
      </w:r>
    </w:p>
    <w:p w14:paraId="2314078B" w14:textId="0B8BA79F" w:rsidR="00CA768B" w:rsidRPr="003B57AF" w:rsidRDefault="00CA768B" w:rsidP="00327F62">
      <w:pPr>
        <w:snapToGrid w:val="0"/>
        <w:spacing w:line="360" w:lineRule="auto"/>
        <w:rPr>
          <w:rFonts w:ascii="Book Antiqua" w:hAnsi="Book Antiqua" w:cs="SimSun"/>
          <w:b/>
          <w:sz w:val="24"/>
          <w:szCs w:val="24"/>
        </w:rPr>
      </w:pPr>
      <w:r w:rsidRPr="003B57AF">
        <w:rPr>
          <w:rFonts w:ascii="Book Antiqua" w:hAnsi="Book Antiqua" w:cs="SimSun"/>
          <w:b/>
          <w:sz w:val="24"/>
          <w:szCs w:val="24"/>
        </w:rPr>
        <w:t>Revised:</w:t>
      </w:r>
      <w:r w:rsidRPr="003B57AF">
        <w:rPr>
          <w:rFonts w:ascii="Book Antiqua" w:hAnsi="Book Antiqua" w:cs="SimSun" w:hint="eastAsia"/>
          <w:b/>
          <w:sz w:val="24"/>
          <w:szCs w:val="24"/>
        </w:rPr>
        <w:t xml:space="preserve"> </w:t>
      </w:r>
      <w:r>
        <w:rPr>
          <w:rFonts w:ascii="Book Antiqua" w:hAnsi="Book Antiqua" w:cs="SimSun" w:hint="eastAsia"/>
          <w:sz w:val="24"/>
          <w:szCs w:val="24"/>
        </w:rPr>
        <w:t>April 18</w:t>
      </w:r>
      <w:r w:rsidRPr="003B57AF">
        <w:rPr>
          <w:rFonts w:ascii="Book Antiqua" w:hAnsi="Book Antiqua" w:cs="SimSun" w:hint="eastAsia"/>
          <w:sz w:val="24"/>
          <w:szCs w:val="24"/>
        </w:rPr>
        <w:t>, 2018</w:t>
      </w:r>
    </w:p>
    <w:p w14:paraId="5272318B" w14:textId="1782E6F9" w:rsidR="00CA768B" w:rsidRPr="003B57AF" w:rsidRDefault="00CA768B" w:rsidP="00327F62">
      <w:pPr>
        <w:snapToGrid w:val="0"/>
        <w:spacing w:line="360" w:lineRule="auto"/>
        <w:rPr>
          <w:rFonts w:ascii="Book Antiqua" w:hAnsi="Book Antiqua" w:cs="SimSun"/>
          <w:b/>
          <w:sz w:val="24"/>
          <w:szCs w:val="24"/>
        </w:rPr>
      </w:pPr>
      <w:r w:rsidRPr="003B57AF">
        <w:rPr>
          <w:rFonts w:ascii="Book Antiqua" w:hAnsi="Book Antiqua" w:cs="SimSun"/>
          <w:b/>
          <w:sz w:val="24"/>
          <w:szCs w:val="24"/>
        </w:rPr>
        <w:t>Accepted:</w:t>
      </w:r>
      <w:r w:rsidR="00DF6D7D" w:rsidRPr="00DF6D7D">
        <w:t xml:space="preserve"> </w:t>
      </w:r>
      <w:r w:rsidR="00DF6D7D" w:rsidRPr="00DF6D7D">
        <w:rPr>
          <w:rFonts w:ascii="Book Antiqua" w:hAnsi="Book Antiqua" w:cs="SimSun"/>
          <w:sz w:val="24"/>
          <w:szCs w:val="24"/>
        </w:rPr>
        <w:t>April 23, 2018</w:t>
      </w:r>
    </w:p>
    <w:p w14:paraId="01E3775E" w14:textId="77777777" w:rsidR="00CA768B" w:rsidRPr="003B57AF" w:rsidRDefault="00CA768B" w:rsidP="00327F62">
      <w:pPr>
        <w:snapToGrid w:val="0"/>
        <w:spacing w:line="360" w:lineRule="auto"/>
        <w:rPr>
          <w:rFonts w:ascii="Book Antiqua" w:hAnsi="Book Antiqua" w:cs="SimSun"/>
          <w:b/>
          <w:sz w:val="24"/>
          <w:szCs w:val="24"/>
        </w:rPr>
      </w:pPr>
      <w:r w:rsidRPr="003B57AF">
        <w:rPr>
          <w:rFonts w:ascii="Book Antiqua" w:hAnsi="Book Antiqua" w:cs="SimSun"/>
          <w:b/>
          <w:sz w:val="24"/>
          <w:szCs w:val="24"/>
        </w:rPr>
        <w:t>Article in press:</w:t>
      </w:r>
    </w:p>
    <w:p w14:paraId="0E670AC6" w14:textId="77777777" w:rsidR="00CA768B" w:rsidRPr="003B57AF" w:rsidRDefault="00CA768B" w:rsidP="00327F62">
      <w:pPr>
        <w:snapToGrid w:val="0"/>
        <w:spacing w:line="360" w:lineRule="auto"/>
        <w:rPr>
          <w:rFonts w:ascii="Book Antiqua" w:hAnsi="Book Antiqua" w:cs="Arial"/>
          <w:b/>
          <w:sz w:val="24"/>
          <w:szCs w:val="24"/>
          <w:lang w:val="pl-PL"/>
        </w:rPr>
      </w:pPr>
      <w:r w:rsidRPr="003B57AF">
        <w:rPr>
          <w:rFonts w:ascii="Book Antiqua" w:hAnsi="Book Antiqua" w:cs="Arial"/>
          <w:b/>
          <w:sz w:val="24"/>
          <w:szCs w:val="24"/>
          <w:lang w:val="pl-PL" w:eastAsia="pl-PL"/>
        </w:rPr>
        <w:t>Published online</w:t>
      </w:r>
      <w:r w:rsidRPr="003B57AF">
        <w:rPr>
          <w:rFonts w:ascii="Book Antiqua" w:hAnsi="Book Antiqua" w:cs="Arial" w:hint="eastAsia"/>
          <w:b/>
          <w:sz w:val="24"/>
          <w:szCs w:val="24"/>
          <w:lang w:val="pl-PL" w:eastAsia="pl-PL"/>
        </w:rPr>
        <w:t>:</w:t>
      </w:r>
      <w:bookmarkStart w:id="31" w:name="_GoBack"/>
      <w:bookmarkEnd w:id="31"/>
    </w:p>
    <w:p w14:paraId="06D6F353" w14:textId="313A7E69" w:rsidR="003F12E7" w:rsidRPr="00923307" w:rsidRDefault="003F12E7" w:rsidP="00327F62">
      <w:pPr>
        <w:widowControl/>
        <w:suppressAutoHyphens w:val="0"/>
        <w:snapToGrid w:val="0"/>
        <w:spacing w:line="360" w:lineRule="auto"/>
        <w:rPr>
          <w:rFonts w:ascii="Book Antiqua" w:hAnsi="Book Antiqua"/>
          <w:b/>
          <w:sz w:val="24"/>
          <w:szCs w:val="24"/>
        </w:rPr>
      </w:pPr>
    </w:p>
    <w:p w14:paraId="499FEB4D" w14:textId="77777777" w:rsidR="00510209" w:rsidRDefault="00510209">
      <w:pPr>
        <w:widowControl/>
        <w:suppressAutoHyphens w:val="0"/>
        <w:jc w:val="left"/>
        <w:rPr>
          <w:rFonts w:ascii="Book Antiqua" w:hAnsi="Book Antiqua"/>
          <w:b/>
          <w:sz w:val="24"/>
          <w:szCs w:val="24"/>
        </w:rPr>
      </w:pPr>
      <w:r>
        <w:rPr>
          <w:rFonts w:ascii="Book Antiqua" w:hAnsi="Book Antiqua"/>
          <w:b/>
          <w:sz w:val="24"/>
          <w:szCs w:val="24"/>
        </w:rPr>
        <w:br w:type="page"/>
      </w:r>
    </w:p>
    <w:p w14:paraId="7F416EF8" w14:textId="505E383A" w:rsidR="005B5EE9" w:rsidRPr="00923307" w:rsidRDefault="00085198" w:rsidP="00327F62">
      <w:pPr>
        <w:snapToGrid w:val="0"/>
        <w:spacing w:line="360" w:lineRule="auto"/>
        <w:rPr>
          <w:rFonts w:ascii="Book Antiqua" w:hAnsi="Book Antiqua"/>
          <w:b/>
          <w:sz w:val="24"/>
          <w:szCs w:val="24"/>
        </w:rPr>
      </w:pPr>
      <w:r w:rsidRPr="00923307">
        <w:rPr>
          <w:rFonts w:ascii="Book Antiqua" w:hAnsi="Book Antiqua"/>
          <w:b/>
          <w:sz w:val="24"/>
          <w:szCs w:val="24"/>
        </w:rPr>
        <w:lastRenderedPageBreak/>
        <w:t>Abstract</w:t>
      </w:r>
    </w:p>
    <w:p w14:paraId="0C4B2CAA" w14:textId="2919ECA4" w:rsidR="005B5EE9" w:rsidRPr="00923307" w:rsidRDefault="00085198" w:rsidP="00327F62">
      <w:pPr>
        <w:snapToGrid w:val="0"/>
        <w:spacing w:line="360" w:lineRule="auto"/>
        <w:rPr>
          <w:rFonts w:ascii="Book Antiqua" w:hAnsi="Book Antiqua"/>
          <w:sz w:val="24"/>
          <w:szCs w:val="24"/>
        </w:rPr>
      </w:pPr>
      <w:r w:rsidRPr="00923307">
        <w:rPr>
          <w:rFonts w:ascii="Book Antiqua" w:hAnsi="Book Antiqua"/>
          <w:sz w:val="24"/>
          <w:szCs w:val="24"/>
        </w:rPr>
        <w:t xml:space="preserve">Hepatocellular carcinoma (HCC) is the most common primary liver cancer and a major public health problem worldwide. Hepatocarcinogenesis is a complex multistep process at molecular, cellular and histologic levels with key alterations </w:t>
      </w:r>
      <w:r w:rsidR="00FA7C2B" w:rsidRPr="00923307">
        <w:rPr>
          <w:rFonts w:ascii="Book Antiqua" w:hAnsi="Book Antiqua"/>
          <w:sz w:val="24"/>
          <w:szCs w:val="24"/>
        </w:rPr>
        <w:t xml:space="preserve">that </w:t>
      </w:r>
      <w:r w:rsidRPr="00923307">
        <w:rPr>
          <w:rFonts w:ascii="Book Antiqua" w:hAnsi="Book Antiqua"/>
          <w:sz w:val="24"/>
          <w:szCs w:val="24"/>
        </w:rPr>
        <w:t>can be revealed by noninvasive imaging modalities. Therefore, imaging techniques have been playing pivotal roles in the detection, characterization, staging, surveillance and prognosis evaluation of HCC. Currently, ultrasound (US) is the first-line imaging modality for screening and surveillance purposes. While based on conclusive enhancement patterns comprising arterial phase hyperenhancement and portal venous and/or delayed phase wash-out, contrast enhanced dynamic computed tomography</w:t>
      </w:r>
      <w:r w:rsidR="006E74B8">
        <w:rPr>
          <w:rFonts w:ascii="Book Antiqua" w:hAnsi="Book Antiqua" w:hint="eastAsia"/>
          <w:sz w:val="24"/>
          <w:szCs w:val="24"/>
        </w:rPr>
        <w:t xml:space="preserve"> </w:t>
      </w:r>
      <w:r w:rsidRPr="00923307">
        <w:rPr>
          <w:rFonts w:ascii="Book Antiqua" w:hAnsi="Book Antiqua"/>
          <w:sz w:val="24"/>
          <w:szCs w:val="24"/>
        </w:rPr>
        <w:t>and magnetic resonance imaging</w:t>
      </w:r>
      <w:r w:rsidR="00536A5E">
        <w:rPr>
          <w:rFonts w:ascii="Book Antiqua" w:hAnsi="Book Antiqua" w:hint="eastAsia"/>
          <w:sz w:val="24"/>
          <w:szCs w:val="24"/>
        </w:rPr>
        <w:t xml:space="preserve"> </w:t>
      </w:r>
      <w:r w:rsidRPr="00923307">
        <w:rPr>
          <w:rFonts w:ascii="Book Antiqua" w:hAnsi="Book Antiqua"/>
          <w:sz w:val="24"/>
          <w:szCs w:val="24"/>
        </w:rPr>
        <w:t>(MRI) are the diagnostic tools for HCC without requirements for histopathologic confirmation. Functional MRI techniques, including diffusion-weighted imaging, MRI</w:t>
      </w:r>
      <w:r w:rsidR="00FA7C2B" w:rsidRPr="00923307">
        <w:rPr>
          <w:rFonts w:ascii="Book Antiqua" w:hAnsi="Book Antiqua"/>
          <w:sz w:val="24"/>
          <w:szCs w:val="24"/>
        </w:rPr>
        <w:t xml:space="preserve"> with hepatobiliary contrast agents</w:t>
      </w:r>
      <w:r w:rsidRPr="00923307">
        <w:rPr>
          <w:rFonts w:ascii="Book Antiqua" w:hAnsi="Book Antiqua"/>
          <w:sz w:val="24"/>
          <w:szCs w:val="24"/>
        </w:rPr>
        <w:t>, perfusion imaging and magnetic resonance elastography</w:t>
      </w:r>
      <w:r w:rsidR="00597596">
        <w:rPr>
          <w:rFonts w:ascii="Book Antiqua" w:hAnsi="Book Antiqua" w:hint="eastAsia"/>
          <w:sz w:val="24"/>
          <w:szCs w:val="24"/>
        </w:rPr>
        <w:t xml:space="preserve"> </w:t>
      </w:r>
      <w:r w:rsidR="00846D8F" w:rsidRPr="00923307">
        <w:rPr>
          <w:rFonts w:ascii="Book Antiqua" w:hAnsi="Book Antiqua"/>
          <w:sz w:val="24"/>
          <w:szCs w:val="24"/>
        </w:rPr>
        <w:t>show promise in providing</w:t>
      </w:r>
      <w:r w:rsidRPr="00923307">
        <w:rPr>
          <w:rFonts w:ascii="Book Antiqua" w:hAnsi="Book Antiqua"/>
          <w:sz w:val="24"/>
          <w:szCs w:val="24"/>
        </w:rPr>
        <w:t xml:space="preserve"> further important information regarding tumor biological behaviors. </w:t>
      </w:r>
      <w:r w:rsidR="00FA7C2B" w:rsidRPr="00923307">
        <w:rPr>
          <w:rFonts w:ascii="Book Antiqua" w:hAnsi="Book Antiqua"/>
          <w:sz w:val="24"/>
          <w:szCs w:val="24"/>
        </w:rPr>
        <w:t>In addition</w:t>
      </w:r>
      <w:r w:rsidRPr="00923307">
        <w:rPr>
          <w:rFonts w:ascii="Book Antiqua" w:hAnsi="Book Antiqua"/>
          <w:sz w:val="24"/>
          <w:szCs w:val="24"/>
        </w:rPr>
        <w:t>, evaluation of tumor imaging characteristics, including nodule size, margin, number, vascular invasion, and growth patterns allow preoperative prediction of tumor microvascular invasion</w:t>
      </w:r>
      <w:r w:rsidR="00510209">
        <w:rPr>
          <w:rFonts w:ascii="Book Antiqua" w:hAnsi="Book Antiqua" w:hint="eastAsia"/>
          <w:sz w:val="24"/>
          <w:szCs w:val="24"/>
        </w:rPr>
        <w:t xml:space="preserve"> </w:t>
      </w:r>
      <w:r w:rsidRPr="00923307">
        <w:rPr>
          <w:rFonts w:ascii="Book Antiqua" w:hAnsi="Book Antiqua"/>
          <w:sz w:val="24"/>
          <w:szCs w:val="24"/>
        </w:rPr>
        <w:t>and patient prognosis. Therefore, the aim of this article is to review the</w:t>
      </w:r>
      <w:r w:rsidR="00FA7C2B" w:rsidRPr="00923307">
        <w:rPr>
          <w:rFonts w:ascii="Book Antiqua" w:hAnsi="Book Antiqua"/>
          <w:kern w:val="0"/>
          <w:sz w:val="24"/>
          <w:szCs w:val="24"/>
        </w:rPr>
        <w:t xml:space="preserve"> current state-of-the-art</w:t>
      </w:r>
      <w:r w:rsidRPr="00923307">
        <w:rPr>
          <w:rFonts w:ascii="Book Antiqua" w:hAnsi="Book Antiqua"/>
          <w:sz w:val="24"/>
          <w:szCs w:val="24"/>
        </w:rPr>
        <w:t xml:space="preserve"> and recent advances in the comprehensive noninvasive imaging evaluation of HCC. We also provided the basic key concepts of HCC development and an overview of </w:t>
      </w:r>
      <w:r w:rsidR="00FA7C2B" w:rsidRPr="00923307">
        <w:rPr>
          <w:rFonts w:ascii="Book Antiqua" w:hAnsi="Book Antiqua"/>
          <w:sz w:val="24"/>
          <w:szCs w:val="24"/>
        </w:rPr>
        <w:t xml:space="preserve">the </w:t>
      </w:r>
      <w:r w:rsidRPr="00923307">
        <w:rPr>
          <w:rFonts w:ascii="Book Antiqua" w:hAnsi="Book Antiqua"/>
          <w:sz w:val="24"/>
          <w:szCs w:val="24"/>
        </w:rPr>
        <w:t>current practice guidelines in this review.</w:t>
      </w:r>
    </w:p>
    <w:p w14:paraId="3AFD1FF1" w14:textId="77777777" w:rsidR="005B5EE9" w:rsidRPr="00923307" w:rsidRDefault="005B5EE9" w:rsidP="00327F62">
      <w:pPr>
        <w:snapToGrid w:val="0"/>
        <w:spacing w:line="360" w:lineRule="auto"/>
        <w:rPr>
          <w:rFonts w:ascii="Book Antiqua" w:hAnsi="Book Antiqua"/>
          <w:sz w:val="24"/>
          <w:szCs w:val="24"/>
        </w:rPr>
      </w:pPr>
    </w:p>
    <w:p w14:paraId="1BBF4482" w14:textId="77777777" w:rsidR="005B5EE9" w:rsidRPr="00923307" w:rsidRDefault="00085198" w:rsidP="00327F62">
      <w:pPr>
        <w:snapToGrid w:val="0"/>
        <w:spacing w:line="360" w:lineRule="auto"/>
        <w:rPr>
          <w:rFonts w:ascii="Book Antiqua" w:hAnsi="Book Antiqua"/>
          <w:sz w:val="24"/>
          <w:szCs w:val="24"/>
        </w:rPr>
      </w:pPr>
      <w:r w:rsidRPr="00923307">
        <w:rPr>
          <w:rFonts w:ascii="Book Antiqua" w:hAnsi="Book Antiqua"/>
          <w:b/>
          <w:sz w:val="24"/>
          <w:szCs w:val="24"/>
        </w:rPr>
        <w:t xml:space="preserve">Key words: </w:t>
      </w:r>
      <w:r w:rsidRPr="00923307">
        <w:rPr>
          <w:rFonts w:ascii="Book Antiqua" w:hAnsi="Book Antiqua"/>
          <w:sz w:val="24"/>
          <w:szCs w:val="24"/>
        </w:rPr>
        <w:t>Hepatocellular carcinoma; Computed tomography; Magnetic resonance imaging; Ultrasound; Guidelines; Diagnosis; Staging; Surveillance; Prognosis</w:t>
      </w:r>
    </w:p>
    <w:p w14:paraId="13B3EE8B" w14:textId="77777777" w:rsidR="005B5EE9" w:rsidRDefault="005B5EE9" w:rsidP="00327F62">
      <w:pPr>
        <w:snapToGrid w:val="0"/>
        <w:spacing w:line="360" w:lineRule="auto"/>
        <w:rPr>
          <w:rFonts w:ascii="Book Antiqua" w:hAnsi="Book Antiqua"/>
          <w:b/>
          <w:sz w:val="24"/>
          <w:szCs w:val="24"/>
        </w:rPr>
      </w:pPr>
    </w:p>
    <w:p w14:paraId="6CF0E7A2" w14:textId="77777777" w:rsidR="00282AF6" w:rsidRPr="003B57AF" w:rsidRDefault="00282AF6" w:rsidP="00327F62">
      <w:pPr>
        <w:adjustRightInd w:val="0"/>
        <w:snapToGrid w:val="0"/>
        <w:spacing w:line="360" w:lineRule="auto"/>
        <w:rPr>
          <w:rFonts w:ascii="Book Antiqua" w:hAnsi="Book Antiqua" w:cs="SimSun"/>
          <w:sz w:val="24"/>
          <w:szCs w:val="24"/>
        </w:rPr>
      </w:pPr>
      <w:bookmarkStart w:id="32" w:name="OLE_LINK363"/>
      <w:bookmarkStart w:id="33" w:name="OLE_LINK364"/>
      <w:bookmarkStart w:id="34" w:name="OLE_LINK359"/>
      <w:bookmarkStart w:id="35" w:name="OLE_LINK1037"/>
      <w:bookmarkStart w:id="36" w:name="OLE_LINK1195"/>
      <w:bookmarkStart w:id="37" w:name="OLE_LINK1140"/>
      <w:bookmarkStart w:id="38" w:name="OLE_LINK1062"/>
      <w:bookmarkStart w:id="39" w:name="OLE_LINK500"/>
      <w:bookmarkStart w:id="40" w:name="OLE_LINK916"/>
      <w:bookmarkStart w:id="41" w:name="OLE_LINK956"/>
      <w:bookmarkStart w:id="42" w:name="OLE_LINK994"/>
      <w:r w:rsidRPr="003B57AF">
        <w:rPr>
          <w:rFonts w:ascii="Book Antiqua" w:hAnsi="Book Antiqua" w:cs="SimSun" w:hint="eastAsia"/>
          <w:b/>
          <w:sz w:val="24"/>
          <w:szCs w:val="24"/>
        </w:rPr>
        <w:t>©</w:t>
      </w:r>
      <w:r w:rsidRPr="003B57AF">
        <w:rPr>
          <w:rFonts w:ascii="Book Antiqua" w:hAnsi="Book Antiqua" w:cs="SimSun"/>
          <w:b/>
          <w:sz w:val="24"/>
          <w:szCs w:val="24"/>
        </w:rPr>
        <w:t xml:space="preserve"> The Author(s) 201</w:t>
      </w:r>
      <w:r w:rsidRPr="003B57AF">
        <w:rPr>
          <w:rFonts w:ascii="Book Antiqua" w:hAnsi="Book Antiqua" w:cs="SimSun" w:hint="eastAsia"/>
          <w:b/>
          <w:sz w:val="24"/>
          <w:szCs w:val="24"/>
        </w:rPr>
        <w:t>8</w:t>
      </w:r>
      <w:r w:rsidRPr="003B57AF">
        <w:rPr>
          <w:rFonts w:ascii="Book Antiqua" w:hAnsi="Book Antiqua" w:cs="SimSun"/>
          <w:b/>
          <w:sz w:val="24"/>
          <w:szCs w:val="24"/>
        </w:rPr>
        <w:t>.</w:t>
      </w:r>
      <w:r w:rsidRPr="003B57AF">
        <w:rPr>
          <w:rFonts w:ascii="Book Antiqua" w:hAnsi="Book Antiqua" w:cs="SimSun"/>
          <w:sz w:val="24"/>
          <w:szCs w:val="24"/>
        </w:rPr>
        <w:t xml:space="preserve"> Published by Baishideng Publishing Group Inc. All rights reserved.</w:t>
      </w:r>
      <w:bookmarkEnd w:id="32"/>
      <w:bookmarkEnd w:id="33"/>
      <w:bookmarkEnd w:id="34"/>
      <w:bookmarkEnd w:id="35"/>
      <w:bookmarkEnd w:id="36"/>
      <w:bookmarkEnd w:id="37"/>
      <w:bookmarkEnd w:id="38"/>
      <w:bookmarkEnd w:id="39"/>
      <w:bookmarkEnd w:id="40"/>
      <w:bookmarkEnd w:id="41"/>
      <w:bookmarkEnd w:id="42"/>
    </w:p>
    <w:p w14:paraId="3D512478" w14:textId="77777777" w:rsidR="00282AF6" w:rsidRPr="00923307" w:rsidRDefault="00282AF6" w:rsidP="00327F62">
      <w:pPr>
        <w:snapToGrid w:val="0"/>
        <w:spacing w:line="360" w:lineRule="auto"/>
        <w:rPr>
          <w:rFonts w:ascii="Book Antiqua" w:hAnsi="Book Antiqua"/>
          <w:b/>
          <w:sz w:val="24"/>
          <w:szCs w:val="24"/>
        </w:rPr>
      </w:pPr>
    </w:p>
    <w:p w14:paraId="5431CAED" w14:textId="7ED89791" w:rsidR="005B5EE9" w:rsidRPr="00282AF6" w:rsidRDefault="00A078E4" w:rsidP="00327F62">
      <w:pPr>
        <w:snapToGrid w:val="0"/>
        <w:spacing w:line="360" w:lineRule="auto"/>
        <w:rPr>
          <w:rFonts w:ascii="Book Antiqua" w:hAnsi="Book Antiqua"/>
          <w:b/>
          <w:sz w:val="24"/>
          <w:szCs w:val="24"/>
        </w:rPr>
      </w:pPr>
      <w:r>
        <w:rPr>
          <w:rFonts w:ascii="Book Antiqua" w:hAnsi="Book Antiqua"/>
          <w:b/>
          <w:sz w:val="24"/>
          <w:szCs w:val="24"/>
        </w:rPr>
        <w:t>Core tip</w:t>
      </w:r>
      <w:r w:rsidR="00085198" w:rsidRPr="00923307">
        <w:rPr>
          <w:rFonts w:ascii="Book Antiqua" w:hAnsi="Book Antiqua"/>
          <w:b/>
          <w:sz w:val="24"/>
          <w:szCs w:val="24"/>
        </w:rPr>
        <w:t xml:space="preserve">: </w:t>
      </w:r>
      <w:r w:rsidR="00085198" w:rsidRPr="00923307">
        <w:rPr>
          <w:rFonts w:ascii="Book Antiqua" w:hAnsi="Book Antiqua"/>
          <w:sz w:val="24"/>
          <w:szCs w:val="24"/>
        </w:rPr>
        <w:t xml:space="preserve">Noninvasive imaging modalities allow diagnosis, characterization, staging, surveillance and prognosis evaluation of </w:t>
      </w:r>
      <w:r w:rsidR="009D5636" w:rsidRPr="00923307">
        <w:rPr>
          <w:rFonts w:ascii="Book Antiqua" w:hAnsi="Book Antiqua"/>
          <w:sz w:val="24"/>
          <w:szCs w:val="24"/>
        </w:rPr>
        <w:t>hepatocellular carcinoma (HCC)</w:t>
      </w:r>
      <w:r w:rsidR="00085198" w:rsidRPr="00923307">
        <w:rPr>
          <w:rFonts w:ascii="Book Antiqua" w:hAnsi="Book Antiqua"/>
          <w:sz w:val="24"/>
          <w:szCs w:val="24"/>
        </w:rPr>
        <w:t>.</w:t>
      </w:r>
      <w:r w:rsidR="00E6022C" w:rsidRPr="00923307">
        <w:rPr>
          <w:rFonts w:ascii="Book Antiqua" w:hAnsi="Book Antiqua"/>
          <w:sz w:val="24"/>
          <w:szCs w:val="24"/>
        </w:rPr>
        <w:t xml:space="preserve"> </w:t>
      </w:r>
      <w:r w:rsidR="00085198" w:rsidRPr="00923307">
        <w:rPr>
          <w:rFonts w:ascii="Book Antiqua" w:hAnsi="Book Antiqua"/>
          <w:sz w:val="24"/>
          <w:szCs w:val="24"/>
        </w:rPr>
        <w:t xml:space="preserve">Functional </w:t>
      </w:r>
      <w:r w:rsidR="00536A5E" w:rsidRPr="00923307">
        <w:rPr>
          <w:rFonts w:ascii="Book Antiqua" w:hAnsi="Book Antiqua"/>
          <w:sz w:val="24"/>
          <w:szCs w:val="24"/>
        </w:rPr>
        <w:t>magnetic resonance imaging</w:t>
      </w:r>
      <w:r w:rsidR="00085198" w:rsidRPr="00923307">
        <w:rPr>
          <w:rFonts w:ascii="Book Antiqua" w:hAnsi="Book Antiqua"/>
          <w:sz w:val="24"/>
          <w:szCs w:val="24"/>
        </w:rPr>
        <w:t xml:space="preserve"> techniques </w:t>
      </w:r>
      <w:r w:rsidR="00E6022C" w:rsidRPr="00923307">
        <w:rPr>
          <w:rFonts w:ascii="Book Antiqua" w:hAnsi="Book Antiqua"/>
          <w:sz w:val="24"/>
          <w:szCs w:val="24"/>
        </w:rPr>
        <w:t>show promise in</w:t>
      </w:r>
      <w:r w:rsidR="00085198" w:rsidRPr="00923307">
        <w:rPr>
          <w:rFonts w:ascii="Book Antiqua" w:hAnsi="Book Antiqua"/>
          <w:sz w:val="24"/>
          <w:szCs w:val="24"/>
        </w:rPr>
        <w:t xml:space="preserve"> provid</w:t>
      </w:r>
      <w:r w:rsidR="00E6022C" w:rsidRPr="00923307">
        <w:rPr>
          <w:rFonts w:ascii="Book Antiqua" w:hAnsi="Book Antiqua"/>
          <w:sz w:val="24"/>
          <w:szCs w:val="24"/>
        </w:rPr>
        <w:t>ing</w:t>
      </w:r>
      <w:r w:rsidR="00085198" w:rsidRPr="00923307">
        <w:rPr>
          <w:rFonts w:ascii="Book Antiqua" w:hAnsi="Book Antiqua"/>
          <w:sz w:val="24"/>
          <w:szCs w:val="24"/>
        </w:rPr>
        <w:t xml:space="preserve"> further important information of tumor biological behaviors, and thus improving the early detection ability and characterization accuracies for HCC.</w:t>
      </w:r>
      <w:r w:rsidR="00E6022C" w:rsidRPr="00923307">
        <w:rPr>
          <w:rFonts w:ascii="Book Antiqua" w:hAnsi="Book Antiqua"/>
          <w:sz w:val="24"/>
          <w:szCs w:val="24"/>
        </w:rPr>
        <w:t xml:space="preserve"> </w:t>
      </w:r>
      <w:r w:rsidR="00085198" w:rsidRPr="00923307">
        <w:rPr>
          <w:rFonts w:ascii="Book Antiqua" w:hAnsi="Book Antiqua"/>
          <w:sz w:val="24"/>
          <w:szCs w:val="24"/>
        </w:rPr>
        <w:t>Development of prediction model comprising serological, imaging, texture, and radiogenomic parameters may facilitate preoperative evaluation of tumor recurrence and patient survival.</w:t>
      </w:r>
      <w:r w:rsidR="00E6022C" w:rsidRPr="00923307">
        <w:rPr>
          <w:rFonts w:ascii="Book Antiqua" w:hAnsi="Book Antiqua"/>
          <w:sz w:val="24"/>
          <w:szCs w:val="24"/>
        </w:rPr>
        <w:t xml:space="preserve"> </w:t>
      </w:r>
      <w:r w:rsidR="00085198" w:rsidRPr="00923307">
        <w:rPr>
          <w:rFonts w:ascii="Book Antiqua" w:hAnsi="Book Antiqua"/>
          <w:sz w:val="24"/>
          <w:szCs w:val="24"/>
        </w:rPr>
        <w:t>We reviewed recent advances in imaging techniques for noninvasive HCC assessment, basic key concepts of HCC development and current practice guidelines for HCC management in this article.</w:t>
      </w:r>
    </w:p>
    <w:p w14:paraId="7235546E" w14:textId="77777777" w:rsidR="0043776E" w:rsidRPr="00923307" w:rsidRDefault="0043776E" w:rsidP="00327F62">
      <w:pPr>
        <w:snapToGrid w:val="0"/>
        <w:spacing w:line="360" w:lineRule="auto"/>
        <w:rPr>
          <w:rFonts w:ascii="Book Antiqua" w:hAnsi="Book Antiqua"/>
          <w:lang w:val="pl-PL"/>
        </w:rPr>
      </w:pPr>
      <w:bookmarkStart w:id="43" w:name="OLE_LINK286"/>
      <w:bookmarkStart w:id="44" w:name="OLE_LINK287"/>
      <w:bookmarkStart w:id="45" w:name="OLE_LINK310"/>
      <w:bookmarkStart w:id="46" w:name="OLE_LINK579"/>
      <w:bookmarkStart w:id="47" w:name="OLE_LINK712"/>
      <w:bookmarkStart w:id="48" w:name="OLE_LINK232"/>
      <w:bookmarkStart w:id="49" w:name="OLE_LINK233"/>
      <w:bookmarkStart w:id="50" w:name="OLE_LINK271"/>
      <w:bookmarkStart w:id="51" w:name="OLE_LINK311"/>
      <w:bookmarkStart w:id="52" w:name="OLE_LINK452"/>
      <w:bookmarkStart w:id="53" w:name="OLE_LINK753"/>
      <w:bookmarkStart w:id="54" w:name="OLE_LINK775"/>
      <w:bookmarkStart w:id="55" w:name="OLE_LINK892"/>
      <w:bookmarkStart w:id="56" w:name="OLE_LINK907"/>
      <w:bookmarkStart w:id="57" w:name="OLE_LINK924"/>
      <w:bookmarkStart w:id="58" w:name="OLE_LINK1016"/>
      <w:bookmarkStart w:id="59" w:name="_Hlk508696753"/>
      <w:bookmarkStart w:id="60" w:name="_Hlk507247563"/>
    </w:p>
    <w:p w14:paraId="02F4E365" w14:textId="1D6535BA" w:rsidR="0043776E" w:rsidRPr="004A400A" w:rsidRDefault="00E6022C" w:rsidP="00327F62">
      <w:pPr>
        <w:snapToGrid w:val="0"/>
        <w:spacing w:line="360" w:lineRule="auto"/>
        <w:rPr>
          <w:rFonts w:ascii="Book Antiqua" w:hAnsi="Book Antiqua"/>
          <w:sz w:val="24"/>
          <w:szCs w:val="24"/>
        </w:rPr>
      </w:pPr>
      <w:bookmarkStart w:id="61" w:name="OLE_LINK47"/>
      <w:bookmarkStart w:id="62" w:name="OLE_LINK48"/>
      <w:bookmarkStart w:id="63" w:name="OLE_LINK3"/>
      <w:bookmarkStart w:id="64" w:name="OLE_LINK4"/>
      <w:bookmarkStart w:id="65" w:name="OLE_LINK70"/>
      <w:bookmarkStart w:id="66" w:name="OLE_LINK118"/>
      <w:bookmarkStart w:id="67" w:name="OLE_LINK145"/>
      <w:bookmarkStart w:id="68" w:name="OLE_LINK218"/>
      <w:bookmarkStart w:id="69" w:name="OLE_LINK520"/>
      <w:bookmarkStart w:id="70" w:name="OLE_LINK537"/>
      <w:bookmarkStart w:id="71" w:name="OLE_LINK598"/>
      <w:bookmarkStart w:id="72" w:name="OLE_LINK728"/>
      <w:bookmarkStart w:id="73" w:name="OLE_LINK745"/>
      <w:r w:rsidRPr="004A400A">
        <w:rPr>
          <w:rFonts w:ascii="Book Antiqua" w:hAnsi="Book Antiqua"/>
          <w:sz w:val="24"/>
          <w:szCs w:val="24"/>
        </w:rPr>
        <w:t>Jiang HY,</w:t>
      </w:r>
      <w:r w:rsidR="00846D8F" w:rsidRPr="004A400A">
        <w:rPr>
          <w:rFonts w:ascii="Book Antiqua" w:hAnsi="Book Antiqua"/>
          <w:sz w:val="24"/>
          <w:szCs w:val="24"/>
        </w:rPr>
        <w:t xml:space="preserve"> </w:t>
      </w:r>
      <w:r w:rsidRPr="004A400A">
        <w:rPr>
          <w:rFonts w:ascii="Book Antiqua" w:hAnsi="Book Antiqua"/>
          <w:sz w:val="24"/>
          <w:szCs w:val="24"/>
        </w:rPr>
        <w:t>Chen J, Xia CC,</w:t>
      </w:r>
      <w:r w:rsidR="00846D8F" w:rsidRPr="004A400A">
        <w:rPr>
          <w:rFonts w:ascii="Book Antiqua" w:hAnsi="Book Antiqua"/>
          <w:sz w:val="24"/>
          <w:szCs w:val="24"/>
        </w:rPr>
        <w:t xml:space="preserve"> Cao LK,</w:t>
      </w:r>
      <w:r w:rsidRPr="004A400A">
        <w:rPr>
          <w:rFonts w:ascii="Book Antiqua" w:hAnsi="Book Antiqua"/>
          <w:sz w:val="24"/>
          <w:szCs w:val="24"/>
        </w:rPr>
        <w:t xml:space="preserve"> </w:t>
      </w:r>
      <w:r w:rsidR="00846D8F" w:rsidRPr="004A400A">
        <w:rPr>
          <w:rFonts w:ascii="Book Antiqua" w:hAnsi="Book Antiqua"/>
          <w:sz w:val="24"/>
          <w:szCs w:val="24"/>
        </w:rPr>
        <w:t xml:space="preserve">Duan T, Song B. </w:t>
      </w:r>
      <w:bookmarkStart w:id="74" w:name="OLE_LINK1105"/>
      <w:bookmarkStart w:id="75" w:name="OLE_LINK1107"/>
      <w:bookmarkStart w:id="76" w:name="OLE_LINK200"/>
      <w:bookmarkStart w:id="77" w:name="OLE_LINK196"/>
      <w:bookmarkStart w:id="78" w:name="OLE_LINK341"/>
      <w:bookmarkStart w:id="79" w:name="OLE_LINK377"/>
      <w:bookmarkStart w:id="80" w:name="OLE_LINK366"/>
      <w:bookmarkStart w:id="81" w:name="OLE_LINK1038"/>
      <w:bookmarkStart w:id="82" w:name="OLE_LINK1166"/>
      <w:r w:rsidR="00846D8F" w:rsidRPr="004A400A">
        <w:rPr>
          <w:rFonts w:ascii="Book Antiqua" w:hAnsi="Book Antiqua"/>
          <w:sz w:val="24"/>
          <w:szCs w:val="24"/>
        </w:rPr>
        <w:t xml:space="preserve">Noninvasive </w:t>
      </w:r>
      <w:r w:rsidR="00282AF6" w:rsidRPr="004A400A">
        <w:rPr>
          <w:rFonts w:ascii="Book Antiqua" w:hAnsi="Book Antiqua"/>
          <w:sz w:val="24"/>
          <w:szCs w:val="24"/>
        </w:rPr>
        <w:t>imaging of hepatocellular carcinom</w:t>
      </w:r>
      <w:r w:rsidR="00846D8F" w:rsidRPr="004A400A">
        <w:rPr>
          <w:rFonts w:ascii="Book Antiqua" w:hAnsi="Book Antiqua"/>
          <w:sz w:val="24"/>
          <w:szCs w:val="24"/>
        </w:rPr>
        <w:t xml:space="preserve">a: </w:t>
      </w:r>
      <w:r w:rsidR="00282AF6" w:rsidRPr="004A400A">
        <w:rPr>
          <w:rFonts w:ascii="Book Antiqua" w:hAnsi="Book Antiqua"/>
          <w:sz w:val="24"/>
          <w:szCs w:val="24"/>
        </w:rPr>
        <w:t>F</w:t>
      </w:r>
      <w:r w:rsidR="00846D8F" w:rsidRPr="004A400A">
        <w:rPr>
          <w:rFonts w:ascii="Book Antiqua" w:hAnsi="Book Antiqua"/>
          <w:sz w:val="24"/>
          <w:szCs w:val="24"/>
        </w:rPr>
        <w:t xml:space="preserve">rom diagnosis to prognosis </w:t>
      </w:r>
      <w:r w:rsidR="0043776E" w:rsidRPr="004A400A">
        <w:rPr>
          <w:rFonts w:ascii="Book Antiqua" w:hAnsi="Book Antiqua"/>
          <w:i/>
          <w:sz w:val="24"/>
          <w:szCs w:val="24"/>
        </w:rPr>
        <w:t xml:space="preserve">World J Gastroenterol </w:t>
      </w:r>
      <w:r w:rsidR="0043776E" w:rsidRPr="004A400A">
        <w:rPr>
          <w:rFonts w:ascii="Book Antiqua" w:hAnsi="Book Antiqua"/>
          <w:sz w:val="24"/>
          <w:szCs w:val="24"/>
        </w:rPr>
        <w:t>201</w:t>
      </w:r>
      <w:r w:rsidR="0043776E" w:rsidRPr="004A400A">
        <w:rPr>
          <w:rFonts w:ascii="Book Antiqua" w:hAnsi="Book Antiqua" w:hint="eastAsia"/>
          <w:sz w:val="24"/>
          <w:szCs w:val="24"/>
        </w:rPr>
        <w:t>8</w:t>
      </w:r>
      <w:r w:rsidR="0043776E" w:rsidRPr="004A400A">
        <w:rPr>
          <w:rFonts w:ascii="Book Antiqua" w:hAnsi="Book Antiqua"/>
          <w:sz w:val="24"/>
          <w:szCs w:val="24"/>
        </w:rPr>
        <w:t>; In press</w:t>
      </w:r>
      <w:bookmarkEnd w:id="43"/>
      <w:bookmarkEnd w:id="44"/>
      <w:bookmarkEnd w:id="45"/>
      <w:bookmarkEnd w:id="46"/>
      <w:bookmarkEnd w:id="47"/>
      <w:bookmarkEnd w:id="61"/>
      <w:bookmarkEnd w:id="62"/>
      <w:bookmarkEnd w:id="74"/>
      <w:bookmarkEnd w:id="75"/>
    </w:p>
    <w:bookmarkEnd w:id="48"/>
    <w:bookmarkEnd w:id="49"/>
    <w:bookmarkEnd w:id="50"/>
    <w:bookmarkEnd w:id="51"/>
    <w:bookmarkEnd w:id="52"/>
    <w:bookmarkEnd w:id="53"/>
    <w:bookmarkEnd w:id="54"/>
    <w:bookmarkEnd w:id="55"/>
    <w:bookmarkEnd w:id="56"/>
    <w:bookmarkEnd w:id="57"/>
    <w:bookmarkEnd w:id="58"/>
    <w:bookmarkEnd w:id="63"/>
    <w:bookmarkEnd w:id="64"/>
    <w:bookmarkEnd w:id="65"/>
    <w:bookmarkEnd w:id="66"/>
    <w:bookmarkEnd w:id="67"/>
    <w:bookmarkEnd w:id="68"/>
    <w:bookmarkEnd w:id="69"/>
    <w:bookmarkEnd w:id="70"/>
    <w:bookmarkEnd w:id="71"/>
    <w:bookmarkEnd w:id="72"/>
    <w:bookmarkEnd w:id="73"/>
    <w:bookmarkEnd w:id="76"/>
    <w:bookmarkEnd w:id="77"/>
    <w:bookmarkEnd w:id="78"/>
    <w:bookmarkEnd w:id="79"/>
    <w:bookmarkEnd w:id="80"/>
    <w:bookmarkEnd w:id="81"/>
    <w:bookmarkEnd w:id="82"/>
    <w:p w14:paraId="07C44EAB" w14:textId="77777777" w:rsidR="0043776E" w:rsidRPr="00923307" w:rsidRDefault="0043776E" w:rsidP="00327F62">
      <w:pPr>
        <w:widowControl/>
        <w:suppressAutoHyphens w:val="0"/>
        <w:snapToGrid w:val="0"/>
        <w:spacing w:line="360" w:lineRule="auto"/>
        <w:rPr>
          <w:rFonts w:ascii="Book Antiqua" w:hAnsi="Book Antiqua"/>
          <w:sz w:val="24"/>
          <w:szCs w:val="24"/>
        </w:rPr>
      </w:pPr>
    </w:p>
    <w:p w14:paraId="110AB9B6" w14:textId="77777777" w:rsidR="003F12E7" w:rsidRPr="00923307" w:rsidRDefault="003F12E7" w:rsidP="00327F62">
      <w:pPr>
        <w:widowControl/>
        <w:suppressAutoHyphens w:val="0"/>
        <w:snapToGrid w:val="0"/>
        <w:spacing w:line="360" w:lineRule="auto"/>
        <w:rPr>
          <w:rFonts w:ascii="Book Antiqua" w:hAnsi="Book Antiqua"/>
          <w:sz w:val="24"/>
          <w:szCs w:val="24"/>
        </w:rPr>
      </w:pPr>
      <w:r w:rsidRPr="00923307">
        <w:rPr>
          <w:rFonts w:ascii="Book Antiqua" w:hAnsi="Book Antiqua"/>
          <w:sz w:val="24"/>
          <w:szCs w:val="24"/>
        </w:rPr>
        <w:br w:type="page"/>
      </w:r>
    </w:p>
    <w:p w14:paraId="63833F71" w14:textId="77777777" w:rsidR="003F12E7" w:rsidRPr="00923307" w:rsidRDefault="002B41F6" w:rsidP="00327F62">
      <w:pPr>
        <w:snapToGrid w:val="0"/>
        <w:spacing w:line="360" w:lineRule="auto"/>
        <w:rPr>
          <w:rFonts w:ascii="Book Antiqua" w:hAnsi="Book Antiqua"/>
          <w:b/>
          <w:sz w:val="24"/>
          <w:szCs w:val="24"/>
        </w:rPr>
      </w:pPr>
      <w:r w:rsidRPr="00923307">
        <w:rPr>
          <w:rFonts w:ascii="Book Antiqua" w:hAnsi="Book Antiqua"/>
          <w:b/>
          <w:sz w:val="24"/>
          <w:szCs w:val="24"/>
        </w:rPr>
        <w:lastRenderedPageBreak/>
        <w:t>INTRODUCTION</w:t>
      </w:r>
    </w:p>
    <w:p w14:paraId="3D25B5D1" w14:textId="4A2EBB24" w:rsidR="005B5EE9" w:rsidRPr="00923307" w:rsidRDefault="00085198" w:rsidP="00327F62">
      <w:pPr>
        <w:snapToGrid w:val="0"/>
        <w:spacing w:line="360" w:lineRule="auto"/>
        <w:rPr>
          <w:rFonts w:ascii="Book Antiqua" w:hAnsi="Book Antiqua"/>
          <w:sz w:val="24"/>
          <w:szCs w:val="24"/>
        </w:rPr>
      </w:pPr>
      <w:r w:rsidRPr="00923307">
        <w:rPr>
          <w:rFonts w:ascii="Book Antiqua" w:hAnsi="Book Antiqua"/>
          <w:sz w:val="24"/>
          <w:szCs w:val="24"/>
        </w:rPr>
        <w:t xml:space="preserve">Hepatocellular carcinoma (HCC) </w:t>
      </w:r>
      <w:bookmarkEnd w:id="59"/>
      <w:r w:rsidRPr="00923307">
        <w:rPr>
          <w:rFonts w:ascii="Book Antiqua" w:hAnsi="Book Antiqua"/>
          <w:sz w:val="24"/>
          <w:szCs w:val="24"/>
        </w:rPr>
        <w:t>is a</w:t>
      </w:r>
      <w:r w:rsidR="00FA7C2B" w:rsidRPr="00923307">
        <w:rPr>
          <w:rFonts w:ascii="Book Antiqua" w:hAnsi="Book Antiqua"/>
          <w:sz w:val="24"/>
          <w:szCs w:val="24"/>
        </w:rPr>
        <w:t xml:space="preserve"> malignant</w:t>
      </w:r>
      <w:r w:rsidRPr="00923307">
        <w:rPr>
          <w:rFonts w:ascii="Book Antiqua" w:hAnsi="Book Antiqua"/>
          <w:sz w:val="24"/>
          <w:szCs w:val="24"/>
        </w:rPr>
        <w:t xml:space="preserve"> epithelial tumor derived from hepatocytes. HCC is the fifth most common </w:t>
      </w:r>
      <w:r w:rsidR="00FA7C2B" w:rsidRPr="00923307">
        <w:rPr>
          <w:rFonts w:ascii="Book Antiqua" w:hAnsi="Book Antiqua"/>
          <w:sz w:val="24"/>
          <w:szCs w:val="24"/>
        </w:rPr>
        <w:t xml:space="preserve">type of </w:t>
      </w:r>
      <w:r w:rsidRPr="00923307">
        <w:rPr>
          <w:rFonts w:ascii="Book Antiqua" w:hAnsi="Book Antiqua"/>
          <w:sz w:val="24"/>
          <w:szCs w:val="24"/>
        </w:rPr>
        <w:t>cancer, and the second leading cause of cancer</w:t>
      </w:r>
      <w:r w:rsidR="00FA7C2B" w:rsidRPr="00923307">
        <w:rPr>
          <w:rFonts w:ascii="Book Antiqua" w:hAnsi="Book Antiqua"/>
          <w:sz w:val="24"/>
          <w:szCs w:val="24"/>
        </w:rPr>
        <w:t>-</w:t>
      </w:r>
      <w:r w:rsidRPr="00923307">
        <w:rPr>
          <w:rFonts w:ascii="Book Antiqua" w:hAnsi="Book Antiqua"/>
          <w:sz w:val="24"/>
          <w:szCs w:val="24"/>
        </w:rPr>
        <w:t xml:space="preserve">related death </w:t>
      </w:r>
      <w:r w:rsidR="00A93509" w:rsidRPr="00923307">
        <w:rPr>
          <w:rFonts w:ascii="Book Antiqua" w:hAnsi="Book Antiqua"/>
          <w:sz w:val="24"/>
          <w:szCs w:val="24"/>
        </w:rPr>
        <w:t>worldwide</w:t>
      </w:r>
      <w:r w:rsidR="00A93509" w:rsidRPr="00923307">
        <w:rPr>
          <w:rFonts w:ascii="Book Antiqua" w:hAnsi="Book Antiqua"/>
          <w:sz w:val="24"/>
          <w:szCs w:val="24"/>
          <w:vertAlign w:val="superscript"/>
        </w:rPr>
        <w:t xml:space="preserve"> [</w:t>
      </w:r>
      <w:r w:rsidR="000548FC" w:rsidRPr="00923307">
        <w:rPr>
          <w:rFonts w:ascii="Book Antiqua" w:hAnsi="Book Antiqua"/>
          <w:sz w:val="24"/>
          <w:szCs w:val="24"/>
          <w:vertAlign w:val="superscript"/>
        </w:rPr>
        <w:t>1]</w:t>
      </w:r>
      <w:r w:rsidRPr="00923307">
        <w:rPr>
          <w:rFonts w:ascii="Book Antiqua" w:hAnsi="Book Antiqua"/>
          <w:sz w:val="24"/>
          <w:szCs w:val="24"/>
        </w:rPr>
        <w:t xml:space="preserve">. </w:t>
      </w:r>
      <w:r w:rsidR="00FA7C2B" w:rsidRPr="00923307">
        <w:rPr>
          <w:rFonts w:ascii="Book Antiqua" w:hAnsi="Book Antiqua"/>
          <w:sz w:val="24"/>
          <w:szCs w:val="24"/>
        </w:rPr>
        <w:t>Apporximately</w:t>
      </w:r>
      <w:r w:rsidRPr="00923307">
        <w:rPr>
          <w:rFonts w:ascii="Book Antiqua" w:hAnsi="Book Antiqua"/>
          <w:sz w:val="24"/>
          <w:szCs w:val="24"/>
        </w:rPr>
        <w:t xml:space="preserve"> 70</w:t>
      </w:r>
      <w:r w:rsidR="00282AF6" w:rsidRPr="00923307">
        <w:rPr>
          <w:rFonts w:ascii="Book Antiqua" w:hAnsi="Book Antiqua"/>
          <w:sz w:val="24"/>
          <w:szCs w:val="24"/>
        </w:rPr>
        <w:t>%</w:t>
      </w:r>
      <w:r w:rsidRPr="00923307">
        <w:rPr>
          <w:rFonts w:ascii="Book Antiqua" w:hAnsi="Book Antiqua"/>
          <w:sz w:val="24"/>
          <w:szCs w:val="24"/>
        </w:rPr>
        <w:t xml:space="preserve">-90% of HCCs are developed on the background of established liver cirrhosis or advanced </w:t>
      </w:r>
      <w:r w:rsidR="00A93509" w:rsidRPr="00923307">
        <w:rPr>
          <w:rFonts w:ascii="Book Antiqua" w:hAnsi="Book Antiqua"/>
          <w:sz w:val="24"/>
          <w:szCs w:val="24"/>
        </w:rPr>
        <w:t>fibrosis</w:t>
      </w:r>
      <w:r w:rsidR="00A93509" w:rsidRPr="00923307">
        <w:rPr>
          <w:rFonts w:ascii="Book Antiqua" w:hAnsi="Book Antiqua"/>
          <w:sz w:val="24"/>
          <w:szCs w:val="24"/>
          <w:vertAlign w:val="superscript"/>
        </w:rPr>
        <w:t xml:space="preserve"> [2]</w:t>
      </w:r>
      <w:r w:rsidRPr="00923307">
        <w:rPr>
          <w:rFonts w:ascii="Book Antiqua" w:hAnsi="Book Antiqua"/>
          <w:sz w:val="24"/>
          <w:szCs w:val="24"/>
        </w:rPr>
        <w:t>. Hepatitis B virus (HBV) and/or hepatitis C virus (HCV) infection, alcohol, and nonalcoholic fatty liver disease (NAFLD) are the most predominant risk factors for HCC worldwide</w:t>
      </w:r>
      <w:r w:rsidR="00A93509" w:rsidRPr="00923307">
        <w:rPr>
          <w:rFonts w:ascii="Book Antiqua" w:hAnsi="Book Antiqua"/>
          <w:sz w:val="24"/>
          <w:szCs w:val="24"/>
          <w:vertAlign w:val="superscript"/>
        </w:rPr>
        <w:t>[3-6]</w:t>
      </w:r>
      <w:r w:rsidRPr="00923307">
        <w:rPr>
          <w:rFonts w:ascii="Book Antiqua" w:hAnsi="Book Antiqua"/>
          <w:sz w:val="24"/>
          <w:szCs w:val="24"/>
        </w:rPr>
        <w:t xml:space="preserve">. </w:t>
      </w:r>
    </w:p>
    <w:p w14:paraId="6ABCFA53" w14:textId="3BFD0479" w:rsidR="005B5EE9" w:rsidRPr="00923307" w:rsidRDefault="00085198" w:rsidP="00327F62">
      <w:pPr>
        <w:snapToGrid w:val="0"/>
        <w:spacing w:line="360" w:lineRule="auto"/>
        <w:ind w:firstLine="420"/>
        <w:rPr>
          <w:rFonts w:ascii="Book Antiqua" w:hAnsi="Book Antiqua"/>
          <w:sz w:val="24"/>
          <w:szCs w:val="24"/>
        </w:rPr>
      </w:pPr>
      <w:r w:rsidRPr="00923307">
        <w:rPr>
          <w:rFonts w:ascii="Book Antiqua" w:hAnsi="Book Antiqua"/>
          <w:sz w:val="24"/>
          <w:szCs w:val="24"/>
        </w:rPr>
        <w:t>Currently, the most effective curative treatment for HCC</w:t>
      </w:r>
      <w:r w:rsidR="00A93509" w:rsidRPr="00923307">
        <w:rPr>
          <w:rFonts w:ascii="Book Antiqua" w:hAnsi="Book Antiqua"/>
          <w:sz w:val="24"/>
          <w:szCs w:val="24"/>
        </w:rPr>
        <w:t xml:space="preserve"> </w:t>
      </w:r>
      <w:r w:rsidR="00282AF6">
        <w:rPr>
          <w:rFonts w:ascii="Book Antiqua" w:hAnsi="Book Antiqua"/>
          <w:sz w:val="24"/>
          <w:szCs w:val="24"/>
        </w:rPr>
        <w:t>is liver transplantation</w:t>
      </w:r>
      <w:r w:rsidR="00A93509" w:rsidRPr="00923307">
        <w:rPr>
          <w:rFonts w:ascii="Book Antiqua" w:hAnsi="Book Antiqua"/>
          <w:sz w:val="24"/>
          <w:szCs w:val="24"/>
          <w:vertAlign w:val="superscript"/>
        </w:rPr>
        <w:t>[</w:t>
      </w:r>
      <w:r w:rsidR="00FA7C2B" w:rsidRPr="00923307">
        <w:rPr>
          <w:rFonts w:ascii="Book Antiqua" w:hAnsi="Book Antiqua"/>
          <w:sz w:val="24"/>
          <w:szCs w:val="24"/>
          <w:vertAlign w:val="superscript"/>
        </w:rPr>
        <w:t>7-16</w:t>
      </w:r>
      <w:r w:rsidR="00A93509" w:rsidRPr="00923307">
        <w:rPr>
          <w:rFonts w:ascii="Book Antiqua" w:hAnsi="Book Antiqua"/>
          <w:sz w:val="24"/>
          <w:szCs w:val="24"/>
          <w:vertAlign w:val="superscript"/>
        </w:rPr>
        <w:t>]</w:t>
      </w:r>
      <w:r w:rsidRPr="00923307">
        <w:rPr>
          <w:rFonts w:ascii="Book Antiqua" w:hAnsi="Book Antiqua"/>
          <w:sz w:val="24"/>
          <w:szCs w:val="24"/>
        </w:rPr>
        <w:t xml:space="preserve">. </w:t>
      </w:r>
      <w:r w:rsidR="00A93509" w:rsidRPr="00923307">
        <w:rPr>
          <w:rFonts w:ascii="Book Antiqua" w:hAnsi="Book Antiqua"/>
          <w:sz w:val="24"/>
          <w:szCs w:val="24"/>
        </w:rPr>
        <w:t>However,</w:t>
      </w:r>
      <w:r w:rsidRPr="00923307">
        <w:rPr>
          <w:rFonts w:ascii="Book Antiqua" w:hAnsi="Book Antiqua"/>
          <w:sz w:val="24"/>
          <w:szCs w:val="24"/>
        </w:rPr>
        <w:t xml:space="preserve"> its wide application </w:t>
      </w:r>
      <w:r w:rsidR="00FA7C2B" w:rsidRPr="00923307">
        <w:rPr>
          <w:rFonts w:ascii="Book Antiqua" w:hAnsi="Book Antiqua"/>
          <w:sz w:val="24"/>
          <w:szCs w:val="24"/>
        </w:rPr>
        <w:t>is</w:t>
      </w:r>
      <w:r w:rsidRPr="00923307">
        <w:rPr>
          <w:rFonts w:ascii="Book Antiqua" w:hAnsi="Book Antiqua"/>
          <w:sz w:val="24"/>
          <w:szCs w:val="24"/>
        </w:rPr>
        <w:t xml:space="preserve"> limited by the shortage of liver grafts and the possibility of tumor recurrence. Other major treatment options include hepatic resection, local ablation, transarterial chemoembolization, systematic therapy and best supportive care</w:t>
      </w:r>
      <w:r w:rsidR="00A93509" w:rsidRPr="00923307">
        <w:rPr>
          <w:rFonts w:ascii="Book Antiqua" w:hAnsi="Book Antiqua"/>
          <w:sz w:val="24"/>
          <w:szCs w:val="24"/>
          <w:vertAlign w:val="superscript"/>
        </w:rPr>
        <w:t>[7-16]</w:t>
      </w:r>
      <w:r w:rsidRPr="00923307">
        <w:rPr>
          <w:rFonts w:ascii="Book Antiqua" w:hAnsi="Book Antiqua"/>
          <w:sz w:val="24"/>
          <w:szCs w:val="24"/>
        </w:rPr>
        <w:t>. However, the prognosis of HCC is largely dependent on the stage at which the tumor is detected, with complete curative treatment of the early-stage HCCs being the most effective way to improve long</w:t>
      </w:r>
      <w:r w:rsidR="00FA7C2B" w:rsidRPr="00923307">
        <w:rPr>
          <w:rFonts w:ascii="Book Antiqua" w:hAnsi="Book Antiqua"/>
          <w:sz w:val="24"/>
          <w:szCs w:val="24"/>
        </w:rPr>
        <w:t>-</w:t>
      </w:r>
      <w:r w:rsidRPr="00923307">
        <w:rPr>
          <w:rFonts w:ascii="Book Antiqua" w:hAnsi="Book Antiqua"/>
          <w:sz w:val="24"/>
          <w:szCs w:val="24"/>
        </w:rPr>
        <w:t xml:space="preserve">term patient survival. </w:t>
      </w:r>
    </w:p>
    <w:p w14:paraId="6EDC3577" w14:textId="3EA5C736" w:rsidR="005B5EE9" w:rsidRPr="00923307" w:rsidRDefault="00085198" w:rsidP="00327F62">
      <w:pPr>
        <w:snapToGrid w:val="0"/>
        <w:spacing w:line="360" w:lineRule="auto"/>
        <w:ind w:firstLine="420"/>
        <w:rPr>
          <w:rFonts w:ascii="Book Antiqua" w:hAnsi="Book Antiqua"/>
          <w:sz w:val="24"/>
          <w:szCs w:val="24"/>
        </w:rPr>
      </w:pPr>
      <w:r w:rsidRPr="00923307">
        <w:rPr>
          <w:rFonts w:ascii="Book Antiqua" w:hAnsi="Book Antiqua"/>
          <w:sz w:val="24"/>
          <w:szCs w:val="24"/>
        </w:rPr>
        <w:t xml:space="preserve">Noninvasive imaging modalities including ultrasound (US), computed tomography (CT) and magnetic resonance imaging (MRI), have </w:t>
      </w:r>
      <w:r w:rsidR="003B6366" w:rsidRPr="00923307">
        <w:rPr>
          <w:rFonts w:ascii="Book Antiqua" w:hAnsi="Book Antiqua"/>
          <w:sz w:val="24"/>
          <w:szCs w:val="24"/>
        </w:rPr>
        <w:t>played</w:t>
      </w:r>
      <w:r w:rsidRPr="00923307">
        <w:rPr>
          <w:rFonts w:ascii="Book Antiqua" w:hAnsi="Book Antiqua"/>
          <w:sz w:val="24"/>
          <w:szCs w:val="24"/>
        </w:rPr>
        <w:t xml:space="preserve"> pivotal roles in </w:t>
      </w:r>
      <w:r w:rsidR="003B6366" w:rsidRPr="00923307">
        <w:rPr>
          <w:rFonts w:ascii="Book Antiqua" w:hAnsi="Book Antiqua"/>
          <w:sz w:val="24"/>
          <w:szCs w:val="24"/>
        </w:rPr>
        <w:t>assessing</w:t>
      </w:r>
      <w:r w:rsidRPr="00923307">
        <w:rPr>
          <w:rFonts w:ascii="Book Antiqua" w:hAnsi="Book Antiqua"/>
          <w:sz w:val="24"/>
          <w:szCs w:val="24"/>
        </w:rPr>
        <w:t xml:space="preserve"> HCC in recent decades. Several clinical practice guideline</w:t>
      </w:r>
      <w:r w:rsidR="00282AF6">
        <w:rPr>
          <w:rFonts w:ascii="Book Antiqua" w:hAnsi="Book Antiqua"/>
          <w:sz w:val="24"/>
          <w:szCs w:val="24"/>
        </w:rPr>
        <w:t>s</w:t>
      </w:r>
      <w:r w:rsidR="00A93509" w:rsidRPr="00923307">
        <w:rPr>
          <w:rFonts w:ascii="Book Antiqua" w:hAnsi="Book Antiqua"/>
          <w:sz w:val="24"/>
          <w:szCs w:val="24"/>
          <w:vertAlign w:val="superscript"/>
        </w:rPr>
        <w:t>[7-16]</w:t>
      </w:r>
      <w:r w:rsidRPr="00923307">
        <w:rPr>
          <w:rFonts w:ascii="Book Antiqua" w:hAnsi="Book Antiqua"/>
          <w:sz w:val="24"/>
          <w:szCs w:val="24"/>
        </w:rPr>
        <w:t xml:space="preserve"> have recommended noninvasive imaging approaches as the first-line tools for the screening, diagnosis, staging and surveillance of HCC. Unlike many other solid tumors, the diagnosis of HCC can be established according to characteristic enhancement patterns </w:t>
      </w:r>
      <w:r w:rsidR="003B6366" w:rsidRPr="00923307">
        <w:rPr>
          <w:rFonts w:ascii="Book Antiqua" w:hAnsi="Book Antiqua"/>
          <w:sz w:val="24"/>
          <w:szCs w:val="24"/>
        </w:rPr>
        <w:t>on</w:t>
      </w:r>
      <w:r w:rsidRPr="00923307">
        <w:rPr>
          <w:rFonts w:ascii="Book Antiqua" w:hAnsi="Book Antiqua"/>
          <w:sz w:val="24"/>
          <w:szCs w:val="24"/>
        </w:rPr>
        <w:t xml:space="preserve"> dynamic </w:t>
      </w:r>
      <w:r w:rsidR="00800016" w:rsidRPr="00923307">
        <w:rPr>
          <w:rFonts w:ascii="Book Antiqua" w:hAnsi="Book Antiqua"/>
          <w:sz w:val="24"/>
          <w:szCs w:val="24"/>
        </w:rPr>
        <w:t xml:space="preserve">multiphasic </w:t>
      </w:r>
      <w:r w:rsidRPr="00923307">
        <w:rPr>
          <w:rFonts w:ascii="Book Antiqua" w:hAnsi="Book Antiqua"/>
          <w:sz w:val="24"/>
          <w:szCs w:val="24"/>
        </w:rPr>
        <w:t xml:space="preserve">CT or MRI, without further requirements for histopathologic confirmation. </w:t>
      </w:r>
      <w:r w:rsidR="003B6366" w:rsidRPr="00923307">
        <w:rPr>
          <w:rFonts w:ascii="Book Antiqua" w:hAnsi="Book Antiqua"/>
          <w:sz w:val="24"/>
          <w:szCs w:val="24"/>
        </w:rPr>
        <w:t>In addition</w:t>
      </w:r>
      <w:r w:rsidRPr="00923307">
        <w:rPr>
          <w:rFonts w:ascii="Book Antiqua" w:hAnsi="Book Antiqua"/>
          <w:sz w:val="24"/>
          <w:szCs w:val="24"/>
        </w:rPr>
        <w:t>, microbubble enhanced US</w:t>
      </w:r>
      <w:r w:rsidR="00A93509" w:rsidRPr="00923307">
        <w:rPr>
          <w:rFonts w:ascii="Book Antiqua" w:hAnsi="Book Antiqua"/>
          <w:sz w:val="24"/>
          <w:szCs w:val="24"/>
          <w:vertAlign w:val="superscript"/>
        </w:rPr>
        <w:t>[17]</w:t>
      </w:r>
      <w:r w:rsidRPr="00923307">
        <w:rPr>
          <w:rFonts w:ascii="Book Antiqua" w:hAnsi="Book Antiqua"/>
          <w:sz w:val="24"/>
          <w:szCs w:val="24"/>
        </w:rPr>
        <w:t>, perfusion and dual-energy CT</w:t>
      </w:r>
      <w:r w:rsidR="008E1177" w:rsidRPr="00923307">
        <w:rPr>
          <w:rFonts w:ascii="Book Antiqua" w:hAnsi="Book Antiqua"/>
          <w:sz w:val="24"/>
          <w:szCs w:val="24"/>
        </w:rPr>
        <w:t xml:space="preserve"> </w:t>
      </w:r>
      <w:r w:rsidR="00E95330" w:rsidRPr="00923307">
        <w:rPr>
          <w:rFonts w:ascii="Book Antiqua" w:hAnsi="Book Antiqua"/>
          <w:sz w:val="24"/>
          <w:szCs w:val="24"/>
          <w:vertAlign w:val="superscript"/>
        </w:rPr>
        <w:t>[18]</w:t>
      </w:r>
      <w:r w:rsidRPr="00923307">
        <w:rPr>
          <w:rFonts w:ascii="Book Antiqua" w:hAnsi="Book Antiqua"/>
          <w:sz w:val="24"/>
          <w:szCs w:val="24"/>
        </w:rPr>
        <w:t>, and other evolving imaging techniques have led to improved diagnostic accuracies and better characterization of HCC</w:t>
      </w:r>
      <w:r w:rsidR="00E95330" w:rsidRPr="00923307">
        <w:rPr>
          <w:rFonts w:ascii="Book Antiqua" w:hAnsi="Book Antiqua"/>
          <w:sz w:val="24"/>
          <w:szCs w:val="24"/>
          <w:vertAlign w:val="superscript"/>
        </w:rPr>
        <w:t>[19]</w:t>
      </w:r>
      <w:r w:rsidRPr="00923307">
        <w:rPr>
          <w:rFonts w:ascii="Book Antiqua" w:hAnsi="Book Antiqua"/>
          <w:sz w:val="24"/>
          <w:szCs w:val="24"/>
        </w:rPr>
        <w:t>. Moreover, functional MR imaging techniques including diffusion weighted MR imaging (DWI)</w:t>
      </w:r>
      <w:r w:rsidR="00E95330" w:rsidRPr="00923307">
        <w:rPr>
          <w:rFonts w:ascii="Book Antiqua" w:hAnsi="Book Antiqua"/>
          <w:sz w:val="24"/>
          <w:szCs w:val="24"/>
          <w:vertAlign w:val="superscript"/>
        </w:rPr>
        <w:t>[20]</w:t>
      </w:r>
      <w:r w:rsidRPr="00923307">
        <w:rPr>
          <w:rFonts w:ascii="Book Antiqua" w:hAnsi="Book Antiqua"/>
          <w:sz w:val="24"/>
          <w:szCs w:val="24"/>
        </w:rPr>
        <w:t>, MR hepatobiliary contrast agents</w:t>
      </w:r>
      <w:r w:rsidR="00E95330" w:rsidRPr="00923307">
        <w:rPr>
          <w:rFonts w:ascii="Book Antiqua" w:hAnsi="Book Antiqua"/>
          <w:sz w:val="24"/>
          <w:szCs w:val="24"/>
          <w:vertAlign w:val="superscript"/>
        </w:rPr>
        <w:t>[21]</w:t>
      </w:r>
      <w:r w:rsidR="003B6366" w:rsidRPr="00923307">
        <w:rPr>
          <w:rFonts w:ascii="Book Antiqua" w:hAnsi="Book Antiqua"/>
          <w:sz w:val="24"/>
          <w:szCs w:val="24"/>
        </w:rPr>
        <w:t xml:space="preserve"> etc.</w:t>
      </w:r>
      <w:r w:rsidRPr="00923307">
        <w:rPr>
          <w:rFonts w:ascii="Book Antiqua" w:hAnsi="Book Antiqua"/>
          <w:sz w:val="24"/>
          <w:szCs w:val="24"/>
        </w:rPr>
        <w:t xml:space="preserve"> </w:t>
      </w:r>
      <w:r w:rsidR="00846D8F" w:rsidRPr="00923307">
        <w:rPr>
          <w:rFonts w:ascii="Book Antiqua" w:hAnsi="Book Antiqua"/>
          <w:sz w:val="24"/>
          <w:szCs w:val="24"/>
        </w:rPr>
        <w:t>show promise in</w:t>
      </w:r>
      <w:r w:rsidRPr="00923307">
        <w:rPr>
          <w:rFonts w:ascii="Book Antiqua" w:hAnsi="Book Antiqua"/>
          <w:sz w:val="24"/>
          <w:szCs w:val="24"/>
        </w:rPr>
        <w:t xml:space="preserve"> provid</w:t>
      </w:r>
      <w:r w:rsidR="00846D8F" w:rsidRPr="00923307">
        <w:rPr>
          <w:rFonts w:ascii="Book Antiqua" w:hAnsi="Book Antiqua"/>
          <w:sz w:val="24"/>
          <w:szCs w:val="24"/>
        </w:rPr>
        <w:t>ing</w:t>
      </w:r>
      <w:r w:rsidRPr="00923307">
        <w:rPr>
          <w:rFonts w:ascii="Book Antiqua" w:hAnsi="Book Antiqua"/>
          <w:sz w:val="24"/>
          <w:szCs w:val="24"/>
        </w:rPr>
        <w:t xml:space="preserve"> further biological information of HCC, enabling personalized treatment decision</w:t>
      </w:r>
      <w:r w:rsidR="003B6366" w:rsidRPr="00923307">
        <w:rPr>
          <w:rFonts w:ascii="Book Antiqua" w:hAnsi="Book Antiqua"/>
          <w:sz w:val="24"/>
          <w:szCs w:val="24"/>
        </w:rPr>
        <w:t>s</w:t>
      </w:r>
      <w:r w:rsidRPr="00923307">
        <w:rPr>
          <w:rFonts w:ascii="Book Antiqua" w:hAnsi="Book Antiqua"/>
          <w:sz w:val="24"/>
          <w:szCs w:val="24"/>
        </w:rPr>
        <w:t xml:space="preserve"> in the era of precision medicine.</w:t>
      </w:r>
    </w:p>
    <w:p w14:paraId="10FC04FA" w14:textId="77777777" w:rsidR="005B5EE9" w:rsidRPr="00923307" w:rsidRDefault="00085198" w:rsidP="00327F62">
      <w:pPr>
        <w:snapToGrid w:val="0"/>
        <w:spacing w:line="360" w:lineRule="auto"/>
        <w:ind w:firstLine="420"/>
        <w:rPr>
          <w:rFonts w:ascii="Book Antiqua" w:hAnsi="Book Antiqua"/>
          <w:sz w:val="24"/>
          <w:szCs w:val="24"/>
        </w:rPr>
      </w:pPr>
      <w:r w:rsidRPr="00923307">
        <w:rPr>
          <w:rFonts w:ascii="Book Antiqua" w:hAnsi="Book Antiqua"/>
          <w:sz w:val="24"/>
          <w:szCs w:val="24"/>
        </w:rPr>
        <w:lastRenderedPageBreak/>
        <w:t xml:space="preserve">In this review, we discuss the current </w:t>
      </w:r>
      <w:r w:rsidR="003B6366" w:rsidRPr="00923307">
        <w:rPr>
          <w:rFonts w:ascii="Book Antiqua" w:hAnsi="Book Antiqua"/>
          <w:kern w:val="0"/>
          <w:sz w:val="24"/>
          <w:szCs w:val="24"/>
        </w:rPr>
        <w:t>state-of-the-</w:t>
      </w:r>
      <w:r w:rsidRPr="00923307">
        <w:rPr>
          <w:rFonts w:ascii="Book Antiqua" w:hAnsi="Book Antiqua"/>
          <w:sz w:val="24"/>
          <w:szCs w:val="24"/>
        </w:rPr>
        <w:t xml:space="preserve">art and recent advances in the noninvasive imaging assessment of HCC. The basic key concepts of HCC development and </w:t>
      </w:r>
      <w:r w:rsidR="003B6366" w:rsidRPr="00923307">
        <w:rPr>
          <w:rFonts w:ascii="Book Antiqua" w:hAnsi="Book Antiqua"/>
          <w:sz w:val="24"/>
          <w:szCs w:val="24"/>
        </w:rPr>
        <w:t xml:space="preserve">an </w:t>
      </w:r>
      <w:r w:rsidRPr="00923307">
        <w:rPr>
          <w:rFonts w:ascii="Book Antiqua" w:hAnsi="Book Antiqua"/>
          <w:sz w:val="24"/>
          <w:szCs w:val="24"/>
        </w:rPr>
        <w:t>overview of current practice guidelines are illustrated as we</w:t>
      </w:r>
      <w:bookmarkEnd w:id="60"/>
      <w:r w:rsidRPr="00923307">
        <w:rPr>
          <w:rFonts w:ascii="Book Antiqua" w:hAnsi="Book Antiqua"/>
          <w:sz w:val="24"/>
          <w:szCs w:val="24"/>
        </w:rPr>
        <w:t xml:space="preserve">ll. However, treatment assessment of HCC </w:t>
      </w:r>
      <w:r w:rsidR="003B6366" w:rsidRPr="00923307">
        <w:rPr>
          <w:rFonts w:ascii="Book Antiqua" w:hAnsi="Book Antiqua"/>
          <w:sz w:val="24"/>
          <w:szCs w:val="24"/>
        </w:rPr>
        <w:t>involves</w:t>
      </w:r>
      <w:r w:rsidRPr="00923307">
        <w:rPr>
          <w:rFonts w:ascii="Book Antiqua" w:hAnsi="Book Antiqua"/>
          <w:sz w:val="24"/>
          <w:szCs w:val="24"/>
        </w:rPr>
        <w:t xml:space="preserve"> another complex system </w:t>
      </w:r>
      <w:r w:rsidR="003B6366" w:rsidRPr="00923307">
        <w:rPr>
          <w:rFonts w:ascii="Book Antiqua" w:hAnsi="Book Antiqua"/>
          <w:sz w:val="24"/>
          <w:szCs w:val="24"/>
        </w:rPr>
        <w:t>of</w:t>
      </w:r>
      <w:r w:rsidRPr="00923307">
        <w:rPr>
          <w:rFonts w:ascii="Book Antiqua" w:hAnsi="Book Antiqua"/>
          <w:sz w:val="24"/>
          <w:szCs w:val="24"/>
        </w:rPr>
        <w:t xml:space="preserve"> different imaging techniques and features and </w:t>
      </w:r>
      <w:r w:rsidR="003B6366" w:rsidRPr="00923307">
        <w:rPr>
          <w:rFonts w:ascii="Book Antiqua" w:hAnsi="Book Antiqua"/>
          <w:sz w:val="24"/>
          <w:szCs w:val="24"/>
        </w:rPr>
        <w:t xml:space="preserve">thus </w:t>
      </w:r>
      <w:r w:rsidRPr="00923307">
        <w:rPr>
          <w:rFonts w:ascii="Book Antiqua" w:hAnsi="Book Antiqua"/>
          <w:sz w:val="24"/>
          <w:szCs w:val="24"/>
        </w:rPr>
        <w:t>is not within the scope of this review.</w:t>
      </w:r>
    </w:p>
    <w:p w14:paraId="2D1B3073" w14:textId="77777777" w:rsidR="00F758F9" w:rsidRDefault="00F758F9" w:rsidP="00327F62">
      <w:pPr>
        <w:snapToGrid w:val="0"/>
        <w:spacing w:line="360" w:lineRule="auto"/>
        <w:rPr>
          <w:rFonts w:ascii="Book Antiqua" w:hAnsi="Book Antiqua"/>
          <w:b/>
          <w:i/>
          <w:sz w:val="24"/>
          <w:szCs w:val="24"/>
        </w:rPr>
      </w:pPr>
    </w:p>
    <w:p w14:paraId="2F57B048" w14:textId="77777777" w:rsidR="005B5EE9" w:rsidRPr="00F758F9" w:rsidRDefault="00085198" w:rsidP="00327F62">
      <w:pPr>
        <w:snapToGrid w:val="0"/>
        <w:spacing w:line="360" w:lineRule="auto"/>
        <w:rPr>
          <w:rFonts w:ascii="Book Antiqua" w:hAnsi="Book Antiqua"/>
          <w:b/>
          <w:caps/>
          <w:sz w:val="24"/>
          <w:szCs w:val="24"/>
        </w:rPr>
      </w:pPr>
      <w:r w:rsidRPr="00F758F9">
        <w:rPr>
          <w:rFonts w:ascii="Book Antiqua" w:hAnsi="Book Antiqua"/>
          <w:b/>
          <w:caps/>
          <w:sz w:val="24"/>
          <w:szCs w:val="24"/>
        </w:rPr>
        <w:t>Hepatocarcinogenesis</w:t>
      </w:r>
    </w:p>
    <w:p w14:paraId="52127C3E" w14:textId="2583D612" w:rsidR="005B5EE9" w:rsidRPr="00923307" w:rsidRDefault="00085198" w:rsidP="00327F62">
      <w:pPr>
        <w:snapToGrid w:val="0"/>
        <w:spacing w:line="360" w:lineRule="auto"/>
        <w:rPr>
          <w:rFonts w:ascii="Book Antiqua" w:hAnsi="Book Antiqua"/>
          <w:sz w:val="24"/>
          <w:szCs w:val="24"/>
        </w:rPr>
      </w:pPr>
      <w:r w:rsidRPr="00923307">
        <w:rPr>
          <w:rFonts w:ascii="Book Antiqua" w:hAnsi="Book Antiqua"/>
          <w:sz w:val="24"/>
          <w:szCs w:val="24"/>
        </w:rPr>
        <w:t>Hepatocarcinogenesis is a complex multistep process at molecular, cellular and histologic levels. Chronic liver inflammation can result in repeated cell injury, death and regeneration cycles, leading to subsequent epigenetic and genetic alterations of hepatocytes. At the molecular level, important oncogenes (</w:t>
      </w:r>
      <w:r w:rsidR="00800016" w:rsidRPr="00282AF6">
        <w:rPr>
          <w:rFonts w:ascii="Book Antiqua" w:hAnsi="Book Antiqua"/>
          <w:i/>
          <w:sz w:val="24"/>
          <w:szCs w:val="24"/>
        </w:rPr>
        <w:t>e.g.</w:t>
      </w:r>
      <w:r w:rsidR="00800016" w:rsidRPr="00923307">
        <w:rPr>
          <w:rFonts w:ascii="Book Antiqua" w:hAnsi="Book Antiqua"/>
          <w:sz w:val="24"/>
          <w:szCs w:val="24"/>
        </w:rPr>
        <w:t xml:space="preserve"> </w:t>
      </w:r>
      <w:r w:rsidRPr="00923307">
        <w:rPr>
          <w:rFonts w:ascii="Book Antiqua" w:hAnsi="Book Antiqua"/>
          <w:sz w:val="24"/>
          <w:szCs w:val="24"/>
        </w:rPr>
        <w:t>MYC) and tumor suppressor genes (</w:t>
      </w:r>
      <w:r w:rsidR="003B6366" w:rsidRPr="00282AF6">
        <w:rPr>
          <w:rFonts w:ascii="Book Antiqua" w:hAnsi="Book Antiqua"/>
          <w:i/>
          <w:sz w:val="24"/>
          <w:szCs w:val="24"/>
        </w:rPr>
        <w:t>e.g.</w:t>
      </w:r>
      <w:r w:rsidRPr="00923307">
        <w:rPr>
          <w:rFonts w:ascii="Book Antiqua" w:hAnsi="Book Antiqua"/>
          <w:sz w:val="24"/>
          <w:szCs w:val="24"/>
        </w:rPr>
        <w:t xml:space="preserve"> TP53, E-cadherin, RASSF1 and PTEN) </w:t>
      </w:r>
      <w:r w:rsidR="003B6366" w:rsidRPr="00923307">
        <w:rPr>
          <w:rFonts w:ascii="Book Antiqua" w:hAnsi="Book Antiqua"/>
          <w:sz w:val="24"/>
          <w:szCs w:val="24"/>
        </w:rPr>
        <w:t>are</w:t>
      </w:r>
      <w:r w:rsidRPr="00923307">
        <w:rPr>
          <w:rFonts w:ascii="Book Antiqua" w:hAnsi="Book Antiqua"/>
          <w:sz w:val="24"/>
          <w:szCs w:val="24"/>
        </w:rPr>
        <w:t xml:space="preserve"> either mutated or aberrantly regulated due to structural genetic alterations</w:t>
      </w:r>
      <w:r w:rsidR="00E95330" w:rsidRPr="00923307">
        <w:rPr>
          <w:rFonts w:ascii="Book Antiqua" w:hAnsi="Book Antiqua"/>
          <w:sz w:val="24"/>
          <w:szCs w:val="24"/>
          <w:vertAlign w:val="superscript"/>
        </w:rPr>
        <w:t>[22-24]</w:t>
      </w:r>
      <w:r w:rsidRPr="00923307">
        <w:rPr>
          <w:rFonts w:ascii="Book Antiqua" w:hAnsi="Book Antiqua"/>
          <w:sz w:val="24"/>
          <w:szCs w:val="24"/>
        </w:rPr>
        <w:t xml:space="preserve">, and several </w:t>
      </w:r>
      <w:r w:rsidR="00800016" w:rsidRPr="00923307">
        <w:rPr>
          <w:rFonts w:ascii="Book Antiqua" w:hAnsi="Book Antiqua"/>
          <w:sz w:val="24"/>
          <w:szCs w:val="24"/>
        </w:rPr>
        <w:t xml:space="preserve">abnormally functioned </w:t>
      </w:r>
      <w:r w:rsidRPr="00923307">
        <w:rPr>
          <w:rFonts w:ascii="Book Antiqua" w:hAnsi="Book Antiqua"/>
          <w:sz w:val="24"/>
          <w:szCs w:val="24"/>
        </w:rPr>
        <w:t>signaling pathways (</w:t>
      </w:r>
      <w:r w:rsidR="003B6366" w:rsidRPr="00282AF6">
        <w:rPr>
          <w:rFonts w:ascii="Book Antiqua" w:hAnsi="Book Antiqua"/>
          <w:i/>
          <w:sz w:val="24"/>
          <w:szCs w:val="24"/>
        </w:rPr>
        <w:t>e.g.</w:t>
      </w:r>
      <w:r w:rsidRPr="00923307">
        <w:rPr>
          <w:rFonts w:ascii="Book Antiqua" w:hAnsi="Book Antiqua"/>
          <w:sz w:val="24"/>
          <w:szCs w:val="24"/>
        </w:rPr>
        <w:t>, Ras, epithelial growth factor receptor and insulin-like growth factor receptor 1 signaling)</w:t>
      </w:r>
      <w:r w:rsidR="00E95330" w:rsidRPr="00923307">
        <w:rPr>
          <w:rFonts w:ascii="Book Antiqua" w:hAnsi="Book Antiqua"/>
          <w:sz w:val="24"/>
          <w:szCs w:val="24"/>
          <w:vertAlign w:val="superscript"/>
        </w:rPr>
        <w:t>[</w:t>
      </w:r>
      <w:r w:rsidRPr="00923307">
        <w:rPr>
          <w:rFonts w:ascii="Book Antiqua" w:hAnsi="Book Antiqua"/>
          <w:sz w:val="24"/>
          <w:szCs w:val="24"/>
          <w:vertAlign w:val="superscript"/>
        </w:rPr>
        <w:t>2</w:t>
      </w:r>
      <w:r w:rsidR="00E95330" w:rsidRPr="00923307">
        <w:rPr>
          <w:rFonts w:ascii="Book Antiqua" w:hAnsi="Book Antiqua"/>
          <w:sz w:val="24"/>
          <w:szCs w:val="24"/>
          <w:vertAlign w:val="superscript"/>
        </w:rPr>
        <w:t>]</w:t>
      </w:r>
      <w:r w:rsidRPr="00923307">
        <w:rPr>
          <w:rFonts w:ascii="Book Antiqua" w:hAnsi="Book Antiqua"/>
          <w:sz w:val="24"/>
          <w:szCs w:val="24"/>
        </w:rPr>
        <w:t xml:space="preserve">. At the cellular level, HCC can develop </w:t>
      </w:r>
      <w:r w:rsidR="00800016" w:rsidRPr="00923307">
        <w:rPr>
          <w:rFonts w:ascii="Book Antiqua" w:hAnsi="Book Antiqua"/>
          <w:sz w:val="24"/>
          <w:szCs w:val="24"/>
        </w:rPr>
        <w:t>after</w:t>
      </w:r>
      <w:r w:rsidRPr="00923307">
        <w:rPr>
          <w:rFonts w:ascii="Book Antiqua" w:hAnsi="Book Antiqua"/>
          <w:sz w:val="24"/>
          <w:szCs w:val="24"/>
        </w:rPr>
        <w:t xml:space="preserve"> malignant transformation of mature hepatocytes or, </w:t>
      </w:r>
      <w:r w:rsidR="003B6366" w:rsidRPr="00923307">
        <w:rPr>
          <w:rFonts w:ascii="Book Antiqua" w:hAnsi="Book Antiqua"/>
          <w:sz w:val="24"/>
          <w:szCs w:val="24"/>
        </w:rPr>
        <w:t xml:space="preserve">as </w:t>
      </w:r>
      <w:r w:rsidRPr="00923307">
        <w:rPr>
          <w:rFonts w:ascii="Book Antiqua" w:hAnsi="Book Antiqua"/>
          <w:sz w:val="24"/>
          <w:szCs w:val="24"/>
        </w:rPr>
        <w:t>suggested by emerging data, intrahepatic stem cells</w:t>
      </w:r>
      <w:r w:rsidR="00183C84">
        <w:rPr>
          <w:rFonts w:ascii="Book Antiqua" w:hAnsi="Book Antiqua"/>
          <w:sz w:val="24"/>
          <w:szCs w:val="24"/>
          <w:vertAlign w:val="superscript"/>
        </w:rPr>
        <w:t>[25,</w:t>
      </w:r>
      <w:r w:rsidR="00E95330" w:rsidRPr="00923307">
        <w:rPr>
          <w:rFonts w:ascii="Book Antiqua" w:hAnsi="Book Antiqua"/>
          <w:sz w:val="24"/>
          <w:szCs w:val="24"/>
          <w:vertAlign w:val="superscript"/>
        </w:rPr>
        <w:t>26]</w:t>
      </w:r>
      <w:r w:rsidR="008E1177" w:rsidRPr="00923307">
        <w:rPr>
          <w:rFonts w:ascii="Book Antiqua" w:hAnsi="Book Antiqua"/>
          <w:sz w:val="24"/>
          <w:szCs w:val="24"/>
        </w:rPr>
        <w:t>.</w:t>
      </w:r>
      <w:r w:rsidR="003B6366" w:rsidRPr="00923307">
        <w:rPr>
          <w:rFonts w:ascii="Book Antiqua" w:hAnsi="Book Antiqua"/>
          <w:sz w:val="24"/>
          <w:szCs w:val="24"/>
        </w:rPr>
        <w:t xml:space="preserve"> A</w:t>
      </w:r>
      <w:r w:rsidRPr="00923307">
        <w:rPr>
          <w:rFonts w:ascii="Book Antiqua" w:hAnsi="Book Antiqua"/>
          <w:sz w:val="24"/>
          <w:szCs w:val="24"/>
        </w:rPr>
        <w:t xml:space="preserve">t the histologic level, phenotypically abnormal precursor hepatic lesions including cirrhotic nodules, </w:t>
      </w:r>
      <w:bookmarkStart w:id="83" w:name="_Hlk508806365"/>
      <w:r w:rsidRPr="00923307">
        <w:rPr>
          <w:rFonts w:ascii="Book Antiqua" w:hAnsi="Book Antiqua"/>
          <w:sz w:val="24"/>
          <w:szCs w:val="24"/>
        </w:rPr>
        <w:t xml:space="preserve">low-grade dysplastic nodules (LGDN), </w:t>
      </w:r>
      <w:r w:rsidR="003B6366" w:rsidRPr="00923307">
        <w:rPr>
          <w:rFonts w:ascii="Book Antiqua" w:hAnsi="Book Antiqua"/>
          <w:sz w:val="24"/>
          <w:szCs w:val="24"/>
        </w:rPr>
        <w:t xml:space="preserve">and </w:t>
      </w:r>
      <w:r w:rsidRPr="00923307">
        <w:rPr>
          <w:rFonts w:ascii="Book Antiqua" w:hAnsi="Book Antiqua"/>
          <w:sz w:val="24"/>
          <w:szCs w:val="24"/>
        </w:rPr>
        <w:t xml:space="preserve">high-grade dysplastic nodules (HGDN) </w:t>
      </w:r>
      <w:bookmarkEnd w:id="83"/>
      <w:r w:rsidRPr="00923307">
        <w:rPr>
          <w:rFonts w:ascii="Book Antiqua" w:hAnsi="Book Antiqua"/>
          <w:sz w:val="24"/>
          <w:szCs w:val="24"/>
        </w:rPr>
        <w:t xml:space="preserve">dedifferentiate and </w:t>
      </w:r>
      <w:r w:rsidR="008259FA" w:rsidRPr="00923307">
        <w:rPr>
          <w:rFonts w:ascii="Book Antiqua" w:hAnsi="Book Antiqua"/>
          <w:sz w:val="24"/>
          <w:szCs w:val="24"/>
        </w:rPr>
        <w:t xml:space="preserve">gradually </w:t>
      </w:r>
      <w:r w:rsidRPr="00923307">
        <w:rPr>
          <w:rFonts w:ascii="Book Antiqua" w:hAnsi="Book Antiqua"/>
          <w:sz w:val="24"/>
          <w:szCs w:val="24"/>
        </w:rPr>
        <w:t>evolve to form early and eventually progressed HCCs</w:t>
      </w:r>
      <w:r w:rsidR="00E95330" w:rsidRPr="00923307">
        <w:rPr>
          <w:rFonts w:ascii="Book Antiqua" w:hAnsi="Book Antiqua"/>
          <w:sz w:val="24"/>
          <w:szCs w:val="24"/>
          <w:vertAlign w:val="superscript"/>
        </w:rPr>
        <w:t>[27]</w:t>
      </w:r>
      <w:r w:rsidRPr="00923307">
        <w:rPr>
          <w:rFonts w:ascii="Book Antiqua" w:hAnsi="Book Antiqua"/>
          <w:sz w:val="24"/>
          <w:szCs w:val="24"/>
        </w:rPr>
        <w:t>. This process is a biologic continuum and may</w:t>
      </w:r>
      <w:r w:rsidR="008259FA" w:rsidRPr="00923307">
        <w:rPr>
          <w:rFonts w:ascii="Book Antiqua" w:hAnsi="Book Antiqua"/>
          <w:sz w:val="24"/>
          <w:szCs w:val="24"/>
        </w:rPr>
        <w:t xml:space="preserve"> occur simultaneously</w:t>
      </w:r>
      <w:r w:rsidRPr="00923307">
        <w:rPr>
          <w:rFonts w:ascii="Book Antiqua" w:hAnsi="Book Antiqua"/>
          <w:sz w:val="24"/>
          <w:szCs w:val="24"/>
        </w:rPr>
        <w:t xml:space="preserve"> at various rates in different parts of the liver. </w:t>
      </w:r>
    </w:p>
    <w:p w14:paraId="2A35384E" w14:textId="5FB30238" w:rsidR="005B5EE9" w:rsidRPr="00923307" w:rsidRDefault="00085198" w:rsidP="00327F62">
      <w:pPr>
        <w:snapToGrid w:val="0"/>
        <w:spacing w:line="360" w:lineRule="auto"/>
        <w:ind w:firstLine="420"/>
        <w:rPr>
          <w:rFonts w:ascii="Book Antiqua" w:hAnsi="Book Antiqua"/>
          <w:sz w:val="24"/>
          <w:szCs w:val="24"/>
        </w:rPr>
      </w:pPr>
      <w:r w:rsidRPr="00923307">
        <w:rPr>
          <w:rFonts w:ascii="Book Antiqua" w:hAnsi="Book Antiqua"/>
          <w:sz w:val="24"/>
          <w:szCs w:val="24"/>
        </w:rPr>
        <w:t xml:space="preserve">Several key alterations happen during hepatocarcinogenesis. First, distinct hemodynamic changes </w:t>
      </w:r>
      <w:r w:rsidR="000D36D9" w:rsidRPr="00923307">
        <w:rPr>
          <w:rFonts w:ascii="Book Antiqua" w:hAnsi="Book Antiqua"/>
          <w:sz w:val="24"/>
          <w:szCs w:val="24"/>
        </w:rPr>
        <w:t>take place</w:t>
      </w:r>
      <w:r w:rsidRPr="00923307">
        <w:rPr>
          <w:rFonts w:ascii="Book Antiqua" w:hAnsi="Book Antiqua"/>
          <w:sz w:val="24"/>
          <w:szCs w:val="24"/>
        </w:rPr>
        <w:t xml:space="preserve"> during the multistep process. </w:t>
      </w:r>
      <w:r w:rsidR="008259FA" w:rsidRPr="00923307">
        <w:rPr>
          <w:rFonts w:ascii="Book Antiqua" w:hAnsi="Book Antiqua"/>
          <w:sz w:val="24"/>
          <w:szCs w:val="24"/>
        </w:rPr>
        <w:t>The b</w:t>
      </w:r>
      <w:r w:rsidRPr="00923307">
        <w:rPr>
          <w:rFonts w:ascii="Book Antiqua" w:hAnsi="Book Antiqua"/>
          <w:sz w:val="24"/>
          <w:szCs w:val="24"/>
        </w:rPr>
        <w:t xml:space="preserve">lood supply of </w:t>
      </w:r>
      <w:r w:rsidR="008259FA" w:rsidRPr="00923307">
        <w:rPr>
          <w:rFonts w:ascii="Book Antiqua" w:hAnsi="Book Antiqua"/>
          <w:sz w:val="24"/>
          <w:szCs w:val="24"/>
        </w:rPr>
        <w:t xml:space="preserve">the </w:t>
      </w:r>
      <w:r w:rsidRPr="00923307">
        <w:rPr>
          <w:rFonts w:ascii="Book Antiqua" w:hAnsi="Book Antiqua"/>
          <w:sz w:val="24"/>
          <w:szCs w:val="24"/>
        </w:rPr>
        <w:t xml:space="preserve">nodules changes along with malignant transformation: the number of intranodular portal tracts decreases gradually, while </w:t>
      </w:r>
      <w:r w:rsidR="008259FA" w:rsidRPr="00923307">
        <w:rPr>
          <w:rFonts w:ascii="Book Antiqua" w:hAnsi="Book Antiqua"/>
          <w:sz w:val="24"/>
          <w:szCs w:val="24"/>
        </w:rPr>
        <w:t xml:space="preserve">the number of </w:t>
      </w:r>
      <w:r w:rsidRPr="00923307">
        <w:rPr>
          <w:rFonts w:ascii="Book Antiqua" w:hAnsi="Book Antiqua"/>
          <w:sz w:val="24"/>
          <w:szCs w:val="24"/>
        </w:rPr>
        <w:t xml:space="preserve">unpaired arteries increases. Eventually, HCC is supplied mostly by </w:t>
      </w:r>
      <w:r w:rsidR="008259FA" w:rsidRPr="00923307">
        <w:rPr>
          <w:rFonts w:ascii="Book Antiqua" w:hAnsi="Book Antiqua"/>
          <w:sz w:val="24"/>
          <w:szCs w:val="24"/>
        </w:rPr>
        <w:t xml:space="preserve">the </w:t>
      </w:r>
      <w:r w:rsidRPr="00923307">
        <w:rPr>
          <w:rFonts w:ascii="Book Antiqua" w:hAnsi="Book Antiqua"/>
          <w:sz w:val="24"/>
          <w:szCs w:val="24"/>
        </w:rPr>
        <w:t>hepatic artery system via abnormal unpaired arteries</w:t>
      </w:r>
      <w:r w:rsidR="00E95330" w:rsidRPr="00923307">
        <w:rPr>
          <w:rFonts w:ascii="Book Antiqua" w:hAnsi="Book Antiqua"/>
          <w:sz w:val="24"/>
          <w:szCs w:val="24"/>
          <w:vertAlign w:val="superscript"/>
        </w:rPr>
        <w:t>[2</w:t>
      </w:r>
      <w:r w:rsidRPr="00923307">
        <w:rPr>
          <w:rFonts w:ascii="Book Antiqua" w:hAnsi="Book Antiqua"/>
          <w:sz w:val="24"/>
          <w:szCs w:val="24"/>
          <w:vertAlign w:val="superscript"/>
        </w:rPr>
        <w:t>7</w:t>
      </w:r>
      <w:r w:rsidR="00E95330" w:rsidRPr="00923307">
        <w:rPr>
          <w:rFonts w:ascii="Book Antiqua" w:hAnsi="Book Antiqua"/>
          <w:sz w:val="24"/>
          <w:szCs w:val="24"/>
          <w:vertAlign w:val="superscript"/>
        </w:rPr>
        <w:t>]</w:t>
      </w:r>
      <w:r w:rsidRPr="00923307">
        <w:rPr>
          <w:rFonts w:ascii="Book Antiqua" w:hAnsi="Book Antiqua"/>
          <w:sz w:val="24"/>
          <w:szCs w:val="24"/>
        </w:rPr>
        <w:t xml:space="preserve">. This results in the characteristic enhancing pattern of hepatic arterial phase hyperenhancement </w:t>
      </w:r>
      <w:r w:rsidRPr="00923307">
        <w:rPr>
          <w:rFonts w:ascii="Book Antiqua" w:hAnsi="Book Antiqua"/>
          <w:sz w:val="24"/>
          <w:szCs w:val="24"/>
        </w:rPr>
        <w:lastRenderedPageBreak/>
        <w:t xml:space="preserve">and portal </w:t>
      </w:r>
      <w:r w:rsidR="008259FA" w:rsidRPr="00923307">
        <w:rPr>
          <w:rFonts w:ascii="Book Antiqua" w:hAnsi="Book Antiqua"/>
          <w:sz w:val="24"/>
          <w:szCs w:val="24"/>
        </w:rPr>
        <w:t xml:space="preserve">venous </w:t>
      </w:r>
      <w:r w:rsidRPr="00923307">
        <w:rPr>
          <w:rFonts w:ascii="Book Antiqua" w:hAnsi="Book Antiqua"/>
          <w:sz w:val="24"/>
          <w:szCs w:val="24"/>
        </w:rPr>
        <w:t xml:space="preserve">and/or delayed phases wash-out relative to </w:t>
      </w:r>
      <w:r w:rsidR="008259FA" w:rsidRPr="00923307">
        <w:rPr>
          <w:rFonts w:ascii="Book Antiqua" w:hAnsi="Book Antiqua"/>
          <w:sz w:val="24"/>
          <w:szCs w:val="24"/>
        </w:rPr>
        <w:t xml:space="preserve">the </w:t>
      </w:r>
      <w:r w:rsidRPr="00923307">
        <w:rPr>
          <w:rFonts w:ascii="Book Antiqua" w:hAnsi="Book Antiqua"/>
          <w:sz w:val="24"/>
          <w:szCs w:val="24"/>
        </w:rPr>
        <w:t xml:space="preserve">background liver on contrast enhanced multiphasic CT and MRI. </w:t>
      </w:r>
      <w:r w:rsidR="008259FA" w:rsidRPr="00923307">
        <w:rPr>
          <w:rFonts w:ascii="Book Antiqua" w:hAnsi="Book Antiqua"/>
          <w:sz w:val="24"/>
          <w:szCs w:val="24"/>
        </w:rPr>
        <w:t>In addition</w:t>
      </w:r>
      <w:r w:rsidRPr="00923307">
        <w:rPr>
          <w:rFonts w:ascii="Book Antiqua" w:hAnsi="Book Antiqua"/>
          <w:sz w:val="24"/>
          <w:szCs w:val="24"/>
        </w:rPr>
        <w:t>, venous drainage of nodules evolves from hepatic veins to sinusoids and portal veins. This may explain why HCC mostly spread</w:t>
      </w:r>
      <w:r w:rsidR="008259FA" w:rsidRPr="00923307">
        <w:rPr>
          <w:rFonts w:ascii="Book Antiqua" w:hAnsi="Book Antiqua"/>
          <w:sz w:val="24"/>
          <w:szCs w:val="24"/>
        </w:rPr>
        <w:t>s</w:t>
      </w:r>
      <w:r w:rsidRPr="00923307">
        <w:rPr>
          <w:rFonts w:ascii="Book Antiqua" w:hAnsi="Book Antiqua"/>
          <w:sz w:val="24"/>
          <w:szCs w:val="24"/>
        </w:rPr>
        <w:t xml:space="preserve"> through the portal venous system </w:t>
      </w:r>
      <w:r w:rsidR="008259FA" w:rsidRPr="00923307">
        <w:rPr>
          <w:rFonts w:ascii="Book Antiqua" w:hAnsi="Book Antiqua"/>
          <w:sz w:val="24"/>
          <w:szCs w:val="24"/>
        </w:rPr>
        <w:t xml:space="preserve">rather </w:t>
      </w:r>
      <w:r w:rsidRPr="00923307">
        <w:rPr>
          <w:rFonts w:ascii="Book Antiqua" w:hAnsi="Book Antiqua"/>
          <w:sz w:val="24"/>
          <w:szCs w:val="24"/>
        </w:rPr>
        <w:t>than hepatic veins.</w:t>
      </w:r>
    </w:p>
    <w:p w14:paraId="56BDE3BF" w14:textId="2C8C9C27" w:rsidR="005B5EE9" w:rsidRPr="00923307" w:rsidRDefault="00085198" w:rsidP="00327F62">
      <w:pPr>
        <w:snapToGrid w:val="0"/>
        <w:spacing w:line="360" w:lineRule="auto"/>
        <w:ind w:firstLine="420"/>
        <w:rPr>
          <w:rFonts w:ascii="Book Antiqua" w:hAnsi="Book Antiqua"/>
          <w:sz w:val="24"/>
          <w:szCs w:val="24"/>
        </w:rPr>
      </w:pPr>
      <w:r w:rsidRPr="00923307">
        <w:rPr>
          <w:rFonts w:ascii="Book Antiqua" w:hAnsi="Book Antiqua"/>
          <w:sz w:val="24"/>
          <w:szCs w:val="24"/>
        </w:rPr>
        <w:t xml:space="preserve">Second, the most </w:t>
      </w:r>
      <w:r w:rsidR="008259FA" w:rsidRPr="00923307">
        <w:rPr>
          <w:rFonts w:ascii="Book Antiqua" w:hAnsi="Book Antiqua"/>
          <w:sz w:val="24"/>
          <w:szCs w:val="24"/>
        </w:rPr>
        <w:t xml:space="preserve">morphologically </w:t>
      </w:r>
      <w:r w:rsidRPr="00923307">
        <w:rPr>
          <w:rFonts w:ascii="Book Antiqua" w:hAnsi="Book Antiqua"/>
          <w:sz w:val="24"/>
          <w:szCs w:val="24"/>
        </w:rPr>
        <w:t xml:space="preserve">prominent features during hepatocarcinogenesis are the formation of </w:t>
      </w:r>
      <w:r w:rsidR="008259FA" w:rsidRPr="00923307">
        <w:rPr>
          <w:rFonts w:ascii="Book Antiqua" w:hAnsi="Book Antiqua"/>
          <w:sz w:val="24"/>
          <w:szCs w:val="24"/>
        </w:rPr>
        <w:t xml:space="preserve">a </w:t>
      </w:r>
      <w:r w:rsidRPr="00923307">
        <w:rPr>
          <w:rFonts w:ascii="Book Antiqua" w:hAnsi="Book Antiqua"/>
          <w:sz w:val="24"/>
          <w:szCs w:val="24"/>
        </w:rPr>
        <w:t>fibrous tumor capsule (a smooth, uniform and enhancing rim surrounding most or all of a nodule) and the “nodule-in-nodule” (smaller nodules with different imaging features within a larger outer nodule) architecture. Notably, since cirrhotic nodules, dysplastic nodules, and early HCC rarely present with a fibrous capsule, the capsule appearance is more suggestive of progressive HCC. The “nodule-in-nodule” architecture can be the result that successively dedifferentiated clonal populations or nodules with more fat develop within a larger outer nodule. Fat can accumulate in dysplastic nodules and early HCC</w:t>
      </w:r>
      <w:r w:rsidR="00C16A0F" w:rsidRPr="00923307">
        <w:rPr>
          <w:rFonts w:ascii="Book Antiqua" w:hAnsi="Book Antiqua"/>
          <w:sz w:val="24"/>
          <w:szCs w:val="24"/>
        </w:rPr>
        <w:t>;</w:t>
      </w:r>
      <w:r w:rsidRPr="00923307">
        <w:rPr>
          <w:rFonts w:ascii="Book Antiqua" w:hAnsi="Book Antiqua"/>
          <w:sz w:val="24"/>
          <w:szCs w:val="24"/>
        </w:rPr>
        <w:t xml:space="preserve"> however</w:t>
      </w:r>
      <w:r w:rsidR="00C16A0F" w:rsidRPr="00923307">
        <w:rPr>
          <w:rFonts w:ascii="Book Antiqua" w:hAnsi="Book Antiqua"/>
          <w:sz w:val="24"/>
          <w:szCs w:val="24"/>
        </w:rPr>
        <w:t>, the fat content</w:t>
      </w:r>
      <w:r w:rsidRPr="00923307">
        <w:rPr>
          <w:rFonts w:ascii="Book Antiqua" w:hAnsi="Book Antiqua"/>
          <w:sz w:val="24"/>
          <w:szCs w:val="24"/>
        </w:rPr>
        <w:t xml:space="preserve"> usually regresses as the nodule grows or in progressed HCC</w:t>
      </w:r>
      <w:r w:rsidR="00183C84">
        <w:rPr>
          <w:rFonts w:ascii="Book Antiqua" w:hAnsi="Book Antiqua"/>
          <w:sz w:val="24"/>
          <w:szCs w:val="24"/>
          <w:vertAlign w:val="superscript"/>
        </w:rPr>
        <w:t>[28,</w:t>
      </w:r>
      <w:r w:rsidR="00E95330" w:rsidRPr="00923307">
        <w:rPr>
          <w:rFonts w:ascii="Book Antiqua" w:hAnsi="Book Antiqua"/>
          <w:sz w:val="24"/>
          <w:szCs w:val="24"/>
          <w:vertAlign w:val="superscript"/>
        </w:rPr>
        <w:t>29]</w:t>
      </w:r>
      <w:r w:rsidRPr="00923307">
        <w:rPr>
          <w:rFonts w:ascii="Book Antiqua" w:hAnsi="Book Antiqua"/>
          <w:sz w:val="24"/>
          <w:szCs w:val="24"/>
        </w:rPr>
        <w:t xml:space="preserve">. </w:t>
      </w:r>
    </w:p>
    <w:p w14:paraId="4DD7074E" w14:textId="0EE4C8D3" w:rsidR="005B5EE9" w:rsidRPr="00923307" w:rsidRDefault="00085198" w:rsidP="00327F62">
      <w:pPr>
        <w:snapToGrid w:val="0"/>
        <w:spacing w:line="360" w:lineRule="auto"/>
        <w:ind w:firstLine="420"/>
        <w:rPr>
          <w:rFonts w:ascii="Book Antiqua" w:hAnsi="Book Antiqua"/>
          <w:sz w:val="24"/>
          <w:szCs w:val="24"/>
        </w:rPr>
      </w:pPr>
      <w:r w:rsidRPr="00923307">
        <w:rPr>
          <w:rFonts w:ascii="Book Antiqua" w:hAnsi="Book Antiqua"/>
          <w:sz w:val="24"/>
          <w:szCs w:val="24"/>
        </w:rPr>
        <w:t xml:space="preserve">Third, the expression of several important protein transporters </w:t>
      </w:r>
      <w:r w:rsidR="00C16A0F" w:rsidRPr="00923307">
        <w:rPr>
          <w:rFonts w:ascii="Book Antiqua" w:hAnsi="Book Antiqua"/>
          <w:sz w:val="24"/>
          <w:szCs w:val="24"/>
        </w:rPr>
        <w:t xml:space="preserve">is </w:t>
      </w:r>
      <w:r w:rsidRPr="00923307">
        <w:rPr>
          <w:rFonts w:ascii="Book Antiqua" w:hAnsi="Book Antiqua"/>
          <w:sz w:val="24"/>
          <w:szCs w:val="24"/>
        </w:rPr>
        <w:t xml:space="preserve">altered significantly during hepatocarcinogenesis. </w:t>
      </w:r>
      <w:bookmarkStart w:id="84" w:name="_Hlk508806416"/>
      <w:r w:rsidR="00C16A0F" w:rsidRPr="00923307">
        <w:rPr>
          <w:rFonts w:ascii="Book Antiqua" w:hAnsi="Book Antiqua"/>
          <w:sz w:val="24"/>
          <w:szCs w:val="24"/>
        </w:rPr>
        <w:t>The o</w:t>
      </w:r>
      <w:r w:rsidRPr="00923307">
        <w:rPr>
          <w:rFonts w:ascii="Book Antiqua" w:hAnsi="Book Antiqua"/>
          <w:sz w:val="24"/>
          <w:szCs w:val="24"/>
        </w:rPr>
        <w:t>rganic anionic transporting polypeptides</w:t>
      </w:r>
      <w:bookmarkEnd w:id="84"/>
      <w:r w:rsidRPr="00923307">
        <w:rPr>
          <w:rFonts w:ascii="Book Antiqua" w:hAnsi="Book Antiqua"/>
          <w:sz w:val="24"/>
          <w:szCs w:val="24"/>
        </w:rPr>
        <w:t xml:space="preserve"> (OATP) family </w:t>
      </w:r>
      <w:r w:rsidR="00C16A0F" w:rsidRPr="00923307">
        <w:rPr>
          <w:rFonts w:ascii="Book Antiqua" w:hAnsi="Book Antiqua"/>
          <w:sz w:val="24"/>
          <w:szCs w:val="24"/>
        </w:rPr>
        <w:t>includes</w:t>
      </w:r>
      <w:r w:rsidRPr="00923307">
        <w:rPr>
          <w:rFonts w:ascii="Book Antiqua" w:hAnsi="Book Antiqua"/>
          <w:sz w:val="24"/>
          <w:szCs w:val="24"/>
        </w:rPr>
        <w:t xml:space="preserve"> proteins </w:t>
      </w:r>
      <w:r w:rsidR="00C16A0F" w:rsidRPr="00923307">
        <w:rPr>
          <w:rFonts w:ascii="Book Antiqua" w:hAnsi="Book Antiqua"/>
          <w:sz w:val="24"/>
          <w:szCs w:val="24"/>
        </w:rPr>
        <w:t xml:space="preserve">that are </w:t>
      </w:r>
      <w:r w:rsidR="000D36D9" w:rsidRPr="00923307">
        <w:rPr>
          <w:rFonts w:ascii="Book Antiqua" w:hAnsi="Book Antiqua"/>
          <w:sz w:val="24"/>
          <w:szCs w:val="24"/>
        </w:rPr>
        <w:t>expressed</w:t>
      </w:r>
      <w:r w:rsidRPr="00923307">
        <w:rPr>
          <w:rFonts w:ascii="Book Antiqua" w:hAnsi="Book Antiqua"/>
          <w:sz w:val="24"/>
          <w:szCs w:val="24"/>
        </w:rPr>
        <w:t xml:space="preserve"> on the sinusoidal membraned of hepatocytes</w:t>
      </w:r>
      <w:r w:rsidR="00C16A0F" w:rsidRPr="00923307">
        <w:rPr>
          <w:rFonts w:ascii="Book Antiqua" w:hAnsi="Book Antiqua"/>
          <w:sz w:val="24"/>
          <w:szCs w:val="24"/>
        </w:rPr>
        <w:t xml:space="preserve"> and involve</w:t>
      </w:r>
      <w:r w:rsidRPr="00923307">
        <w:rPr>
          <w:rFonts w:ascii="Book Antiqua" w:hAnsi="Book Antiqua"/>
          <w:sz w:val="24"/>
          <w:szCs w:val="24"/>
        </w:rPr>
        <w:t xml:space="preserve"> in the transportation of bile salts</w:t>
      </w:r>
      <w:r w:rsidR="00E95330" w:rsidRPr="00923307">
        <w:rPr>
          <w:rFonts w:ascii="Book Antiqua" w:hAnsi="Book Antiqua"/>
          <w:sz w:val="24"/>
          <w:szCs w:val="24"/>
          <w:vertAlign w:val="superscript"/>
        </w:rPr>
        <w:t>[30]</w:t>
      </w:r>
      <w:r w:rsidRPr="00923307">
        <w:rPr>
          <w:rFonts w:ascii="Book Antiqua" w:hAnsi="Book Antiqua"/>
          <w:sz w:val="24"/>
          <w:szCs w:val="24"/>
        </w:rPr>
        <w:t xml:space="preserve">. MRI Hepatobiliary contrast agents are predominantly </w:t>
      </w:r>
      <w:r w:rsidR="00C16A0F" w:rsidRPr="00923307">
        <w:rPr>
          <w:rFonts w:ascii="Book Antiqua" w:hAnsi="Book Antiqua"/>
          <w:sz w:val="24"/>
          <w:szCs w:val="24"/>
        </w:rPr>
        <w:t>taken up</w:t>
      </w:r>
      <w:r w:rsidRPr="00923307">
        <w:rPr>
          <w:rFonts w:ascii="Book Antiqua" w:hAnsi="Book Antiqua"/>
          <w:sz w:val="24"/>
          <w:szCs w:val="24"/>
        </w:rPr>
        <w:t xml:space="preserve"> by human hepatocytes via OATP8 (also known as OATP1B1/3)</w:t>
      </w:r>
      <w:r w:rsidR="00E95330" w:rsidRPr="00923307">
        <w:rPr>
          <w:rFonts w:ascii="Book Antiqua" w:hAnsi="Book Antiqua"/>
          <w:sz w:val="24"/>
          <w:szCs w:val="24"/>
          <w:vertAlign w:val="superscript"/>
        </w:rPr>
        <w:t>[</w:t>
      </w:r>
      <w:r w:rsidRPr="00923307">
        <w:rPr>
          <w:rFonts w:ascii="Book Antiqua" w:hAnsi="Book Antiqua"/>
          <w:sz w:val="24"/>
          <w:szCs w:val="24"/>
          <w:vertAlign w:val="superscript"/>
        </w:rPr>
        <w:t>30</w:t>
      </w:r>
      <w:r w:rsidR="00E95330" w:rsidRPr="00923307">
        <w:rPr>
          <w:rFonts w:ascii="Book Antiqua" w:hAnsi="Book Antiqua"/>
          <w:sz w:val="24"/>
          <w:szCs w:val="24"/>
          <w:vertAlign w:val="superscript"/>
        </w:rPr>
        <w:t>]</w:t>
      </w:r>
      <w:r w:rsidRPr="00923307">
        <w:rPr>
          <w:rFonts w:ascii="Book Antiqua" w:hAnsi="Book Antiqua"/>
          <w:sz w:val="24"/>
          <w:szCs w:val="24"/>
        </w:rPr>
        <w:t>. During hepatocarcinogenesis, the expression of OATP8 decreases progressively</w:t>
      </w:r>
      <w:r w:rsidR="00E95330" w:rsidRPr="00923307">
        <w:rPr>
          <w:rFonts w:ascii="Book Antiqua" w:hAnsi="Book Antiqua"/>
          <w:sz w:val="24"/>
          <w:szCs w:val="24"/>
          <w:vertAlign w:val="superscript"/>
        </w:rPr>
        <w:t>[31]</w:t>
      </w:r>
      <w:r w:rsidRPr="00923307">
        <w:rPr>
          <w:rFonts w:ascii="Book Antiqua" w:hAnsi="Book Antiqua"/>
          <w:sz w:val="24"/>
          <w:szCs w:val="24"/>
        </w:rPr>
        <w:t>. Most HCCs, many HGDNs and some LGDNs present with OATP8 underexpression relative to the background liver, resulting in hypointens</w:t>
      </w:r>
      <w:r w:rsidR="00C16A0F" w:rsidRPr="00923307">
        <w:rPr>
          <w:rFonts w:ascii="Book Antiqua" w:hAnsi="Book Antiqua"/>
          <w:sz w:val="24"/>
          <w:szCs w:val="24"/>
        </w:rPr>
        <w:t>e</w:t>
      </w:r>
      <w:r w:rsidRPr="00923307">
        <w:rPr>
          <w:rFonts w:ascii="Book Antiqua" w:hAnsi="Book Antiqua"/>
          <w:sz w:val="24"/>
          <w:szCs w:val="24"/>
        </w:rPr>
        <w:t xml:space="preserve"> nodules observed in </w:t>
      </w:r>
      <w:r w:rsidR="00C16A0F" w:rsidRPr="00923307">
        <w:rPr>
          <w:rFonts w:ascii="Book Antiqua" w:hAnsi="Book Antiqua"/>
          <w:sz w:val="24"/>
          <w:szCs w:val="24"/>
        </w:rPr>
        <w:t xml:space="preserve">the </w:t>
      </w:r>
      <w:r w:rsidRPr="00923307">
        <w:rPr>
          <w:rFonts w:ascii="Book Antiqua" w:hAnsi="Book Antiqua"/>
          <w:sz w:val="24"/>
          <w:szCs w:val="24"/>
        </w:rPr>
        <w:t>h</w:t>
      </w:r>
      <w:bookmarkStart w:id="85" w:name="_Hlk508806468"/>
      <w:r w:rsidRPr="00923307">
        <w:rPr>
          <w:rFonts w:ascii="Book Antiqua" w:hAnsi="Book Antiqua"/>
          <w:sz w:val="24"/>
          <w:szCs w:val="24"/>
        </w:rPr>
        <w:t>epatobiliary phase</w:t>
      </w:r>
      <w:bookmarkEnd w:id="85"/>
      <w:r w:rsidRPr="00923307">
        <w:rPr>
          <w:rFonts w:ascii="Book Antiqua" w:hAnsi="Book Antiqua"/>
          <w:sz w:val="24"/>
          <w:szCs w:val="24"/>
        </w:rPr>
        <w:t xml:space="preserve"> (HBP) on MRI</w:t>
      </w:r>
      <w:r w:rsidR="00E95330" w:rsidRPr="00923307">
        <w:rPr>
          <w:rFonts w:ascii="Book Antiqua" w:hAnsi="Book Antiqua"/>
          <w:sz w:val="24"/>
          <w:szCs w:val="24"/>
          <w:vertAlign w:val="superscript"/>
        </w:rPr>
        <w:t>[32]</w:t>
      </w:r>
      <w:r w:rsidRPr="00923307">
        <w:rPr>
          <w:rFonts w:ascii="Book Antiqua" w:hAnsi="Book Antiqua"/>
          <w:sz w:val="24"/>
          <w:szCs w:val="24"/>
        </w:rPr>
        <w:t>. Moreover, emerging data suggest that OATP8 expression decrease</w:t>
      </w:r>
      <w:r w:rsidR="00C16A0F" w:rsidRPr="00923307">
        <w:rPr>
          <w:rFonts w:ascii="Book Antiqua" w:hAnsi="Book Antiqua"/>
          <w:sz w:val="24"/>
          <w:szCs w:val="24"/>
        </w:rPr>
        <w:t>s</w:t>
      </w:r>
      <w:r w:rsidRPr="00923307">
        <w:rPr>
          <w:rFonts w:ascii="Book Antiqua" w:hAnsi="Book Antiqua"/>
          <w:sz w:val="24"/>
          <w:szCs w:val="24"/>
        </w:rPr>
        <w:t xml:space="preserve"> </w:t>
      </w:r>
      <w:r w:rsidR="00C16A0F" w:rsidRPr="00923307">
        <w:rPr>
          <w:rFonts w:ascii="Book Antiqua" w:hAnsi="Book Antiqua"/>
          <w:sz w:val="24"/>
          <w:szCs w:val="24"/>
        </w:rPr>
        <w:t>before</w:t>
      </w:r>
      <w:r w:rsidRPr="00923307">
        <w:rPr>
          <w:rFonts w:ascii="Book Antiqua" w:hAnsi="Book Antiqua"/>
          <w:sz w:val="24"/>
          <w:szCs w:val="24"/>
        </w:rPr>
        <w:t xml:space="preserve"> the reduction </w:t>
      </w:r>
      <w:r w:rsidR="00C16A0F" w:rsidRPr="00923307">
        <w:rPr>
          <w:rFonts w:ascii="Book Antiqua" w:hAnsi="Book Antiqua"/>
          <w:sz w:val="24"/>
          <w:szCs w:val="24"/>
        </w:rPr>
        <w:t>in</w:t>
      </w:r>
      <w:r w:rsidRPr="00923307">
        <w:rPr>
          <w:rFonts w:ascii="Book Antiqua" w:hAnsi="Book Antiqua"/>
          <w:sz w:val="24"/>
          <w:szCs w:val="24"/>
        </w:rPr>
        <w:t xml:space="preserve"> portal tracts and increase </w:t>
      </w:r>
      <w:r w:rsidR="00C16A0F" w:rsidRPr="00923307">
        <w:rPr>
          <w:rFonts w:ascii="Book Antiqua" w:hAnsi="Book Antiqua"/>
          <w:sz w:val="24"/>
          <w:szCs w:val="24"/>
        </w:rPr>
        <w:t>in</w:t>
      </w:r>
      <w:r w:rsidRPr="00923307">
        <w:rPr>
          <w:rFonts w:ascii="Book Antiqua" w:hAnsi="Book Antiqua"/>
          <w:sz w:val="24"/>
          <w:szCs w:val="24"/>
        </w:rPr>
        <w:t xml:space="preserve"> unpaired </w:t>
      </w:r>
      <w:r w:rsidR="00E95330" w:rsidRPr="00923307">
        <w:rPr>
          <w:rFonts w:ascii="Book Antiqua" w:hAnsi="Book Antiqua"/>
          <w:sz w:val="24"/>
          <w:szCs w:val="24"/>
        </w:rPr>
        <w:t>arteries</w:t>
      </w:r>
      <w:r w:rsidR="00E95330" w:rsidRPr="00923307">
        <w:rPr>
          <w:rFonts w:ascii="Book Antiqua" w:hAnsi="Book Antiqua"/>
          <w:sz w:val="24"/>
          <w:szCs w:val="24"/>
          <w:vertAlign w:val="superscript"/>
        </w:rPr>
        <w:t>[3</w:t>
      </w:r>
      <w:r w:rsidRPr="00923307">
        <w:rPr>
          <w:rFonts w:ascii="Book Antiqua" w:hAnsi="Book Antiqua"/>
          <w:sz w:val="24"/>
          <w:szCs w:val="24"/>
          <w:vertAlign w:val="superscript"/>
        </w:rPr>
        <w:t>1,</w:t>
      </w:r>
      <w:r w:rsidR="00E95330" w:rsidRPr="00923307">
        <w:rPr>
          <w:rFonts w:ascii="Book Antiqua" w:hAnsi="Book Antiqua"/>
          <w:sz w:val="24"/>
          <w:szCs w:val="24"/>
          <w:vertAlign w:val="superscript"/>
        </w:rPr>
        <w:t>33]</w:t>
      </w:r>
      <w:r w:rsidR="00E95330" w:rsidRPr="00923307">
        <w:rPr>
          <w:rFonts w:ascii="Book Antiqua" w:hAnsi="Book Antiqua"/>
          <w:sz w:val="24"/>
          <w:szCs w:val="24"/>
        </w:rPr>
        <w:t>. T</w:t>
      </w:r>
      <w:r w:rsidRPr="00923307">
        <w:rPr>
          <w:rFonts w:ascii="Book Antiqua" w:hAnsi="Book Antiqua"/>
          <w:sz w:val="24"/>
          <w:szCs w:val="24"/>
        </w:rPr>
        <w:t>herefore, hepatobiliary agents can help improve the sensitivity in detecting early small HCCs</w:t>
      </w:r>
      <w:r w:rsidR="00E95330" w:rsidRPr="00923307">
        <w:rPr>
          <w:rFonts w:ascii="Book Antiqua" w:hAnsi="Book Antiqua"/>
          <w:sz w:val="24"/>
          <w:szCs w:val="24"/>
          <w:vertAlign w:val="superscript"/>
        </w:rPr>
        <w:t>[34]</w:t>
      </w:r>
      <w:r w:rsidRPr="00923307">
        <w:rPr>
          <w:rFonts w:ascii="Book Antiqua" w:hAnsi="Book Antiqua"/>
          <w:sz w:val="24"/>
          <w:szCs w:val="24"/>
        </w:rPr>
        <w:t xml:space="preserve">. </w:t>
      </w:r>
      <w:r w:rsidR="00C16A0F" w:rsidRPr="00923307">
        <w:rPr>
          <w:rFonts w:ascii="Book Antiqua" w:hAnsi="Book Antiqua"/>
          <w:sz w:val="24"/>
          <w:szCs w:val="24"/>
        </w:rPr>
        <w:t>In addition</w:t>
      </w:r>
      <w:r w:rsidRPr="00923307">
        <w:rPr>
          <w:rFonts w:ascii="Book Antiqua" w:hAnsi="Book Antiqua"/>
          <w:sz w:val="24"/>
          <w:szCs w:val="24"/>
        </w:rPr>
        <w:t>, OATP8 expression has been shown to be inversely correlated with HCC tumor grade and aggressiveness</w:t>
      </w:r>
      <w:r w:rsidR="00E95330" w:rsidRPr="00923307">
        <w:rPr>
          <w:rFonts w:ascii="Book Antiqua" w:hAnsi="Book Antiqua"/>
          <w:sz w:val="24"/>
          <w:szCs w:val="24"/>
          <w:vertAlign w:val="superscript"/>
        </w:rPr>
        <w:t>[3</w:t>
      </w:r>
      <w:r w:rsidRPr="00923307">
        <w:rPr>
          <w:rFonts w:ascii="Book Antiqua" w:hAnsi="Book Antiqua"/>
          <w:sz w:val="24"/>
          <w:szCs w:val="24"/>
          <w:vertAlign w:val="superscript"/>
        </w:rPr>
        <w:t>3,</w:t>
      </w:r>
      <w:r w:rsidR="00E95330" w:rsidRPr="00923307">
        <w:rPr>
          <w:rFonts w:ascii="Book Antiqua" w:hAnsi="Book Antiqua"/>
          <w:sz w:val="24"/>
          <w:szCs w:val="24"/>
          <w:vertAlign w:val="superscript"/>
        </w:rPr>
        <w:t>35]</w:t>
      </w:r>
      <w:r w:rsidRPr="00923307">
        <w:rPr>
          <w:rFonts w:ascii="Book Antiqua" w:hAnsi="Book Antiqua"/>
          <w:sz w:val="24"/>
          <w:szCs w:val="24"/>
        </w:rPr>
        <w:t xml:space="preserve">. </w:t>
      </w:r>
    </w:p>
    <w:p w14:paraId="3E86F68C" w14:textId="77777777" w:rsidR="00F758F9" w:rsidRDefault="00F758F9" w:rsidP="00327F62">
      <w:pPr>
        <w:snapToGrid w:val="0"/>
        <w:spacing w:line="360" w:lineRule="auto"/>
        <w:rPr>
          <w:rFonts w:ascii="Book Antiqua" w:hAnsi="Book Antiqua"/>
          <w:b/>
          <w:i/>
          <w:sz w:val="24"/>
          <w:szCs w:val="24"/>
        </w:rPr>
      </w:pPr>
    </w:p>
    <w:p w14:paraId="4D400AE9" w14:textId="77777777" w:rsidR="005B5EE9" w:rsidRPr="0028132A" w:rsidRDefault="00085198" w:rsidP="00327F62">
      <w:pPr>
        <w:snapToGrid w:val="0"/>
        <w:spacing w:line="360" w:lineRule="auto"/>
        <w:rPr>
          <w:rFonts w:ascii="Book Antiqua" w:hAnsi="Book Antiqua"/>
          <w:b/>
          <w:caps/>
          <w:sz w:val="24"/>
          <w:szCs w:val="24"/>
        </w:rPr>
      </w:pPr>
      <w:r w:rsidRPr="0028132A">
        <w:rPr>
          <w:rFonts w:ascii="Book Antiqua" w:hAnsi="Book Antiqua"/>
          <w:b/>
          <w:caps/>
          <w:sz w:val="24"/>
          <w:szCs w:val="24"/>
        </w:rPr>
        <w:t>Noninvasive detection, characterization and diagnosis of HCC</w:t>
      </w:r>
    </w:p>
    <w:p w14:paraId="2CEF62BD" w14:textId="074EE4A5" w:rsidR="005B5EE9" w:rsidRPr="00923307" w:rsidRDefault="00085198" w:rsidP="00327F62">
      <w:pPr>
        <w:snapToGrid w:val="0"/>
        <w:spacing w:line="360" w:lineRule="auto"/>
        <w:rPr>
          <w:rFonts w:ascii="Book Antiqua" w:hAnsi="Book Antiqua"/>
          <w:sz w:val="24"/>
          <w:szCs w:val="24"/>
        </w:rPr>
      </w:pPr>
      <w:r w:rsidRPr="00923307">
        <w:rPr>
          <w:rFonts w:ascii="Book Antiqua" w:hAnsi="Book Antiqua"/>
          <w:sz w:val="24"/>
          <w:szCs w:val="24"/>
        </w:rPr>
        <w:t>The prognosis of HCC is highly dependent on the stage at which the tumor is detected</w:t>
      </w:r>
      <w:r w:rsidR="00E95330" w:rsidRPr="00923307">
        <w:rPr>
          <w:rFonts w:ascii="Book Antiqua" w:hAnsi="Book Antiqua"/>
          <w:sz w:val="24"/>
          <w:szCs w:val="24"/>
          <w:vertAlign w:val="superscript"/>
        </w:rPr>
        <w:t>[36]</w:t>
      </w:r>
      <w:r w:rsidRPr="00923307">
        <w:rPr>
          <w:rFonts w:ascii="Book Antiqua" w:hAnsi="Book Antiqua"/>
          <w:sz w:val="24"/>
          <w:szCs w:val="24"/>
        </w:rPr>
        <w:t xml:space="preserve">. Therefore, early detection and accurate characterization </w:t>
      </w:r>
      <w:r w:rsidR="00C16A0F" w:rsidRPr="00923307">
        <w:rPr>
          <w:rFonts w:ascii="Book Antiqua" w:hAnsi="Book Antiqua"/>
          <w:sz w:val="24"/>
          <w:szCs w:val="24"/>
        </w:rPr>
        <w:t>are</w:t>
      </w:r>
      <w:r w:rsidRPr="00923307">
        <w:rPr>
          <w:rFonts w:ascii="Book Antiqua" w:hAnsi="Book Antiqua"/>
          <w:sz w:val="24"/>
          <w:szCs w:val="24"/>
        </w:rPr>
        <w:t xml:space="preserve"> pivotal in the management of HCC. Imaging modalities including US, CT and MRI play crucial roles in noninvasive HCC diagnosis.</w:t>
      </w:r>
    </w:p>
    <w:p w14:paraId="1FF614C1" w14:textId="77777777" w:rsidR="00F758F9" w:rsidRDefault="00F758F9" w:rsidP="00327F62">
      <w:pPr>
        <w:snapToGrid w:val="0"/>
        <w:spacing w:line="360" w:lineRule="auto"/>
        <w:rPr>
          <w:rFonts w:ascii="Book Antiqua" w:hAnsi="Book Antiqua"/>
          <w:b/>
          <w:i/>
          <w:sz w:val="24"/>
          <w:szCs w:val="24"/>
        </w:rPr>
      </w:pPr>
    </w:p>
    <w:p w14:paraId="17214ADE" w14:textId="77777777" w:rsidR="00A00506" w:rsidRDefault="00085198" w:rsidP="00327F62">
      <w:pPr>
        <w:snapToGrid w:val="0"/>
        <w:spacing w:line="360" w:lineRule="auto"/>
        <w:rPr>
          <w:rFonts w:ascii="Book Antiqua" w:hAnsi="Book Antiqua"/>
          <w:b/>
          <w:i/>
          <w:sz w:val="24"/>
          <w:szCs w:val="24"/>
        </w:rPr>
      </w:pPr>
      <w:r w:rsidRPr="00923307">
        <w:rPr>
          <w:rFonts w:ascii="Book Antiqua" w:hAnsi="Book Antiqua"/>
          <w:b/>
          <w:i/>
          <w:sz w:val="24"/>
          <w:szCs w:val="24"/>
        </w:rPr>
        <w:t>Imaging modalities</w:t>
      </w:r>
    </w:p>
    <w:p w14:paraId="623771F5" w14:textId="63B592D9" w:rsidR="005B5EE9" w:rsidRPr="00A00506" w:rsidRDefault="00085198" w:rsidP="00327F62">
      <w:pPr>
        <w:snapToGrid w:val="0"/>
        <w:spacing w:line="360" w:lineRule="auto"/>
        <w:rPr>
          <w:rFonts w:ascii="Book Antiqua" w:hAnsi="Book Antiqua"/>
          <w:b/>
          <w:sz w:val="24"/>
          <w:szCs w:val="24"/>
        </w:rPr>
      </w:pPr>
      <w:r w:rsidRPr="00A00506">
        <w:rPr>
          <w:rFonts w:ascii="Book Antiqua" w:hAnsi="Book Antiqua"/>
          <w:b/>
          <w:sz w:val="24"/>
          <w:szCs w:val="24"/>
        </w:rPr>
        <w:t>US</w:t>
      </w:r>
      <w:r w:rsidR="00A00506">
        <w:rPr>
          <w:rFonts w:ascii="Book Antiqua" w:hAnsi="Book Antiqua" w:hint="eastAsia"/>
          <w:b/>
          <w:sz w:val="24"/>
          <w:szCs w:val="24"/>
        </w:rPr>
        <w:t xml:space="preserve">: </w:t>
      </w:r>
      <w:r w:rsidRPr="00923307">
        <w:rPr>
          <w:rFonts w:ascii="Book Antiqua" w:hAnsi="Book Antiqua"/>
          <w:sz w:val="24"/>
          <w:szCs w:val="24"/>
        </w:rPr>
        <w:t>US has been widely used as the screening test for HCC</w:t>
      </w:r>
      <w:r w:rsidR="00C16A0F" w:rsidRPr="00923307">
        <w:rPr>
          <w:rFonts w:ascii="Book Antiqua" w:hAnsi="Book Antiqua"/>
          <w:sz w:val="24"/>
          <w:szCs w:val="24"/>
        </w:rPr>
        <w:t xml:space="preserve">, </w:t>
      </w:r>
      <w:r w:rsidRPr="00923307">
        <w:rPr>
          <w:rFonts w:ascii="Book Antiqua" w:hAnsi="Book Antiqua"/>
          <w:sz w:val="24"/>
          <w:szCs w:val="24"/>
        </w:rPr>
        <w:t xml:space="preserve">with </w:t>
      </w:r>
      <w:r w:rsidR="00391BC5" w:rsidRPr="00923307">
        <w:rPr>
          <w:rFonts w:ascii="Book Antiqua" w:hAnsi="Book Antiqua"/>
          <w:sz w:val="24"/>
          <w:szCs w:val="24"/>
        </w:rPr>
        <w:t xml:space="preserve">a </w:t>
      </w:r>
      <w:r w:rsidRPr="00923307">
        <w:rPr>
          <w:rFonts w:ascii="Book Antiqua" w:hAnsi="Book Antiqua"/>
          <w:sz w:val="24"/>
          <w:szCs w:val="24"/>
        </w:rPr>
        <w:t xml:space="preserve">sensitivity ranging </w:t>
      </w:r>
      <w:r w:rsidR="00391BC5" w:rsidRPr="00923307">
        <w:rPr>
          <w:rFonts w:ascii="Book Antiqua" w:hAnsi="Book Antiqua"/>
          <w:sz w:val="24"/>
          <w:szCs w:val="24"/>
        </w:rPr>
        <w:t>from</w:t>
      </w:r>
      <w:r w:rsidRPr="00923307">
        <w:rPr>
          <w:rFonts w:ascii="Book Antiqua" w:hAnsi="Book Antiqua"/>
          <w:sz w:val="24"/>
          <w:szCs w:val="24"/>
        </w:rPr>
        <w:t xml:space="preserve"> 51%-87%, and </w:t>
      </w:r>
      <w:r w:rsidR="00391BC5" w:rsidRPr="00923307">
        <w:rPr>
          <w:rFonts w:ascii="Book Antiqua" w:hAnsi="Book Antiqua"/>
          <w:sz w:val="24"/>
          <w:szCs w:val="24"/>
        </w:rPr>
        <w:t xml:space="preserve">a </w:t>
      </w:r>
      <w:r w:rsidRPr="00923307">
        <w:rPr>
          <w:rFonts w:ascii="Book Antiqua" w:hAnsi="Book Antiqua"/>
          <w:sz w:val="24"/>
          <w:szCs w:val="24"/>
        </w:rPr>
        <w:t xml:space="preserve">specificity </w:t>
      </w:r>
      <w:r w:rsidR="00C16A0F" w:rsidRPr="00923307">
        <w:rPr>
          <w:rFonts w:ascii="Book Antiqua" w:hAnsi="Book Antiqua"/>
          <w:sz w:val="24"/>
          <w:szCs w:val="24"/>
        </w:rPr>
        <w:t>from</w:t>
      </w:r>
      <w:r w:rsidRPr="00923307">
        <w:rPr>
          <w:rFonts w:ascii="Book Antiqua" w:hAnsi="Book Antiqua"/>
          <w:sz w:val="24"/>
          <w:szCs w:val="24"/>
        </w:rPr>
        <w:t xml:space="preserve"> 80%-100%</w:t>
      </w:r>
      <w:r w:rsidR="00E95330" w:rsidRPr="00923307">
        <w:rPr>
          <w:rFonts w:ascii="Book Antiqua" w:hAnsi="Book Antiqua"/>
          <w:sz w:val="24"/>
          <w:szCs w:val="24"/>
          <w:vertAlign w:val="superscript"/>
        </w:rPr>
        <w:t>[37-39</w:t>
      </w:r>
      <w:r w:rsidR="00E5064C" w:rsidRPr="00923307">
        <w:rPr>
          <w:rFonts w:ascii="Book Antiqua" w:hAnsi="Book Antiqua"/>
          <w:sz w:val="24"/>
          <w:szCs w:val="24"/>
          <w:vertAlign w:val="superscript"/>
        </w:rPr>
        <w:t>]</w:t>
      </w:r>
      <w:r w:rsidRPr="00923307">
        <w:rPr>
          <w:rFonts w:ascii="Book Antiqua" w:hAnsi="Book Antiqua"/>
          <w:sz w:val="24"/>
          <w:szCs w:val="24"/>
        </w:rPr>
        <w:t>. HCC is usually characterized as a hypoechoic nodule with hyperenhancement in the arterial phase and washout in the late phase on US</w:t>
      </w:r>
      <w:r w:rsidR="00E95330" w:rsidRPr="00923307">
        <w:rPr>
          <w:rFonts w:ascii="Book Antiqua" w:hAnsi="Book Antiqua"/>
          <w:sz w:val="24"/>
          <w:szCs w:val="24"/>
          <w:vertAlign w:val="superscript"/>
        </w:rPr>
        <w:t xml:space="preserve"> [40]</w:t>
      </w:r>
      <w:r w:rsidRPr="00923307">
        <w:rPr>
          <w:rFonts w:ascii="Book Antiqua" w:hAnsi="Book Antiqua"/>
          <w:sz w:val="24"/>
          <w:szCs w:val="24"/>
        </w:rPr>
        <w:t xml:space="preserve">. </w:t>
      </w:r>
      <w:bookmarkStart w:id="86" w:name="_Hlk508806536"/>
      <w:r w:rsidRPr="00923307">
        <w:rPr>
          <w:rFonts w:ascii="Book Antiqua" w:hAnsi="Book Antiqua"/>
          <w:sz w:val="24"/>
          <w:szCs w:val="24"/>
        </w:rPr>
        <w:t>Contrast-enhanced US</w:t>
      </w:r>
      <w:bookmarkEnd w:id="86"/>
      <w:r w:rsidRPr="00923307">
        <w:rPr>
          <w:rFonts w:ascii="Book Antiqua" w:hAnsi="Book Antiqua"/>
          <w:sz w:val="24"/>
          <w:szCs w:val="24"/>
        </w:rPr>
        <w:t xml:space="preserve"> (CEUS) with microbubble contrast agents is useful </w:t>
      </w:r>
      <w:r w:rsidR="00391BC5" w:rsidRPr="00923307">
        <w:rPr>
          <w:rFonts w:ascii="Book Antiqua" w:hAnsi="Book Antiqua"/>
          <w:sz w:val="24"/>
          <w:szCs w:val="24"/>
        </w:rPr>
        <w:t>for</w:t>
      </w:r>
      <w:r w:rsidRPr="00923307">
        <w:rPr>
          <w:rFonts w:ascii="Book Antiqua" w:hAnsi="Book Antiqua"/>
          <w:sz w:val="24"/>
          <w:szCs w:val="24"/>
        </w:rPr>
        <w:t xml:space="preserve"> characteriz</w:t>
      </w:r>
      <w:r w:rsidR="00391BC5" w:rsidRPr="00923307">
        <w:rPr>
          <w:rFonts w:ascii="Book Antiqua" w:hAnsi="Book Antiqua"/>
          <w:sz w:val="24"/>
          <w:szCs w:val="24"/>
        </w:rPr>
        <w:t>ing</w:t>
      </w:r>
      <w:r w:rsidRPr="00923307">
        <w:rPr>
          <w:rFonts w:ascii="Book Antiqua" w:hAnsi="Book Antiqua"/>
          <w:sz w:val="24"/>
          <w:szCs w:val="24"/>
        </w:rPr>
        <w:t xml:space="preserve"> focal liver lesions</w:t>
      </w:r>
      <w:r w:rsidR="00282AF6">
        <w:rPr>
          <w:rFonts w:ascii="Book Antiqua" w:hAnsi="Book Antiqua"/>
          <w:sz w:val="24"/>
          <w:szCs w:val="24"/>
          <w:vertAlign w:val="superscript"/>
        </w:rPr>
        <w:t>[41,</w:t>
      </w:r>
      <w:r w:rsidR="00E95330" w:rsidRPr="00923307">
        <w:rPr>
          <w:rStyle w:val="EndnoteReference"/>
          <w:rFonts w:ascii="Book Antiqua" w:hAnsi="Book Antiqua"/>
          <w:sz w:val="24"/>
          <w:szCs w:val="24"/>
        </w:rPr>
        <w:t>42]</w:t>
      </w:r>
      <w:r w:rsidRPr="00923307">
        <w:rPr>
          <w:rFonts w:ascii="Book Antiqua" w:hAnsi="Book Antiqua"/>
          <w:sz w:val="24"/>
          <w:szCs w:val="24"/>
          <w:vertAlign w:val="superscript"/>
        </w:rPr>
        <w:t xml:space="preserve"> </w:t>
      </w:r>
      <w:r w:rsidRPr="00923307">
        <w:rPr>
          <w:rFonts w:ascii="Book Antiqua" w:hAnsi="Book Antiqua"/>
          <w:sz w:val="24"/>
          <w:szCs w:val="24"/>
        </w:rPr>
        <w:t xml:space="preserve"> and has added diagnostic value to conventional US</w:t>
      </w:r>
      <w:r w:rsidR="00E95330" w:rsidRPr="00923307">
        <w:rPr>
          <w:rFonts w:ascii="Book Antiqua" w:hAnsi="Book Antiqua"/>
          <w:sz w:val="24"/>
          <w:szCs w:val="24"/>
          <w:vertAlign w:val="superscript"/>
        </w:rPr>
        <w:t>[4</w:t>
      </w:r>
      <w:r w:rsidRPr="00923307">
        <w:rPr>
          <w:rFonts w:ascii="Book Antiqua" w:hAnsi="Book Antiqua"/>
          <w:sz w:val="24"/>
          <w:szCs w:val="24"/>
          <w:vertAlign w:val="superscript"/>
        </w:rPr>
        <w:t>0</w:t>
      </w:r>
      <w:r w:rsidR="00E95330" w:rsidRPr="00923307">
        <w:rPr>
          <w:rFonts w:ascii="Book Antiqua" w:hAnsi="Book Antiqua"/>
          <w:sz w:val="24"/>
          <w:szCs w:val="24"/>
          <w:vertAlign w:val="superscript"/>
        </w:rPr>
        <w:t>]</w:t>
      </w:r>
      <w:r w:rsidRPr="00923307">
        <w:rPr>
          <w:rFonts w:ascii="Book Antiqua" w:hAnsi="Book Antiqua"/>
          <w:sz w:val="24"/>
          <w:szCs w:val="24"/>
        </w:rPr>
        <w:t xml:space="preserve">. More recently, the introduction of Sonazoid </w:t>
      </w:r>
      <w:r w:rsidR="00391BC5" w:rsidRPr="00923307">
        <w:rPr>
          <w:rFonts w:ascii="Book Antiqua" w:hAnsi="Book Antiqua"/>
          <w:sz w:val="24"/>
          <w:szCs w:val="24"/>
        </w:rPr>
        <w:t xml:space="preserve">(gaseous perflubutane, GE Healthcare, Oslo, Norway) </w:t>
      </w:r>
      <w:r w:rsidRPr="00923307">
        <w:rPr>
          <w:rFonts w:ascii="Book Antiqua" w:hAnsi="Book Antiqua"/>
          <w:sz w:val="24"/>
          <w:szCs w:val="24"/>
        </w:rPr>
        <w:t>microbubbles has led to further improved diagnostic capability of CEUS, enabling the imaging of Kupffer cells</w:t>
      </w:r>
      <w:r w:rsidR="00E95330" w:rsidRPr="00923307">
        <w:rPr>
          <w:rFonts w:ascii="Book Antiqua" w:hAnsi="Book Antiqua"/>
          <w:sz w:val="24"/>
          <w:szCs w:val="24"/>
          <w:vertAlign w:val="superscript"/>
        </w:rPr>
        <w:t>[43]</w:t>
      </w:r>
      <w:r w:rsidRPr="00923307">
        <w:rPr>
          <w:rFonts w:ascii="Book Antiqua" w:hAnsi="Book Antiqua"/>
          <w:sz w:val="24"/>
          <w:szCs w:val="24"/>
        </w:rPr>
        <w:t xml:space="preserve">. CEUS has similar performance </w:t>
      </w:r>
      <w:r w:rsidR="00391BC5" w:rsidRPr="00923307">
        <w:rPr>
          <w:rFonts w:ascii="Book Antiqua" w:hAnsi="Book Antiqua"/>
          <w:sz w:val="24"/>
          <w:szCs w:val="24"/>
        </w:rPr>
        <w:t>to</w:t>
      </w:r>
      <w:r w:rsidRPr="00923307">
        <w:rPr>
          <w:rFonts w:ascii="Book Antiqua" w:hAnsi="Book Antiqua"/>
          <w:sz w:val="24"/>
          <w:szCs w:val="24"/>
        </w:rPr>
        <w:t xml:space="preserve"> CT and MRI </w:t>
      </w:r>
      <w:r w:rsidR="00391BC5" w:rsidRPr="00923307">
        <w:rPr>
          <w:rFonts w:ascii="Book Antiqua" w:hAnsi="Book Antiqua"/>
          <w:sz w:val="24"/>
          <w:szCs w:val="24"/>
        </w:rPr>
        <w:t>for characterizing</w:t>
      </w:r>
      <w:r w:rsidRPr="00923307">
        <w:rPr>
          <w:rFonts w:ascii="Book Antiqua" w:hAnsi="Book Antiqua"/>
          <w:sz w:val="24"/>
          <w:szCs w:val="24"/>
        </w:rPr>
        <w:t xml:space="preserve"> focal liver lesions</w:t>
      </w:r>
      <w:r w:rsidR="00E95330" w:rsidRPr="00923307">
        <w:rPr>
          <w:rFonts w:ascii="Book Antiqua" w:hAnsi="Book Antiqua"/>
          <w:sz w:val="24"/>
          <w:szCs w:val="24"/>
          <w:vertAlign w:val="superscript"/>
        </w:rPr>
        <w:t>[44-46]</w:t>
      </w:r>
      <w:r w:rsidRPr="00923307">
        <w:rPr>
          <w:rFonts w:ascii="Book Antiqua" w:hAnsi="Book Antiqua"/>
          <w:sz w:val="24"/>
          <w:szCs w:val="24"/>
        </w:rPr>
        <w:t>.</w:t>
      </w:r>
    </w:p>
    <w:p w14:paraId="041BAD5B" w14:textId="294F4B80" w:rsidR="005B5EE9" w:rsidRPr="00923307" w:rsidRDefault="00085198" w:rsidP="00327F62">
      <w:pPr>
        <w:snapToGrid w:val="0"/>
        <w:spacing w:line="360" w:lineRule="auto"/>
        <w:ind w:firstLine="420"/>
        <w:rPr>
          <w:rFonts w:ascii="Book Antiqua" w:hAnsi="Book Antiqua"/>
          <w:sz w:val="24"/>
          <w:szCs w:val="24"/>
        </w:rPr>
      </w:pPr>
      <w:r w:rsidRPr="00923307">
        <w:rPr>
          <w:rFonts w:ascii="Book Antiqua" w:hAnsi="Book Antiqua"/>
          <w:sz w:val="24"/>
          <w:szCs w:val="24"/>
        </w:rPr>
        <w:t xml:space="preserve">Relative to dynamic CT and MRI, US </w:t>
      </w:r>
      <w:r w:rsidR="00B0089A" w:rsidRPr="00923307">
        <w:rPr>
          <w:rFonts w:ascii="Book Antiqua" w:hAnsi="Book Antiqua"/>
          <w:sz w:val="24"/>
          <w:szCs w:val="24"/>
        </w:rPr>
        <w:t>can be performed</w:t>
      </w:r>
      <w:r w:rsidRPr="00923307">
        <w:rPr>
          <w:rFonts w:ascii="Book Antiqua" w:hAnsi="Book Antiqua"/>
          <w:sz w:val="24"/>
          <w:szCs w:val="24"/>
        </w:rPr>
        <w:t xml:space="preserve"> real-time</w:t>
      </w:r>
      <w:r w:rsidR="00B0089A" w:rsidRPr="00923307">
        <w:rPr>
          <w:rFonts w:ascii="Book Antiqua" w:hAnsi="Book Antiqua"/>
          <w:sz w:val="24"/>
          <w:szCs w:val="24"/>
        </w:rPr>
        <w:t xml:space="preserve"> and is</w:t>
      </w:r>
      <w:r w:rsidRPr="00923307">
        <w:rPr>
          <w:rFonts w:ascii="Book Antiqua" w:hAnsi="Book Antiqua"/>
          <w:sz w:val="24"/>
          <w:szCs w:val="24"/>
        </w:rPr>
        <w:t xml:space="preserve"> less expensive with no </w:t>
      </w:r>
      <w:r w:rsidR="00B0089A" w:rsidRPr="00923307">
        <w:rPr>
          <w:rFonts w:ascii="Book Antiqua" w:hAnsi="Book Antiqua"/>
          <w:sz w:val="24"/>
          <w:szCs w:val="24"/>
        </w:rPr>
        <w:t xml:space="preserve">associated </w:t>
      </w:r>
      <w:r w:rsidRPr="00923307">
        <w:rPr>
          <w:rFonts w:ascii="Book Antiqua" w:hAnsi="Book Antiqua"/>
          <w:sz w:val="24"/>
          <w:szCs w:val="24"/>
        </w:rPr>
        <w:t>nephrotoxicity</w:t>
      </w:r>
      <w:r w:rsidR="0034053A" w:rsidRPr="00923307">
        <w:rPr>
          <w:rFonts w:ascii="Book Antiqua" w:hAnsi="Book Antiqua"/>
          <w:sz w:val="24"/>
          <w:szCs w:val="24"/>
          <w:vertAlign w:val="superscript"/>
        </w:rPr>
        <w:t>[47]</w:t>
      </w:r>
      <w:r w:rsidRPr="00923307">
        <w:rPr>
          <w:rFonts w:ascii="Book Antiqua" w:hAnsi="Book Antiqua"/>
          <w:sz w:val="24"/>
          <w:szCs w:val="24"/>
        </w:rPr>
        <w:t xml:space="preserve"> or ionizing radiation. </w:t>
      </w:r>
      <w:r w:rsidR="00391BC5" w:rsidRPr="00923307">
        <w:rPr>
          <w:rFonts w:ascii="Book Antiqua" w:hAnsi="Book Antiqua"/>
          <w:sz w:val="24"/>
          <w:szCs w:val="24"/>
        </w:rPr>
        <w:t xml:space="preserve">In addition, CEUS allows a continuous imaging and characterization of the dynamic wash-in and wash-out of contrast agents and can be useful to resolve indeterminate vascular shunts detected by CT or MRI. </w:t>
      </w:r>
      <w:r w:rsidRPr="00923307">
        <w:rPr>
          <w:rFonts w:ascii="Book Antiqua" w:hAnsi="Book Antiqua"/>
          <w:sz w:val="24"/>
          <w:szCs w:val="24"/>
        </w:rPr>
        <w:t xml:space="preserve">However, US is more prone to inter-and intraobserver </w:t>
      </w:r>
      <w:r w:rsidR="00E5064C" w:rsidRPr="00923307">
        <w:rPr>
          <w:rFonts w:ascii="Book Antiqua" w:hAnsi="Book Antiqua"/>
          <w:sz w:val="24"/>
          <w:szCs w:val="24"/>
        </w:rPr>
        <w:t>variabilities</w:t>
      </w:r>
      <w:r w:rsidR="00391BC5" w:rsidRPr="00923307">
        <w:rPr>
          <w:rFonts w:ascii="Book Antiqua" w:hAnsi="Book Antiqua"/>
          <w:sz w:val="24"/>
          <w:szCs w:val="24"/>
        </w:rPr>
        <w:t xml:space="preserve"> and requires recognized expertise to perform good examinations</w:t>
      </w:r>
      <w:r w:rsidRPr="00923307">
        <w:rPr>
          <w:rFonts w:ascii="Book Antiqua" w:hAnsi="Book Antiqua"/>
          <w:sz w:val="24"/>
          <w:szCs w:val="24"/>
        </w:rPr>
        <w:t xml:space="preserve">. Besides, </w:t>
      </w:r>
      <w:r w:rsidR="00B0089A" w:rsidRPr="00923307">
        <w:rPr>
          <w:rFonts w:ascii="Book Antiqua" w:hAnsi="Book Antiqua"/>
          <w:sz w:val="24"/>
          <w:szCs w:val="24"/>
        </w:rPr>
        <w:t xml:space="preserve">the application of </w:t>
      </w:r>
      <w:r w:rsidRPr="00923307">
        <w:rPr>
          <w:rFonts w:ascii="Book Antiqua" w:hAnsi="Book Antiqua"/>
          <w:sz w:val="24"/>
          <w:szCs w:val="24"/>
        </w:rPr>
        <w:t xml:space="preserve">US is </w:t>
      </w:r>
      <w:r w:rsidR="00B0089A" w:rsidRPr="00923307">
        <w:rPr>
          <w:rFonts w:ascii="Book Antiqua" w:hAnsi="Book Antiqua"/>
          <w:sz w:val="24"/>
          <w:szCs w:val="24"/>
        </w:rPr>
        <w:t xml:space="preserve">limited in obese patients and patients with very cirrhotic heterogeneous livers. In addition, the performance of US is usually deteriorated for deep, subdiaphragmatic, multiple and treated lesions. In general, US is </w:t>
      </w:r>
      <w:r w:rsidRPr="00923307">
        <w:rPr>
          <w:rFonts w:ascii="Book Antiqua" w:hAnsi="Book Antiqua"/>
          <w:sz w:val="24"/>
          <w:szCs w:val="24"/>
        </w:rPr>
        <w:t xml:space="preserve">less accurate </w:t>
      </w:r>
      <w:r w:rsidR="00B0089A" w:rsidRPr="00923307">
        <w:rPr>
          <w:rFonts w:ascii="Book Antiqua" w:hAnsi="Book Antiqua"/>
          <w:sz w:val="24"/>
          <w:szCs w:val="24"/>
        </w:rPr>
        <w:t>for</w:t>
      </w:r>
      <w:r w:rsidRPr="00923307">
        <w:rPr>
          <w:rFonts w:ascii="Book Antiqua" w:hAnsi="Book Antiqua"/>
          <w:sz w:val="24"/>
          <w:szCs w:val="24"/>
        </w:rPr>
        <w:t xml:space="preserve"> diagnosing HCC than CT or MRI</w:t>
      </w:r>
      <w:r w:rsidR="0034053A" w:rsidRPr="00923307">
        <w:rPr>
          <w:rFonts w:ascii="Book Antiqua" w:hAnsi="Book Antiqua"/>
          <w:sz w:val="24"/>
          <w:szCs w:val="24"/>
          <w:vertAlign w:val="superscript"/>
        </w:rPr>
        <w:t>[</w:t>
      </w:r>
      <w:r w:rsidRPr="00923307">
        <w:rPr>
          <w:rFonts w:ascii="Book Antiqua" w:hAnsi="Book Antiqua"/>
          <w:sz w:val="24"/>
          <w:szCs w:val="24"/>
          <w:vertAlign w:val="superscript"/>
        </w:rPr>
        <w:t>37</w:t>
      </w:r>
      <w:r w:rsidR="00282AF6">
        <w:rPr>
          <w:rFonts w:ascii="Book Antiqua" w:hAnsi="Book Antiqua"/>
          <w:sz w:val="24"/>
          <w:szCs w:val="24"/>
          <w:vertAlign w:val="superscript"/>
        </w:rPr>
        <w:t>,</w:t>
      </w:r>
      <w:r w:rsidR="0034053A" w:rsidRPr="00923307">
        <w:rPr>
          <w:rFonts w:ascii="Book Antiqua" w:hAnsi="Book Antiqua"/>
          <w:sz w:val="24"/>
          <w:szCs w:val="24"/>
          <w:vertAlign w:val="superscript"/>
        </w:rPr>
        <w:t>48]</w:t>
      </w:r>
      <w:r w:rsidRPr="00923307">
        <w:rPr>
          <w:rFonts w:ascii="Book Antiqua" w:hAnsi="Book Antiqua"/>
          <w:sz w:val="24"/>
          <w:szCs w:val="24"/>
        </w:rPr>
        <w:t xml:space="preserve">. Therefore, US is not yet recommended as the first-line diagnostic tool for HCC </w:t>
      </w:r>
      <w:r w:rsidR="00B0089A" w:rsidRPr="00923307">
        <w:rPr>
          <w:rFonts w:ascii="Book Antiqua" w:hAnsi="Book Antiqua"/>
          <w:sz w:val="24"/>
          <w:szCs w:val="24"/>
        </w:rPr>
        <w:t>according to</w:t>
      </w:r>
      <w:r w:rsidRPr="00923307">
        <w:rPr>
          <w:rFonts w:ascii="Book Antiqua" w:hAnsi="Book Antiqua"/>
          <w:sz w:val="24"/>
          <w:szCs w:val="24"/>
        </w:rPr>
        <w:t xml:space="preserve"> current </w:t>
      </w:r>
      <w:r w:rsidRPr="00923307">
        <w:rPr>
          <w:rFonts w:ascii="Book Antiqua" w:hAnsi="Book Antiqua"/>
          <w:sz w:val="24"/>
          <w:szCs w:val="24"/>
        </w:rPr>
        <w:lastRenderedPageBreak/>
        <w:t>guidelines</w:t>
      </w:r>
      <w:r w:rsidR="0034053A" w:rsidRPr="00923307">
        <w:rPr>
          <w:rFonts w:ascii="Book Antiqua" w:hAnsi="Book Antiqua"/>
          <w:sz w:val="24"/>
          <w:szCs w:val="24"/>
          <w:vertAlign w:val="superscript"/>
        </w:rPr>
        <w:t>[</w:t>
      </w:r>
      <w:r w:rsidRPr="00923307">
        <w:rPr>
          <w:rFonts w:ascii="Book Antiqua" w:hAnsi="Book Antiqua"/>
          <w:sz w:val="24"/>
          <w:szCs w:val="24"/>
          <w:vertAlign w:val="superscript"/>
        </w:rPr>
        <w:t>7-16</w:t>
      </w:r>
      <w:r w:rsidR="0034053A" w:rsidRPr="00923307">
        <w:rPr>
          <w:rFonts w:ascii="Book Antiqua" w:hAnsi="Book Antiqua"/>
          <w:sz w:val="24"/>
          <w:szCs w:val="24"/>
          <w:vertAlign w:val="superscript"/>
        </w:rPr>
        <w:t>]</w:t>
      </w:r>
      <w:r w:rsidRPr="00923307">
        <w:rPr>
          <w:rFonts w:ascii="Book Antiqua" w:hAnsi="Book Antiqua"/>
          <w:sz w:val="24"/>
          <w:szCs w:val="24"/>
        </w:rPr>
        <w:t xml:space="preserve">. </w:t>
      </w:r>
    </w:p>
    <w:p w14:paraId="5AAD28CE" w14:textId="77777777" w:rsidR="00F758F9" w:rsidRDefault="00F758F9" w:rsidP="00327F62">
      <w:pPr>
        <w:snapToGrid w:val="0"/>
        <w:spacing w:line="360" w:lineRule="auto"/>
        <w:rPr>
          <w:rFonts w:ascii="Book Antiqua" w:hAnsi="Book Antiqua"/>
          <w:b/>
          <w:i/>
          <w:sz w:val="24"/>
          <w:szCs w:val="24"/>
        </w:rPr>
      </w:pPr>
    </w:p>
    <w:p w14:paraId="1A2392D6" w14:textId="7BECD1A9" w:rsidR="005B5EE9" w:rsidRPr="00A166B8" w:rsidRDefault="00085198" w:rsidP="00327F62">
      <w:pPr>
        <w:snapToGrid w:val="0"/>
        <w:spacing w:line="360" w:lineRule="auto"/>
        <w:rPr>
          <w:rFonts w:ascii="Book Antiqua" w:hAnsi="Book Antiqua"/>
          <w:b/>
          <w:sz w:val="24"/>
          <w:szCs w:val="24"/>
        </w:rPr>
      </w:pPr>
      <w:r w:rsidRPr="00A166B8">
        <w:rPr>
          <w:rFonts w:ascii="Book Antiqua" w:hAnsi="Book Antiqua"/>
          <w:b/>
          <w:sz w:val="24"/>
          <w:szCs w:val="24"/>
        </w:rPr>
        <w:t>CT and MRI</w:t>
      </w:r>
      <w:r w:rsidR="00A166B8">
        <w:rPr>
          <w:rFonts w:ascii="Book Antiqua" w:hAnsi="Book Antiqua" w:hint="eastAsia"/>
          <w:b/>
          <w:sz w:val="24"/>
          <w:szCs w:val="24"/>
        </w:rPr>
        <w:t xml:space="preserve">: </w:t>
      </w:r>
      <w:r w:rsidRPr="00A166B8">
        <w:rPr>
          <w:rFonts w:ascii="Book Antiqua" w:hAnsi="Book Antiqua"/>
          <w:sz w:val="24"/>
          <w:szCs w:val="24"/>
        </w:rPr>
        <w:t>Dynamic multiphasic CT and MRI</w:t>
      </w:r>
      <w:r w:rsidR="00A166B8">
        <w:rPr>
          <w:rFonts w:ascii="Book Antiqua" w:hAnsi="Book Antiqua" w:hint="eastAsia"/>
          <w:sz w:val="24"/>
          <w:szCs w:val="24"/>
        </w:rPr>
        <w:t xml:space="preserve"> </w:t>
      </w:r>
      <w:r w:rsidRPr="00923307">
        <w:rPr>
          <w:rFonts w:ascii="Book Antiqua" w:hAnsi="Book Antiqua"/>
          <w:sz w:val="24"/>
          <w:szCs w:val="24"/>
        </w:rPr>
        <w:t>are considered the first-line diagnostic modalit</w:t>
      </w:r>
      <w:r w:rsidR="00B0089A" w:rsidRPr="00923307">
        <w:rPr>
          <w:rFonts w:ascii="Book Antiqua" w:hAnsi="Book Antiqua"/>
          <w:sz w:val="24"/>
          <w:szCs w:val="24"/>
        </w:rPr>
        <w:t>ies</w:t>
      </w:r>
      <w:r w:rsidRPr="00923307">
        <w:rPr>
          <w:rFonts w:ascii="Book Antiqua" w:hAnsi="Book Antiqua"/>
          <w:sz w:val="24"/>
          <w:szCs w:val="24"/>
        </w:rPr>
        <w:t xml:space="preserve"> for HCC</w:t>
      </w:r>
      <w:r w:rsidR="0034053A" w:rsidRPr="00923307">
        <w:rPr>
          <w:rFonts w:ascii="Book Antiqua" w:hAnsi="Book Antiqua"/>
          <w:sz w:val="24"/>
          <w:szCs w:val="24"/>
          <w:vertAlign w:val="superscript"/>
        </w:rPr>
        <w:t>[</w:t>
      </w:r>
      <w:r w:rsidRPr="00923307">
        <w:rPr>
          <w:rFonts w:ascii="Book Antiqua" w:hAnsi="Book Antiqua"/>
          <w:sz w:val="24"/>
          <w:szCs w:val="24"/>
          <w:vertAlign w:val="superscript"/>
        </w:rPr>
        <w:t>7-16</w:t>
      </w:r>
      <w:r w:rsidR="0034053A" w:rsidRPr="00923307">
        <w:rPr>
          <w:rFonts w:ascii="Book Antiqua" w:hAnsi="Book Antiqua"/>
          <w:sz w:val="24"/>
          <w:szCs w:val="24"/>
          <w:vertAlign w:val="superscript"/>
        </w:rPr>
        <w:t>]</w:t>
      </w:r>
      <w:r w:rsidRPr="00923307">
        <w:rPr>
          <w:rFonts w:ascii="Book Antiqua" w:hAnsi="Book Antiqua"/>
          <w:sz w:val="24"/>
          <w:szCs w:val="24"/>
        </w:rPr>
        <w:t>. Characteristic imaging features of HCC include hyperenhancement in the hepatic arterial phase and wash-out appearance in the portal venous and/or delayed phases relative to the background liver</w:t>
      </w:r>
      <w:r w:rsidR="0034053A" w:rsidRPr="00923307">
        <w:rPr>
          <w:rFonts w:ascii="Book Antiqua" w:hAnsi="Book Antiqua"/>
          <w:sz w:val="24"/>
          <w:szCs w:val="24"/>
          <w:vertAlign w:val="superscript"/>
        </w:rPr>
        <w:t>[</w:t>
      </w:r>
      <w:r w:rsidRPr="00923307">
        <w:rPr>
          <w:rFonts w:ascii="Book Antiqua" w:hAnsi="Book Antiqua"/>
          <w:sz w:val="24"/>
          <w:szCs w:val="24"/>
          <w:vertAlign w:val="superscript"/>
        </w:rPr>
        <w:t>7-16</w:t>
      </w:r>
      <w:r w:rsidR="0034053A" w:rsidRPr="00923307">
        <w:rPr>
          <w:rFonts w:ascii="Book Antiqua" w:hAnsi="Book Antiqua"/>
          <w:sz w:val="24"/>
          <w:szCs w:val="24"/>
          <w:vertAlign w:val="superscript"/>
        </w:rPr>
        <w:t>]</w:t>
      </w:r>
      <w:r w:rsidR="008E1177" w:rsidRPr="00923307">
        <w:rPr>
          <w:rFonts w:ascii="Book Antiqua" w:hAnsi="Book Antiqua"/>
          <w:sz w:val="24"/>
          <w:szCs w:val="24"/>
        </w:rPr>
        <w:t xml:space="preserve"> (Figure</w:t>
      </w:r>
      <w:r w:rsidR="00282AF6">
        <w:rPr>
          <w:rFonts w:ascii="Book Antiqua" w:hAnsi="Book Antiqua" w:hint="eastAsia"/>
          <w:sz w:val="24"/>
          <w:szCs w:val="24"/>
        </w:rPr>
        <w:t>s</w:t>
      </w:r>
      <w:r w:rsidR="00282AF6">
        <w:rPr>
          <w:rFonts w:ascii="Book Antiqua" w:hAnsi="Book Antiqua"/>
          <w:sz w:val="24"/>
          <w:szCs w:val="24"/>
        </w:rPr>
        <w:t xml:space="preserve"> 1</w:t>
      </w:r>
      <w:r w:rsidR="00282AF6">
        <w:rPr>
          <w:rFonts w:ascii="Book Antiqua" w:hAnsi="Book Antiqua" w:hint="eastAsia"/>
          <w:sz w:val="24"/>
          <w:szCs w:val="24"/>
        </w:rPr>
        <w:t xml:space="preserve"> and </w:t>
      </w:r>
      <w:r w:rsidR="0088310E" w:rsidRPr="00923307">
        <w:rPr>
          <w:rFonts w:ascii="Book Antiqua" w:hAnsi="Book Antiqua"/>
          <w:sz w:val="24"/>
          <w:szCs w:val="24"/>
        </w:rPr>
        <w:t>2</w:t>
      </w:r>
      <w:r w:rsidR="008E1177" w:rsidRPr="00923307">
        <w:rPr>
          <w:rFonts w:ascii="Book Antiqua" w:hAnsi="Book Antiqua"/>
          <w:sz w:val="24"/>
          <w:szCs w:val="24"/>
        </w:rPr>
        <w:t>)</w:t>
      </w:r>
      <w:r w:rsidRPr="00923307">
        <w:rPr>
          <w:rFonts w:ascii="Book Antiqua" w:hAnsi="Book Antiqua"/>
          <w:sz w:val="24"/>
          <w:szCs w:val="24"/>
        </w:rPr>
        <w:t xml:space="preserve">. Upon visualization of the </w:t>
      </w:r>
      <w:r w:rsidR="00B0089A" w:rsidRPr="00923307">
        <w:rPr>
          <w:rFonts w:ascii="Book Antiqua" w:hAnsi="Book Antiqua"/>
          <w:sz w:val="24"/>
          <w:szCs w:val="24"/>
        </w:rPr>
        <w:t xml:space="preserve">above-mentioned </w:t>
      </w:r>
      <w:r w:rsidRPr="00923307">
        <w:rPr>
          <w:rFonts w:ascii="Book Antiqua" w:hAnsi="Book Antiqua"/>
          <w:sz w:val="24"/>
          <w:szCs w:val="24"/>
        </w:rPr>
        <w:t>imaging features, diagnosis of HCC can be established without further histopathologic confirmation. According to recent meta-analyses</w:t>
      </w:r>
      <w:r w:rsidR="0034053A" w:rsidRPr="00923307">
        <w:rPr>
          <w:rFonts w:ascii="Book Antiqua" w:hAnsi="Book Antiqua"/>
          <w:sz w:val="24"/>
          <w:szCs w:val="24"/>
          <w:vertAlign w:val="superscript"/>
        </w:rPr>
        <w:t>[3</w:t>
      </w:r>
      <w:r w:rsidR="00282AF6">
        <w:rPr>
          <w:rFonts w:ascii="Book Antiqua" w:hAnsi="Book Antiqua"/>
          <w:sz w:val="24"/>
          <w:szCs w:val="24"/>
          <w:vertAlign w:val="superscript"/>
        </w:rPr>
        <w:t>4,37,</w:t>
      </w:r>
      <w:r w:rsidR="0034053A" w:rsidRPr="00923307">
        <w:rPr>
          <w:rFonts w:ascii="Book Antiqua" w:hAnsi="Book Antiqua"/>
          <w:sz w:val="24"/>
          <w:szCs w:val="24"/>
          <w:vertAlign w:val="superscript"/>
        </w:rPr>
        <w:t>49-51]</w:t>
      </w:r>
      <w:r w:rsidRPr="00923307">
        <w:rPr>
          <w:rFonts w:ascii="Book Antiqua" w:hAnsi="Book Antiqua"/>
          <w:sz w:val="24"/>
          <w:szCs w:val="24"/>
        </w:rPr>
        <w:t>, the sensitivities of dynamic CT and of MRI were 63%-76% and 77%-90%,</w:t>
      </w:r>
      <w:r w:rsidR="00B0089A" w:rsidRPr="00923307">
        <w:rPr>
          <w:rFonts w:ascii="Book Antiqua" w:hAnsi="Book Antiqua"/>
          <w:sz w:val="24"/>
          <w:szCs w:val="24"/>
        </w:rPr>
        <w:t xml:space="preserve"> respectively,</w:t>
      </w:r>
      <w:r w:rsidRPr="00923307">
        <w:rPr>
          <w:rFonts w:ascii="Book Antiqua" w:hAnsi="Book Antiqua"/>
          <w:sz w:val="24"/>
          <w:szCs w:val="24"/>
        </w:rPr>
        <w:t xml:space="preserve"> and specificities were 87%-98% and 84%-97%, respectively. </w:t>
      </w:r>
      <w:r w:rsidR="00B0089A" w:rsidRPr="00923307">
        <w:rPr>
          <w:rFonts w:ascii="Book Antiqua" w:hAnsi="Book Antiqua"/>
          <w:sz w:val="24"/>
          <w:szCs w:val="24"/>
        </w:rPr>
        <w:t>Recently, s</w:t>
      </w:r>
      <w:r w:rsidRPr="00923307">
        <w:rPr>
          <w:rFonts w:ascii="Book Antiqua" w:hAnsi="Book Antiqua"/>
          <w:sz w:val="24"/>
          <w:szCs w:val="24"/>
        </w:rPr>
        <w:t xml:space="preserve">everal functional MR imaging techniques have been developed to improve the noninvasive evaluation of HCC. Among them, the most significant techniques are DWI and hepatobiliary contrast agents. </w:t>
      </w:r>
    </w:p>
    <w:p w14:paraId="61C4EACA" w14:textId="251AAB74" w:rsidR="005B5EE9" w:rsidRPr="00923307" w:rsidRDefault="00085198" w:rsidP="008B2FDB">
      <w:pPr>
        <w:snapToGrid w:val="0"/>
        <w:spacing w:line="360" w:lineRule="auto"/>
        <w:ind w:firstLineChars="100" w:firstLine="240"/>
        <w:rPr>
          <w:rFonts w:ascii="Book Antiqua" w:hAnsi="Book Antiqua"/>
          <w:sz w:val="24"/>
          <w:szCs w:val="24"/>
        </w:rPr>
      </w:pPr>
      <w:r w:rsidRPr="008B2FDB">
        <w:rPr>
          <w:rFonts w:ascii="Book Antiqua" w:hAnsi="Book Antiqua"/>
          <w:sz w:val="24"/>
          <w:szCs w:val="24"/>
        </w:rPr>
        <w:t>DWI</w:t>
      </w:r>
      <w:r w:rsidR="008B2FDB" w:rsidRPr="008B2FDB">
        <w:rPr>
          <w:rFonts w:ascii="Book Antiqua" w:hAnsi="Book Antiqua" w:hint="eastAsia"/>
          <w:sz w:val="24"/>
          <w:szCs w:val="24"/>
        </w:rPr>
        <w:t xml:space="preserve"> </w:t>
      </w:r>
      <w:r w:rsidRPr="00923307">
        <w:rPr>
          <w:rFonts w:ascii="Book Antiqua" w:hAnsi="Book Antiqua"/>
          <w:sz w:val="24"/>
          <w:szCs w:val="24"/>
        </w:rPr>
        <w:t>is a functional MRI technique that allows quantitative measurements of proton diffusion in tissues</w:t>
      </w:r>
      <w:r w:rsidR="0034053A" w:rsidRPr="00923307">
        <w:rPr>
          <w:rFonts w:ascii="Book Antiqua" w:hAnsi="Book Antiqua"/>
          <w:sz w:val="24"/>
          <w:szCs w:val="24"/>
          <w:vertAlign w:val="superscript"/>
        </w:rPr>
        <w:t>[52]</w:t>
      </w:r>
      <w:r w:rsidRPr="00923307">
        <w:rPr>
          <w:rFonts w:ascii="Book Antiqua" w:hAnsi="Book Antiqua"/>
          <w:sz w:val="24"/>
          <w:szCs w:val="24"/>
        </w:rPr>
        <w:t xml:space="preserve">. HCC and other malignancies are usually characterized </w:t>
      </w:r>
      <w:r w:rsidR="00B0089A" w:rsidRPr="00923307">
        <w:rPr>
          <w:rFonts w:ascii="Book Antiqua" w:hAnsi="Book Antiqua"/>
          <w:sz w:val="24"/>
          <w:szCs w:val="24"/>
        </w:rPr>
        <w:t>by</w:t>
      </w:r>
      <w:r w:rsidRPr="00923307">
        <w:rPr>
          <w:rFonts w:ascii="Book Antiqua" w:hAnsi="Book Antiqua"/>
          <w:sz w:val="24"/>
          <w:szCs w:val="24"/>
        </w:rPr>
        <w:t xml:space="preserve"> increased cellularity and thus </w:t>
      </w:r>
      <w:r w:rsidR="00B0089A" w:rsidRPr="00923307">
        <w:rPr>
          <w:rFonts w:ascii="Book Antiqua" w:hAnsi="Book Antiqua"/>
          <w:sz w:val="24"/>
          <w:szCs w:val="24"/>
        </w:rPr>
        <w:t xml:space="preserve">have </w:t>
      </w:r>
      <w:r w:rsidRPr="00923307">
        <w:rPr>
          <w:rFonts w:ascii="Book Antiqua" w:hAnsi="Book Antiqua"/>
          <w:sz w:val="24"/>
          <w:szCs w:val="24"/>
        </w:rPr>
        <w:t>restricted water proton diffusion</w:t>
      </w:r>
      <w:r w:rsidR="00183C84">
        <w:rPr>
          <w:rFonts w:ascii="Book Antiqua" w:hAnsi="Book Antiqua"/>
          <w:sz w:val="24"/>
          <w:szCs w:val="24"/>
          <w:vertAlign w:val="superscript"/>
        </w:rPr>
        <w:t>[52,</w:t>
      </w:r>
      <w:r w:rsidR="008E1177" w:rsidRPr="00923307">
        <w:rPr>
          <w:rFonts w:ascii="Book Antiqua" w:hAnsi="Book Antiqua"/>
          <w:sz w:val="24"/>
          <w:szCs w:val="24"/>
          <w:vertAlign w:val="superscript"/>
        </w:rPr>
        <w:t>53]</w:t>
      </w:r>
      <w:r w:rsidRPr="00923307">
        <w:rPr>
          <w:rFonts w:ascii="Book Antiqua" w:hAnsi="Book Antiqua"/>
          <w:sz w:val="24"/>
          <w:szCs w:val="24"/>
        </w:rPr>
        <w:t>. Therefore, most HCCs are observed as a hyperintense lesion on high b value DWI with low a</w:t>
      </w:r>
      <w:bookmarkStart w:id="87" w:name="_Hlk508806587"/>
      <w:r w:rsidRPr="00923307">
        <w:rPr>
          <w:rFonts w:ascii="Book Antiqua" w:hAnsi="Book Antiqua"/>
          <w:sz w:val="24"/>
          <w:szCs w:val="24"/>
        </w:rPr>
        <w:t>pparent diffusion coefficient</w:t>
      </w:r>
      <w:bookmarkEnd w:id="87"/>
      <w:r w:rsidRPr="00923307">
        <w:rPr>
          <w:rFonts w:ascii="Book Antiqua" w:hAnsi="Book Antiqua"/>
          <w:sz w:val="24"/>
          <w:szCs w:val="24"/>
        </w:rPr>
        <w:t xml:space="preserve"> (</w:t>
      </w:r>
      <w:bookmarkStart w:id="88" w:name="_Hlk508806580"/>
      <w:r w:rsidRPr="00923307">
        <w:rPr>
          <w:rFonts w:ascii="Book Antiqua" w:hAnsi="Book Antiqua"/>
          <w:sz w:val="24"/>
          <w:szCs w:val="24"/>
        </w:rPr>
        <w:t>ADC</w:t>
      </w:r>
      <w:bookmarkEnd w:id="88"/>
      <w:r w:rsidRPr="00923307">
        <w:rPr>
          <w:rFonts w:ascii="Book Antiqua" w:hAnsi="Book Antiqua"/>
          <w:sz w:val="24"/>
          <w:szCs w:val="24"/>
        </w:rPr>
        <w:t xml:space="preserve">) value on quantitative maps compared with background liver. </w:t>
      </w:r>
      <w:bookmarkStart w:id="89" w:name="_Hlk508806599"/>
      <w:r w:rsidRPr="00923307">
        <w:rPr>
          <w:rFonts w:ascii="Book Antiqua" w:hAnsi="Book Antiqua"/>
          <w:sz w:val="24"/>
          <w:szCs w:val="24"/>
        </w:rPr>
        <w:t>Intravoxel incoherent motion</w:t>
      </w:r>
      <w:bookmarkEnd w:id="89"/>
      <w:r w:rsidRPr="00923307">
        <w:rPr>
          <w:rFonts w:ascii="Book Antiqua" w:hAnsi="Book Antiqua"/>
          <w:sz w:val="24"/>
          <w:szCs w:val="24"/>
        </w:rPr>
        <w:t>(IVIM)</w:t>
      </w:r>
      <w:r w:rsidR="00B0089A" w:rsidRPr="00923307">
        <w:rPr>
          <w:rFonts w:ascii="Book Antiqua" w:hAnsi="Book Antiqua"/>
          <w:sz w:val="24"/>
          <w:szCs w:val="24"/>
        </w:rPr>
        <w:t xml:space="preserve"> is a recently developed DWI</w:t>
      </w:r>
      <w:r w:rsidRPr="00923307">
        <w:rPr>
          <w:rFonts w:ascii="Book Antiqua" w:hAnsi="Book Antiqua"/>
          <w:sz w:val="24"/>
          <w:szCs w:val="24"/>
        </w:rPr>
        <w:t>-derived approach</w:t>
      </w:r>
      <w:r w:rsidR="00B0089A" w:rsidRPr="00923307">
        <w:rPr>
          <w:rFonts w:ascii="Book Antiqua" w:hAnsi="Book Antiqua"/>
          <w:sz w:val="24"/>
          <w:szCs w:val="24"/>
        </w:rPr>
        <w:t>. IVIM</w:t>
      </w:r>
      <w:r w:rsidRPr="00923307">
        <w:rPr>
          <w:rFonts w:ascii="Book Antiqua" w:hAnsi="Book Antiqua"/>
          <w:sz w:val="24"/>
          <w:szCs w:val="24"/>
        </w:rPr>
        <w:t xml:space="preserve"> can separate the effect</w:t>
      </w:r>
      <w:r w:rsidR="00B0089A" w:rsidRPr="00923307">
        <w:rPr>
          <w:rFonts w:ascii="Book Antiqua" w:hAnsi="Book Antiqua"/>
          <w:sz w:val="24"/>
          <w:szCs w:val="24"/>
        </w:rPr>
        <w:t>s</w:t>
      </w:r>
      <w:r w:rsidRPr="00923307">
        <w:rPr>
          <w:rFonts w:ascii="Book Antiqua" w:hAnsi="Book Antiqua"/>
          <w:sz w:val="24"/>
          <w:szCs w:val="24"/>
        </w:rPr>
        <w:t xml:space="preserve"> of perfusion-related diffusion from pure molecular diffusion</w:t>
      </w:r>
      <w:r w:rsidR="008E1177" w:rsidRPr="00923307">
        <w:rPr>
          <w:rFonts w:ascii="Book Antiqua" w:hAnsi="Book Antiqua"/>
          <w:sz w:val="24"/>
          <w:szCs w:val="24"/>
          <w:vertAlign w:val="superscript"/>
        </w:rPr>
        <w:t>[53]</w:t>
      </w:r>
      <w:r w:rsidRPr="00923307">
        <w:rPr>
          <w:rFonts w:ascii="Book Antiqua" w:hAnsi="Book Antiqua"/>
          <w:sz w:val="24"/>
          <w:szCs w:val="24"/>
        </w:rPr>
        <w:t xml:space="preserve">. DWI and IVIM enable improved </w:t>
      </w:r>
      <w:r w:rsidR="00B0089A" w:rsidRPr="00923307">
        <w:rPr>
          <w:rFonts w:ascii="Book Antiqua" w:hAnsi="Book Antiqua"/>
          <w:sz w:val="24"/>
          <w:szCs w:val="24"/>
        </w:rPr>
        <w:t xml:space="preserve">detection of </w:t>
      </w:r>
      <w:r w:rsidRPr="00923307">
        <w:rPr>
          <w:rFonts w:ascii="Book Antiqua" w:hAnsi="Book Antiqua"/>
          <w:sz w:val="24"/>
          <w:szCs w:val="24"/>
        </w:rPr>
        <w:t xml:space="preserve">HCC and better </w:t>
      </w:r>
      <w:r w:rsidR="00B0089A" w:rsidRPr="00923307">
        <w:rPr>
          <w:rFonts w:ascii="Book Antiqua" w:hAnsi="Book Antiqua"/>
          <w:sz w:val="24"/>
          <w:szCs w:val="24"/>
        </w:rPr>
        <w:t xml:space="preserve">characterization of </w:t>
      </w:r>
      <w:r w:rsidRPr="00923307">
        <w:rPr>
          <w:rFonts w:ascii="Book Antiqua" w:hAnsi="Book Antiqua"/>
          <w:sz w:val="24"/>
          <w:szCs w:val="24"/>
        </w:rPr>
        <w:t>small lesion</w:t>
      </w:r>
      <w:r w:rsidR="00B0089A" w:rsidRPr="00923307">
        <w:rPr>
          <w:rFonts w:ascii="Book Antiqua" w:hAnsi="Book Antiqua"/>
          <w:sz w:val="24"/>
          <w:szCs w:val="24"/>
        </w:rPr>
        <w:t>s</w:t>
      </w:r>
      <w:r w:rsidR="00E5064C" w:rsidRPr="00923307">
        <w:rPr>
          <w:rFonts w:ascii="Book Antiqua" w:hAnsi="Book Antiqua"/>
          <w:sz w:val="24"/>
          <w:szCs w:val="24"/>
          <w:vertAlign w:val="superscript"/>
        </w:rPr>
        <w:t>[</w:t>
      </w:r>
      <w:r w:rsidR="00282AF6">
        <w:rPr>
          <w:rFonts w:ascii="Book Antiqua" w:hAnsi="Book Antiqua"/>
          <w:sz w:val="24"/>
          <w:szCs w:val="24"/>
          <w:vertAlign w:val="superscript"/>
        </w:rPr>
        <w:t>51,54,</w:t>
      </w:r>
      <w:r w:rsidR="0034053A" w:rsidRPr="00923307">
        <w:rPr>
          <w:rFonts w:ascii="Book Antiqua" w:hAnsi="Book Antiqua"/>
          <w:sz w:val="24"/>
          <w:szCs w:val="24"/>
          <w:vertAlign w:val="superscript"/>
        </w:rPr>
        <w:t>55]</w:t>
      </w:r>
      <w:r w:rsidRPr="00923307">
        <w:rPr>
          <w:rFonts w:ascii="Book Antiqua" w:hAnsi="Book Antiqua"/>
          <w:sz w:val="24"/>
          <w:szCs w:val="24"/>
        </w:rPr>
        <w:t xml:space="preserve">. Therefore, “restricted diffusion” on DWI </w:t>
      </w:r>
      <w:r w:rsidR="00B0089A" w:rsidRPr="00923307">
        <w:rPr>
          <w:rFonts w:ascii="Book Antiqua" w:hAnsi="Book Antiqua"/>
          <w:sz w:val="24"/>
          <w:szCs w:val="24"/>
        </w:rPr>
        <w:t>has been</w:t>
      </w:r>
      <w:r w:rsidRPr="00923307">
        <w:rPr>
          <w:rFonts w:ascii="Book Antiqua" w:hAnsi="Book Antiqua"/>
          <w:sz w:val="24"/>
          <w:szCs w:val="24"/>
        </w:rPr>
        <w:t xml:space="preserve"> incorporated in the </w:t>
      </w:r>
      <w:bookmarkStart w:id="90" w:name="_Hlk508806615"/>
      <w:r w:rsidRPr="00923307">
        <w:rPr>
          <w:rFonts w:ascii="Book Antiqua" w:hAnsi="Book Antiqua"/>
          <w:sz w:val="24"/>
          <w:szCs w:val="24"/>
        </w:rPr>
        <w:t>Liver Imaging Reporting and Data System</w:t>
      </w:r>
      <w:bookmarkEnd w:id="90"/>
      <w:r w:rsidRPr="00923307">
        <w:rPr>
          <w:rFonts w:ascii="Book Antiqua" w:hAnsi="Book Antiqua"/>
          <w:sz w:val="24"/>
          <w:szCs w:val="24"/>
        </w:rPr>
        <w:t>(LI-RADS) endorsed by</w:t>
      </w:r>
      <w:bookmarkStart w:id="91" w:name="_Hlk508806625"/>
      <w:r w:rsidRPr="00923307">
        <w:rPr>
          <w:rFonts w:ascii="Book Antiqua" w:hAnsi="Book Antiqua"/>
          <w:sz w:val="24"/>
          <w:szCs w:val="24"/>
        </w:rPr>
        <w:t xml:space="preserve"> </w:t>
      </w:r>
      <w:r w:rsidR="00B0089A" w:rsidRPr="00923307">
        <w:rPr>
          <w:rFonts w:ascii="Book Antiqua" w:hAnsi="Book Antiqua"/>
          <w:sz w:val="24"/>
          <w:szCs w:val="24"/>
        </w:rPr>
        <w:t xml:space="preserve">the </w:t>
      </w:r>
      <w:r w:rsidRPr="00923307">
        <w:rPr>
          <w:rFonts w:ascii="Book Antiqua" w:hAnsi="Book Antiqua"/>
          <w:sz w:val="24"/>
          <w:szCs w:val="24"/>
        </w:rPr>
        <w:t>American College of Radiology</w:t>
      </w:r>
      <w:bookmarkEnd w:id="91"/>
      <w:r w:rsidRPr="00923307">
        <w:rPr>
          <w:rFonts w:ascii="Book Antiqua" w:hAnsi="Book Antiqua"/>
          <w:sz w:val="24"/>
          <w:szCs w:val="24"/>
        </w:rPr>
        <w:t xml:space="preserve"> (ACR) as an ancillary imaging feature </w:t>
      </w:r>
      <w:r w:rsidR="00BD58E1" w:rsidRPr="00923307">
        <w:rPr>
          <w:rFonts w:ascii="Book Antiqua" w:hAnsi="Book Antiqua"/>
          <w:sz w:val="24"/>
          <w:szCs w:val="24"/>
        </w:rPr>
        <w:t xml:space="preserve">that </w:t>
      </w:r>
      <w:r w:rsidRPr="00923307">
        <w:rPr>
          <w:rFonts w:ascii="Book Antiqua" w:hAnsi="Book Antiqua"/>
          <w:sz w:val="24"/>
          <w:szCs w:val="24"/>
        </w:rPr>
        <w:t>favor</w:t>
      </w:r>
      <w:r w:rsidR="00BD58E1" w:rsidRPr="00923307">
        <w:rPr>
          <w:rFonts w:ascii="Book Antiqua" w:hAnsi="Book Antiqua"/>
          <w:sz w:val="24"/>
          <w:szCs w:val="24"/>
        </w:rPr>
        <w:t>s</w:t>
      </w:r>
      <w:r w:rsidRPr="00923307">
        <w:rPr>
          <w:rFonts w:ascii="Book Antiqua" w:hAnsi="Book Antiqua"/>
          <w:sz w:val="24"/>
          <w:szCs w:val="24"/>
        </w:rPr>
        <w:t xml:space="preserve"> malignancies</w:t>
      </w:r>
      <w:r w:rsidR="0034053A" w:rsidRPr="00923307">
        <w:rPr>
          <w:rFonts w:ascii="Book Antiqua" w:hAnsi="Book Antiqua"/>
          <w:sz w:val="24"/>
          <w:szCs w:val="24"/>
          <w:vertAlign w:val="superscript"/>
        </w:rPr>
        <w:t>[9]</w:t>
      </w:r>
      <w:r w:rsidRPr="00923307">
        <w:rPr>
          <w:rFonts w:ascii="Book Antiqua" w:hAnsi="Book Antiqua"/>
          <w:sz w:val="24"/>
          <w:szCs w:val="24"/>
        </w:rPr>
        <w:t xml:space="preserve">. Moreover, both ADC and IVIM-derived parameters </w:t>
      </w:r>
      <w:r w:rsidR="00BD58E1" w:rsidRPr="00923307">
        <w:rPr>
          <w:rFonts w:ascii="Book Antiqua" w:hAnsi="Book Antiqua"/>
          <w:sz w:val="24"/>
          <w:szCs w:val="24"/>
        </w:rPr>
        <w:t>are</w:t>
      </w:r>
      <w:r w:rsidRPr="00923307">
        <w:rPr>
          <w:rFonts w:ascii="Book Antiqua" w:hAnsi="Book Antiqua"/>
          <w:sz w:val="24"/>
          <w:szCs w:val="24"/>
        </w:rPr>
        <w:t xml:space="preserve"> significantly correlated with HCC histologic grade</w:t>
      </w:r>
      <w:r w:rsidR="0034053A" w:rsidRPr="00923307">
        <w:rPr>
          <w:rFonts w:ascii="Book Antiqua" w:hAnsi="Book Antiqua"/>
          <w:sz w:val="24"/>
          <w:szCs w:val="24"/>
          <w:vertAlign w:val="superscript"/>
        </w:rPr>
        <w:t>[56-59]</w:t>
      </w:r>
      <w:r w:rsidRPr="00923307">
        <w:rPr>
          <w:rFonts w:ascii="Book Antiqua" w:hAnsi="Book Antiqua"/>
          <w:sz w:val="24"/>
          <w:szCs w:val="24"/>
        </w:rPr>
        <w:t>.</w:t>
      </w:r>
    </w:p>
    <w:p w14:paraId="5A70396C" w14:textId="5083F772" w:rsidR="005B5EE9" w:rsidRPr="00923307" w:rsidRDefault="00085198" w:rsidP="00327F62">
      <w:pPr>
        <w:snapToGrid w:val="0"/>
        <w:spacing w:line="360" w:lineRule="auto"/>
        <w:ind w:firstLine="420"/>
        <w:rPr>
          <w:rFonts w:ascii="Book Antiqua" w:hAnsi="Book Antiqua"/>
          <w:sz w:val="24"/>
          <w:szCs w:val="24"/>
        </w:rPr>
      </w:pPr>
      <w:r w:rsidRPr="00923307">
        <w:rPr>
          <w:rFonts w:ascii="Book Antiqua" w:hAnsi="Book Antiqua"/>
          <w:sz w:val="24"/>
          <w:szCs w:val="24"/>
        </w:rPr>
        <w:t xml:space="preserve">However, DWI and DWI-based techniques have several limitations. First, the performance of DWI for diagnosing HCC may be degraded due to </w:t>
      </w:r>
      <w:r w:rsidRPr="00923307">
        <w:rPr>
          <w:rFonts w:ascii="Book Antiqua" w:hAnsi="Book Antiqua"/>
          <w:sz w:val="24"/>
          <w:szCs w:val="24"/>
        </w:rPr>
        <w:lastRenderedPageBreak/>
        <w:t xml:space="preserve">unstandardized DWI techniques and imaging protocols, including the determination of optimal b values and breathing techniques (respiratory-triggered, free-breathing, breath-hold, respiratory-cardiac triggering, </w:t>
      </w:r>
      <w:r w:rsidRPr="00282AF6">
        <w:rPr>
          <w:rFonts w:ascii="Book Antiqua" w:hAnsi="Book Antiqua"/>
          <w:i/>
          <w:sz w:val="24"/>
          <w:szCs w:val="24"/>
        </w:rPr>
        <w:t>etc</w:t>
      </w:r>
      <w:r w:rsidRPr="00923307">
        <w:rPr>
          <w:rFonts w:ascii="Book Antiqua" w:hAnsi="Book Antiqua"/>
          <w:sz w:val="24"/>
          <w:szCs w:val="24"/>
        </w:rPr>
        <w:t xml:space="preserve">.) across different modalities and medical centers. Therefore, universal thresholds </w:t>
      </w:r>
      <w:r w:rsidR="00BD58E1" w:rsidRPr="00923307">
        <w:rPr>
          <w:rFonts w:ascii="Book Antiqua" w:hAnsi="Book Antiqua"/>
          <w:sz w:val="24"/>
          <w:szCs w:val="24"/>
        </w:rPr>
        <w:t>for</w:t>
      </w:r>
      <w:r w:rsidRPr="00923307">
        <w:rPr>
          <w:rFonts w:ascii="Book Antiqua" w:hAnsi="Book Antiqua"/>
          <w:sz w:val="24"/>
          <w:szCs w:val="24"/>
        </w:rPr>
        <w:t xml:space="preserve"> ADC and other quantitative parameters may not be acquirable. Second, DWI is sensitive to motion artifact</w:t>
      </w:r>
      <w:r w:rsidR="00BD58E1" w:rsidRPr="00923307">
        <w:rPr>
          <w:rFonts w:ascii="Book Antiqua" w:hAnsi="Book Antiqua"/>
          <w:sz w:val="24"/>
          <w:szCs w:val="24"/>
        </w:rPr>
        <w:t>;</w:t>
      </w:r>
      <w:r w:rsidRPr="00923307">
        <w:rPr>
          <w:rFonts w:ascii="Book Antiqua" w:hAnsi="Book Antiqua"/>
          <w:sz w:val="24"/>
          <w:szCs w:val="24"/>
        </w:rPr>
        <w:t xml:space="preserve"> </w:t>
      </w:r>
      <w:r w:rsidR="00BD58E1" w:rsidRPr="00923307">
        <w:rPr>
          <w:rFonts w:ascii="Book Antiqua" w:hAnsi="Book Antiqua"/>
          <w:sz w:val="24"/>
          <w:szCs w:val="24"/>
        </w:rPr>
        <w:t>thus,</w:t>
      </w:r>
      <w:r w:rsidRPr="00923307">
        <w:rPr>
          <w:rFonts w:ascii="Book Antiqua" w:hAnsi="Book Antiqua"/>
          <w:sz w:val="24"/>
          <w:szCs w:val="24"/>
        </w:rPr>
        <w:t xml:space="preserve"> detection and characterization of HCC can be </w:t>
      </w:r>
      <w:r w:rsidR="00BD58E1" w:rsidRPr="00923307">
        <w:rPr>
          <w:rFonts w:ascii="Book Antiqua" w:hAnsi="Book Antiqua"/>
          <w:sz w:val="24"/>
          <w:szCs w:val="24"/>
        </w:rPr>
        <w:t>greatly</w:t>
      </w:r>
      <w:r w:rsidRPr="00923307">
        <w:rPr>
          <w:rFonts w:ascii="Book Antiqua" w:hAnsi="Book Antiqua"/>
          <w:sz w:val="24"/>
          <w:szCs w:val="24"/>
        </w:rPr>
        <w:t xml:space="preserve"> affected in the presence of motion artifact</w:t>
      </w:r>
      <w:r w:rsidR="00BD58E1" w:rsidRPr="00923307">
        <w:rPr>
          <w:rFonts w:ascii="Book Antiqua" w:hAnsi="Book Antiqua"/>
          <w:sz w:val="24"/>
          <w:szCs w:val="24"/>
        </w:rPr>
        <w:t>s</w:t>
      </w:r>
      <w:r w:rsidR="0034053A" w:rsidRPr="00923307">
        <w:rPr>
          <w:rFonts w:ascii="Book Antiqua" w:hAnsi="Book Antiqua"/>
          <w:sz w:val="24"/>
          <w:szCs w:val="24"/>
          <w:vertAlign w:val="superscript"/>
        </w:rPr>
        <w:t>[60]</w:t>
      </w:r>
      <w:r w:rsidRPr="00923307">
        <w:rPr>
          <w:rFonts w:ascii="Book Antiqua" w:hAnsi="Book Antiqua"/>
          <w:sz w:val="24"/>
          <w:szCs w:val="24"/>
        </w:rPr>
        <w:t>. Most importantly, DWI demonstrates restricted specificity for HCC, because many lesions, including hemangioma and other non-HCC malignancies can show restricted diffusion on DWI</w:t>
      </w:r>
      <w:r w:rsidR="00282AF6">
        <w:rPr>
          <w:rFonts w:ascii="Book Antiqua" w:hAnsi="Book Antiqua"/>
          <w:sz w:val="24"/>
          <w:szCs w:val="24"/>
          <w:vertAlign w:val="superscript"/>
        </w:rPr>
        <w:t>[61,</w:t>
      </w:r>
      <w:r w:rsidR="0034053A" w:rsidRPr="00923307">
        <w:rPr>
          <w:rFonts w:ascii="Book Antiqua" w:hAnsi="Book Antiqua"/>
          <w:sz w:val="24"/>
          <w:szCs w:val="24"/>
          <w:vertAlign w:val="superscript"/>
        </w:rPr>
        <w:t>62]</w:t>
      </w:r>
      <w:r w:rsidRPr="00923307">
        <w:rPr>
          <w:rFonts w:ascii="Book Antiqua" w:hAnsi="Book Antiqua"/>
          <w:sz w:val="24"/>
          <w:szCs w:val="24"/>
        </w:rPr>
        <w:t>. Therefore, diffusion-weighted images should be interpreted with images from other sequences with caution.</w:t>
      </w:r>
    </w:p>
    <w:p w14:paraId="1E57CF9C" w14:textId="5E24E134" w:rsidR="005B5EE9" w:rsidRPr="00923307" w:rsidRDefault="00085198" w:rsidP="00C06F68">
      <w:pPr>
        <w:snapToGrid w:val="0"/>
        <w:spacing w:line="360" w:lineRule="auto"/>
        <w:ind w:firstLineChars="100" w:firstLine="240"/>
        <w:rPr>
          <w:rFonts w:ascii="Book Antiqua" w:hAnsi="Book Antiqua"/>
          <w:sz w:val="24"/>
          <w:szCs w:val="24"/>
        </w:rPr>
      </w:pPr>
      <w:r w:rsidRPr="00C06F68">
        <w:rPr>
          <w:rFonts w:ascii="Book Antiqua" w:hAnsi="Book Antiqua"/>
          <w:sz w:val="24"/>
          <w:szCs w:val="24"/>
        </w:rPr>
        <w:t>Hepatobiliary contrast agents</w:t>
      </w:r>
      <w:r w:rsidR="00C06F68" w:rsidRPr="00C06F68">
        <w:rPr>
          <w:rFonts w:ascii="Book Antiqua" w:hAnsi="Book Antiqua" w:hint="eastAsia"/>
          <w:sz w:val="24"/>
          <w:szCs w:val="24"/>
        </w:rPr>
        <w:t xml:space="preserve">, </w:t>
      </w:r>
      <w:r w:rsidR="00C06F68" w:rsidRPr="00923307">
        <w:rPr>
          <w:rFonts w:ascii="Book Antiqua" w:hAnsi="Book Antiqua"/>
          <w:sz w:val="24"/>
          <w:szCs w:val="24"/>
        </w:rPr>
        <w:t>i</w:t>
      </w:r>
      <w:r w:rsidRPr="00923307">
        <w:rPr>
          <w:rFonts w:ascii="Book Antiqua" w:hAnsi="Book Antiqua"/>
          <w:sz w:val="24"/>
          <w:szCs w:val="24"/>
        </w:rPr>
        <w:t xml:space="preserve">ncluding gadobenate dimeglumine (Gd-BOPTA) and </w:t>
      </w:r>
      <w:bookmarkStart w:id="92" w:name="_Hlk508806645"/>
      <w:r w:rsidRPr="00923307">
        <w:rPr>
          <w:rFonts w:ascii="Book Antiqua" w:hAnsi="Book Antiqua"/>
          <w:sz w:val="24"/>
          <w:szCs w:val="24"/>
        </w:rPr>
        <w:t>gadoxetate disodium</w:t>
      </w:r>
      <w:bookmarkEnd w:id="92"/>
      <w:r w:rsidRPr="00923307">
        <w:rPr>
          <w:rFonts w:ascii="Book Antiqua" w:hAnsi="Book Antiqua"/>
          <w:sz w:val="24"/>
          <w:szCs w:val="24"/>
        </w:rPr>
        <w:t xml:space="preserve"> (Gd-EOB-DTPA), can provide information regarding tumor vasculature and hepatocyte function in a single examination</w:t>
      </w:r>
      <w:r w:rsidR="0034053A" w:rsidRPr="00923307">
        <w:rPr>
          <w:rFonts w:ascii="Book Antiqua" w:hAnsi="Book Antiqua"/>
          <w:sz w:val="24"/>
          <w:szCs w:val="24"/>
          <w:vertAlign w:val="superscript"/>
        </w:rPr>
        <w:t>[63]</w:t>
      </w:r>
      <w:r w:rsidRPr="00923307">
        <w:rPr>
          <w:rFonts w:ascii="Book Antiqua" w:hAnsi="Book Antiqua"/>
          <w:sz w:val="24"/>
          <w:szCs w:val="24"/>
        </w:rPr>
        <w:t xml:space="preserve">. As discussed above, hepatobiliary agents are </w:t>
      </w:r>
      <w:r w:rsidR="00BD58E1" w:rsidRPr="00923307">
        <w:rPr>
          <w:rFonts w:ascii="Book Antiqua" w:hAnsi="Book Antiqua"/>
          <w:sz w:val="24"/>
          <w:szCs w:val="24"/>
        </w:rPr>
        <w:t>taken up</w:t>
      </w:r>
      <w:r w:rsidRPr="00923307">
        <w:rPr>
          <w:rFonts w:ascii="Book Antiqua" w:hAnsi="Book Antiqua"/>
          <w:sz w:val="24"/>
          <w:szCs w:val="24"/>
        </w:rPr>
        <w:t xml:space="preserve"> by hepatocytes </w:t>
      </w:r>
      <w:r w:rsidRPr="00F758F9">
        <w:rPr>
          <w:rFonts w:ascii="Book Antiqua" w:hAnsi="Book Antiqua"/>
          <w:i/>
          <w:sz w:val="24"/>
          <w:szCs w:val="24"/>
        </w:rPr>
        <w:t>via</w:t>
      </w:r>
      <w:r w:rsidRPr="00923307">
        <w:rPr>
          <w:rFonts w:ascii="Book Antiqua" w:hAnsi="Book Antiqua"/>
          <w:sz w:val="24"/>
          <w:szCs w:val="24"/>
        </w:rPr>
        <w:t xml:space="preserve"> OATP8, </w:t>
      </w:r>
      <w:r w:rsidR="00BD58E1" w:rsidRPr="00923307">
        <w:rPr>
          <w:rFonts w:ascii="Book Antiqua" w:hAnsi="Book Antiqua"/>
          <w:sz w:val="24"/>
          <w:szCs w:val="24"/>
        </w:rPr>
        <w:t>and its</w:t>
      </w:r>
      <w:r w:rsidRPr="00923307">
        <w:rPr>
          <w:rFonts w:ascii="Book Antiqua" w:hAnsi="Book Antiqua"/>
          <w:sz w:val="24"/>
          <w:szCs w:val="24"/>
        </w:rPr>
        <w:t xml:space="preserve"> expression decreases progressively during hepatocarcinogenesis. Therefore, most HCCs are hypointense relative to </w:t>
      </w:r>
      <w:r w:rsidR="00BD58E1" w:rsidRPr="00923307">
        <w:rPr>
          <w:rFonts w:ascii="Book Antiqua" w:hAnsi="Book Antiqua"/>
          <w:sz w:val="24"/>
          <w:szCs w:val="24"/>
        </w:rPr>
        <w:t xml:space="preserve">the </w:t>
      </w:r>
      <w:r w:rsidRPr="00923307">
        <w:rPr>
          <w:rFonts w:ascii="Book Antiqua" w:hAnsi="Book Antiqua"/>
          <w:sz w:val="24"/>
          <w:szCs w:val="24"/>
        </w:rPr>
        <w:t xml:space="preserve">surrounding liver parenchyma in </w:t>
      </w:r>
      <w:r w:rsidR="00BD58E1" w:rsidRPr="00923307">
        <w:rPr>
          <w:rFonts w:ascii="Book Antiqua" w:hAnsi="Book Antiqua"/>
          <w:sz w:val="24"/>
          <w:szCs w:val="24"/>
        </w:rPr>
        <w:t xml:space="preserve">the </w:t>
      </w:r>
      <w:r w:rsidRPr="00923307">
        <w:rPr>
          <w:rFonts w:ascii="Book Antiqua" w:hAnsi="Book Antiqua"/>
          <w:sz w:val="24"/>
          <w:szCs w:val="24"/>
        </w:rPr>
        <w:t xml:space="preserve">HBP. </w:t>
      </w:r>
    </w:p>
    <w:p w14:paraId="29C45250" w14:textId="31506009" w:rsidR="005B5EE9" w:rsidRPr="00923307" w:rsidRDefault="00085198" w:rsidP="00327F62">
      <w:pPr>
        <w:snapToGrid w:val="0"/>
        <w:spacing w:line="360" w:lineRule="auto"/>
        <w:ind w:firstLine="420"/>
        <w:rPr>
          <w:rFonts w:ascii="Book Antiqua" w:hAnsi="Book Antiqua"/>
          <w:sz w:val="24"/>
          <w:szCs w:val="24"/>
        </w:rPr>
      </w:pPr>
      <w:r w:rsidRPr="00923307">
        <w:rPr>
          <w:rFonts w:ascii="Book Antiqua" w:hAnsi="Book Antiqua"/>
          <w:sz w:val="24"/>
          <w:szCs w:val="24"/>
        </w:rPr>
        <w:t xml:space="preserve">As the expression of OATP8 </w:t>
      </w:r>
      <w:r w:rsidR="00BD58E1" w:rsidRPr="00923307">
        <w:rPr>
          <w:rFonts w:ascii="Book Antiqua" w:hAnsi="Book Antiqua"/>
          <w:sz w:val="24"/>
          <w:szCs w:val="24"/>
        </w:rPr>
        <w:t>decreases</w:t>
      </w:r>
      <w:r w:rsidRPr="00923307">
        <w:rPr>
          <w:rFonts w:ascii="Book Antiqua" w:hAnsi="Book Antiqua"/>
          <w:sz w:val="24"/>
          <w:szCs w:val="24"/>
        </w:rPr>
        <w:t xml:space="preserve"> prior to neoangiogenesis, MRI </w:t>
      </w:r>
      <w:r w:rsidR="00BD58E1" w:rsidRPr="00923307">
        <w:rPr>
          <w:rFonts w:ascii="Book Antiqua" w:hAnsi="Book Antiqua"/>
          <w:sz w:val="24"/>
          <w:szCs w:val="24"/>
        </w:rPr>
        <w:t xml:space="preserve">with hepatobiliary contrast agents </w:t>
      </w:r>
      <w:r w:rsidRPr="00923307">
        <w:rPr>
          <w:rFonts w:ascii="Book Antiqua" w:hAnsi="Book Antiqua"/>
          <w:sz w:val="24"/>
          <w:szCs w:val="24"/>
        </w:rPr>
        <w:t xml:space="preserve">demonstrated superior capacity </w:t>
      </w:r>
      <w:r w:rsidR="00BD58E1" w:rsidRPr="00923307">
        <w:rPr>
          <w:rFonts w:ascii="Book Antiqua" w:hAnsi="Book Antiqua"/>
          <w:sz w:val="24"/>
          <w:szCs w:val="24"/>
        </w:rPr>
        <w:t>for</w:t>
      </w:r>
      <w:r w:rsidRPr="00923307">
        <w:rPr>
          <w:rFonts w:ascii="Book Antiqua" w:hAnsi="Book Antiqua"/>
          <w:sz w:val="24"/>
          <w:szCs w:val="24"/>
        </w:rPr>
        <w:t xml:space="preserve"> detecting early HCC lesions </w:t>
      </w:r>
      <w:r w:rsidR="00BD58E1" w:rsidRPr="00923307">
        <w:rPr>
          <w:rFonts w:ascii="Book Antiqua" w:hAnsi="Book Antiqua"/>
          <w:sz w:val="24"/>
          <w:szCs w:val="24"/>
        </w:rPr>
        <w:t>compared with</w:t>
      </w:r>
      <w:r w:rsidRPr="00923307">
        <w:rPr>
          <w:rFonts w:ascii="Book Antiqua" w:hAnsi="Book Antiqua"/>
          <w:sz w:val="24"/>
          <w:szCs w:val="24"/>
        </w:rPr>
        <w:t xml:space="preserve"> dynamic </w:t>
      </w:r>
      <w:r w:rsidR="00E5064C" w:rsidRPr="00923307">
        <w:rPr>
          <w:rFonts w:ascii="Book Antiqua" w:hAnsi="Book Antiqua"/>
          <w:sz w:val="24"/>
          <w:szCs w:val="24"/>
        </w:rPr>
        <w:t xml:space="preserve">multiphasic </w:t>
      </w:r>
      <w:r w:rsidRPr="00923307">
        <w:rPr>
          <w:rFonts w:ascii="Book Antiqua" w:hAnsi="Book Antiqua"/>
          <w:sz w:val="24"/>
          <w:szCs w:val="24"/>
        </w:rPr>
        <w:t>CT and MRI with extracellular contrast agents</w:t>
      </w:r>
      <w:r w:rsidR="0034053A" w:rsidRPr="00923307">
        <w:rPr>
          <w:rFonts w:ascii="Book Antiqua" w:hAnsi="Book Antiqua"/>
          <w:sz w:val="24"/>
          <w:szCs w:val="24"/>
          <w:vertAlign w:val="superscript"/>
        </w:rPr>
        <w:t>[</w:t>
      </w:r>
      <w:r w:rsidRPr="00923307">
        <w:rPr>
          <w:rFonts w:ascii="Book Antiqua" w:hAnsi="Book Antiqua"/>
          <w:sz w:val="24"/>
          <w:szCs w:val="24"/>
          <w:vertAlign w:val="superscript"/>
        </w:rPr>
        <w:t>34</w:t>
      </w:r>
      <w:r w:rsidR="00F758F9">
        <w:rPr>
          <w:rFonts w:ascii="Book Antiqua" w:hAnsi="Book Antiqua"/>
          <w:sz w:val="24"/>
          <w:szCs w:val="24"/>
          <w:vertAlign w:val="superscript"/>
        </w:rPr>
        <w:t>,</w:t>
      </w:r>
      <w:r w:rsidR="0034053A" w:rsidRPr="00923307">
        <w:rPr>
          <w:rFonts w:ascii="Book Antiqua" w:hAnsi="Book Antiqua"/>
          <w:sz w:val="24"/>
          <w:szCs w:val="24"/>
          <w:vertAlign w:val="superscript"/>
        </w:rPr>
        <w:t>51]</w:t>
      </w:r>
      <w:r w:rsidRPr="00923307">
        <w:rPr>
          <w:rFonts w:ascii="Book Antiqua" w:hAnsi="Book Antiqua"/>
          <w:sz w:val="24"/>
          <w:szCs w:val="24"/>
        </w:rPr>
        <w:t xml:space="preserve">. Recently, </w:t>
      </w:r>
      <w:r w:rsidR="00BD58E1" w:rsidRPr="00923307">
        <w:rPr>
          <w:rFonts w:ascii="Book Antiqua" w:hAnsi="Book Antiqua"/>
          <w:sz w:val="24"/>
          <w:szCs w:val="24"/>
        </w:rPr>
        <w:t>Gd-EOB-DTPA</w:t>
      </w:r>
      <w:r w:rsidRPr="00923307">
        <w:rPr>
          <w:rFonts w:ascii="Book Antiqua" w:hAnsi="Book Antiqua"/>
          <w:sz w:val="24"/>
          <w:szCs w:val="24"/>
        </w:rPr>
        <w:t xml:space="preserve">-enhanced MRI has been recommended by several Asian guidelines as the first-line diagnostic modality for </w:t>
      </w:r>
      <w:r w:rsidR="0034053A" w:rsidRPr="00923307">
        <w:rPr>
          <w:rFonts w:ascii="Book Antiqua" w:hAnsi="Book Antiqua"/>
          <w:sz w:val="24"/>
          <w:szCs w:val="24"/>
        </w:rPr>
        <w:t>HCC</w:t>
      </w:r>
      <w:r w:rsidR="0034053A" w:rsidRPr="00923307">
        <w:rPr>
          <w:rFonts w:ascii="Book Antiqua" w:hAnsi="Book Antiqua"/>
          <w:sz w:val="24"/>
          <w:szCs w:val="24"/>
          <w:vertAlign w:val="superscript"/>
        </w:rPr>
        <w:t>[7</w:t>
      </w:r>
      <w:r w:rsidR="00F758F9">
        <w:rPr>
          <w:rFonts w:ascii="Book Antiqua" w:hAnsi="Book Antiqua"/>
          <w:sz w:val="24"/>
          <w:szCs w:val="24"/>
          <w:vertAlign w:val="superscript"/>
        </w:rPr>
        <w:t>,11,</w:t>
      </w:r>
      <w:r w:rsidRPr="00923307">
        <w:rPr>
          <w:rFonts w:ascii="Book Antiqua" w:hAnsi="Book Antiqua"/>
          <w:sz w:val="24"/>
          <w:szCs w:val="24"/>
          <w:vertAlign w:val="superscript"/>
        </w:rPr>
        <w:t>12</w:t>
      </w:r>
      <w:r w:rsidR="0034053A" w:rsidRPr="00923307">
        <w:rPr>
          <w:rFonts w:ascii="Book Antiqua" w:hAnsi="Book Antiqua"/>
          <w:sz w:val="24"/>
          <w:szCs w:val="24"/>
          <w:vertAlign w:val="superscript"/>
        </w:rPr>
        <w:t>]</w:t>
      </w:r>
      <w:r w:rsidRPr="00923307">
        <w:rPr>
          <w:rFonts w:ascii="Book Antiqua" w:hAnsi="Book Antiqua"/>
          <w:sz w:val="24"/>
          <w:szCs w:val="24"/>
        </w:rPr>
        <w:t xml:space="preserve">. Besides, hypointensity </w:t>
      </w:r>
      <w:r w:rsidR="00BD58E1" w:rsidRPr="00923307">
        <w:rPr>
          <w:rFonts w:ascii="Book Antiqua" w:hAnsi="Book Antiqua"/>
          <w:sz w:val="24"/>
          <w:szCs w:val="24"/>
        </w:rPr>
        <w:t xml:space="preserve">in the HBP </w:t>
      </w:r>
      <w:r w:rsidRPr="00923307">
        <w:rPr>
          <w:rFonts w:ascii="Book Antiqua" w:hAnsi="Book Antiqua"/>
          <w:sz w:val="24"/>
          <w:szCs w:val="24"/>
        </w:rPr>
        <w:t xml:space="preserve">has been endorsed as an important ancillary imaging feature </w:t>
      </w:r>
      <w:r w:rsidR="00BD58E1" w:rsidRPr="00923307">
        <w:rPr>
          <w:rFonts w:ascii="Book Antiqua" w:hAnsi="Book Antiqua"/>
          <w:sz w:val="24"/>
          <w:szCs w:val="24"/>
        </w:rPr>
        <w:t xml:space="preserve">that </w:t>
      </w:r>
      <w:r w:rsidRPr="00923307">
        <w:rPr>
          <w:rFonts w:ascii="Book Antiqua" w:hAnsi="Book Antiqua"/>
          <w:sz w:val="24"/>
          <w:szCs w:val="24"/>
        </w:rPr>
        <w:t>favor</w:t>
      </w:r>
      <w:r w:rsidR="00BD58E1" w:rsidRPr="00923307">
        <w:rPr>
          <w:rFonts w:ascii="Book Antiqua" w:hAnsi="Book Antiqua"/>
          <w:sz w:val="24"/>
          <w:szCs w:val="24"/>
        </w:rPr>
        <w:t>s</w:t>
      </w:r>
      <w:r w:rsidRPr="00923307">
        <w:rPr>
          <w:rFonts w:ascii="Book Antiqua" w:hAnsi="Book Antiqua"/>
          <w:sz w:val="24"/>
          <w:szCs w:val="24"/>
        </w:rPr>
        <w:t xml:space="preserve"> malignancies, although not exclusively HCC, by LI-RADS</w:t>
      </w:r>
      <w:r w:rsidR="0034053A" w:rsidRPr="00923307">
        <w:rPr>
          <w:rFonts w:ascii="Book Antiqua" w:hAnsi="Book Antiqua"/>
          <w:sz w:val="24"/>
          <w:szCs w:val="24"/>
          <w:vertAlign w:val="superscript"/>
        </w:rPr>
        <w:t>[9]</w:t>
      </w:r>
      <w:r w:rsidRPr="00923307">
        <w:rPr>
          <w:rFonts w:ascii="Book Antiqua" w:hAnsi="Book Antiqua"/>
          <w:sz w:val="24"/>
          <w:szCs w:val="24"/>
        </w:rPr>
        <w:t xml:space="preserve">. Moreover, Gd-EOB-DTPA can help </w:t>
      </w:r>
      <w:r w:rsidR="00BD58E1" w:rsidRPr="00923307">
        <w:rPr>
          <w:rFonts w:ascii="Book Antiqua" w:hAnsi="Book Antiqua"/>
          <w:sz w:val="24"/>
          <w:szCs w:val="24"/>
        </w:rPr>
        <w:t xml:space="preserve">in </w:t>
      </w:r>
      <w:r w:rsidRPr="00923307">
        <w:rPr>
          <w:rFonts w:ascii="Book Antiqua" w:hAnsi="Book Antiqua"/>
          <w:sz w:val="24"/>
          <w:szCs w:val="24"/>
        </w:rPr>
        <w:t>differentiating early HCCs from several types of benign or borderline nodules, including cirrhosis-associated regenerative or dysplastic nodules, focal nodular hyperplasia and hypervascular pseudolesions</w:t>
      </w:r>
      <w:r w:rsidR="0034053A" w:rsidRPr="00923307">
        <w:rPr>
          <w:rFonts w:ascii="Book Antiqua" w:hAnsi="Book Antiqua"/>
          <w:sz w:val="24"/>
          <w:szCs w:val="24"/>
          <w:vertAlign w:val="superscript"/>
        </w:rPr>
        <w:t>[64-67]</w:t>
      </w:r>
      <w:r w:rsidRPr="00923307">
        <w:rPr>
          <w:rFonts w:ascii="Book Antiqua" w:hAnsi="Book Antiqua"/>
          <w:sz w:val="24"/>
          <w:szCs w:val="24"/>
        </w:rPr>
        <w:t xml:space="preserve">. In addition, it has also been shown that the lower relative </w:t>
      </w:r>
      <w:r w:rsidRPr="00923307">
        <w:rPr>
          <w:rFonts w:ascii="Book Antiqua" w:hAnsi="Book Antiqua"/>
          <w:sz w:val="24"/>
          <w:szCs w:val="24"/>
        </w:rPr>
        <w:lastRenderedPageBreak/>
        <w:t>enhancement ratio on Gd-EOB-DTPA</w:t>
      </w:r>
      <w:r w:rsidR="00BD58E1" w:rsidRPr="00923307">
        <w:rPr>
          <w:rFonts w:ascii="Book Antiqua" w:hAnsi="Book Antiqua"/>
          <w:sz w:val="24"/>
          <w:szCs w:val="24"/>
        </w:rPr>
        <w:t>-</w:t>
      </w:r>
      <w:r w:rsidRPr="00923307">
        <w:rPr>
          <w:rFonts w:ascii="Book Antiqua" w:hAnsi="Book Antiqua"/>
          <w:sz w:val="24"/>
          <w:szCs w:val="24"/>
        </w:rPr>
        <w:t xml:space="preserve">enhanced MRI, </w:t>
      </w:r>
      <w:r w:rsidR="00BD58E1" w:rsidRPr="00923307">
        <w:rPr>
          <w:rFonts w:ascii="Book Antiqua" w:hAnsi="Book Antiqua"/>
          <w:sz w:val="24"/>
          <w:szCs w:val="24"/>
        </w:rPr>
        <w:t xml:space="preserve">which is </w:t>
      </w:r>
      <w:r w:rsidRPr="00923307">
        <w:rPr>
          <w:rFonts w:ascii="Book Antiqua" w:hAnsi="Book Antiqua"/>
          <w:sz w:val="24"/>
          <w:szCs w:val="24"/>
        </w:rPr>
        <w:t xml:space="preserve">defined as the ratio of the relative signal intensity of HCC versus </w:t>
      </w:r>
      <w:r w:rsidR="00BD58E1" w:rsidRPr="00923307">
        <w:rPr>
          <w:rFonts w:ascii="Book Antiqua" w:hAnsi="Book Antiqua"/>
          <w:sz w:val="24"/>
          <w:szCs w:val="24"/>
        </w:rPr>
        <w:t xml:space="preserve">the </w:t>
      </w:r>
      <w:r w:rsidRPr="00923307">
        <w:rPr>
          <w:rFonts w:ascii="Book Antiqua" w:hAnsi="Book Antiqua"/>
          <w:sz w:val="24"/>
          <w:szCs w:val="24"/>
        </w:rPr>
        <w:t xml:space="preserve">surrounding liver parenchyma on </w:t>
      </w:r>
      <w:r w:rsidR="00BD58E1" w:rsidRPr="00923307">
        <w:rPr>
          <w:rFonts w:ascii="Book Antiqua" w:hAnsi="Book Antiqua"/>
          <w:sz w:val="24"/>
          <w:szCs w:val="24"/>
        </w:rPr>
        <w:t xml:space="preserve">the </w:t>
      </w:r>
      <w:r w:rsidRPr="00923307">
        <w:rPr>
          <w:rFonts w:ascii="Book Antiqua" w:hAnsi="Book Antiqua"/>
          <w:sz w:val="24"/>
          <w:szCs w:val="24"/>
        </w:rPr>
        <w:t xml:space="preserve">HBP images to that on unenhanced images, can be indicative of </w:t>
      </w:r>
      <w:r w:rsidR="00BD58E1" w:rsidRPr="00923307">
        <w:rPr>
          <w:rFonts w:ascii="Book Antiqua" w:hAnsi="Book Antiqua"/>
          <w:sz w:val="24"/>
          <w:szCs w:val="24"/>
        </w:rPr>
        <w:t xml:space="preserve">a </w:t>
      </w:r>
      <w:r w:rsidRPr="00923307">
        <w:rPr>
          <w:rFonts w:ascii="Book Antiqua" w:hAnsi="Book Antiqua"/>
          <w:sz w:val="24"/>
          <w:szCs w:val="24"/>
        </w:rPr>
        <w:t>higher histologic grade</w:t>
      </w:r>
      <w:r w:rsidR="0034053A" w:rsidRPr="00923307">
        <w:rPr>
          <w:rFonts w:ascii="Book Antiqua" w:hAnsi="Book Antiqua"/>
          <w:sz w:val="24"/>
          <w:szCs w:val="24"/>
          <w:vertAlign w:val="superscript"/>
        </w:rPr>
        <w:t>[68-70]</w:t>
      </w:r>
      <w:r w:rsidRPr="00923307">
        <w:rPr>
          <w:rFonts w:ascii="Book Antiqua" w:hAnsi="Book Antiqua"/>
          <w:sz w:val="24"/>
          <w:szCs w:val="24"/>
        </w:rPr>
        <w:t>.</w:t>
      </w:r>
    </w:p>
    <w:p w14:paraId="6B969B34" w14:textId="6BD9F5F8" w:rsidR="005B5EE9" w:rsidRPr="00923307" w:rsidRDefault="00085198" w:rsidP="00327F62">
      <w:pPr>
        <w:snapToGrid w:val="0"/>
        <w:spacing w:line="360" w:lineRule="auto"/>
        <w:ind w:firstLine="420"/>
        <w:rPr>
          <w:rFonts w:ascii="Book Antiqua" w:hAnsi="Book Antiqua"/>
          <w:sz w:val="24"/>
          <w:szCs w:val="24"/>
        </w:rPr>
      </w:pPr>
      <w:r w:rsidRPr="00923307">
        <w:rPr>
          <w:rFonts w:ascii="Book Antiqua" w:hAnsi="Book Antiqua"/>
          <w:sz w:val="24"/>
          <w:szCs w:val="24"/>
        </w:rPr>
        <w:t>However, 5</w:t>
      </w:r>
      <w:r w:rsidR="00F758F9" w:rsidRPr="00923307">
        <w:rPr>
          <w:rFonts w:ascii="Book Antiqua" w:hAnsi="Book Antiqua"/>
          <w:sz w:val="24"/>
          <w:szCs w:val="24"/>
        </w:rPr>
        <w:t>%</w:t>
      </w:r>
      <w:r w:rsidRPr="00923307">
        <w:rPr>
          <w:rFonts w:ascii="Book Antiqua" w:hAnsi="Book Antiqua"/>
          <w:sz w:val="24"/>
          <w:szCs w:val="24"/>
        </w:rPr>
        <w:t xml:space="preserve">-20% HCCs can be iso- or even hyperintense in </w:t>
      </w:r>
      <w:r w:rsidR="00BD58E1" w:rsidRPr="00923307">
        <w:rPr>
          <w:rFonts w:ascii="Book Antiqua" w:hAnsi="Book Antiqua"/>
          <w:sz w:val="24"/>
          <w:szCs w:val="24"/>
        </w:rPr>
        <w:t xml:space="preserve">the </w:t>
      </w:r>
      <w:r w:rsidRPr="00923307">
        <w:rPr>
          <w:rFonts w:ascii="Book Antiqua" w:hAnsi="Book Antiqua"/>
          <w:sz w:val="24"/>
          <w:szCs w:val="24"/>
        </w:rPr>
        <w:t>HBP probably due to overexpression of OATP8</w:t>
      </w:r>
      <w:r w:rsidR="0034053A" w:rsidRPr="00923307">
        <w:rPr>
          <w:rFonts w:ascii="Book Antiqua" w:hAnsi="Book Antiqua"/>
          <w:sz w:val="24"/>
          <w:szCs w:val="24"/>
          <w:vertAlign w:val="superscript"/>
        </w:rPr>
        <w:t>[</w:t>
      </w:r>
      <w:r w:rsidR="00F758F9">
        <w:rPr>
          <w:rFonts w:ascii="Book Antiqua" w:hAnsi="Book Antiqua"/>
          <w:sz w:val="24"/>
          <w:szCs w:val="24"/>
          <w:vertAlign w:val="superscript"/>
        </w:rPr>
        <w:t>7,31,</w:t>
      </w:r>
      <w:r w:rsidRPr="00923307">
        <w:rPr>
          <w:rFonts w:ascii="Book Antiqua" w:hAnsi="Book Antiqua"/>
          <w:sz w:val="24"/>
          <w:szCs w:val="24"/>
          <w:vertAlign w:val="superscript"/>
        </w:rPr>
        <w:t>35</w:t>
      </w:r>
      <w:r w:rsidR="0034053A" w:rsidRPr="00923307">
        <w:rPr>
          <w:rFonts w:ascii="Book Antiqua" w:hAnsi="Book Antiqua"/>
          <w:sz w:val="24"/>
          <w:szCs w:val="24"/>
          <w:vertAlign w:val="superscript"/>
        </w:rPr>
        <w:t>]</w:t>
      </w:r>
      <w:r w:rsidRPr="00923307">
        <w:rPr>
          <w:rFonts w:ascii="Book Antiqua" w:hAnsi="Book Antiqua"/>
          <w:sz w:val="24"/>
          <w:szCs w:val="24"/>
        </w:rPr>
        <w:t xml:space="preserve">. </w:t>
      </w:r>
      <w:r w:rsidR="00BD58E1" w:rsidRPr="00923307">
        <w:rPr>
          <w:rFonts w:ascii="Book Antiqua" w:hAnsi="Book Antiqua"/>
          <w:sz w:val="24"/>
          <w:szCs w:val="24"/>
        </w:rPr>
        <w:t>In addition</w:t>
      </w:r>
      <w:r w:rsidRPr="00923307">
        <w:rPr>
          <w:rFonts w:ascii="Book Antiqua" w:hAnsi="Book Antiqua"/>
          <w:sz w:val="24"/>
          <w:szCs w:val="24"/>
        </w:rPr>
        <w:t xml:space="preserve">, </w:t>
      </w:r>
      <w:bookmarkStart w:id="93" w:name="_Hlk511721822"/>
      <w:r w:rsidRPr="00923307">
        <w:rPr>
          <w:rFonts w:ascii="Book Antiqua" w:hAnsi="Book Antiqua"/>
          <w:sz w:val="24"/>
          <w:szCs w:val="24"/>
        </w:rPr>
        <w:t xml:space="preserve">any lesion </w:t>
      </w:r>
      <w:r w:rsidR="000D36D9" w:rsidRPr="00923307">
        <w:rPr>
          <w:rFonts w:ascii="Book Antiqua" w:hAnsi="Book Antiqua"/>
          <w:sz w:val="24"/>
          <w:szCs w:val="24"/>
        </w:rPr>
        <w:t>with</w:t>
      </w:r>
      <w:r w:rsidRPr="00923307">
        <w:rPr>
          <w:rFonts w:ascii="Book Antiqua" w:hAnsi="Book Antiqua"/>
          <w:sz w:val="24"/>
          <w:szCs w:val="24"/>
        </w:rPr>
        <w:t xml:space="preserve"> abnormally </w:t>
      </w:r>
      <w:r w:rsidR="00E5064C" w:rsidRPr="00923307">
        <w:rPr>
          <w:rFonts w:ascii="Book Antiqua" w:hAnsi="Book Antiqua"/>
          <w:sz w:val="24"/>
          <w:szCs w:val="24"/>
        </w:rPr>
        <w:t>functioned</w:t>
      </w:r>
      <w:r w:rsidRPr="00923307">
        <w:rPr>
          <w:rFonts w:ascii="Book Antiqua" w:hAnsi="Book Antiqua"/>
          <w:sz w:val="24"/>
          <w:szCs w:val="24"/>
        </w:rPr>
        <w:t xml:space="preserve"> hepatocyte</w:t>
      </w:r>
      <w:r w:rsidR="000D36D9" w:rsidRPr="00923307">
        <w:rPr>
          <w:rFonts w:ascii="Book Antiqua" w:hAnsi="Book Antiqua"/>
          <w:sz w:val="24"/>
          <w:szCs w:val="24"/>
        </w:rPr>
        <w:t>s</w:t>
      </w:r>
      <w:bookmarkEnd w:id="93"/>
      <w:r w:rsidRPr="00923307">
        <w:rPr>
          <w:rFonts w:ascii="Book Antiqua" w:hAnsi="Book Antiqua"/>
          <w:sz w:val="24"/>
          <w:szCs w:val="24"/>
        </w:rPr>
        <w:t xml:space="preserve">, including benign lesions </w:t>
      </w:r>
      <w:r w:rsidR="00BD58E1" w:rsidRPr="00923307">
        <w:rPr>
          <w:rFonts w:ascii="Book Antiqua" w:hAnsi="Book Antiqua"/>
          <w:sz w:val="24"/>
          <w:szCs w:val="24"/>
        </w:rPr>
        <w:t>such as</w:t>
      </w:r>
      <w:r w:rsidRPr="00923307">
        <w:rPr>
          <w:rFonts w:ascii="Book Antiqua" w:hAnsi="Book Antiqua"/>
          <w:sz w:val="24"/>
          <w:szCs w:val="24"/>
        </w:rPr>
        <w:t xml:space="preserve"> hemangiomas and other non-HCC malignancies, can appear hypointense on </w:t>
      </w:r>
      <w:r w:rsidR="00BD58E1" w:rsidRPr="00923307">
        <w:rPr>
          <w:rFonts w:ascii="Book Antiqua" w:hAnsi="Book Antiqua"/>
          <w:sz w:val="24"/>
          <w:szCs w:val="24"/>
        </w:rPr>
        <w:t xml:space="preserve">the </w:t>
      </w:r>
      <w:r w:rsidRPr="00923307">
        <w:rPr>
          <w:rFonts w:ascii="Book Antiqua" w:hAnsi="Book Antiqua"/>
          <w:sz w:val="24"/>
          <w:szCs w:val="24"/>
        </w:rPr>
        <w:t xml:space="preserve">HBP images. This </w:t>
      </w:r>
      <w:r w:rsidR="00BD58E1" w:rsidRPr="00923307">
        <w:rPr>
          <w:rFonts w:ascii="Book Antiqua" w:hAnsi="Book Antiqua"/>
          <w:sz w:val="24"/>
          <w:szCs w:val="24"/>
        </w:rPr>
        <w:t>results</w:t>
      </w:r>
      <w:r w:rsidRPr="00923307">
        <w:rPr>
          <w:rFonts w:ascii="Book Antiqua" w:hAnsi="Book Antiqua"/>
          <w:sz w:val="24"/>
          <w:szCs w:val="24"/>
        </w:rPr>
        <w:t xml:space="preserve"> in relatively low specificity of hepatobiliary agents for HCC diagnosis. However, </w:t>
      </w:r>
      <w:r w:rsidR="00BD58E1" w:rsidRPr="00923307">
        <w:rPr>
          <w:rFonts w:ascii="Book Antiqua" w:hAnsi="Book Antiqua"/>
          <w:sz w:val="24"/>
          <w:szCs w:val="24"/>
        </w:rPr>
        <w:t xml:space="preserve">the </w:t>
      </w:r>
      <w:r w:rsidRPr="00923307">
        <w:rPr>
          <w:rFonts w:ascii="Book Antiqua" w:hAnsi="Book Antiqua"/>
          <w:sz w:val="24"/>
          <w:szCs w:val="24"/>
        </w:rPr>
        <w:t xml:space="preserve">specificity can be improved </w:t>
      </w:r>
      <w:r w:rsidR="00BD58E1" w:rsidRPr="00923307">
        <w:rPr>
          <w:rFonts w:ascii="Book Antiqua" w:hAnsi="Book Antiqua"/>
          <w:sz w:val="24"/>
          <w:szCs w:val="24"/>
        </w:rPr>
        <w:t>when</w:t>
      </w:r>
      <w:r w:rsidRPr="00923307">
        <w:rPr>
          <w:rFonts w:ascii="Book Antiqua" w:hAnsi="Book Antiqua"/>
          <w:sz w:val="24"/>
          <w:szCs w:val="24"/>
        </w:rPr>
        <w:t xml:space="preserve"> incorporating images obtained from dynamic phases and other sequences. Another important limitation is that </w:t>
      </w:r>
      <w:r w:rsidR="00202732" w:rsidRPr="00923307">
        <w:rPr>
          <w:rFonts w:ascii="Book Antiqua" w:hAnsi="Book Antiqua"/>
          <w:sz w:val="24"/>
          <w:szCs w:val="24"/>
        </w:rPr>
        <w:t xml:space="preserve">the </w:t>
      </w:r>
      <w:r w:rsidRPr="00923307">
        <w:rPr>
          <w:rFonts w:ascii="Book Antiqua" w:hAnsi="Book Antiqua"/>
          <w:sz w:val="24"/>
          <w:szCs w:val="24"/>
        </w:rPr>
        <w:t>delayed phase, which can better depict the wash-out appearance than the portal venous phase, is absent on Gd-EOB-DTPA</w:t>
      </w:r>
      <w:r w:rsidR="00202732" w:rsidRPr="00923307">
        <w:rPr>
          <w:rFonts w:ascii="Book Antiqua" w:hAnsi="Book Antiqua"/>
          <w:sz w:val="24"/>
          <w:szCs w:val="24"/>
        </w:rPr>
        <w:t>-</w:t>
      </w:r>
      <w:r w:rsidRPr="00923307">
        <w:rPr>
          <w:rFonts w:ascii="Book Antiqua" w:hAnsi="Book Antiqua"/>
          <w:sz w:val="24"/>
          <w:szCs w:val="24"/>
        </w:rPr>
        <w:t>enhanced MRI. Instead, it provides a transitional phase revealing the transition from extracellular to intracellular-dominant enhancement</w:t>
      </w:r>
      <w:r w:rsidR="0034053A" w:rsidRPr="00923307">
        <w:rPr>
          <w:rFonts w:ascii="Book Antiqua" w:hAnsi="Book Antiqua"/>
          <w:sz w:val="24"/>
          <w:szCs w:val="24"/>
          <w:vertAlign w:val="superscript"/>
        </w:rPr>
        <w:t>[71]</w:t>
      </w:r>
      <w:r w:rsidRPr="00923307">
        <w:rPr>
          <w:rFonts w:ascii="Book Antiqua" w:hAnsi="Book Antiqua"/>
          <w:sz w:val="24"/>
          <w:szCs w:val="24"/>
        </w:rPr>
        <w:t xml:space="preserve">. Therefore, </w:t>
      </w:r>
      <w:r w:rsidR="00202732" w:rsidRPr="00923307">
        <w:rPr>
          <w:rFonts w:ascii="Book Antiqua" w:hAnsi="Book Antiqua"/>
          <w:sz w:val="24"/>
          <w:szCs w:val="24"/>
        </w:rPr>
        <w:t xml:space="preserve">the </w:t>
      </w:r>
      <w:r w:rsidRPr="00923307">
        <w:rPr>
          <w:rFonts w:ascii="Book Antiqua" w:hAnsi="Book Antiqua"/>
          <w:sz w:val="24"/>
          <w:szCs w:val="24"/>
        </w:rPr>
        <w:t xml:space="preserve">wash-out appearance should only be recognized in </w:t>
      </w:r>
      <w:r w:rsidR="00202732" w:rsidRPr="00923307">
        <w:rPr>
          <w:rFonts w:ascii="Book Antiqua" w:hAnsi="Book Antiqua"/>
          <w:sz w:val="24"/>
          <w:szCs w:val="24"/>
        </w:rPr>
        <w:t xml:space="preserve">the </w:t>
      </w:r>
      <w:r w:rsidRPr="00923307">
        <w:rPr>
          <w:rFonts w:ascii="Book Antiqua" w:hAnsi="Book Antiqua"/>
          <w:sz w:val="24"/>
          <w:szCs w:val="24"/>
        </w:rPr>
        <w:t>portal venous phase on Gd-EOB-DTPA</w:t>
      </w:r>
      <w:r w:rsidR="00202732" w:rsidRPr="00923307">
        <w:rPr>
          <w:rFonts w:ascii="Book Antiqua" w:hAnsi="Book Antiqua"/>
          <w:sz w:val="24"/>
          <w:szCs w:val="24"/>
        </w:rPr>
        <w:t>-</w:t>
      </w:r>
      <w:r w:rsidRPr="00923307">
        <w:rPr>
          <w:rFonts w:ascii="Book Antiqua" w:hAnsi="Book Antiqua"/>
          <w:sz w:val="24"/>
          <w:szCs w:val="24"/>
        </w:rPr>
        <w:t xml:space="preserve">enhanced MRI, and caution </w:t>
      </w:r>
      <w:r w:rsidR="00202732" w:rsidRPr="00923307">
        <w:rPr>
          <w:rFonts w:ascii="Book Antiqua" w:hAnsi="Book Antiqua"/>
          <w:sz w:val="24"/>
          <w:szCs w:val="24"/>
        </w:rPr>
        <w:t>is</w:t>
      </w:r>
      <w:r w:rsidRPr="00923307">
        <w:rPr>
          <w:rFonts w:ascii="Book Antiqua" w:hAnsi="Book Antiqua"/>
          <w:sz w:val="24"/>
          <w:szCs w:val="24"/>
        </w:rPr>
        <w:t xml:space="preserve"> warranted when interpreting the HBP images, </w:t>
      </w:r>
      <w:r w:rsidR="00202732" w:rsidRPr="00923307">
        <w:rPr>
          <w:rFonts w:ascii="Book Antiqua" w:hAnsi="Book Antiqua"/>
          <w:sz w:val="24"/>
          <w:szCs w:val="24"/>
        </w:rPr>
        <w:t>particularly</w:t>
      </w:r>
      <w:r w:rsidRPr="00923307">
        <w:rPr>
          <w:rFonts w:ascii="Book Antiqua" w:hAnsi="Book Antiqua"/>
          <w:sz w:val="24"/>
          <w:szCs w:val="24"/>
        </w:rPr>
        <w:t xml:space="preserve"> when the enhancement patterns are atypical </w:t>
      </w:r>
      <w:r w:rsidR="00202732" w:rsidRPr="00923307">
        <w:rPr>
          <w:rFonts w:ascii="Book Antiqua" w:hAnsi="Book Antiqua"/>
          <w:sz w:val="24"/>
          <w:szCs w:val="24"/>
        </w:rPr>
        <w:t>of</w:t>
      </w:r>
      <w:r w:rsidRPr="00923307">
        <w:rPr>
          <w:rFonts w:ascii="Book Antiqua" w:hAnsi="Book Antiqua"/>
          <w:sz w:val="24"/>
          <w:szCs w:val="24"/>
        </w:rPr>
        <w:t xml:space="preserve"> HCCs in </w:t>
      </w:r>
      <w:r w:rsidR="00202732" w:rsidRPr="00923307">
        <w:rPr>
          <w:rFonts w:ascii="Book Antiqua" w:hAnsi="Book Antiqua"/>
          <w:sz w:val="24"/>
          <w:szCs w:val="24"/>
        </w:rPr>
        <w:t xml:space="preserve">the </w:t>
      </w:r>
      <w:r w:rsidRPr="00923307">
        <w:rPr>
          <w:rFonts w:ascii="Book Antiqua" w:hAnsi="Book Antiqua"/>
          <w:sz w:val="24"/>
          <w:szCs w:val="24"/>
        </w:rPr>
        <w:t>dynamic phases.</w:t>
      </w:r>
    </w:p>
    <w:p w14:paraId="0BCD196C" w14:textId="55031030" w:rsidR="005B5EE9" w:rsidRPr="00923307" w:rsidRDefault="00085198" w:rsidP="00C06F68">
      <w:pPr>
        <w:snapToGrid w:val="0"/>
        <w:spacing w:line="360" w:lineRule="auto"/>
        <w:ind w:firstLineChars="100" w:firstLine="240"/>
        <w:rPr>
          <w:rFonts w:ascii="Book Antiqua" w:hAnsi="Book Antiqua"/>
          <w:sz w:val="24"/>
          <w:szCs w:val="24"/>
        </w:rPr>
      </w:pPr>
      <w:r w:rsidRPr="00C06F68">
        <w:rPr>
          <w:rFonts w:ascii="Book Antiqua" w:hAnsi="Book Antiqua"/>
          <w:sz w:val="24"/>
          <w:szCs w:val="24"/>
        </w:rPr>
        <w:t>Perfusion imaging</w:t>
      </w:r>
      <w:r w:rsidR="00C06F68" w:rsidRPr="00C06F68">
        <w:rPr>
          <w:rFonts w:ascii="Book Antiqua" w:hAnsi="Book Antiqua" w:hint="eastAsia"/>
          <w:sz w:val="24"/>
          <w:szCs w:val="24"/>
        </w:rPr>
        <w:t xml:space="preserve"> </w:t>
      </w:r>
      <w:r w:rsidR="00C06F68" w:rsidRPr="00923307">
        <w:rPr>
          <w:rFonts w:ascii="Book Antiqua" w:hAnsi="Book Antiqua"/>
          <w:sz w:val="24"/>
          <w:szCs w:val="24"/>
        </w:rPr>
        <w:t>p</w:t>
      </w:r>
      <w:r w:rsidRPr="00923307">
        <w:rPr>
          <w:rFonts w:ascii="Book Antiqua" w:hAnsi="Book Antiqua"/>
          <w:sz w:val="24"/>
          <w:szCs w:val="24"/>
        </w:rPr>
        <w:t xml:space="preserve">ermits quantitative evaluation of </w:t>
      </w:r>
      <w:r w:rsidR="00202732" w:rsidRPr="00923307">
        <w:rPr>
          <w:rFonts w:ascii="Book Antiqua" w:hAnsi="Book Antiqua"/>
          <w:sz w:val="24"/>
          <w:szCs w:val="24"/>
        </w:rPr>
        <w:t xml:space="preserve">the </w:t>
      </w:r>
      <w:r w:rsidRPr="00923307">
        <w:rPr>
          <w:rFonts w:ascii="Book Antiqua" w:hAnsi="Book Antiqua"/>
          <w:sz w:val="24"/>
          <w:szCs w:val="24"/>
        </w:rPr>
        <w:t>microcirculation within tissues</w:t>
      </w:r>
      <w:r w:rsidR="0034053A" w:rsidRPr="00923307">
        <w:rPr>
          <w:rFonts w:ascii="Book Antiqua" w:hAnsi="Book Antiqua"/>
          <w:sz w:val="24"/>
          <w:szCs w:val="24"/>
          <w:vertAlign w:val="superscript"/>
        </w:rPr>
        <w:t>[1</w:t>
      </w:r>
      <w:r w:rsidRPr="00923307">
        <w:rPr>
          <w:rFonts w:ascii="Book Antiqua" w:hAnsi="Book Antiqua"/>
          <w:sz w:val="24"/>
          <w:szCs w:val="24"/>
          <w:vertAlign w:val="superscript"/>
        </w:rPr>
        <w:t>9</w:t>
      </w:r>
      <w:r w:rsidR="0034053A" w:rsidRPr="00923307">
        <w:rPr>
          <w:rFonts w:ascii="Book Antiqua" w:hAnsi="Book Antiqua"/>
          <w:sz w:val="24"/>
          <w:szCs w:val="24"/>
          <w:vertAlign w:val="superscript"/>
        </w:rPr>
        <w:t>]</w:t>
      </w:r>
      <w:r w:rsidRPr="00923307">
        <w:rPr>
          <w:rFonts w:ascii="Book Antiqua" w:hAnsi="Book Antiqua"/>
          <w:sz w:val="24"/>
          <w:szCs w:val="24"/>
        </w:rPr>
        <w:t xml:space="preserve">. After administration of an iodinated tracer, serial images revealing the variations in tracer concentrations over time are </w:t>
      </w:r>
      <w:r w:rsidR="00202732" w:rsidRPr="00923307">
        <w:rPr>
          <w:rFonts w:ascii="Book Antiqua" w:hAnsi="Book Antiqua"/>
          <w:sz w:val="24"/>
          <w:szCs w:val="24"/>
        </w:rPr>
        <w:t xml:space="preserve">rapidly </w:t>
      </w:r>
      <w:r w:rsidRPr="00923307">
        <w:rPr>
          <w:rFonts w:ascii="Book Antiqua" w:hAnsi="Book Antiqua"/>
          <w:sz w:val="24"/>
          <w:szCs w:val="24"/>
        </w:rPr>
        <w:t>acquired, and perfusion parameters are then extracted and adjusted. Perfusion imaging can be performed based on several modalities, including CEUS, CT (perfusion CT) and MRI (dynamic contrast-enhanced MRI). Perfusion imaging</w:t>
      </w:r>
      <w:r w:rsidR="00E5064C" w:rsidRPr="00923307">
        <w:rPr>
          <w:rFonts w:ascii="Book Antiqua" w:hAnsi="Book Antiqua"/>
          <w:sz w:val="24"/>
          <w:szCs w:val="24"/>
        </w:rPr>
        <w:t xml:space="preserve"> shows potential</w:t>
      </w:r>
      <w:r w:rsidRPr="00923307">
        <w:rPr>
          <w:rFonts w:ascii="Book Antiqua" w:hAnsi="Book Antiqua"/>
          <w:sz w:val="24"/>
          <w:szCs w:val="24"/>
        </w:rPr>
        <w:t xml:space="preserve"> in the detection and characterization of HCC by providing important quantitative information regarding tumor vasculature and angiogenesis. Several studies have reported that the arterial hepatic blood flow and hepatic perfusion index of HCC are significantly higher than the surrounding liver parenchyma, while the portal venous hepatic blood flow </w:t>
      </w:r>
      <w:r w:rsidR="00202732" w:rsidRPr="00923307">
        <w:rPr>
          <w:rFonts w:ascii="Book Antiqua" w:hAnsi="Book Antiqua"/>
          <w:sz w:val="24"/>
          <w:szCs w:val="24"/>
        </w:rPr>
        <w:t xml:space="preserve">is </w:t>
      </w:r>
      <w:r w:rsidRPr="00923307">
        <w:rPr>
          <w:rFonts w:ascii="Book Antiqua" w:hAnsi="Book Antiqua"/>
          <w:sz w:val="24"/>
          <w:szCs w:val="24"/>
        </w:rPr>
        <w:t>lower</w:t>
      </w:r>
      <w:r w:rsidR="0034053A" w:rsidRPr="00923307">
        <w:rPr>
          <w:rFonts w:ascii="Book Antiqua" w:hAnsi="Book Antiqua"/>
          <w:sz w:val="24"/>
          <w:szCs w:val="24"/>
          <w:vertAlign w:val="superscript"/>
        </w:rPr>
        <w:t>[72-75]</w:t>
      </w:r>
      <w:r w:rsidRPr="00923307">
        <w:rPr>
          <w:rFonts w:ascii="Book Antiqua" w:hAnsi="Book Antiqua"/>
          <w:sz w:val="24"/>
          <w:szCs w:val="24"/>
        </w:rPr>
        <w:t xml:space="preserve">. </w:t>
      </w:r>
      <w:r w:rsidR="00202732" w:rsidRPr="00923307">
        <w:rPr>
          <w:rFonts w:ascii="Book Antiqua" w:hAnsi="Book Antiqua"/>
          <w:sz w:val="24"/>
          <w:szCs w:val="24"/>
        </w:rPr>
        <w:t>In addition</w:t>
      </w:r>
      <w:r w:rsidRPr="00923307">
        <w:rPr>
          <w:rFonts w:ascii="Book Antiqua" w:hAnsi="Book Antiqua"/>
          <w:sz w:val="24"/>
          <w:szCs w:val="24"/>
        </w:rPr>
        <w:t xml:space="preserve">, perfusion CT parameters </w:t>
      </w:r>
      <w:r w:rsidR="00202732" w:rsidRPr="00923307">
        <w:rPr>
          <w:rFonts w:ascii="Book Antiqua" w:hAnsi="Book Antiqua"/>
          <w:sz w:val="24"/>
          <w:szCs w:val="24"/>
        </w:rPr>
        <w:t>are</w:t>
      </w:r>
      <w:r w:rsidRPr="00923307">
        <w:rPr>
          <w:rFonts w:ascii="Book Antiqua" w:hAnsi="Book Antiqua"/>
          <w:sz w:val="24"/>
          <w:szCs w:val="24"/>
        </w:rPr>
        <w:t xml:space="preserve"> </w:t>
      </w:r>
      <w:r w:rsidRPr="00923307">
        <w:rPr>
          <w:rFonts w:ascii="Book Antiqua" w:hAnsi="Book Antiqua"/>
          <w:sz w:val="24"/>
          <w:szCs w:val="24"/>
        </w:rPr>
        <w:lastRenderedPageBreak/>
        <w:t xml:space="preserve">correlated with </w:t>
      </w:r>
      <w:r w:rsidR="00202732" w:rsidRPr="00923307">
        <w:rPr>
          <w:rFonts w:ascii="Book Antiqua" w:hAnsi="Book Antiqua"/>
          <w:sz w:val="24"/>
          <w:szCs w:val="24"/>
        </w:rPr>
        <w:t xml:space="preserve">the </w:t>
      </w:r>
      <w:r w:rsidRPr="00923307">
        <w:rPr>
          <w:rFonts w:ascii="Book Antiqua" w:hAnsi="Book Antiqua"/>
          <w:sz w:val="24"/>
          <w:szCs w:val="24"/>
        </w:rPr>
        <w:t xml:space="preserve">tumor histologic grade, with higher perfusion values </w:t>
      </w:r>
      <w:r w:rsidR="00202732" w:rsidRPr="00923307">
        <w:rPr>
          <w:rFonts w:ascii="Book Antiqua" w:hAnsi="Book Antiqua"/>
          <w:sz w:val="24"/>
          <w:szCs w:val="24"/>
        </w:rPr>
        <w:t xml:space="preserve">being </w:t>
      </w:r>
      <w:r w:rsidRPr="00923307">
        <w:rPr>
          <w:rFonts w:ascii="Book Antiqua" w:hAnsi="Book Antiqua"/>
          <w:sz w:val="24"/>
          <w:szCs w:val="24"/>
        </w:rPr>
        <w:t>indicative of well-differentiated HCC</w:t>
      </w:r>
      <w:r w:rsidR="0034053A" w:rsidRPr="00923307">
        <w:rPr>
          <w:rFonts w:ascii="Book Antiqua" w:hAnsi="Book Antiqua"/>
          <w:sz w:val="24"/>
          <w:szCs w:val="24"/>
          <w:vertAlign w:val="superscript"/>
        </w:rPr>
        <w:t>[76]</w:t>
      </w:r>
      <w:r w:rsidRPr="00923307">
        <w:rPr>
          <w:rFonts w:ascii="Book Antiqua" w:hAnsi="Book Antiqua"/>
          <w:sz w:val="24"/>
          <w:szCs w:val="24"/>
        </w:rPr>
        <w:t xml:space="preserve">. In addition to </w:t>
      </w:r>
      <w:r w:rsidR="00202732" w:rsidRPr="00923307">
        <w:rPr>
          <w:rFonts w:ascii="Book Antiqua" w:hAnsi="Book Antiqua"/>
          <w:sz w:val="24"/>
          <w:szCs w:val="24"/>
        </w:rPr>
        <w:t>its</w:t>
      </w:r>
      <w:r w:rsidRPr="00923307">
        <w:rPr>
          <w:rFonts w:ascii="Book Antiqua" w:hAnsi="Book Antiqua"/>
          <w:sz w:val="24"/>
          <w:szCs w:val="24"/>
        </w:rPr>
        <w:t xml:space="preserve"> role in HCC detection and characterization, perfusion imaging is most frequently used </w:t>
      </w:r>
      <w:r w:rsidR="00202732" w:rsidRPr="00923307">
        <w:rPr>
          <w:rFonts w:ascii="Book Antiqua" w:hAnsi="Book Antiqua"/>
          <w:sz w:val="24"/>
          <w:szCs w:val="24"/>
        </w:rPr>
        <w:t>to</w:t>
      </w:r>
      <w:r w:rsidRPr="00923307">
        <w:rPr>
          <w:rFonts w:ascii="Book Antiqua" w:hAnsi="Book Antiqua"/>
          <w:sz w:val="24"/>
          <w:szCs w:val="24"/>
        </w:rPr>
        <w:t xml:space="preserve"> </w:t>
      </w:r>
      <w:r w:rsidR="00202732" w:rsidRPr="00923307">
        <w:rPr>
          <w:rFonts w:ascii="Book Antiqua" w:hAnsi="Book Antiqua"/>
          <w:sz w:val="24"/>
          <w:szCs w:val="24"/>
        </w:rPr>
        <w:t>assess</w:t>
      </w:r>
      <w:r w:rsidRPr="00923307">
        <w:rPr>
          <w:rFonts w:ascii="Book Antiqua" w:hAnsi="Book Antiqua"/>
          <w:sz w:val="24"/>
          <w:szCs w:val="24"/>
        </w:rPr>
        <w:t xml:space="preserve"> the treatment response to several therapies, including locoregional treatment</w:t>
      </w:r>
      <w:r w:rsidR="00F758F9">
        <w:rPr>
          <w:rFonts w:ascii="Book Antiqua" w:hAnsi="Book Antiqua"/>
          <w:sz w:val="24"/>
          <w:szCs w:val="24"/>
          <w:vertAlign w:val="superscript"/>
        </w:rPr>
        <w:t>[77,</w:t>
      </w:r>
      <w:r w:rsidR="0034053A" w:rsidRPr="00923307">
        <w:rPr>
          <w:rFonts w:ascii="Book Antiqua" w:hAnsi="Book Antiqua"/>
          <w:sz w:val="24"/>
          <w:szCs w:val="24"/>
          <w:vertAlign w:val="superscript"/>
        </w:rPr>
        <w:t>78]</w:t>
      </w:r>
      <w:r w:rsidRPr="00923307">
        <w:rPr>
          <w:rFonts w:ascii="Book Antiqua" w:hAnsi="Book Antiqua"/>
          <w:sz w:val="24"/>
          <w:szCs w:val="24"/>
        </w:rPr>
        <w:t>, transarterial chemoembolization</w:t>
      </w:r>
      <w:r w:rsidR="00F758F9">
        <w:rPr>
          <w:rFonts w:ascii="Book Antiqua" w:hAnsi="Book Antiqua"/>
          <w:sz w:val="24"/>
          <w:szCs w:val="24"/>
          <w:vertAlign w:val="superscript"/>
        </w:rPr>
        <w:t>[79,</w:t>
      </w:r>
      <w:r w:rsidR="0034053A" w:rsidRPr="00923307">
        <w:rPr>
          <w:rFonts w:ascii="Book Antiqua" w:hAnsi="Book Antiqua"/>
          <w:sz w:val="24"/>
          <w:szCs w:val="24"/>
          <w:vertAlign w:val="superscript"/>
        </w:rPr>
        <w:t>80</w:t>
      </w:r>
      <w:r w:rsidR="009C2D9A" w:rsidRPr="00923307">
        <w:rPr>
          <w:rFonts w:ascii="Book Antiqua" w:hAnsi="Book Antiqua"/>
          <w:sz w:val="24"/>
          <w:szCs w:val="24"/>
          <w:vertAlign w:val="superscript"/>
        </w:rPr>
        <w:t>]</w:t>
      </w:r>
      <w:r w:rsidRPr="00923307">
        <w:rPr>
          <w:rFonts w:ascii="Book Antiqua" w:hAnsi="Book Antiqua"/>
          <w:sz w:val="24"/>
          <w:szCs w:val="24"/>
        </w:rPr>
        <w:t xml:space="preserve"> and anti-angiogenic therapies</w:t>
      </w:r>
      <w:r w:rsidR="00183C84">
        <w:rPr>
          <w:rFonts w:ascii="Book Antiqua" w:hAnsi="Book Antiqua"/>
          <w:sz w:val="24"/>
          <w:szCs w:val="24"/>
          <w:vertAlign w:val="superscript"/>
        </w:rPr>
        <w:t>[81,</w:t>
      </w:r>
      <w:r w:rsidR="0034053A" w:rsidRPr="00923307">
        <w:rPr>
          <w:rFonts w:ascii="Book Antiqua" w:hAnsi="Book Antiqua"/>
          <w:sz w:val="24"/>
          <w:szCs w:val="24"/>
          <w:vertAlign w:val="superscript"/>
        </w:rPr>
        <w:t>82]</w:t>
      </w:r>
      <w:r w:rsidRPr="00923307">
        <w:rPr>
          <w:rFonts w:ascii="Book Antiqua" w:hAnsi="Book Antiqua"/>
          <w:sz w:val="24"/>
          <w:szCs w:val="24"/>
        </w:rPr>
        <w:t xml:space="preserve">. </w:t>
      </w:r>
    </w:p>
    <w:p w14:paraId="5654FDB4" w14:textId="551FDE3F" w:rsidR="005B5EE9" w:rsidRPr="00923307" w:rsidRDefault="00085198" w:rsidP="00327F62">
      <w:pPr>
        <w:snapToGrid w:val="0"/>
        <w:spacing w:line="360" w:lineRule="auto"/>
        <w:ind w:firstLine="429"/>
        <w:rPr>
          <w:rFonts w:ascii="Book Antiqua" w:hAnsi="Book Antiqua"/>
          <w:sz w:val="24"/>
          <w:szCs w:val="24"/>
        </w:rPr>
      </w:pPr>
      <w:r w:rsidRPr="00923307">
        <w:rPr>
          <w:rFonts w:ascii="Book Antiqua" w:hAnsi="Book Antiqua"/>
          <w:sz w:val="24"/>
          <w:szCs w:val="24"/>
        </w:rPr>
        <w:t xml:space="preserve">Major limitations of perfusion include the following. First, patients are exposed to </w:t>
      </w:r>
      <w:r w:rsidR="00335CA4" w:rsidRPr="00923307">
        <w:rPr>
          <w:rFonts w:ascii="Book Antiqua" w:hAnsi="Book Antiqua"/>
          <w:sz w:val="24"/>
          <w:szCs w:val="24"/>
        </w:rPr>
        <w:t xml:space="preserve">a </w:t>
      </w:r>
      <w:r w:rsidRPr="00923307">
        <w:rPr>
          <w:rFonts w:ascii="Book Antiqua" w:hAnsi="Book Antiqua"/>
          <w:sz w:val="24"/>
          <w:szCs w:val="24"/>
        </w:rPr>
        <w:t>large amount of radiation with high</w:t>
      </w:r>
      <w:r w:rsidR="00202732" w:rsidRPr="00923307">
        <w:rPr>
          <w:rFonts w:ascii="Book Antiqua" w:hAnsi="Book Antiqua"/>
          <w:sz w:val="24"/>
          <w:szCs w:val="24"/>
        </w:rPr>
        <w:t>-</w:t>
      </w:r>
      <w:r w:rsidRPr="00923307">
        <w:rPr>
          <w:rFonts w:ascii="Book Antiqua" w:hAnsi="Book Antiqua"/>
          <w:sz w:val="24"/>
          <w:szCs w:val="24"/>
        </w:rPr>
        <w:t>dose contrast agents when undergoing perfusion CT examination</w:t>
      </w:r>
      <w:r w:rsidR="00335CA4" w:rsidRPr="00923307">
        <w:rPr>
          <w:rFonts w:ascii="Book Antiqua" w:hAnsi="Book Antiqua"/>
          <w:sz w:val="24"/>
          <w:szCs w:val="24"/>
        </w:rPr>
        <w:t>s</w:t>
      </w:r>
      <w:r w:rsidRPr="00923307">
        <w:rPr>
          <w:rFonts w:ascii="Book Antiqua" w:hAnsi="Book Antiqua"/>
          <w:sz w:val="24"/>
          <w:szCs w:val="24"/>
        </w:rPr>
        <w:t xml:space="preserve">. </w:t>
      </w:r>
      <w:r w:rsidR="00202732" w:rsidRPr="00923307">
        <w:rPr>
          <w:rFonts w:ascii="Book Antiqua" w:hAnsi="Book Antiqua"/>
          <w:sz w:val="24"/>
          <w:szCs w:val="24"/>
        </w:rPr>
        <w:t>F</w:t>
      </w:r>
      <w:r w:rsidRPr="00923307">
        <w:rPr>
          <w:rFonts w:ascii="Book Antiqua" w:hAnsi="Book Antiqua"/>
          <w:sz w:val="24"/>
          <w:szCs w:val="24"/>
        </w:rPr>
        <w:t>or dynamic contrast enhanced MRI, image quality can be degraded by motion artifact</w:t>
      </w:r>
      <w:r w:rsidR="00202732" w:rsidRPr="00923307">
        <w:rPr>
          <w:rFonts w:ascii="Book Antiqua" w:hAnsi="Book Antiqua"/>
          <w:sz w:val="24"/>
          <w:szCs w:val="24"/>
        </w:rPr>
        <w:t>s</w:t>
      </w:r>
      <w:r w:rsidRPr="00923307">
        <w:rPr>
          <w:rFonts w:ascii="Book Antiqua" w:hAnsi="Book Antiqua"/>
          <w:sz w:val="24"/>
          <w:szCs w:val="24"/>
        </w:rPr>
        <w:t xml:space="preserve"> and </w:t>
      </w:r>
      <w:r w:rsidR="00202732" w:rsidRPr="00923307">
        <w:rPr>
          <w:rFonts w:ascii="Book Antiqua" w:hAnsi="Book Antiqua"/>
          <w:sz w:val="24"/>
          <w:szCs w:val="24"/>
        </w:rPr>
        <w:t>poor spatial</w:t>
      </w:r>
      <w:r w:rsidRPr="00923307">
        <w:rPr>
          <w:rFonts w:ascii="Book Antiqua" w:hAnsi="Book Antiqua"/>
          <w:sz w:val="24"/>
          <w:szCs w:val="24"/>
        </w:rPr>
        <w:t xml:space="preserve"> resolution. </w:t>
      </w:r>
      <w:r w:rsidR="00202732" w:rsidRPr="00923307">
        <w:rPr>
          <w:rFonts w:ascii="Book Antiqua" w:hAnsi="Book Antiqua"/>
          <w:sz w:val="24"/>
          <w:szCs w:val="24"/>
        </w:rPr>
        <w:t>In addition</w:t>
      </w:r>
      <w:r w:rsidRPr="00923307">
        <w:rPr>
          <w:rFonts w:ascii="Book Antiqua" w:hAnsi="Book Antiqua"/>
          <w:sz w:val="24"/>
          <w:szCs w:val="24"/>
        </w:rPr>
        <w:t xml:space="preserve">, imaging protocols and MR techniques lack standardization across centers and modalities. Therefore, low-dose perfusion imaging with better image quality and more standardized protocols should be explored in future </w:t>
      </w:r>
      <w:r w:rsidR="00202732" w:rsidRPr="00923307">
        <w:rPr>
          <w:rFonts w:ascii="Book Antiqua" w:hAnsi="Book Antiqua"/>
          <w:sz w:val="24"/>
          <w:szCs w:val="24"/>
        </w:rPr>
        <w:t>studies</w:t>
      </w:r>
      <w:r w:rsidRPr="00923307">
        <w:rPr>
          <w:rFonts w:ascii="Book Antiqua" w:hAnsi="Book Antiqua"/>
          <w:sz w:val="24"/>
          <w:szCs w:val="24"/>
        </w:rPr>
        <w:t xml:space="preserve">. </w:t>
      </w:r>
    </w:p>
    <w:p w14:paraId="1595C872" w14:textId="119815BF" w:rsidR="005B5EE9" w:rsidRPr="00923307" w:rsidRDefault="00085198" w:rsidP="00AB3B95">
      <w:pPr>
        <w:snapToGrid w:val="0"/>
        <w:spacing w:line="360" w:lineRule="auto"/>
        <w:ind w:firstLineChars="100" w:firstLine="240"/>
        <w:rPr>
          <w:rFonts w:ascii="Book Antiqua" w:hAnsi="Book Antiqua"/>
          <w:sz w:val="24"/>
          <w:szCs w:val="24"/>
        </w:rPr>
      </w:pPr>
      <w:r w:rsidRPr="00AB3B95">
        <w:rPr>
          <w:rFonts w:ascii="Book Antiqua" w:hAnsi="Book Antiqua"/>
          <w:sz w:val="24"/>
          <w:szCs w:val="24"/>
        </w:rPr>
        <w:t>Magnetic resonance elastography (MRE)</w:t>
      </w:r>
      <w:r w:rsidR="00AB3B95">
        <w:rPr>
          <w:rFonts w:ascii="Book Antiqua" w:hAnsi="Book Antiqua" w:hint="eastAsia"/>
          <w:b/>
          <w:sz w:val="24"/>
          <w:szCs w:val="24"/>
        </w:rPr>
        <w:t xml:space="preserve"> </w:t>
      </w:r>
      <w:r w:rsidR="00AB3B95" w:rsidRPr="00923307">
        <w:rPr>
          <w:rFonts w:ascii="Book Antiqua" w:hAnsi="Book Antiqua"/>
          <w:sz w:val="24"/>
          <w:szCs w:val="24"/>
        </w:rPr>
        <w:t>a</w:t>
      </w:r>
      <w:r w:rsidRPr="00923307">
        <w:rPr>
          <w:rFonts w:ascii="Book Antiqua" w:hAnsi="Book Antiqua"/>
          <w:sz w:val="24"/>
          <w:szCs w:val="24"/>
        </w:rPr>
        <w:t xml:space="preserve">llows </w:t>
      </w:r>
      <w:r w:rsidR="00202732" w:rsidRPr="00923307">
        <w:rPr>
          <w:rFonts w:ascii="Book Antiqua" w:hAnsi="Book Antiqua"/>
          <w:sz w:val="24"/>
          <w:szCs w:val="24"/>
        </w:rPr>
        <w:t xml:space="preserve">the </w:t>
      </w:r>
      <w:r w:rsidRPr="00923307">
        <w:rPr>
          <w:rFonts w:ascii="Book Antiqua" w:hAnsi="Book Antiqua"/>
          <w:sz w:val="24"/>
          <w:szCs w:val="24"/>
        </w:rPr>
        <w:t>non-invasive measurement of tissue stiffness and has been widely used in the evaluation of liver fibrosis</w:t>
      </w:r>
      <w:r w:rsidR="0034053A" w:rsidRPr="00923307">
        <w:rPr>
          <w:rFonts w:ascii="Book Antiqua" w:hAnsi="Book Antiqua"/>
          <w:sz w:val="24"/>
          <w:szCs w:val="24"/>
          <w:vertAlign w:val="superscript"/>
        </w:rPr>
        <w:t>[83]</w:t>
      </w:r>
      <w:r w:rsidRPr="00923307">
        <w:rPr>
          <w:rFonts w:ascii="Book Antiqua" w:hAnsi="Book Antiqua"/>
          <w:sz w:val="24"/>
          <w:szCs w:val="24"/>
        </w:rPr>
        <w:t>. Recently, Motosugi reported that higher liver stiffness measured by MRE was a risk factor for HCC development</w:t>
      </w:r>
      <w:r w:rsidR="0034053A" w:rsidRPr="00923307">
        <w:rPr>
          <w:rFonts w:ascii="Book Antiqua" w:hAnsi="Book Antiqua"/>
          <w:sz w:val="24"/>
          <w:szCs w:val="24"/>
          <w:vertAlign w:val="superscript"/>
        </w:rPr>
        <w:t>[84]</w:t>
      </w:r>
      <w:r w:rsidRPr="00923307">
        <w:rPr>
          <w:rFonts w:ascii="Book Antiqua" w:hAnsi="Book Antiqua"/>
          <w:sz w:val="24"/>
          <w:szCs w:val="24"/>
        </w:rPr>
        <w:t xml:space="preserve">, however this </w:t>
      </w:r>
      <w:r w:rsidR="00202732" w:rsidRPr="00923307">
        <w:rPr>
          <w:rFonts w:ascii="Book Antiqua" w:hAnsi="Book Antiqua"/>
          <w:sz w:val="24"/>
          <w:szCs w:val="24"/>
        </w:rPr>
        <w:t xml:space="preserve">finding </w:t>
      </w:r>
      <w:r w:rsidRPr="00923307">
        <w:rPr>
          <w:rFonts w:ascii="Book Antiqua" w:hAnsi="Book Antiqua"/>
          <w:sz w:val="24"/>
          <w:szCs w:val="24"/>
        </w:rPr>
        <w:t xml:space="preserve">was not in </w:t>
      </w:r>
      <w:r w:rsidR="00202732" w:rsidRPr="00923307">
        <w:rPr>
          <w:rFonts w:ascii="Book Antiqua" w:hAnsi="Book Antiqua"/>
          <w:sz w:val="24"/>
          <w:szCs w:val="24"/>
        </w:rPr>
        <w:t>line</w:t>
      </w:r>
      <w:r w:rsidRPr="00923307">
        <w:rPr>
          <w:rFonts w:ascii="Book Antiqua" w:hAnsi="Book Antiqua"/>
          <w:sz w:val="24"/>
          <w:szCs w:val="24"/>
        </w:rPr>
        <w:t xml:space="preserve"> with Anaparthy’s study, which showed no significant correlation between liver stiffness and HCC development in patients with compensated cirrhosis</w:t>
      </w:r>
      <w:r w:rsidR="0034053A" w:rsidRPr="00923307">
        <w:rPr>
          <w:rFonts w:ascii="Book Antiqua" w:hAnsi="Book Antiqua"/>
          <w:sz w:val="24"/>
          <w:szCs w:val="24"/>
          <w:vertAlign w:val="superscript"/>
        </w:rPr>
        <w:t>[85]</w:t>
      </w:r>
      <w:r w:rsidRPr="00923307">
        <w:rPr>
          <w:rFonts w:ascii="Book Antiqua" w:hAnsi="Book Antiqua"/>
          <w:sz w:val="24"/>
          <w:szCs w:val="24"/>
        </w:rPr>
        <w:t xml:space="preserve">. </w:t>
      </w:r>
      <w:r w:rsidR="00202732" w:rsidRPr="00923307">
        <w:rPr>
          <w:rFonts w:ascii="Book Antiqua" w:hAnsi="Book Antiqua"/>
          <w:sz w:val="24"/>
          <w:szCs w:val="24"/>
        </w:rPr>
        <w:t>In addition</w:t>
      </w:r>
      <w:r w:rsidRPr="00923307">
        <w:rPr>
          <w:rFonts w:ascii="Book Antiqua" w:hAnsi="Book Antiqua"/>
          <w:sz w:val="24"/>
          <w:szCs w:val="24"/>
        </w:rPr>
        <w:t xml:space="preserve">, it has been shown that MRE can help </w:t>
      </w:r>
      <w:r w:rsidR="00202732" w:rsidRPr="00923307">
        <w:rPr>
          <w:rFonts w:ascii="Book Antiqua" w:hAnsi="Book Antiqua"/>
          <w:sz w:val="24"/>
          <w:szCs w:val="24"/>
        </w:rPr>
        <w:t xml:space="preserve">to </w:t>
      </w:r>
      <w:r w:rsidRPr="00923307">
        <w:rPr>
          <w:rFonts w:ascii="Book Antiqua" w:hAnsi="Book Antiqua"/>
          <w:sz w:val="24"/>
          <w:szCs w:val="24"/>
        </w:rPr>
        <w:t>differentiating malignant focal liver lesions from benign ones, with malignant liver lesions, including HCC, demonstrating significantly higher mean shear stiffness than benign lesions</w:t>
      </w:r>
      <w:r w:rsidR="00F758F9">
        <w:rPr>
          <w:rFonts w:ascii="Book Antiqua" w:hAnsi="Book Antiqua"/>
          <w:sz w:val="24"/>
          <w:szCs w:val="24"/>
          <w:vertAlign w:val="superscript"/>
        </w:rPr>
        <w:t>[86,</w:t>
      </w:r>
      <w:r w:rsidR="0034053A" w:rsidRPr="00923307">
        <w:rPr>
          <w:rFonts w:ascii="Book Antiqua" w:hAnsi="Book Antiqua"/>
          <w:sz w:val="24"/>
          <w:szCs w:val="24"/>
          <w:vertAlign w:val="superscript"/>
        </w:rPr>
        <w:t>87]</w:t>
      </w:r>
      <w:r w:rsidRPr="00923307">
        <w:rPr>
          <w:rFonts w:ascii="Book Antiqua" w:hAnsi="Book Antiqua"/>
          <w:sz w:val="24"/>
          <w:szCs w:val="24"/>
        </w:rPr>
        <w:t xml:space="preserve">. However, </w:t>
      </w:r>
      <w:r w:rsidR="00202732" w:rsidRPr="00923307">
        <w:rPr>
          <w:rFonts w:ascii="Book Antiqua" w:hAnsi="Book Antiqua"/>
          <w:sz w:val="24"/>
          <w:szCs w:val="24"/>
        </w:rPr>
        <w:t xml:space="preserve">the </w:t>
      </w:r>
      <w:r w:rsidRPr="00923307">
        <w:rPr>
          <w:rFonts w:ascii="Book Antiqua" w:hAnsi="Book Antiqua"/>
          <w:sz w:val="24"/>
          <w:szCs w:val="24"/>
        </w:rPr>
        <w:t xml:space="preserve">evidence </w:t>
      </w:r>
      <w:r w:rsidR="00202732" w:rsidRPr="00923307">
        <w:rPr>
          <w:rFonts w:ascii="Book Antiqua" w:hAnsi="Book Antiqua"/>
          <w:sz w:val="24"/>
          <w:szCs w:val="24"/>
        </w:rPr>
        <w:t>for</w:t>
      </w:r>
      <w:r w:rsidRPr="00923307">
        <w:rPr>
          <w:rFonts w:ascii="Book Antiqua" w:hAnsi="Book Antiqua"/>
          <w:sz w:val="24"/>
          <w:szCs w:val="24"/>
        </w:rPr>
        <w:t xml:space="preserve"> MRE in HCC remains scarce</w:t>
      </w:r>
      <w:r w:rsidR="00202732" w:rsidRPr="00923307">
        <w:rPr>
          <w:rFonts w:ascii="Book Antiqua" w:hAnsi="Book Antiqua"/>
          <w:sz w:val="24"/>
          <w:szCs w:val="24"/>
        </w:rPr>
        <w:t>;</w:t>
      </w:r>
      <w:r w:rsidRPr="00923307">
        <w:rPr>
          <w:rFonts w:ascii="Book Antiqua" w:hAnsi="Book Antiqua"/>
          <w:sz w:val="24"/>
          <w:szCs w:val="24"/>
        </w:rPr>
        <w:t xml:space="preserve"> </w:t>
      </w:r>
      <w:r w:rsidR="00202732" w:rsidRPr="00923307">
        <w:rPr>
          <w:rFonts w:ascii="Book Antiqua" w:hAnsi="Book Antiqua"/>
          <w:sz w:val="24"/>
          <w:szCs w:val="24"/>
        </w:rPr>
        <w:t>thus,</w:t>
      </w:r>
      <w:r w:rsidRPr="00923307">
        <w:rPr>
          <w:rFonts w:ascii="Book Antiqua" w:hAnsi="Book Antiqua"/>
          <w:sz w:val="24"/>
          <w:szCs w:val="24"/>
        </w:rPr>
        <w:t xml:space="preserve"> more studies are </w:t>
      </w:r>
      <w:r w:rsidR="00202732" w:rsidRPr="00923307">
        <w:rPr>
          <w:rFonts w:ascii="Book Antiqua" w:hAnsi="Book Antiqua"/>
          <w:sz w:val="24"/>
          <w:szCs w:val="24"/>
        </w:rPr>
        <w:t>needed</w:t>
      </w:r>
      <w:r w:rsidRPr="00923307">
        <w:rPr>
          <w:rFonts w:ascii="Book Antiqua" w:hAnsi="Book Antiqua"/>
          <w:sz w:val="24"/>
          <w:szCs w:val="24"/>
        </w:rPr>
        <w:t xml:space="preserve"> to </w:t>
      </w:r>
      <w:r w:rsidR="00202732" w:rsidRPr="00923307">
        <w:rPr>
          <w:rFonts w:ascii="Book Antiqua" w:hAnsi="Book Antiqua"/>
          <w:sz w:val="24"/>
          <w:szCs w:val="24"/>
        </w:rPr>
        <w:t xml:space="preserve">refine and </w:t>
      </w:r>
      <w:r w:rsidRPr="00923307">
        <w:rPr>
          <w:rFonts w:ascii="Book Antiqua" w:hAnsi="Book Antiqua"/>
          <w:sz w:val="24"/>
          <w:szCs w:val="24"/>
        </w:rPr>
        <w:t xml:space="preserve">validate the performance of MRE </w:t>
      </w:r>
      <w:r w:rsidR="00202732" w:rsidRPr="00923307">
        <w:rPr>
          <w:rFonts w:ascii="Book Antiqua" w:hAnsi="Book Antiqua"/>
          <w:sz w:val="24"/>
          <w:szCs w:val="24"/>
        </w:rPr>
        <w:t>for diagnosing</w:t>
      </w:r>
      <w:r w:rsidRPr="00923307">
        <w:rPr>
          <w:rFonts w:ascii="Book Antiqua" w:hAnsi="Book Antiqua"/>
          <w:sz w:val="24"/>
          <w:szCs w:val="24"/>
        </w:rPr>
        <w:t xml:space="preserve"> and evaluat</w:t>
      </w:r>
      <w:r w:rsidR="00202732" w:rsidRPr="00923307">
        <w:rPr>
          <w:rFonts w:ascii="Book Antiqua" w:hAnsi="Book Antiqua"/>
          <w:sz w:val="24"/>
          <w:szCs w:val="24"/>
        </w:rPr>
        <w:t>ing</w:t>
      </w:r>
      <w:r w:rsidRPr="00923307">
        <w:rPr>
          <w:rFonts w:ascii="Book Antiqua" w:hAnsi="Book Antiqua"/>
          <w:sz w:val="24"/>
          <w:szCs w:val="24"/>
        </w:rPr>
        <w:t xml:space="preserve"> HCC.</w:t>
      </w:r>
    </w:p>
    <w:p w14:paraId="1760F180" w14:textId="77777777" w:rsidR="00F32820" w:rsidRDefault="00F32820" w:rsidP="00327F62">
      <w:pPr>
        <w:snapToGrid w:val="0"/>
        <w:spacing w:line="360" w:lineRule="auto"/>
        <w:rPr>
          <w:rFonts w:ascii="Book Antiqua" w:hAnsi="Book Antiqua"/>
          <w:b/>
          <w:i/>
          <w:sz w:val="24"/>
          <w:szCs w:val="24"/>
        </w:rPr>
      </w:pPr>
    </w:p>
    <w:p w14:paraId="2E378007" w14:textId="35910427" w:rsidR="005B5EE9" w:rsidRPr="00923307" w:rsidRDefault="00085198" w:rsidP="00327F62">
      <w:pPr>
        <w:snapToGrid w:val="0"/>
        <w:spacing w:line="360" w:lineRule="auto"/>
        <w:rPr>
          <w:rFonts w:ascii="Book Antiqua" w:hAnsi="Book Antiqua"/>
          <w:b/>
          <w:i/>
          <w:sz w:val="24"/>
          <w:szCs w:val="24"/>
        </w:rPr>
      </w:pPr>
      <w:r w:rsidRPr="00923307">
        <w:rPr>
          <w:rFonts w:ascii="Book Antiqua" w:hAnsi="Book Antiqua"/>
          <w:b/>
          <w:i/>
          <w:sz w:val="24"/>
          <w:szCs w:val="24"/>
        </w:rPr>
        <w:t xml:space="preserve">Tumor metabolism imaging: </w:t>
      </w:r>
      <w:bookmarkStart w:id="94" w:name="_Hlk508806684"/>
      <w:r w:rsidRPr="00923307">
        <w:rPr>
          <w:rFonts w:ascii="Book Antiqua" w:hAnsi="Book Antiqua"/>
          <w:b/>
          <w:i/>
          <w:sz w:val="24"/>
          <w:szCs w:val="24"/>
        </w:rPr>
        <w:t>positron emission tomography</w:t>
      </w:r>
      <w:bookmarkEnd w:id="94"/>
    </w:p>
    <w:p w14:paraId="22375261" w14:textId="6D92D8B8" w:rsidR="005B5EE9" w:rsidRPr="00923307" w:rsidRDefault="00F20B3A" w:rsidP="00327F62">
      <w:pPr>
        <w:snapToGrid w:val="0"/>
        <w:spacing w:line="360" w:lineRule="auto"/>
        <w:rPr>
          <w:rFonts w:ascii="Book Antiqua" w:hAnsi="Book Antiqua"/>
          <w:sz w:val="24"/>
          <w:szCs w:val="24"/>
        </w:rPr>
      </w:pPr>
      <w:r w:rsidRPr="00F20B3A">
        <w:rPr>
          <w:rFonts w:ascii="Book Antiqua" w:hAnsi="Book Antiqua"/>
          <w:caps/>
          <w:sz w:val="24"/>
          <w:szCs w:val="24"/>
        </w:rPr>
        <w:t>p</w:t>
      </w:r>
      <w:r w:rsidRPr="00F20B3A">
        <w:rPr>
          <w:rFonts w:ascii="Book Antiqua" w:hAnsi="Book Antiqua"/>
          <w:sz w:val="24"/>
          <w:szCs w:val="24"/>
        </w:rPr>
        <w:t>ositron emission tomography (PET)</w:t>
      </w:r>
      <w:r>
        <w:rPr>
          <w:rFonts w:ascii="Book Antiqua" w:hAnsi="Book Antiqua" w:hint="eastAsia"/>
          <w:sz w:val="24"/>
          <w:szCs w:val="24"/>
        </w:rPr>
        <w:t xml:space="preserve"> </w:t>
      </w:r>
      <w:r w:rsidR="00085198" w:rsidRPr="00923307">
        <w:rPr>
          <w:rFonts w:ascii="Book Antiqua" w:hAnsi="Book Antiqua"/>
          <w:sz w:val="24"/>
          <w:szCs w:val="24"/>
        </w:rPr>
        <w:t xml:space="preserve">using </w:t>
      </w:r>
      <w:r w:rsidR="00085198" w:rsidRPr="00923307">
        <w:rPr>
          <w:rFonts w:ascii="Book Antiqua" w:hAnsi="Book Antiqua"/>
          <w:sz w:val="24"/>
          <w:szCs w:val="24"/>
          <w:vertAlign w:val="superscript"/>
        </w:rPr>
        <w:t>18</w:t>
      </w:r>
      <w:r w:rsidR="00085198" w:rsidRPr="00923307">
        <w:rPr>
          <w:rFonts w:ascii="Book Antiqua" w:hAnsi="Book Antiqua"/>
          <w:sz w:val="24"/>
          <w:szCs w:val="24"/>
        </w:rPr>
        <w:t>F-fluorodeoxyglucose (</w:t>
      </w:r>
      <w:r w:rsidR="00085198" w:rsidRPr="00923307">
        <w:rPr>
          <w:rFonts w:ascii="Book Antiqua" w:hAnsi="Book Antiqua"/>
          <w:sz w:val="24"/>
          <w:szCs w:val="24"/>
          <w:vertAlign w:val="superscript"/>
        </w:rPr>
        <w:t>18</w:t>
      </w:r>
      <w:r w:rsidR="00085198" w:rsidRPr="00923307">
        <w:rPr>
          <w:rFonts w:ascii="Book Antiqua" w:hAnsi="Book Antiqua"/>
          <w:sz w:val="24"/>
          <w:szCs w:val="24"/>
        </w:rPr>
        <w:t xml:space="preserve">F-FDG) as a radiotracer can provide information regarding tissue gluconeogenesis, which is elevated in most malignancies, including HCC. </w:t>
      </w:r>
      <w:r w:rsidR="00085198" w:rsidRPr="00923307">
        <w:rPr>
          <w:rFonts w:ascii="Book Antiqua" w:hAnsi="Book Antiqua"/>
          <w:sz w:val="24"/>
          <w:szCs w:val="24"/>
          <w:vertAlign w:val="superscript"/>
        </w:rPr>
        <w:t>18</w:t>
      </w:r>
      <w:r w:rsidR="00085198" w:rsidRPr="00923307">
        <w:rPr>
          <w:rFonts w:ascii="Book Antiqua" w:hAnsi="Book Antiqua"/>
          <w:sz w:val="24"/>
          <w:szCs w:val="24"/>
        </w:rPr>
        <w:t xml:space="preserve">F-FDG PET is not </w:t>
      </w:r>
      <w:r w:rsidR="00085198" w:rsidRPr="00923307">
        <w:rPr>
          <w:rFonts w:ascii="Book Antiqua" w:hAnsi="Book Antiqua"/>
          <w:sz w:val="24"/>
          <w:szCs w:val="24"/>
        </w:rPr>
        <w:lastRenderedPageBreak/>
        <w:t>used routinely in HCC imaging because of its limited sensitivity (</w:t>
      </w:r>
      <w:r w:rsidR="004C5982" w:rsidRPr="00923307">
        <w:rPr>
          <w:rFonts w:ascii="Book Antiqua" w:hAnsi="Book Antiqua"/>
          <w:sz w:val="24"/>
          <w:szCs w:val="24"/>
        </w:rPr>
        <w:t>about</w:t>
      </w:r>
      <w:r w:rsidR="00085198" w:rsidRPr="00923307">
        <w:rPr>
          <w:rFonts w:ascii="Book Antiqua" w:hAnsi="Book Antiqua"/>
          <w:sz w:val="24"/>
          <w:szCs w:val="24"/>
        </w:rPr>
        <w:t xml:space="preserve"> 50%-70%)</w:t>
      </w:r>
      <w:r w:rsidR="00F758F9">
        <w:rPr>
          <w:rFonts w:ascii="Book Antiqua" w:hAnsi="Book Antiqua"/>
          <w:sz w:val="24"/>
          <w:szCs w:val="24"/>
          <w:vertAlign w:val="superscript"/>
        </w:rPr>
        <w:t>[88,</w:t>
      </w:r>
      <w:r w:rsidR="00865DED" w:rsidRPr="00923307">
        <w:rPr>
          <w:rFonts w:ascii="Book Antiqua" w:hAnsi="Book Antiqua"/>
          <w:sz w:val="24"/>
          <w:szCs w:val="24"/>
          <w:vertAlign w:val="superscript"/>
        </w:rPr>
        <w:t>89]</w:t>
      </w:r>
      <w:r w:rsidR="00085198" w:rsidRPr="00923307">
        <w:rPr>
          <w:rFonts w:ascii="Book Antiqua" w:hAnsi="Book Antiqua"/>
          <w:sz w:val="24"/>
          <w:szCs w:val="24"/>
        </w:rPr>
        <w:t xml:space="preserve">. However, </w:t>
      </w:r>
      <w:r w:rsidR="00085198" w:rsidRPr="00923307">
        <w:rPr>
          <w:rFonts w:ascii="Book Antiqua" w:hAnsi="Book Antiqua"/>
          <w:sz w:val="24"/>
          <w:szCs w:val="24"/>
          <w:vertAlign w:val="superscript"/>
        </w:rPr>
        <w:t>18</w:t>
      </w:r>
      <w:r w:rsidR="00085198" w:rsidRPr="00923307">
        <w:rPr>
          <w:rFonts w:ascii="Book Antiqua" w:hAnsi="Book Antiqua"/>
          <w:sz w:val="24"/>
          <w:szCs w:val="24"/>
        </w:rPr>
        <w:t>F-FDG PET was reported to be useful in patient selection before liver transplantation</w:t>
      </w:r>
      <w:r w:rsidR="00865DED" w:rsidRPr="00923307">
        <w:rPr>
          <w:rFonts w:ascii="Book Antiqua" w:hAnsi="Book Antiqua"/>
          <w:sz w:val="24"/>
          <w:szCs w:val="24"/>
          <w:vertAlign w:val="superscript"/>
        </w:rPr>
        <w:t>[90]</w:t>
      </w:r>
      <w:r w:rsidR="00085198" w:rsidRPr="00923307">
        <w:rPr>
          <w:rFonts w:ascii="Book Antiqua" w:hAnsi="Book Antiqua"/>
          <w:sz w:val="24"/>
          <w:szCs w:val="24"/>
        </w:rPr>
        <w:t>, detection of extrahepatic metastases</w:t>
      </w:r>
      <w:r w:rsidR="00865DED" w:rsidRPr="00923307">
        <w:rPr>
          <w:rFonts w:ascii="Book Antiqua" w:hAnsi="Book Antiqua"/>
          <w:sz w:val="24"/>
          <w:szCs w:val="24"/>
          <w:vertAlign w:val="superscript"/>
        </w:rPr>
        <w:t>[91]</w:t>
      </w:r>
      <w:r w:rsidR="00085198" w:rsidRPr="00923307">
        <w:rPr>
          <w:rFonts w:ascii="Book Antiqua" w:hAnsi="Book Antiqua"/>
          <w:sz w:val="24"/>
          <w:szCs w:val="24"/>
        </w:rPr>
        <w:t xml:space="preserve"> and evaluation of tumor recurrence</w:t>
      </w:r>
      <w:r w:rsidR="00865DED" w:rsidRPr="00923307">
        <w:rPr>
          <w:rFonts w:ascii="Book Antiqua" w:hAnsi="Book Antiqua"/>
          <w:sz w:val="24"/>
          <w:szCs w:val="24"/>
          <w:vertAlign w:val="superscript"/>
        </w:rPr>
        <w:t>[92]</w:t>
      </w:r>
      <w:r w:rsidR="00085198" w:rsidRPr="00923307">
        <w:rPr>
          <w:rFonts w:ascii="Book Antiqua" w:hAnsi="Book Antiqua"/>
          <w:sz w:val="24"/>
          <w:szCs w:val="24"/>
        </w:rPr>
        <w:t xml:space="preserve">. </w:t>
      </w:r>
      <w:r w:rsidR="00202732" w:rsidRPr="00923307">
        <w:rPr>
          <w:rFonts w:ascii="Book Antiqua" w:hAnsi="Book Antiqua"/>
          <w:sz w:val="24"/>
          <w:szCs w:val="24"/>
        </w:rPr>
        <w:t>The i</w:t>
      </w:r>
      <w:r w:rsidR="00085198" w:rsidRPr="00923307">
        <w:rPr>
          <w:rFonts w:ascii="Book Antiqua" w:hAnsi="Book Antiqua"/>
          <w:sz w:val="24"/>
          <w:szCs w:val="24"/>
        </w:rPr>
        <w:t>ntroduction of novel radiotracers show</w:t>
      </w:r>
      <w:r w:rsidR="00202732" w:rsidRPr="00923307">
        <w:rPr>
          <w:rFonts w:ascii="Book Antiqua" w:hAnsi="Book Antiqua"/>
          <w:sz w:val="24"/>
          <w:szCs w:val="24"/>
        </w:rPr>
        <w:t>s</w:t>
      </w:r>
      <w:r w:rsidR="00085198" w:rsidRPr="00923307">
        <w:rPr>
          <w:rFonts w:ascii="Book Antiqua" w:hAnsi="Book Antiqua"/>
          <w:sz w:val="24"/>
          <w:szCs w:val="24"/>
        </w:rPr>
        <w:t xml:space="preserve"> promise in optimizing the sensitivity of PET for HCC, among which choline has been studied</w:t>
      </w:r>
      <w:r w:rsidR="00383A66" w:rsidRPr="00923307">
        <w:rPr>
          <w:rFonts w:ascii="Book Antiqua" w:hAnsi="Book Antiqua"/>
          <w:sz w:val="24"/>
          <w:szCs w:val="24"/>
        </w:rPr>
        <w:t xml:space="preserve"> the most</w:t>
      </w:r>
      <w:r w:rsidR="00085198" w:rsidRPr="00923307">
        <w:rPr>
          <w:rFonts w:ascii="Book Antiqua" w:hAnsi="Book Antiqua"/>
          <w:sz w:val="24"/>
          <w:szCs w:val="24"/>
        </w:rPr>
        <w:t>. It has been reported that the detection rate of 18F/11C-choline for HCC was 84%</w:t>
      </w:r>
      <w:r w:rsidR="00865DED" w:rsidRPr="00923307">
        <w:rPr>
          <w:rFonts w:ascii="Book Antiqua" w:hAnsi="Book Antiqua"/>
          <w:sz w:val="24"/>
          <w:szCs w:val="24"/>
          <w:vertAlign w:val="superscript"/>
        </w:rPr>
        <w:t>[93]</w:t>
      </w:r>
      <w:r w:rsidR="00085198" w:rsidRPr="00923307">
        <w:rPr>
          <w:rFonts w:ascii="Book Antiqua" w:hAnsi="Book Antiqua"/>
          <w:sz w:val="24"/>
          <w:szCs w:val="24"/>
        </w:rPr>
        <w:t>, and 18F-fluorocholine demonstrated significantly higher sensitivity for HCC detection than 18F-FDG</w:t>
      </w:r>
      <w:r w:rsidR="00865DED" w:rsidRPr="00923307">
        <w:rPr>
          <w:rFonts w:ascii="Book Antiqua" w:hAnsi="Book Antiqua"/>
          <w:sz w:val="24"/>
          <w:szCs w:val="24"/>
          <w:vertAlign w:val="superscript"/>
        </w:rPr>
        <w:t>[94]</w:t>
      </w:r>
      <w:r w:rsidR="00085198" w:rsidRPr="00923307">
        <w:rPr>
          <w:rFonts w:ascii="Book Antiqua" w:hAnsi="Book Antiqua"/>
          <w:sz w:val="24"/>
          <w:szCs w:val="24"/>
        </w:rPr>
        <w:t>.</w:t>
      </w:r>
      <w:r w:rsidR="00383A66" w:rsidRPr="00923307">
        <w:rPr>
          <w:rFonts w:ascii="Book Antiqua" w:hAnsi="Book Antiqua"/>
          <w:sz w:val="24"/>
          <w:szCs w:val="24"/>
        </w:rPr>
        <w:t xml:space="preserve"> Major imaging modalities and their reported diagnostic performances, advantages and </w:t>
      </w:r>
      <w:r w:rsidR="005830CD" w:rsidRPr="00923307">
        <w:rPr>
          <w:rFonts w:ascii="Book Antiqua" w:hAnsi="Book Antiqua"/>
          <w:sz w:val="24"/>
          <w:szCs w:val="24"/>
        </w:rPr>
        <w:t>limitations are illustrated in Table 1.</w:t>
      </w:r>
    </w:p>
    <w:p w14:paraId="7D1D793D" w14:textId="77777777" w:rsidR="00F32820" w:rsidRDefault="00F32820" w:rsidP="00327F62">
      <w:pPr>
        <w:snapToGrid w:val="0"/>
        <w:spacing w:line="360" w:lineRule="auto"/>
        <w:rPr>
          <w:rFonts w:ascii="Book Antiqua" w:hAnsi="Book Antiqua"/>
          <w:b/>
          <w:i/>
          <w:sz w:val="24"/>
          <w:szCs w:val="24"/>
        </w:rPr>
      </w:pPr>
    </w:p>
    <w:p w14:paraId="3F6011CE" w14:textId="77777777" w:rsidR="005B5EE9" w:rsidRPr="00923307" w:rsidRDefault="00085198" w:rsidP="00327F62">
      <w:pPr>
        <w:snapToGrid w:val="0"/>
        <w:spacing w:line="360" w:lineRule="auto"/>
        <w:rPr>
          <w:rFonts w:ascii="Book Antiqua" w:hAnsi="Book Antiqua"/>
          <w:b/>
          <w:i/>
          <w:sz w:val="24"/>
          <w:szCs w:val="24"/>
        </w:rPr>
      </w:pPr>
      <w:r w:rsidRPr="00923307">
        <w:rPr>
          <w:rFonts w:ascii="Book Antiqua" w:hAnsi="Book Antiqua"/>
          <w:b/>
          <w:i/>
          <w:sz w:val="24"/>
          <w:szCs w:val="24"/>
        </w:rPr>
        <w:t>Diagnostic algorithms and comparison of guidelines</w:t>
      </w:r>
    </w:p>
    <w:p w14:paraId="6397D903" w14:textId="64D119C1" w:rsidR="005B5EE9" w:rsidRPr="00923307" w:rsidRDefault="00335CA4" w:rsidP="00327F62">
      <w:pPr>
        <w:snapToGrid w:val="0"/>
        <w:spacing w:line="360" w:lineRule="auto"/>
        <w:rPr>
          <w:rFonts w:ascii="Book Antiqua" w:hAnsi="Book Antiqua"/>
          <w:sz w:val="24"/>
          <w:szCs w:val="24"/>
        </w:rPr>
      </w:pPr>
      <w:r w:rsidRPr="00923307">
        <w:rPr>
          <w:rFonts w:ascii="Book Antiqua" w:hAnsi="Book Antiqua"/>
          <w:sz w:val="24"/>
          <w:szCs w:val="24"/>
        </w:rPr>
        <w:t xml:space="preserve">According </w:t>
      </w:r>
      <w:r w:rsidR="00383A66" w:rsidRPr="00923307">
        <w:rPr>
          <w:rFonts w:ascii="Book Antiqua" w:hAnsi="Book Antiqua"/>
          <w:sz w:val="24"/>
          <w:szCs w:val="24"/>
        </w:rPr>
        <w:t>to</w:t>
      </w:r>
      <w:r w:rsidR="00085198" w:rsidRPr="00923307">
        <w:rPr>
          <w:rFonts w:ascii="Book Antiqua" w:hAnsi="Book Antiqua"/>
          <w:sz w:val="24"/>
          <w:szCs w:val="24"/>
        </w:rPr>
        <w:t xml:space="preserve"> </w:t>
      </w:r>
      <w:r w:rsidRPr="00923307">
        <w:rPr>
          <w:rFonts w:ascii="Book Antiqua" w:hAnsi="Book Antiqua"/>
          <w:sz w:val="24"/>
          <w:szCs w:val="24"/>
        </w:rPr>
        <w:t xml:space="preserve">the </w:t>
      </w:r>
      <w:r w:rsidR="00085198" w:rsidRPr="00923307">
        <w:rPr>
          <w:rFonts w:ascii="Book Antiqua" w:hAnsi="Book Antiqua"/>
          <w:sz w:val="24"/>
          <w:szCs w:val="24"/>
        </w:rPr>
        <w:t xml:space="preserve">advantages and limitations of different imaging techniques for HCC, various diagnostic algorithms have been recommended by guidelines from different regions and countries. Among them, guidelines proposed by the </w:t>
      </w:r>
      <w:bookmarkStart w:id="95" w:name="_Hlk508806704"/>
      <w:r w:rsidR="00085198" w:rsidRPr="00923307">
        <w:rPr>
          <w:rFonts w:ascii="Book Antiqua" w:hAnsi="Book Antiqua"/>
          <w:sz w:val="24"/>
          <w:szCs w:val="24"/>
        </w:rPr>
        <w:t>American Association for the Study of Liver Diseases (AASLD)</w:t>
      </w:r>
      <w:r w:rsidR="00865DED" w:rsidRPr="00923307">
        <w:rPr>
          <w:rFonts w:ascii="Book Antiqua" w:hAnsi="Book Antiqua"/>
          <w:sz w:val="24"/>
          <w:szCs w:val="24"/>
          <w:vertAlign w:val="superscript"/>
        </w:rPr>
        <w:t>[</w:t>
      </w:r>
      <w:r w:rsidR="00085198" w:rsidRPr="00923307">
        <w:rPr>
          <w:rFonts w:ascii="Book Antiqua" w:hAnsi="Book Antiqua"/>
          <w:sz w:val="24"/>
          <w:szCs w:val="24"/>
          <w:vertAlign w:val="superscript"/>
        </w:rPr>
        <w:t>14</w:t>
      </w:r>
      <w:r w:rsidR="00865DED" w:rsidRPr="00923307">
        <w:rPr>
          <w:rFonts w:ascii="Book Antiqua" w:hAnsi="Book Antiqua"/>
          <w:sz w:val="24"/>
          <w:szCs w:val="24"/>
          <w:vertAlign w:val="superscript"/>
        </w:rPr>
        <w:t>]</w:t>
      </w:r>
      <w:r w:rsidR="00085198" w:rsidRPr="00923307">
        <w:rPr>
          <w:rFonts w:ascii="Book Antiqua" w:hAnsi="Book Antiqua"/>
          <w:sz w:val="24"/>
          <w:szCs w:val="24"/>
        </w:rPr>
        <w:t xml:space="preserve">, </w:t>
      </w:r>
      <w:r w:rsidR="00383A66" w:rsidRPr="00923307">
        <w:rPr>
          <w:rFonts w:ascii="Book Antiqua" w:hAnsi="Book Antiqua"/>
          <w:sz w:val="24"/>
          <w:szCs w:val="24"/>
        </w:rPr>
        <w:t xml:space="preserve">the </w:t>
      </w:r>
      <w:r w:rsidR="00085198" w:rsidRPr="00923307">
        <w:rPr>
          <w:rFonts w:ascii="Book Antiqua" w:hAnsi="Book Antiqua"/>
          <w:sz w:val="24"/>
          <w:szCs w:val="24"/>
        </w:rPr>
        <w:t>ACR</w:t>
      </w:r>
      <w:r w:rsidR="00865DED" w:rsidRPr="00923307">
        <w:rPr>
          <w:rFonts w:ascii="Book Antiqua" w:hAnsi="Book Antiqua"/>
          <w:sz w:val="24"/>
          <w:szCs w:val="24"/>
          <w:vertAlign w:val="superscript"/>
        </w:rPr>
        <w:t>[9]</w:t>
      </w:r>
      <w:r w:rsidR="00085198" w:rsidRPr="00923307">
        <w:rPr>
          <w:rFonts w:ascii="Book Antiqua" w:hAnsi="Book Antiqua"/>
          <w:sz w:val="24"/>
          <w:szCs w:val="24"/>
        </w:rPr>
        <w:t>, the European Association for the Study of the Liver and the European Organization for Research and Treatment of Cancer (EASL-EORTC)</w:t>
      </w:r>
      <w:r w:rsidR="00865DED" w:rsidRPr="00923307">
        <w:rPr>
          <w:rFonts w:ascii="Book Antiqua" w:hAnsi="Book Antiqua"/>
          <w:sz w:val="24"/>
          <w:szCs w:val="24"/>
          <w:vertAlign w:val="superscript"/>
        </w:rPr>
        <w:t>[1</w:t>
      </w:r>
      <w:r w:rsidR="00085198" w:rsidRPr="00923307">
        <w:rPr>
          <w:rFonts w:ascii="Book Antiqua" w:hAnsi="Book Antiqua"/>
          <w:sz w:val="24"/>
          <w:szCs w:val="24"/>
          <w:vertAlign w:val="superscript"/>
        </w:rPr>
        <w:t>5</w:t>
      </w:r>
      <w:r w:rsidR="00865DED" w:rsidRPr="00923307">
        <w:rPr>
          <w:rFonts w:ascii="Book Antiqua" w:hAnsi="Book Antiqua"/>
          <w:sz w:val="24"/>
          <w:szCs w:val="24"/>
          <w:vertAlign w:val="superscript"/>
        </w:rPr>
        <w:t>]</w:t>
      </w:r>
      <w:r w:rsidR="00085198" w:rsidRPr="00923307">
        <w:rPr>
          <w:rFonts w:ascii="Book Antiqua" w:hAnsi="Book Antiqua"/>
          <w:sz w:val="24"/>
          <w:szCs w:val="24"/>
        </w:rPr>
        <w:t>, the Asian Pacific Association for the Study of the Liver (APASL)</w:t>
      </w:r>
      <w:r w:rsidR="00865DED" w:rsidRPr="00923307">
        <w:rPr>
          <w:rFonts w:ascii="Book Antiqua" w:hAnsi="Book Antiqua"/>
          <w:sz w:val="24"/>
          <w:szCs w:val="24"/>
          <w:vertAlign w:val="superscript"/>
        </w:rPr>
        <w:t>[7]</w:t>
      </w:r>
      <w:r w:rsidR="00085198" w:rsidRPr="00923307">
        <w:rPr>
          <w:rFonts w:ascii="Book Antiqua" w:hAnsi="Book Antiqua"/>
          <w:sz w:val="24"/>
          <w:szCs w:val="24"/>
        </w:rPr>
        <w:t>, the Japan Society of Hepatology and the Liver Cancer Study Group of Japan (JSH-LCSG)</w:t>
      </w:r>
      <w:r w:rsidR="009C2D9A" w:rsidRPr="00923307">
        <w:rPr>
          <w:rFonts w:ascii="Book Antiqua" w:hAnsi="Book Antiqua"/>
          <w:sz w:val="24"/>
          <w:szCs w:val="24"/>
          <w:vertAlign w:val="superscript"/>
        </w:rPr>
        <w:t>[1</w:t>
      </w:r>
      <w:r w:rsidR="00085198" w:rsidRPr="00923307">
        <w:rPr>
          <w:rFonts w:ascii="Book Antiqua" w:hAnsi="Book Antiqua"/>
          <w:sz w:val="24"/>
          <w:szCs w:val="24"/>
          <w:vertAlign w:val="superscript"/>
        </w:rPr>
        <w:t>1</w:t>
      </w:r>
      <w:r w:rsidR="00865DED" w:rsidRPr="00923307">
        <w:rPr>
          <w:rFonts w:ascii="Book Antiqua" w:hAnsi="Book Antiqua"/>
          <w:sz w:val="24"/>
          <w:szCs w:val="24"/>
          <w:vertAlign w:val="superscript"/>
        </w:rPr>
        <w:t>]</w:t>
      </w:r>
      <w:r w:rsidR="00085198" w:rsidRPr="00923307">
        <w:rPr>
          <w:rFonts w:ascii="Book Antiqua" w:hAnsi="Book Antiqua"/>
          <w:sz w:val="24"/>
          <w:szCs w:val="24"/>
        </w:rPr>
        <w:t>, the Korean Liver Cancer Study Group and the National Cancer Center (KLCSG-NCC)</w:t>
      </w:r>
      <w:r w:rsidR="009C2D9A" w:rsidRPr="00923307">
        <w:rPr>
          <w:rFonts w:ascii="Book Antiqua" w:hAnsi="Book Antiqua"/>
          <w:sz w:val="24"/>
          <w:szCs w:val="24"/>
          <w:vertAlign w:val="superscript"/>
        </w:rPr>
        <w:t>[1</w:t>
      </w:r>
      <w:r w:rsidR="00085198" w:rsidRPr="00923307">
        <w:rPr>
          <w:rFonts w:ascii="Book Antiqua" w:hAnsi="Book Antiqua"/>
          <w:sz w:val="24"/>
          <w:szCs w:val="24"/>
          <w:vertAlign w:val="superscript"/>
        </w:rPr>
        <w:t>2</w:t>
      </w:r>
      <w:r w:rsidR="00865DED" w:rsidRPr="00923307">
        <w:rPr>
          <w:rFonts w:ascii="Book Antiqua" w:hAnsi="Book Antiqua"/>
          <w:sz w:val="24"/>
          <w:szCs w:val="24"/>
          <w:vertAlign w:val="superscript"/>
        </w:rPr>
        <w:t>]</w:t>
      </w:r>
      <w:r w:rsidR="00085198" w:rsidRPr="00923307">
        <w:rPr>
          <w:rFonts w:ascii="Book Antiqua" w:hAnsi="Book Antiqua"/>
          <w:sz w:val="24"/>
          <w:szCs w:val="24"/>
        </w:rPr>
        <w:t>, China</w:t>
      </w:r>
      <w:r w:rsidR="00865DED" w:rsidRPr="00923307">
        <w:rPr>
          <w:rFonts w:ascii="Book Antiqua" w:hAnsi="Book Antiqua"/>
          <w:sz w:val="24"/>
          <w:szCs w:val="24"/>
          <w:vertAlign w:val="superscript"/>
        </w:rPr>
        <w:t>[95]</w:t>
      </w:r>
      <w:r w:rsidR="00085198" w:rsidRPr="00923307">
        <w:rPr>
          <w:rFonts w:ascii="Book Antiqua" w:hAnsi="Book Antiqua"/>
          <w:sz w:val="24"/>
          <w:szCs w:val="24"/>
        </w:rPr>
        <w:t xml:space="preserve"> and the Indian National Association for study of the Liver (INASL)</w:t>
      </w:r>
      <w:r w:rsidR="009C2D9A" w:rsidRPr="00923307">
        <w:rPr>
          <w:rFonts w:ascii="Book Antiqua" w:hAnsi="Book Antiqua"/>
          <w:sz w:val="24"/>
          <w:szCs w:val="24"/>
          <w:vertAlign w:val="superscript"/>
        </w:rPr>
        <w:t>[1</w:t>
      </w:r>
      <w:r w:rsidR="00085198" w:rsidRPr="00923307">
        <w:rPr>
          <w:rFonts w:ascii="Book Antiqua" w:hAnsi="Book Antiqua"/>
          <w:sz w:val="24"/>
          <w:szCs w:val="24"/>
          <w:vertAlign w:val="superscript"/>
        </w:rPr>
        <w:t>6</w:t>
      </w:r>
      <w:r w:rsidR="00865DED" w:rsidRPr="00923307">
        <w:rPr>
          <w:rFonts w:ascii="Book Antiqua" w:hAnsi="Book Antiqua"/>
          <w:sz w:val="24"/>
          <w:szCs w:val="24"/>
          <w:vertAlign w:val="superscript"/>
        </w:rPr>
        <w:t>]</w:t>
      </w:r>
      <w:r w:rsidR="00085198" w:rsidRPr="00923307">
        <w:rPr>
          <w:rFonts w:ascii="Book Antiqua" w:hAnsi="Book Antiqua"/>
          <w:sz w:val="24"/>
          <w:szCs w:val="24"/>
        </w:rPr>
        <w:t xml:space="preserve"> </w:t>
      </w:r>
      <w:bookmarkEnd w:id="95"/>
      <w:r w:rsidR="00085198" w:rsidRPr="00923307">
        <w:rPr>
          <w:rFonts w:ascii="Book Antiqua" w:hAnsi="Book Antiqua"/>
          <w:sz w:val="24"/>
          <w:szCs w:val="24"/>
        </w:rPr>
        <w:t>are the most influential ones. Notably, the</w:t>
      </w:r>
      <w:r w:rsidR="00383A66" w:rsidRPr="00923307">
        <w:rPr>
          <w:rFonts w:ascii="Book Antiqua" w:hAnsi="Book Antiqua"/>
          <w:sz w:val="24"/>
          <w:szCs w:val="24"/>
        </w:rPr>
        <w:t>se</w:t>
      </w:r>
      <w:r w:rsidR="00085198" w:rsidRPr="00923307">
        <w:rPr>
          <w:rFonts w:ascii="Book Antiqua" w:hAnsi="Book Antiqua"/>
          <w:sz w:val="24"/>
          <w:szCs w:val="24"/>
        </w:rPr>
        <w:t xml:space="preserve"> diagnostic algorithms should only be applied to patients with increased risk</w:t>
      </w:r>
      <w:r w:rsidRPr="00923307">
        <w:rPr>
          <w:rFonts w:ascii="Book Antiqua" w:hAnsi="Book Antiqua"/>
          <w:sz w:val="24"/>
          <w:szCs w:val="24"/>
        </w:rPr>
        <w:t>s</w:t>
      </w:r>
      <w:r w:rsidR="00085198" w:rsidRPr="00923307">
        <w:rPr>
          <w:rFonts w:ascii="Book Antiqua" w:hAnsi="Book Antiqua"/>
          <w:sz w:val="24"/>
          <w:szCs w:val="24"/>
        </w:rPr>
        <w:t xml:space="preserve"> </w:t>
      </w:r>
      <w:r w:rsidR="00383A66" w:rsidRPr="00923307">
        <w:rPr>
          <w:rFonts w:ascii="Book Antiqua" w:hAnsi="Book Antiqua"/>
          <w:sz w:val="24"/>
          <w:szCs w:val="24"/>
        </w:rPr>
        <w:t>of</w:t>
      </w:r>
      <w:r w:rsidR="00085198" w:rsidRPr="00923307">
        <w:rPr>
          <w:rFonts w:ascii="Book Antiqua" w:hAnsi="Book Antiqua"/>
          <w:sz w:val="24"/>
          <w:szCs w:val="24"/>
        </w:rPr>
        <w:t xml:space="preserve"> developing HCC, including adult patients with cirrhosis, chronic HBV and/or HCV infection</w:t>
      </w:r>
      <w:r w:rsidR="00383A66" w:rsidRPr="00923307">
        <w:rPr>
          <w:rFonts w:ascii="Book Antiqua" w:hAnsi="Book Antiqua"/>
          <w:sz w:val="24"/>
          <w:szCs w:val="24"/>
        </w:rPr>
        <w:t>s</w:t>
      </w:r>
      <w:r w:rsidR="00085198" w:rsidRPr="00923307">
        <w:rPr>
          <w:rFonts w:ascii="Book Antiqua" w:hAnsi="Book Antiqua"/>
          <w:sz w:val="24"/>
          <w:szCs w:val="24"/>
        </w:rPr>
        <w:t xml:space="preserve">, </w:t>
      </w:r>
      <w:r w:rsidR="00383A66" w:rsidRPr="00923307">
        <w:rPr>
          <w:rFonts w:ascii="Book Antiqua" w:hAnsi="Book Antiqua"/>
          <w:sz w:val="24"/>
          <w:szCs w:val="24"/>
        </w:rPr>
        <w:t xml:space="preserve">or </w:t>
      </w:r>
      <w:r w:rsidR="00085198" w:rsidRPr="00923307">
        <w:rPr>
          <w:rFonts w:ascii="Book Antiqua" w:hAnsi="Book Antiqua"/>
          <w:sz w:val="24"/>
          <w:szCs w:val="24"/>
        </w:rPr>
        <w:t xml:space="preserve">current or prior HCC. The size-based diagnostic algorithms were endorsed by 5 guidelines (KLCSG-NCC, INASL, China, EASL-EORTC and AASLD). When a nodule is detected in </w:t>
      </w:r>
      <w:r w:rsidR="00383A66" w:rsidRPr="00923307">
        <w:rPr>
          <w:rFonts w:ascii="Book Antiqua" w:hAnsi="Book Antiqua"/>
          <w:sz w:val="24"/>
          <w:szCs w:val="24"/>
        </w:rPr>
        <w:t xml:space="preserve">a </w:t>
      </w:r>
      <w:r w:rsidR="00085198" w:rsidRPr="00923307">
        <w:rPr>
          <w:rFonts w:ascii="Book Antiqua" w:hAnsi="Book Antiqua"/>
          <w:sz w:val="24"/>
          <w:szCs w:val="24"/>
        </w:rPr>
        <w:t>high</w:t>
      </w:r>
      <w:r w:rsidR="00383A66" w:rsidRPr="00923307">
        <w:rPr>
          <w:rFonts w:ascii="Book Antiqua" w:hAnsi="Book Antiqua"/>
          <w:sz w:val="24"/>
          <w:szCs w:val="24"/>
        </w:rPr>
        <w:t>-</w:t>
      </w:r>
      <w:r w:rsidR="00085198" w:rsidRPr="00923307">
        <w:rPr>
          <w:rFonts w:ascii="Book Antiqua" w:hAnsi="Book Antiqua"/>
          <w:sz w:val="24"/>
          <w:szCs w:val="24"/>
        </w:rPr>
        <w:t xml:space="preserve">risk patient, further evaluation and diagnosis </w:t>
      </w:r>
      <w:r w:rsidR="00383A66" w:rsidRPr="00923307">
        <w:rPr>
          <w:rFonts w:ascii="Book Antiqua" w:hAnsi="Book Antiqua"/>
          <w:sz w:val="24"/>
          <w:szCs w:val="24"/>
        </w:rPr>
        <w:t>should</w:t>
      </w:r>
      <w:r w:rsidR="00085198" w:rsidRPr="00923307">
        <w:rPr>
          <w:rFonts w:ascii="Book Antiqua" w:hAnsi="Book Antiqua"/>
          <w:sz w:val="24"/>
          <w:szCs w:val="24"/>
        </w:rPr>
        <w:t xml:space="preserve"> be made according to the nodule diameter. The diagnostic cut-off size of 1 cm is </w:t>
      </w:r>
      <w:r w:rsidRPr="00923307">
        <w:rPr>
          <w:rFonts w:ascii="Book Antiqua" w:hAnsi="Book Antiqua"/>
          <w:sz w:val="24"/>
          <w:szCs w:val="24"/>
        </w:rPr>
        <w:t>recommended</w:t>
      </w:r>
      <w:r w:rsidR="00085198" w:rsidRPr="00923307">
        <w:rPr>
          <w:rFonts w:ascii="Book Antiqua" w:hAnsi="Book Antiqua"/>
          <w:sz w:val="24"/>
          <w:szCs w:val="24"/>
        </w:rPr>
        <w:t xml:space="preserve"> by most guidelines, except for </w:t>
      </w:r>
      <w:r w:rsidR="00383A66" w:rsidRPr="00923307">
        <w:rPr>
          <w:rFonts w:ascii="Book Antiqua" w:hAnsi="Book Antiqua"/>
          <w:sz w:val="24"/>
          <w:szCs w:val="24"/>
        </w:rPr>
        <w:t xml:space="preserve">the </w:t>
      </w:r>
      <w:r w:rsidR="00085198" w:rsidRPr="00923307">
        <w:rPr>
          <w:rFonts w:ascii="Book Antiqua" w:hAnsi="Book Antiqua"/>
          <w:sz w:val="24"/>
          <w:szCs w:val="24"/>
        </w:rPr>
        <w:t xml:space="preserve">Chinese guideline, in which a cut-off size of 2 cm </w:t>
      </w:r>
      <w:r w:rsidR="00F849F5" w:rsidRPr="00923307">
        <w:rPr>
          <w:rFonts w:ascii="Book Antiqua" w:hAnsi="Book Antiqua"/>
          <w:sz w:val="24"/>
          <w:szCs w:val="24"/>
        </w:rPr>
        <w:t>is</w:t>
      </w:r>
      <w:r w:rsidR="00085198" w:rsidRPr="00923307">
        <w:rPr>
          <w:rFonts w:ascii="Book Antiqua" w:hAnsi="Book Antiqua"/>
          <w:sz w:val="24"/>
          <w:szCs w:val="24"/>
        </w:rPr>
        <w:t xml:space="preserve"> </w:t>
      </w:r>
      <w:r w:rsidR="00085198" w:rsidRPr="00923307">
        <w:rPr>
          <w:rFonts w:ascii="Book Antiqua" w:hAnsi="Book Antiqua"/>
          <w:sz w:val="24"/>
          <w:szCs w:val="24"/>
        </w:rPr>
        <w:lastRenderedPageBreak/>
        <w:t xml:space="preserve">adopted. The non-size-based diagnostic algorithms stratify nodules by their typical enhancement patterns on dynamic CT or MRI regardless of </w:t>
      </w:r>
      <w:r w:rsidR="00383A66" w:rsidRPr="00923307">
        <w:rPr>
          <w:rFonts w:ascii="Book Antiqua" w:hAnsi="Book Antiqua"/>
          <w:sz w:val="24"/>
          <w:szCs w:val="24"/>
        </w:rPr>
        <w:t xml:space="preserve">the </w:t>
      </w:r>
      <w:r w:rsidR="00085198" w:rsidRPr="00923307">
        <w:rPr>
          <w:rFonts w:ascii="Book Antiqua" w:hAnsi="Book Antiqua"/>
          <w:sz w:val="24"/>
          <w:szCs w:val="24"/>
        </w:rPr>
        <w:t>nodule sizes, as recommended by the remaining 2 guidelines (JSH-LCSG and APASL). Generally, contrast-enhanced dynamic CT and/or MR are the recommended noninvasive diagnostic modalities, and the prime diagnostic criteria endorsed by most guideline</w:t>
      </w:r>
      <w:r w:rsidR="00383A66" w:rsidRPr="00923307">
        <w:rPr>
          <w:rFonts w:ascii="Book Antiqua" w:hAnsi="Book Antiqua"/>
          <w:sz w:val="24"/>
          <w:szCs w:val="24"/>
        </w:rPr>
        <w:t>s</w:t>
      </w:r>
      <w:r w:rsidR="00085198" w:rsidRPr="00923307">
        <w:rPr>
          <w:rFonts w:ascii="Book Antiqua" w:hAnsi="Book Antiqua"/>
          <w:sz w:val="24"/>
          <w:szCs w:val="24"/>
        </w:rPr>
        <w:t xml:space="preserve"> </w:t>
      </w:r>
      <w:r w:rsidR="00F849F5" w:rsidRPr="00923307">
        <w:rPr>
          <w:rFonts w:ascii="Book Antiqua" w:hAnsi="Book Antiqua"/>
          <w:sz w:val="24"/>
          <w:szCs w:val="24"/>
        </w:rPr>
        <w:t>with</w:t>
      </w:r>
      <w:r w:rsidR="00085198" w:rsidRPr="00923307">
        <w:rPr>
          <w:rFonts w:ascii="Book Antiqua" w:hAnsi="Book Antiqua"/>
          <w:sz w:val="24"/>
          <w:szCs w:val="24"/>
        </w:rPr>
        <w:t xml:space="preserve"> typical patterns comprising arterial phase hyperenhancement and portal venous and/or delayed phase wash-out</w:t>
      </w:r>
      <w:r w:rsidR="00F849F5" w:rsidRPr="00923307">
        <w:rPr>
          <w:rFonts w:ascii="Book Antiqua" w:hAnsi="Book Antiqua"/>
          <w:sz w:val="24"/>
          <w:szCs w:val="24"/>
        </w:rPr>
        <w:t>. B</w:t>
      </w:r>
      <w:r w:rsidR="00085198" w:rsidRPr="00923307">
        <w:rPr>
          <w:rFonts w:ascii="Book Antiqua" w:hAnsi="Book Antiqua"/>
          <w:sz w:val="24"/>
          <w:szCs w:val="24"/>
        </w:rPr>
        <w:t xml:space="preserve">iopsy is considered only for suspicious nodules without typical dynamic enhancement pattern, or nodules still inconclusive after a second alternative imaging technique. </w:t>
      </w:r>
    </w:p>
    <w:p w14:paraId="536D2560" w14:textId="501E2D13" w:rsidR="005B5EE9" w:rsidRPr="00923307" w:rsidRDefault="00085198" w:rsidP="00327F62">
      <w:pPr>
        <w:snapToGrid w:val="0"/>
        <w:spacing w:line="360" w:lineRule="auto"/>
        <w:ind w:firstLine="429"/>
        <w:rPr>
          <w:rFonts w:ascii="Book Antiqua" w:hAnsi="Book Antiqua"/>
          <w:sz w:val="24"/>
          <w:szCs w:val="24"/>
        </w:rPr>
      </w:pPr>
      <w:r w:rsidRPr="00923307">
        <w:rPr>
          <w:rFonts w:ascii="Book Antiqua" w:hAnsi="Book Antiqua"/>
          <w:sz w:val="24"/>
          <w:szCs w:val="24"/>
        </w:rPr>
        <w:t xml:space="preserve">Despite similarities in the diagnostic criteria for HCC across different guidelines, discrepancies also exist in the use of tumor markers such as </w:t>
      </w:r>
      <w:r w:rsidR="00383A66" w:rsidRPr="00923307">
        <w:rPr>
          <w:rFonts w:ascii="Book Antiqua" w:hAnsi="Book Antiqua"/>
          <w:sz w:val="24"/>
          <w:szCs w:val="24"/>
        </w:rPr>
        <w:t>alpha</w:t>
      </w:r>
      <w:r w:rsidR="005830CD" w:rsidRPr="00923307">
        <w:rPr>
          <w:rFonts w:ascii="Book Antiqua" w:hAnsi="Book Antiqua"/>
          <w:sz w:val="24"/>
          <w:szCs w:val="24"/>
        </w:rPr>
        <w:t>-</w:t>
      </w:r>
      <w:r w:rsidR="00383A66" w:rsidRPr="00923307">
        <w:rPr>
          <w:rFonts w:ascii="Book Antiqua" w:hAnsi="Book Antiqua"/>
          <w:sz w:val="24"/>
          <w:szCs w:val="24"/>
        </w:rPr>
        <w:t>fetoprotein (</w:t>
      </w:r>
      <w:r w:rsidRPr="00923307">
        <w:rPr>
          <w:rFonts w:ascii="Book Antiqua" w:hAnsi="Book Antiqua"/>
          <w:sz w:val="24"/>
          <w:szCs w:val="24"/>
        </w:rPr>
        <w:t>AFP</w:t>
      </w:r>
      <w:r w:rsidR="00383A66" w:rsidRPr="00923307">
        <w:rPr>
          <w:rFonts w:ascii="Book Antiqua" w:hAnsi="Book Antiqua"/>
          <w:sz w:val="24"/>
          <w:szCs w:val="24"/>
        </w:rPr>
        <w:t>)</w:t>
      </w:r>
      <w:r w:rsidRPr="00923307">
        <w:rPr>
          <w:rFonts w:ascii="Book Antiqua" w:hAnsi="Book Antiqua"/>
          <w:sz w:val="24"/>
          <w:szCs w:val="24"/>
        </w:rPr>
        <w:t>, the number of required imaging modalities and the use of CEUS and/or the h</w:t>
      </w:r>
      <w:r w:rsidR="00F849F5" w:rsidRPr="00923307">
        <w:rPr>
          <w:rFonts w:ascii="Book Antiqua" w:hAnsi="Book Antiqua"/>
          <w:sz w:val="24"/>
          <w:szCs w:val="24"/>
        </w:rPr>
        <w:t>epatobiliary contrast agent</w:t>
      </w:r>
      <w:r w:rsidRPr="00923307">
        <w:rPr>
          <w:rFonts w:ascii="Book Antiqua" w:hAnsi="Book Antiqua"/>
          <w:sz w:val="24"/>
          <w:szCs w:val="24"/>
        </w:rPr>
        <w:t xml:space="preserve"> Gd-EOB-DTPA. Diagnostic systems advocated by </w:t>
      </w:r>
      <w:r w:rsidR="00383A66" w:rsidRPr="00923307">
        <w:rPr>
          <w:rFonts w:ascii="Book Antiqua" w:hAnsi="Book Antiqua"/>
          <w:sz w:val="24"/>
          <w:szCs w:val="24"/>
        </w:rPr>
        <w:t>W</w:t>
      </w:r>
      <w:r w:rsidRPr="00923307">
        <w:rPr>
          <w:rFonts w:ascii="Book Antiqua" w:hAnsi="Book Antiqua"/>
          <w:sz w:val="24"/>
          <w:szCs w:val="24"/>
        </w:rPr>
        <w:t xml:space="preserve">estern guidelines including the EASL-EORTC and AASLD are </w:t>
      </w:r>
      <w:r w:rsidR="00F849F5" w:rsidRPr="00923307">
        <w:rPr>
          <w:rFonts w:ascii="Book Antiqua" w:hAnsi="Book Antiqua"/>
          <w:sz w:val="24"/>
          <w:szCs w:val="24"/>
        </w:rPr>
        <w:t xml:space="preserve">more </w:t>
      </w:r>
      <w:r w:rsidRPr="00923307">
        <w:rPr>
          <w:rFonts w:ascii="Book Antiqua" w:hAnsi="Book Antiqua"/>
          <w:sz w:val="24"/>
          <w:szCs w:val="24"/>
        </w:rPr>
        <w:t xml:space="preserve">intended to </w:t>
      </w:r>
      <w:r w:rsidR="00F849F5" w:rsidRPr="00923307">
        <w:rPr>
          <w:rFonts w:ascii="Book Antiqua" w:hAnsi="Book Antiqua"/>
          <w:sz w:val="24"/>
          <w:szCs w:val="24"/>
        </w:rPr>
        <w:t>improve</w:t>
      </w:r>
      <w:r w:rsidRPr="00923307">
        <w:rPr>
          <w:rFonts w:ascii="Book Antiqua" w:hAnsi="Book Antiqua"/>
          <w:sz w:val="24"/>
          <w:szCs w:val="24"/>
        </w:rPr>
        <w:t xml:space="preserve"> the specificity of HCC diagnosis, while algorithms proposed by Asian guidelines tend to attain maximum sensitivity for HCC detection. For example, most Asian guidelines included the use of CEUS in their diagnostic algorithms, </w:t>
      </w:r>
      <w:r w:rsidR="00F849F5" w:rsidRPr="00923307">
        <w:rPr>
          <w:rFonts w:ascii="Book Antiqua" w:hAnsi="Book Antiqua"/>
          <w:sz w:val="24"/>
          <w:szCs w:val="24"/>
        </w:rPr>
        <w:t>and</w:t>
      </w:r>
      <w:r w:rsidRPr="00923307">
        <w:rPr>
          <w:rFonts w:ascii="Book Antiqua" w:hAnsi="Book Antiqua"/>
          <w:sz w:val="24"/>
          <w:szCs w:val="24"/>
        </w:rPr>
        <w:t xml:space="preserve"> 2 of them (KLCSG-NCC and China) </w:t>
      </w:r>
      <w:r w:rsidR="00F849F5" w:rsidRPr="00923307">
        <w:rPr>
          <w:rFonts w:ascii="Book Antiqua" w:hAnsi="Book Antiqua"/>
          <w:sz w:val="24"/>
          <w:szCs w:val="24"/>
        </w:rPr>
        <w:t>included</w:t>
      </w:r>
      <w:r w:rsidRPr="00923307">
        <w:rPr>
          <w:rFonts w:ascii="Book Antiqua" w:hAnsi="Book Antiqua"/>
          <w:sz w:val="24"/>
          <w:szCs w:val="24"/>
        </w:rPr>
        <w:t xml:space="preserve"> </w:t>
      </w:r>
      <w:r w:rsidR="00F849F5" w:rsidRPr="00923307">
        <w:rPr>
          <w:rFonts w:ascii="Book Antiqua" w:hAnsi="Book Antiqua"/>
          <w:sz w:val="24"/>
          <w:szCs w:val="24"/>
        </w:rPr>
        <w:t xml:space="preserve">serum </w:t>
      </w:r>
      <w:r w:rsidRPr="00923307">
        <w:rPr>
          <w:rFonts w:ascii="Book Antiqua" w:hAnsi="Book Antiqua"/>
          <w:sz w:val="24"/>
          <w:szCs w:val="24"/>
        </w:rPr>
        <w:t xml:space="preserve">AFP levels. </w:t>
      </w:r>
      <w:r w:rsidR="00383A66" w:rsidRPr="00923307">
        <w:rPr>
          <w:rFonts w:ascii="Book Antiqua" w:hAnsi="Book Antiqua"/>
          <w:sz w:val="24"/>
          <w:szCs w:val="24"/>
        </w:rPr>
        <w:t>In contrast,</w:t>
      </w:r>
      <w:r w:rsidRPr="00923307">
        <w:rPr>
          <w:rFonts w:ascii="Book Antiqua" w:hAnsi="Book Antiqua"/>
          <w:sz w:val="24"/>
          <w:szCs w:val="24"/>
        </w:rPr>
        <w:t xml:space="preserve"> AFP </w:t>
      </w:r>
      <w:r w:rsidR="00383A66" w:rsidRPr="00923307">
        <w:rPr>
          <w:rFonts w:ascii="Book Antiqua" w:hAnsi="Book Antiqua"/>
          <w:sz w:val="24"/>
          <w:szCs w:val="24"/>
        </w:rPr>
        <w:t xml:space="preserve">levels </w:t>
      </w:r>
      <w:r w:rsidRPr="00923307">
        <w:rPr>
          <w:rFonts w:ascii="Book Antiqua" w:hAnsi="Book Antiqua"/>
          <w:sz w:val="24"/>
          <w:szCs w:val="24"/>
        </w:rPr>
        <w:t xml:space="preserve">and CEUS </w:t>
      </w:r>
      <w:r w:rsidR="00383A66" w:rsidRPr="00923307">
        <w:rPr>
          <w:rFonts w:ascii="Book Antiqua" w:hAnsi="Book Antiqua"/>
          <w:sz w:val="24"/>
          <w:szCs w:val="24"/>
        </w:rPr>
        <w:t>were</w:t>
      </w:r>
      <w:r w:rsidRPr="00923307">
        <w:rPr>
          <w:rFonts w:ascii="Book Antiqua" w:hAnsi="Book Antiqua"/>
          <w:sz w:val="24"/>
          <w:szCs w:val="24"/>
        </w:rPr>
        <w:t xml:space="preserve"> considered </w:t>
      </w:r>
      <w:r w:rsidR="00383A66" w:rsidRPr="00923307">
        <w:rPr>
          <w:rFonts w:ascii="Book Antiqua" w:hAnsi="Book Antiqua"/>
          <w:sz w:val="24"/>
          <w:szCs w:val="24"/>
        </w:rPr>
        <w:t xml:space="preserve">less </w:t>
      </w:r>
      <w:r w:rsidR="00F849F5" w:rsidRPr="00923307">
        <w:rPr>
          <w:rFonts w:ascii="Book Antiqua" w:hAnsi="Book Antiqua"/>
          <w:sz w:val="24"/>
          <w:szCs w:val="24"/>
        </w:rPr>
        <w:t xml:space="preserve">valuable </w:t>
      </w:r>
      <w:r w:rsidRPr="00923307">
        <w:rPr>
          <w:rFonts w:ascii="Book Antiqua" w:hAnsi="Book Antiqua"/>
          <w:sz w:val="24"/>
          <w:szCs w:val="24"/>
        </w:rPr>
        <w:t xml:space="preserve">or even removed in </w:t>
      </w:r>
      <w:r w:rsidR="00383A66" w:rsidRPr="00923307">
        <w:rPr>
          <w:rFonts w:ascii="Book Antiqua" w:hAnsi="Book Antiqua"/>
          <w:sz w:val="24"/>
          <w:szCs w:val="24"/>
        </w:rPr>
        <w:t xml:space="preserve">guidelines from </w:t>
      </w:r>
      <w:r w:rsidRPr="00923307">
        <w:rPr>
          <w:rFonts w:ascii="Book Antiqua" w:hAnsi="Book Antiqua"/>
          <w:sz w:val="24"/>
          <w:szCs w:val="24"/>
        </w:rPr>
        <w:t xml:space="preserve">Europe and the United States. The use of Gd-EOB-DTPA-enhanced MRI is also controversial. All </w:t>
      </w:r>
      <w:r w:rsidR="00383A66" w:rsidRPr="00923307">
        <w:rPr>
          <w:rFonts w:ascii="Book Antiqua" w:hAnsi="Book Antiqua"/>
          <w:sz w:val="24"/>
          <w:szCs w:val="24"/>
        </w:rPr>
        <w:t xml:space="preserve">the </w:t>
      </w:r>
      <w:r w:rsidRPr="00923307">
        <w:rPr>
          <w:rFonts w:ascii="Book Antiqua" w:hAnsi="Book Antiqua"/>
          <w:sz w:val="24"/>
          <w:szCs w:val="24"/>
        </w:rPr>
        <w:t xml:space="preserve">Asian </w:t>
      </w:r>
      <w:r w:rsidR="0066658F" w:rsidRPr="00923307">
        <w:rPr>
          <w:rFonts w:ascii="Book Antiqua" w:hAnsi="Book Antiqua"/>
          <w:sz w:val="24"/>
          <w:szCs w:val="24"/>
        </w:rPr>
        <w:t>algorithms</w:t>
      </w:r>
      <w:r w:rsidRPr="00923307">
        <w:rPr>
          <w:rFonts w:ascii="Book Antiqua" w:hAnsi="Book Antiqua"/>
          <w:sz w:val="24"/>
          <w:szCs w:val="24"/>
        </w:rPr>
        <w:t xml:space="preserve"> </w:t>
      </w:r>
      <w:r w:rsidR="0066658F" w:rsidRPr="00923307">
        <w:rPr>
          <w:rFonts w:ascii="Book Antiqua" w:hAnsi="Book Antiqua"/>
          <w:sz w:val="24"/>
          <w:szCs w:val="24"/>
        </w:rPr>
        <w:t xml:space="preserve">recommended performing </w:t>
      </w:r>
      <w:r w:rsidRPr="00923307">
        <w:rPr>
          <w:rFonts w:ascii="Book Antiqua" w:hAnsi="Book Antiqua"/>
          <w:sz w:val="24"/>
          <w:szCs w:val="24"/>
        </w:rPr>
        <w:t xml:space="preserve">Gd-EOB-DTPA-enhanced MRI, </w:t>
      </w:r>
      <w:r w:rsidR="0066658F" w:rsidRPr="00923307">
        <w:rPr>
          <w:rFonts w:ascii="Book Antiqua" w:hAnsi="Book Antiqua"/>
          <w:sz w:val="24"/>
          <w:szCs w:val="24"/>
        </w:rPr>
        <w:t>and it was even endorsed as the first-line diagnostic modality for HCC in</w:t>
      </w:r>
      <w:r w:rsidRPr="00923307">
        <w:rPr>
          <w:rFonts w:ascii="Book Antiqua" w:hAnsi="Book Antiqua"/>
          <w:sz w:val="24"/>
          <w:szCs w:val="24"/>
        </w:rPr>
        <w:t xml:space="preserve"> the JSH-LCSG and APASL guidelines. However, Gd-EOB-DTPA-enhanced MRI is not yet used as a primary diagnostic test in </w:t>
      </w:r>
      <w:r w:rsidR="00383A66" w:rsidRPr="00923307">
        <w:rPr>
          <w:rFonts w:ascii="Book Antiqua" w:hAnsi="Book Antiqua"/>
          <w:sz w:val="24"/>
          <w:szCs w:val="24"/>
        </w:rPr>
        <w:t xml:space="preserve">guidelines from </w:t>
      </w:r>
      <w:r w:rsidRPr="00923307">
        <w:rPr>
          <w:rFonts w:ascii="Book Antiqua" w:hAnsi="Book Antiqua"/>
          <w:sz w:val="24"/>
          <w:szCs w:val="24"/>
        </w:rPr>
        <w:t xml:space="preserve">Europe or America, but rather as a complementary technique to dynamic images. </w:t>
      </w:r>
      <w:r w:rsidR="00383A66" w:rsidRPr="00923307">
        <w:rPr>
          <w:rFonts w:ascii="Book Antiqua" w:hAnsi="Book Antiqua"/>
          <w:sz w:val="24"/>
          <w:szCs w:val="24"/>
        </w:rPr>
        <w:t>Similarities and differences of different guidelines are illustrated in Table 2.</w:t>
      </w:r>
    </w:p>
    <w:p w14:paraId="1D3FB330" w14:textId="107E43C2" w:rsidR="005830CD" w:rsidRPr="00923307" w:rsidRDefault="00085198" w:rsidP="00327F62">
      <w:pPr>
        <w:snapToGrid w:val="0"/>
        <w:spacing w:line="360" w:lineRule="auto"/>
        <w:ind w:firstLine="429"/>
        <w:rPr>
          <w:rFonts w:ascii="Book Antiqua" w:hAnsi="Book Antiqua"/>
          <w:sz w:val="24"/>
          <w:szCs w:val="24"/>
        </w:rPr>
      </w:pPr>
      <w:r w:rsidRPr="00923307">
        <w:rPr>
          <w:rFonts w:ascii="Book Antiqua" w:hAnsi="Book Antiqua"/>
          <w:sz w:val="24"/>
          <w:szCs w:val="24"/>
        </w:rPr>
        <w:t xml:space="preserve">Notably, the LI-RADS system proposed by </w:t>
      </w:r>
      <w:r w:rsidR="00383A66" w:rsidRPr="00923307">
        <w:rPr>
          <w:rFonts w:ascii="Book Antiqua" w:hAnsi="Book Antiqua"/>
          <w:sz w:val="24"/>
          <w:szCs w:val="24"/>
        </w:rPr>
        <w:t xml:space="preserve">the </w:t>
      </w:r>
      <w:r w:rsidRPr="00923307">
        <w:rPr>
          <w:rFonts w:ascii="Book Antiqua" w:hAnsi="Book Antiqua"/>
          <w:sz w:val="24"/>
          <w:szCs w:val="24"/>
        </w:rPr>
        <w:t xml:space="preserve">ACR provided a separate algorithm for US screening and surveillance of HCC and guidance on the diagnosis of non-HCC malignancies and macrovascular invasion, which have </w:t>
      </w:r>
      <w:r w:rsidRPr="00923307">
        <w:rPr>
          <w:rFonts w:ascii="Book Antiqua" w:hAnsi="Book Antiqua"/>
          <w:sz w:val="24"/>
          <w:szCs w:val="24"/>
        </w:rPr>
        <w:lastRenderedPageBreak/>
        <w:t xml:space="preserve">been beyond the scope of other diagnostic systems </w:t>
      </w:r>
      <w:r w:rsidR="00383A66" w:rsidRPr="00923307">
        <w:rPr>
          <w:rFonts w:ascii="Book Antiqua" w:hAnsi="Book Antiqua"/>
          <w:sz w:val="24"/>
          <w:szCs w:val="24"/>
        </w:rPr>
        <w:t>thus</w:t>
      </w:r>
      <w:r w:rsidRPr="00923307">
        <w:rPr>
          <w:rFonts w:ascii="Book Antiqua" w:hAnsi="Book Antiqua"/>
          <w:sz w:val="24"/>
          <w:szCs w:val="24"/>
        </w:rPr>
        <w:t xml:space="preserve"> far. Moreover, several ancillary imaging features were incorporated into the </w:t>
      </w:r>
      <w:r w:rsidR="0066658F" w:rsidRPr="00923307">
        <w:rPr>
          <w:rFonts w:ascii="Book Antiqua" w:hAnsi="Book Antiqua"/>
          <w:sz w:val="24"/>
          <w:szCs w:val="24"/>
        </w:rPr>
        <w:t xml:space="preserve">LI-RADS </w:t>
      </w:r>
      <w:r w:rsidRPr="00923307">
        <w:rPr>
          <w:rFonts w:ascii="Book Antiqua" w:hAnsi="Book Antiqua"/>
          <w:sz w:val="24"/>
          <w:szCs w:val="24"/>
        </w:rPr>
        <w:t>algorithm. Although the levels of evidence supporting the</w:t>
      </w:r>
      <w:r w:rsidR="00383A66" w:rsidRPr="00923307">
        <w:rPr>
          <w:rFonts w:ascii="Book Antiqua" w:hAnsi="Book Antiqua"/>
          <w:sz w:val="24"/>
          <w:szCs w:val="24"/>
        </w:rPr>
        <w:t>se</w:t>
      </w:r>
      <w:r w:rsidRPr="00923307">
        <w:rPr>
          <w:rFonts w:ascii="Book Antiqua" w:hAnsi="Book Antiqua"/>
          <w:sz w:val="24"/>
          <w:szCs w:val="24"/>
        </w:rPr>
        <w:t xml:space="preserve"> ancillary features remain relatively low, these features demonstrate </w:t>
      </w:r>
      <w:r w:rsidR="00383A66" w:rsidRPr="00923307">
        <w:rPr>
          <w:rFonts w:ascii="Book Antiqua" w:hAnsi="Book Antiqua"/>
          <w:sz w:val="24"/>
          <w:szCs w:val="24"/>
        </w:rPr>
        <w:t>great</w:t>
      </w:r>
      <w:r w:rsidRPr="00923307">
        <w:rPr>
          <w:rFonts w:ascii="Book Antiqua" w:hAnsi="Book Antiqua"/>
          <w:sz w:val="24"/>
          <w:szCs w:val="24"/>
        </w:rPr>
        <w:t xml:space="preserve"> potential </w:t>
      </w:r>
      <w:r w:rsidR="00383A66" w:rsidRPr="00923307">
        <w:rPr>
          <w:rFonts w:ascii="Book Antiqua" w:hAnsi="Book Antiqua"/>
          <w:sz w:val="24"/>
          <w:szCs w:val="24"/>
        </w:rPr>
        <w:t>for</w:t>
      </w:r>
      <w:r w:rsidRPr="00923307">
        <w:rPr>
          <w:rFonts w:ascii="Book Antiqua" w:hAnsi="Book Antiqua"/>
          <w:sz w:val="24"/>
          <w:szCs w:val="24"/>
        </w:rPr>
        <w:t xml:space="preserve"> improving detection and characterization of liver nodules. </w:t>
      </w:r>
      <w:r w:rsidR="00383A66" w:rsidRPr="00923307">
        <w:rPr>
          <w:rFonts w:ascii="Book Antiqua" w:hAnsi="Book Antiqua"/>
          <w:sz w:val="24"/>
          <w:szCs w:val="24"/>
        </w:rPr>
        <w:t>In addition</w:t>
      </w:r>
      <w:r w:rsidRPr="00923307">
        <w:rPr>
          <w:rFonts w:ascii="Book Antiqua" w:hAnsi="Book Antiqua"/>
          <w:sz w:val="24"/>
          <w:szCs w:val="24"/>
        </w:rPr>
        <w:t xml:space="preserve">, a treatment response assessment algorithm for malignant hepatic lesions treated </w:t>
      </w:r>
      <w:r w:rsidR="00383A66" w:rsidRPr="00923307">
        <w:rPr>
          <w:rFonts w:ascii="Book Antiqua" w:hAnsi="Book Antiqua"/>
          <w:sz w:val="24"/>
          <w:szCs w:val="24"/>
        </w:rPr>
        <w:t>with</w:t>
      </w:r>
      <w:r w:rsidRPr="00923307">
        <w:rPr>
          <w:rFonts w:ascii="Book Antiqua" w:hAnsi="Book Antiqua"/>
          <w:sz w:val="24"/>
          <w:szCs w:val="24"/>
        </w:rPr>
        <w:t xml:space="preserve"> locoregional therapies has been advocated in the most recent LI-RADS system, allowing a comprehensive assessment of treatment response to different locoregional therapies. Therefore, the LI-RADS system shows promise </w:t>
      </w:r>
      <w:r w:rsidR="0066658F" w:rsidRPr="00923307">
        <w:rPr>
          <w:rFonts w:ascii="Book Antiqua" w:hAnsi="Book Antiqua"/>
          <w:sz w:val="24"/>
          <w:szCs w:val="24"/>
        </w:rPr>
        <w:t>in</w:t>
      </w:r>
      <w:r w:rsidRPr="00923307">
        <w:rPr>
          <w:rFonts w:ascii="Book Antiqua" w:hAnsi="Book Antiqua"/>
          <w:sz w:val="24"/>
          <w:szCs w:val="24"/>
        </w:rPr>
        <w:t xml:space="preserve"> optimizing the diagnostic accuracies of current noninvasive modalities for liver nodules, but more </w:t>
      </w:r>
      <w:r w:rsidR="00383A66" w:rsidRPr="00923307">
        <w:rPr>
          <w:rFonts w:ascii="Book Antiqua" w:hAnsi="Book Antiqua"/>
          <w:sz w:val="24"/>
          <w:szCs w:val="24"/>
        </w:rPr>
        <w:t>studies</w:t>
      </w:r>
      <w:r w:rsidRPr="00923307">
        <w:rPr>
          <w:rFonts w:ascii="Book Antiqua" w:hAnsi="Book Antiqua"/>
          <w:sz w:val="24"/>
          <w:szCs w:val="24"/>
        </w:rPr>
        <w:t xml:space="preserve"> are needed to further validate the performance of this algorithm in prospective cohorts. </w:t>
      </w:r>
    </w:p>
    <w:bookmarkEnd w:id="19"/>
    <w:p w14:paraId="52525257" w14:textId="77777777" w:rsidR="00F758F9" w:rsidRDefault="00F758F9" w:rsidP="00327F62">
      <w:pPr>
        <w:snapToGrid w:val="0"/>
        <w:spacing w:line="360" w:lineRule="auto"/>
        <w:rPr>
          <w:rFonts w:ascii="Book Antiqua" w:hAnsi="Book Antiqua"/>
          <w:b/>
          <w:i/>
          <w:sz w:val="24"/>
          <w:szCs w:val="24"/>
        </w:rPr>
      </w:pPr>
    </w:p>
    <w:p w14:paraId="78C612B0" w14:textId="77777777" w:rsidR="0066658F" w:rsidRPr="0028132A" w:rsidRDefault="00085198" w:rsidP="00327F62">
      <w:pPr>
        <w:snapToGrid w:val="0"/>
        <w:spacing w:line="360" w:lineRule="auto"/>
        <w:rPr>
          <w:rFonts w:ascii="Book Antiqua" w:hAnsi="Book Antiqua"/>
          <w:b/>
          <w:caps/>
          <w:sz w:val="24"/>
          <w:szCs w:val="24"/>
        </w:rPr>
      </w:pPr>
      <w:r w:rsidRPr="0028132A">
        <w:rPr>
          <w:rFonts w:ascii="Book Antiqua" w:hAnsi="Book Antiqua"/>
          <w:b/>
          <w:caps/>
          <w:sz w:val="24"/>
          <w:szCs w:val="24"/>
        </w:rPr>
        <w:t>Staging of HCC</w:t>
      </w:r>
    </w:p>
    <w:p w14:paraId="70B13E93" w14:textId="1D7E4568" w:rsidR="005B5EE9" w:rsidRPr="00923307" w:rsidRDefault="00085198" w:rsidP="00327F62">
      <w:pPr>
        <w:snapToGrid w:val="0"/>
        <w:spacing w:line="360" w:lineRule="auto"/>
        <w:rPr>
          <w:rFonts w:ascii="Book Antiqua" w:hAnsi="Book Antiqua"/>
          <w:b/>
          <w:sz w:val="24"/>
          <w:szCs w:val="24"/>
        </w:rPr>
      </w:pPr>
      <w:r w:rsidRPr="00923307">
        <w:rPr>
          <w:rFonts w:ascii="Book Antiqua" w:hAnsi="Book Antiqua"/>
          <w:sz w:val="24"/>
          <w:szCs w:val="24"/>
        </w:rPr>
        <w:t>Several staging systems based on dynamic contrast-enhanced multiphasic CT and MRI have been developed for HCC. The</w:t>
      </w:r>
      <w:bookmarkStart w:id="96" w:name="_Hlk508806823"/>
      <w:r w:rsidRPr="00923307">
        <w:rPr>
          <w:rFonts w:ascii="Book Antiqua" w:hAnsi="Book Antiqua"/>
          <w:sz w:val="24"/>
          <w:szCs w:val="24"/>
        </w:rPr>
        <w:t xml:space="preserve"> Barcelona Clinic Liver Cancer </w:t>
      </w:r>
      <w:bookmarkEnd w:id="96"/>
      <w:r w:rsidRPr="00923307">
        <w:rPr>
          <w:rFonts w:ascii="Book Antiqua" w:hAnsi="Book Antiqua"/>
          <w:sz w:val="24"/>
          <w:szCs w:val="24"/>
        </w:rPr>
        <w:t xml:space="preserve">(BCLC) classification is currently the most widely used staging system and has been endorsed by </w:t>
      </w:r>
      <w:r w:rsidR="005830CD" w:rsidRPr="00923307">
        <w:rPr>
          <w:rFonts w:ascii="Book Antiqua" w:hAnsi="Book Antiqua"/>
          <w:sz w:val="24"/>
          <w:szCs w:val="24"/>
        </w:rPr>
        <w:t xml:space="preserve">the </w:t>
      </w:r>
      <w:r w:rsidRPr="00923307">
        <w:rPr>
          <w:rFonts w:ascii="Book Antiqua" w:hAnsi="Book Antiqua"/>
          <w:sz w:val="24"/>
          <w:szCs w:val="24"/>
        </w:rPr>
        <w:t>EASL-EORTC</w:t>
      </w:r>
      <w:r w:rsidR="00865DED" w:rsidRPr="00923307">
        <w:rPr>
          <w:rFonts w:ascii="Book Antiqua" w:hAnsi="Book Antiqua"/>
          <w:sz w:val="24"/>
          <w:szCs w:val="24"/>
          <w:vertAlign w:val="superscript"/>
        </w:rPr>
        <w:t>[</w:t>
      </w:r>
      <w:r w:rsidRPr="00923307">
        <w:rPr>
          <w:rFonts w:ascii="Book Antiqua" w:hAnsi="Book Antiqua"/>
          <w:sz w:val="24"/>
          <w:szCs w:val="24"/>
          <w:vertAlign w:val="superscript"/>
        </w:rPr>
        <w:t>15</w:t>
      </w:r>
      <w:r w:rsidR="00865DED" w:rsidRPr="00923307">
        <w:rPr>
          <w:rFonts w:ascii="Book Antiqua" w:hAnsi="Book Antiqua"/>
          <w:sz w:val="24"/>
          <w:szCs w:val="24"/>
          <w:vertAlign w:val="superscript"/>
        </w:rPr>
        <w:t>]</w:t>
      </w:r>
      <w:r w:rsidRPr="00923307">
        <w:rPr>
          <w:rFonts w:ascii="Book Antiqua" w:hAnsi="Book Antiqua"/>
          <w:sz w:val="24"/>
          <w:szCs w:val="24"/>
        </w:rPr>
        <w:t xml:space="preserve"> and </w:t>
      </w:r>
      <w:r w:rsidR="005830CD" w:rsidRPr="00923307">
        <w:rPr>
          <w:rFonts w:ascii="Book Antiqua" w:hAnsi="Book Antiqua"/>
          <w:sz w:val="24"/>
          <w:szCs w:val="24"/>
        </w:rPr>
        <w:t xml:space="preserve">the </w:t>
      </w:r>
      <w:r w:rsidR="00F758F9">
        <w:rPr>
          <w:rFonts w:ascii="Book Antiqua" w:hAnsi="Book Antiqua"/>
          <w:sz w:val="24"/>
          <w:szCs w:val="24"/>
        </w:rPr>
        <w:t>AASLD</w:t>
      </w:r>
      <w:r w:rsidR="00865DED" w:rsidRPr="00923307">
        <w:rPr>
          <w:rFonts w:ascii="Book Antiqua" w:hAnsi="Book Antiqua"/>
          <w:sz w:val="24"/>
          <w:szCs w:val="24"/>
          <w:vertAlign w:val="superscript"/>
        </w:rPr>
        <w:t>[</w:t>
      </w:r>
      <w:r w:rsidRPr="00923307">
        <w:rPr>
          <w:rFonts w:ascii="Book Antiqua" w:hAnsi="Book Antiqua"/>
          <w:sz w:val="24"/>
          <w:szCs w:val="24"/>
          <w:vertAlign w:val="superscript"/>
        </w:rPr>
        <w:t>14</w:t>
      </w:r>
      <w:r w:rsidR="00865DED" w:rsidRPr="00923307">
        <w:rPr>
          <w:rFonts w:ascii="Book Antiqua" w:hAnsi="Book Antiqua"/>
          <w:sz w:val="24"/>
          <w:szCs w:val="24"/>
          <w:vertAlign w:val="superscript"/>
        </w:rPr>
        <w:t>]</w:t>
      </w:r>
      <w:r w:rsidRPr="00923307">
        <w:rPr>
          <w:rFonts w:ascii="Book Antiqua" w:hAnsi="Book Antiqua"/>
          <w:sz w:val="24"/>
          <w:szCs w:val="24"/>
        </w:rPr>
        <w:t xml:space="preserve"> as the standard staging system for HCC. The BCLC classification incorporates radiologic staging of HCC (size and number of HCC nodules, presence of nodal and macrovascular invasion and extrahepatic metastases), with liver function and physiologic status</w:t>
      </w:r>
      <w:r w:rsidR="00865DED" w:rsidRPr="00923307">
        <w:rPr>
          <w:rFonts w:ascii="Book Antiqua" w:hAnsi="Book Antiqua"/>
          <w:sz w:val="24"/>
          <w:szCs w:val="24"/>
          <w:vertAlign w:val="superscript"/>
        </w:rPr>
        <w:t>[96]</w:t>
      </w:r>
      <w:r w:rsidRPr="00923307">
        <w:rPr>
          <w:rFonts w:ascii="Book Antiqua" w:hAnsi="Book Antiqua"/>
          <w:sz w:val="24"/>
          <w:szCs w:val="24"/>
        </w:rPr>
        <w:t xml:space="preserve">. A corresponding treatment schedule, from liver resection and transplantation to best supportive care, is recommended for each stage. The BCLC system demonstrated superior capacity in treatment guidance, </w:t>
      </w:r>
      <w:r w:rsidR="005830CD" w:rsidRPr="00923307">
        <w:rPr>
          <w:rFonts w:ascii="Book Antiqua" w:hAnsi="Book Antiqua"/>
          <w:sz w:val="24"/>
          <w:szCs w:val="24"/>
        </w:rPr>
        <w:t>particularly</w:t>
      </w:r>
      <w:r w:rsidRPr="00923307">
        <w:rPr>
          <w:rFonts w:ascii="Book Antiqua" w:hAnsi="Book Antiqua"/>
          <w:sz w:val="24"/>
          <w:szCs w:val="24"/>
        </w:rPr>
        <w:t xml:space="preserve"> fo</w:t>
      </w:r>
      <w:r w:rsidR="00F758F9">
        <w:rPr>
          <w:rFonts w:ascii="Book Antiqua" w:hAnsi="Book Antiqua"/>
          <w:sz w:val="24"/>
          <w:szCs w:val="24"/>
        </w:rPr>
        <w:t>r patients with early stage HCC</w:t>
      </w:r>
      <w:r w:rsidR="009C2D9A" w:rsidRPr="00F758F9">
        <w:rPr>
          <w:rFonts w:ascii="Book Antiqua" w:hAnsi="Book Antiqua"/>
          <w:sz w:val="24"/>
          <w:szCs w:val="24"/>
          <w:vertAlign w:val="superscript"/>
        </w:rPr>
        <w:t>[</w:t>
      </w:r>
      <w:r w:rsidRPr="00923307">
        <w:rPr>
          <w:rFonts w:ascii="Book Antiqua" w:hAnsi="Book Antiqua"/>
          <w:sz w:val="24"/>
          <w:szCs w:val="24"/>
          <w:vertAlign w:val="superscript"/>
        </w:rPr>
        <w:t>14</w:t>
      </w:r>
      <w:r w:rsidR="009C2D9A" w:rsidRPr="00923307">
        <w:rPr>
          <w:rFonts w:ascii="Book Antiqua" w:hAnsi="Book Antiqua"/>
          <w:sz w:val="24"/>
          <w:szCs w:val="24"/>
          <w:vertAlign w:val="superscript"/>
        </w:rPr>
        <w:t>]</w:t>
      </w:r>
      <w:r w:rsidRPr="00923307">
        <w:rPr>
          <w:rFonts w:ascii="Book Antiqua" w:hAnsi="Book Antiqua"/>
          <w:sz w:val="24"/>
          <w:szCs w:val="24"/>
        </w:rPr>
        <w:t>, and prognosis prediction</w:t>
      </w:r>
      <w:r w:rsidR="00865DED" w:rsidRPr="00923307">
        <w:rPr>
          <w:rFonts w:ascii="Book Antiqua" w:hAnsi="Book Antiqua"/>
          <w:sz w:val="24"/>
          <w:szCs w:val="24"/>
          <w:vertAlign w:val="superscript"/>
        </w:rPr>
        <w:t>[97-99</w:t>
      </w:r>
      <w:r w:rsidR="009C2D9A" w:rsidRPr="00923307">
        <w:rPr>
          <w:rFonts w:ascii="Book Antiqua" w:hAnsi="Book Antiqua"/>
          <w:sz w:val="24"/>
          <w:szCs w:val="24"/>
          <w:vertAlign w:val="superscript"/>
        </w:rPr>
        <w:t>]</w:t>
      </w:r>
      <w:r w:rsidRPr="00923307">
        <w:rPr>
          <w:rFonts w:ascii="Book Antiqua" w:hAnsi="Book Antiqua"/>
          <w:sz w:val="24"/>
          <w:szCs w:val="24"/>
        </w:rPr>
        <w:t xml:space="preserve">. However, the performance of this system may be affected due to considerable heterogeneity of disease severity within </w:t>
      </w:r>
      <w:r w:rsidR="005830CD" w:rsidRPr="00923307">
        <w:rPr>
          <w:rFonts w:ascii="Book Antiqua" w:hAnsi="Book Antiqua"/>
          <w:sz w:val="24"/>
          <w:szCs w:val="24"/>
        </w:rPr>
        <w:t xml:space="preserve">the </w:t>
      </w:r>
      <w:r w:rsidRPr="00923307">
        <w:rPr>
          <w:rFonts w:ascii="Book Antiqua" w:hAnsi="Book Antiqua"/>
          <w:sz w:val="24"/>
          <w:szCs w:val="24"/>
        </w:rPr>
        <w:t>intermediate stage (BCLC-</w:t>
      </w:r>
      <w:r w:rsidR="00F758F9">
        <w:rPr>
          <w:rFonts w:ascii="Book Antiqua" w:hAnsi="Book Antiqua"/>
          <w:sz w:val="24"/>
          <w:szCs w:val="24"/>
        </w:rPr>
        <w:t>B)</w:t>
      </w:r>
      <w:r w:rsidR="00865DED" w:rsidRPr="00923307">
        <w:rPr>
          <w:rFonts w:ascii="Book Antiqua" w:hAnsi="Book Antiqua"/>
          <w:sz w:val="24"/>
          <w:szCs w:val="24"/>
          <w:vertAlign w:val="superscript"/>
        </w:rPr>
        <w:t>[71]</w:t>
      </w:r>
      <w:r w:rsidRPr="00923307">
        <w:rPr>
          <w:rFonts w:ascii="Book Antiqua" w:hAnsi="Book Antiqua"/>
          <w:sz w:val="24"/>
          <w:szCs w:val="24"/>
        </w:rPr>
        <w:t xml:space="preserve">. </w:t>
      </w:r>
      <w:r w:rsidR="005830CD" w:rsidRPr="00923307">
        <w:rPr>
          <w:rFonts w:ascii="Book Antiqua" w:hAnsi="Book Antiqua"/>
          <w:sz w:val="24"/>
          <w:szCs w:val="24"/>
        </w:rPr>
        <w:t>In addition,</w:t>
      </w:r>
      <w:r w:rsidRPr="00923307">
        <w:rPr>
          <w:rFonts w:ascii="Book Antiqua" w:hAnsi="Book Antiqua"/>
          <w:sz w:val="24"/>
          <w:szCs w:val="24"/>
        </w:rPr>
        <w:t xml:space="preserve"> </w:t>
      </w:r>
      <w:r w:rsidR="005830CD" w:rsidRPr="00923307">
        <w:rPr>
          <w:rFonts w:ascii="Book Antiqua" w:hAnsi="Book Antiqua"/>
          <w:sz w:val="24"/>
          <w:szCs w:val="24"/>
        </w:rPr>
        <w:t xml:space="preserve">a </w:t>
      </w:r>
      <w:r w:rsidRPr="00923307">
        <w:rPr>
          <w:rFonts w:ascii="Book Antiqua" w:hAnsi="Book Antiqua"/>
          <w:sz w:val="24"/>
          <w:szCs w:val="24"/>
        </w:rPr>
        <w:t xml:space="preserve">worldwide consensus on the optimal staging system for HCC </w:t>
      </w:r>
      <w:r w:rsidR="005830CD" w:rsidRPr="00923307">
        <w:rPr>
          <w:rFonts w:ascii="Book Antiqua" w:hAnsi="Book Antiqua"/>
          <w:sz w:val="24"/>
          <w:szCs w:val="24"/>
        </w:rPr>
        <w:t>has not</w:t>
      </w:r>
      <w:r w:rsidRPr="00923307">
        <w:rPr>
          <w:rFonts w:ascii="Book Antiqua" w:hAnsi="Book Antiqua"/>
          <w:sz w:val="24"/>
          <w:szCs w:val="24"/>
        </w:rPr>
        <w:t xml:space="preserve"> been reached yet. </w:t>
      </w:r>
    </w:p>
    <w:p w14:paraId="4D9B1A71" w14:textId="77777777" w:rsidR="00F758F9" w:rsidRDefault="00F758F9" w:rsidP="00327F62">
      <w:pPr>
        <w:snapToGrid w:val="0"/>
        <w:spacing w:line="360" w:lineRule="auto"/>
        <w:rPr>
          <w:rFonts w:ascii="Book Antiqua" w:hAnsi="Book Antiqua"/>
          <w:b/>
          <w:i/>
          <w:sz w:val="24"/>
          <w:szCs w:val="24"/>
        </w:rPr>
      </w:pPr>
    </w:p>
    <w:p w14:paraId="5ABA76FA" w14:textId="77777777" w:rsidR="005B5EE9" w:rsidRPr="0028132A" w:rsidRDefault="00085198" w:rsidP="00327F62">
      <w:pPr>
        <w:snapToGrid w:val="0"/>
        <w:spacing w:line="360" w:lineRule="auto"/>
        <w:rPr>
          <w:rFonts w:ascii="Book Antiqua" w:hAnsi="Book Antiqua"/>
          <w:b/>
          <w:caps/>
          <w:sz w:val="24"/>
          <w:szCs w:val="24"/>
        </w:rPr>
      </w:pPr>
      <w:r w:rsidRPr="0028132A">
        <w:rPr>
          <w:rFonts w:ascii="Book Antiqua" w:hAnsi="Book Antiqua"/>
          <w:b/>
          <w:caps/>
          <w:sz w:val="24"/>
          <w:szCs w:val="24"/>
        </w:rPr>
        <w:t>Surveillance of HCC</w:t>
      </w:r>
    </w:p>
    <w:p w14:paraId="3E732C1D" w14:textId="76267B3D" w:rsidR="005B5EE9" w:rsidRPr="00923307" w:rsidRDefault="00085198" w:rsidP="00327F62">
      <w:pPr>
        <w:snapToGrid w:val="0"/>
        <w:spacing w:line="360" w:lineRule="auto"/>
        <w:rPr>
          <w:rFonts w:ascii="Book Antiqua" w:hAnsi="Book Antiqua"/>
          <w:sz w:val="24"/>
          <w:szCs w:val="24"/>
        </w:rPr>
      </w:pPr>
      <w:r w:rsidRPr="00923307">
        <w:rPr>
          <w:rFonts w:ascii="Book Antiqua" w:hAnsi="Book Antiqua"/>
          <w:sz w:val="24"/>
          <w:szCs w:val="24"/>
        </w:rPr>
        <w:lastRenderedPageBreak/>
        <w:t>Several guidelines have recommended US as the first-line surveillance modalit</w:t>
      </w:r>
      <w:r w:rsidR="00F758F9">
        <w:rPr>
          <w:rFonts w:ascii="Book Antiqua" w:hAnsi="Book Antiqua"/>
          <w:sz w:val="24"/>
          <w:szCs w:val="24"/>
        </w:rPr>
        <w:t>y for HCC in high-risk patients</w:t>
      </w:r>
      <w:r w:rsidR="00865DED" w:rsidRPr="00923307">
        <w:rPr>
          <w:rFonts w:ascii="Book Antiqua" w:hAnsi="Book Antiqua"/>
          <w:sz w:val="24"/>
          <w:szCs w:val="24"/>
          <w:vertAlign w:val="superscript"/>
        </w:rPr>
        <w:t>[7</w:t>
      </w:r>
      <w:r w:rsidRPr="00923307">
        <w:rPr>
          <w:rFonts w:ascii="Book Antiqua" w:hAnsi="Book Antiqua"/>
          <w:sz w:val="24"/>
          <w:szCs w:val="24"/>
          <w:vertAlign w:val="superscript"/>
        </w:rPr>
        <w:t>-16</w:t>
      </w:r>
      <w:r w:rsidR="00865DED" w:rsidRPr="00923307">
        <w:rPr>
          <w:rFonts w:ascii="Book Antiqua" w:hAnsi="Book Antiqua"/>
          <w:sz w:val="24"/>
          <w:szCs w:val="24"/>
          <w:vertAlign w:val="superscript"/>
        </w:rPr>
        <w:t>]</w:t>
      </w:r>
      <w:r w:rsidRPr="00923307">
        <w:rPr>
          <w:rFonts w:ascii="Book Antiqua" w:hAnsi="Book Antiqua"/>
          <w:sz w:val="24"/>
          <w:szCs w:val="24"/>
        </w:rPr>
        <w:t>, including cirrhotic patients, noncirrhoti</w:t>
      </w:r>
      <w:r w:rsidR="00346BD6">
        <w:rPr>
          <w:rFonts w:ascii="Book Antiqua" w:hAnsi="Book Antiqua"/>
          <w:sz w:val="24"/>
          <w:szCs w:val="24"/>
        </w:rPr>
        <w:t>c patients with chronic HBV and</w:t>
      </w:r>
      <w:r w:rsidRPr="00923307">
        <w:rPr>
          <w:rFonts w:ascii="Book Antiqua" w:hAnsi="Book Antiqua"/>
          <w:sz w:val="24"/>
          <w:szCs w:val="24"/>
        </w:rPr>
        <w:t xml:space="preserve">/or HCV infection or high HBV-DNA levels. Noncirrhotic patients with family history of HCC and NAFLD </w:t>
      </w:r>
      <w:r w:rsidR="005830CD" w:rsidRPr="00923307">
        <w:rPr>
          <w:rFonts w:ascii="Book Antiqua" w:hAnsi="Book Antiqua"/>
          <w:sz w:val="24"/>
          <w:szCs w:val="24"/>
        </w:rPr>
        <w:t xml:space="preserve">should </w:t>
      </w:r>
      <w:r w:rsidRPr="00923307">
        <w:rPr>
          <w:rFonts w:ascii="Book Antiqua" w:hAnsi="Book Antiqua"/>
          <w:sz w:val="24"/>
          <w:szCs w:val="24"/>
        </w:rPr>
        <w:t xml:space="preserve">also undergo </w:t>
      </w:r>
      <w:r w:rsidR="005830CD" w:rsidRPr="00923307">
        <w:rPr>
          <w:rFonts w:ascii="Book Antiqua" w:hAnsi="Book Antiqua"/>
          <w:sz w:val="24"/>
          <w:szCs w:val="24"/>
        </w:rPr>
        <w:t xml:space="preserve">routine </w:t>
      </w:r>
      <w:r w:rsidR="00F758F9">
        <w:rPr>
          <w:rFonts w:ascii="Book Antiqua" w:hAnsi="Book Antiqua"/>
          <w:sz w:val="24"/>
          <w:szCs w:val="24"/>
        </w:rPr>
        <w:t>surveillance</w:t>
      </w:r>
      <w:r w:rsidR="00865DED" w:rsidRPr="00923307">
        <w:rPr>
          <w:rFonts w:ascii="Book Antiqua" w:hAnsi="Book Antiqua"/>
          <w:sz w:val="24"/>
          <w:szCs w:val="24"/>
          <w:vertAlign w:val="superscript"/>
        </w:rPr>
        <w:t>[7</w:t>
      </w:r>
      <w:r w:rsidRPr="00923307">
        <w:rPr>
          <w:rFonts w:ascii="Book Antiqua" w:hAnsi="Book Antiqua"/>
          <w:sz w:val="24"/>
          <w:szCs w:val="24"/>
          <w:vertAlign w:val="superscript"/>
        </w:rPr>
        <w:t>-16</w:t>
      </w:r>
      <w:r w:rsidR="00865DED" w:rsidRPr="00923307">
        <w:rPr>
          <w:rFonts w:ascii="Book Antiqua" w:hAnsi="Book Antiqua"/>
          <w:sz w:val="24"/>
          <w:szCs w:val="24"/>
          <w:vertAlign w:val="superscript"/>
        </w:rPr>
        <w:t>]</w:t>
      </w:r>
      <w:r w:rsidRPr="00923307">
        <w:rPr>
          <w:rFonts w:ascii="Book Antiqua" w:hAnsi="Book Antiqua"/>
          <w:sz w:val="24"/>
          <w:szCs w:val="24"/>
        </w:rPr>
        <w:t>. US demonstrated a sensitivity of 40-81% and specificity of 80-100% for surveillance purpose</w:t>
      </w:r>
      <w:r w:rsidR="005830CD" w:rsidRPr="00923307">
        <w:rPr>
          <w:rFonts w:ascii="Book Antiqua" w:hAnsi="Book Antiqua"/>
          <w:sz w:val="24"/>
          <w:szCs w:val="24"/>
        </w:rPr>
        <w:t>s</w:t>
      </w:r>
      <w:r w:rsidR="00865DED" w:rsidRPr="00923307">
        <w:rPr>
          <w:rFonts w:ascii="Book Antiqua" w:hAnsi="Book Antiqua"/>
          <w:sz w:val="24"/>
          <w:szCs w:val="24"/>
          <w:vertAlign w:val="superscript"/>
        </w:rPr>
        <w:t>[3</w:t>
      </w:r>
      <w:r w:rsidR="00F758F9">
        <w:rPr>
          <w:rFonts w:ascii="Book Antiqua" w:hAnsi="Book Antiqua"/>
          <w:sz w:val="24"/>
          <w:szCs w:val="24"/>
          <w:vertAlign w:val="superscript"/>
        </w:rPr>
        <w:t>8,</w:t>
      </w:r>
      <w:r w:rsidR="00865DED" w:rsidRPr="00923307">
        <w:rPr>
          <w:rFonts w:ascii="Book Antiqua" w:hAnsi="Book Antiqua"/>
          <w:sz w:val="24"/>
          <w:szCs w:val="24"/>
          <w:vertAlign w:val="superscript"/>
        </w:rPr>
        <w:t>100-102]</w:t>
      </w:r>
      <w:r w:rsidRPr="00923307">
        <w:rPr>
          <w:rFonts w:ascii="Book Antiqua" w:hAnsi="Book Antiqua"/>
          <w:sz w:val="24"/>
          <w:szCs w:val="24"/>
        </w:rPr>
        <w:t>. The recommended screening interval for HCC is 6 months. In cirrhotic patients, subcentimeter nodules (</w:t>
      </w:r>
      <w:r w:rsidRPr="00923307">
        <w:rPr>
          <w:rFonts w:ascii="Book Antiqua" w:hAnsi="Book Antiqua"/>
          <w:sz w:val="24"/>
          <w:szCs w:val="24"/>
        </w:rPr>
        <w:t>＜</w:t>
      </w:r>
      <w:r w:rsidR="00F758F9">
        <w:rPr>
          <w:rFonts w:ascii="Book Antiqua" w:hAnsi="Book Antiqua" w:hint="eastAsia"/>
          <w:sz w:val="24"/>
          <w:szCs w:val="24"/>
        </w:rPr>
        <w:t xml:space="preserve"> </w:t>
      </w:r>
      <w:r w:rsidRPr="00923307">
        <w:rPr>
          <w:rFonts w:ascii="Book Antiqua" w:hAnsi="Book Antiqua"/>
          <w:sz w:val="24"/>
          <w:szCs w:val="24"/>
        </w:rPr>
        <w:t>1</w:t>
      </w:r>
      <w:r w:rsidR="005830CD" w:rsidRPr="00923307">
        <w:rPr>
          <w:rFonts w:ascii="Book Antiqua" w:hAnsi="Book Antiqua"/>
          <w:sz w:val="24"/>
          <w:szCs w:val="24"/>
        </w:rPr>
        <w:t xml:space="preserve"> </w:t>
      </w:r>
      <w:r w:rsidRPr="00923307">
        <w:rPr>
          <w:rFonts w:ascii="Book Antiqua" w:hAnsi="Book Antiqua"/>
          <w:sz w:val="24"/>
          <w:szCs w:val="24"/>
        </w:rPr>
        <w:t>cm) detected by US should be followed every 3</w:t>
      </w:r>
      <w:r w:rsidR="00865DED" w:rsidRPr="00923307">
        <w:rPr>
          <w:rFonts w:ascii="Book Antiqua" w:hAnsi="Book Antiqua"/>
          <w:sz w:val="24"/>
          <w:szCs w:val="24"/>
          <w:vertAlign w:val="superscript"/>
        </w:rPr>
        <w:t>[1</w:t>
      </w:r>
      <w:r w:rsidRPr="00923307">
        <w:rPr>
          <w:rFonts w:ascii="Book Antiqua" w:hAnsi="Book Antiqua"/>
          <w:sz w:val="24"/>
          <w:szCs w:val="24"/>
          <w:vertAlign w:val="superscript"/>
        </w:rPr>
        <w:t>4</w:t>
      </w:r>
      <w:r w:rsidR="00865DED" w:rsidRPr="00923307">
        <w:rPr>
          <w:rFonts w:ascii="Book Antiqua" w:hAnsi="Book Antiqua"/>
          <w:sz w:val="24"/>
          <w:szCs w:val="24"/>
          <w:vertAlign w:val="superscript"/>
        </w:rPr>
        <w:t>]</w:t>
      </w:r>
      <w:r w:rsidR="00F758F9">
        <w:rPr>
          <w:rFonts w:ascii="Book Antiqua" w:hAnsi="Book Antiqua"/>
          <w:sz w:val="24"/>
          <w:szCs w:val="24"/>
        </w:rPr>
        <w:t>-4</w:t>
      </w:r>
      <w:r w:rsidR="00865DED" w:rsidRPr="00923307">
        <w:rPr>
          <w:rFonts w:ascii="Book Antiqua" w:hAnsi="Book Antiqua"/>
          <w:sz w:val="24"/>
          <w:szCs w:val="24"/>
          <w:vertAlign w:val="superscript"/>
        </w:rPr>
        <w:t>[1</w:t>
      </w:r>
      <w:r w:rsidRPr="00923307">
        <w:rPr>
          <w:rFonts w:ascii="Book Antiqua" w:hAnsi="Book Antiqua"/>
          <w:sz w:val="24"/>
          <w:szCs w:val="24"/>
          <w:vertAlign w:val="superscript"/>
        </w:rPr>
        <w:t>5</w:t>
      </w:r>
      <w:r w:rsidR="00865DED" w:rsidRPr="00923307">
        <w:rPr>
          <w:rFonts w:ascii="Book Antiqua" w:hAnsi="Book Antiqua"/>
          <w:sz w:val="24"/>
          <w:szCs w:val="24"/>
          <w:vertAlign w:val="superscript"/>
        </w:rPr>
        <w:t>]</w:t>
      </w:r>
      <w:r w:rsidRPr="00923307">
        <w:rPr>
          <w:rFonts w:ascii="Book Antiqua" w:hAnsi="Book Antiqua"/>
          <w:sz w:val="24"/>
          <w:szCs w:val="24"/>
        </w:rPr>
        <w:t xml:space="preserve"> months </w:t>
      </w:r>
      <w:r w:rsidR="005830CD" w:rsidRPr="00923307">
        <w:rPr>
          <w:rFonts w:ascii="Book Antiqua" w:hAnsi="Book Antiqua"/>
          <w:sz w:val="24"/>
          <w:szCs w:val="24"/>
        </w:rPr>
        <w:t xml:space="preserve">during </w:t>
      </w:r>
      <w:r w:rsidRPr="00923307">
        <w:rPr>
          <w:rFonts w:ascii="Book Antiqua" w:hAnsi="Book Antiqua"/>
          <w:sz w:val="24"/>
          <w:szCs w:val="24"/>
        </w:rPr>
        <w:t>the first year</w:t>
      </w:r>
      <w:r w:rsidR="00F758F9">
        <w:rPr>
          <w:rFonts w:ascii="Book Antiqua" w:hAnsi="Book Antiqua"/>
          <w:sz w:val="24"/>
          <w:szCs w:val="24"/>
        </w:rPr>
        <w:t xml:space="preserve"> and every 6 mo</w:t>
      </w:r>
      <w:r w:rsidRPr="00923307">
        <w:rPr>
          <w:rFonts w:ascii="Book Antiqua" w:hAnsi="Book Antiqua"/>
          <w:sz w:val="24"/>
          <w:szCs w:val="24"/>
        </w:rPr>
        <w:t xml:space="preserve"> </w:t>
      </w:r>
      <w:r w:rsidR="005830CD" w:rsidRPr="00923307">
        <w:rPr>
          <w:rFonts w:ascii="Book Antiqua" w:hAnsi="Book Antiqua"/>
          <w:sz w:val="24"/>
          <w:szCs w:val="24"/>
        </w:rPr>
        <w:t>thereafter</w:t>
      </w:r>
      <w:r w:rsidRPr="00923307">
        <w:rPr>
          <w:rFonts w:ascii="Book Antiqua" w:hAnsi="Book Antiqua"/>
          <w:sz w:val="24"/>
          <w:szCs w:val="24"/>
        </w:rPr>
        <w:t xml:space="preserve">, while nodules over 1 cm </w:t>
      </w:r>
      <w:r w:rsidR="005830CD" w:rsidRPr="00923307">
        <w:rPr>
          <w:rFonts w:ascii="Book Antiqua" w:hAnsi="Book Antiqua"/>
          <w:sz w:val="24"/>
          <w:szCs w:val="24"/>
        </w:rPr>
        <w:t>should</w:t>
      </w:r>
      <w:r w:rsidRPr="00923307">
        <w:rPr>
          <w:rFonts w:ascii="Book Antiqua" w:hAnsi="Book Antiqua"/>
          <w:sz w:val="24"/>
          <w:szCs w:val="24"/>
        </w:rPr>
        <w:t xml:space="preserve"> undergo further imaging work-ups and/or biopsy for characterization. </w:t>
      </w:r>
    </w:p>
    <w:p w14:paraId="63701F76" w14:textId="3E740FC7" w:rsidR="005B5EE9" w:rsidRPr="00923307" w:rsidRDefault="00085198" w:rsidP="00327F62">
      <w:pPr>
        <w:snapToGrid w:val="0"/>
        <w:spacing w:line="360" w:lineRule="auto"/>
        <w:ind w:firstLine="429"/>
        <w:rPr>
          <w:rFonts w:ascii="Book Antiqua" w:hAnsi="Book Antiqua"/>
          <w:sz w:val="24"/>
          <w:szCs w:val="24"/>
        </w:rPr>
      </w:pPr>
      <w:r w:rsidRPr="00923307">
        <w:rPr>
          <w:rFonts w:ascii="Book Antiqua" w:hAnsi="Book Antiqua"/>
          <w:sz w:val="24"/>
          <w:szCs w:val="24"/>
        </w:rPr>
        <w:t xml:space="preserve">US is a noninvasive, real-time imaging technique with good patient acceptance, relatively low cost and no radiation exposure. However, the performance of US is highly dependent on the equipment quality and operator expertise. </w:t>
      </w:r>
      <w:r w:rsidR="005830CD" w:rsidRPr="00923307">
        <w:rPr>
          <w:rFonts w:ascii="Book Antiqua" w:hAnsi="Book Antiqua"/>
          <w:sz w:val="24"/>
          <w:szCs w:val="24"/>
        </w:rPr>
        <w:t>In addition</w:t>
      </w:r>
      <w:r w:rsidRPr="00923307">
        <w:rPr>
          <w:rFonts w:ascii="Book Antiqua" w:hAnsi="Book Antiqua"/>
          <w:sz w:val="24"/>
          <w:szCs w:val="24"/>
        </w:rPr>
        <w:t xml:space="preserve">, US may not </w:t>
      </w:r>
      <w:r w:rsidR="005830CD" w:rsidRPr="00923307">
        <w:rPr>
          <w:rFonts w:ascii="Book Antiqua" w:hAnsi="Book Antiqua"/>
          <w:sz w:val="24"/>
          <w:szCs w:val="24"/>
        </w:rPr>
        <w:t xml:space="preserve">be </w:t>
      </w:r>
      <w:r w:rsidRPr="00923307">
        <w:rPr>
          <w:rFonts w:ascii="Book Antiqua" w:hAnsi="Book Antiqua"/>
          <w:sz w:val="24"/>
          <w:szCs w:val="24"/>
        </w:rPr>
        <w:t xml:space="preserve">sensitive enough </w:t>
      </w:r>
      <w:r w:rsidR="005830CD" w:rsidRPr="00923307">
        <w:rPr>
          <w:rFonts w:ascii="Book Antiqua" w:hAnsi="Book Antiqua"/>
          <w:sz w:val="24"/>
          <w:szCs w:val="24"/>
        </w:rPr>
        <w:t>to detect</w:t>
      </w:r>
      <w:r w:rsidRPr="00923307">
        <w:rPr>
          <w:rFonts w:ascii="Book Antiqua" w:hAnsi="Book Antiqua"/>
          <w:sz w:val="24"/>
          <w:szCs w:val="24"/>
        </w:rPr>
        <w:t xml:space="preserve"> early-stage HCCs, </w:t>
      </w:r>
      <w:r w:rsidR="0066658F" w:rsidRPr="00923307">
        <w:rPr>
          <w:rFonts w:ascii="Book Antiqua" w:hAnsi="Book Antiqua"/>
          <w:sz w:val="24"/>
          <w:szCs w:val="24"/>
        </w:rPr>
        <w:t>with a</w:t>
      </w:r>
      <w:r w:rsidRPr="00923307">
        <w:rPr>
          <w:rFonts w:ascii="Book Antiqua" w:hAnsi="Book Antiqua"/>
          <w:sz w:val="24"/>
          <w:szCs w:val="24"/>
        </w:rPr>
        <w:t xml:space="preserve"> pooled sensitivity </w:t>
      </w:r>
      <w:r w:rsidR="0066658F" w:rsidRPr="00923307">
        <w:rPr>
          <w:rFonts w:ascii="Book Antiqua" w:hAnsi="Book Antiqua"/>
          <w:sz w:val="24"/>
          <w:szCs w:val="24"/>
        </w:rPr>
        <w:t>of</w:t>
      </w:r>
      <w:r w:rsidRPr="00923307">
        <w:rPr>
          <w:rFonts w:ascii="Book Antiqua" w:hAnsi="Book Antiqua"/>
          <w:sz w:val="24"/>
          <w:szCs w:val="24"/>
        </w:rPr>
        <w:t xml:space="preserve"> 63%</w:t>
      </w:r>
      <w:r w:rsidR="00865DED" w:rsidRPr="00923307">
        <w:rPr>
          <w:rFonts w:ascii="Book Antiqua" w:hAnsi="Book Antiqua"/>
          <w:sz w:val="24"/>
          <w:szCs w:val="24"/>
          <w:vertAlign w:val="superscript"/>
        </w:rPr>
        <w:t>[101]</w:t>
      </w:r>
      <w:r w:rsidRPr="00923307">
        <w:rPr>
          <w:rFonts w:ascii="Book Antiqua" w:hAnsi="Book Antiqua"/>
          <w:sz w:val="24"/>
          <w:szCs w:val="24"/>
        </w:rPr>
        <w:t xml:space="preserve">. To improve the sensitivity of US in HCC surveillance, the 2017 APASL guideline endorsed the combination of </w:t>
      </w:r>
      <w:r w:rsidR="005830CD" w:rsidRPr="00923307">
        <w:rPr>
          <w:rFonts w:ascii="Book Antiqua" w:hAnsi="Book Antiqua"/>
          <w:sz w:val="24"/>
          <w:szCs w:val="24"/>
        </w:rPr>
        <w:t>AFP</w:t>
      </w:r>
      <w:r w:rsidRPr="00923307">
        <w:rPr>
          <w:rFonts w:ascii="Book Antiqua" w:hAnsi="Book Antiqua"/>
          <w:sz w:val="24"/>
          <w:szCs w:val="24"/>
        </w:rPr>
        <w:t xml:space="preserve"> </w:t>
      </w:r>
      <w:r w:rsidR="005830CD" w:rsidRPr="00923307">
        <w:rPr>
          <w:rFonts w:ascii="Book Antiqua" w:hAnsi="Book Antiqua"/>
          <w:sz w:val="24"/>
          <w:szCs w:val="24"/>
        </w:rPr>
        <w:t xml:space="preserve">levels </w:t>
      </w:r>
      <w:r w:rsidRPr="00923307">
        <w:rPr>
          <w:rFonts w:ascii="Book Antiqua" w:hAnsi="Book Antiqua"/>
          <w:sz w:val="24"/>
          <w:szCs w:val="24"/>
        </w:rPr>
        <w:t>and US as the standar</w:t>
      </w:r>
      <w:r w:rsidR="00F758F9">
        <w:rPr>
          <w:rFonts w:ascii="Book Antiqua" w:hAnsi="Book Antiqua"/>
          <w:sz w:val="24"/>
          <w:szCs w:val="24"/>
        </w:rPr>
        <w:t>d surveillance strategy for HCC</w:t>
      </w:r>
      <w:r w:rsidR="00865DED" w:rsidRPr="00923307">
        <w:rPr>
          <w:rFonts w:ascii="Book Antiqua" w:hAnsi="Book Antiqua"/>
          <w:sz w:val="24"/>
          <w:szCs w:val="24"/>
          <w:vertAlign w:val="superscript"/>
        </w:rPr>
        <w:t>[7]</w:t>
      </w:r>
      <w:r w:rsidRPr="00923307">
        <w:rPr>
          <w:rFonts w:ascii="Book Antiqua" w:hAnsi="Book Antiqua"/>
          <w:sz w:val="24"/>
          <w:szCs w:val="24"/>
        </w:rPr>
        <w:t>. However, emerging data have shown that AFP provided limited diagnostic benefit</w:t>
      </w:r>
      <w:r w:rsidR="00571EF0" w:rsidRPr="00923307">
        <w:rPr>
          <w:rFonts w:ascii="Book Antiqua" w:hAnsi="Book Antiqua"/>
          <w:sz w:val="24"/>
          <w:szCs w:val="24"/>
        </w:rPr>
        <w:t>s</w:t>
      </w:r>
      <w:r w:rsidRPr="00923307">
        <w:rPr>
          <w:rFonts w:ascii="Book Antiqua" w:hAnsi="Book Antiqua"/>
          <w:sz w:val="24"/>
          <w:szCs w:val="24"/>
        </w:rPr>
        <w:t xml:space="preserve"> </w:t>
      </w:r>
      <w:r w:rsidR="005830CD" w:rsidRPr="00923307">
        <w:rPr>
          <w:rFonts w:ascii="Book Antiqua" w:hAnsi="Book Antiqua"/>
          <w:sz w:val="24"/>
          <w:szCs w:val="24"/>
        </w:rPr>
        <w:t>of a</w:t>
      </w:r>
      <w:r w:rsidRPr="00923307">
        <w:rPr>
          <w:rFonts w:ascii="Book Antiqua" w:hAnsi="Book Antiqua"/>
          <w:sz w:val="24"/>
          <w:szCs w:val="24"/>
        </w:rPr>
        <w:t xml:space="preserve"> </w:t>
      </w:r>
      <w:r w:rsidR="00571EF0" w:rsidRPr="00923307">
        <w:rPr>
          <w:rFonts w:ascii="Book Antiqua" w:hAnsi="Book Antiqua"/>
          <w:sz w:val="24"/>
          <w:szCs w:val="24"/>
        </w:rPr>
        <w:t>low (</w:t>
      </w:r>
      <w:r w:rsidRPr="00923307">
        <w:rPr>
          <w:rFonts w:ascii="Book Antiqua" w:hAnsi="Book Antiqua"/>
          <w:sz w:val="24"/>
          <w:szCs w:val="24"/>
        </w:rPr>
        <w:t>6</w:t>
      </w:r>
      <w:r w:rsidR="00F758F9" w:rsidRPr="00923307">
        <w:rPr>
          <w:rFonts w:ascii="Book Antiqua" w:hAnsi="Book Antiqua"/>
          <w:sz w:val="24"/>
          <w:szCs w:val="24"/>
        </w:rPr>
        <w:t>%</w:t>
      </w:r>
      <w:r w:rsidRPr="00923307">
        <w:rPr>
          <w:rFonts w:ascii="Book Antiqua" w:hAnsi="Book Antiqua"/>
          <w:sz w:val="24"/>
          <w:szCs w:val="24"/>
        </w:rPr>
        <w:t>-8%</w:t>
      </w:r>
      <w:r w:rsidR="00571EF0" w:rsidRPr="00923307">
        <w:rPr>
          <w:rFonts w:ascii="Book Antiqua" w:hAnsi="Book Antiqua"/>
          <w:sz w:val="24"/>
          <w:szCs w:val="24"/>
        </w:rPr>
        <w:t>)</w:t>
      </w:r>
      <w:r w:rsidRPr="00923307">
        <w:rPr>
          <w:rFonts w:ascii="Book Antiqua" w:hAnsi="Book Antiqua"/>
          <w:sz w:val="24"/>
          <w:szCs w:val="24"/>
        </w:rPr>
        <w:t xml:space="preserve"> additional detection rate </w:t>
      </w:r>
      <w:r w:rsidR="005830CD" w:rsidRPr="00923307">
        <w:rPr>
          <w:rFonts w:ascii="Book Antiqua" w:hAnsi="Book Antiqua"/>
          <w:sz w:val="24"/>
          <w:szCs w:val="24"/>
        </w:rPr>
        <w:t>with</w:t>
      </w:r>
      <w:r w:rsidRPr="00923307">
        <w:rPr>
          <w:rFonts w:ascii="Book Antiqua" w:hAnsi="Book Antiqua"/>
          <w:sz w:val="24"/>
          <w:szCs w:val="24"/>
        </w:rPr>
        <w:t xml:space="preserve"> increased false positive results and surveillance cost when combined with US</w:t>
      </w:r>
      <w:r w:rsidR="00865DED" w:rsidRPr="00923307">
        <w:rPr>
          <w:rFonts w:ascii="Book Antiqua" w:hAnsi="Book Antiqua"/>
          <w:sz w:val="24"/>
          <w:szCs w:val="24"/>
          <w:vertAlign w:val="superscript"/>
        </w:rPr>
        <w:t>[1</w:t>
      </w:r>
      <w:r w:rsidR="00F758F9">
        <w:rPr>
          <w:rFonts w:ascii="Book Antiqua" w:hAnsi="Book Antiqua"/>
          <w:sz w:val="24"/>
          <w:szCs w:val="24"/>
          <w:vertAlign w:val="superscript"/>
        </w:rPr>
        <w:t>5,</w:t>
      </w:r>
      <w:r w:rsidRPr="00923307">
        <w:rPr>
          <w:rFonts w:ascii="Book Antiqua" w:hAnsi="Book Antiqua"/>
          <w:sz w:val="24"/>
          <w:szCs w:val="24"/>
          <w:vertAlign w:val="superscript"/>
        </w:rPr>
        <w:t>10</w:t>
      </w:r>
      <w:r w:rsidR="00865DED" w:rsidRPr="00923307">
        <w:rPr>
          <w:rFonts w:ascii="Book Antiqua" w:hAnsi="Book Antiqua"/>
          <w:sz w:val="24"/>
          <w:szCs w:val="24"/>
          <w:vertAlign w:val="superscript"/>
        </w:rPr>
        <w:t>1]</w:t>
      </w:r>
      <w:r w:rsidRPr="00923307">
        <w:rPr>
          <w:rFonts w:ascii="Book Antiqua" w:hAnsi="Book Antiqua"/>
          <w:sz w:val="24"/>
          <w:szCs w:val="24"/>
        </w:rPr>
        <w:t xml:space="preserve">. </w:t>
      </w:r>
      <w:r w:rsidR="005830CD" w:rsidRPr="00923307">
        <w:rPr>
          <w:rFonts w:ascii="Book Antiqua" w:hAnsi="Book Antiqua"/>
          <w:sz w:val="24"/>
          <w:szCs w:val="24"/>
        </w:rPr>
        <w:t>In addition</w:t>
      </w:r>
      <w:r w:rsidRPr="00923307">
        <w:rPr>
          <w:rFonts w:ascii="Book Antiqua" w:hAnsi="Book Antiqua"/>
          <w:sz w:val="24"/>
          <w:szCs w:val="24"/>
        </w:rPr>
        <w:t>, AFP level</w:t>
      </w:r>
      <w:r w:rsidR="005830CD" w:rsidRPr="00923307">
        <w:rPr>
          <w:rFonts w:ascii="Book Antiqua" w:hAnsi="Book Antiqua"/>
          <w:sz w:val="24"/>
          <w:szCs w:val="24"/>
        </w:rPr>
        <w:t>s</w:t>
      </w:r>
      <w:r w:rsidRPr="00923307">
        <w:rPr>
          <w:rFonts w:ascii="Book Antiqua" w:hAnsi="Book Antiqua"/>
          <w:sz w:val="24"/>
          <w:szCs w:val="24"/>
        </w:rPr>
        <w:t xml:space="preserve"> can be within the normal range in up to 35% of small HCCs and elevated in patients with active hepatocyte regeneration due to various etio</w:t>
      </w:r>
      <w:r w:rsidR="00F758F9">
        <w:rPr>
          <w:rFonts w:ascii="Book Antiqua" w:hAnsi="Book Antiqua"/>
          <w:sz w:val="24"/>
          <w:szCs w:val="24"/>
        </w:rPr>
        <w:t>logies</w:t>
      </w:r>
      <w:r w:rsidR="00865DED" w:rsidRPr="00923307">
        <w:rPr>
          <w:rFonts w:ascii="Book Antiqua" w:hAnsi="Book Antiqua"/>
          <w:sz w:val="24"/>
          <w:szCs w:val="24"/>
          <w:vertAlign w:val="superscript"/>
        </w:rPr>
        <w:t>[1</w:t>
      </w:r>
      <w:r w:rsidRPr="00923307">
        <w:rPr>
          <w:rFonts w:ascii="Book Antiqua" w:hAnsi="Book Antiqua"/>
          <w:sz w:val="24"/>
          <w:szCs w:val="24"/>
          <w:vertAlign w:val="superscript"/>
        </w:rPr>
        <w:t>2</w:t>
      </w:r>
      <w:r w:rsidR="00865DED" w:rsidRPr="00923307">
        <w:rPr>
          <w:rFonts w:ascii="Book Antiqua" w:hAnsi="Book Antiqua"/>
          <w:sz w:val="24"/>
          <w:szCs w:val="24"/>
          <w:vertAlign w:val="superscript"/>
        </w:rPr>
        <w:t>]</w:t>
      </w:r>
      <w:r w:rsidRPr="00923307">
        <w:rPr>
          <w:rFonts w:ascii="Book Antiqua" w:hAnsi="Book Antiqua"/>
          <w:sz w:val="24"/>
          <w:szCs w:val="24"/>
        </w:rPr>
        <w:t xml:space="preserve">. Thus, </w:t>
      </w:r>
      <w:r w:rsidR="005830CD" w:rsidRPr="00923307">
        <w:rPr>
          <w:rFonts w:ascii="Book Antiqua" w:hAnsi="Book Antiqua"/>
          <w:sz w:val="24"/>
          <w:szCs w:val="24"/>
        </w:rPr>
        <w:t xml:space="preserve">the measurement of </w:t>
      </w:r>
      <w:r w:rsidRPr="00923307">
        <w:rPr>
          <w:rFonts w:ascii="Book Antiqua" w:hAnsi="Book Antiqua"/>
          <w:sz w:val="24"/>
          <w:szCs w:val="24"/>
        </w:rPr>
        <w:t xml:space="preserve">AFP </w:t>
      </w:r>
      <w:r w:rsidR="005830CD" w:rsidRPr="00923307">
        <w:rPr>
          <w:rFonts w:ascii="Book Antiqua" w:hAnsi="Book Antiqua"/>
          <w:sz w:val="24"/>
          <w:szCs w:val="24"/>
        </w:rPr>
        <w:t xml:space="preserve">levels </w:t>
      </w:r>
      <w:r w:rsidRPr="00923307">
        <w:rPr>
          <w:rFonts w:ascii="Book Antiqua" w:hAnsi="Book Antiqua"/>
          <w:sz w:val="24"/>
          <w:szCs w:val="24"/>
        </w:rPr>
        <w:t>is not within the recommended surveillance or diagnostic scheme in the most recent AASLD</w:t>
      </w:r>
      <w:r w:rsidR="00865DED" w:rsidRPr="00923307">
        <w:rPr>
          <w:rFonts w:ascii="Book Antiqua" w:hAnsi="Book Antiqua"/>
          <w:sz w:val="24"/>
          <w:szCs w:val="24"/>
          <w:vertAlign w:val="superscript"/>
        </w:rPr>
        <w:t>[1</w:t>
      </w:r>
      <w:r w:rsidRPr="00923307">
        <w:rPr>
          <w:rFonts w:ascii="Book Antiqua" w:hAnsi="Book Antiqua"/>
          <w:sz w:val="24"/>
          <w:szCs w:val="24"/>
          <w:vertAlign w:val="superscript"/>
        </w:rPr>
        <w:t>4</w:t>
      </w:r>
      <w:r w:rsidR="00865DED" w:rsidRPr="00923307">
        <w:rPr>
          <w:rFonts w:ascii="Book Antiqua" w:hAnsi="Book Antiqua"/>
          <w:sz w:val="24"/>
          <w:szCs w:val="24"/>
          <w:vertAlign w:val="superscript"/>
        </w:rPr>
        <w:t>]</w:t>
      </w:r>
      <w:r w:rsidRPr="00923307">
        <w:rPr>
          <w:rFonts w:ascii="Book Antiqua" w:hAnsi="Book Antiqua"/>
          <w:sz w:val="24"/>
          <w:szCs w:val="24"/>
        </w:rPr>
        <w:t xml:space="preserve"> </w:t>
      </w:r>
      <w:r w:rsidR="00571EF0" w:rsidRPr="00923307">
        <w:rPr>
          <w:rFonts w:ascii="Book Antiqua" w:hAnsi="Book Antiqua"/>
          <w:sz w:val="24"/>
          <w:szCs w:val="24"/>
        </w:rPr>
        <w:t>or</w:t>
      </w:r>
      <w:r w:rsidRPr="00923307">
        <w:rPr>
          <w:rFonts w:ascii="Book Antiqua" w:hAnsi="Book Antiqua"/>
          <w:sz w:val="24"/>
          <w:szCs w:val="24"/>
        </w:rPr>
        <w:t xml:space="preserve"> EASL-EORTC</w:t>
      </w:r>
      <w:r w:rsidR="00865DED" w:rsidRPr="00923307">
        <w:rPr>
          <w:rFonts w:ascii="Book Antiqua" w:hAnsi="Book Antiqua"/>
          <w:sz w:val="24"/>
          <w:szCs w:val="24"/>
          <w:vertAlign w:val="superscript"/>
        </w:rPr>
        <w:t>[1</w:t>
      </w:r>
      <w:r w:rsidRPr="00923307">
        <w:rPr>
          <w:rFonts w:ascii="Book Antiqua" w:hAnsi="Book Antiqua"/>
          <w:sz w:val="24"/>
          <w:szCs w:val="24"/>
          <w:vertAlign w:val="superscript"/>
        </w:rPr>
        <w:t>5</w:t>
      </w:r>
      <w:r w:rsidR="00865DED" w:rsidRPr="00923307">
        <w:rPr>
          <w:rFonts w:ascii="Book Antiqua" w:hAnsi="Book Antiqua"/>
          <w:sz w:val="24"/>
          <w:szCs w:val="24"/>
          <w:vertAlign w:val="superscript"/>
        </w:rPr>
        <w:t>]</w:t>
      </w:r>
      <w:r w:rsidRPr="00923307">
        <w:rPr>
          <w:rFonts w:ascii="Book Antiqua" w:hAnsi="Book Antiqua"/>
          <w:sz w:val="24"/>
          <w:szCs w:val="24"/>
        </w:rPr>
        <w:t xml:space="preserve"> guidelines. </w:t>
      </w:r>
    </w:p>
    <w:p w14:paraId="5C65EF53" w14:textId="77777777" w:rsidR="00F758F9" w:rsidRDefault="00F758F9" w:rsidP="00327F62">
      <w:pPr>
        <w:snapToGrid w:val="0"/>
        <w:spacing w:line="360" w:lineRule="auto"/>
        <w:rPr>
          <w:rFonts w:ascii="Book Antiqua" w:hAnsi="Book Antiqua"/>
          <w:b/>
          <w:sz w:val="24"/>
          <w:szCs w:val="24"/>
        </w:rPr>
      </w:pPr>
    </w:p>
    <w:p w14:paraId="5F73E448" w14:textId="77777777" w:rsidR="005B5EE9" w:rsidRPr="005F1131" w:rsidRDefault="00085198" w:rsidP="00327F62">
      <w:pPr>
        <w:snapToGrid w:val="0"/>
        <w:spacing w:line="360" w:lineRule="auto"/>
        <w:rPr>
          <w:rFonts w:ascii="Book Antiqua" w:hAnsi="Book Antiqua"/>
          <w:b/>
          <w:caps/>
          <w:sz w:val="24"/>
          <w:szCs w:val="24"/>
        </w:rPr>
      </w:pPr>
      <w:r w:rsidRPr="005F1131">
        <w:rPr>
          <w:rFonts w:ascii="Book Antiqua" w:hAnsi="Book Antiqua"/>
          <w:b/>
          <w:caps/>
          <w:sz w:val="24"/>
          <w:szCs w:val="24"/>
        </w:rPr>
        <w:t>Noninvasive prognos</w:t>
      </w:r>
      <w:r w:rsidR="005830CD" w:rsidRPr="005F1131">
        <w:rPr>
          <w:rFonts w:ascii="Book Antiqua" w:hAnsi="Book Antiqua"/>
          <w:b/>
          <w:caps/>
          <w:sz w:val="24"/>
          <w:szCs w:val="24"/>
        </w:rPr>
        <w:t>tic</w:t>
      </w:r>
      <w:r w:rsidRPr="005F1131">
        <w:rPr>
          <w:rFonts w:ascii="Book Antiqua" w:hAnsi="Book Antiqua"/>
          <w:b/>
          <w:caps/>
          <w:sz w:val="24"/>
          <w:szCs w:val="24"/>
        </w:rPr>
        <w:t xml:space="preserve"> evaluation</w:t>
      </w:r>
    </w:p>
    <w:p w14:paraId="7C098601" w14:textId="2C51A8EA" w:rsidR="005B5EE9" w:rsidRPr="00923307" w:rsidRDefault="00085198" w:rsidP="00327F62">
      <w:pPr>
        <w:snapToGrid w:val="0"/>
        <w:spacing w:line="360" w:lineRule="auto"/>
        <w:rPr>
          <w:rFonts w:ascii="Book Antiqua" w:hAnsi="Book Antiqua"/>
          <w:sz w:val="24"/>
          <w:szCs w:val="24"/>
        </w:rPr>
      </w:pPr>
      <w:r w:rsidRPr="00923307">
        <w:rPr>
          <w:rFonts w:ascii="Book Antiqua" w:hAnsi="Book Antiqua"/>
          <w:sz w:val="24"/>
          <w:szCs w:val="24"/>
        </w:rPr>
        <w:t xml:space="preserve">Tumor characteristics evaluated by noninvasive imaging techniques can be indicative of HCC prognosis after treatment. It has been shown that presence of cirrhosis, large tumor </w:t>
      </w:r>
      <w:r w:rsidR="005830CD" w:rsidRPr="00923307">
        <w:rPr>
          <w:rFonts w:ascii="Book Antiqua" w:hAnsi="Book Antiqua"/>
          <w:sz w:val="24"/>
          <w:szCs w:val="24"/>
        </w:rPr>
        <w:t>size (</w:t>
      </w:r>
      <w:r w:rsidR="005830CD" w:rsidRPr="00923307">
        <w:rPr>
          <w:rFonts w:ascii="Book Antiqua" w:hAnsi="Book Antiqua"/>
          <w:kern w:val="0"/>
          <w:sz w:val="24"/>
          <w:szCs w:val="24"/>
        </w:rPr>
        <w:t>&gt;</w:t>
      </w:r>
      <w:r w:rsidR="005F1131">
        <w:rPr>
          <w:rFonts w:ascii="Book Antiqua" w:hAnsi="Book Antiqua" w:hint="eastAsia"/>
          <w:kern w:val="0"/>
          <w:sz w:val="24"/>
          <w:szCs w:val="24"/>
        </w:rPr>
        <w:t xml:space="preserve"> </w:t>
      </w:r>
      <w:r w:rsidR="005830CD" w:rsidRPr="00923307">
        <w:rPr>
          <w:rFonts w:ascii="Book Antiqua" w:hAnsi="Book Antiqua"/>
          <w:kern w:val="0"/>
          <w:sz w:val="24"/>
          <w:szCs w:val="24"/>
        </w:rPr>
        <w:t>3 cm</w:t>
      </w:r>
      <w:r w:rsidRPr="00923307">
        <w:rPr>
          <w:rFonts w:ascii="Book Antiqua" w:hAnsi="Book Antiqua"/>
          <w:sz w:val="24"/>
          <w:szCs w:val="24"/>
        </w:rPr>
        <w:t xml:space="preserve">), multifocality, vascular invasion, and </w:t>
      </w:r>
      <w:r w:rsidRPr="00923307">
        <w:rPr>
          <w:rFonts w:ascii="Book Antiqua" w:hAnsi="Book Antiqua"/>
          <w:sz w:val="24"/>
          <w:szCs w:val="24"/>
        </w:rPr>
        <w:lastRenderedPageBreak/>
        <w:t>Eggel’s growth classification (type 2 and 3) were associated with higher recurrence rates and worse prognosis after liver resection</w:t>
      </w:r>
      <w:r w:rsidR="00865DED" w:rsidRPr="00923307">
        <w:rPr>
          <w:rStyle w:val="EndnoteReference"/>
          <w:rFonts w:ascii="Book Antiqua" w:hAnsi="Book Antiqua"/>
          <w:sz w:val="24"/>
          <w:szCs w:val="24"/>
        </w:rPr>
        <w:t>[103-107]</w:t>
      </w:r>
      <w:r w:rsidRPr="00923307">
        <w:rPr>
          <w:rFonts w:ascii="Book Antiqua" w:hAnsi="Book Antiqua"/>
          <w:sz w:val="24"/>
          <w:szCs w:val="24"/>
        </w:rPr>
        <w:t xml:space="preserve"> or liver transplantation</w:t>
      </w:r>
      <w:r w:rsidR="00865DED" w:rsidRPr="00923307">
        <w:rPr>
          <w:rFonts w:ascii="Book Antiqua" w:hAnsi="Book Antiqua"/>
          <w:sz w:val="24"/>
          <w:szCs w:val="24"/>
          <w:vertAlign w:val="superscript"/>
        </w:rPr>
        <w:t>[108-110]</w:t>
      </w:r>
      <w:r w:rsidRPr="00923307">
        <w:rPr>
          <w:rFonts w:ascii="Book Antiqua" w:hAnsi="Book Antiqua"/>
          <w:sz w:val="24"/>
          <w:szCs w:val="24"/>
        </w:rPr>
        <w:t xml:space="preserve">. </w:t>
      </w:r>
    </w:p>
    <w:p w14:paraId="1466CB21" w14:textId="490487A4" w:rsidR="005B5EE9" w:rsidRPr="00923307" w:rsidRDefault="00085198" w:rsidP="00327F62">
      <w:pPr>
        <w:snapToGrid w:val="0"/>
        <w:spacing w:line="360" w:lineRule="auto"/>
        <w:ind w:firstLine="429"/>
        <w:rPr>
          <w:rFonts w:ascii="Book Antiqua" w:hAnsi="Book Antiqua"/>
          <w:sz w:val="24"/>
          <w:szCs w:val="24"/>
        </w:rPr>
      </w:pPr>
      <w:r w:rsidRPr="00923307">
        <w:rPr>
          <w:rFonts w:ascii="Book Antiqua" w:hAnsi="Book Antiqua"/>
          <w:sz w:val="24"/>
          <w:szCs w:val="24"/>
        </w:rPr>
        <w:t>Microvascular invasion (MVI), defined as microscopic</w:t>
      </w:r>
      <w:r w:rsidR="005830CD" w:rsidRPr="00923307">
        <w:rPr>
          <w:rFonts w:ascii="Book Antiqua" w:hAnsi="Book Antiqua"/>
          <w:sz w:val="24"/>
          <w:szCs w:val="24"/>
        </w:rPr>
        <w:t>ally</w:t>
      </w:r>
      <w:r w:rsidRPr="00923307">
        <w:rPr>
          <w:rFonts w:ascii="Book Antiqua" w:hAnsi="Book Antiqua"/>
          <w:sz w:val="24"/>
          <w:szCs w:val="24"/>
        </w:rPr>
        <w:t xml:space="preserve"> detected tumor thrombi within small tumor or peritumoral vessels (central hepatic vein, portal vein branches, and venous vessels in tumor capsule and/or fibrous septa)</w:t>
      </w:r>
      <w:r w:rsidR="00865DED" w:rsidRPr="00923307">
        <w:rPr>
          <w:rFonts w:ascii="Book Antiqua" w:hAnsi="Book Antiqua"/>
          <w:sz w:val="24"/>
          <w:szCs w:val="24"/>
          <w:vertAlign w:val="superscript"/>
        </w:rPr>
        <w:t>[111]</w:t>
      </w:r>
      <w:r w:rsidRPr="00923307">
        <w:rPr>
          <w:rFonts w:ascii="Book Antiqua" w:hAnsi="Book Antiqua"/>
          <w:sz w:val="24"/>
          <w:szCs w:val="24"/>
        </w:rPr>
        <w:t xml:space="preserve">, has drawn worldwide attention in recent years. MVI is indicative of early infiltration of tumor cells into the tumor vessels. The presence of MVI should be recognized </w:t>
      </w:r>
      <w:r w:rsidR="005830CD" w:rsidRPr="00923307">
        <w:rPr>
          <w:rFonts w:ascii="Book Antiqua" w:hAnsi="Book Antiqua"/>
          <w:sz w:val="24"/>
          <w:szCs w:val="24"/>
        </w:rPr>
        <w:t>based on microscopy</w:t>
      </w:r>
      <w:r w:rsidRPr="00923307">
        <w:rPr>
          <w:rFonts w:ascii="Book Antiqua" w:hAnsi="Book Antiqua"/>
          <w:sz w:val="24"/>
          <w:szCs w:val="24"/>
        </w:rPr>
        <w:t xml:space="preserve">, but several imaging features </w:t>
      </w:r>
      <w:r w:rsidR="00571EF0" w:rsidRPr="00923307">
        <w:rPr>
          <w:rFonts w:ascii="Book Antiqua" w:hAnsi="Book Antiqua"/>
          <w:sz w:val="24"/>
          <w:szCs w:val="24"/>
        </w:rPr>
        <w:t>may be</w:t>
      </w:r>
      <w:r w:rsidRPr="00923307">
        <w:rPr>
          <w:rFonts w:ascii="Book Antiqua" w:hAnsi="Book Antiqua"/>
          <w:sz w:val="24"/>
          <w:szCs w:val="24"/>
        </w:rPr>
        <w:t xml:space="preserve"> predictive of MVI. </w:t>
      </w:r>
      <w:r w:rsidR="00571EF0" w:rsidRPr="00923307">
        <w:rPr>
          <w:rFonts w:ascii="Book Antiqua" w:hAnsi="Book Antiqua"/>
          <w:sz w:val="24"/>
          <w:szCs w:val="24"/>
        </w:rPr>
        <w:t>The presence of n</w:t>
      </w:r>
      <w:r w:rsidRPr="00923307">
        <w:rPr>
          <w:rFonts w:ascii="Book Antiqua" w:hAnsi="Book Antiqua"/>
          <w:sz w:val="24"/>
          <w:szCs w:val="24"/>
        </w:rPr>
        <w:t>on-smooth tumor margin</w:t>
      </w:r>
      <w:r w:rsidR="005830CD" w:rsidRPr="00923307">
        <w:rPr>
          <w:rFonts w:ascii="Book Antiqua" w:hAnsi="Book Antiqua"/>
          <w:sz w:val="24"/>
          <w:szCs w:val="24"/>
        </w:rPr>
        <w:t>s</w:t>
      </w:r>
      <w:r w:rsidRPr="00923307">
        <w:rPr>
          <w:rFonts w:ascii="Book Antiqua" w:hAnsi="Book Antiqua"/>
          <w:sz w:val="24"/>
          <w:szCs w:val="24"/>
        </w:rPr>
        <w:t xml:space="preserve">, no or incomplete capsule, multifocality, intratumoral arteries and large tumor size detected on contrast-enhanced dynamic CT and MRI </w:t>
      </w:r>
      <w:r w:rsidR="00571EF0" w:rsidRPr="00923307">
        <w:rPr>
          <w:rFonts w:ascii="Book Antiqua" w:hAnsi="Book Antiqua"/>
          <w:sz w:val="24"/>
          <w:szCs w:val="24"/>
        </w:rPr>
        <w:t>were reported</w:t>
      </w:r>
      <w:r w:rsidRPr="00923307">
        <w:rPr>
          <w:rFonts w:ascii="Book Antiqua" w:hAnsi="Book Antiqua"/>
          <w:sz w:val="24"/>
          <w:szCs w:val="24"/>
        </w:rPr>
        <w:t xml:space="preserve"> to be </w:t>
      </w:r>
      <w:r w:rsidR="00571EF0" w:rsidRPr="00923307">
        <w:rPr>
          <w:rFonts w:ascii="Book Antiqua" w:hAnsi="Book Antiqua"/>
          <w:sz w:val="24"/>
          <w:szCs w:val="24"/>
        </w:rPr>
        <w:t>associated</w:t>
      </w:r>
      <w:r w:rsidRPr="00923307">
        <w:rPr>
          <w:rFonts w:ascii="Book Antiqua" w:hAnsi="Book Antiqua"/>
          <w:sz w:val="24"/>
          <w:szCs w:val="24"/>
        </w:rPr>
        <w:t xml:space="preserve"> with </w:t>
      </w:r>
      <w:r w:rsidR="00571EF0" w:rsidRPr="00923307">
        <w:rPr>
          <w:rFonts w:ascii="Book Antiqua" w:hAnsi="Book Antiqua"/>
          <w:sz w:val="24"/>
          <w:szCs w:val="24"/>
        </w:rPr>
        <w:t xml:space="preserve">an increased risk for </w:t>
      </w:r>
      <w:r w:rsidRPr="00923307">
        <w:rPr>
          <w:rFonts w:ascii="Book Antiqua" w:hAnsi="Book Antiqua"/>
          <w:sz w:val="24"/>
          <w:szCs w:val="24"/>
        </w:rPr>
        <w:t>MVI</w:t>
      </w:r>
      <w:r w:rsidR="00865DED" w:rsidRPr="00923307">
        <w:rPr>
          <w:rFonts w:ascii="Book Antiqua" w:hAnsi="Book Antiqua"/>
          <w:sz w:val="24"/>
          <w:szCs w:val="24"/>
          <w:vertAlign w:val="superscript"/>
        </w:rPr>
        <w:t>[112-118]</w:t>
      </w:r>
      <w:r w:rsidRPr="00923307">
        <w:rPr>
          <w:rFonts w:ascii="Book Antiqua" w:hAnsi="Book Antiqua"/>
          <w:sz w:val="24"/>
          <w:szCs w:val="24"/>
        </w:rPr>
        <w:t xml:space="preserve">. </w:t>
      </w:r>
      <w:r w:rsidR="004F3808" w:rsidRPr="00923307">
        <w:rPr>
          <w:rFonts w:ascii="Book Antiqua" w:hAnsi="Book Antiqua"/>
          <w:sz w:val="24"/>
          <w:szCs w:val="24"/>
        </w:rPr>
        <w:t>In addition</w:t>
      </w:r>
      <w:r w:rsidRPr="00923307">
        <w:rPr>
          <w:rFonts w:ascii="Book Antiqua" w:hAnsi="Book Antiqua"/>
          <w:sz w:val="24"/>
          <w:szCs w:val="24"/>
        </w:rPr>
        <w:t>, Eggel’s growth classification type 2 (single nodul</w:t>
      </w:r>
      <w:r w:rsidR="004F3808" w:rsidRPr="00923307">
        <w:rPr>
          <w:rFonts w:ascii="Book Antiqua" w:hAnsi="Book Antiqua"/>
          <w:sz w:val="24"/>
          <w:szCs w:val="24"/>
        </w:rPr>
        <w:t>e</w:t>
      </w:r>
      <w:r w:rsidRPr="00923307">
        <w:rPr>
          <w:rFonts w:ascii="Book Antiqua" w:hAnsi="Book Antiqua"/>
          <w:sz w:val="24"/>
          <w:szCs w:val="24"/>
        </w:rPr>
        <w:t xml:space="preserve"> with extranodular growth</w:t>
      </w:r>
      <w:r w:rsidR="004F3808" w:rsidRPr="00923307">
        <w:rPr>
          <w:rFonts w:ascii="Book Antiqua" w:hAnsi="Book Antiqua"/>
          <w:sz w:val="24"/>
          <w:szCs w:val="24"/>
        </w:rPr>
        <w:t>)</w:t>
      </w:r>
      <w:r w:rsidRPr="00923307">
        <w:rPr>
          <w:rFonts w:ascii="Book Antiqua" w:hAnsi="Book Antiqua"/>
          <w:sz w:val="24"/>
          <w:szCs w:val="24"/>
        </w:rPr>
        <w:t xml:space="preserve"> and type 3 (multiple confluent nodules) were also </w:t>
      </w:r>
      <w:r w:rsidR="00571EF0" w:rsidRPr="00923307">
        <w:rPr>
          <w:rFonts w:ascii="Book Antiqua" w:hAnsi="Book Antiqua"/>
          <w:sz w:val="24"/>
          <w:szCs w:val="24"/>
        </w:rPr>
        <w:t>correlated</w:t>
      </w:r>
      <w:r w:rsidR="004F3808" w:rsidRPr="00923307">
        <w:rPr>
          <w:rFonts w:ascii="Book Antiqua" w:hAnsi="Book Antiqua"/>
          <w:sz w:val="24"/>
          <w:szCs w:val="24"/>
        </w:rPr>
        <w:t xml:space="preserve"> with</w:t>
      </w:r>
      <w:r w:rsidRPr="00923307">
        <w:rPr>
          <w:rFonts w:ascii="Book Antiqua" w:hAnsi="Book Antiqua"/>
          <w:sz w:val="24"/>
          <w:szCs w:val="24"/>
        </w:rPr>
        <w:t xml:space="preserve"> </w:t>
      </w:r>
      <w:r w:rsidR="00571EF0" w:rsidRPr="00923307">
        <w:rPr>
          <w:rFonts w:ascii="Book Antiqua" w:hAnsi="Book Antiqua"/>
          <w:sz w:val="24"/>
          <w:szCs w:val="24"/>
        </w:rPr>
        <w:t xml:space="preserve">higher </w:t>
      </w:r>
      <w:r w:rsidRPr="00923307">
        <w:rPr>
          <w:rFonts w:ascii="Book Antiqua" w:hAnsi="Book Antiqua"/>
          <w:sz w:val="24"/>
          <w:szCs w:val="24"/>
        </w:rPr>
        <w:t>MVI</w:t>
      </w:r>
      <w:r w:rsidR="00571EF0" w:rsidRPr="00923307">
        <w:rPr>
          <w:rFonts w:ascii="Book Antiqua" w:hAnsi="Book Antiqua"/>
          <w:sz w:val="24"/>
          <w:szCs w:val="24"/>
        </w:rPr>
        <w:t xml:space="preserve"> risk</w:t>
      </w:r>
      <w:r w:rsidR="00865DED" w:rsidRPr="00923307">
        <w:rPr>
          <w:rFonts w:ascii="Book Antiqua" w:hAnsi="Book Antiqua"/>
          <w:sz w:val="24"/>
          <w:szCs w:val="24"/>
          <w:vertAlign w:val="superscript"/>
        </w:rPr>
        <w:t>[119-121]</w:t>
      </w:r>
      <w:r w:rsidRPr="00923307">
        <w:rPr>
          <w:rStyle w:val="EndnoteReference"/>
          <w:rFonts w:ascii="Book Antiqua" w:hAnsi="Book Antiqua"/>
          <w:sz w:val="24"/>
          <w:szCs w:val="24"/>
          <w:vertAlign w:val="baseline"/>
        </w:rPr>
        <w:t>.</w:t>
      </w:r>
      <w:r w:rsidRPr="00923307">
        <w:rPr>
          <w:rFonts w:ascii="Book Antiqua" w:hAnsi="Book Antiqua"/>
          <w:sz w:val="24"/>
          <w:szCs w:val="24"/>
        </w:rPr>
        <w:t xml:space="preserve"> Moreover, It has been shown that arterial phase peritumoral enhancement, possibly due to compensatory arterial hyperperfusion after decreased portal venous flow caused by tumor thrombi </w:t>
      </w:r>
      <w:r w:rsidR="004F3808" w:rsidRPr="00923307">
        <w:rPr>
          <w:rFonts w:ascii="Book Antiqua" w:hAnsi="Book Antiqua"/>
          <w:sz w:val="24"/>
          <w:szCs w:val="24"/>
        </w:rPr>
        <w:t>occlusion of</w:t>
      </w:r>
      <w:r w:rsidRPr="00923307">
        <w:rPr>
          <w:rFonts w:ascii="Book Antiqua" w:hAnsi="Book Antiqua"/>
          <w:sz w:val="24"/>
          <w:szCs w:val="24"/>
        </w:rPr>
        <w:t xml:space="preserve"> the minute portal venules around the tumor, was also indicative of </w:t>
      </w:r>
      <w:r w:rsidR="004F3808" w:rsidRPr="00923307">
        <w:rPr>
          <w:rFonts w:ascii="Book Antiqua" w:hAnsi="Book Antiqua"/>
          <w:sz w:val="24"/>
          <w:szCs w:val="24"/>
        </w:rPr>
        <w:t xml:space="preserve">a </w:t>
      </w:r>
      <w:r w:rsidRPr="00923307">
        <w:rPr>
          <w:rFonts w:ascii="Book Antiqua" w:hAnsi="Book Antiqua"/>
          <w:sz w:val="24"/>
          <w:szCs w:val="24"/>
        </w:rPr>
        <w:t>higher risk of MVI</w:t>
      </w:r>
      <w:r w:rsidR="009C2D9A" w:rsidRPr="00923307">
        <w:rPr>
          <w:rFonts w:ascii="Book Antiqua" w:hAnsi="Book Antiqua"/>
          <w:sz w:val="24"/>
          <w:szCs w:val="24"/>
          <w:vertAlign w:val="superscript"/>
        </w:rPr>
        <w:t>[</w:t>
      </w:r>
      <w:r w:rsidR="005F1131">
        <w:rPr>
          <w:rFonts w:ascii="Book Antiqua" w:hAnsi="Book Antiqua"/>
          <w:sz w:val="24"/>
          <w:szCs w:val="24"/>
          <w:vertAlign w:val="superscript"/>
        </w:rPr>
        <w:t>122,</w:t>
      </w:r>
      <w:r w:rsidR="00865DED" w:rsidRPr="00923307">
        <w:rPr>
          <w:rFonts w:ascii="Book Antiqua" w:hAnsi="Book Antiqua"/>
          <w:sz w:val="24"/>
          <w:szCs w:val="24"/>
          <w:vertAlign w:val="superscript"/>
        </w:rPr>
        <w:t>123]</w:t>
      </w:r>
      <w:r w:rsidRPr="00923307">
        <w:rPr>
          <w:rFonts w:ascii="Book Antiqua" w:hAnsi="Book Antiqua"/>
          <w:sz w:val="24"/>
          <w:szCs w:val="24"/>
        </w:rPr>
        <w:t>.</w:t>
      </w:r>
    </w:p>
    <w:p w14:paraId="468B60B8" w14:textId="6A2DDD46" w:rsidR="005B5EE9" w:rsidRPr="00923307" w:rsidRDefault="00085198" w:rsidP="00327F62">
      <w:pPr>
        <w:snapToGrid w:val="0"/>
        <w:spacing w:line="360" w:lineRule="auto"/>
        <w:ind w:firstLine="429"/>
        <w:rPr>
          <w:rFonts w:ascii="Book Antiqua" w:hAnsi="Book Antiqua"/>
          <w:sz w:val="24"/>
          <w:szCs w:val="24"/>
        </w:rPr>
      </w:pPr>
      <w:r w:rsidRPr="00923307">
        <w:rPr>
          <w:rFonts w:ascii="Book Antiqua" w:hAnsi="Book Antiqua"/>
          <w:sz w:val="24"/>
          <w:szCs w:val="24"/>
        </w:rPr>
        <w:t>Apart from conventional dynamic CT and MRI, functional MR techniques play a pivotal role in evaluati</w:t>
      </w:r>
      <w:r w:rsidR="004F3808" w:rsidRPr="00923307">
        <w:rPr>
          <w:rFonts w:ascii="Book Antiqua" w:hAnsi="Book Antiqua"/>
          <w:sz w:val="24"/>
          <w:szCs w:val="24"/>
        </w:rPr>
        <w:t>ng</w:t>
      </w:r>
      <w:r w:rsidRPr="00923307">
        <w:rPr>
          <w:rFonts w:ascii="Book Antiqua" w:hAnsi="Book Antiqua"/>
          <w:sz w:val="24"/>
          <w:szCs w:val="24"/>
        </w:rPr>
        <w:t xml:space="preserve"> MVI. Studies have shown that higher tumor-to-liver signal intensity ratio and lower ADC</w:t>
      </w:r>
      <w:r w:rsidR="004F3808" w:rsidRPr="00923307">
        <w:rPr>
          <w:rFonts w:ascii="Book Antiqua" w:hAnsi="Book Antiqua"/>
          <w:sz w:val="24"/>
          <w:szCs w:val="24"/>
        </w:rPr>
        <w:t>s</w:t>
      </w:r>
      <w:r w:rsidRPr="00923307">
        <w:rPr>
          <w:rFonts w:ascii="Book Antiqua" w:hAnsi="Book Antiqua"/>
          <w:sz w:val="24"/>
          <w:szCs w:val="24"/>
        </w:rPr>
        <w:t xml:space="preserve"> value measured on DWI can predict MVI </w:t>
      </w:r>
      <w:r w:rsidR="004F3808" w:rsidRPr="00923307">
        <w:rPr>
          <w:rFonts w:ascii="Book Antiqua" w:hAnsi="Book Antiqua"/>
          <w:sz w:val="24"/>
          <w:szCs w:val="24"/>
        </w:rPr>
        <w:t>in</w:t>
      </w:r>
      <w:r w:rsidRPr="00923307">
        <w:rPr>
          <w:rFonts w:ascii="Book Antiqua" w:hAnsi="Book Antiqua"/>
          <w:sz w:val="24"/>
          <w:szCs w:val="24"/>
        </w:rPr>
        <w:t xml:space="preserve"> HCC</w:t>
      </w:r>
      <w:r w:rsidR="00865DED" w:rsidRPr="00923307">
        <w:rPr>
          <w:rFonts w:ascii="Book Antiqua" w:hAnsi="Book Antiqua"/>
          <w:sz w:val="24"/>
          <w:szCs w:val="24"/>
          <w:vertAlign w:val="superscript"/>
        </w:rPr>
        <w:t>[124-126]</w:t>
      </w:r>
      <w:r w:rsidRPr="00923307">
        <w:rPr>
          <w:rFonts w:ascii="Book Antiqua" w:hAnsi="Book Antiqua"/>
          <w:sz w:val="24"/>
          <w:szCs w:val="24"/>
        </w:rPr>
        <w:t xml:space="preserve">. This </w:t>
      </w:r>
      <w:r w:rsidR="004F3808" w:rsidRPr="00923307">
        <w:rPr>
          <w:rFonts w:ascii="Book Antiqua" w:hAnsi="Book Antiqua"/>
          <w:sz w:val="24"/>
          <w:szCs w:val="24"/>
        </w:rPr>
        <w:t>may be due to</w:t>
      </w:r>
      <w:r w:rsidRPr="00923307">
        <w:rPr>
          <w:rFonts w:ascii="Book Antiqua" w:hAnsi="Book Antiqua"/>
          <w:sz w:val="24"/>
          <w:szCs w:val="24"/>
        </w:rPr>
        <w:t xml:space="preserve"> higher cellularity with restricted diffusion and decreased perfusion in MVI</w:t>
      </w:r>
      <w:r w:rsidR="004F3808" w:rsidRPr="00923307">
        <w:rPr>
          <w:rFonts w:ascii="Book Antiqua" w:hAnsi="Book Antiqua"/>
          <w:sz w:val="24"/>
          <w:szCs w:val="24"/>
        </w:rPr>
        <w:t>-</w:t>
      </w:r>
      <w:r w:rsidRPr="00923307">
        <w:rPr>
          <w:rFonts w:ascii="Book Antiqua" w:hAnsi="Book Antiqua"/>
          <w:sz w:val="24"/>
          <w:szCs w:val="24"/>
        </w:rPr>
        <w:t>positive HCCs compared with MVI</w:t>
      </w:r>
      <w:r w:rsidR="004F3808" w:rsidRPr="00923307">
        <w:rPr>
          <w:rFonts w:ascii="Book Antiqua" w:hAnsi="Book Antiqua"/>
          <w:sz w:val="24"/>
          <w:szCs w:val="24"/>
        </w:rPr>
        <w:t>-</w:t>
      </w:r>
      <w:r w:rsidRPr="00923307">
        <w:rPr>
          <w:rFonts w:ascii="Book Antiqua" w:hAnsi="Book Antiqua"/>
          <w:sz w:val="24"/>
          <w:szCs w:val="24"/>
        </w:rPr>
        <w:t xml:space="preserve">negative ones. </w:t>
      </w:r>
      <w:r w:rsidR="004F3808" w:rsidRPr="00923307">
        <w:rPr>
          <w:rFonts w:ascii="Book Antiqua" w:hAnsi="Book Antiqua"/>
          <w:sz w:val="24"/>
          <w:szCs w:val="24"/>
        </w:rPr>
        <w:t>In addition</w:t>
      </w:r>
      <w:r w:rsidRPr="00923307">
        <w:rPr>
          <w:rFonts w:ascii="Book Antiqua" w:hAnsi="Book Antiqua"/>
          <w:sz w:val="24"/>
          <w:szCs w:val="24"/>
        </w:rPr>
        <w:t>, it has also been shown that increased mean kurtosis value</w:t>
      </w:r>
      <w:r w:rsidR="004F3808" w:rsidRPr="00923307">
        <w:rPr>
          <w:rFonts w:ascii="Book Antiqua" w:hAnsi="Book Antiqua"/>
          <w:sz w:val="24"/>
          <w:szCs w:val="24"/>
        </w:rPr>
        <w:t>s</w:t>
      </w:r>
      <w:r w:rsidRPr="00923307">
        <w:rPr>
          <w:rFonts w:ascii="Book Antiqua" w:hAnsi="Book Antiqua"/>
          <w:sz w:val="24"/>
          <w:szCs w:val="24"/>
        </w:rPr>
        <w:t xml:space="preserve"> measured by diffusion kurtosis imaging, </w:t>
      </w:r>
      <w:r w:rsidR="004F3808" w:rsidRPr="00923307">
        <w:rPr>
          <w:rFonts w:ascii="Book Antiqua" w:hAnsi="Book Antiqua"/>
          <w:sz w:val="24"/>
          <w:szCs w:val="24"/>
        </w:rPr>
        <w:t xml:space="preserve">which is </w:t>
      </w:r>
      <w:r w:rsidRPr="00923307">
        <w:rPr>
          <w:rFonts w:ascii="Book Antiqua" w:hAnsi="Book Antiqua"/>
          <w:sz w:val="24"/>
          <w:szCs w:val="24"/>
        </w:rPr>
        <w:t xml:space="preserve">a DWI-based MR technique, </w:t>
      </w:r>
      <w:r w:rsidR="004F3808" w:rsidRPr="00923307">
        <w:rPr>
          <w:rFonts w:ascii="Book Antiqua" w:hAnsi="Book Antiqua"/>
          <w:sz w:val="24"/>
          <w:szCs w:val="24"/>
        </w:rPr>
        <w:t>were</w:t>
      </w:r>
      <w:r w:rsidRPr="00923307">
        <w:rPr>
          <w:rFonts w:ascii="Book Antiqua" w:hAnsi="Book Antiqua"/>
          <w:sz w:val="24"/>
          <w:szCs w:val="24"/>
        </w:rPr>
        <w:t xml:space="preserve"> independent risk factors for MVI</w:t>
      </w:r>
      <w:r w:rsidR="00865DED" w:rsidRPr="00923307">
        <w:rPr>
          <w:rFonts w:ascii="Book Antiqua" w:hAnsi="Book Antiqua"/>
          <w:sz w:val="24"/>
          <w:szCs w:val="24"/>
          <w:vertAlign w:val="superscript"/>
        </w:rPr>
        <w:t>[127]</w:t>
      </w:r>
      <w:r w:rsidRPr="00923307">
        <w:rPr>
          <w:rFonts w:ascii="Book Antiqua" w:hAnsi="Book Antiqua"/>
          <w:sz w:val="24"/>
          <w:szCs w:val="24"/>
        </w:rPr>
        <w:t xml:space="preserve">. </w:t>
      </w:r>
    </w:p>
    <w:p w14:paraId="6C0A415E" w14:textId="7C8EC2F5" w:rsidR="005B5EE9" w:rsidRPr="00923307" w:rsidRDefault="00085198" w:rsidP="00327F62">
      <w:pPr>
        <w:snapToGrid w:val="0"/>
        <w:spacing w:line="360" w:lineRule="auto"/>
        <w:ind w:firstLine="429"/>
        <w:rPr>
          <w:rFonts w:ascii="Book Antiqua" w:hAnsi="Book Antiqua"/>
          <w:sz w:val="24"/>
          <w:szCs w:val="24"/>
        </w:rPr>
      </w:pPr>
      <w:r w:rsidRPr="00923307">
        <w:rPr>
          <w:rFonts w:ascii="Book Antiqua" w:hAnsi="Book Antiqua"/>
          <w:sz w:val="24"/>
          <w:szCs w:val="24"/>
        </w:rPr>
        <w:t>Gd-EOB-DTPA-enhanced MRI is another useful too</w:t>
      </w:r>
      <w:r w:rsidR="004F3808" w:rsidRPr="00923307">
        <w:rPr>
          <w:rFonts w:ascii="Book Antiqua" w:hAnsi="Book Antiqua"/>
          <w:sz w:val="24"/>
          <w:szCs w:val="24"/>
        </w:rPr>
        <w:t xml:space="preserve">l for assessing </w:t>
      </w:r>
      <w:r w:rsidRPr="00923307">
        <w:rPr>
          <w:rFonts w:ascii="Book Antiqua" w:hAnsi="Book Antiqua"/>
          <w:sz w:val="24"/>
          <w:szCs w:val="24"/>
        </w:rPr>
        <w:t xml:space="preserve">MVI in HCC patients. </w:t>
      </w:r>
      <w:r w:rsidR="004F3808" w:rsidRPr="00923307">
        <w:rPr>
          <w:rFonts w:ascii="Book Antiqua" w:hAnsi="Book Antiqua"/>
          <w:sz w:val="24"/>
          <w:szCs w:val="24"/>
        </w:rPr>
        <w:t>T</w:t>
      </w:r>
      <w:r w:rsidRPr="00923307">
        <w:rPr>
          <w:rFonts w:ascii="Book Antiqua" w:hAnsi="Book Antiqua"/>
          <w:sz w:val="24"/>
          <w:szCs w:val="24"/>
        </w:rPr>
        <w:t>he presence of a faint hypointense halo around the tumor in the HBP can predict the presence of MVI</w:t>
      </w:r>
      <w:r w:rsidR="00865DED" w:rsidRPr="00923307">
        <w:rPr>
          <w:rFonts w:ascii="Book Antiqua" w:hAnsi="Book Antiqua"/>
          <w:sz w:val="24"/>
          <w:szCs w:val="24"/>
          <w:vertAlign w:val="superscript"/>
        </w:rPr>
        <w:t>[128-131]</w:t>
      </w:r>
      <w:r w:rsidR="009C2D9A" w:rsidRPr="00923307">
        <w:rPr>
          <w:rFonts w:ascii="Book Antiqua" w:hAnsi="Book Antiqua"/>
          <w:sz w:val="24"/>
          <w:szCs w:val="24"/>
          <w:vertAlign w:val="superscript"/>
        </w:rPr>
        <w:t xml:space="preserve"> </w:t>
      </w:r>
      <w:r w:rsidR="009C2D9A" w:rsidRPr="00923307">
        <w:rPr>
          <w:rFonts w:ascii="Book Antiqua" w:hAnsi="Book Antiqua"/>
          <w:sz w:val="24"/>
          <w:szCs w:val="24"/>
        </w:rPr>
        <w:t xml:space="preserve">(Figure </w:t>
      </w:r>
      <w:r w:rsidR="0088310E" w:rsidRPr="00923307">
        <w:rPr>
          <w:rFonts w:ascii="Book Antiqua" w:hAnsi="Book Antiqua"/>
          <w:sz w:val="24"/>
          <w:szCs w:val="24"/>
        </w:rPr>
        <w:t>3</w:t>
      </w:r>
      <w:r w:rsidR="009C2D9A" w:rsidRPr="00923307">
        <w:rPr>
          <w:rFonts w:ascii="Book Antiqua" w:hAnsi="Book Antiqua"/>
          <w:sz w:val="24"/>
          <w:szCs w:val="24"/>
        </w:rPr>
        <w:t>).</w:t>
      </w:r>
      <w:r w:rsidRPr="00923307">
        <w:rPr>
          <w:rFonts w:ascii="Book Antiqua" w:hAnsi="Book Antiqua"/>
          <w:sz w:val="24"/>
          <w:szCs w:val="24"/>
        </w:rPr>
        <w:t xml:space="preserve"> One possible explanation </w:t>
      </w:r>
      <w:r w:rsidR="004F3808" w:rsidRPr="00923307">
        <w:rPr>
          <w:rFonts w:ascii="Book Antiqua" w:hAnsi="Book Antiqua"/>
          <w:sz w:val="24"/>
          <w:szCs w:val="24"/>
        </w:rPr>
        <w:t>for</w:t>
      </w:r>
      <w:r w:rsidRPr="00923307">
        <w:rPr>
          <w:rFonts w:ascii="Book Antiqua" w:hAnsi="Book Antiqua"/>
          <w:sz w:val="24"/>
          <w:szCs w:val="24"/>
        </w:rPr>
        <w:t xml:space="preserve"> this specific imaging </w:t>
      </w:r>
      <w:r w:rsidR="006E4E5E" w:rsidRPr="00923307">
        <w:rPr>
          <w:rFonts w:ascii="Book Antiqua" w:hAnsi="Book Antiqua"/>
          <w:sz w:val="24"/>
          <w:szCs w:val="24"/>
        </w:rPr>
        <w:t>feature</w:t>
      </w:r>
      <w:r w:rsidRPr="00923307">
        <w:rPr>
          <w:rFonts w:ascii="Book Antiqua" w:hAnsi="Book Antiqua"/>
          <w:sz w:val="24"/>
          <w:szCs w:val="24"/>
        </w:rPr>
        <w:t xml:space="preserve"> is that MVI can cause </w:t>
      </w:r>
      <w:r w:rsidRPr="00923307">
        <w:rPr>
          <w:rFonts w:ascii="Book Antiqua" w:hAnsi="Book Antiqua"/>
          <w:sz w:val="24"/>
          <w:szCs w:val="24"/>
        </w:rPr>
        <w:lastRenderedPageBreak/>
        <w:t xml:space="preserve">hemodynamic changes surrounding the tumor due to obstruction of minute vessels, resulting in impaired hepatocytic function and decreased uptake of Gd-EOB-DTPA in </w:t>
      </w:r>
      <w:r w:rsidR="004F3808" w:rsidRPr="00923307">
        <w:rPr>
          <w:rFonts w:ascii="Book Antiqua" w:hAnsi="Book Antiqua"/>
          <w:sz w:val="24"/>
          <w:szCs w:val="24"/>
        </w:rPr>
        <w:t>these</w:t>
      </w:r>
      <w:r w:rsidRPr="00923307">
        <w:rPr>
          <w:rFonts w:ascii="Book Antiqua" w:hAnsi="Book Antiqua"/>
          <w:sz w:val="24"/>
          <w:szCs w:val="24"/>
        </w:rPr>
        <w:t xml:space="preserve"> area</w:t>
      </w:r>
      <w:r w:rsidR="004F3808" w:rsidRPr="00923307">
        <w:rPr>
          <w:rFonts w:ascii="Book Antiqua" w:hAnsi="Book Antiqua"/>
          <w:sz w:val="24"/>
          <w:szCs w:val="24"/>
        </w:rPr>
        <w:t>s</w:t>
      </w:r>
      <w:r w:rsidRPr="00923307">
        <w:rPr>
          <w:rFonts w:ascii="Book Antiqua" w:hAnsi="Book Antiqua"/>
          <w:sz w:val="24"/>
          <w:szCs w:val="24"/>
        </w:rPr>
        <w:t xml:space="preserve">. </w:t>
      </w:r>
    </w:p>
    <w:p w14:paraId="607A9AC6" w14:textId="4BF7D780" w:rsidR="005B5EE9" w:rsidRPr="00923307" w:rsidRDefault="00085198" w:rsidP="00327F62">
      <w:pPr>
        <w:snapToGrid w:val="0"/>
        <w:spacing w:line="360" w:lineRule="auto"/>
        <w:ind w:firstLine="429"/>
        <w:rPr>
          <w:rFonts w:ascii="Book Antiqua" w:hAnsi="Book Antiqua"/>
          <w:sz w:val="24"/>
          <w:szCs w:val="24"/>
        </w:rPr>
      </w:pPr>
      <w:r w:rsidRPr="00923307">
        <w:rPr>
          <w:rFonts w:ascii="Book Antiqua" w:hAnsi="Book Antiqua"/>
          <w:sz w:val="24"/>
          <w:szCs w:val="24"/>
        </w:rPr>
        <w:t xml:space="preserve">Comprehensive predictive models incorporating several imaging and serological parameters have been developed </w:t>
      </w:r>
      <w:r w:rsidR="004F3808" w:rsidRPr="00923307">
        <w:rPr>
          <w:rFonts w:ascii="Book Antiqua" w:hAnsi="Book Antiqua"/>
          <w:sz w:val="24"/>
          <w:szCs w:val="24"/>
        </w:rPr>
        <w:t xml:space="preserve">recently </w:t>
      </w:r>
      <w:r w:rsidRPr="00923307">
        <w:rPr>
          <w:rFonts w:ascii="Book Antiqua" w:hAnsi="Book Antiqua"/>
          <w:sz w:val="24"/>
          <w:szCs w:val="24"/>
        </w:rPr>
        <w:t xml:space="preserve">to predict the presence of MVI. Lei </w:t>
      </w:r>
      <w:r w:rsidRPr="005F1131">
        <w:rPr>
          <w:rFonts w:ascii="Book Antiqua" w:hAnsi="Book Antiqua"/>
          <w:i/>
          <w:sz w:val="24"/>
          <w:szCs w:val="24"/>
        </w:rPr>
        <w:t>et al</w:t>
      </w:r>
      <w:r w:rsidR="00865DED" w:rsidRPr="00923307">
        <w:rPr>
          <w:rFonts w:ascii="Book Antiqua" w:hAnsi="Book Antiqua"/>
          <w:sz w:val="24"/>
          <w:szCs w:val="24"/>
          <w:vertAlign w:val="superscript"/>
        </w:rPr>
        <w:t>[132]</w:t>
      </w:r>
      <w:r w:rsidRPr="00923307">
        <w:rPr>
          <w:rFonts w:ascii="Book Antiqua" w:hAnsi="Book Antiqua"/>
          <w:sz w:val="24"/>
          <w:szCs w:val="24"/>
        </w:rPr>
        <w:t xml:space="preserve"> conducted a retrospective study </w:t>
      </w:r>
      <w:r w:rsidR="004F3808" w:rsidRPr="00923307">
        <w:rPr>
          <w:rFonts w:ascii="Book Antiqua" w:hAnsi="Book Antiqua"/>
          <w:sz w:val="24"/>
          <w:szCs w:val="24"/>
        </w:rPr>
        <w:t>including</w:t>
      </w:r>
      <w:r w:rsidRPr="00923307">
        <w:rPr>
          <w:rFonts w:ascii="Book Antiqua" w:hAnsi="Book Antiqua"/>
          <w:sz w:val="24"/>
          <w:szCs w:val="24"/>
        </w:rPr>
        <w:t xml:space="preserve"> 1004 consecutive HBV-related HCC patients and developed a nomogram for preoperative estimation of MVI. </w:t>
      </w:r>
      <w:r w:rsidR="004F3808" w:rsidRPr="00923307">
        <w:rPr>
          <w:rFonts w:ascii="Book Antiqua" w:hAnsi="Book Antiqua"/>
          <w:sz w:val="24"/>
          <w:szCs w:val="24"/>
        </w:rPr>
        <w:t>A l</w:t>
      </w:r>
      <w:r w:rsidRPr="00923307">
        <w:rPr>
          <w:rFonts w:ascii="Book Antiqua" w:hAnsi="Book Antiqua"/>
          <w:sz w:val="24"/>
          <w:szCs w:val="24"/>
        </w:rPr>
        <w:t>arge tumor diameter, multiple nodules, incomplete capsule, typical dynamic pattern of HCC on contrast-enhanced MRI, elevated AFP level</w:t>
      </w:r>
      <w:r w:rsidR="004F3808" w:rsidRPr="00923307">
        <w:rPr>
          <w:rFonts w:ascii="Book Antiqua" w:hAnsi="Book Antiqua"/>
          <w:sz w:val="24"/>
          <w:szCs w:val="24"/>
        </w:rPr>
        <w:t>s</w:t>
      </w:r>
      <w:r w:rsidRPr="00923307">
        <w:rPr>
          <w:rFonts w:ascii="Book Antiqua" w:hAnsi="Book Antiqua"/>
          <w:sz w:val="24"/>
          <w:szCs w:val="24"/>
        </w:rPr>
        <w:t xml:space="preserve">, elevated HBV DNA load and decreased platelet count were incorporated into the predictive model. The sensitivities of the training and validation cohorts were 73.5% and 61.8%, </w:t>
      </w:r>
      <w:r w:rsidR="004F3808" w:rsidRPr="00923307">
        <w:rPr>
          <w:rFonts w:ascii="Book Antiqua" w:hAnsi="Book Antiqua"/>
          <w:sz w:val="24"/>
          <w:szCs w:val="24"/>
        </w:rPr>
        <w:t xml:space="preserve">respectively, </w:t>
      </w:r>
      <w:r w:rsidRPr="00923307">
        <w:rPr>
          <w:rFonts w:ascii="Book Antiqua" w:hAnsi="Book Antiqua"/>
          <w:sz w:val="24"/>
          <w:szCs w:val="24"/>
        </w:rPr>
        <w:t xml:space="preserve">while the specificities were 76.6% and 80.8%, respectively. Another study demonstrated that radiogenomic venous invasion, which was derived from a 91-gene HCC “venous invasion” gene expression signature consisting of three major imaging features (“internal arteries”, “hypodense halo” and “tumor-liver difference”) on contrast-enhanced CT, was able to predict MVI with </w:t>
      </w:r>
      <w:r w:rsidR="004F3808" w:rsidRPr="00923307">
        <w:rPr>
          <w:rFonts w:ascii="Book Antiqua" w:hAnsi="Book Antiqua"/>
          <w:sz w:val="24"/>
          <w:szCs w:val="24"/>
        </w:rPr>
        <w:t xml:space="preserve">a </w:t>
      </w:r>
      <w:r w:rsidRPr="00923307">
        <w:rPr>
          <w:rFonts w:ascii="Book Antiqua" w:hAnsi="Book Antiqua"/>
          <w:sz w:val="24"/>
          <w:szCs w:val="24"/>
        </w:rPr>
        <w:t>sensitivity and specificity of 76% and 94%, respectively</w:t>
      </w:r>
      <w:r w:rsidR="00865DED" w:rsidRPr="00923307">
        <w:rPr>
          <w:rFonts w:ascii="Book Antiqua" w:hAnsi="Book Antiqua"/>
          <w:sz w:val="24"/>
          <w:szCs w:val="24"/>
          <w:vertAlign w:val="superscript"/>
        </w:rPr>
        <w:t>[1</w:t>
      </w:r>
      <w:r w:rsidRPr="00923307">
        <w:rPr>
          <w:rFonts w:ascii="Book Antiqua" w:hAnsi="Book Antiqua"/>
          <w:sz w:val="24"/>
          <w:szCs w:val="24"/>
          <w:vertAlign w:val="superscript"/>
        </w:rPr>
        <w:t>1</w:t>
      </w:r>
      <w:r w:rsidR="00865DED" w:rsidRPr="00923307">
        <w:rPr>
          <w:rFonts w:ascii="Book Antiqua" w:hAnsi="Book Antiqua"/>
          <w:sz w:val="24"/>
          <w:szCs w:val="24"/>
          <w:vertAlign w:val="superscript"/>
        </w:rPr>
        <w:t>4]</w:t>
      </w:r>
      <w:r w:rsidRPr="00923307">
        <w:rPr>
          <w:rFonts w:ascii="Book Antiqua" w:hAnsi="Book Antiqua"/>
          <w:sz w:val="24"/>
          <w:szCs w:val="24"/>
        </w:rPr>
        <w:t xml:space="preserve">. </w:t>
      </w:r>
    </w:p>
    <w:p w14:paraId="5A907FDC" w14:textId="18F5C7AD" w:rsidR="005B5EE9" w:rsidRPr="00923307" w:rsidRDefault="00085198" w:rsidP="00327F62">
      <w:pPr>
        <w:snapToGrid w:val="0"/>
        <w:spacing w:line="360" w:lineRule="auto"/>
        <w:ind w:left="34" w:firstLine="420"/>
        <w:rPr>
          <w:rFonts w:ascii="Book Antiqua" w:hAnsi="Book Antiqua"/>
          <w:sz w:val="24"/>
          <w:szCs w:val="24"/>
        </w:rPr>
      </w:pPr>
      <w:r w:rsidRPr="00923307">
        <w:rPr>
          <w:rFonts w:ascii="Book Antiqua" w:hAnsi="Book Antiqua"/>
          <w:sz w:val="24"/>
          <w:szCs w:val="24"/>
        </w:rPr>
        <w:t>Although substantial progress ha</w:t>
      </w:r>
      <w:r w:rsidR="004F3808" w:rsidRPr="00923307">
        <w:rPr>
          <w:rFonts w:ascii="Book Antiqua" w:hAnsi="Book Antiqua"/>
          <w:sz w:val="24"/>
          <w:szCs w:val="24"/>
        </w:rPr>
        <w:t>s</w:t>
      </w:r>
      <w:r w:rsidRPr="00923307">
        <w:rPr>
          <w:rFonts w:ascii="Book Antiqua" w:hAnsi="Book Antiqua"/>
          <w:sz w:val="24"/>
          <w:szCs w:val="24"/>
        </w:rPr>
        <w:t xml:space="preserve"> been </w:t>
      </w:r>
      <w:r w:rsidR="00C25D22" w:rsidRPr="00923307">
        <w:rPr>
          <w:rFonts w:ascii="Book Antiqua" w:hAnsi="Book Antiqua"/>
          <w:sz w:val="24"/>
          <w:szCs w:val="24"/>
        </w:rPr>
        <w:t>made</w:t>
      </w:r>
      <w:r w:rsidRPr="00923307">
        <w:rPr>
          <w:rFonts w:ascii="Book Antiqua" w:hAnsi="Book Antiqua"/>
          <w:sz w:val="24"/>
          <w:szCs w:val="24"/>
        </w:rPr>
        <w:t xml:space="preserve"> in </w:t>
      </w:r>
      <w:r w:rsidR="006E4E5E" w:rsidRPr="00923307">
        <w:rPr>
          <w:rFonts w:ascii="Book Antiqua" w:hAnsi="Book Antiqua"/>
          <w:sz w:val="24"/>
          <w:szCs w:val="24"/>
        </w:rPr>
        <w:t xml:space="preserve">the </w:t>
      </w:r>
      <w:r w:rsidRPr="00923307">
        <w:rPr>
          <w:rFonts w:ascii="Book Antiqua" w:hAnsi="Book Antiqua"/>
          <w:sz w:val="24"/>
          <w:szCs w:val="24"/>
        </w:rPr>
        <w:t>noninvasiv</w:t>
      </w:r>
      <w:r w:rsidR="00C25D22" w:rsidRPr="00923307">
        <w:rPr>
          <w:rFonts w:ascii="Book Antiqua" w:hAnsi="Book Antiqua"/>
          <w:sz w:val="24"/>
          <w:szCs w:val="24"/>
        </w:rPr>
        <w:t xml:space="preserve">e </w:t>
      </w:r>
      <w:r w:rsidR="006E4E5E" w:rsidRPr="00923307">
        <w:rPr>
          <w:rFonts w:ascii="Book Antiqua" w:hAnsi="Book Antiqua"/>
          <w:sz w:val="24"/>
          <w:szCs w:val="24"/>
        </w:rPr>
        <w:t>evaluation of</w:t>
      </w:r>
      <w:r w:rsidRPr="00923307">
        <w:rPr>
          <w:rFonts w:ascii="Book Antiqua" w:hAnsi="Book Antiqua"/>
          <w:sz w:val="24"/>
          <w:szCs w:val="24"/>
        </w:rPr>
        <w:t xml:space="preserve"> HCC </w:t>
      </w:r>
      <w:r w:rsidR="006E4E5E" w:rsidRPr="00923307">
        <w:rPr>
          <w:rFonts w:ascii="Book Antiqua" w:hAnsi="Book Antiqua"/>
          <w:sz w:val="24"/>
          <w:szCs w:val="24"/>
        </w:rPr>
        <w:t xml:space="preserve">prognosis </w:t>
      </w:r>
      <w:r w:rsidRPr="00923307">
        <w:rPr>
          <w:rFonts w:ascii="Book Antiqua" w:hAnsi="Book Antiqua"/>
          <w:sz w:val="24"/>
          <w:szCs w:val="24"/>
        </w:rPr>
        <w:t xml:space="preserve">with combinations of various imaging features and modalities, there is still debate over the optimal predictive model for tumor recurrence and patient survival. </w:t>
      </w:r>
      <w:r w:rsidR="00C25D22" w:rsidRPr="00923307">
        <w:rPr>
          <w:rFonts w:ascii="Book Antiqua" w:hAnsi="Book Antiqua"/>
          <w:sz w:val="24"/>
          <w:szCs w:val="24"/>
        </w:rPr>
        <w:t>In addition</w:t>
      </w:r>
      <w:r w:rsidRPr="00923307">
        <w:rPr>
          <w:rFonts w:ascii="Book Antiqua" w:hAnsi="Book Antiqua"/>
          <w:sz w:val="24"/>
          <w:szCs w:val="24"/>
        </w:rPr>
        <w:t xml:space="preserve">, </w:t>
      </w:r>
      <w:r w:rsidR="00C25D22" w:rsidRPr="00923307">
        <w:rPr>
          <w:rFonts w:ascii="Book Antiqua" w:hAnsi="Book Antiqua"/>
          <w:sz w:val="24"/>
          <w:szCs w:val="24"/>
        </w:rPr>
        <w:t xml:space="preserve">the </w:t>
      </w:r>
      <w:r w:rsidRPr="00923307">
        <w:rPr>
          <w:rFonts w:ascii="Book Antiqua" w:hAnsi="Book Antiqua"/>
          <w:sz w:val="24"/>
          <w:szCs w:val="24"/>
        </w:rPr>
        <w:t xml:space="preserve">current data are mostly limited to single-center experiences with relatively small numbers of HCC cases. Therefore, further large-scale multicentered studies are </w:t>
      </w:r>
      <w:r w:rsidR="00C25D22" w:rsidRPr="00923307">
        <w:rPr>
          <w:rFonts w:ascii="Book Antiqua" w:hAnsi="Book Antiqua"/>
          <w:sz w:val="24"/>
          <w:szCs w:val="24"/>
        </w:rPr>
        <w:t>necessary</w:t>
      </w:r>
      <w:r w:rsidRPr="00923307">
        <w:rPr>
          <w:rFonts w:ascii="Book Antiqua" w:hAnsi="Book Antiqua"/>
          <w:sz w:val="24"/>
          <w:szCs w:val="24"/>
        </w:rPr>
        <w:t xml:space="preserve"> to develop the comprehensive predictive models </w:t>
      </w:r>
      <w:r w:rsidR="00C25D22" w:rsidRPr="00923307">
        <w:rPr>
          <w:rFonts w:ascii="Book Antiqua" w:hAnsi="Book Antiqua"/>
          <w:sz w:val="24"/>
          <w:szCs w:val="24"/>
        </w:rPr>
        <w:t>to assess</w:t>
      </w:r>
      <w:r w:rsidRPr="00923307">
        <w:rPr>
          <w:rFonts w:ascii="Book Antiqua" w:hAnsi="Book Antiqua"/>
          <w:sz w:val="24"/>
          <w:szCs w:val="24"/>
        </w:rPr>
        <w:t xml:space="preserve"> HCC prognosis, </w:t>
      </w:r>
      <w:r w:rsidR="00C25D22" w:rsidRPr="00923307">
        <w:rPr>
          <w:rFonts w:ascii="Book Antiqua" w:hAnsi="Book Antiqua"/>
          <w:sz w:val="24"/>
          <w:szCs w:val="24"/>
        </w:rPr>
        <w:t>particularly those that use</w:t>
      </w:r>
      <w:r w:rsidRPr="00923307">
        <w:rPr>
          <w:rFonts w:ascii="Book Antiqua" w:hAnsi="Book Antiqua"/>
          <w:sz w:val="24"/>
          <w:szCs w:val="24"/>
        </w:rPr>
        <w:t xml:space="preserve"> artificial intelligence techniques in the era of radiomics and radiogenomics.</w:t>
      </w:r>
    </w:p>
    <w:p w14:paraId="74860445" w14:textId="77777777" w:rsidR="007921EB" w:rsidRPr="00923307" w:rsidRDefault="007921EB" w:rsidP="00327F62">
      <w:pPr>
        <w:snapToGrid w:val="0"/>
        <w:spacing w:line="360" w:lineRule="auto"/>
        <w:rPr>
          <w:rFonts w:ascii="Book Antiqua" w:hAnsi="Book Antiqua"/>
          <w:b/>
          <w:sz w:val="24"/>
          <w:szCs w:val="24"/>
        </w:rPr>
      </w:pPr>
    </w:p>
    <w:p w14:paraId="545EB3BE" w14:textId="36E5E8A7" w:rsidR="005B5EE9" w:rsidRPr="005F1131" w:rsidRDefault="00F758F9" w:rsidP="00327F62">
      <w:pPr>
        <w:snapToGrid w:val="0"/>
        <w:spacing w:line="360" w:lineRule="auto"/>
        <w:rPr>
          <w:rFonts w:ascii="Book Antiqua" w:hAnsi="Book Antiqua"/>
          <w:b/>
          <w:caps/>
          <w:sz w:val="24"/>
          <w:szCs w:val="24"/>
        </w:rPr>
      </w:pPr>
      <w:r w:rsidRPr="005F1131">
        <w:rPr>
          <w:rFonts w:ascii="Book Antiqua" w:hAnsi="Book Antiqua"/>
          <w:b/>
          <w:caps/>
          <w:sz w:val="24"/>
          <w:szCs w:val="24"/>
        </w:rPr>
        <w:t>Conclusion</w:t>
      </w:r>
    </w:p>
    <w:p w14:paraId="5022506C" w14:textId="20A4A511" w:rsidR="005B5EE9" w:rsidRPr="00923307" w:rsidRDefault="00085198" w:rsidP="00327F62">
      <w:pPr>
        <w:snapToGrid w:val="0"/>
        <w:spacing w:line="360" w:lineRule="auto"/>
        <w:rPr>
          <w:rFonts w:ascii="Book Antiqua" w:hAnsi="Book Antiqua"/>
          <w:sz w:val="24"/>
          <w:szCs w:val="24"/>
        </w:rPr>
      </w:pPr>
      <w:r w:rsidRPr="00923307">
        <w:rPr>
          <w:rFonts w:ascii="Book Antiqua" w:hAnsi="Book Antiqua"/>
          <w:sz w:val="24"/>
          <w:szCs w:val="24"/>
        </w:rPr>
        <w:t xml:space="preserve">HCC is a major public health problem worldwide. Noninvasive imaging techniques play significant roles in the diagnosis, characterization, staging, </w:t>
      </w:r>
      <w:r w:rsidRPr="00923307">
        <w:rPr>
          <w:rFonts w:ascii="Book Antiqua" w:hAnsi="Book Antiqua"/>
          <w:sz w:val="24"/>
          <w:szCs w:val="24"/>
        </w:rPr>
        <w:lastRenderedPageBreak/>
        <w:t xml:space="preserve">surveillance and prognosis evaluation of HCC. Currently, US is the first-line imaging modality for screening and surveillance purposes. Contrast enhanced dynamic </w:t>
      </w:r>
      <w:r w:rsidR="006E4E5E" w:rsidRPr="00923307">
        <w:rPr>
          <w:rFonts w:ascii="Book Antiqua" w:hAnsi="Book Antiqua"/>
          <w:sz w:val="24"/>
          <w:szCs w:val="24"/>
        </w:rPr>
        <w:t xml:space="preserve">multiphasic </w:t>
      </w:r>
      <w:r w:rsidRPr="00923307">
        <w:rPr>
          <w:rFonts w:ascii="Book Antiqua" w:hAnsi="Book Antiqua"/>
          <w:sz w:val="24"/>
          <w:szCs w:val="24"/>
        </w:rPr>
        <w:t>CT and MRI</w:t>
      </w:r>
      <w:r w:rsidR="00C25D22" w:rsidRPr="00923307">
        <w:rPr>
          <w:rFonts w:ascii="Book Antiqua" w:hAnsi="Book Antiqua"/>
          <w:sz w:val="24"/>
          <w:szCs w:val="24"/>
        </w:rPr>
        <w:t xml:space="preserve"> </w:t>
      </w:r>
      <w:r w:rsidRPr="00923307">
        <w:rPr>
          <w:rFonts w:ascii="Book Antiqua" w:hAnsi="Book Antiqua"/>
          <w:sz w:val="24"/>
          <w:szCs w:val="24"/>
        </w:rPr>
        <w:t xml:space="preserve">are diagnostic tools for HCC </w:t>
      </w:r>
      <w:r w:rsidR="00C25D22" w:rsidRPr="00923307">
        <w:rPr>
          <w:rFonts w:ascii="Book Antiqua" w:hAnsi="Book Antiqua"/>
          <w:sz w:val="24"/>
          <w:szCs w:val="24"/>
        </w:rPr>
        <w:t xml:space="preserve">based on characteristic enhancement patterns that do not require </w:t>
      </w:r>
      <w:r w:rsidRPr="00923307">
        <w:rPr>
          <w:rFonts w:ascii="Book Antiqua" w:hAnsi="Book Antiqua"/>
          <w:sz w:val="24"/>
          <w:szCs w:val="24"/>
        </w:rPr>
        <w:t>histopathologic confirmation. Functional MRI techniques including DWI, MRI</w:t>
      </w:r>
      <w:r w:rsidR="00C25D22" w:rsidRPr="00923307">
        <w:rPr>
          <w:rFonts w:ascii="Book Antiqua" w:hAnsi="Book Antiqua"/>
          <w:sz w:val="24"/>
          <w:szCs w:val="24"/>
        </w:rPr>
        <w:t xml:space="preserve"> with hepatobiliary contrast agents</w:t>
      </w:r>
      <w:r w:rsidRPr="00923307">
        <w:rPr>
          <w:rFonts w:ascii="Book Antiqua" w:hAnsi="Book Antiqua"/>
          <w:sz w:val="24"/>
          <w:szCs w:val="24"/>
        </w:rPr>
        <w:t xml:space="preserve">, perfusion imaging and MRE </w:t>
      </w:r>
      <w:r w:rsidR="00846D8F" w:rsidRPr="00923307">
        <w:rPr>
          <w:rFonts w:ascii="Book Antiqua" w:hAnsi="Book Antiqua"/>
          <w:sz w:val="24"/>
          <w:szCs w:val="24"/>
        </w:rPr>
        <w:t>show promise in</w:t>
      </w:r>
      <w:r w:rsidRPr="00923307">
        <w:rPr>
          <w:rFonts w:ascii="Book Antiqua" w:hAnsi="Book Antiqua"/>
          <w:sz w:val="24"/>
          <w:szCs w:val="24"/>
        </w:rPr>
        <w:t xml:space="preserve"> provid</w:t>
      </w:r>
      <w:r w:rsidR="00846D8F" w:rsidRPr="00923307">
        <w:rPr>
          <w:rFonts w:ascii="Book Antiqua" w:hAnsi="Book Antiqua"/>
          <w:sz w:val="24"/>
          <w:szCs w:val="24"/>
        </w:rPr>
        <w:t>ing</w:t>
      </w:r>
      <w:r w:rsidRPr="00923307">
        <w:rPr>
          <w:rFonts w:ascii="Book Antiqua" w:hAnsi="Book Antiqua"/>
          <w:sz w:val="24"/>
          <w:szCs w:val="24"/>
        </w:rPr>
        <w:t xml:space="preserve"> further important information regarding tumor biological behavior. </w:t>
      </w:r>
      <w:r w:rsidR="00C25D22" w:rsidRPr="00923307">
        <w:rPr>
          <w:rFonts w:ascii="Book Antiqua" w:hAnsi="Book Antiqua"/>
          <w:sz w:val="24"/>
          <w:szCs w:val="24"/>
        </w:rPr>
        <w:t>In addition</w:t>
      </w:r>
      <w:r w:rsidRPr="00923307">
        <w:rPr>
          <w:rFonts w:ascii="Book Antiqua" w:hAnsi="Book Antiqua"/>
          <w:sz w:val="24"/>
          <w:szCs w:val="24"/>
        </w:rPr>
        <w:t xml:space="preserve">, several imaging features based on different imaging modalities enable </w:t>
      </w:r>
      <w:r w:rsidR="00C25D22" w:rsidRPr="00923307">
        <w:rPr>
          <w:rFonts w:ascii="Book Antiqua" w:hAnsi="Book Antiqua"/>
          <w:sz w:val="24"/>
          <w:szCs w:val="24"/>
        </w:rPr>
        <w:t xml:space="preserve">the </w:t>
      </w:r>
      <w:r w:rsidRPr="00923307">
        <w:rPr>
          <w:rFonts w:ascii="Book Antiqua" w:hAnsi="Book Antiqua"/>
          <w:sz w:val="24"/>
          <w:szCs w:val="24"/>
        </w:rPr>
        <w:t>prediction of MVI, patient recurrence and survival.</w:t>
      </w:r>
    </w:p>
    <w:p w14:paraId="4F741540" w14:textId="0B8A07D1" w:rsidR="000548FC" w:rsidRPr="00923307" w:rsidRDefault="00085198" w:rsidP="00327F62">
      <w:pPr>
        <w:snapToGrid w:val="0"/>
        <w:spacing w:line="360" w:lineRule="auto"/>
        <w:ind w:firstLine="420"/>
        <w:rPr>
          <w:rFonts w:ascii="Book Antiqua" w:hAnsi="Book Antiqua"/>
          <w:sz w:val="24"/>
          <w:szCs w:val="24"/>
        </w:rPr>
      </w:pPr>
      <w:r w:rsidRPr="00923307">
        <w:rPr>
          <w:rFonts w:ascii="Book Antiqua" w:hAnsi="Book Antiqua"/>
          <w:sz w:val="24"/>
          <w:szCs w:val="24"/>
        </w:rPr>
        <w:t>However, as the prognosis of HCC is largely dependent on the stage at which the tumor is detected, early detection and accurate assessment are critical for patient management and survival. Nevertheless, early diagnosis of HCC is still one of the most challenging areas in liver imaging. Moreover, comprehensive prediction model</w:t>
      </w:r>
      <w:r w:rsidR="00C25D22" w:rsidRPr="00923307">
        <w:rPr>
          <w:rFonts w:ascii="Book Antiqua" w:hAnsi="Book Antiqua"/>
          <w:sz w:val="24"/>
          <w:szCs w:val="24"/>
        </w:rPr>
        <w:t>s</w:t>
      </w:r>
      <w:r w:rsidRPr="00923307">
        <w:rPr>
          <w:rFonts w:ascii="Book Antiqua" w:hAnsi="Book Antiqua"/>
          <w:sz w:val="24"/>
          <w:szCs w:val="24"/>
        </w:rPr>
        <w:t xml:space="preserve"> for preoperative evaluation of HCC prognosis </w:t>
      </w:r>
      <w:r w:rsidR="00C25D22" w:rsidRPr="00923307">
        <w:rPr>
          <w:rFonts w:ascii="Book Antiqua" w:hAnsi="Book Antiqua"/>
          <w:sz w:val="24"/>
          <w:szCs w:val="24"/>
        </w:rPr>
        <w:t>are</w:t>
      </w:r>
      <w:r w:rsidRPr="00923307">
        <w:rPr>
          <w:rFonts w:ascii="Book Antiqua" w:hAnsi="Book Antiqua"/>
          <w:sz w:val="24"/>
          <w:szCs w:val="24"/>
        </w:rPr>
        <w:t xml:space="preserve"> still </w:t>
      </w:r>
      <w:r w:rsidR="00C25D22" w:rsidRPr="00923307">
        <w:rPr>
          <w:rFonts w:ascii="Book Antiqua" w:hAnsi="Book Antiqua"/>
          <w:sz w:val="24"/>
          <w:szCs w:val="24"/>
        </w:rPr>
        <w:t xml:space="preserve">urgently </w:t>
      </w:r>
      <w:r w:rsidRPr="00923307">
        <w:rPr>
          <w:rFonts w:ascii="Book Antiqua" w:hAnsi="Book Antiqua"/>
          <w:sz w:val="24"/>
          <w:szCs w:val="24"/>
        </w:rPr>
        <w:t>need</w:t>
      </w:r>
      <w:r w:rsidR="00C25D22" w:rsidRPr="00923307">
        <w:rPr>
          <w:rFonts w:ascii="Book Antiqua" w:hAnsi="Book Antiqua"/>
          <w:sz w:val="24"/>
          <w:szCs w:val="24"/>
        </w:rPr>
        <w:t>ed</w:t>
      </w:r>
      <w:r w:rsidRPr="00923307">
        <w:rPr>
          <w:rFonts w:ascii="Book Antiqua" w:hAnsi="Book Antiqua"/>
          <w:sz w:val="24"/>
          <w:szCs w:val="24"/>
        </w:rPr>
        <w:t xml:space="preserve">. Therefore, more </w:t>
      </w:r>
      <w:r w:rsidR="006E4E5E" w:rsidRPr="00923307">
        <w:rPr>
          <w:rFonts w:ascii="Book Antiqua" w:hAnsi="Book Antiqua"/>
          <w:sz w:val="24"/>
          <w:szCs w:val="24"/>
        </w:rPr>
        <w:t xml:space="preserve">multicentered, </w:t>
      </w:r>
      <w:r w:rsidRPr="00923307">
        <w:rPr>
          <w:rFonts w:ascii="Book Antiqua" w:hAnsi="Book Antiqua"/>
          <w:sz w:val="24"/>
          <w:szCs w:val="24"/>
        </w:rPr>
        <w:t xml:space="preserve">large-scale, prospective </w:t>
      </w:r>
      <w:r w:rsidR="00C25D22" w:rsidRPr="00923307">
        <w:rPr>
          <w:rFonts w:ascii="Book Antiqua" w:hAnsi="Book Antiqua"/>
          <w:sz w:val="24"/>
          <w:szCs w:val="24"/>
        </w:rPr>
        <w:t>studies</w:t>
      </w:r>
      <w:r w:rsidRPr="00923307">
        <w:rPr>
          <w:rFonts w:ascii="Book Antiqua" w:hAnsi="Book Antiqua"/>
          <w:sz w:val="24"/>
          <w:szCs w:val="24"/>
        </w:rPr>
        <w:t xml:space="preserve"> are encouraged to explore the biological behavior</w:t>
      </w:r>
      <w:r w:rsidR="006E4E5E" w:rsidRPr="00923307">
        <w:rPr>
          <w:rFonts w:ascii="Book Antiqua" w:hAnsi="Book Antiqua"/>
          <w:sz w:val="24"/>
          <w:szCs w:val="24"/>
        </w:rPr>
        <w:t>s</w:t>
      </w:r>
      <w:r w:rsidR="00C25D22" w:rsidRPr="00923307">
        <w:rPr>
          <w:rFonts w:ascii="Book Antiqua" w:hAnsi="Book Antiqua"/>
          <w:sz w:val="24"/>
          <w:szCs w:val="24"/>
        </w:rPr>
        <w:t xml:space="preserve"> of HCC</w:t>
      </w:r>
      <w:r w:rsidRPr="00923307">
        <w:rPr>
          <w:rFonts w:ascii="Book Antiqua" w:hAnsi="Book Antiqua"/>
          <w:sz w:val="24"/>
          <w:szCs w:val="24"/>
        </w:rPr>
        <w:t xml:space="preserve"> and develop comprehensive diagnostic and predicti</w:t>
      </w:r>
      <w:r w:rsidR="00C25D22" w:rsidRPr="00923307">
        <w:rPr>
          <w:rFonts w:ascii="Book Antiqua" w:hAnsi="Book Antiqua"/>
          <w:sz w:val="24"/>
          <w:szCs w:val="24"/>
        </w:rPr>
        <w:t>ve</w:t>
      </w:r>
      <w:r w:rsidRPr="00923307">
        <w:rPr>
          <w:rFonts w:ascii="Book Antiqua" w:hAnsi="Book Antiqua"/>
          <w:sz w:val="24"/>
          <w:szCs w:val="24"/>
        </w:rPr>
        <w:t xml:space="preserve"> models based on serological, imaging, texture, and radiogenomic parameters.</w:t>
      </w:r>
    </w:p>
    <w:p w14:paraId="3360262C" w14:textId="77777777" w:rsidR="000548FC" w:rsidRPr="00923307" w:rsidRDefault="000548FC" w:rsidP="00327F62">
      <w:pPr>
        <w:snapToGrid w:val="0"/>
        <w:spacing w:line="360" w:lineRule="auto"/>
        <w:rPr>
          <w:rFonts w:ascii="Book Antiqua" w:hAnsi="Book Antiqua"/>
          <w:sz w:val="24"/>
          <w:szCs w:val="24"/>
        </w:rPr>
      </w:pPr>
    </w:p>
    <w:p w14:paraId="418CD7C4" w14:textId="77777777" w:rsidR="005F1131" w:rsidRDefault="005F1131" w:rsidP="00327F62">
      <w:pPr>
        <w:widowControl/>
        <w:suppressAutoHyphens w:val="0"/>
        <w:snapToGrid w:val="0"/>
        <w:spacing w:line="360" w:lineRule="auto"/>
        <w:jc w:val="left"/>
        <w:rPr>
          <w:rFonts w:ascii="Book Antiqua" w:hAnsi="Book Antiqua"/>
          <w:b/>
          <w:sz w:val="24"/>
          <w:szCs w:val="24"/>
        </w:rPr>
      </w:pPr>
      <w:r>
        <w:rPr>
          <w:rFonts w:ascii="Book Antiqua" w:hAnsi="Book Antiqua"/>
          <w:b/>
          <w:sz w:val="24"/>
          <w:szCs w:val="24"/>
        </w:rPr>
        <w:br w:type="page"/>
      </w:r>
    </w:p>
    <w:p w14:paraId="7D7D96A0" w14:textId="7E1332B2" w:rsidR="000548FC" w:rsidRPr="00923307" w:rsidRDefault="005C2EAD" w:rsidP="00327F62">
      <w:pPr>
        <w:snapToGrid w:val="0"/>
        <w:spacing w:line="360" w:lineRule="auto"/>
        <w:rPr>
          <w:rFonts w:ascii="Book Antiqua" w:hAnsi="Book Antiqua"/>
          <w:b/>
          <w:caps/>
          <w:sz w:val="24"/>
          <w:szCs w:val="24"/>
        </w:rPr>
      </w:pPr>
      <w:r w:rsidRPr="00923307">
        <w:rPr>
          <w:rFonts w:ascii="Book Antiqua" w:hAnsi="Book Antiqua"/>
          <w:b/>
          <w:caps/>
          <w:sz w:val="24"/>
          <w:szCs w:val="24"/>
        </w:rPr>
        <w:lastRenderedPageBreak/>
        <w:t>References</w:t>
      </w:r>
    </w:p>
    <w:p w14:paraId="53594170"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 </w:t>
      </w:r>
      <w:r w:rsidRPr="0081216A">
        <w:rPr>
          <w:rFonts w:ascii="Book Antiqua" w:hAnsi="Book Antiqua"/>
          <w:b/>
          <w:kern w:val="2"/>
          <w:sz w:val="24"/>
          <w:szCs w:val="24"/>
        </w:rPr>
        <w:t>International Agency for Research on Cancer</w:t>
      </w:r>
      <w:r w:rsidRPr="0081216A">
        <w:rPr>
          <w:rFonts w:ascii="Book Antiqua" w:hAnsi="Book Antiqua"/>
          <w:kern w:val="2"/>
          <w:sz w:val="24"/>
          <w:szCs w:val="24"/>
        </w:rPr>
        <w:t>.</w:t>
      </w:r>
      <w:r w:rsidRPr="0081216A">
        <w:rPr>
          <w:rFonts w:ascii="Book Antiqua" w:hAnsi="Book Antiqua" w:hint="eastAsia"/>
          <w:kern w:val="2"/>
          <w:sz w:val="24"/>
          <w:szCs w:val="24"/>
        </w:rPr>
        <w:t xml:space="preserve"> </w:t>
      </w:r>
      <w:r w:rsidRPr="0081216A">
        <w:rPr>
          <w:rFonts w:ascii="Book Antiqua" w:hAnsi="Book Antiqua"/>
          <w:kern w:val="2"/>
          <w:sz w:val="24"/>
          <w:szCs w:val="24"/>
        </w:rPr>
        <w:t>GLOBOCAN 2012: Esti-mated cancer incidence, mortaloty and prevalence worldwide in 2012.</w:t>
      </w:r>
      <w:r w:rsidRPr="0081216A">
        <w:rPr>
          <w:rFonts w:ascii="Book Antiqua" w:hAnsi="Book Antiqua" w:hint="eastAsia"/>
          <w:kern w:val="2"/>
          <w:sz w:val="24"/>
          <w:szCs w:val="24"/>
        </w:rPr>
        <w:t xml:space="preserve"> </w:t>
      </w:r>
      <w:r w:rsidRPr="0081216A">
        <w:rPr>
          <w:rFonts w:ascii="Book Antiqua" w:hAnsi="Book Antiqua"/>
          <w:caps/>
          <w:kern w:val="2"/>
          <w:sz w:val="24"/>
          <w:szCs w:val="24"/>
        </w:rPr>
        <w:t>a</w:t>
      </w:r>
      <w:r w:rsidRPr="0081216A">
        <w:rPr>
          <w:rFonts w:ascii="Book Antiqua" w:hAnsi="Book Antiqua"/>
          <w:kern w:val="2"/>
          <w:sz w:val="24"/>
          <w:szCs w:val="24"/>
        </w:rPr>
        <w:t>c-cessed to 2018-02-28 Available from: URL: http://globocan.iarc.fr/old/FactSheets/cancers/liver-new.asp</w:t>
      </w:r>
    </w:p>
    <w:p w14:paraId="2230570E"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2 </w:t>
      </w:r>
      <w:r w:rsidRPr="0081216A">
        <w:rPr>
          <w:rFonts w:ascii="Book Antiqua" w:hAnsi="Book Antiqua"/>
          <w:b/>
          <w:kern w:val="2"/>
          <w:sz w:val="24"/>
          <w:szCs w:val="24"/>
        </w:rPr>
        <w:t>Forner A</w:t>
      </w:r>
      <w:r w:rsidRPr="0081216A">
        <w:rPr>
          <w:rFonts w:ascii="Book Antiqua" w:hAnsi="Book Antiqua"/>
          <w:kern w:val="2"/>
          <w:sz w:val="24"/>
          <w:szCs w:val="24"/>
        </w:rPr>
        <w:t xml:space="preserve">, Llovet JM, Bruix J. Hepatocellular carcinoma. </w:t>
      </w:r>
      <w:r w:rsidRPr="0081216A">
        <w:rPr>
          <w:rFonts w:ascii="Book Antiqua" w:hAnsi="Book Antiqua"/>
          <w:i/>
          <w:kern w:val="2"/>
          <w:sz w:val="24"/>
          <w:szCs w:val="24"/>
        </w:rPr>
        <w:t>Lancet</w:t>
      </w:r>
      <w:r w:rsidRPr="0081216A">
        <w:rPr>
          <w:rFonts w:ascii="Book Antiqua" w:hAnsi="Book Antiqua"/>
          <w:kern w:val="2"/>
          <w:sz w:val="24"/>
          <w:szCs w:val="24"/>
        </w:rPr>
        <w:t xml:space="preserve"> 2012; </w:t>
      </w:r>
      <w:r w:rsidRPr="0081216A">
        <w:rPr>
          <w:rFonts w:ascii="Book Antiqua" w:hAnsi="Book Antiqua"/>
          <w:b/>
          <w:kern w:val="2"/>
          <w:sz w:val="24"/>
          <w:szCs w:val="24"/>
        </w:rPr>
        <w:t>379</w:t>
      </w:r>
      <w:r w:rsidRPr="0081216A">
        <w:rPr>
          <w:rFonts w:ascii="Book Antiqua" w:hAnsi="Book Antiqua"/>
          <w:kern w:val="2"/>
          <w:sz w:val="24"/>
          <w:szCs w:val="24"/>
        </w:rPr>
        <w:t>: 1245-1255 [PMID: 22353262 DOI: 10.1016/S0140-6736(11)61347-0]</w:t>
      </w:r>
    </w:p>
    <w:p w14:paraId="3388871C"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3 </w:t>
      </w:r>
      <w:r w:rsidRPr="0081216A">
        <w:rPr>
          <w:rFonts w:ascii="Book Antiqua" w:hAnsi="Book Antiqua"/>
          <w:b/>
          <w:kern w:val="2"/>
          <w:sz w:val="24"/>
          <w:szCs w:val="24"/>
        </w:rPr>
        <w:t>Dimitroulis D</w:t>
      </w:r>
      <w:r w:rsidRPr="0081216A">
        <w:rPr>
          <w:rFonts w:ascii="Book Antiqua" w:hAnsi="Book Antiqua"/>
          <w:kern w:val="2"/>
          <w:sz w:val="24"/>
          <w:szCs w:val="24"/>
        </w:rPr>
        <w:t xml:space="preserve">, Damaskos C, Valsami S, Davakis S, Garmpis N, Spartalis E, Athanasiou A, Moris D, Sakellariou S, Kykalos S, Tsourouflis G, Garmpi A, Delladetsima I, Kontzoglou K, Kouraklis G. From diagnosis to treatment of hepatocellular carcinoma: An epidemic problem for both developed and developing world. </w:t>
      </w:r>
      <w:r w:rsidRPr="0081216A">
        <w:rPr>
          <w:rFonts w:ascii="Book Antiqua" w:hAnsi="Book Antiqua"/>
          <w:i/>
          <w:kern w:val="2"/>
          <w:sz w:val="24"/>
          <w:szCs w:val="24"/>
        </w:rPr>
        <w:t>World J Gastroenterol</w:t>
      </w:r>
      <w:r w:rsidRPr="0081216A">
        <w:rPr>
          <w:rFonts w:ascii="Book Antiqua" w:hAnsi="Book Antiqua"/>
          <w:kern w:val="2"/>
          <w:sz w:val="24"/>
          <w:szCs w:val="24"/>
        </w:rPr>
        <w:t xml:space="preserve"> 2017; </w:t>
      </w:r>
      <w:r w:rsidRPr="0081216A">
        <w:rPr>
          <w:rFonts w:ascii="Book Antiqua" w:hAnsi="Book Antiqua"/>
          <w:b/>
          <w:kern w:val="2"/>
          <w:sz w:val="24"/>
          <w:szCs w:val="24"/>
        </w:rPr>
        <w:t>23</w:t>
      </w:r>
      <w:r w:rsidRPr="0081216A">
        <w:rPr>
          <w:rFonts w:ascii="Book Antiqua" w:hAnsi="Book Antiqua"/>
          <w:kern w:val="2"/>
          <w:sz w:val="24"/>
          <w:szCs w:val="24"/>
        </w:rPr>
        <w:t>: 5282-5294 [PMID: 28839428 DOI: 10.3748/wjg.v23.i29.5282]</w:t>
      </w:r>
    </w:p>
    <w:p w14:paraId="17B3FA8A"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4 </w:t>
      </w:r>
      <w:r w:rsidRPr="0081216A">
        <w:rPr>
          <w:rFonts w:ascii="Book Antiqua" w:hAnsi="Book Antiqua"/>
          <w:b/>
          <w:kern w:val="2"/>
          <w:sz w:val="24"/>
          <w:szCs w:val="24"/>
        </w:rPr>
        <w:t>El-Serag HB</w:t>
      </w:r>
      <w:r w:rsidRPr="0081216A">
        <w:rPr>
          <w:rFonts w:ascii="Book Antiqua" w:hAnsi="Book Antiqua"/>
          <w:kern w:val="2"/>
          <w:sz w:val="24"/>
          <w:szCs w:val="24"/>
        </w:rPr>
        <w:t xml:space="preserve">. Epidemiology of viral hepatitis and hepatocellular carcinoma. </w:t>
      </w:r>
      <w:r w:rsidRPr="0081216A">
        <w:rPr>
          <w:rFonts w:ascii="Book Antiqua" w:hAnsi="Book Antiqua"/>
          <w:i/>
          <w:kern w:val="2"/>
          <w:sz w:val="24"/>
          <w:szCs w:val="24"/>
        </w:rPr>
        <w:t>Gastroenterology</w:t>
      </w:r>
      <w:r w:rsidRPr="0081216A">
        <w:rPr>
          <w:rFonts w:ascii="Book Antiqua" w:hAnsi="Book Antiqua"/>
          <w:kern w:val="2"/>
          <w:sz w:val="24"/>
          <w:szCs w:val="24"/>
        </w:rPr>
        <w:t xml:space="preserve"> 2012; </w:t>
      </w:r>
      <w:r w:rsidRPr="0081216A">
        <w:rPr>
          <w:rFonts w:ascii="Book Antiqua" w:hAnsi="Book Antiqua"/>
          <w:b/>
          <w:kern w:val="2"/>
          <w:sz w:val="24"/>
          <w:szCs w:val="24"/>
        </w:rPr>
        <w:t>142</w:t>
      </w:r>
      <w:r w:rsidRPr="0081216A">
        <w:rPr>
          <w:rFonts w:ascii="Book Antiqua" w:hAnsi="Book Antiqua"/>
          <w:kern w:val="2"/>
          <w:sz w:val="24"/>
          <w:szCs w:val="24"/>
        </w:rPr>
        <w:t>: 1264-1273.e1 [PMID: 22537432 DOI: 10.1053/j.gastro.2011.12.061]</w:t>
      </w:r>
    </w:p>
    <w:p w14:paraId="6E9F50E7"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5 </w:t>
      </w:r>
      <w:r w:rsidRPr="0081216A">
        <w:rPr>
          <w:rFonts w:ascii="Book Antiqua" w:hAnsi="Book Antiqua"/>
          <w:b/>
          <w:kern w:val="2"/>
          <w:sz w:val="24"/>
          <w:szCs w:val="24"/>
        </w:rPr>
        <w:t>El-Serag HB</w:t>
      </w:r>
      <w:r w:rsidRPr="0081216A">
        <w:rPr>
          <w:rFonts w:ascii="Book Antiqua" w:hAnsi="Book Antiqua"/>
          <w:kern w:val="2"/>
          <w:sz w:val="24"/>
          <w:szCs w:val="24"/>
        </w:rPr>
        <w:t xml:space="preserve">. Hepatocellular carcinoma. </w:t>
      </w:r>
      <w:r w:rsidRPr="0081216A">
        <w:rPr>
          <w:rFonts w:ascii="Book Antiqua" w:hAnsi="Book Antiqua"/>
          <w:i/>
          <w:kern w:val="2"/>
          <w:sz w:val="24"/>
          <w:szCs w:val="24"/>
        </w:rPr>
        <w:t>N Engl J Med</w:t>
      </w:r>
      <w:r w:rsidRPr="0081216A">
        <w:rPr>
          <w:rFonts w:ascii="Book Antiqua" w:hAnsi="Book Antiqua"/>
          <w:kern w:val="2"/>
          <w:sz w:val="24"/>
          <w:szCs w:val="24"/>
        </w:rPr>
        <w:t xml:space="preserve"> 2011; </w:t>
      </w:r>
      <w:r w:rsidRPr="0081216A">
        <w:rPr>
          <w:rFonts w:ascii="Book Antiqua" w:hAnsi="Book Antiqua"/>
          <w:b/>
          <w:kern w:val="2"/>
          <w:sz w:val="24"/>
          <w:szCs w:val="24"/>
        </w:rPr>
        <w:t>365</w:t>
      </w:r>
      <w:r w:rsidRPr="0081216A">
        <w:rPr>
          <w:rFonts w:ascii="Book Antiqua" w:hAnsi="Book Antiqua"/>
          <w:kern w:val="2"/>
          <w:sz w:val="24"/>
          <w:szCs w:val="24"/>
        </w:rPr>
        <w:t>: 1118-1127 [PMID: 21992124 DOI: 10.1056/NEJMra1001683]</w:t>
      </w:r>
    </w:p>
    <w:p w14:paraId="70EFA6C6"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6 </w:t>
      </w:r>
      <w:r w:rsidRPr="0081216A">
        <w:rPr>
          <w:rFonts w:ascii="Book Antiqua" w:hAnsi="Book Antiqua"/>
          <w:b/>
          <w:kern w:val="2"/>
          <w:sz w:val="24"/>
          <w:szCs w:val="24"/>
        </w:rPr>
        <w:t>Baffy G</w:t>
      </w:r>
      <w:r w:rsidRPr="0081216A">
        <w:rPr>
          <w:rFonts w:ascii="Book Antiqua" w:hAnsi="Book Antiqua"/>
          <w:kern w:val="2"/>
          <w:sz w:val="24"/>
          <w:szCs w:val="24"/>
        </w:rPr>
        <w:t xml:space="preserve">, Brunt EM, Caldwell SH. Hepatocellular carcinoma in non-alcoholic fatty liver disease: an emerging menace. </w:t>
      </w:r>
      <w:r w:rsidRPr="0081216A">
        <w:rPr>
          <w:rFonts w:ascii="Book Antiqua" w:hAnsi="Book Antiqua"/>
          <w:i/>
          <w:kern w:val="2"/>
          <w:sz w:val="24"/>
          <w:szCs w:val="24"/>
        </w:rPr>
        <w:t>J Hepatol</w:t>
      </w:r>
      <w:r w:rsidRPr="0081216A">
        <w:rPr>
          <w:rFonts w:ascii="Book Antiqua" w:hAnsi="Book Antiqua"/>
          <w:kern w:val="2"/>
          <w:sz w:val="24"/>
          <w:szCs w:val="24"/>
        </w:rPr>
        <w:t xml:space="preserve"> 2012; </w:t>
      </w:r>
      <w:r w:rsidRPr="0081216A">
        <w:rPr>
          <w:rFonts w:ascii="Book Antiqua" w:hAnsi="Book Antiqua"/>
          <w:b/>
          <w:kern w:val="2"/>
          <w:sz w:val="24"/>
          <w:szCs w:val="24"/>
        </w:rPr>
        <w:t>56</w:t>
      </w:r>
      <w:r w:rsidRPr="0081216A">
        <w:rPr>
          <w:rFonts w:ascii="Book Antiqua" w:hAnsi="Book Antiqua"/>
          <w:kern w:val="2"/>
          <w:sz w:val="24"/>
          <w:szCs w:val="24"/>
        </w:rPr>
        <w:t>: 1384-1391 [PMID: 22326465 DOI: 10.1016/j.jhep.2011.10.027]</w:t>
      </w:r>
    </w:p>
    <w:p w14:paraId="34DDF9AF"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7 </w:t>
      </w:r>
      <w:r w:rsidRPr="0081216A">
        <w:rPr>
          <w:rFonts w:ascii="Book Antiqua" w:hAnsi="Book Antiqua"/>
          <w:b/>
          <w:kern w:val="2"/>
          <w:sz w:val="24"/>
          <w:szCs w:val="24"/>
        </w:rPr>
        <w:t>Omata M</w:t>
      </w:r>
      <w:r w:rsidRPr="0081216A">
        <w:rPr>
          <w:rFonts w:ascii="Book Antiqua" w:hAnsi="Book Antiqua"/>
          <w:kern w:val="2"/>
          <w:sz w:val="24"/>
          <w:szCs w:val="24"/>
        </w:rPr>
        <w:t xml:space="preserve">, Cheng AL, Kokudo N, Kudo M, Lee JM, Jia J, Tateishi R, Han KH, Chawla YK, Shiina S, Jafri W, Payawal DA, Ohki T, Ogasawara S, Chen PJ, Lesmana CRA, Lesmana LA, Gani RA, Obi S, Dokmeci AK, Sarin SK. Asia-Pacific clinical practice guidelines on the management of hepatocellular carcinoma: a 2017 update. </w:t>
      </w:r>
      <w:r w:rsidRPr="0081216A">
        <w:rPr>
          <w:rFonts w:ascii="Book Antiqua" w:hAnsi="Book Antiqua"/>
          <w:i/>
          <w:kern w:val="2"/>
          <w:sz w:val="24"/>
          <w:szCs w:val="24"/>
        </w:rPr>
        <w:t>Hepatol Int</w:t>
      </w:r>
      <w:r w:rsidRPr="0081216A">
        <w:rPr>
          <w:rFonts w:ascii="Book Antiqua" w:hAnsi="Book Antiqua"/>
          <w:kern w:val="2"/>
          <w:sz w:val="24"/>
          <w:szCs w:val="24"/>
        </w:rPr>
        <w:t xml:space="preserve"> 2017; </w:t>
      </w:r>
      <w:r w:rsidRPr="0081216A">
        <w:rPr>
          <w:rFonts w:ascii="Book Antiqua" w:hAnsi="Book Antiqua"/>
          <w:b/>
          <w:kern w:val="2"/>
          <w:sz w:val="24"/>
          <w:szCs w:val="24"/>
        </w:rPr>
        <w:t>11</w:t>
      </w:r>
      <w:r w:rsidRPr="0081216A">
        <w:rPr>
          <w:rFonts w:ascii="Book Antiqua" w:hAnsi="Book Antiqua"/>
          <w:kern w:val="2"/>
          <w:sz w:val="24"/>
          <w:szCs w:val="24"/>
        </w:rPr>
        <w:t>: 317-370 [PMID: 28620797 DOI: 10.1007/s12072-017-9799-9]</w:t>
      </w:r>
    </w:p>
    <w:p w14:paraId="42C07CE0"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8 </w:t>
      </w:r>
      <w:r w:rsidRPr="0081216A">
        <w:rPr>
          <w:rFonts w:ascii="Book Antiqua" w:hAnsi="Book Antiqua"/>
          <w:b/>
          <w:kern w:val="2"/>
          <w:sz w:val="24"/>
          <w:szCs w:val="24"/>
        </w:rPr>
        <w:t>Heimbach JK</w:t>
      </w:r>
      <w:r w:rsidRPr="0081216A">
        <w:rPr>
          <w:rFonts w:ascii="Book Antiqua" w:hAnsi="Book Antiqua"/>
          <w:kern w:val="2"/>
          <w:sz w:val="24"/>
          <w:szCs w:val="24"/>
        </w:rPr>
        <w:t xml:space="preserve">, Kulik LM, Finn RS, Sirlin CB, Abecassis MM, Roberts LR, Zhu AX, Murad MH, Marrero JA. AASLD guidelines for the treatment of hepatocellular carcinoma. </w:t>
      </w:r>
      <w:r w:rsidRPr="0081216A">
        <w:rPr>
          <w:rFonts w:ascii="Book Antiqua" w:hAnsi="Book Antiqua"/>
          <w:i/>
          <w:kern w:val="2"/>
          <w:sz w:val="24"/>
          <w:szCs w:val="24"/>
        </w:rPr>
        <w:t>Hepatology</w:t>
      </w:r>
      <w:r w:rsidRPr="0081216A">
        <w:rPr>
          <w:rFonts w:ascii="Book Antiqua" w:hAnsi="Book Antiqua"/>
          <w:kern w:val="2"/>
          <w:sz w:val="24"/>
          <w:szCs w:val="24"/>
        </w:rPr>
        <w:t xml:space="preserve"> 2018; </w:t>
      </w:r>
      <w:r w:rsidRPr="0081216A">
        <w:rPr>
          <w:rFonts w:ascii="Book Antiqua" w:hAnsi="Book Antiqua"/>
          <w:b/>
          <w:kern w:val="2"/>
          <w:sz w:val="24"/>
          <w:szCs w:val="24"/>
        </w:rPr>
        <w:t>67</w:t>
      </w:r>
      <w:r w:rsidRPr="0081216A">
        <w:rPr>
          <w:rFonts w:ascii="Book Antiqua" w:hAnsi="Book Antiqua"/>
          <w:kern w:val="2"/>
          <w:sz w:val="24"/>
          <w:szCs w:val="24"/>
        </w:rPr>
        <w:t>: 358-380 [PMID: 28130846 DOI: 10.1002/hep.29086]</w:t>
      </w:r>
    </w:p>
    <w:p w14:paraId="6D837018"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lastRenderedPageBreak/>
        <w:t xml:space="preserve">9 </w:t>
      </w:r>
      <w:r w:rsidRPr="0081216A">
        <w:rPr>
          <w:rFonts w:ascii="Book Antiqua" w:hAnsi="Book Antiqua"/>
          <w:b/>
          <w:kern w:val="2"/>
          <w:sz w:val="24"/>
          <w:szCs w:val="24"/>
        </w:rPr>
        <w:t>Elsayes KM</w:t>
      </w:r>
      <w:r w:rsidRPr="0081216A">
        <w:rPr>
          <w:rFonts w:ascii="Book Antiqua" w:hAnsi="Book Antiqua"/>
          <w:kern w:val="2"/>
          <w:sz w:val="24"/>
          <w:szCs w:val="24"/>
        </w:rPr>
        <w:t xml:space="preserve">, Hooker JC, Agrons MM, Kielar AZ, Tang A, Fowler KJ, Chernyak V, Bashir MR, Kono Y, Do RK, Mitchell DG, Kamaya A, Hecht EM, Sirlin CB. 2017 Version of LI-RADS for CT and MR Imaging: An Update. </w:t>
      </w:r>
      <w:r w:rsidRPr="0081216A">
        <w:rPr>
          <w:rFonts w:ascii="Book Antiqua" w:hAnsi="Book Antiqua"/>
          <w:i/>
          <w:kern w:val="2"/>
          <w:sz w:val="24"/>
          <w:szCs w:val="24"/>
        </w:rPr>
        <w:t>Radiographics</w:t>
      </w:r>
      <w:r w:rsidRPr="0081216A">
        <w:rPr>
          <w:rFonts w:ascii="Book Antiqua" w:hAnsi="Book Antiqua"/>
          <w:kern w:val="2"/>
          <w:sz w:val="24"/>
          <w:szCs w:val="24"/>
        </w:rPr>
        <w:t xml:space="preserve"> 2017; </w:t>
      </w:r>
      <w:r w:rsidRPr="0081216A">
        <w:rPr>
          <w:rFonts w:ascii="Book Antiqua" w:hAnsi="Book Antiqua"/>
          <w:b/>
          <w:kern w:val="2"/>
          <w:sz w:val="24"/>
          <w:szCs w:val="24"/>
        </w:rPr>
        <w:t>37</w:t>
      </w:r>
      <w:r w:rsidRPr="0081216A">
        <w:rPr>
          <w:rFonts w:ascii="Book Antiqua" w:hAnsi="Book Antiqua"/>
          <w:kern w:val="2"/>
          <w:sz w:val="24"/>
          <w:szCs w:val="24"/>
        </w:rPr>
        <w:t>: 1994-2017 [PMID: 29131761 DOI: 10.1148/rg.2017170098]</w:t>
      </w:r>
    </w:p>
    <w:p w14:paraId="667036F0"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10 </w:t>
      </w:r>
      <w:r w:rsidRPr="0081216A">
        <w:rPr>
          <w:rFonts w:ascii="Book Antiqua" w:hAnsi="Book Antiqua"/>
          <w:b/>
          <w:kern w:val="2"/>
          <w:sz w:val="24"/>
          <w:szCs w:val="24"/>
        </w:rPr>
        <w:t>Marrero JA</w:t>
      </w:r>
      <w:r w:rsidRPr="0081216A">
        <w:rPr>
          <w:rFonts w:ascii="Book Antiqua" w:hAnsi="Book Antiqua"/>
          <w:kern w:val="2"/>
          <w:sz w:val="24"/>
          <w:szCs w:val="24"/>
        </w:rPr>
        <w:t xml:space="preserve">, Ahn J, Rajender Reddy K; Americal College of Gastroenterology. ACG clinical guideline: the diagnosis and management of focal liver lesions. </w:t>
      </w:r>
      <w:r w:rsidRPr="0081216A">
        <w:rPr>
          <w:rFonts w:ascii="Book Antiqua" w:hAnsi="Book Antiqua"/>
          <w:i/>
          <w:kern w:val="2"/>
          <w:sz w:val="24"/>
          <w:szCs w:val="24"/>
        </w:rPr>
        <w:t>Am J Gastroenterol</w:t>
      </w:r>
      <w:r w:rsidRPr="0081216A">
        <w:rPr>
          <w:rFonts w:ascii="Book Antiqua" w:hAnsi="Book Antiqua"/>
          <w:kern w:val="2"/>
          <w:sz w:val="24"/>
          <w:szCs w:val="24"/>
        </w:rPr>
        <w:t xml:space="preserve"> 2014; </w:t>
      </w:r>
      <w:r w:rsidRPr="0081216A">
        <w:rPr>
          <w:rFonts w:ascii="Book Antiqua" w:hAnsi="Book Antiqua"/>
          <w:b/>
          <w:kern w:val="2"/>
          <w:sz w:val="24"/>
          <w:szCs w:val="24"/>
        </w:rPr>
        <w:t>109</w:t>
      </w:r>
      <w:r w:rsidRPr="0081216A">
        <w:rPr>
          <w:rFonts w:ascii="Book Antiqua" w:hAnsi="Book Antiqua"/>
          <w:kern w:val="2"/>
          <w:sz w:val="24"/>
          <w:szCs w:val="24"/>
        </w:rPr>
        <w:t>: 1328-47; quiz 1348 [PMID: 25135008 DOI: 10.1038/ajg.2014.213]</w:t>
      </w:r>
    </w:p>
    <w:p w14:paraId="79F87684"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11 </w:t>
      </w:r>
      <w:r w:rsidRPr="0081216A">
        <w:rPr>
          <w:rFonts w:ascii="Book Antiqua" w:hAnsi="Book Antiqua"/>
          <w:b/>
          <w:kern w:val="2"/>
          <w:sz w:val="24"/>
          <w:szCs w:val="24"/>
        </w:rPr>
        <w:t>Kudo M</w:t>
      </w:r>
      <w:r w:rsidRPr="0081216A">
        <w:rPr>
          <w:rFonts w:ascii="Book Antiqua" w:hAnsi="Book Antiqua"/>
          <w:kern w:val="2"/>
          <w:sz w:val="24"/>
          <w:szCs w:val="24"/>
        </w:rPr>
        <w:t xml:space="preserve">, Matsui O, Izumi N, Iijima H, Kadoya M, Imai Y, Okusaka T, Miyayama S, Tsuchiya K, Ueshima K, Hiraoka A, Ikeda M, Ogasawara S, Yamashita T, Minami T, Yamakado K; Liver Cancer Study Group of Japan. JSH Consensus-Based Clinical Practice Guidelines for the Management of Hepatocellular Carcinoma: 2014 Update by the Liver Cancer Study Group of Japan. </w:t>
      </w:r>
      <w:r w:rsidRPr="0081216A">
        <w:rPr>
          <w:rFonts w:ascii="Book Antiqua" w:hAnsi="Book Antiqua"/>
          <w:i/>
          <w:kern w:val="2"/>
          <w:sz w:val="24"/>
          <w:szCs w:val="24"/>
        </w:rPr>
        <w:t>Liver Cancer</w:t>
      </w:r>
      <w:r w:rsidRPr="0081216A">
        <w:rPr>
          <w:rFonts w:ascii="Book Antiqua" w:hAnsi="Book Antiqua"/>
          <w:kern w:val="2"/>
          <w:sz w:val="24"/>
          <w:szCs w:val="24"/>
        </w:rPr>
        <w:t xml:space="preserve"> 2014; </w:t>
      </w:r>
      <w:r w:rsidRPr="0081216A">
        <w:rPr>
          <w:rFonts w:ascii="Book Antiqua" w:hAnsi="Book Antiqua"/>
          <w:b/>
          <w:kern w:val="2"/>
          <w:sz w:val="24"/>
          <w:szCs w:val="24"/>
        </w:rPr>
        <w:t>3</w:t>
      </w:r>
      <w:r w:rsidRPr="0081216A">
        <w:rPr>
          <w:rFonts w:ascii="Book Antiqua" w:hAnsi="Book Antiqua"/>
          <w:kern w:val="2"/>
          <w:sz w:val="24"/>
          <w:szCs w:val="24"/>
        </w:rPr>
        <w:t>: 458-468 [PMID: 26280007 DOI: 10.1159/000343875]</w:t>
      </w:r>
    </w:p>
    <w:p w14:paraId="4BE7A448"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12 </w:t>
      </w:r>
      <w:r w:rsidRPr="0081216A">
        <w:rPr>
          <w:rFonts w:ascii="Book Antiqua" w:hAnsi="Book Antiqua"/>
          <w:b/>
          <w:kern w:val="2"/>
          <w:sz w:val="24"/>
          <w:szCs w:val="24"/>
        </w:rPr>
        <w:t>Korean Liver Cancer Study Group (KLCSG).</w:t>
      </w:r>
      <w:r w:rsidRPr="0081216A">
        <w:rPr>
          <w:rFonts w:ascii="Book Antiqua" w:hAnsi="Book Antiqua"/>
          <w:kern w:val="2"/>
          <w:sz w:val="24"/>
          <w:szCs w:val="24"/>
        </w:rPr>
        <w:t xml:space="preserve">; National Cancer Center, Korea (NCC). 2014 Korean Liver Cancer Study Group-National Cancer Center Korea practice guideline for the management of hepatocellular carcinoma. </w:t>
      </w:r>
      <w:r w:rsidRPr="0081216A">
        <w:rPr>
          <w:rFonts w:ascii="Book Antiqua" w:hAnsi="Book Antiqua"/>
          <w:i/>
          <w:kern w:val="2"/>
          <w:sz w:val="24"/>
          <w:szCs w:val="24"/>
        </w:rPr>
        <w:t>Korean J Radiol</w:t>
      </w:r>
      <w:r w:rsidRPr="0081216A">
        <w:rPr>
          <w:rFonts w:ascii="Book Antiqua" w:hAnsi="Book Antiqua"/>
          <w:kern w:val="2"/>
          <w:sz w:val="24"/>
          <w:szCs w:val="24"/>
        </w:rPr>
        <w:t xml:space="preserve"> 2015; </w:t>
      </w:r>
      <w:r w:rsidRPr="0081216A">
        <w:rPr>
          <w:rFonts w:ascii="Book Antiqua" w:hAnsi="Book Antiqua"/>
          <w:b/>
          <w:kern w:val="2"/>
          <w:sz w:val="24"/>
          <w:szCs w:val="24"/>
        </w:rPr>
        <w:t>16</w:t>
      </w:r>
      <w:r w:rsidRPr="0081216A">
        <w:rPr>
          <w:rFonts w:ascii="Book Antiqua" w:hAnsi="Book Antiqua"/>
          <w:kern w:val="2"/>
          <w:sz w:val="24"/>
          <w:szCs w:val="24"/>
        </w:rPr>
        <w:t>: 465-522 [PMID: 25995680 DOI: 10.3348/kjr.2015.16.3.465]</w:t>
      </w:r>
    </w:p>
    <w:p w14:paraId="10964171"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13 </w:t>
      </w:r>
      <w:r w:rsidRPr="0081216A">
        <w:rPr>
          <w:rFonts w:ascii="Book Antiqua" w:hAnsi="Book Antiqua"/>
          <w:b/>
          <w:kern w:val="2"/>
          <w:sz w:val="24"/>
          <w:szCs w:val="24"/>
        </w:rPr>
        <w:t>Korean Society of Abdominal Radiology.</w:t>
      </w:r>
      <w:r w:rsidRPr="0081216A">
        <w:rPr>
          <w:rFonts w:ascii="Book Antiqua" w:hAnsi="Book Antiqua"/>
          <w:kern w:val="2"/>
          <w:sz w:val="24"/>
          <w:szCs w:val="24"/>
        </w:rPr>
        <w:t xml:space="preserve">. Diagnosis of Hepatocellular Carcinoma with Gadoxetic Acid-Enhanced MRI: 2016 Consensus Recommendations of the Korean Society of Abdominal Radiology. </w:t>
      </w:r>
      <w:r w:rsidRPr="0081216A">
        <w:rPr>
          <w:rFonts w:ascii="Book Antiqua" w:hAnsi="Book Antiqua"/>
          <w:i/>
          <w:kern w:val="2"/>
          <w:sz w:val="24"/>
          <w:szCs w:val="24"/>
        </w:rPr>
        <w:t>Korean J Radiol</w:t>
      </w:r>
      <w:r w:rsidRPr="0081216A">
        <w:rPr>
          <w:rFonts w:ascii="Book Antiqua" w:hAnsi="Book Antiqua"/>
          <w:kern w:val="2"/>
          <w:sz w:val="24"/>
          <w:szCs w:val="24"/>
        </w:rPr>
        <w:t xml:space="preserve"> 2017; </w:t>
      </w:r>
      <w:r w:rsidRPr="0081216A">
        <w:rPr>
          <w:rFonts w:ascii="Book Antiqua" w:hAnsi="Book Antiqua"/>
          <w:b/>
          <w:kern w:val="2"/>
          <w:sz w:val="24"/>
          <w:szCs w:val="24"/>
        </w:rPr>
        <w:t>18</w:t>
      </w:r>
      <w:r w:rsidRPr="0081216A">
        <w:rPr>
          <w:rFonts w:ascii="Book Antiqua" w:hAnsi="Book Antiqua"/>
          <w:kern w:val="2"/>
          <w:sz w:val="24"/>
          <w:szCs w:val="24"/>
        </w:rPr>
        <w:t>: 427-443 [PMID: 28458595 DOI: 10.3348/kjr.2017.18.3.427]</w:t>
      </w:r>
    </w:p>
    <w:p w14:paraId="6F593303"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14 </w:t>
      </w:r>
      <w:r w:rsidRPr="0081216A">
        <w:rPr>
          <w:rFonts w:ascii="Book Antiqua" w:hAnsi="Book Antiqua"/>
          <w:b/>
          <w:kern w:val="2"/>
          <w:sz w:val="24"/>
          <w:szCs w:val="24"/>
        </w:rPr>
        <w:t>Bruix J</w:t>
      </w:r>
      <w:r w:rsidRPr="0081216A">
        <w:rPr>
          <w:rFonts w:ascii="Book Antiqua" w:hAnsi="Book Antiqua"/>
          <w:kern w:val="2"/>
          <w:sz w:val="24"/>
          <w:szCs w:val="24"/>
        </w:rPr>
        <w:t xml:space="preserve">, Sherman M; American Association for the Study of Liver Diseases. Management of hepatocellular carcinoma: an update. </w:t>
      </w:r>
      <w:r w:rsidRPr="0081216A">
        <w:rPr>
          <w:rFonts w:ascii="Book Antiqua" w:hAnsi="Book Antiqua"/>
          <w:i/>
          <w:kern w:val="2"/>
          <w:sz w:val="24"/>
          <w:szCs w:val="24"/>
        </w:rPr>
        <w:t>Hepatology</w:t>
      </w:r>
      <w:r w:rsidRPr="0081216A">
        <w:rPr>
          <w:rFonts w:ascii="Book Antiqua" w:hAnsi="Book Antiqua"/>
          <w:kern w:val="2"/>
          <w:sz w:val="24"/>
          <w:szCs w:val="24"/>
        </w:rPr>
        <w:t xml:space="preserve"> 2011; </w:t>
      </w:r>
      <w:r w:rsidRPr="0081216A">
        <w:rPr>
          <w:rFonts w:ascii="Book Antiqua" w:hAnsi="Book Antiqua"/>
          <w:b/>
          <w:kern w:val="2"/>
          <w:sz w:val="24"/>
          <w:szCs w:val="24"/>
        </w:rPr>
        <w:t>53</w:t>
      </w:r>
      <w:r w:rsidRPr="0081216A">
        <w:rPr>
          <w:rFonts w:ascii="Book Antiqua" w:hAnsi="Book Antiqua"/>
          <w:kern w:val="2"/>
          <w:sz w:val="24"/>
          <w:szCs w:val="24"/>
        </w:rPr>
        <w:t>: 1020-1022 [PMID: 21374666 DOI: 10.1002/hep.24199]</w:t>
      </w:r>
    </w:p>
    <w:p w14:paraId="4C06E550"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15 </w:t>
      </w:r>
      <w:r w:rsidRPr="0081216A">
        <w:rPr>
          <w:rFonts w:ascii="Book Antiqua" w:hAnsi="Book Antiqua"/>
          <w:b/>
          <w:kern w:val="2"/>
          <w:sz w:val="24"/>
          <w:szCs w:val="24"/>
        </w:rPr>
        <w:t>European Association for Study of Liver.</w:t>
      </w:r>
      <w:r w:rsidRPr="0081216A">
        <w:rPr>
          <w:rFonts w:ascii="Book Antiqua" w:hAnsi="Book Antiqua"/>
          <w:kern w:val="2"/>
          <w:sz w:val="24"/>
          <w:szCs w:val="24"/>
        </w:rPr>
        <w:t xml:space="preserve">; European Organisation for Research and Treatment of Cancer. EASL-EORTC clinical practice guidelines: management of hepatocellular carcinoma. </w:t>
      </w:r>
      <w:r w:rsidRPr="0081216A">
        <w:rPr>
          <w:rFonts w:ascii="Book Antiqua" w:hAnsi="Book Antiqua"/>
          <w:i/>
          <w:kern w:val="2"/>
          <w:sz w:val="24"/>
          <w:szCs w:val="24"/>
        </w:rPr>
        <w:t>Eur J Cancer</w:t>
      </w:r>
      <w:r w:rsidRPr="0081216A">
        <w:rPr>
          <w:rFonts w:ascii="Book Antiqua" w:hAnsi="Book Antiqua"/>
          <w:kern w:val="2"/>
          <w:sz w:val="24"/>
          <w:szCs w:val="24"/>
        </w:rPr>
        <w:t xml:space="preserve"> 2012; </w:t>
      </w:r>
      <w:r w:rsidRPr="0081216A">
        <w:rPr>
          <w:rFonts w:ascii="Book Antiqua" w:hAnsi="Book Antiqua"/>
          <w:b/>
          <w:kern w:val="2"/>
          <w:sz w:val="24"/>
          <w:szCs w:val="24"/>
        </w:rPr>
        <w:t>48</w:t>
      </w:r>
      <w:r w:rsidRPr="0081216A">
        <w:rPr>
          <w:rFonts w:ascii="Book Antiqua" w:hAnsi="Book Antiqua"/>
          <w:kern w:val="2"/>
          <w:sz w:val="24"/>
          <w:szCs w:val="24"/>
        </w:rPr>
        <w:t>: 599-641 [PMID: 22424278 DOI: 10.1016/j.ejca.2011.12.021]</w:t>
      </w:r>
    </w:p>
    <w:p w14:paraId="3F980534"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16 </w:t>
      </w:r>
      <w:r w:rsidRPr="0081216A">
        <w:rPr>
          <w:rFonts w:ascii="Book Antiqua" w:hAnsi="Book Antiqua"/>
          <w:b/>
          <w:kern w:val="2"/>
          <w:sz w:val="24"/>
          <w:szCs w:val="24"/>
        </w:rPr>
        <w:t>Kumar A</w:t>
      </w:r>
      <w:r w:rsidRPr="0081216A">
        <w:rPr>
          <w:rFonts w:ascii="Book Antiqua" w:hAnsi="Book Antiqua"/>
          <w:kern w:val="2"/>
          <w:sz w:val="24"/>
          <w:szCs w:val="24"/>
        </w:rPr>
        <w:t xml:space="preserve">, Acharya SK, Singh SP, Saraswat VA, Arora A, Duseja A, Goenka MK, Jain D, Kar P, Kumar M, Kumaran V, Mohandas KM, Panda D, Paul SB, </w:t>
      </w:r>
      <w:r w:rsidRPr="0081216A">
        <w:rPr>
          <w:rFonts w:ascii="Book Antiqua" w:hAnsi="Book Antiqua"/>
          <w:kern w:val="2"/>
          <w:sz w:val="24"/>
          <w:szCs w:val="24"/>
        </w:rPr>
        <w:lastRenderedPageBreak/>
        <w:t xml:space="preserve">Ramachandran J, Ramesh H, Rao PN, Shah SR, Sharma H, Thandassery RB; (The INASL Task-Force on Hepatocellular Carcinoma). The Indian National Association for Study of the Liver (INASL) Consensus on Prevention, Diagnosis and Management of Hepatocellular Carcinoma in India: The Puri Recommendations. </w:t>
      </w:r>
      <w:r w:rsidRPr="0081216A">
        <w:rPr>
          <w:rFonts w:ascii="Book Antiqua" w:hAnsi="Book Antiqua"/>
          <w:i/>
          <w:kern w:val="2"/>
          <w:sz w:val="24"/>
          <w:szCs w:val="24"/>
        </w:rPr>
        <w:t>J Clin Exp Hepatol</w:t>
      </w:r>
      <w:r w:rsidRPr="0081216A">
        <w:rPr>
          <w:rFonts w:ascii="Book Antiqua" w:hAnsi="Book Antiqua"/>
          <w:kern w:val="2"/>
          <w:sz w:val="24"/>
          <w:szCs w:val="24"/>
        </w:rPr>
        <w:t xml:space="preserve"> 2014; </w:t>
      </w:r>
      <w:r w:rsidRPr="0081216A">
        <w:rPr>
          <w:rFonts w:ascii="Book Antiqua" w:hAnsi="Book Antiqua"/>
          <w:b/>
          <w:kern w:val="2"/>
          <w:sz w:val="24"/>
          <w:szCs w:val="24"/>
        </w:rPr>
        <w:t>4</w:t>
      </w:r>
      <w:r w:rsidRPr="0081216A">
        <w:rPr>
          <w:rFonts w:ascii="Book Antiqua" w:hAnsi="Book Antiqua"/>
          <w:kern w:val="2"/>
          <w:sz w:val="24"/>
          <w:szCs w:val="24"/>
        </w:rPr>
        <w:t>: S3-S26 [PMID: 25755608 DOI: 10.1016/j.jceh.2014.04.003]</w:t>
      </w:r>
    </w:p>
    <w:p w14:paraId="460C7F3F"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17 </w:t>
      </w:r>
      <w:r w:rsidRPr="0081216A">
        <w:rPr>
          <w:rFonts w:ascii="Book Antiqua" w:hAnsi="Book Antiqua"/>
          <w:b/>
          <w:kern w:val="2"/>
          <w:sz w:val="24"/>
          <w:szCs w:val="24"/>
        </w:rPr>
        <w:t>Jo PC</w:t>
      </w:r>
      <w:r w:rsidRPr="0081216A">
        <w:rPr>
          <w:rFonts w:ascii="Book Antiqua" w:hAnsi="Book Antiqua"/>
          <w:kern w:val="2"/>
          <w:sz w:val="24"/>
          <w:szCs w:val="24"/>
        </w:rPr>
        <w:t xml:space="preserve">, Jang HJ, Burns PN, Burak KW, Kim TK, Wilson SR. Integration of Contrast-enhanced US into a Multimodality Approach to Imaging of Nodules in a Cirrhotic Liver: How I Do It. </w:t>
      </w:r>
      <w:r w:rsidRPr="0081216A">
        <w:rPr>
          <w:rFonts w:ascii="Book Antiqua" w:hAnsi="Book Antiqua"/>
          <w:i/>
          <w:kern w:val="2"/>
          <w:sz w:val="24"/>
          <w:szCs w:val="24"/>
        </w:rPr>
        <w:t>Radiology</w:t>
      </w:r>
      <w:r w:rsidRPr="0081216A">
        <w:rPr>
          <w:rFonts w:ascii="Book Antiqua" w:hAnsi="Book Antiqua"/>
          <w:kern w:val="2"/>
          <w:sz w:val="24"/>
          <w:szCs w:val="24"/>
        </w:rPr>
        <w:t xml:space="preserve"> 2017; </w:t>
      </w:r>
      <w:r w:rsidRPr="0081216A">
        <w:rPr>
          <w:rFonts w:ascii="Book Antiqua" w:hAnsi="Book Antiqua"/>
          <w:b/>
          <w:kern w:val="2"/>
          <w:sz w:val="24"/>
          <w:szCs w:val="24"/>
        </w:rPr>
        <w:t>282</w:t>
      </w:r>
      <w:r w:rsidRPr="0081216A">
        <w:rPr>
          <w:rFonts w:ascii="Book Antiqua" w:hAnsi="Book Antiqua"/>
          <w:kern w:val="2"/>
          <w:sz w:val="24"/>
          <w:szCs w:val="24"/>
        </w:rPr>
        <w:t>: 317-331 [PMID: 28099108 DOI: 10.1148/radiol.2016151732]</w:t>
      </w:r>
    </w:p>
    <w:p w14:paraId="687A682E"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18 </w:t>
      </w:r>
      <w:r w:rsidRPr="0081216A">
        <w:rPr>
          <w:rFonts w:ascii="Book Antiqua" w:hAnsi="Book Antiqua"/>
          <w:b/>
          <w:kern w:val="2"/>
          <w:sz w:val="24"/>
          <w:szCs w:val="24"/>
        </w:rPr>
        <w:t>Gordic S</w:t>
      </w:r>
      <w:r w:rsidRPr="0081216A">
        <w:rPr>
          <w:rFonts w:ascii="Book Antiqua" w:hAnsi="Book Antiqua"/>
          <w:kern w:val="2"/>
          <w:sz w:val="24"/>
          <w:szCs w:val="24"/>
        </w:rPr>
        <w:t xml:space="preserve">, Puippe GD, Krauss B, Klotz E, Desbiolles L, Lesurtel M, Müllhaupt B, Pfammatter T, Alkadhi H. Correlation between Dual-Energy and Perfusion CT in Patients with Hepatocellular Carcinoma. </w:t>
      </w:r>
      <w:r w:rsidRPr="0081216A">
        <w:rPr>
          <w:rFonts w:ascii="Book Antiqua" w:hAnsi="Book Antiqua"/>
          <w:i/>
          <w:kern w:val="2"/>
          <w:sz w:val="24"/>
          <w:szCs w:val="24"/>
        </w:rPr>
        <w:t>Radiology</w:t>
      </w:r>
      <w:r w:rsidRPr="0081216A">
        <w:rPr>
          <w:rFonts w:ascii="Book Antiqua" w:hAnsi="Book Antiqua"/>
          <w:kern w:val="2"/>
          <w:sz w:val="24"/>
          <w:szCs w:val="24"/>
        </w:rPr>
        <w:t xml:space="preserve"> 2016; </w:t>
      </w:r>
      <w:r w:rsidRPr="0081216A">
        <w:rPr>
          <w:rFonts w:ascii="Book Antiqua" w:hAnsi="Book Antiqua"/>
          <w:b/>
          <w:kern w:val="2"/>
          <w:sz w:val="24"/>
          <w:szCs w:val="24"/>
        </w:rPr>
        <w:t>280</w:t>
      </w:r>
      <w:r w:rsidRPr="0081216A">
        <w:rPr>
          <w:rFonts w:ascii="Book Antiqua" w:hAnsi="Book Antiqua"/>
          <w:kern w:val="2"/>
          <w:sz w:val="24"/>
          <w:szCs w:val="24"/>
        </w:rPr>
        <w:t>: 78-87 [PMID: 26824712 DOI: 10.1148/radiol.2015151560]</w:t>
      </w:r>
    </w:p>
    <w:p w14:paraId="3AFB93D0"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19 </w:t>
      </w:r>
      <w:r w:rsidRPr="0081216A">
        <w:rPr>
          <w:rFonts w:ascii="Book Antiqua" w:hAnsi="Book Antiqua"/>
          <w:b/>
          <w:kern w:val="2"/>
          <w:sz w:val="24"/>
          <w:szCs w:val="24"/>
        </w:rPr>
        <w:t>Ronot M</w:t>
      </w:r>
      <w:r w:rsidRPr="0081216A">
        <w:rPr>
          <w:rFonts w:ascii="Book Antiqua" w:hAnsi="Book Antiqua"/>
          <w:kern w:val="2"/>
          <w:sz w:val="24"/>
          <w:szCs w:val="24"/>
        </w:rPr>
        <w:t xml:space="preserve">, Clift AK, Vilgrain V, Frilling A. Functional imaging in liver tumours. </w:t>
      </w:r>
      <w:r w:rsidRPr="0081216A">
        <w:rPr>
          <w:rFonts w:ascii="Book Antiqua" w:hAnsi="Book Antiqua"/>
          <w:i/>
          <w:kern w:val="2"/>
          <w:sz w:val="24"/>
          <w:szCs w:val="24"/>
        </w:rPr>
        <w:t>J Hepatol</w:t>
      </w:r>
      <w:r w:rsidRPr="0081216A">
        <w:rPr>
          <w:rFonts w:ascii="Book Antiqua" w:hAnsi="Book Antiqua"/>
          <w:kern w:val="2"/>
          <w:sz w:val="24"/>
          <w:szCs w:val="24"/>
        </w:rPr>
        <w:t xml:space="preserve"> 2016; </w:t>
      </w:r>
      <w:r w:rsidRPr="0081216A">
        <w:rPr>
          <w:rFonts w:ascii="Book Antiqua" w:hAnsi="Book Antiqua"/>
          <w:b/>
          <w:kern w:val="2"/>
          <w:sz w:val="24"/>
          <w:szCs w:val="24"/>
        </w:rPr>
        <w:t>65</w:t>
      </w:r>
      <w:r w:rsidRPr="0081216A">
        <w:rPr>
          <w:rFonts w:ascii="Book Antiqua" w:hAnsi="Book Antiqua"/>
          <w:kern w:val="2"/>
          <w:sz w:val="24"/>
          <w:szCs w:val="24"/>
        </w:rPr>
        <w:t>: 1017-1030 [PMID: 27395013 DOI: 10.1016/j.jhep.2016.06.024]</w:t>
      </w:r>
    </w:p>
    <w:p w14:paraId="60626A01"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20 </w:t>
      </w:r>
      <w:r w:rsidRPr="0081216A">
        <w:rPr>
          <w:rFonts w:ascii="Book Antiqua" w:hAnsi="Book Antiqua"/>
          <w:b/>
          <w:kern w:val="2"/>
          <w:sz w:val="24"/>
          <w:szCs w:val="24"/>
        </w:rPr>
        <w:t>Taouli B</w:t>
      </w:r>
      <w:r w:rsidRPr="0081216A">
        <w:rPr>
          <w:rFonts w:ascii="Book Antiqua" w:hAnsi="Book Antiqua"/>
          <w:kern w:val="2"/>
          <w:sz w:val="24"/>
          <w:szCs w:val="24"/>
        </w:rPr>
        <w:t xml:space="preserve">, Koh DM. Diffusion-weighted MR imaging of the liver. </w:t>
      </w:r>
      <w:r w:rsidRPr="0081216A">
        <w:rPr>
          <w:rFonts w:ascii="Book Antiqua" w:hAnsi="Book Antiqua"/>
          <w:i/>
          <w:kern w:val="2"/>
          <w:sz w:val="24"/>
          <w:szCs w:val="24"/>
        </w:rPr>
        <w:t>Radiology</w:t>
      </w:r>
      <w:r w:rsidRPr="0081216A">
        <w:rPr>
          <w:rFonts w:ascii="Book Antiqua" w:hAnsi="Book Antiqua"/>
          <w:kern w:val="2"/>
          <w:sz w:val="24"/>
          <w:szCs w:val="24"/>
        </w:rPr>
        <w:t xml:space="preserve"> 2010; </w:t>
      </w:r>
      <w:r w:rsidRPr="0081216A">
        <w:rPr>
          <w:rFonts w:ascii="Book Antiqua" w:hAnsi="Book Antiqua"/>
          <w:b/>
          <w:kern w:val="2"/>
          <w:sz w:val="24"/>
          <w:szCs w:val="24"/>
        </w:rPr>
        <w:t>254</w:t>
      </w:r>
      <w:r w:rsidRPr="0081216A">
        <w:rPr>
          <w:rFonts w:ascii="Book Antiqua" w:hAnsi="Book Antiqua"/>
          <w:kern w:val="2"/>
          <w:sz w:val="24"/>
          <w:szCs w:val="24"/>
        </w:rPr>
        <w:t>: 47-66 [PMID: 20032142 DOI: 10.1148/radiol.09090021]</w:t>
      </w:r>
    </w:p>
    <w:p w14:paraId="3A89813B"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21 </w:t>
      </w:r>
      <w:r w:rsidRPr="0081216A">
        <w:rPr>
          <w:rFonts w:ascii="Book Antiqua" w:hAnsi="Book Antiqua"/>
          <w:b/>
          <w:kern w:val="2"/>
          <w:sz w:val="24"/>
          <w:szCs w:val="24"/>
        </w:rPr>
        <w:t>Motosugi U</w:t>
      </w:r>
      <w:r w:rsidRPr="0081216A">
        <w:rPr>
          <w:rFonts w:ascii="Book Antiqua" w:hAnsi="Book Antiqua"/>
          <w:kern w:val="2"/>
          <w:sz w:val="24"/>
          <w:szCs w:val="24"/>
        </w:rPr>
        <w:t xml:space="preserve">, Bannas P, Sano K, Reeder SB. Hepatobiliary MR contrast agents in hypovascular hepatocellular carcinoma. </w:t>
      </w:r>
      <w:r w:rsidRPr="0081216A">
        <w:rPr>
          <w:rFonts w:ascii="Book Antiqua" w:hAnsi="Book Antiqua"/>
          <w:i/>
          <w:kern w:val="2"/>
          <w:sz w:val="24"/>
          <w:szCs w:val="24"/>
        </w:rPr>
        <w:t>J Magn Reson Imaging</w:t>
      </w:r>
      <w:r w:rsidRPr="0081216A">
        <w:rPr>
          <w:rFonts w:ascii="Book Antiqua" w:hAnsi="Book Antiqua"/>
          <w:kern w:val="2"/>
          <w:sz w:val="24"/>
          <w:szCs w:val="24"/>
        </w:rPr>
        <w:t xml:space="preserve"> 2015; </w:t>
      </w:r>
      <w:r w:rsidRPr="0081216A">
        <w:rPr>
          <w:rFonts w:ascii="Book Antiqua" w:hAnsi="Book Antiqua"/>
          <w:b/>
          <w:kern w:val="2"/>
          <w:sz w:val="24"/>
          <w:szCs w:val="24"/>
        </w:rPr>
        <w:t>41</w:t>
      </w:r>
      <w:r w:rsidRPr="0081216A">
        <w:rPr>
          <w:rFonts w:ascii="Book Antiqua" w:hAnsi="Book Antiqua"/>
          <w:kern w:val="2"/>
          <w:sz w:val="24"/>
          <w:szCs w:val="24"/>
        </w:rPr>
        <w:t>: 251-265 [PMID: 25104398 DOI: 10.1002/jmri.24712]</w:t>
      </w:r>
    </w:p>
    <w:p w14:paraId="482F783E"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22 </w:t>
      </w:r>
      <w:r w:rsidRPr="0081216A">
        <w:rPr>
          <w:rFonts w:ascii="Book Antiqua" w:hAnsi="Book Antiqua"/>
          <w:b/>
          <w:kern w:val="2"/>
          <w:sz w:val="24"/>
          <w:szCs w:val="24"/>
        </w:rPr>
        <w:t>Calderaro J</w:t>
      </w:r>
      <w:r w:rsidRPr="0081216A">
        <w:rPr>
          <w:rFonts w:ascii="Book Antiqua" w:hAnsi="Book Antiqua"/>
          <w:kern w:val="2"/>
          <w:sz w:val="24"/>
          <w:szCs w:val="24"/>
        </w:rPr>
        <w:t xml:space="preserve">, Couchy G, Imbeaud S, Amaddeo G, Letouzé E, Blanc JF, Laurent C, Hajji Y, Azoulay D, Bioulac-Sage P, Nault JC, Zucman-Rossi J. Histological subtypes of hepatocellular carcinoma are related to gene mutations and molecular tumour classification. </w:t>
      </w:r>
      <w:r w:rsidRPr="0081216A">
        <w:rPr>
          <w:rFonts w:ascii="Book Antiqua" w:hAnsi="Book Antiqua"/>
          <w:i/>
          <w:kern w:val="2"/>
          <w:sz w:val="24"/>
          <w:szCs w:val="24"/>
        </w:rPr>
        <w:t>J Hepatol</w:t>
      </w:r>
      <w:r w:rsidRPr="0081216A">
        <w:rPr>
          <w:rFonts w:ascii="Book Antiqua" w:hAnsi="Book Antiqua"/>
          <w:kern w:val="2"/>
          <w:sz w:val="24"/>
          <w:szCs w:val="24"/>
        </w:rPr>
        <w:t xml:space="preserve"> 2017; </w:t>
      </w:r>
      <w:r w:rsidRPr="0081216A">
        <w:rPr>
          <w:rFonts w:ascii="Book Antiqua" w:hAnsi="Book Antiqua"/>
          <w:b/>
          <w:kern w:val="2"/>
          <w:sz w:val="24"/>
          <w:szCs w:val="24"/>
        </w:rPr>
        <w:t>67</w:t>
      </w:r>
      <w:r w:rsidRPr="0081216A">
        <w:rPr>
          <w:rFonts w:ascii="Book Antiqua" w:hAnsi="Book Antiqua"/>
          <w:kern w:val="2"/>
          <w:sz w:val="24"/>
          <w:szCs w:val="24"/>
        </w:rPr>
        <w:t>: 727-738 [PMID: 28532995 DOI: 10.1016/j.jhep.2017.05.014]</w:t>
      </w:r>
    </w:p>
    <w:p w14:paraId="6024CB1F"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23 </w:t>
      </w:r>
      <w:r w:rsidRPr="0081216A">
        <w:rPr>
          <w:rFonts w:ascii="Book Antiqua" w:hAnsi="Book Antiqua"/>
          <w:b/>
          <w:kern w:val="2"/>
          <w:sz w:val="24"/>
          <w:szCs w:val="24"/>
        </w:rPr>
        <w:t>Niu ZS</w:t>
      </w:r>
      <w:r w:rsidRPr="0081216A">
        <w:rPr>
          <w:rFonts w:ascii="Book Antiqua" w:hAnsi="Book Antiqua"/>
          <w:kern w:val="2"/>
          <w:sz w:val="24"/>
          <w:szCs w:val="24"/>
        </w:rPr>
        <w:t xml:space="preserve">, Niu XJ, Wang WH. Genetic alterations in hepatocellular carcinoma: An update. </w:t>
      </w:r>
      <w:r w:rsidRPr="0081216A">
        <w:rPr>
          <w:rFonts w:ascii="Book Antiqua" w:hAnsi="Book Antiqua"/>
          <w:i/>
          <w:kern w:val="2"/>
          <w:sz w:val="24"/>
          <w:szCs w:val="24"/>
        </w:rPr>
        <w:t>World J Gastroenterol</w:t>
      </w:r>
      <w:r w:rsidRPr="0081216A">
        <w:rPr>
          <w:rFonts w:ascii="Book Antiqua" w:hAnsi="Book Antiqua"/>
          <w:kern w:val="2"/>
          <w:sz w:val="24"/>
          <w:szCs w:val="24"/>
        </w:rPr>
        <w:t xml:space="preserve"> 2016; </w:t>
      </w:r>
      <w:r w:rsidRPr="0081216A">
        <w:rPr>
          <w:rFonts w:ascii="Book Antiqua" w:hAnsi="Book Antiqua"/>
          <w:b/>
          <w:kern w:val="2"/>
          <w:sz w:val="24"/>
          <w:szCs w:val="24"/>
        </w:rPr>
        <w:t>22</w:t>
      </w:r>
      <w:r w:rsidRPr="0081216A">
        <w:rPr>
          <w:rFonts w:ascii="Book Antiqua" w:hAnsi="Book Antiqua"/>
          <w:kern w:val="2"/>
          <w:sz w:val="24"/>
          <w:szCs w:val="24"/>
        </w:rPr>
        <w:t>: 9069-9095 [PMID: 27895396 DOI: 10.3748/wjg.v22.i41.9069]</w:t>
      </w:r>
    </w:p>
    <w:p w14:paraId="7E9153FA"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24 </w:t>
      </w:r>
      <w:r w:rsidRPr="0081216A">
        <w:rPr>
          <w:rFonts w:ascii="Book Antiqua" w:hAnsi="Book Antiqua"/>
          <w:b/>
          <w:kern w:val="2"/>
          <w:sz w:val="24"/>
          <w:szCs w:val="24"/>
        </w:rPr>
        <w:t>Guichard C</w:t>
      </w:r>
      <w:r w:rsidRPr="0081216A">
        <w:rPr>
          <w:rFonts w:ascii="Book Antiqua" w:hAnsi="Book Antiqua"/>
          <w:kern w:val="2"/>
          <w:sz w:val="24"/>
          <w:szCs w:val="24"/>
        </w:rPr>
        <w:t>, Amaddeo G, Imbeaud S, Ladeiro Y, Pelletier L, Maad IB, Cal</w:t>
      </w:r>
      <w:r w:rsidRPr="0081216A">
        <w:rPr>
          <w:rFonts w:ascii="Book Antiqua" w:hAnsi="Book Antiqua"/>
          <w:kern w:val="2"/>
          <w:sz w:val="24"/>
          <w:szCs w:val="24"/>
        </w:rPr>
        <w:lastRenderedPageBreak/>
        <w:t xml:space="preserve">deraro J, Bioulac-Sage P, Letexier M, Degos F, Clément B, Balabaud C, Chevet E, Laurent A, Couchy G, Letouzé E, Calvo F, Zucman-Rossi J. Integrated analysis of somatic mutations and focal copy-number changes identifies key genes and pathways in hepatocellular carcinoma. </w:t>
      </w:r>
      <w:r w:rsidRPr="0081216A">
        <w:rPr>
          <w:rFonts w:ascii="Book Antiqua" w:hAnsi="Book Antiqua"/>
          <w:i/>
          <w:kern w:val="2"/>
          <w:sz w:val="24"/>
          <w:szCs w:val="24"/>
        </w:rPr>
        <w:t>Nat Genet</w:t>
      </w:r>
      <w:r w:rsidRPr="0081216A">
        <w:rPr>
          <w:rFonts w:ascii="Book Antiqua" w:hAnsi="Book Antiqua"/>
          <w:kern w:val="2"/>
          <w:sz w:val="24"/>
          <w:szCs w:val="24"/>
        </w:rPr>
        <w:t xml:space="preserve"> 2012; </w:t>
      </w:r>
      <w:r w:rsidRPr="0081216A">
        <w:rPr>
          <w:rFonts w:ascii="Book Antiqua" w:hAnsi="Book Antiqua"/>
          <w:b/>
          <w:kern w:val="2"/>
          <w:sz w:val="24"/>
          <w:szCs w:val="24"/>
        </w:rPr>
        <w:t>44</w:t>
      </w:r>
      <w:r w:rsidRPr="0081216A">
        <w:rPr>
          <w:rFonts w:ascii="Book Antiqua" w:hAnsi="Book Antiqua"/>
          <w:kern w:val="2"/>
          <w:sz w:val="24"/>
          <w:szCs w:val="24"/>
        </w:rPr>
        <w:t>: 694-698 [PMID: 22561517 DOI: 10.1038/ng.2256]</w:t>
      </w:r>
    </w:p>
    <w:p w14:paraId="284F975B"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25 </w:t>
      </w:r>
      <w:r w:rsidRPr="0081216A">
        <w:rPr>
          <w:rFonts w:ascii="Book Antiqua" w:hAnsi="Book Antiqua"/>
          <w:b/>
          <w:kern w:val="2"/>
          <w:sz w:val="24"/>
          <w:szCs w:val="24"/>
        </w:rPr>
        <w:t>Sia D</w:t>
      </w:r>
      <w:r w:rsidRPr="0081216A">
        <w:rPr>
          <w:rFonts w:ascii="Book Antiqua" w:hAnsi="Book Antiqua"/>
          <w:kern w:val="2"/>
          <w:sz w:val="24"/>
          <w:szCs w:val="24"/>
        </w:rPr>
        <w:t xml:space="preserve">, Villanueva A, Friedman SL, Llovet JM. Liver Cancer Cell of Origin, Molecular Class, and Effects on Patient Prognosis. </w:t>
      </w:r>
      <w:r w:rsidRPr="0081216A">
        <w:rPr>
          <w:rFonts w:ascii="Book Antiqua" w:hAnsi="Book Antiqua"/>
          <w:i/>
          <w:kern w:val="2"/>
          <w:sz w:val="24"/>
          <w:szCs w:val="24"/>
        </w:rPr>
        <w:t>Gastroenterology</w:t>
      </w:r>
      <w:r w:rsidRPr="0081216A">
        <w:rPr>
          <w:rFonts w:ascii="Book Antiqua" w:hAnsi="Book Antiqua"/>
          <w:kern w:val="2"/>
          <w:sz w:val="24"/>
          <w:szCs w:val="24"/>
        </w:rPr>
        <w:t xml:space="preserve"> 2017; </w:t>
      </w:r>
      <w:r w:rsidRPr="0081216A">
        <w:rPr>
          <w:rFonts w:ascii="Book Antiqua" w:hAnsi="Book Antiqua"/>
          <w:b/>
          <w:kern w:val="2"/>
          <w:sz w:val="24"/>
          <w:szCs w:val="24"/>
        </w:rPr>
        <w:t>152</w:t>
      </w:r>
      <w:r w:rsidRPr="0081216A">
        <w:rPr>
          <w:rFonts w:ascii="Book Antiqua" w:hAnsi="Book Antiqua"/>
          <w:kern w:val="2"/>
          <w:sz w:val="24"/>
          <w:szCs w:val="24"/>
        </w:rPr>
        <w:t>: 745-761 [PMID: 28043904 DOI: 10.1053/j.gastro.2016.11.048]</w:t>
      </w:r>
    </w:p>
    <w:p w14:paraId="106E495D"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26 </w:t>
      </w:r>
      <w:r w:rsidRPr="0081216A">
        <w:rPr>
          <w:rFonts w:ascii="Book Antiqua" w:hAnsi="Book Antiqua"/>
          <w:b/>
          <w:kern w:val="2"/>
          <w:sz w:val="24"/>
          <w:szCs w:val="24"/>
        </w:rPr>
        <w:t>Moeini A</w:t>
      </w:r>
      <w:r w:rsidRPr="0081216A">
        <w:rPr>
          <w:rFonts w:ascii="Book Antiqua" w:hAnsi="Book Antiqua"/>
          <w:kern w:val="2"/>
          <w:sz w:val="24"/>
          <w:szCs w:val="24"/>
        </w:rPr>
        <w:t xml:space="preserve">, Sia D, Zhang Z, Camprecios G, Stueck A, Dong H, Montal R, Torrens L, Martinez-Quetglas I, Fiel MI, Hao K, Villanueva A, Thung SN, Schwartz ME, Llovet JM. Mixed hepatocellular cholangiocarcinoma tumors: Cholangiolocellular carcinoma is a distinct molecular entity. </w:t>
      </w:r>
      <w:r w:rsidRPr="0081216A">
        <w:rPr>
          <w:rFonts w:ascii="Book Antiqua" w:hAnsi="Book Antiqua"/>
          <w:i/>
          <w:kern w:val="2"/>
          <w:sz w:val="24"/>
          <w:szCs w:val="24"/>
        </w:rPr>
        <w:t>J Hepatol</w:t>
      </w:r>
      <w:r w:rsidRPr="0081216A">
        <w:rPr>
          <w:rFonts w:ascii="Book Antiqua" w:hAnsi="Book Antiqua"/>
          <w:kern w:val="2"/>
          <w:sz w:val="24"/>
          <w:szCs w:val="24"/>
        </w:rPr>
        <w:t xml:space="preserve"> 2017; </w:t>
      </w:r>
      <w:r w:rsidRPr="0081216A">
        <w:rPr>
          <w:rFonts w:ascii="Book Antiqua" w:hAnsi="Book Antiqua"/>
          <w:b/>
          <w:kern w:val="2"/>
          <w:sz w:val="24"/>
          <w:szCs w:val="24"/>
        </w:rPr>
        <w:t>66</w:t>
      </w:r>
      <w:r w:rsidRPr="0081216A">
        <w:rPr>
          <w:rFonts w:ascii="Book Antiqua" w:hAnsi="Book Antiqua"/>
          <w:kern w:val="2"/>
          <w:sz w:val="24"/>
          <w:szCs w:val="24"/>
        </w:rPr>
        <w:t>: 952-961 [PMID: 28126467 DOI: 10.1016/j.jhep.2017.01.010]</w:t>
      </w:r>
    </w:p>
    <w:p w14:paraId="72013D50"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27 </w:t>
      </w:r>
      <w:r w:rsidRPr="0081216A">
        <w:rPr>
          <w:rFonts w:ascii="Book Antiqua" w:hAnsi="Book Antiqua"/>
          <w:b/>
          <w:kern w:val="2"/>
          <w:sz w:val="24"/>
          <w:szCs w:val="24"/>
        </w:rPr>
        <w:t>Choi JY</w:t>
      </w:r>
      <w:r w:rsidRPr="0081216A">
        <w:rPr>
          <w:rFonts w:ascii="Book Antiqua" w:hAnsi="Book Antiqua"/>
          <w:kern w:val="2"/>
          <w:sz w:val="24"/>
          <w:szCs w:val="24"/>
        </w:rPr>
        <w:t xml:space="preserve">, Lee JM, Sirlin CB. CT and MR imaging diagnosis and staging of hepatocellular carcinoma: part I. Development, growth, and spread: key pathologic and imaging aspects. </w:t>
      </w:r>
      <w:r w:rsidRPr="0081216A">
        <w:rPr>
          <w:rFonts w:ascii="Book Antiqua" w:hAnsi="Book Antiqua"/>
          <w:i/>
          <w:kern w:val="2"/>
          <w:sz w:val="24"/>
          <w:szCs w:val="24"/>
        </w:rPr>
        <w:t>Radiology</w:t>
      </w:r>
      <w:r w:rsidRPr="0081216A">
        <w:rPr>
          <w:rFonts w:ascii="Book Antiqua" w:hAnsi="Book Antiqua"/>
          <w:kern w:val="2"/>
          <w:sz w:val="24"/>
          <w:szCs w:val="24"/>
        </w:rPr>
        <w:t xml:space="preserve"> 2014; </w:t>
      </w:r>
      <w:r w:rsidRPr="0081216A">
        <w:rPr>
          <w:rFonts w:ascii="Book Antiqua" w:hAnsi="Book Antiqua"/>
          <w:b/>
          <w:kern w:val="2"/>
          <w:sz w:val="24"/>
          <w:szCs w:val="24"/>
        </w:rPr>
        <w:t>272</w:t>
      </w:r>
      <w:r w:rsidRPr="0081216A">
        <w:rPr>
          <w:rFonts w:ascii="Book Antiqua" w:hAnsi="Book Antiqua"/>
          <w:kern w:val="2"/>
          <w:sz w:val="24"/>
          <w:szCs w:val="24"/>
        </w:rPr>
        <w:t>: 635-654 [PMID: 25153274 DOI: 10.1148/radiol.14132361]</w:t>
      </w:r>
    </w:p>
    <w:p w14:paraId="349A1FAC"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28 </w:t>
      </w:r>
      <w:r w:rsidRPr="0081216A">
        <w:rPr>
          <w:rFonts w:ascii="Book Antiqua" w:hAnsi="Book Antiqua"/>
          <w:b/>
          <w:kern w:val="2"/>
          <w:sz w:val="24"/>
          <w:szCs w:val="24"/>
        </w:rPr>
        <w:t>International Consensus Group for Hepatocellular NeoplasiaThe International Consensus Group for Hepatocellular Neoplasia.</w:t>
      </w:r>
      <w:r w:rsidRPr="0081216A">
        <w:rPr>
          <w:rFonts w:ascii="Book Antiqua" w:hAnsi="Book Antiqua"/>
          <w:kern w:val="2"/>
          <w:sz w:val="24"/>
          <w:szCs w:val="24"/>
        </w:rPr>
        <w:t xml:space="preserve">. Pathologic diagnosis of early hepatocellular carcinoma: a report of the international consensus group for hepatocellular neoplasia. </w:t>
      </w:r>
      <w:r w:rsidRPr="0081216A">
        <w:rPr>
          <w:rFonts w:ascii="Book Antiqua" w:hAnsi="Book Antiqua"/>
          <w:i/>
          <w:kern w:val="2"/>
          <w:sz w:val="24"/>
          <w:szCs w:val="24"/>
        </w:rPr>
        <w:t>Hepatology</w:t>
      </w:r>
      <w:r w:rsidRPr="0081216A">
        <w:rPr>
          <w:rFonts w:ascii="Book Antiqua" w:hAnsi="Book Antiqua"/>
          <w:kern w:val="2"/>
          <w:sz w:val="24"/>
          <w:szCs w:val="24"/>
        </w:rPr>
        <w:t xml:space="preserve"> 2009; </w:t>
      </w:r>
      <w:r w:rsidRPr="0081216A">
        <w:rPr>
          <w:rFonts w:ascii="Book Antiqua" w:hAnsi="Book Antiqua"/>
          <w:b/>
          <w:kern w:val="2"/>
          <w:sz w:val="24"/>
          <w:szCs w:val="24"/>
        </w:rPr>
        <w:t>49</w:t>
      </w:r>
      <w:r w:rsidRPr="0081216A">
        <w:rPr>
          <w:rFonts w:ascii="Book Antiqua" w:hAnsi="Book Antiqua"/>
          <w:kern w:val="2"/>
          <w:sz w:val="24"/>
          <w:szCs w:val="24"/>
        </w:rPr>
        <w:t>: 658-664 [PMID: 19177576 DOI: 10.1002/hep.22709]</w:t>
      </w:r>
    </w:p>
    <w:p w14:paraId="17BDDBD5"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29 </w:t>
      </w:r>
      <w:r w:rsidRPr="0081216A">
        <w:rPr>
          <w:rFonts w:ascii="Book Antiqua" w:hAnsi="Book Antiqua"/>
          <w:b/>
          <w:kern w:val="2"/>
          <w:sz w:val="24"/>
          <w:szCs w:val="24"/>
        </w:rPr>
        <w:t>Kutami R</w:t>
      </w:r>
      <w:r w:rsidRPr="0081216A">
        <w:rPr>
          <w:rFonts w:ascii="Book Antiqua" w:hAnsi="Book Antiqua"/>
          <w:kern w:val="2"/>
          <w:sz w:val="24"/>
          <w:szCs w:val="24"/>
        </w:rPr>
        <w:t xml:space="preserve">, Nakashima Y, Nakashima O, Shiota K, Kojiro M. Pathomorphologic study on the mechanism of fatty change in small hepatocellular carcinoma of humans. </w:t>
      </w:r>
      <w:r w:rsidRPr="0081216A">
        <w:rPr>
          <w:rFonts w:ascii="Book Antiqua" w:hAnsi="Book Antiqua"/>
          <w:i/>
          <w:kern w:val="2"/>
          <w:sz w:val="24"/>
          <w:szCs w:val="24"/>
        </w:rPr>
        <w:t>J Hepatol</w:t>
      </w:r>
      <w:r w:rsidRPr="0081216A">
        <w:rPr>
          <w:rFonts w:ascii="Book Antiqua" w:hAnsi="Book Antiqua"/>
          <w:kern w:val="2"/>
          <w:sz w:val="24"/>
          <w:szCs w:val="24"/>
        </w:rPr>
        <w:t xml:space="preserve"> 2000; </w:t>
      </w:r>
      <w:r w:rsidRPr="0081216A">
        <w:rPr>
          <w:rFonts w:ascii="Book Antiqua" w:hAnsi="Book Antiqua"/>
          <w:b/>
          <w:kern w:val="2"/>
          <w:sz w:val="24"/>
          <w:szCs w:val="24"/>
        </w:rPr>
        <w:t>33</w:t>
      </w:r>
      <w:r w:rsidRPr="0081216A">
        <w:rPr>
          <w:rFonts w:ascii="Book Antiqua" w:hAnsi="Book Antiqua"/>
          <w:kern w:val="2"/>
          <w:sz w:val="24"/>
          <w:szCs w:val="24"/>
        </w:rPr>
        <w:t>: 282-289 [PMID: 10952246]</w:t>
      </w:r>
    </w:p>
    <w:p w14:paraId="69A745C1"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30 </w:t>
      </w:r>
      <w:r w:rsidRPr="0081216A">
        <w:rPr>
          <w:rFonts w:ascii="Book Antiqua" w:hAnsi="Book Antiqua"/>
          <w:b/>
          <w:kern w:val="2"/>
          <w:sz w:val="24"/>
          <w:szCs w:val="24"/>
        </w:rPr>
        <w:t>Nassif A</w:t>
      </w:r>
      <w:r w:rsidRPr="0081216A">
        <w:rPr>
          <w:rFonts w:ascii="Book Antiqua" w:hAnsi="Book Antiqua"/>
          <w:kern w:val="2"/>
          <w:sz w:val="24"/>
          <w:szCs w:val="24"/>
        </w:rPr>
        <w:t xml:space="preserve">, Jia J, Keiser M, Oswald S, Modess C, Nagel S, Weitschies W, Hosten N, Siegmund W, Kühn JP. Visualization of hepatic uptake transporter function in healthy subjects by using gadoxetic acid-enhanced MR imaging. </w:t>
      </w:r>
      <w:r w:rsidRPr="0081216A">
        <w:rPr>
          <w:rFonts w:ascii="Book Antiqua" w:hAnsi="Book Antiqua"/>
          <w:i/>
          <w:kern w:val="2"/>
          <w:sz w:val="24"/>
          <w:szCs w:val="24"/>
        </w:rPr>
        <w:t>Radiology</w:t>
      </w:r>
      <w:r w:rsidRPr="0081216A">
        <w:rPr>
          <w:rFonts w:ascii="Book Antiqua" w:hAnsi="Book Antiqua"/>
          <w:kern w:val="2"/>
          <w:sz w:val="24"/>
          <w:szCs w:val="24"/>
        </w:rPr>
        <w:t xml:space="preserve"> 2012; </w:t>
      </w:r>
      <w:r w:rsidRPr="0081216A">
        <w:rPr>
          <w:rFonts w:ascii="Book Antiqua" w:hAnsi="Book Antiqua"/>
          <w:b/>
          <w:kern w:val="2"/>
          <w:sz w:val="24"/>
          <w:szCs w:val="24"/>
        </w:rPr>
        <w:t>264</w:t>
      </w:r>
      <w:r w:rsidRPr="0081216A">
        <w:rPr>
          <w:rFonts w:ascii="Book Antiqua" w:hAnsi="Book Antiqua"/>
          <w:kern w:val="2"/>
          <w:sz w:val="24"/>
          <w:szCs w:val="24"/>
        </w:rPr>
        <w:t>: 741-750 [PMID: 22771883 DOI: 10.1148/radiol.12112061]</w:t>
      </w:r>
    </w:p>
    <w:p w14:paraId="512BF2FA"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31 </w:t>
      </w:r>
      <w:r w:rsidRPr="0081216A">
        <w:rPr>
          <w:rFonts w:ascii="Book Antiqua" w:hAnsi="Book Antiqua"/>
          <w:b/>
          <w:kern w:val="2"/>
          <w:sz w:val="24"/>
          <w:szCs w:val="24"/>
        </w:rPr>
        <w:t>Kitao A</w:t>
      </w:r>
      <w:r w:rsidRPr="0081216A">
        <w:rPr>
          <w:rFonts w:ascii="Book Antiqua" w:hAnsi="Book Antiqua"/>
          <w:kern w:val="2"/>
          <w:sz w:val="24"/>
          <w:szCs w:val="24"/>
        </w:rPr>
        <w:t>, Matsui O, Yoneda N, Kozaka K, Shinmura R, Koda W, Kobayashi S, Gabata T, Zen Y, Yamashita T, Kaneko S, Nakanuma Y. The uptake trans</w:t>
      </w:r>
      <w:r w:rsidRPr="0081216A">
        <w:rPr>
          <w:rFonts w:ascii="Book Antiqua" w:hAnsi="Book Antiqua"/>
          <w:kern w:val="2"/>
          <w:sz w:val="24"/>
          <w:szCs w:val="24"/>
        </w:rPr>
        <w:lastRenderedPageBreak/>
        <w:t xml:space="preserve">porter OATP8 expression decreases during multistep hepatocarcinogenesis: correlation with gadoxetic acid enhanced MR imaging. </w:t>
      </w:r>
      <w:r w:rsidRPr="0081216A">
        <w:rPr>
          <w:rFonts w:ascii="Book Antiqua" w:hAnsi="Book Antiqua"/>
          <w:i/>
          <w:kern w:val="2"/>
          <w:sz w:val="24"/>
          <w:szCs w:val="24"/>
        </w:rPr>
        <w:t>Eur Radiol</w:t>
      </w:r>
      <w:r w:rsidRPr="0081216A">
        <w:rPr>
          <w:rFonts w:ascii="Book Antiqua" w:hAnsi="Book Antiqua"/>
          <w:kern w:val="2"/>
          <w:sz w:val="24"/>
          <w:szCs w:val="24"/>
        </w:rPr>
        <w:t xml:space="preserve"> 2011; </w:t>
      </w:r>
      <w:r w:rsidRPr="0081216A">
        <w:rPr>
          <w:rFonts w:ascii="Book Antiqua" w:hAnsi="Book Antiqua"/>
          <w:b/>
          <w:kern w:val="2"/>
          <w:sz w:val="24"/>
          <w:szCs w:val="24"/>
        </w:rPr>
        <w:t>21</w:t>
      </w:r>
      <w:r w:rsidRPr="0081216A">
        <w:rPr>
          <w:rFonts w:ascii="Book Antiqua" w:hAnsi="Book Antiqua"/>
          <w:kern w:val="2"/>
          <w:sz w:val="24"/>
          <w:szCs w:val="24"/>
        </w:rPr>
        <w:t>: 2056-2066 [PMID: 21626360 DOI: 10.1007/s00330-011-2165-8]</w:t>
      </w:r>
    </w:p>
    <w:p w14:paraId="1E152FF2"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32 </w:t>
      </w:r>
      <w:r w:rsidRPr="0081216A">
        <w:rPr>
          <w:rFonts w:ascii="Book Antiqua" w:hAnsi="Book Antiqua"/>
          <w:b/>
          <w:kern w:val="2"/>
          <w:sz w:val="24"/>
          <w:szCs w:val="24"/>
        </w:rPr>
        <w:t>Vilgrain V</w:t>
      </w:r>
      <w:r w:rsidRPr="0081216A">
        <w:rPr>
          <w:rFonts w:ascii="Book Antiqua" w:hAnsi="Book Antiqua"/>
          <w:kern w:val="2"/>
          <w:sz w:val="24"/>
          <w:szCs w:val="24"/>
        </w:rPr>
        <w:t xml:space="preserve">, Van Beers BE, Pastor CM. Insights into the diagnosis of hepatocellular carcinomas with hepatobiliary MRI. </w:t>
      </w:r>
      <w:r w:rsidRPr="0081216A">
        <w:rPr>
          <w:rFonts w:ascii="Book Antiqua" w:hAnsi="Book Antiqua"/>
          <w:i/>
          <w:kern w:val="2"/>
          <w:sz w:val="24"/>
          <w:szCs w:val="24"/>
        </w:rPr>
        <w:t>J Hepatol</w:t>
      </w:r>
      <w:r w:rsidRPr="0081216A">
        <w:rPr>
          <w:rFonts w:ascii="Book Antiqua" w:hAnsi="Book Antiqua"/>
          <w:kern w:val="2"/>
          <w:sz w:val="24"/>
          <w:szCs w:val="24"/>
        </w:rPr>
        <w:t xml:space="preserve"> 2016; </w:t>
      </w:r>
      <w:r w:rsidRPr="0081216A">
        <w:rPr>
          <w:rFonts w:ascii="Book Antiqua" w:hAnsi="Book Antiqua"/>
          <w:b/>
          <w:kern w:val="2"/>
          <w:sz w:val="24"/>
          <w:szCs w:val="24"/>
        </w:rPr>
        <w:t>64</w:t>
      </w:r>
      <w:r w:rsidRPr="0081216A">
        <w:rPr>
          <w:rFonts w:ascii="Book Antiqua" w:hAnsi="Book Antiqua"/>
          <w:kern w:val="2"/>
          <w:sz w:val="24"/>
          <w:szCs w:val="24"/>
        </w:rPr>
        <w:t>: 708-716 [PMID: 26632635 DOI: 10.1016/j.jhep.2015.11.016]</w:t>
      </w:r>
    </w:p>
    <w:p w14:paraId="2DDD2990"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33 </w:t>
      </w:r>
      <w:r w:rsidRPr="0081216A">
        <w:rPr>
          <w:rFonts w:ascii="Book Antiqua" w:hAnsi="Book Antiqua"/>
          <w:b/>
          <w:kern w:val="2"/>
          <w:sz w:val="24"/>
          <w:szCs w:val="24"/>
        </w:rPr>
        <w:t>Kogita S</w:t>
      </w:r>
      <w:r w:rsidRPr="0081216A">
        <w:rPr>
          <w:rFonts w:ascii="Book Antiqua" w:hAnsi="Book Antiqua"/>
          <w:kern w:val="2"/>
          <w:sz w:val="24"/>
          <w:szCs w:val="24"/>
        </w:rPr>
        <w:t xml:space="preserve">, Imai Y, Okada M, Kim T, Onishi H, Takamura M, Fukuda K, Igura T, Sawai Y, Morimoto O, Hori M, Nagano H, Wakasa K, Hayashi N, Murakami T. Gd-EOB-DTPA-enhanced magnetic resonance images of hepatocellular carcinoma: correlation with histological grading and portal blood flow. </w:t>
      </w:r>
      <w:r w:rsidRPr="0081216A">
        <w:rPr>
          <w:rFonts w:ascii="Book Antiqua" w:hAnsi="Book Antiqua"/>
          <w:i/>
          <w:kern w:val="2"/>
          <w:sz w:val="24"/>
          <w:szCs w:val="24"/>
        </w:rPr>
        <w:t>Eur Radiol</w:t>
      </w:r>
      <w:r w:rsidRPr="0081216A">
        <w:rPr>
          <w:rFonts w:ascii="Book Antiqua" w:hAnsi="Book Antiqua"/>
          <w:kern w:val="2"/>
          <w:sz w:val="24"/>
          <w:szCs w:val="24"/>
        </w:rPr>
        <w:t xml:space="preserve"> 2010; </w:t>
      </w:r>
      <w:r w:rsidRPr="0081216A">
        <w:rPr>
          <w:rFonts w:ascii="Book Antiqua" w:hAnsi="Book Antiqua"/>
          <w:b/>
          <w:kern w:val="2"/>
          <w:sz w:val="24"/>
          <w:szCs w:val="24"/>
        </w:rPr>
        <w:t>20</w:t>
      </w:r>
      <w:r w:rsidRPr="0081216A">
        <w:rPr>
          <w:rFonts w:ascii="Book Antiqua" w:hAnsi="Book Antiqua"/>
          <w:kern w:val="2"/>
          <w:sz w:val="24"/>
          <w:szCs w:val="24"/>
        </w:rPr>
        <w:t>: 2405-2413 [PMID: 20490505 DOI: 10.1007/s00330-010-1812-9]</w:t>
      </w:r>
    </w:p>
    <w:p w14:paraId="18903A34"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34 </w:t>
      </w:r>
      <w:r w:rsidRPr="0081216A">
        <w:rPr>
          <w:rFonts w:ascii="Book Antiqua" w:hAnsi="Book Antiqua"/>
          <w:b/>
          <w:kern w:val="2"/>
          <w:sz w:val="24"/>
          <w:szCs w:val="24"/>
        </w:rPr>
        <w:t>Liu X</w:t>
      </w:r>
      <w:r w:rsidRPr="0081216A">
        <w:rPr>
          <w:rFonts w:ascii="Book Antiqua" w:hAnsi="Book Antiqua"/>
          <w:kern w:val="2"/>
          <w:sz w:val="24"/>
          <w:szCs w:val="24"/>
        </w:rPr>
        <w:t xml:space="preserve">, Jiang H, Chen J, Zhou Y, Huang Z, Song B. Gadoxetic acid disodium-enhanced magnetic resonance imaging outperformed multidetector computed tomography in diagnosing small hepatocellular carcinoma: A meta-analysis. </w:t>
      </w:r>
      <w:r w:rsidRPr="0081216A">
        <w:rPr>
          <w:rFonts w:ascii="Book Antiqua" w:hAnsi="Book Antiqua"/>
          <w:i/>
          <w:kern w:val="2"/>
          <w:sz w:val="24"/>
          <w:szCs w:val="24"/>
        </w:rPr>
        <w:t>Liver Transpl</w:t>
      </w:r>
      <w:r w:rsidRPr="0081216A">
        <w:rPr>
          <w:rFonts w:ascii="Book Antiqua" w:hAnsi="Book Antiqua"/>
          <w:kern w:val="2"/>
          <w:sz w:val="24"/>
          <w:szCs w:val="24"/>
        </w:rPr>
        <w:t xml:space="preserve"> 2017; </w:t>
      </w:r>
      <w:r w:rsidRPr="0081216A">
        <w:rPr>
          <w:rFonts w:ascii="Book Antiqua" w:hAnsi="Book Antiqua"/>
          <w:b/>
          <w:kern w:val="2"/>
          <w:sz w:val="24"/>
          <w:szCs w:val="24"/>
        </w:rPr>
        <w:t>23</w:t>
      </w:r>
      <w:r w:rsidRPr="0081216A">
        <w:rPr>
          <w:rFonts w:ascii="Book Antiqua" w:hAnsi="Book Antiqua"/>
          <w:kern w:val="2"/>
          <w:sz w:val="24"/>
          <w:szCs w:val="24"/>
        </w:rPr>
        <w:t>: 1505-1518 [PMID: 28886231 DOI: 10.1002/lt.24867]</w:t>
      </w:r>
    </w:p>
    <w:p w14:paraId="70159BE7"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35 </w:t>
      </w:r>
      <w:r w:rsidRPr="0081216A">
        <w:rPr>
          <w:rFonts w:ascii="Book Antiqua" w:hAnsi="Book Antiqua"/>
          <w:b/>
          <w:kern w:val="2"/>
          <w:sz w:val="24"/>
          <w:szCs w:val="24"/>
        </w:rPr>
        <w:t>Tsuboyama T</w:t>
      </w:r>
      <w:r w:rsidRPr="0081216A">
        <w:rPr>
          <w:rFonts w:ascii="Book Antiqua" w:hAnsi="Book Antiqua"/>
          <w:kern w:val="2"/>
          <w:sz w:val="24"/>
          <w:szCs w:val="24"/>
        </w:rPr>
        <w:t xml:space="preserve">, Onishi H, Kim T, Akita H, Hori M, Tatsumi M, Nakamoto A, Nagano H, Matsuura N, Wakasa K, Tomoda K. Hepatocellular carcinoma: hepatocyte-selective enhancement at gadoxetic acid-enhanced MR imaging--correlation with expression of sinusoidal and canalicular transporters and bile accumulation. </w:t>
      </w:r>
      <w:r w:rsidRPr="0081216A">
        <w:rPr>
          <w:rFonts w:ascii="Book Antiqua" w:hAnsi="Book Antiqua"/>
          <w:i/>
          <w:kern w:val="2"/>
          <w:sz w:val="24"/>
          <w:szCs w:val="24"/>
        </w:rPr>
        <w:t>Radiology</w:t>
      </w:r>
      <w:r w:rsidRPr="0081216A">
        <w:rPr>
          <w:rFonts w:ascii="Book Antiqua" w:hAnsi="Book Antiqua"/>
          <w:kern w:val="2"/>
          <w:sz w:val="24"/>
          <w:szCs w:val="24"/>
        </w:rPr>
        <w:t xml:space="preserve"> 2010; </w:t>
      </w:r>
      <w:r w:rsidRPr="0081216A">
        <w:rPr>
          <w:rFonts w:ascii="Book Antiqua" w:hAnsi="Book Antiqua"/>
          <w:b/>
          <w:kern w:val="2"/>
          <w:sz w:val="24"/>
          <w:szCs w:val="24"/>
        </w:rPr>
        <w:t>255</w:t>
      </w:r>
      <w:r w:rsidRPr="0081216A">
        <w:rPr>
          <w:rFonts w:ascii="Book Antiqua" w:hAnsi="Book Antiqua"/>
          <w:kern w:val="2"/>
          <w:sz w:val="24"/>
          <w:szCs w:val="24"/>
        </w:rPr>
        <w:t>: 824-833 [PMID: 20501720 DOI: 10.1148/radiol.10091557]</w:t>
      </w:r>
    </w:p>
    <w:p w14:paraId="080AE3E8"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36 </w:t>
      </w:r>
      <w:r w:rsidRPr="0081216A">
        <w:rPr>
          <w:rFonts w:ascii="Book Antiqua" w:hAnsi="Book Antiqua"/>
          <w:b/>
          <w:kern w:val="2"/>
          <w:sz w:val="24"/>
          <w:szCs w:val="24"/>
        </w:rPr>
        <w:t>Singal AG</w:t>
      </w:r>
      <w:r w:rsidRPr="0081216A">
        <w:rPr>
          <w:rFonts w:ascii="Book Antiqua" w:hAnsi="Book Antiqua"/>
          <w:kern w:val="2"/>
          <w:sz w:val="24"/>
          <w:szCs w:val="24"/>
        </w:rPr>
        <w:t xml:space="preserve">, Pillai A, Tiro J. Early detection, curative treatment, and survival rates for hepatocellular carcinoma surveillance in patients with cirrhosis: a meta-analysis. </w:t>
      </w:r>
      <w:r w:rsidRPr="0081216A">
        <w:rPr>
          <w:rFonts w:ascii="Book Antiqua" w:hAnsi="Book Antiqua"/>
          <w:i/>
          <w:kern w:val="2"/>
          <w:sz w:val="24"/>
          <w:szCs w:val="24"/>
        </w:rPr>
        <w:t>PLoS Med</w:t>
      </w:r>
      <w:r w:rsidRPr="0081216A">
        <w:rPr>
          <w:rFonts w:ascii="Book Antiqua" w:hAnsi="Book Antiqua"/>
          <w:kern w:val="2"/>
          <w:sz w:val="24"/>
          <w:szCs w:val="24"/>
        </w:rPr>
        <w:t xml:space="preserve"> 2014; </w:t>
      </w:r>
      <w:r w:rsidRPr="0081216A">
        <w:rPr>
          <w:rFonts w:ascii="Book Antiqua" w:hAnsi="Book Antiqua"/>
          <w:b/>
          <w:kern w:val="2"/>
          <w:sz w:val="24"/>
          <w:szCs w:val="24"/>
        </w:rPr>
        <w:t>11</w:t>
      </w:r>
      <w:r w:rsidRPr="0081216A">
        <w:rPr>
          <w:rFonts w:ascii="Book Antiqua" w:hAnsi="Book Antiqua"/>
          <w:kern w:val="2"/>
          <w:sz w:val="24"/>
          <w:szCs w:val="24"/>
        </w:rPr>
        <w:t>: e1001624 [PMID: 24691105 DOI: 10.1371/journal.pmed.1001624]</w:t>
      </w:r>
    </w:p>
    <w:p w14:paraId="24D5FFD8"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37 </w:t>
      </w:r>
      <w:r w:rsidRPr="0081216A">
        <w:rPr>
          <w:rFonts w:ascii="Book Antiqua" w:hAnsi="Book Antiqua"/>
          <w:b/>
          <w:kern w:val="2"/>
          <w:sz w:val="24"/>
          <w:szCs w:val="24"/>
        </w:rPr>
        <w:t>Hanna RF</w:t>
      </w:r>
      <w:r w:rsidRPr="0081216A">
        <w:rPr>
          <w:rFonts w:ascii="Book Antiqua" w:hAnsi="Book Antiqua"/>
          <w:kern w:val="2"/>
          <w:sz w:val="24"/>
          <w:szCs w:val="24"/>
        </w:rPr>
        <w:t xml:space="preserve">, Miloushev VZ, Tang A, Finklestone LA, Brejt SZ, Sandhu RS, Santillan CS, Wolfson T, Gamst A, Sirlin CB. Comparative 13-year meta-analysis of the sensitivity and positive predictive value of ultrasound, CT, and MRI for detecting hepatocellular carcinoma. </w:t>
      </w:r>
      <w:r w:rsidRPr="0081216A">
        <w:rPr>
          <w:rFonts w:ascii="Book Antiqua" w:hAnsi="Book Antiqua"/>
          <w:i/>
          <w:kern w:val="2"/>
          <w:sz w:val="24"/>
          <w:szCs w:val="24"/>
        </w:rPr>
        <w:t>Abdom Radiol (NY)</w:t>
      </w:r>
      <w:r w:rsidRPr="0081216A">
        <w:rPr>
          <w:rFonts w:ascii="Book Antiqua" w:hAnsi="Book Antiqua"/>
          <w:kern w:val="2"/>
          <w:sz w:val="24"/>
          <w:szCs w:val="24"/>
        </w:rPr>
        <w:t xml:space="preserve"> 2016; </w:t>
      </w:r>
      <w:r w:rsidRPr="0081216A">
        <w:rPr>
          <w:rFonts w:ascii="Book Antiqua" w:hAnsi="Book Antiqua"/>
          <w:b/>
          <w:kern w:val="2"/>
          <w:sz w:val="24"/>
          <w:szCs w:val="24"/>
        </w:rPr>
        <w:t>41</w:t>
      </w:r>
      <w:r w:rsidRPr="0081216A">
        <w:rPr>
          <w:rFonts w:ascii="Book Antiqua" w:hAnsi="Book Antiqua"/>
          <w:kern w:val="2"/>
          <w:sz w:val="24"/>
          <w:szCs w:val="24"/>
        </w:rPr>
        <w:t xml:space="preserve">: 71-90 </w:t>
      </w:r>
      <w:r w:rsidRPr="0081216A">
        <w:rPr>
          <w:rFonts w:ascii="Book Antiqua" w:hAnsi="Book Antiqua"/>
          <w:kern w:val="2"/>
          <w:sz w:val="24"/>
          <w:szCs w:val="24"/>
        </w:rPr>
        <w:lastRenderedPageBreak/>
        <w:t>[PMID: 26830614 DOI: 10.1007/s00261-015-0592-8]</w:t>
      </w:r>
    </w:p>
    <w:p w14:paraId="40C4BCAA"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38 </w:t>
      </w:r>
      <w:r w:rsidRPr="0081216A">
        <w:rPr>
          <w:rFonts w:ascii="Book Antiqua" w:hAnsi="Book Antiqua"/>
          <w:b/>
          <w:kern w:val="2"/>
          <w:sz w:val="24"/>
          <w:szCs w:val="24"/>
        </w:rPr>
        <w:t>Pocha C</w:t>
      </w:r>
      <w:r w:rsidRPr="0081216A">
        <w:rPr>
          <w:rFonts w:ascii="Book Antiqua" w:hAnsi="Book Antiqua"/>
          <w:kern w:val="2"/>
          <w:sz w:val="24"/>
          <w:szCs w:val="24"/>
        </w:rPr>
        <w:t xml:space="preserve">, Dieperink E, McMaken KA, Knott A, Thuras P, Ho SB. Surveillance for hepatocellular cancer with ultrasonography vs. computed tomography -- a randomised study. </w:t>
      </w:r>
      <w:r w:rsidRPr="0081216A">
        <w:rPr>
          <w:rFonts w:ascii="Book Antiqua" w:hAnsi="Book Antiqua"/>
          <w:i/>
          <w:kern w:val="2"/>
          <w:sz w:val="24"/>
          <w:szCs w:val="24"/>
        </w:rPr>
        <w:t>Aliment Pharmacol Ther</w:t>
      </w:r>
      <w:r w:rsidRPr="0081216A">
        <w:rPr>
          <w:rFonts w:ascii="Book Antiqua" w:hAnsi="Book Antiqua"/>
          <w:kern w:val="2"/>
          <w:sz w:val="24"/>
          <w:szCs w:val="24"/>
        </w:rPr>
        <w:t xml:space="preserve"> 2013; </w:t>
      </w:r>
      <w:r w:rsidRPr="0081216A">
        <w:rPr>
          <w:rFonts w:ascii="Book Antiqua" w:hAnsi="Book Antiqua"/>
          <w:b/>
          <w:kern w:val="2"/>
          <w:sz w:val="24"/>
          <w:szCs w:val="24"/>
        </w:rPr>
        <w:t>38</w:t>
      </w:r>
      <w:r w:rsidRPr="0081216A">
        <w:rPr>
          <w:rFonts w:ascii="Book Antiqua" w:hAnsi="Book Antiqua"/>
          <w:kern w:val="2"/>
          <w:sz w:val="24"/>
          <w:szCs w:val="24"/>
        </w:rPr>
        <w:t>: 303-312 [PMID: 23750991 DOI: 10.1111/apt.12370]</w:t>
      </w:r>
    </w:p>
    <w:p w14:paraId="56868C44"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39 </w:t>
      </w:r>
      <w:r w:rsidRPr="0081216A">
        <w:rPr>
          <w:rFonts w:ascii="Book Antiqua" w:hAnsi="Book Antiqua"/>
          <w:b/>
          <w:kern w:val="2"/>
          <w:sz w:val="24"/>
          <w:szCs w:val="24"/>
        </w:rPr>
        <w:t>Yoon JH</w:t>
      </w:r>
      <w:r w:rsidRPr="0081216A">
        <w:rPr>
          <w:rFonts w:ascii="Book Antiqua" w:hAnsi="Book Antiqua"/>
          <w:kern w:val="2"/>
          <w:sz w:val="24"/>
          <w:szCs w:val="24"/>
        </w:rPr>
        <w:t xml:space="preserve">, Park JW, Lee JM. Noninvasive Diagnosis of Hepatocellular Carcinoma: Elaboration on Korean Liver Cancer Study Group-National Cancer Center Korea Practice Guidelines Compared with Other Guidelines and Remaining Issues. </w:t>
      </w:r>
      <w:r w:rsidRPr="0081216A">
        <w:rPr>
          <w:rFonts w:ascii="Book Antiqua" w:hAnsi="Book Antiqua"/>
          <w:i/>
          <w:kern w:val="2"/>
          <w:sz w:val="24"/>
          <w:szCs w:val="24"/>
        </w:rPr>
        <w:t>Korean J Radiol</w:t>
      </w:r>
      <w:r w:rsidRPr="0081216A">
        <w:rPr>
          <w:rFonts w:ascii="Book Antiqua" w:hAnsi="Book Antiqua"/>
          <w:kern w:val="2"/>
          <w:sz w:val="24"/>
          <w:szCs w:val="24"/>
        </w:rPr>
        <w:t xml:space="preserve"> 2016; </w:t>
      </w:r>
      <w:r w:rsidRPr="0081216A">
        <w:rPr>
          <w:rFonts w:ascii="Book Antiqua" w:hAnsi="Book Antiqua"/>
          <w:b/>
          <w:kern w:val="2"/>
          <w:sz w:val="24"/>
          <w:szCs w:val="24"/>
        </w:rPr>
        <w:t>17</w:t>
      </w:r>
      <w:r w:rsidRPr="0081216A">
        <w:rPr>
          <w:rFonts w:ascii="Book Antiqua" w:hAnsi="Book Antiqua"/>
          <w:kern w:val="2"/>
          <w:sz w:val="24"/>
          <w:szCs w:val="24"/>
        </w:rPr>
        <w:t>: 7-24 [PMID: 26798212 DOI: 10.3348/kjr.2016.17.1.7]</w:t>
      </w:r>
    </w:p>
    <w:p w14:paraId="02BFE3A0"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40 </w:t>
      </w:r>
      <w:r w:rsidRPr="0081216A">
        <w:rPr>
          <w:rFonts w:ascii="Book Antiqua" w:hAnsi="Book Antiqua"/>
          <w:b/>
          <w:kern w:val="2"/>
          <w:sz w:val="24"/>
          <w:szCs w:val="24"/>
        </w:rPr>
        <w:t>Claudon M</w:t>
      </w:r>
      <w:r w:rsidRPr="0081216A">
        <w:rPr>
          <w:rFonts w:ascii="Book Antiqua" w:hAnsi="Book Antiqua"/>
          <w:kern w:val="2"/>
          <w:sz w:val="24"/>
          <w:szCs w:val="24"/>
        </w:rPr>
        <w:t xml:space="preserve">, Dietrich CF, Choi BI, Cosgrove DO, Kudo M, Nolsøe CP, Piscaglia F, Wilson SR, Barr RG, Chammas MC, Chaubal NG, Chen MH, Clevert DA, Correas JM, Ding H, Forsberg F, Fowlkes JB, Gibson RN, Goldberg BB, Lassau N, Leen EL, Mattrey RF, Moriyasu F, Solbiati L, Weskott HP, Xu HX; World Federation for Ultrasound in Medicine; European Federation of Societies for Ultrasound. Guidelines and good clinical practice recommendations for Contrast Enhanced Ultrasound (CEUS) in the liver - update 2012: A WFUMB-EFSUMB initiative in cooperation with representatives of AFSUMB, AIUM, ASUM, FLAUS and ICUS. </w:t>
      </w:r>
      <w:r w:rsidRPr="0081216A">
        <w:rPr>
          <w:rFonts w:ascii="Book Antiqua" w:hAnsi="Book Antiqua"/>
          <w:i/>
          <w:kern w:val="2"/>
          <w:sz w:val="24"/>
          <w:szCs w:val="24"/>
        </w:rPr>
        <w:t>Ultrasound Med Biol</w:t>
      </w:r>
      <w:r w:rsidRPr="0081216A">
        <w:rPr>
          <w:rFonts w:ascii="Book Antiqua" w:hAnsi="Book Antiqua"/>
          <w:kern w:val="2"/>
          <w:sz w:val="24"/>
          <w:szCs w:val="24"/>
        </w:rPr>
        <w:t xml:space="preserve"> 2013; </w:t>
      </w:r>
      <w:r w:rsidRPr="0081216A">
        <w:rPr>
          <w:rFonts w:ascii="Book Antiqua" w:hAnsi="Book Antiqua"/>
          <w:b/>
          <w:kern w:val="2"/>
          <w:sz w:val="24"/>
          <w:szCs w:val="24"/>
        </w:rPr>
        <w:t>39</w:t>
      </w:r>
      <w:r w:rsidRPr="0081216A">
        <w:rPr>
          <w:rFonts w:ascii="Book Antiqua" w:hAnsi="Book Antiqua"/>
          <w:kern w:val="2"/>
          <w:sz w:val="24"/>
          <w:szCs w:val="24"/>
        </w:rPr>
        <w:t>: 187-210 [PMID: 23137926 DOI: 10.1016/j.ultrasmedbio.2012.09.002]</w:t>
      </w:r>
    </w:p>
    <w:p w14:paraId="168C1937"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41 </w:t>
      </w:r>
      <w:r w:rsidRPr="0081216A">
        <w:rPr>
          <w:rFonts w:ascii="Book Antiqua" w:hAnsi="Book Antiqua"/>
          <w:b/>
          <w:kern w:val="2"/>
          <w:sz w:val="24"/>
          <w:szCs w:val="24"/>
        </w:rPr>
        <w:t>D'Onofrio M</w:t>
      </w:r>
      <w:r w:rsidRPr="0081216A">
        <w:rPr>
          <w:rFonts w:ascii="Book Antiqua" w:hAnsi="Book Antiqua"/>
          <w:kern w:val="2"/>
          <w:sz w:val="24"/>
          <w:szCs w:val="24"/>
        </w:rPr>
        <w:t xml:space="preserve">, Crosara S, De Robertis R, Canestrini S, Mucelli RP. Contrast-Enhanced Ultrasound of Focal Liver Lesions. </w:t>
      </w:r>
      <w:r w:rsidRPr="0081216A">
        <w:rPr>
          <w:rFonts w:ascii="Book Antiqua" w:hAnsi="Book Antiqua"/>
          <w:i/>
          <w:kern w:val="2"/>
          <w:sz w:val="24"/>
          <w:szCs w:val="24"/>
        </w:rPr>
        <w:t>AJR Am J Roentgenol</w:t>
      </w:r>
      <w:r w:rsidRPr="0081216A">
        <w:rPr>
          <w:rFonts w:ascii="Book Antiqua" w:hAnsi="Book Antiqua"/>
          <w:kern w:val="2"/>
          <w:sz w:val="24"/>
          <w:szCs w:val="24"/>
        </w:rPr>
        <w:t xml:space="preserve"> 2015; </w:t>
      </w:r>
      <w:r w:rsidRPr="0081216A">
        <w:rPr>
          <w:rFonts w:ascii="Book Antiqua" w:hAnsi="Book Antiqua"/>
          <w:b/>
          <w:kern w:val="2"/>
          <w:sz w:val="24"/>
          <w:szCs w:val="24"/>
        </w:rPr>
        <w:t>205</w:t>
      </w:r>
      <w:r w:rsidRPr="0081216A">
        <w:rPr>
          <w:rFonts w:ascii="Book Antiqua" w:hAnsi="Book Antiqua"/>
          <w:kern w:val="2"/>
          <w:sz w:val="24"/>
          <w:szCs w:val="24"/>
        </w:rPr>
        <w:t>: W56-W66 [PMID: 26102419 DOI: 10.2214/AJR.14.14203]</w:t>
      </w:r>
    </w:p>
    <w:p w14:paraId="17B00D48"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42 </w:t>
      </w:r>
      <w:r w:rsidRPr="0081216A">
        <w:rPr>
          <w:rFonts w:ascii="Book Antiqua" w:hAnsi="Book Antiqua"/>
          <w:b/>
          <w:kern w:val="2"/>
          <w:sz w:val="24"/>
          <w:szCs w:val="24"/>
        </w:rPr>
        <w:t>Kim TK</w:t>
      </w:r>
      <w:r w:rsidRPr="0081216A">
        <w:rPr>
          <w:rFonts w:ascii="Book Antiqua" w:hAnsi="Book Antiqua"/>
          <w:kern w:val="2"/>
          <w:sz w:val="24"/>
          <w:szCs w:val="24"/>
        </w:rPr>
        <w:t xml:space="preserve">, Jang HJ. Contrast-enhanced ultrasound in the diagnosis of nodules in liver cirrhosis. </w:t>
      </w:r>
      <w:r w:rsidRPr="0081216A">
        <w:rPr>
          <w:rFonts w:ascii="Book Antiqua" w:hAnsi="Book Antiqua"/>
          <w:i/>
          <w:kern w:val="2"/>
          <w:sz w:val="24"/>
          <w:szCs w:val="24"/>
        </w:rPr>
        <w:t>World J Gastroenterol</w:t>
      </w:r>
      <w:r w:rsidRPr="0081216A">
        <w:rPr>
          <w:rFonts w:ascii="Book Antiqua" w:hAnsi="Book Antiqua"/>
          <w:kern w:val="2"/>
          <w:sz w:val="24"/>
          <w:szCs w:val="24"/>
        </w:rPr>
        <w:t xml:space="preserve"> 2014; </w:t>
      </w:r>
      <w:r w:rsidRPr="0081216A">
        <w:rPr>
          <w:rFonts w:ascii="Book Antiqua" w:hAnsi="Book Antiqua"/>
          <w:b/>
          <w:kern w:val="2"/>
          <w:sz w:val="24"/>
          <w:szCs w:val="24"/>
        </w:rPr>
        <w:t>20</w:t>
      </w:r>
      <w:r w:rsidRPr="0081216A">
        <w:rPr>
          <w:rFonts w:ascii="Book Antiqua" w:hAnsi="Book Antiqua"/>
          <w:kern w:val="2"/>
          <w:sz w:val="24"/>
          <w:szCs w:val="24"/>
        </w:rPr>
        <w:t>: 3590-3596 [PMID: 24707142 DOI: 10.3748/wjg.v20.i13.3590]</w:t>
      </w:r>
    </w:p>
    <w:p w14:paraId="57FA3369"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43 </w:t>
      </w:r>
      <w:r w:rsidRPr="0081216A">
        <w:rPr>
          <w:rFonts w:ascii="Book Antiqua" w:hAnsi="Book Antiqua"/>
          <w:b/>
          <w:kern w:val="2"/>
          <w:sz w:val="24"/>
          <w:szCs w:val="24"/>
        </w:rPr>
        <w:t>Kudo M</w:t>
      </w:r>
      <w:r w:rsidRPr="0081216A">
        <w:rPr>
          <w:rFonts w:ascii="Book Antiqua" w:hAnsi="Book Antiqua"/>
          <w:kern w:val="2"/>
          <w:sz w:val="24"/>
          <w:szCs w:val="24"/>
        </w:rPr>
        <w:t xml:space="preserve">. Defect Reperfusion Imaging with Sonazoid®: A Breakthrough in Hepatocellular Carcinoma. </w:t>
      </w:r>
      <w:r w:rsidRPr="0081216A">
        <w:rPr>
          <w:rFonts w:ascii="Book Antiqua" w:hAnsi="Book Antiqua"/>
          <w:i/>
          <w:kern w:val="2"/>
          <w:sz w:val="24"/>
          <w:szCs w:val="24"/>
        </w:rPr>
        <w:t>Liver Cancer</w:t>
      </w:r>
      <w:r w:rsidRPr="0081216A">
        <w:rPr>
          <w:rFonts w:ascii="Book Antiqua" w:hAnsi="Book Antiqua"/>
          <w:kern w:val="2"/>
          <w:sz w:val="24"/>
          <w:szCs w:val="24"/>
        </w:rPr>
        <w:t xml:space="preserve"> 2016; </w:t>
      </w:r>
      <w:r w:rsidRPr="0081216A">
        <w:rPr>
          <w:rFonts w:ascii="Book Antiqua" w:hAnsi="Book Antiqua"/>
          <w:b/>
          <w:kern w:val="2"/>
          <w:sz w:val="24"/>
          <w:szCs w:val="24"/>
        </w:rPr>
        <w:t>5</w:t>
      </w:r>
      <w:r w:rsidRPr="0081216A">
        <w:rPr>
          <w:rFonts w:ascii="Book Antiqua" w:hAnsi="Book Antiqua"/>
          <w:kern w:val="2"/>
          <w:sz w:val="24"/>
          <w:szCs w:val="24"/>
        </w:rPr>
        <w:t>: 1-7 [PMID: 26989655 DOI: 10.1159/000367760]</w:t>
      </w:r>
    </w:p>
    <w:p w14:paraId="34931C16"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44 </w:t>
      </w:r>
      <w:r w:rsidRPr="0081216A">
        <w:rPr>
          <w:rFonts w:ascii="Book Antiqua" w:hAnsi="Book Antiqua"/>
          <w:b/>
          <w:kern w:val="2"/>
          <w:sz w:val="24"/>
          <w:szCs w:val="24"/>
        </w:rPr>
        <w:t>Trillaud H</w:t>
      </w:r>
      <w:r w:rsidRPr="0081216A">
        <w:rPr>
          <w:rFonts w:ascii="Book Antiqua" w:hAnsi="Book Antiqua"/>
          <w:kern w:val="2"/>
          <w:sz w:val="24"/>
          <w:szCs w:val="24"/>
        </w:rPr>
        <w:t xml:space="preserve">, Bruel JM, Valette PJ, Vilgrain V, Schmutz G, Oyen R, Jakubowski W, Danes J, Valek V, Greis C. Characterization of focal liver lesions </w:t>
      </w:r>
      <w:r w:rsidRPr="0081216A">
        <w:rPr>
          <w:rFonts w:ascii="Book Antiqua" w:hAnsi="Book Antiqua"/>
          <w:kern w:val="2"/>
          <w:sz w:val="24"/>
          <w:szCs w:val="24"/>
        </w:rPr>
        <w:lastRenderedPageBreak/>
        <w:t xml:space="preserve">with SonoVue-enhanced sonography: international multicenter-study in comparison to CT and MRI. </w:t>
      </w:r>
      <w:r w:rsidRPr="0081216A">
        <w:rPr>
          <w:rFonts w:ascii="Book Antiqua" w:hAnsi="Book Antiqua"/>
          <w:i/>
          <w:kern w:val="2"/>
          <w:sz w:val="24"/>
          <w:szCs w:val="24"/>
        </w:rPr>
        <w:t>World J Gastroenterol</w:t>
      </w:r>
      <w:r w:rsidRPr="0081216A">
        <w:rPr>
          <w:rFonts w:ascii="Book Antiqua" w:hAnsi="Book Antiqua"/>
          <w:kern w:val="2"/>
          <w:sz w:val="24"/>
          <w:szCs w:val="24"/>
        </w:rPr>
        <w:t xml:space="preserve"> 2009; </w:t>
      </w:r>
      <w:r w:rsidRPr="0081216A">
        <w:rPr>
          <w:rFonts w:ascii="Book Antiqua" w:hAnsi="Book Antiqua"/>
          <w:b/>
          <w:kern w:val="2"/>
          <w:sz w:val="24"/>
          <w:szCs w:val="24"/>
        </w:rPr>
        <w:t>15</w:t>
      </w:r>
      <w:r w:rsidRPr="0081216A">
        <w:rPr>
          <w:rFonts w:ascii="Book Antiqua" w:hAnsi="Book Antiqua"/>
          <w:kern w:val="2"/>
          <w:sz w:val="24"/>
          <w:szCs w:val="24"/>
        </w:rPr>
        <w:t>: 3748-3756 [PMID: 19673015]</w:t>
      </w:r>
    </w:p>
    <w:p w14:paraId="0AA942C6"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45 </w:t>
      </w:r>
      <w:r w:rsidRPr="0081216A">
        <w:rPr>
          <w:rFonts w:ascii="Book Antiqua" w:hAnsi="Book Antiqua"/>
          <w:b/>
          <w:kern w:val="2"/>
          <w:sz w:val="24"/>
          <w:szCs w:val="24"/>
        </w:rPr>
        <w:t>Strobel D</w:t>
      </w:r>
      <w:r w:rsidRPr="0081216A">
        <w:rPr>
          <w:rFonts w:ascii="Book Antiqua" w:hAnsi="Book Antiqua"/>
          <w:kern w:val="2"/>
          <w:sz w:val="24"/>
          <w:szCs w:val="24"/>
        </w:rPr>
        <w:t>, Bernatik T, Blank W, Schuler A, Greis C, Dietrich CF, Seitz K. Diagnostic accuracy of CEUS in the differential diagnosis of small (≤</w:t>
      </w:r>
      <w:r w:rsidRPr="0081216A">
        <w:rPr>
          <w:rFonts w:ascii="Cambria Math" w:hAnsi="Cambria Math" w:cs="Cambria Math"/>
          <w:kern w:val="2"/>
          <w:sz w:val="24"/>
          <w:szCs w:val="24"/>
        </w:rPr>
        <w:t> </w:t>
      </w:r>
      <w:r w:rsidRPr="0081216A">
        <w:rPr>
          <w:rFonts w:ascii="Book Antiqua" w:hAnsi="Book Antiqua"/>
          <w:kern w:val="2"/>
          <w:sz w:val="24"/>
          <w:szCs w:val="24"/>
        </w:rPr>
        <w:t xml:space="preserve">20 </w:t>
      </w:r>
      <w:r w:rsidRPr="0081216A">
        <w:rPr>
          <w:rFonts w:ascii="Cambria Math" w:hAnsi="Cambria Math" w:cs="Cambria Math"/>
          <w:kern w:val="2"/>
          <w:sz w:val="24"/>
          <w:szCs w:val="24"/>
        </w:rPr>
        <w:t> </w:t>
      </w:r>
      <w:r w:rsidRPr="0081216A">
        <w:rPr>
          <w:rFonts w:ascii="Book Antiqua" w:hAnsi="Book Antiqua"/>
          <w:kern w:val="2"/>
          <w:sz w:val="24"/>
          <w:szCs w:val="24"/>
        </w:rPr>
        <w:t>mm) and subcentimetric (</w:t>
      </w:r>
      <w:r w:rsidRPr="0081216A">
        <w:rPr>
          <w:rFonts w:ascii="Book Antiqua" w:hAnsi="Book Antiqua" w:cs="Book Antiqua"/>
          <w:kern w:val="2"/>
          <w:sz w:val="24"/>
          <w:szCs w:val="24"/>
        </w:rPr>
        <w:t>≤</w:t>
      </w:r>
      <w:r w:rsidRPr="0081216A">
        <w:rPr>
          <w:rFonts w:ascii="Cambria Math" w:hAnsi="Cambria Math" w:cs="Cambria Math"/>
          <w:kern w:val="2"/>
          <w:sz w:val="24"/>
          <w:szCs w:val="24"/>
        </w:rPr>
        <w:t> </w:t>
      </w:r>
      <w:r w:rsidRPr="0081216A">
        <w:rPr>
          <w:rFonts w:ascii="Book Antiqua" w:hAnsi="Book Antiqua"/>
          <w:kern w:val="2"/>
          <w:sz w:val="24"/>
          <w:szCs w:val="24"/>
        </w:rPr>
        <w:t>10</w:t>
      </w:r>
      <w:r w:rsidRPr="0081216A">
        <w:rPr>
          <w:rFonts w:ascii="Cambria Math" w:hAnsi="Cambria Math" w:cs="Cambria Math"/>
          <w:kern w:val="2"/>
          <w:sz w:val="24"/>
          <w:szCs w:val="24"/>
        </w:rPr>
        <w:t> </w:t>
      </w:r>
      <w:r w:rsidRPr="0081216A">
        <w:rPr>
          <w:rFonts w:ascii="Book Antiqua" w:hAnsi="Book Antiqua"/>
          <w:kern w:val="2"/>
          <w:sz w:val="24"/>
          <w:szCs w:val="24"/>
        </w:rPr>
        <w:t xml:space="preserve"> mm) focal liver lesions in comparison with histology. Results of the DEGUM multicenter trial. </w:t>
      </w:r>
      <w:r w:rsidRPr="0081216A">
        <w:rPr>
          <w:rFonts w:ascii="Book Antiqua" w:hAnsi="Book Antiqua"/>
          <w:i/>
          <w:kern w:val="2"/>
          <w:sz w:val="24"/>
          <w:szCs w:val="24"/>
        </w:rPr>
        <w:t>Ultraschall Med</w:t>
      </w:r>
      <w:r w:rsidRPr="0081216A">
        <w:rPr>
          <w:rFonts w:ascii="Book Antiqua" w:hAnsi="Book Antiqua"/>
          <w:kern w:val="2"/>
          <w:sz w:val="24"/>
          <w:szCs w:val="24"/>
        </w:rPr>
        <w:t xml:space="preserve"> 2011; </w:t>
      </w:r>
      <w:r w:rsidRPr="0081216A">
        <w:rPr>
          <w:rFonts w:ascii="Book Antiqua" w:hAnsi="Book Antiqua"/>
          <w:b/>
          <w:kern w:val="2"/>
          <w:sz w:val="24"/>
          <w:szCs w:val="24"/>
        </w:rPr>
        <w:t>32</w:t>
      </w:r>
      <w:r w:rsidRPr="0081216A">
        <w:rPr>
          <w:rFonts w:ascii="Book Antiqua" w:hAnsi="Book Antiqua"/>
          <w:kern w:val="2"/>
          <w:sz w:val="24"/>
          <w:szCs w:val="24"/>
        </w:rPr>
        <w:t>: 593-597 [PMID: 22161556 DOI: 10.1055/s-0031-1271114]</w:t>
      </w:r>
    </w:p>
    <w:p w14:paraId="1A73640C"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46 </w:t>
      </w:r>
      <w:r w:rsidRPr="0081216A">
        <w:rPr>
          <w:rFonts w:ascii="Book Antiqua" w:hAnsi="Book Antiqua"/>
          <w:b/>
          <w:kern w:val="2"/>
          <w:sz w:val="24"/>
          <w:szCs w:val="24"/>
        </w:rPr>
        <w:t>Sporea I</w:t>
      </w:r>
      <w:r w:rsidRPr="0081216A">
        <w:rPr>
          <w:rFonts w:ascii="Book Antiqua" w:hAnsi="Book Antiqua"/>
          <w:kern w:val="2"/>
          <w:sz w:val="24"/>
          <w:szCs w:val="24"/>
        </w:rPr>
        <w:t xml:space="preserve">, Badea R, Popescu A, Spârchez Z, Sirli RL, Dănilă M, Săndulescu L, Bota S, Calescu DP, Nedelcu D, Brisc C, Ciobâca L, Gheorghe L, Socaciu M, Martie A, Ioaniţescu S, Tamas A, Streba CT, Iordache M, Simionov I, Jinga M, Anghel A, Cijevschi Prelipcean C, Mihai C, Stanciu SM, Stoicescu D, Dumitru E, Pietrareanu C, Bartos D, Manzat Saplacan R, Pârvulescu I, Vădan R, Smira G, Tuţă L, Săftoiu A. Contrast-enhanced ultrasound (CEUS) for the evaluation of focal liver lesions - a prospective multicenter study of its usefulness in clinical practice. </w:t>
      </w:r>
      <w:r w:rsidRPr="0081216A">
        <w:rPr>
          <w:rFonts w:ascii="Book Antiqua" w:hAnsi="Book Antiqua"/>
          <w:i/>
          <w:kern w:val="2"/>
          <w:sz w:val="24"/>
          <w:szCs w:val="24"/>
        </w:rPr>
        <w:t>Ultraschall Med</w:t>
      </w:r>
      <w:r w:rsidRPr="0081216A">
        <w:rPr>
          <w:rFonts w:ascii="Book Antiqua" w:hAnsi="Book Antiqua"/>
          <w:kern w:val="2"/>
          <w:sz w:val="24"/>
          <w:szCs w:val="24"/>
        </w:rPr>
        <w:t xml:space="preserve"> 2014; </w:t>
      </w:r>
      <w:r w:rsidRPr="0081216A">
        <w:rPr>
          <w:rFonts w:ascii="Book Antiqua" w:hAnsi="Book Antiqua"/>
          <w:b/>
          <w:kern w:val="2"/>
          <w:sz w:val="24"/>
          <w:szCs w:val="24"/>
        </w:rPr>
        <w:t>35</w:t>
      </w:r>
      <w:r w:rsidRPr="0081216A">
        <w:rPr>
          <w:rFonts w:ascii="Book Antiqua" w:hAnsi="Book Antiqua"/>
          <w:kern w:val="2"/>
          <w:sz w:val="24"/>
          <w:szCs w:val="24"/>
        </w:rPr>
        <w:t>: 259-266 [PMID: 24563420 DOI: 10.1055/s-0033-1355728]</w:t>
      </w:r>
    </w:p>
    <w:p w14:paraId="57D1EA16"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47 </w:t>
      </w:r>
      <w:r w:rsidRPr="0081216A">
        <w:rPr>
          <w:rFonts w:ascii="Book Antiqua" w:hAnsi="Book Antiqua"/>
          <w:b/>
          <w:kern w:val="2"/>
          <w:sz w:val="24"/>
          <w:szCs w:val="24"/>
        </w:rPr>
        <w:t>Ferraioli G</w:t>
      </w:r>
      <w:r w:rsidRPr="0081216A">
        <w:rPr>
          <w:rFonts w:ascii="Book Antiqua" w:hAnsi="Book Antiqua"/>
          <w:kern w:val="2"/>
          <w:sz w:val="24"/>
          <w:szCs w:val="24"/>
        </w:rPr>
        <w:t xml:space="preserve">, Meloni MF. Contrast-enhanced ultrasonography of the liver using SonoVue. </w:t>
      </w:r>
      <w:r w:rsidRPr="0081216A">
        <w:rPr>
          <w:rFonts w:ascii="Book Antiqua" w:hAnsi="Book Antiqua"/>
          <w:i/>
          <w:kern w:val="2"/>
          <w:sz w:val="24"/>
          <w:szCs w:val="24"/>
        </w:rPr>
        <w:t>Ultrasonography</w:t>
      </w:r>
      <w:r w:rsidRPr="0081216A">
        <w:rPr>
          <w:rFonts w:ascii="Book Antiqua" w:hAnsi="Book Antiqua"/>
          <w:kern w:val="2"/>
          <w:sz w:val="24"/>
          <w:szCs w:val="24"/>
        </w:rPr>
        <w:t xml:space="preserve"> 2018; </w:t>
      </w:r>
      <w:r w:rsidRPr="0081216A">
        <w:rPr>
          <w:rFonts w:ascii="Book Antiqua" w:hAnsi="Book Antiqua"/>
          <w:b/>
          <w:kern w:val="2"/>
          <w:sz w:val="24"/>
          <w:szCs w:val="24"/>
        </w:rPr>
        <w:t>37</w:t>
      </w:r>
      <w:r w:rsidRPr="0081216A">
        <w:rPr>
          <w:rFonts w:ascii="Book Antiqua" w:hAnsi="Book Antiqua"/>
          <w:kern w:val="2"/>
          <w:sz w:val="24"/>
          <w:szCs w:val="24"/>
        </w:rPr>
        <w:t>: 25-35 [PMID: 28830058 DOI: 10.14366/usg.17037]</w:t>
      </w:r>
    </w:p>
    <w:p w14:paraId="2B0E4401"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48 </w:t>
      </w:r>
      <w:r w:rsidRPr="0081216A">
        <w:rPr>
          <w:rFonts w:ascii="Book Antiqua" w:hAnsi="Book Antiqua"/>
          <w:b/>
          <w:kern w:val="2"/>
          <w:sz w:val="24"/>
          <w:szCs w:val="24"/>
        </w:rPr>
        <w:t>Di Martino M</w:t>
      </w:r>
      <w:r w:rsidRPr="0081216A">
        <w:rPr>
          <w:rFonts w:ascii="Book Antiqua" w:hAnsi="Book Antiqua"/>
          <w:kern w:val="2"/>
          <w:sz w:val="24"/>
          <w:szCs w:val="24"/>
        </w:rPr>
        <w:t xml:space="preserve">, De Filippis G, De Santis A, Geiger D, Del Monte M, Lombardo CV, Rossi M, Corradini SG, Mennini G, Catalano C. Hepatocellular carcinoma in cirrhotic patients: prospective comparison of US, CT and MR imaging. </w:t>
      </w:r>
      <w:r w:rsidRPr="0081216A">
        <w:rPr>
          <w:rFonts w:ascii="Book Antiqua" w:hAnsi="Book Antiqua"/>
          <w:i/>
          <w:kern w:val="2"/>
          <w:sz w:val="24"/>
          <w:szCs w:val="24"/>
        </w:rPr>
        <w:t>Eur Radiol</w:t>
      </w:r>
      <w:r w:rsidRPr="0081216A">
        <w:rPr>
          <w:rFonts w:ascii="Book Antiqua" w:hAnsi="Book Antiqua"/>
          <w:kern w:val="2"/>
          <w:sz w:val="24"/>
          <w:szCs w:val="24"/>
        </w:rPr>
        <w:t xml:space="preserve"> 2013; </w:t>
      </w:r>
      <w:r w:rsidRPr="0081216A">
        <w:rPr>
          <w:rFonts w:ascii="Book Antiqua" w:hAnsi="Book Antiqua"/>
          <w:b/>
          <w:kern w:val="2"/>
          <w:sz w:val="24"/>
          <w:szCs w:val="24"/>
        </w:rPr>
        <w:t>23</w:t>
      </w:r>
      <w:r w:rsidRPr="0081216A">
        <w:rPr>
          <w:rFonts w:ascii="Book Antiqua" w:hAnsi="Book Antiqua"/>
          <w:kern w:val="2"/>
          <w:sz w:val="24"/>
          <w:szCs w:val="24"/>
        </w:rPr>
        <w:t>: 887-896 [PMID: 23179521 DOI: 10.1007/s00330-012-2691-z]</w:t>
      </w:r>
    </w:p>
    <w:p w14:paraId="5D53B76C"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49 </w:t>
      </w:r>
      <w:r w:rsidRPr="0081216A">
        <w:rPr>
          <w:rFonts w:ascii="Book Antiqua" w:hAnsi="Book Antiqua"/>
          <w:b/>
          <w:kern w:val="2"/>
          <w:sz w:val="24"/>
          <w:szCs w:val="24"/>
        </w:rPr>
        <w:t>Lee YJ</w:t>
      </w:r>
      <w:r w:rsidRPr="0081216A">
        <w:rPr>
          <w:rFonts w:ascii="Book Antiqua" w:hAnsi="Book Antiqua"/>
          <w:kern w:val="2"/>
          <w:sz w:val="24"/>
          <w:szCs w:val="24"/>
        </w:rPr>
        <w:t xml:space="preserve">, Lee JM, Lee JS, Lee HY, Park BH, Kim YH, Han JK, Choi BI. Hepatocellular carcinoma: diagnostic performance of multidetector CT and MR imaging-a systematic review and meta-analysis. </w:t>
      </w:r>
      <w:r w:rsidRPr="0081216A">
        <w:rPr>
          <w:rFonts w:ascii="Book Antiqua" w:hAnsi="Book Antiqua"/>
          <w:i/>
          <w:kern w:val="2"/>
          <w:sz w:val="24"/>
          <w:szCs w:val="24"/>
        </w:rPr>
        <w:t>Radiology</w:t>
      </w:r>
      <w:r w:rsidRPr="0081216A">
        <w:rPr>
          <w:rFonts w:ascii="Book Antiqua" w:hAnsi="Book Antiqua"/>
          <w:kern w:val="2"/>
          <w:sz w:val="24"/>
          <w:szCs w:val="24"/>
        </w:rPr>
        <w:t xml:space="preserve"> 2015; </w:t>
      </w:r>
      <w:r w:rsidRPr="0081216A">
        <w:rPr>
          <w:rFonts w:ascii="Book Antiqua" w:hAnsi="Book Antiqua"/>
          <w:b/>
          <w:kern w:val="2"/>
          <w:sz w:val="24"/>
          <w:szCs w:val="24"/>
        </w:rPr>
        <w:t>275</w:t>
      </w:r>
      <w:r w:rsidRPr="0081216A">
        <w:rPr>
          <w:rFonts w:ascii="Book Antiqua" w:hAnsi="Book Antiqua"/>
          <w:kern w:val="2"/>
          <w:sz w:val="24"/>
          <w:szCs w:val="24"/>
        </w:rPr>
        <w:t>: 97-109 [PMID: 25559230 DOI: 10.1148/radiol.14140690]</w:t>
      </w:r>
    </w:p>
    <w:p w14:paraId="6FB09B00"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50 </w:t>
      </w:r>
      <w:r w:rsidRPr="0081216A">
        <w:rPr>
          <w:rFonts w:ascii="Book Antiqua" w:hAnsi="Book Antiqua"/>
          <w:b/>
          <w:kern w:val="2"/>
          <w:sz w:val="24"/>
          <w:szCs w:val="24"/>
        </w:rPr>
        <w:t>Roberts LR</w:t>
      </w:r>
      <w:r w:rsidRPr="0081216A">
        <w:rPr>
          <w:rFonts w:ascii="Book Antiqua" w:hAnsi="Book Antiqua"/>
          <w:kern w:val="2"/>
          <w:sz w:val="24"/>
          <w:szCs w:val="24"/>
        </w:rPr>
        <w:t xml:space="preserve">, Sirlin CB, Zaiem F, Almasri J, Prokop LJ, Heimbach JK, Murad MH, Mohammed K. Imaging for the diagnosis of hepatocellular carcinoma: A </w:t>
      </w:r>
      <w:r w:rsidRPr="0081216A">
        <w:rPr>
          <w:rFonts w:ascii="Book Antiqua" w:hAnsi="Book Antiqua"/>
          <w:kern w:val="2"/>
          <w:sz w:val="24"/>
          <w:szCs w:val="24"/>
        </w:rPr>
        <w:lastRenderedPageBreak/>
        <w:t xml:space="preserve">systematic review and meta-analysis. </w:t>
      </w:r>
      <w:r w:rsidRPr="0081216A">
        <w:rPr>
          <w:rFonts w:ascii="Book Antiqua" w:hAnsi="Book Antiqua"/>
          <w:i/>
          <w:kern w:val="2"/>
          <w:sz w:val="24"/>
          <w:szCs w:val="24"/>
        </w:rPr>
        <w:t>Hepatology</w:t>
      </w:r>
      <w:r w:rsidRPr="0081216A">
        <w:rPr>
          <w:rFonts w:ascii="Book Antiqua" w:hAnsi="Book Antiqua"/>
          <w:kern w:val="2"/>
          <w:sz w:val="24"/>
          <w:szCs w:val="24"/>
        </w:rPr>
        <w:t xml:space="preserve"> 2018; </w:t>
      </w:r>
      <w:r w:rsidRPr="0081216A">
        <w:rPr>
          <w:rFonts w:ascii="Book Antiqua" w:hAnsi="Book Antiqua"/>
          <w:b/>
          <w:kern w:val="2"/>
          <w:sz w:val="24"/>
          <w:szCs w:val="24"/>
        </w:rPr>
        <w:t>67</w:t>
      </w:r>
      <w:r w:rsidRPr="0081216A">
        <w:rPr>
          <w:rFonts w:ascii="Book Antiqua" w:hAnsi="Book Antiqua"/>
          <w:kern w:val="2"/>
          <w:sz w:val="24"/>
          <w:szCs w:val="24"/>
        </w:rPr>
        <w:t>: 401-421 [PMID: 28859233 DOI: 10.1002/hep.29487]</w:t>
      </w:r>
    </w:p>
    <w:p w14:paraId="65373700"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51 </w:t>
      </w:r>
      <w:r w:rsidRPr="0081216A">
        <w:rPr>
          <w:rFonts w:ascii="Book Antiqua" w:hAnsi="Book Antiqua"/>
          <w:b/>
          <w:kern w:val="2"/>
          <w:sz w:val="24"/>
          <w:szCs w:val="24"/>
        </w:rPr>
        <w:t>Kierans AS</w:t>
      </w:r>
      <w:r w:rsidRPr="0081216A">
        <w:rPr>
          <w:rFonts w:ascii="Book Antiqua" w:hAnsi="Book Antiqua"/>
          <w:kern w:val="2"/>
          <w:sz w:val="24"/>
          <w:szCs w:val="24"/>
        </w:rPr>
        <w:t xml:space="preserve">, Kang SK, Rosenkrantz AB. The Diagnostic Performance of Dynamic Contrast-enhanced MR Imaging for Detection of Small Hepatocellular Carcinoma Measuring Up to 2 cm: A Meta-Analysis. </w:t>
      </w:r>
      <w:r w:rsidRPr="0081216A">
        <w:rPr>
          <w:rFonts w:ascii="Book Antiqua" w:hAnsi="Book Antiqua"/>
          <w:i/>
          <w:kern w:val="2"/>
          <w:sz w:val="24"/>
          <w:szCs w:val="24"/>
        </w:rPr>
        <w:t>Radiology</w:t>
      </w:r>
      <w:r w:rsidRPr="0081216A">
        <w:rPr>
          <w:rFonts w:ascii="Book Antiqua" w:hAnsi="Book Antiqua"/>
          <w:kern w:val="2"/>
          <w:sz w:val="24"/>
          <w:szCs w:val="24"/>
        </w:rPr>
        <w:t xml:space="preserve"> 2016; </w:t>
      </w:r>
      <w:r w:rsidRPr="0081216A">
        <w:rPr>
          <w:rFonts w:ascii="Book Antiqua" w:hAnsi="Book Antiqua"/>
          <w:b/>
          <w:kern w:val="2"/>
          <w:sz w:val="24"/>
          <w:szCs w:val="24"/>
        </w:rPr>
        <w:t>278</w:t>
      </w:r>
      <w:r w:rsidRPr="0081216A">
        <w:rPr>
          <w:rFonts w:ascii="Book Antiqua" w:hAnsi="Book Antiqua"/>
          <w:kern w:val="2"/>
          <w:sz w:val="24"/>
          <w:szCs w:val="24"/>
        </w:rPr>
        <w:t>: 82-94 [PMID: 26098460 DOI: 10.1148/radiol.2015150177]</w:t>
      </w:r>
    </w:p>
    <w:p w14:paraId="1245D956"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52 </w:t>
      </w:r>
      <w:r w:rsidRPr="0081216A">
        <w:rPr>
          <w:rFonts w:ascii="Book Antiqua" w:hAnsi="Book Antiqua"/>
          <w:b/>
          <w:kern w:val="2"/>
          <w:sz w:val="24"/>
          <w:szCs w:val="24"/>
        </w:rPr>
        <w:t>Kele PG</w:t>
      </w:r>
      <w:r w:rsidRPr="0081216A">
        <w:rPr>
          <w:rFonts w:ascii="Book Antiqua" w:hAnsi="Book Antiqua"/>
          <w:kern w:val="2"/>
          <w:sz w:val="24"/>
          <w:szCs w:val="24"/>
        </w:rPr>
        <w:t xml:space="preserve">, van der Jagt EJ. Diffusion weighted imaging in the liver. </w:t>
      </w:r>
      <w:r w:rsidRPr="0081216A">
        <w:rPr>
          <w:rFonts w:ascii="Book Antiqua" w:hAnsi="Book Antiqua"/>
          <w:i/>
          <w:kern w:val="2"/>
          <w:sz w:val="24"/>
          <w:szCs w:val="24"/>
        </w:rPr>
        <w:t>World J Gastroenterol</w:t>
      </w:r>
      <w:r w:rsidRPr="0081216A">
        <w:rPr>
          <w:rFonts w:ascii="Book Antiqua" w:hAnsi="Book Antiqua"/>
          <w:kern w:val="2"/>
          <w:sz w:val="24"/>
          <w:szCs w:val="24"/>
        </w:rPr>
        <w:t xml:space="preserve"> 2010; </w:t>
      </w:r>
      <w:r w:rsidRPr="0081216A">
        <w:rPr>
          <w:rFonts w:ascii="Book Antiqua" w:hAnsi="Book Antiqua"/>
          <w:b/>
          <w:kern w:val="2"/>
          <w:sz w:val="24"/>
          <w:szCs w:val="24"/>
        </w:rPr>
        <w:t>16</w:t>
      </w:r>
      <w:r w:rsidRPr="0081216A">
        <w:rPr>
          <w:rFonts w:ascii="Book Antiqua" w:hAnsi="Book Antiqua"/>
          <w:kern w:val="2"/>
          <w:sz w:val="24"/>
          <w:szCs w:val="24"/>
        </w:rPr>
        <w:t>: 1567-1576 [PMID: 20355235]</w:t>
      </w:r>
    </w:p>
    <w:p w14:paraId="1CAF8605"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53 </w:t>
      </w:r>
      <w:r w:rsidRPr="0081216A">
        <w:rPr>
          <w:rFonts w:ascii="Book Antiqua" w:hAnsi="Book Antiqua"/>
          <w:b/>
          <w:kern w:val="2"/>
          <w:sz w:val="24"/>
          <w:szCs w:val="24"/>
        </w:rPr>
        <w:t>Iima M</w:t>
      </w:r>
      <w:r w:rsidRPr="0081216A">
        <w:rPr>
          <w:rFonts w:ascii="Book Antiqua" w:hAnsi="Book Antiqua"/>
          <w:kern w:val="2"/>
          <w:sz w:val="24"/>
          <w:szCs w:val="24"/>
        </w:rPr>
        <w:t xml:space="preserve">, Le Bihan D. Clinical Intravoxel Incoherent Motion and Diffusion MR Imaging: Past, Present, and Future. </w:t>
      </w:r>
      <w:r w:rsidRPr="0081216A">
        <w:rPr>
          <w:rFonts w:ascii="Book Antiqua" w:hAnsi="Book Antiqua"/>
          <w:i/>
          <w:kern w:val="2"/>
          <w:sz w:val="24"/>
          <w:szCs w:val="24"/>
        </w:rPr>
        <w:t>Radiology</w:t>
      </w:r>
      <w:r w:rsidRPr="0081216A">
        <w:rPr>
          <w:rFonts w:ascii="Book Antiqua" w:hAnsi="Book Antiqua"/>
          <w:kern w:val="2"/>
          <w:sz w:val="24"/>
          <w:szCs w:val="24"/>
        </w:rPr>
        <w:t xml:space="preserve"> 2016; </w:t>
      </w:r>
      <w:r w:rsidRPr="0081216A">
        <w:rPr>
          <w:rFonts w:ascii="Book Antiqua" w:hAnsi="Book Antiqua"/>
          <w:b/>
          <w:kern w:val="2"/>
          <w:sz w:val="24"/>
          <w:szCs w:val="24"/>
        </w:rPr>
        <w:t>278</w:t>
      </w:r>
      <w:r w:rsidRPr="0081216A">
        <w:rPr>
          <w:rFonts w:ascii="Book Antiqua" w:hAnsi="Book Antiqua"/>
          <w:kern w:val="2"/>
          <w:sz w:val="24"/>
          <w:szCs w:val="24"/>
        </w:rPr>
        <w:t>: 13-32 [PMID: 26690990 DOI: 10.1148/radiol.2015150244]</w:t>
      </w:r>
    </w:p>
    <w:p w14:paraId="14B53620"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54 </w:t>
      </w:r>
      <w:r w:rsidRPr="0081216A">
        <w:rPr>
          <w:rFonts w:ascii="Book Antiqua" w:hAnsi="Book Antiqua"/>
          <w:b/>
          <w:kern w:val="2"/>
          <w:sz w:val="24"/>
          <w:szCs w:val="24"/>
        </w:rPr>
        <w:t>Park MS</w:t>
      </w:r>
      <w:r w:rsidRPr="0081216A">
        <w:rPr>
          <w:rFonts w:ascii="Book Antiqua" w:hAnsi="Book Antiqua"/>
          <w:kern w:val="2"/>
          <w:sz w:val="24"/>
          <w:szCs w:val="24"/>
        </w:rPr>
        <w:t xml:space="preserve">, Kim S, Patel J, Hajdu CH, Do RK, Mannelli L, Babb JS, Taouli B. Hepatocellular carcinoma: detection with diffusion-weighted versus contrast-enhanced magnetic resonance imaging in pretransplant patients. </w:t>
      </w:r>
      <w:r w:rsidRPr="0081216A">
        <w:rPr>
          <w:rFonts w:ascii="Book Antiqua" w:hAnsi="Book Antiqua"/>
          <w:i/>
          <w:kern w:val="2"/>
          <w:sz w:val="24"/>
          <w:szCs w:val="24"/>
        </w:rPr>
        <w:t>Hepatology</w:t>
      </w:r>
      <w:r w:rsidRPr="0081216A">
        <w:rPr>
          <w:rFonts w:ascii="Book Antiqua" w:hAnsi="Book Antiqua"/>
          <w:kern w:val="2"/>
          <w:sz w:val="24"/>
          <w:szCs w:val="24"/>
        </w:rPr>
        <w:t xml:space="preserve"> 2012; </w:t>
      </w:r>
      <w:r w:rsidRPr="0081216A">
        <w:rPr>
          <w:rFonts w:ascii="Book Antiqua" w:hAnsi="Book Antiqua"/>
          <w:b/>
          <w:kern w:val="2"/>
          <w:sz w:val="24"/>
          <w:szCs w:val="24"/>
        </w:rPr>
        <w:t>56</w:t>
      </w:r>
      <w:r w:rsidRPr="0081216A">
        <w:rPr>
          <w:rFonts w:ascii="Book Antiqua" w:hAnsi="Book Antiqua"/>
          <w:kern w:val="2"/>
          <w:sz w:val="24"/>
          <w:szCs w:val="24"/>
        </w:rPr>
        <w:t>: 140-148 [PMID: 22370974 DOI: 10.1002/hep.25681]</w:t>
      </w:r>
    </w:p>
    <w:p w14:paraId="06EA27F8"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55 </w:t>
      </w:r>
      <w:r w:rsidRPr="0081216A">
        <w:rPr>
          <w:rFonts w:ascii="Book Antiqua" w:hAnsi="Book Antiqua"/>
          <w:b/>
          <w:kern w:val="2"/>
          <w:sz w:val="24"/>
          <w:szCs w:val="24"/>
        </w:rPr>
        <w:t>Park MJ</w:t>
      </w:r>
      <w:r w:rsidRPr="0081216A">
        <w:rPr>
          <w:rFonts w:ascii="Book Antiqua" w:hAnsi="Book Antiqua"/>
          <w:kern w:val="2"/>
          <w:sz w:val="24"/>
          <w:szCs w:val="24"/>
        </w:rPr>
        <w:t xml:space="preserve">, Kim YK, Lee MW, Lee WJ, Kim YS, Kim SH, Choi D, Rhim H. Small hepatocellular carcinomas: improved sensitivity by combining gadoxetic acid-enhanced and diffusion-weighted MR imaging patterns. </w:t>
      </w:r>
      <w:r w:rsidRPr="0081216A">
        <w:rPr>
          <w:rFonts w:ascii="Book Antiqua" w:hAnsi="Book Antiqua"/>
          <w:i/>
          <w:kern w:val="2"/>
          <w:sz w:val="24"/>
          <w:szCs w:val="24"/>
        </w:rPr>
        <w:t>Radiology</w:t>
      </w:r>
      <w:r w:rsidRPr="0081216A">
        <w:rPr>
          <w:rFonts w:ascii="Book Antiqua" w:hAnsi="Book Antiqua"/>
          <w:kern w:val="2"/>
          <w:sz w:val="24"/>
          <w:szCs w:val="24"/>
        </w:rPr>
        <w:t xml:space="preserve"> 2012; </w:t>
      </w:r>
      <w:r w:rsidRPr="0081216A">
        <w:rPr>
          <w:rFonts w:ascii="Book Antiqua" w:hAnsi="Book Antiqua"/>
          <w:b/>
          <w:kern w:val="2"/>
          <w:sz w:val="24"/>
          <w:szCs w:val="24"/>
        </w:rPr>
        <w:t>264</w:t>
      </w:r>
      <w:r w:rsidRPr="0081216A">
        <w:rPr>
          <w:rFonts w:ascii="Book Antiqua" w:hAnsi="Book Antiqua"/>
          <w:kern w:val="2"/>
          <w:sz w:val="24"/>
          <w:szCs w:val="24"/>
        </w:rPr>
        <w:t>: 761-770 [PMID: 22843769 DOI: 10.1148/radiol.12112517]</w:t>
      </w:r>
    </w:p>
    <w:p w14:paraId="600C0D5D"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56 </w:t>
      </w:r>
      <w:r w:rsidRPr="0081216A">
        <w:rPr>
          <w:rFonts w:ascii="Book Antiqua" w:hAnsi="Book Antiqua"/>
          <w:b/>
          <w:kern w:val="2"/>
          <w:sz w:val="24"/>
          <w:szCs w:val="24"/>
        </w:rPr>
        <w:t>Woo S</w:t>
      </w:r>
      <w:r w:rsidRPr="0081216A">
        <w:rPr>
          <w:rFonts w:ascii="Book Antiqua" w:hAnsi="Book Antiqua"/>
          <w:kern w:val="2"/>
          <w:sz w:val="24"/>
          <w:szCs w:val="24"/>
        </w:rPr>
        <w:t xml:space="preserve">, Lee JM, Yoon JH, Joo I, Han JK, Choi BI. Intravoxel incoherent motion diffusion-weighted MR imaging of hepatocellular carcinoma: correlation with enhancement degree and histologic grade. </w:t>
      </w:r>
      <w:r w:rsidRPr="0081216A">
        <w:rPr>
          <w:rFonts w:ascii="Book Antiqua" w:hAnsi="Book Antiqua"/>
          <w:i/>
          <w:kern w:val="2"/>
          <w:sz w:val="24"/>
          <w:szCs w:val="24"/>
        </w:rPr>
        <w:t>Radiology</w:t>
      </w:r>
      <w:r w:rsidRPr="0081216A">
        <w:rPr>
          <w:rFonts w:ascii="Book Antiqua" w:hAnsi="Book Antiqua"/>
          <w:kern w:val="2"/>
          <w:sz w:val="24"/>
          <w:szCs w:val="24"/>
        </w:rPr>
        <w:t xml:space="preserve"> 2014; </w:t>
      </w:r>
      <w:r w:rsidRPr="0081216A">
        <w:rPr>
          <w:rFonts w:ascii="Book Antiqua" w:hAnsi="Book Antiqua"/>
          <w:b/>
          <w:kern w:val="2"/>
          <w:sz w:val="24"/>
          <w:szCs w:val="24"/>
        </w:rPr>
        <w:t>270</w:t>
      </w:r>
      <w:r w:rsidRPr="0081216A">
        <w:rPr>
          <w:rFonts w:ascii="Book Antiqua" w:hAnsi="Book Antiqua"/>
          <w:kern w:val="2"/>
          <w:sz w:val="24"/>
          <w:szCs w:val="24"/>
        </w:rPr>
        <w:t>: 758-767 [PMID: 24475811 DOI: 10.1148/radiol.13130444]</w:t>
      </w:r>
    </w:p>
    <w:p w14:paraId="4969926F"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57 </w:t>
      </w:r>
      <w:r w:rsidRPr="0081216A">
        <w:rPr>
          <w:rFonts w:ascii="Book Antiqua" w:hAnsi="Book Antiqua"/>
          <w:b/>
          <w:kern w:val="2"/>
          <w:sz w:val="24"/>
          <w:szCs w:val="24"/>
        </w:rPr>
        <w:t>Chang WC</w:t>
      </w:r>
      <w:r w:rsidRPr="0081216A">
        <w:rPr>
          <w:rFonts w:ascii="Book Antiqua" w:hAnsi="Book Antiqua"/>
          <w:kern w:val="2"/>
          <w:sz w:val="24"/>
          <w:szCs w:val="24"/>
        </w:rPr>
        <w:t xml:space="preserve">, Chen RC, Chou CT, Lin CY, Yu CY, Liu CH, Chou JM, Hsu HH, Huang GS. Histological grade of hepatocellular carcinoma correlates with arterial enhancement on gadoxetic acid-enhanced and diffusion-weighted MR images. </w:t>
      </w:r>
      <w:r w:rsidRPr="0081216A">
        <w:rPr>
          <w:rFonts w:ascii="Book Antiqua" w:hAnsi="Book Antiqua"/>
          <w:i/>
          <w:kern w:val="2"/>
          <w:sz w:val="24"/>
          <w:szCs w:val="24"/>
        </w:rPr>
        <w:t>Abdom Imaging</w:t>
      </w:r>
      <w:r w:rsidRPr="0081216A">
        <w:rPr>
          <w:rFonts w:ascii="Book Antiqua" w:hAnsi="Book Antiqua"/>
          <w:kern w:val="2"/>
          <w:sz w:val="24"/>
          <w:szCs w:val="24"/>
        </w:rPr>
        <w:t xml:space="preserve"> 2014; </w:t>
      </w:r>
      <w:r w:rsidRPr="0081216A">
        <w:rPr>
          <w:rFonts w:ascii="Book Antiqua" w:hAnsi="Book Antiqua"/>
          <w:b/>
          <w:kern w:val="2"/>
          <w:sz w:val="24"/>
          <w:szCs w:val="24"/>
        </w:rPr>
        <w:t>39</w:t>
      </w:r>
      <w:r w:rsidRPr="0081216A">
        <w:rPr>
          <w:rFonts w:ascii="Book Antiqua" w:hAnsi="Book Antiqua"/>
          <w:kern w:val="2"/>
          <w:sz w:val="24"/>
          <w:szCs w:val="24"/>
        </w:rPr>
        <w:t>: 1202-1212 [PMID: 24869790 DOI: 10.1007/s00261-014-0168-z]</w:t>
      </w:r>
    </w:p>
    <w:p w14:paraId="72238A82"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58 </w:t>
      </w:r>
      <w:r w:rsidRPr="0081216A">
        <w:rPr>
          <w:rFonts w:ascii="Book Antiqua" w:hAnsi="Book Antiqua"/>
          <w:b/>
          <w:kern w:val="2"/>
          <w:sz w:val="24"/>
          <w:szCs w:val="24"/>
        </w:rPr>
        <w:t>Granata V</w:t>
      </w:r>
      <w:r w:rsidRPr="0081216A">
        <w:rPr>
          <w:rFonts w:ascii="Book Antiqua" w:hAnsi="Book Antiqua"/>
          <w:kern w:val="2"/>
          <w:sz w:val="24"/>
          <w:szCs w:val="24"/>
        </w:rPr>
        <w:t>, Fusco R, Catalano O, Guarino B, Granata F, Tatangelo F, Avallone A, Piccirillo M, Palaia R, Izzo F, Petrillo A. Intravoxel incoherent motion (IVIM) in diffusion-weighted imaging (DWI) for Hepatocellular carcino</w:t>
      </w:r>
      <w:r w:rsidRPr="0081216A">
        <w:rPr>
          <w:rFonts w:ascii="Book Antiqua" w:hAnsi="Book Antiqua"/>
          <w:kern w:val="2"/>
          <w:sz w:val="24"/>
          <w:szCs w:val="24"/>
        </w:rPr>
        <w:lastRenderedPageBreak/>
        <w:t xml:space="preserve">ma: correlation with histologic grade. </w:t>
      </w:r>
      <w:r w:rsidRPr="0081216A">
        <w:rPr>
          <w:rFonts w:ascii="Book Antiqua" w:hAnsi="Book Antiqua"/>
          <w:i/>
          <w:kern w:val="2"/>
          <w:sz w:val="24"/>
          <w:szCs w:val="24"/>
        </w:rPr>
        <w:t>Oncotarget</w:t>
      </w:r>
      <w:r w:rsidRPr="0081216A">
        <w:rPr>
          <w:rFonts w:ascii="Book Antiqua" w:hAnsi="Book Antiqua"/>
          <w:kern w:val="2"/>
          <w:sz w:val="24"/>
          <w:szCs w:val="24"/>
        </w:rPr>
        <w:t xml:space="preserve"> 2016; </w:t>
      </w:r>
      <w:r w:rsidRPr="0081216A">
        <w:rPr>
          <w:rFonts w:ascii="Book Antiqua" w:hAnsi="Book Antiqua"/>
          <w:b/>
          <w:kern w:val="2"/>
          <w:sz w:val="24"/>
          <w:szCs w:val="24"/>
        </w:rPr>
        <w:t>7</w:t>
      </w:r>
      <w:r w:rsidRPr="0081216A">
        <w:rPr>
          <w:rFonts w:ascii="Book Antiqua" w:hAnsi="Book Antiqua"/>
          <w:kern w:val="2"/>
          <w:sz w:val="24"/>
          <w:szCs w:val="24"/>
        </w:rPr>
        <w:t>: 79357-79364 [PMID: 27764817 DOI: 10.18632/oncotarget.12689]</w:t>
      </w:r>
    </w:p>
    <w:p w14:paraId="5885836D"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59 </w:t>
      </w:r>
      <w:r w:rsidRPr="0081216A">
        <w:rPr>
          <w:rFonts w:ascii="Book Antiqua" w:hAnsi="Book Antiqua"/>
          <w:b/>
          <w:kern w:val="2"/>
          <w:sz w:val="24"/>
          <w:szCs w:val="24"/>
        </w:rPr>
        <w:t>Le Moigne F</w:t>
      </w:r>
      <w:r w:rsidRPr="0081216A">
        <w:rPr>
          <w:rFonts w:ascii="Book Antiqua" w:hAnsi="Book Antiqua"/>
          <w:kern w:val="2"/>
          <w:sz w:val="24"/>
          <w:szCs w:val="24"/>
        </w:rPr>
        <w:t xml:space="preserve">, Boussel L, Haquin A, Bancel B, Ducerf C, Berthezène Y, Rode A. Grading of small hepatocellular carcinomas (≤2 cm): correlation between histology, T2 and diffusion-weighted imaging. </w:t>
      </w:r>
      <w:r w:rsidRPr="0081216A">
        <w:rPr>
          <w:rFonts w:ascii="Book Antiqua" w:hAnsi="Book Antiqua"/>
          <w:i/>
          <w:kern w:val="2"/>
          <w:sz w:val="24"/>
          <w:szCs w:val="24"/>
        </w:rPr>
        <w:t>Br J Radiol</w:t>
      </w:r>
      <w:r w:rsidRPr="0081216A">
        <w:rPr>
          <w:rFonts w:ascii="Book Antiqua" w:hAnsi="Book Antiqua"/>
          <w:kern w:val="2"/>
          <w:sz w:val="24"/>
          <w:szCs w:val="24"/>
        </w:rPr>
        <w:t xml:space="preserve"> 2014; </w:t>
      </w:r>
      <w:r w:rsidRPr="0081216A">
        <w:rPr>
          <w:rFonts w:ascii="Book Antiqua" w:hAnsi="Book Antiqua"/>
          <w:b/>
          <w:kern w:val="2"/>
          <w:sz w:val="24"/>
          <w:szCs w:val="24"/>
        </w:rPr>
        <w:t>87</w:t>
      </w:r>
      <w:r w:rsidRPr="0081216A">
        <w:rPr>
          <w:rFonts w:ascii="Book Antiqua" w:hAnsi="Book Antiqua"/>
          <w:kern w:val="2"/>
          <w:sz w:val="24"/>
          <w:szCs w:val="24"/>
        </w:rPr>
        <w:t>: 20130763 [PMID: 25007142 DOI: 10.1259/bjr.20130763.]</w:t>
      </w:r>
    </w:p>
    <w:p w14:paraId="150FE383" w14:textId="799608AE"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60 </w:t>
      </w:r>
      <w:r w:rsidRPr="0081216A">
        <w:rPr>
          <w:rFonts w:ascii="Book Antiqua" w:hAnsi="Book Antiqua"/>
          <w:b/>
          <w:kern w:val="2"/>
          <w:sz w:val="24"/>
          <w:szCs w:val="24"/>
        </w:rPr>
        <w:t>McNamara MM</w:t>
      </w:r>
      <w:r w:rsidRPr="0081216A">
        <w:rPr>
          <w:rFonts w:ascii="Book Antiqua" w:hAnsi="Book Antiqua"/>
          <w:kern w:val="2"/>
          <w:sz w:val="24"/>
          <w:szCs w:val="24"/>
        </w:rPr>
        <w:t xml:space="preserve">, Thomas JV, Alexander LF, Little MD, Bolus DN, Li YE, Morgan DE. Diffusion-weighted MRI as a screening tool for hepatocellular carcinoma in cirrhotic livers: correlation with explant data-a pilot study. </w:t>
      </w:r>
      <w:r w:rsidRPr="0081216A">
        <w:rPr>
          <w:rFonts w:ascii="Book Antiqua" w:hAnsi="Book Antiqua"/>
          <w:i/>
          <w:kern w:val="2"/>
          <w:sz w:val="24"/>
          <w:szCs w:val="24"/>
        </w:rPr>
        <w:t xml:space="preserve">Abdom Radiol </w:t>
      </w:r>
      <w:r w:rsidRPr="00F32820">
        <w:rPr>
          <w:rFonts w:ascii="Book Antiqua" w:hAnsi="Book Antiqua"/>
          <w:kern w:val="2"/>
          <w:sz w:val="24"/>
          <w:szCs w:val="24"/>
        </w:rPr>
        <w:t>(NY)</w:t>
      </w:r>
      <w:r w:rsidR="00F32820">
        <w:rPr>
          <w:rFonts w:ascii="Book Antiqua" w:hAnsi="Book Antiqua"/>
          <w:kern w:val="2"/>
          <w:sz w:val="24"/>
          <w:szCs w:val="24"/>
        </w:rPr>
        <w:t xml:space="preserve"> 2018;</w:t>
      </w:r>
      <w:r w:rsidRPr="0081216A">
        <w:rPr>
          <w:rFonts w:ascii="Book Antiqua" w:hAnsi="Book Antiqua"/>
          <w:kern w:val="2"/>
          <w:sz w:val="24"/>
          <w:szCs w:val="24"/>
        </w:rPr>
        <w:t xml:space="preserve"> </w:t>
      </w:r>
      <w:r w:rsidR="00F32820">
        <w:rPr>
          <w:rFonts w:ascii="Book Antiqua" w:hAnsi="Book Antiqua"/>
          <w:kern w:val="2"/>
          <w:sz w:val="24"/>
          <w:szCs w:val="24"/>
        </w:rPr>
        <w:t>Epub ahead of print</w:t>
      </w:r>
      <w:r w:rsidRPr="0081216A">
        <w:rPr>
          <w:rFonts w:ascii="Book Antiqua" w:hAnsi="Book Antiqua"/>
          <w:kern w:val="2"/>
          <w:sz w:val="24"/>
          <w:szCs w:val="24"/>
        </w:rPr>
        <w:t xml:space="preserve"> [PMID: 29500648 DOI: 10.1007/s00261-018-1535-y]</w:t>
      </w:r>
    </w:p>
    <w:p w14:paraId="1D97D62F"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61 </w:t>
      </w:r>
      <w:r w:rsidRPr="0081216A">
        <w:rPr>
          <w:rFonts w:ascii="Book Antiqua" w:hAnsi="Book Antiqua"/>
          <w:b/>
          <w:kern w:val="2"/>
          <w:sz w:val="24"/>
          <w:szCs w:val="24"/>
        </w:rPr>
        <w:t>Miller FH</w:t>
      </w:r>
      <w:r w:rsidRPr="0081216A">
        <w:rPr>
          <w:rFonts w:ascii="Book Antiqua" w:hAnsi="Book Antiqua"/>
          <w:kern w:val="2"/>
          <w:sz w:val="24"/>
          <w:szCs w:val="24"/>
        </w:rPr>
        <w:t xml:space="preserve">, Hammond N, Siddiqi AJ, Shroff S, Khatri G, Wang Y, Merrick LB, Nikolaidis P. Utility of diffusion-weighted MRI in distinguishing benign and malignant hepatic lesions. </w:t>
      </w:r>
      <w:r w:rsidRPr="0081216A">
        <w:rPr>
          <w:rFonts w:ascii="Book Antiqua" w:hAnsi="Book Antiqua"/>
          <w:i/>
          <w:kern w:val="2"/>
          <w:sz w:val="24"/>
          <w:szCs w:val="24"/>
        </w:rPr>
        <w:t>J Magn Reson Imaging</w:t>
      </w:r>
      <w:r w:rsidRPr="0081216A">
        <w:rPr>
          <w:rFonts w:ascii="Book Antiqua" w:hAnsi="Book Antiqua"/>
          <w:kern w:val="2"/>
          <w:sz w:val="24"/>
          <w:szCs w:val="24"/>
        </w:rPr>
        <w:t xml:space="preserve"> 2010; </w:t>
      </w:r>
      <w:r w:rsidRPr="0081216A">
        <w:rPr>
          <w:rFonts w:ascii="Book Antiqua" w:hAnsi="Book Antiqua"/>
          <w:b/>
          <w:kern w:val="2"/>
          <w:sz w:val="24"/>
          <w:szCs w:val="24"/>
        </w:rPr>
        <w:t>32</w:t>
      </w:r>
      <w:r w:rsidRPr="0081216A">
        <w:rPr>
          <w:rFonts w:ascii="Book Antiqua" w:hAnsi="Book Antiqua"/>
          <w:kern w:val="2"/>
          <w:sz w:val="24"/>
          <w:szCs w:val="24"/>
        </w:rPr>
        <w:t>: 138-147 [PMID: 20578020 DOI: 10.1002/jmri.22235]</w:t>
      </w:r>
    </w:p>
    <w:p w14:paraId="65008863"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62 </w:t>
      </w:r>
      <w:r w:rsidRPr="0081216A">
        <w:rPr>
          <w:rFonts w:ascii="Book Antiqua" w:hAnsi="Book Antiqua"/>
          <w:b/>
          <w:kern w:val="2"/>
          <w:sz w:val="24"/>
          <w:szCs w:val="24"/>
        </w:rPr>
        <w:t>Galea N</w:t>
      </w:r>
      <w:r w:rsidRPr="0081216A">
        <w:rPr>
          <w:rFonts w:ascii="Book Antiqua" w:hAnsi="Book Antiqua"/>
          <w:kern w:val="2"/>
          <w:sz w:val="24"/>
          <w:szCs w:val="24"/>
        </w:rPr>
        <w:t xml:space="preserve">, Cantisani V, Taouli B. Liver lesion detection and characterization: role of diffusion-weighted imaging. </w:t>
      </w:r>
      <w:r w:rsidRPr="0081216A">
        <w:rPr>
          <w:rFonts w:ascii="Book Antiqua" w:hAnsi="Book Antiqua"/>
          <w:i/>
          <w:kern w:val="2"/>
          <w:sz w:val="24"/>
          <w:szCs w:val="24"/>
        </w:rPr>
        <w:t>J Magn Reson Imaging</w:t>
      </w:r>
      <w:r w:rsidRPr="0081216A">
        <w:rPr>
          <w:rFonts w:ascii="Book Antiqua" w:hAnsi="Book Antiqua"/>
          <w:kern w:val="2"/>
          <w:sz w:val="24"/>
          <w:szCs w:val="24"/>
        </w:rPr>
        <w:t xml:space="preserve"> 2013; </w:t>
      </w:r>
      <w:r w:rsidRPr="0081216A">
        <w:rPr>
          <w:rFonts w:ascii="Book Antiqua" w:hAnsi="Book Antiqua"/>
          <w:b/>
          <w:kern w:val="2"/>
          <w:sz w:val="24"/>
          <w:szCs w:val="24"/>
        </w:rPr>
        <w:t>37</w:t>
      </w:r>
      <w:r w:rsidRPr="0081216A">
        <w:rPr>
          <w:rFonts w:ascii="Book Antiqua" w:hAnsi="Book Antiqua"/>
          <w:kern w:val="2"/>
          <w:sz w:val="24"/>
          <w:szCs w:val="24"/>
        </w:rPr>
        <w:t>: 1260-1276 [PMID: 23712841 DOI: 10.1002/jmri.23947]</w:t>
      </w:r>
    </w:p>
    <w:p w14:paraId="607D2A76"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63 </w:t>
      </w:r>
      <w:r w:rsidRPr="0081216A">
        <w:rPr>
          <w:rFonts w:ascii="Book Antiqua" w:hAnsi="Book Antiqua"/>
          <w:b/>
          <w:kern w:val="2"/>
          <w:sz w:val="24"/>
          <w:szCs w:val="24"/>
        </w:rPr>
        <w:t>Van Beers BE</w:t>
      </w:r>
      <w:r w:rsidRPr="0081216A">
        <w:rPr>
          <w:rFonts w:ascii="Book Antiqua" w:hAnsi="Book Antiqua"/>
          <w:kern w:val="2"/>
          <w:sz w:val="24"/>
          <w:szCs w:val="24"/>
        </w:rPr>
        <w:t xml:space="preserve">, Pastor CM, Hussain HK. Primovist, Eovist: what to expect? </w:t>
      </w:r>
      <w:r w:rsidRPr="0081216A">
        <w:rPr>
          <w:rFonts w:ascii="Book Antiqua" w:hAnsi="Book Antiqua"/>
          <w:i/>
          <w:kern w:val="2"/>
          <w:sz w:val="24"/>
          <w:szCs w:val="24"/>
        </w:rPr>
        <w:t>J Hepatol</w:t>
      </w:r>
      <w:r w:rsidRPr="0081216A">
        <w:rPr>
          <w:rFonts w:ascii="Book Antiqua" w:hAnsi="Book Antiqua"/>
          <w:kern w:val="2"/>
          <w:sz w:val="24"/>
          <w:szCs w:val="24"/>
        </w:rPr>
        <w:t xml:space="preserve"> 2012; </w:t>
      </w:r>
      <w:r w:rsidRPr="0081216A">
        <w:rPr>
          <w:rFonts w:ascii="Book Antiqua" w:hAnsi="Book Antiqua"/>
          <w:b/>
          <w:kern w:val="2"/>
          <w:sz w:val="24"/>
          <w:szCs w:val="24"/>
        </w:rPr>
        <w:t>57</w:t>
      </w:r>
      <w:r w:rsidRPr="0081216A">
        <w:rPr>
          <w:rFonts w:ascii="Book Antiqua" w:hAnsi="Book Antiqua"/>
          <w:kern w:val="2"/>
          <w:sz w:val="24"/>
          <w:szCs w:val="24"/>
        </w:rPr>
        <w:t>: 421-429 [PMID: 22504332 DOI: 10.1016/j.jhep.2012.01.031]</w:t>
      </w:r>
    </w:p>
    <w:p w14:paraId="3CD2CB4E"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64 </w:t>
      </w:r>
      <w:r w:rsidRPr="0081216A">
        <w:rPr>
          <w:rFonts w:ascii="Book Antiqua" w:hAnsi="Book Antiqua"/>
          <w:b/>
          <w:kern w:val="2"/>
          <w:sz w:val="24"/>
          <w:szCs w:val="24"/>
        </w:rPr>
        <w:t>Ichikawa T</w:t>
      </w:r>
      <w:r w:rsidRPr="0081216A">
        <w:rPr>
          <w:rFonts w:ascii="Book Antiqua" w:hAnsi="Book Antiqua"/>
          <w:kern w:val="2"/>
          <w:sz w:val="24"/>
          <w:szCs w:val="24"/>
        </w:rPr>
        <w:t xml:space="preserve">, Saito K, Yoshioka N, Tanimoto A, Gokan T, Takehara Y, Kamura T, Gabata T, Murakami T, Ito K, Hirohashi S, Nishie A, Saito Y, Onaya H, Kuwatsuru R, Morimoto A, Ueda K, Kurauchi M, Breuer J. Detection and characterization of focal liver lesions: a Japanese phase III, multicenter comparison between gadoxetic acid disodium-enhanced magnetic resonance imaging and contrast-enhanced computed tomography predominantly in patients with hepatocellular carcinoma and chronic liver disease. </w:t>
      </w:r>
      <w:r w:rsidRPr="0081216A">
        <w:rPr>
          <w:rFonts w:ascii="Book Antiqua" w:hAnsi="Book Antiqua"/>
          <w:i/>
          <w:kern w:val="2"/>
          <w:sz w:val="24"/>
          <w:szCs w:val="24"/>
        </w:rPr>
        <w:t>Invest Radiol</w:t>
      </w:r>
      <w:r w:rsidRPr="0081216A">
        <w:rPr>
          <w:rFonts w:ascii="Book Antiqua" w:hAnsi="Book Antiqua"/>
          <w:kern w:val="2"/>
          <w:sz w:val="24"/>
          <w:szCs w:val="24"/>
        </w:rPr>
        <w:t xml:space="preserve"> 2010; </w:t>
      </w:r>
      <w:r w:rsidRPr="0081216A">
        <w:rPr>
          <w:rFonts w:ascii="Book Antiqua" w:hAnsi="Book Antiqua"/>
          <w:b/>
          <w:kern w:val="2"/>
          <w:sz w:val="24"/>
          <w:szCs w:val="24"/>
        </w:rPr>
        <w:t>45</w:t>
      </w:r>
      <w:r w:rsidRPr="0081216A">
        <w:rPr>
          <w:rFonts w:ascii="Book Antiqua" w:hAnsi="Book Antiqua"/>
          <w:kern w:val="2"/>
          <w:sz w:val="24"/>
          <w:szCs w:val="24"/>
        </w:rPr>
        <w:t>: 133-141 [PMID: 20098330 DOI: 10.1097/RLI.0b013e3181caea5b]</w:t>
      </w:r>
    </w:p>
    <w:p w14:paraId="7DCE5263"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65 </w:t>
      </w:r>
      <w:r w:rsidRPr="0081216A">
        <w:rPr>
          <w:rFonts w:ascii="Book Antiqua" w:hAnsi="Book Antiqua"/>
          <w:b/>
          <w:kern w:val="2"/>
          <w:sz w:val="24"/>
          <w:szCs w:val="24"/>
        </w:rPr>
        <w:t>Motosugi U</w:t>
      </w:r>
      <w:r w:rsidRPr="0081216A">
        <w:rPr>
          <w:rFonts w:ascii="Book Antiqua" w:hAnsi="Book Antiqua"/>
          <w:kern w:val="2"/>
          <w:sz w:val="24"/>
          <w:szCs w:val="24"/>
        </w:rPr>
        <w:t xml:space="preserve">, Ichikawa T, Sou H, Sano K, Tominaga L, Muhi A, Araki T. Distinguishing hypervascular pseudolesions of the liver from hypervascular hepatocellular carcinomas with gadoxetic acid-enhanced MR imaging. </w:t>
      </w:r>
      <w:r w:rsidRPr="0081216A">
        <w:rPr>
          <w:rFonts w:ascii="Book Antiqua" w:hAnsi="Book Antiqua"/>
          <w:i/>
          <w:kern w:val="2"/>
          <w:sz w:val="24"/>
          <w:szCs w:val="24"/>
        </w:rPr>
        <w:t>Radiol</w:t>
      </w:r>
      <w:r w:rsidRPr="0081216A">
        <w:rPr>
          <w:rFonts w:ascii="Book Antiqua" w:hAnsi="Book Antiqua"/>
          <w:i/>
          <w:kern w:val="2"/>
          <w:sz w:val="24"/>
          <w:szCs w:val="24"/>
        </w:rPr>
        <w:lastRenderedPageBreak/>
        <w:t>ogy</w:t>
      </w:r>
      <w:r w:rsidRPr="0081216A">
        <w:rPr>
          <w:rFonts w:ascii="Book Antiqua" w:hAnsi="Book Antiqua"/>
          <w:kern w:val="2"/>
          <w:sz w:val="24"/>
          <w:szCs w:val="24"/>
        </w:rPr>
        <w:t xml:space="preserve"> 2010; </w:t>
      </w:r>
      <w:r w:rsidRPr="0081216A">
        <w:rPr>
          <w:rFonts w:ascii="Book Antiqua" w:hAnsi="Book Antiqua"/>
          <w:b/>
          <w:kern w:val="2"/>
          <w:sz w:val="24"/>
          <w:szCs w:val="24"/>
        </w:rPr>
        <w:t>256</w:t>
      </w:r>
      <w:r w:rsidRPr="0081216A">
        <w:rPr>
          <w:rFonts w:ascii="Book Antiqua" w:hAnsi="Book Antiqua"/>
          <w:kern w:val="2"/>
          <w:sz w:val="24"/>
          <w:szCs w:val="24"/>
        </w:rPr>
        <w:t>: 151-158 [PMID: 20574092 DOI: 10.1148/radiol.10091885]</w:t>
      </w:r>
    </w:p>
    <w:p w14:paraId="6F3BA51C"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66 </w:t>
      </w:r>
      <w:r w:rsidRPr="0081216A">
        <w:rPr>
          <w:rFonts w:ascii="Book Antiqua" w:hAnsi="Book Antiqua"/>
          <w:b/>
          <w:kern w:val="2"/>
          <w:sz w:val="24"/>
          <w:szCs w:val="24"/>
        </w:rPr>
        <w:t>Sano K</w:t>
      </w:r>
      <w:r w:rsidRPr="0081216A">
        <w:rPr>
          <w:rFonts w:ascii="Book Antiqua" w:hAnsi="Book Antiqua"/>
          <w:kern w:val="2"/>
          <w:sz w:val="24"/>
          <w:szCs w:val="24"/>
        </w:rPr>
        <w:t xml:space="preserve">, Ichikawa T, Motosugi U, Sou H, Muhi AM, Matsuda M, Nakano M, Sakamoto M, Nakazawa T, Asakawa M, Fujii H, Kitamura T, Enomoto N, Araki T. Imaging study of early hepatocellular carcinoma: usefulness of gadoxetic acid-enhanced MR imaging. </w:t>
      </w:r>
      <w:r w:rsidRPr="0081216A">
        <w:rPr>
          <w:rFonts w:ascii="Book Antiqua" w:hAnsi="Book Antiqua"/>
          <w:i/>
          <w:kern w:val="2"/>
          <w:sz w:val="24"/>
          <w:szCs w:val="24"/>
        </w:rPr>
        <w:t>Radiology</w:t>
      </w:r>
      <w:r w:rsidRPr="0081216A">
        <w:rPr>
          <w:rFonts w:ascii="Book Antiqua" w:hAnsi="Book Antiqua"/>
          <w:kern w:val="2"/>
          <w:sz w:val="24"/>
          <w:szCs w:val="24"/>
        </w:rPr>
        <w:t xml:space="preserve"> 2011; </w:t>
      </w:r>
      <w:r w:rsidRPr="0081216A">
        <w:rPr>
          <w:rFonts w:ascii="Book Antiqua" w:hAnsi="Book Antiqua"/>
          <w:b/>
          <w:kern w:val="2"/>
          <w:sz w:val="24"/>
          <w:szCs w:val="24"/>
        </w:rPr>
        <w:t>261</w:t>
      </w:r>
      <w:r w:rsidRPr="0081216A">
        <w:rPr>
          <w:rFonts w:ascii="Book Antiqua" w:hAnsi="Book Antiqua"/>
          <w:kern w:val="2"/>
          <w:sz w:val="24"/>
          <w:szCs w:val="24"/>
        </w:rPr>
        <w:t>: 834-844 [PMID: 21998047 DOI: 10.1148/radiol.11101840]</w:t>
      </w:r>
    </w:p>
    <w:p w14:paraId="5E3A1AD5"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67 </w:t>
      </w:r>
      <w:r w:rsidRPr="0081216A">
        <w:rPr>
          <w:rFonts w:ascii="Book Antiqua" w:hAnsi="Book Antiqua"/>
          <w:b/>
          <w:kern w:val="2"/>
          <w:sz w:val="24"/>
          <w:szCs w:val="24"/>
        </w:rPr>
        <w:t>Wang YC</w:t>
      </w:r>
      <w:r w:rsidRPr="0081216A">
        <w:rPr>
          <w:rFonts w:ascii="Book Antiqua" w:hAnsi="Book Antiqua"/>
          <w:kern w:val="2"/>
          <w:sz w:val="24"/>
          <w:szCs w:val="24"/>
        </w:rPr>
        <w:t xml:space="preserve">, Chou CT, Lin CP, Chen YL, Chen YF, Chen RC. The value of Gd-EOB-DTPA-enhanced MR imaging in characterizing cirrhotic nodules with atypical enhancement on Gd-DTPA-enhanced MR images. </w:t>
      </w:r>
      <w:r w:rsidRPr="0081216A">
        <w:rPr>
          <w:rFonts w:ascii="Book Antiqua" w:hAnsi="Book Antiqua"/>
          <w:i/>
          <w:kern w:val="2"/>
          <w:sz w:val="24"/>
          <w:szCs w:val="24"/>
        </w:rPr>
        <w:t>PLoS One</w:t>
      </w:r>
      <w:r w:rsidRPr="0081216A">
        <w:rPr>
          <w:rFonts w:ascii="Book Antiqua" w:hAnsi="Book Antiqua"/>
          <w:kern w:val="2"/>
          <w:sz w:val="24"/>
          <w:szCs w:val="24"/>
        </w:rPr>
        <w:t xml:space="preserve"> 2017; </w:t>
      </w:r>
      <w:r w:rsidRPr="0081216A">
        <w:rPr>
          <w:rFonts w:ascii="Book Antiqua" w:hAnsi="Book Antiqua"/>
          <w:b/>
          <w:kern w:val="2"/>
          <w:sz w:val="24"/>
          <w:szCs w:val="24"/>
        </w:rPr>
        <w:t>12</w:t>
      </w:r>
      <w:r w:rsidRPr="0081216A">
        <w:rPr>
          <w:rFonts w:ascii="Book Antiqua" w:hAnsi="Book Antiqua"/>
          <w:kern w:val="2"/>
          <w:sz w:val="24"/>
          <w:szCs w:val="24"/>
        </w:rPr>
        <w:t>: e0174594 [PMID: 28355258 DOI: 10.1371/journal.pone.0174594]</w:t>
      </w:r>
    </w:p>
    <w:p w14:paraId="76243A5D"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68 </w:t>
      </w:r>
      <w:r w:rsidRPr="0081216A">
        <w:rPr>
          <w:rFonts w:ascii="Book Antiqua" w:hAnsi="Book Antiqua"/>
          <w:b/>
          <w:kern w:val="2"/>
          <w:sz w:val="24"/>
          <w:szCs w:val="24"/>
        </w:rPr>
        <w:t>Kim HY</w:t>
      </w:r>
      <w:r w:rsidRPr="0081216A">
        <w:rPr>
          <w:rFonts w:ascii="Book Antiqua" w:hAnsi="Book Antiqua"/>
          <w:kern w:val="2"/>
          <w:sz w:val="24"/>
          <w:szCs w:val="24"/>
        </w:rPr>
        <w:t xml:space="preserve">, Choi JY, Kim CW, Bae SH, Yoon SK, Lee YJ, Rha SE, You YK, Kim DG, Jung ES. Gadolinium ethoxybenzyl diethylenetriamine pentaacetic acid-enhanced magnetic resonance imaging predicts the histological grade of hepatocellular carcinoma only in patients with Child-Pugh class A cirrhosis. </w:t>
      </w:r>
      <w:r w:rsidRPr="0081216A">
        <w:rPr>
          <w:rFonts w:ascii="Book Antiqua" w:hAnsi="Book Antiqua"/>
          <w:i/>
          <w:kern w:val="2"/>
          <w:sz w:val="24"/>
          <w:szCs w:val="24"/>
        </w:rPr>
        <w:t>Liver Transpl</w:t>
      </w:r>
      <w:r w:rsidRPr="0081216A">
        <w:rPr>
          <w:rFonts w:ascii="Book Antiqua" w:hAnsi="Book Antiqua"/>
          <w:kern w:val="2"/>
          <w:sz w:val="24"/>
          <w:szCs w:val="24"/>
        </w:rPr>
        <w:t xml:space="preserve"> 2012; </w:t>
      </w:r>
      <w:r w:rsidRPr="0081216A">
        <w:rPr>
          <w:rFonts w:ascii="Book Antiqua" w:hAnsi="Book Antiqua"/>
          <w:b/>
          <w:kern w:val="2"/>
          <w:sz w:val="24"/>
          <w:szCs w:val="24"/>
        </w:rPr>
        <w:t>18</w:t>
      </w:r>
      <w:r w:rsidRPr="0081216A">
        <w:rPr>
          <w:rFonts w:ascii="Book Antiqua" w:hAnsi="Book Antiqua"/>
          <w:kern w:val="2"/>
          <w:sz w:val="24"/>
          <w:szCs w:val="24"/>
        </w:rPr>
        <w:t>: 850-857 [PMID: 22407909 DOI: 10.1002/lt.23426]</w:t>
      </w:r>
    </w:p>
    <w:p w14:paraId="66DFEB95"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69 </w:t>
      </w:r>
      <w:r w:rsidRPr="0081216A">
        <w:rPr>
          <w:rFonts w:ascii="Book Antiqua" w:hAnsi="Book Antiqua"/>
          <w:b/>
          <w:kern w:val="2"/>
          <w:sz w:val="24"/>
          <w:szCs w:val="24"/>
        </w:rPr>
        <w:t>Jin YJ</w:t>
      </w:r>
      <w:r w:rsidRPr="0081216A">
        <w:rPr>
          <w:rFonts w:ascii="Book Antiqua" w:hAnsi="Book Antiqua"/>
          <w:kern w:val="2"/>
          <w:sz w:val="24"/>
          <w:szCs w:val="24"/>
        </w:rPr>
        <w:t xml:space="preserve">, Cho SG, Lee KY, Kim JM, Lee JW. Association between relative liver enhancement on gadoxetic acid enhanced magnetic resonance images and histologic grade of hepatocellular carcinoma. </w:t>
      </w:r>
      <w:r w:rsidRPr="0081216A">
        <w:rPr>
          <w:rFonts w:ascii="Book Antiqua" w:hAnsi="Book Antiqua"/>
          <w:i/>
          <w:kern w:val="2"/>
          <w:sz w:val="24"/>
          <w:szCs w:val="24"/>
        </w:rPr>
        <w:t>Medicine (Baltimore)</w:t>
      </w:r>
      <w:r w:rsidRPr="0081216A">
        <w:rPr>
          <w:rFonts w:ascii="Book Antiqua" w:hAnsi="Book Antiqua"/>
          <w:kern w:val="2"/>
          <w:sz w:val="24"/>
          <w:szCs w:val="24"/>
        </w:rPr>
        <w:t xml:space="preserve"> 2017; </w:t>
      </w:r>
      <w:r w:rsidRPr="0081216A">
        <w:rPr>
          <w:rFonts w:ascii="Book Antiqua" w:hAnsi="Book Antiqua"/>
          <w:b/>
          <w:kern w:val="2"/>
          <w:sz w:val="24"/>
          <w:szCs w:val="24"/>
        </w:rPr>
        <w:t>96</w:t>
      </w:r>
      <w:r w:rsidRPr="0081216A">
        <w:rPr>
          <w:rFonts w:ascii="Book Antiqua" w:hAnsi="Book Antiqua"/>
          <w:kern w:val="2"/>
          <w:sz w:val="24"/>
          <w:szCs w:val="24"/>
        </w:rPr>
        <w:t>: e7580 [PMID: 28746206 DOI: 10.1097/MD.0000000000007580]</w:t>
      </w:r>
    </w:p>
    <w:p w14:paraId="375D9F40"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70 </w:t>
      </w:r>
      <w:r w:rsidRPr="0081216A">
        <w:rPr>
          <w:rFonts w:ascii="Book Antiqua" w:hAnsi="Book Antiqua"/>
          <w:b/>
          <w:kern w:val="2"/>
          <w:sz w:val="24"/>
          <w:szCs w:val="24"/>
        </w:rPr>
        <w:t>Tong HF</w:t>
      </w:r>
      <w:r w:rsidRPr="0081216A">
        <w:rPr>
          <w:rFonts w:ascii="Book Antiqua" w:hAnsi="Book Antiqua"/>
          <w:kern w:val="2"/>
          <w:sz w:val="24"/>
          <w:szCs w:val="24"/>
        </w:rPr>
        <w:t xml:space="preserve">, Liang HB, Mo ZK, Guan TP, Yang J, Fang CH. Quantitative analysis of gadoxetic acid-enhanced magnetic resonance imaging predicts histological grade of hepatocellular carcinoma. </w:t>
      </w:r>
      <w:r w:rsidRPr="0081216A">
        <w:rPr>
          <w:rFonts w:ascii="Book Antiqua" w:hAnsi="Book Antiqua"/>
          <w:i/>
          <w:kern w:val="2"/>
          <w:sz w:val="24"/>
          <w:szCs w:val="24"/>
        </w:rPr>
        <w:t>Clin Imaging</w:t>
      </w:r>
      <w:r w:rsidRPr="0081216A">
        <w:rPr>
          <w:rFonts w:ascii="Book Antiqua" w:hAnsi="Book Antiqua"/>
          <w:kern w:val="2"/>
          <w:sz w:val="24"/>
          <w:szCs w:val="24"/>
        </w:rPr>
        <w:t xml:space="preserve"> 2017; </w:t>
      </w:r>
      <w:r w:rsidRPr="0081216A">
        <w:rPr>
          <w:rFonts w:ascii="Book Antiqua" w:hAnsi="Book Antiqua"/>
          <w:b/>
          <w:kern w:val="2"/>
          <w:sz w:val="24"/>
          <w:szCs w:val="24"/>
        </w:rPr>
        <w:t>43</w:t>
      </w:r>
      <w:r w:rsidRPr="0081216A">
        <w:rPr>
          <w:rFonts w:ascii="Book Antiqua" w:hAnsi="Book Antiqua"/>
          <w:kern w:val="2"/>
          <w:sz w:val="24"/>
          <w:szCs w:val="24"/>
        </w:rPr>
        <w:t>: 9-14 [PMID: 28153667 DOI: 10.1016/j.clinimag.2016.12.009]</w:t>
      </w:r>
    </w:p>
    <w:p w14:paraId="1DB33836"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71 </w:t>
      </w:r>
      <w:r w:rsidRPr="0081216A">
        <w:rPr>
          <w:rFonts w:ascii="Book Antiqua" w:hAnsi="Book Antiqua"/>
          <w:b/>
          <w:kern w:val="2"/>
          <w:sz w:val="24"/>
          <w:szCs w:val="24"/>
        </w:rPr>
        <w:t>Choi JY</w:t>
      </w:r>
      <w:r w:rsidRPr="0081216A">
        <w:rPr>
          <w:rFonts w:ascii="Book Antiqua" w:hAnsi="Book Antiqua"/>
          <w:kern w:val="2"/>
          <w:sz w:val="24"/>
          <w:szCs w:val="24"/>
        </w:rPr>
        <w:t xml:space="preserve">, Lee JM, Sirlin CB. CT and MR imaging diagnosis and staging of hepatocellular carcinoma: part II. Extracellular agents, hepatobiliary agents, and ancillary imaging features. </w:t>
      </w:r>
      <w:r w:rsidRPr="0081216A">
        <w:rPr>
          <w:rFonts w:ascii="Book Antiqua" w:hAnsi="Book Antiqua"/>
          <w:i/>
          <w:kern w:val="2"/>
          <w:sz w:val="24"/>
          <w:szCs w:val="24"/>
        </w:rPr>
        <w:t>Radiology</w:t>
      </w:r>
      <w:r w:rsidRPr="0081216A">
        <w:rPr>
          <w:rFonts w:ascii="Book Antiqua" w:hAnsi="Book Antiqua"/>
          <w:kern w:val="2"/>
          <w:sz w:val="24"/>
          <w:szCs w:val="24"/>
        </w:rPr>
        <w:t xml:space="preserve"> 2014; </w:t>
      </w:r>
      <w:r w:rsidRPr="0081216A">
        <w:rPr>
          <w:rFonts w:ascii="Book Antiqua" w:hAnsi="Book Antiqua"/>
          <w:b/>
          <w:kern w:val="2"/>
          <w:sz w:val="24"/>
          <w:szCs w:val="24"/>
        </w:rPr>
        <w:t>273</w:t>
      </w:r>
      <w:r w:rsidRPr="0081216A">
        <w:rPr>
          <w:rFonts w:ascii="Book Antiqua" w:hAnsi="Book Antiqua"/>
          <w:kern w:val="2"/>
          <w:sz w:val="24"/>
          <w:szCs w:val="24"/>
        </w:rPr>
        <w:t>: 30-50 [PMID: 25247563 DOI: 10.1148/radiol.14132362]</w:t>
      </w:r>
    </w:p>
    <w:p w14:paraId="7F8040E9"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72 </w:t>
      </w:r>
      <w:r w:rsidRPr="0081216A">
        <w:rPr>
          <w:rFonts w:ascii="Book Antiqua" w:hAnsi="Book Antiqua"/>
          <w:b/>
          <w:kern w:val="2"/>
          <w:sz w:val="24"/>
          <w:szCs w:val="24"/>
        </w:rPr>
        <w:t>Fischer MA</w:t>
      </w:r>
      <w:r w:rsidRPr="0081216A">
        <w:rPr>
          <w:rFonts w:ascii="Book Antiqua" w:hAnsi="Book Antiqua"/>
          <w:kern w:val="2"/>
          <w:sz w:val="24"/>
          <w:szCs w:val="24"/>
        </w:rPr>
        <w:t xml:space="preserve">, Kartalis N, Grigoriadis A, Loizou L, Stål P, Leidner B, Aspelin P, Brismar TB. Perfusion computed tomography for detection of hepatocellular carcinoma in patients with liver cirrhosis. </w:t>
      </w:r>
      <w:r w:rsidRPr="0081216A">
        <w:rPr>
          <w:rFonts w:ascii="Book Antiqua" w:hAnsi="Book Antiqua"/>
          <w:i/>
          <w:kern w:val="2"/>
          <w:sz w:val="24"/>
          <w:szCs w:val="24"/>
        </w:rPr>
        <w:t>Eur Radiol</w:t>
      </w:r>
      <w:r w:rsidRPr="0081216A">
        <w:rPr>
          <w:rFonts w:ascii="Book Antiqua" w:hAnsi="Book Antiqua"/>
          <w:kern w:val="2"/>
          <w:sz w:val="24"/>
          <w:szCs w:val="24"/>
        </w:rPr>
        <w:t xml:space="preserve"> 2015; </w:t>
      </w:r>
      <w:r w:rsidRPr="0081216A">
        <w:rPr>
          <w:rFonts w:ascii="Book Antiqua" w:hAnsi="Book Antiqua"/>
          <w:b/>
          <w:kern w:val="2"/>
          <w:sz w:val="24"/>
          <w:szCs w:val="24"/>
        </w:rPr>
        <w:t>25</w:t>
      </w:r>
      <w:r w:rsidRPr="0081216A">
        <w:rPr>
          <w:rFonts w:ascii="Book Antiqua" w:hAnsi="Book Antiqua"/>
          <w:kern w:val="2"/>
          <w:sz w:val="24"/>
          <w:szCs w:val="24"/>
        </w:rPr>
        <w:t>: 3123-3132 [PMID: 25903707 DOI: 10.1007/s00330-015-3732-1]</w:t>
      </w:r>
    </w:p>
    <w:p w14:paraId="76472DEA"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lastRenderedPageBreak/>
        <w:t xml:space="preserve">73 </w:t>
      </w:r>
      <w:r w:rsidRPr="0081216A">
        <w:rPr>
          <w:rFonts w:ascii="Book Antiqua" w:hAnsi="Book Antiqua"/>
          <w:b/>
          <w:kern w:val="2"/>
          <w:sz w:val="24"/>
          <w:szCs w:val="24"/>
        </w:rPr>
        <w:t>Taouli B</w:t>
      </w:r>
      <w:r w:rsidRPr="0081216A">
        <w:rPr>
          <w:rFonts w:ascii="Book Antiqua" w:hAnsi="Book Antiqua"/>
          <w:kern w:val="2"/>
          <w:sz w:val="24"/>
          <w:szCs w:val="24"/>
        </w:rPr>
        <w:t xml:space="preserve">, Johnson RS, Hajdu CH, Oei MT, Merad M, Yee H, Rusinek H. Hepatocellular carcinoma: perfusion quantification with dynamic contrast-enhanced MRI. </w:t>
      </w:r>
      <w:r w:rsidRPr="0081216A">
        <w:rPr>
          <w:rFonts w:ascii="Book Antiqua" w:hAnsi="Book Antiqua"/>
          <w:i/>
          <w:kern w:val="2"/>
          <w:sz w:val="24"/>
          <w:szCs w:val="24"/>
        </w:rPr>
        <w:t>AJR Am J Roentgenol</w:t>
      </w:r>
      <w:r w:rsidRPr="0081216A">
        <w:rPr>
          <w:rFonts w:ascii="Book Antiqua" w:hAnsi="Book Antiqua"/>
          <w:kern w:val="2"/>
          <w:sz w:val="24"/>
          <w:szCs w:val="24"/>
        </w:rPr>
        <w:t xml:space="preserve"> 2013; </w:t>
      </w:r>
      <w:r w:rsidRPr="0081216A">
        <w:rPr>
          <w:rFonts w:ascii="Book Antiqua" w:hAnsi="Book Antiqua"/>
          <w:b/>
          <w:kern w:val="2"/>
          <w:sz w:val="24"/>
          <w:szCs w:val="24"/>
        </w:rPr>
        <w:t>201</w:t>
      </w:r>
      <w:r w:rsidRPr="0081216A">
        <w:rPr>
          <w:rFonts w:ascii="Book Antiqua" w:hAnsi="Book Antiqua"/>
          <w:kern w:val="2"/>
          <w:sz w:val="24"/>
          <w:szCs w:val="24"/>
        </w:rPr>
        <w:t>: 795-800 [PMID: 24059368 DOI: 10.2214/AJR.12.9798]</w:t>
      </w:r>
    </w:p>
    <w:p w14:paraId="23B97334"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74 </w:t>
      </w:r>
      <w:r w:rsidRPr="0081216A">
        <w:rPr>
          <w:rFonts w:ascii="Book Antiqua" w:hAnsi="Book Antiqua"/>
          <w:b/>
          <w:kern w:val="2"/>
          <w:sz w:val="24"/>
          <w:szCs w:val="24"/>
        </w:rPr>
        <w:t>Ippolito D</w:t>
      </w:r>
      <w:r w:rsidRPr="0081216A">
        <w:rPr>
          <w:rFonts w:ascii="Book Antiqua" w:hAnsi="Book Antiqua"/>
          <w:kern w:val="2"/>
          <w:sz w:val="24"/>
          <w:szCs w:val="24"/>
        </w:rPr>
        <w:t xml:space="preserve">, Sironi S, Pozzi M, Antolini L, Ratti L, Meloni F, Invernizzi F, Valsecchi MG, Fazio F. Perfusion computed tomographic assessment of early hepatocellular carcinoma in cirrhotic liver disease: initial observations. </w:t>
      </w:r>
      <w:r w:rsidRPr="0081216A">
        <w:rPr>
          <w:rFonts w:ascii="Book Antiqua" w:hAnsi="Book Antiqua"/>
          <w:i/>
          <w:kern w:val="2"/>
          <w:sz w:val="24"/>
          <w:szCs w:val="24"/>
        </w:rPr>
        <w:t>J Comput Assist Tomogr</w:t>
      </w:r>
      <w:r w:rsidRPr="0081216A">
        <w:rPr>
          <w:rFonts w:ascii="Book Antiqua" w:hAnsi="Book Antiqua"/>
          <w:kern w:val="2"/>
          <w:sz w:val="24"/>
          <w:szCs w:val="24"/>
        </w:rPr>
        <w:t xml:space="preserve"> 2008; </w:t>
      </w:r>
      <w:r w:rsidRPr="0081216A">
        <w:rPr>
          <w:rFonts w:ascii="Book Antiqua" w:hAnsi="Book Antiqua"/>
          <w:b/>
          <w:kern w:val="2"/>
          <w:sz w:val="24"/>
          <w:szCs w:val="24"/>
        </w:rPr>
        <w:t>32</w:t>
      </w:r>
      <w:r w:rsidRPr="0081216A">
        <w:rPr>
          <w:rFonts w:ascii="Book Antiqua" w:hAnsi="Book Antiqua"/>
          <w:kern w:val="2"/>
          <w:sz w:val="24"/>
          <w:szCs w:val="24"/>
        </w:rPr>
        <w:t>: 855-858 [PMID: 19204443 DOI: 10.1097/RCT.0b013e318161dc58]</w:t>
      </w:r>
    </w:p>
    <w:p w14:paraId="1C855BD9"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75 </w:t>
      </w:r>
      <w:r w:rsidRPr="0081216A">
        <w:rPr>
          <w:rFonts w:ascii="Book Antiqua" w:hAnsi="Book Antiqua"/>
          <w:b/>
          <w:kern w:val="2"/>
          <w:sz w:val="24"/>
          <w:szCs w:val="24"/>
        </w:rPr>
        <w:t>Ippolito D</w:t>
      </w:r>
      <w:r w:rsidRPr="0081216A">
        <w:rPr>
          <w:rFonts w:ascii="Book Antiqua" w:hAnsi="Book Antiqua"/>
          <w:kern w:val="2"/>
          <w:sz w:val="24"/>
          <w:szCs w:val="24"/>
        </w:rPr>
        <w:t xml:space="preserve">, Sironi S, Pozzi M, Antolini L, Ratti L, Alberzoni C, Leone EB, Meloni F, Valsecchi MG, Fazio F. Hepatocellular carcinoma in cirrhotic liver disease: functional computed tomography with perfusion imaging in the assessment of tumor vascularization. </w:t>
      </w:r>
      <w:r w:rsidRPr="0081216A">
        <w:rPr>
          <w:rFonts w:ascii="Book Antiqua" w:hAnsi="Book Antiqua"/>
          <w:i/>
          <w:kern w:val="2"/>
          <w:sz w:val="24"/>
          <w:szCs w:val="24"/>
        </w:rPr>
        <w:t>Acad Radiol</w:t>
      </w:r>
      <w:r w:rsidRPr="0081216A">
        <w:rPr>
          <w:rFonts w:ascii="Book Antiqua" w:hAnsi="Book Antiqua"/>
          <w:kern w:val="2"/>
          <w:sz w:val="24"/>
          <w:szCs w:val="24"/>
        </w:rPr>
        <w:t xml:space="preserve"> 2008; </w:t>
      </w:r>
      <w:r w:rsidRPr="0081216A">
        <w:rPr>
          <w:rFonts w:ascii="Book Antiqua" w:hAnsi="Book Antiqua"/>
          <w:b/>
          <w:kern w:val="2"/>
          <w:sz w:val="24"/>
          <w:szCs w:val="24"/>
        </w:rPr>
        <w:t>15</w:t>
      </w:r>
      <w:r w:rsidRPr="0081216A">
        <w:rPr>
          <w:rFonts w:ascii="Book Antiqua" w:hAnsi="Book Antiqua"/>
          <w:kern w:val="2"/>
          <w:sz w:val="24"/>
          <w:szCs w:val="24"/>
        </w:rPr>
        <w:t>: 919-927 [PMID: 18572129 DOI: 10.1016/j.acra.2008.02.005]</w:t>
      </w:r>
    </w:p>
    <w:p w14:paraId="43215206"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76 </w:t>
      </w:r>
      <w:r w:rsidRPr="0081216A">
        <w:rPr>
          <w:rFonts w:ascii="Book Antiqua" w:hAnsi="Book Antiqua"/>
          <w:b/>
          <w:kern w:val="2"/>
          <w:sz w:val="24"/>
          <w:szCs w:val="24"/>
        </w:rPr>
        <w:t>Sahani DV</w:t>
      </w:r>
      <w:r w:rsidRPr="0081216A">
        <w:rPr>
          <w:rFonts w:ascii="Book Antiqua" w:hAnsi="Book Antiqua"/>
          <w:kern w:val="2"/>
          <w:sz w:val="24"/>
          <w:szCs w:val="24"/>
        </w:rPr>
        <w:t xml:space="preserve">, Holalkere NS, Mueller PR, Zhu AX. Advanced hepatocellular carcinoma: CT perfusion of liver and tumor tissue--initial experience. </w:t>
      </w:r>
      <w:r w:rsidRPr="0081216A">
        <w:rPr>
          <w:rFonts w:ascii="Book Antiqua" w:hAnsi="Book Antiqua"/>
          <w:i/>
          <w:kern w:val="2"/>
          <w:sz w:val="24"/>
          <w:szCs w:val="24"/>
        </w:rPr>
        <w:t>Radiology</w:t>
      </w:r>
      <w:r w:rsidRPr="0081216A">
        <w:rPr>
          <w:rFonts w:ascii="Book Antiqua" w:hAnsi="Book Antiqua"/>
          <w:kern w:val="2"/>
          <w:sz w:val="24"/>
          <w:szCs w:val="24"/>
        </w:rPr>
        <w:t xml:space="preserve"> 2007; </w:t>
      </w:r>
      <w:r w:rsidRPr="0081216A">
        <w:rPr>
          <w:rFonts w:ascii="Book Antiqua" w:hAnsi="Book Antiqua"/>
          <w:b/>
          <w:kern w:val="2"/>
          <w:sz w:val="24"/>
          <w:szCs w:val="24"/>
        </w:rPr>
        <w:t>243</w:t>
      </w:r>
      <w:r w:rsidRPr="0081216A">
        <w:rPr>
          <w:rFonts w:ascii="Book Antiqua" w:hAnsi="Book Antiqua"/>
          <w:kern w:val="2"/>
          <w:sz w:val="24"/>
          <w:szCs w:val="24"/>
        </w:rPr>
        <w:t>: 736-743 [PMID: 17517931 DOI: 10.1148/radiol.2433052020]</w:t>
      </w:r>
    </w:p>
    <w:p w14:paraId="705480E0"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77 </w:t>
      </w:r>
      <w:r w:rsidRPr="0081216A">
        <w:rPr>
          <w:rFonts w:ascii="Book Antiqua" w:hAnsi="Book Antiqua"/>
          <w:b/>
          <w:kern w:val="2"/>
          <w:sz w:val="24"/>
          <w:szCs w:val="24"/>
        </w:rPr>
        <w:t>Forner A</w:t>
      </w:r>
      <w:r w:rsidRPr="0081216A">
        <w:rPr>
          <w:rFonts w:ascii="Book Antiqua" w:hAnsi="Book Antiqua"/>
          <w:kern w:val="2"/>
          <w:sz w:val="24"/>
          <w:szCs w:val="24"/>
        </w:rPr>
        <w:t xml:space="preserve">, Ayuso C, Varela M, Rimola J, Hessheimer AJ, de Lope CR, Reig M, Bianchi L, Llovet JM, Bruix J. Evaluation of tumor response after locoregional therapies in hepatocellular carcinoma: are response evaluation criteria in solid tumors reliable? </w:t>
      </w:r>
      <w:r w:rsidRPr="0081216A">
        <w:rPr>
          <w:rFonts w:ascii="Book Antiqua" w:hAnsi="Book Antiqua"/>
          <w:i/>
          <w:kern w:val="2"/>
          <w:sz w:val="24"/>
          <w:szCs w:val="24"/>
        </w:rPr>
        <w:t>Cancer</w:t>
      </w:r>
      <w:r w:rsidRPr="0081216A">
        <w:rPr>
          <w:rFonts w:ascii="Book Antiqua" w:hAnsi="Book Antiqua"/>
          <w:kern w:val="2"/>
          <w:sz w:val="24"/>
          <w:szCs w:val="24"/>
        </w:rPr>
        <w:t xml:space="preserve"> 2009; </w:t>
      </w:r>
      <w:r w:rsidRPr="0081216A">
        <w:rPr>
          <w:rFonts w:ascii="Book Antiqua" w:hAnsi="Book Antiqua"/>
          <w:b/>
          <w:kern w:val="2"/>
          <w:sz w:val="24"/>
          <w:szCs w:val="24"/>
        </w:rPr>
        <w:t>115</w:t>
      </w:r>
      <w:r w:rsidRPr="0081216A">
        <w:rPr>
          <w:rFonts w:ascii="Book Antiqua" w:hAnsi="Book Antiqua"/>
          <w:kern w:val="2"/>
          <w:sz w:val="24"/>
          <w:szCs w:val="24"/>
        </w:rPr>
        <w:t>: 616-623 [PMID: 19117042 DOI: 10.1002/cncr.24050]</w:t>
      </w:r>
    </w:p>
    <w:p w14:paraId="74E10343"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78 </w:t>
      </w:r>
      <w:r w:rsidRPr="0081216A">
        <w:rPr>
          <w:rFonts w:ascii="Book Antiqua" w:hAnsi="Book Antiqua"/>
          <w:b/>
          <w:kern w:val="2"/>
          <w:sz w:val="24"/>
          <w:szCs w:val="24"/>
        </w:rPr>
        <w:t>Meijerink MR</w:t>
      </w:r>
      <w:r w:rsidRPr="0081216A">
        <w:rPr>
          <w:rFonts w:ascii="Book Antiqua" w:hAnsi="Book Antiqua"/>
          <w:kern w:val="2"/>
          <w:sz w:val="24"/>
          <w:szCs w:val="24"/>
        </w:rPr>
        <w:t xml:space="preserve">, van Waesberghe JH, van der Weide L, van den Tol P, Meijer S, Comans EF, Golding RP, van Kuijk C. Early detection of local RFA site recurrence using total liver volume perfusion CT initial experience. </w:t>
      </w:r>
      <w:r w:rsidRPr="0081216A">
        <w:rPr>
          <w:rFonts w:ascii="Book Antiqua" w:hAnsi="Book Antiqua"/>
          <w:i/>
          <w:kern w:val="2"/>
          <w:sz w:val="24"/>
          <w:szCs w:val="24"/>
        </w:rPr>
        <w:t>Acad Radiol</w:t>
      </w:r>
      <w:r w:rsidRPr="0081216A">
        <w:rPr>
          <w:rFonts w:ascii="Book Antiqua" w:hAnsi="Book Antiqua"/>
          <w:kern w:val="2"/>
          <w:sz w:val="24"/>
          <w:szCs w:val="24"/>
        </w:rPr>
        <w:t xml:space="preserve"> 2009; </w:t>
      </w:r>
      <w:r w:rsidRPr="0081216A">
        <w:rPr>
          <w:rFonts w:ascii="Book Antiqua" w:hAnsi="Book Antiqua"/>
          <w:b/>
          <w:kern w:val="2"/>
          <w:sz w:val="24"/>
          <w:szCs w:val="24"/>
        </w:rPr>
        <w:t>16</w:t>
      </w:r>
      <w:r w:rsidRPr="0081216A">
        <w:rPr>
          <w:rFonts w:ascii="Book Antiqua" w:hAnsi="Book Antiqua"/>
          <w:kern w:val="2"/>
          <w:sz w:val="24"/>
          <w:szCs w:val="24"/>
        </w:rPr>
        <w:t>: 1215-1222 [PMID: 19524457 DOI: 10.1016/j.acra.2009.03.023]</w:t>
      </w:r>
    </w:p>
    <w:p w14:paraId="77472523"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79 </w:t>
      </w:r>
      <w:r w:rsidRPr="0081216A">
        <w:rPr>
          <w:rFonts w:ascii="Book Antiqua" w:hAnsi="Book Antiqua"/>
          <w:b/>
          <w:kern w:val="2"/>
          <w:sz w:val="24"/>
          <w:szCs w:val="24"/>
        </w:rPr>
        <w:t>Marquez HP</w:t>
      </w:r>
      <w:r w:rsidRPr="0081216A">
        <w:rPr>
          <w:rFonts w:ascii="Book Antiqua" w:hAnsi="Book Antiqua"/>
          <w:kern w:val="2"/>
          <w:sz w:val="24"/>
          <w:szCs w:val="24"/>
        </w:rPr>
        <w:t xml:space="preserve">, Karalli A, Haubenreisser H, Mathew RP, Alkadhi H, Brismar TB, Henzler T, Fischer MA. Computed tomography perfusion imaging for monitoring transarterial chemoembolization of hepatocellular carcinoma. </w:t>
      </w:r>
      <w:r w:rsidRPr="0081216A">
        <w:rPr>
          <w:rFonts w:ascii="Book Antiqua" w:hAnsi="Book Antiqua"/>
          <w:i/>
          <w:kern w:val="2"/>
          <w:sz w:val="24"/>
          <w:szCs w:val="24"/>
        </w:rPr>
        <w:t>Eur J Radiol</w:t>
      </w:r>
      <w:r w:rsidRPr="0081216A">
        <w:rPr>
          <w:rFonts w:ascii="Book Antiqua" w:hAnsi="Book Antiqua"/>
          <w:kern w:val="2"/>
          <w:sz w:val="24"/>
          <w:szCs w:val="24"/>
        </w:rPr>
        <w:t xml:space="preserve"> 2017; </w:t>
      </w:r>
      <w:r w:rsidRPr="0081216A">
        <w:rPr>
          <w:rFonts w:ascii="Book Antiqua" w:hAnsi="Book Antiqua"/>
          <w:b/>
          <w:kern w:val="2"/>
          <w:sz w:val="24"/>
          <w:szCs w:val="24"/>
        </w:rPr>
        <w:t>91</w:t>
      </w:r>
      <w:r w:rsidRPr="0081216A">
        <w:rPr>
          <w:rFonts w:ascii="Book Antiqua" w:hAnsi="Book Antiqua"/>
          <w:kern w:val="2"/>
          <w:sz w:val="24"/>
          <w:szCs w:val="24"/>
        </w:rPr>
        <w:t>: 160-167 [PMID: 28629564 DOI: 10.1016/j.ejrad.2017.03.014]</w:t>
      </w:r>
    </w:p>
    <w:p w14:paraId="7F689D08"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80 </w:t>
      </w:r>
      <w:r w:rsidRPr="0081216A">
        <w:rPr>
          <w:rFonts w:ascii="Book Antiqua" w:hAnsi="Book Antiqua"/>
          <w:b/>
          <w:kern w:val="2"/>
          <w:sz w:val="24"/>
          <w:szCs w:val="24"/>
        </w:rPr>
        <w:t>Tamandl D</w:t>
      </w:r>
      <w:r w:rsidRPr="0081216A">
        <w:rPr>
          <w:rFonts w:ascii="Book Antiqua" w:hAnsi="Book Antiqua"/>
          <w:kern w:val="2"/>
          <w:sz w:val="24"/>
          <w:szCs w:val="24"/>
        </w:rPr>
        <w:t xml:space="preserve">, Waneck F, Sieghart W, Unterhumer S, Kölblinger C, Baltzer P, </w:t>
      </w:r>
      <w:r w:rsidRPr="0081216A">
        <w:rPr>
          <w:rFonts w:ascii="Book Antiqua" w:hAnsi="Book Antiqua"/>
          <w:kern w:val="2"/>
          <w:sz w:val="24"/>
          <w:szCs w:val="24"/>
        </w:rPr>
        <w:lastRenderedPageBreak/>
        <w:t xml:space="preserve">Ba-Ssalamah A, Loewe C. Early response evaluation using CT-perfusion one day after transarterial chemoembolization for HCC predicts treatment response and long-term disease control. </w:t>
      </w:r>
      <w:r w:rsidRPr="0081216A">
        <w:rPr>
          <w:rFonts w:ascii="Book Antiqua" w:hAnsi="Book Antiqua"/>
          <w:i/>
          <w:kern w:val="2"/>
          <w:sz w:val="24"/>
          <w:szCs w:val="24"/>
        </w:rPr>
        <w:t>Eur J Radiol</w:t>
      </w:r>
      <w:r w:rsidRPr="0081216A">
        <w:rPr>
          <w:rFonts w:ascii="Book Antiqua" w:hAnsi="Book Antiqua"/>
          <w:kern w:val="2"/>
          <w:sz w:val="24"/>
          <w:szCs w:val="24"/>
        </w:rPr>
        <w:t xml:space="preserve"> 2017; </w:t>
      </w:r>
      <w:r w:rsidRPr="0081216A">
        <w:rPr>
          <w:rFonts w:ascii="Book Antiqua" w:hAnsi="Book Antiqua"/>
          <w:b/>
          <w:kern w:val="2"/>
          <w:sz w:val="24"/>
          <w:szCs w:val="24"/>
        </w:rPr>
        <w:t>90</w:t>
      </w:r>
      <w:r w:rsidRPr="0081216A">
        <w:rPr>
          <w:rFonts w:ascii="Book Antiqua" w:hAnsi="Book Antiqua"/>
          <w:kern w:val="2"/>
          <w:sz w:val="24"/>
          <w:szCs w:val="24"/>
        </w:rPr>
        <w:t>: 73-80 [PMID: 28583650 DOI: 10.1016/j.ejrad.2017.02.032]</w:t>
      </w:r>
    </w:p>
    <w:p w14:paraId="6B5D3CB5"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81 </w:t>
      </w:r>
      <w:r w:rsidRPr="0081216A">
        <w:rPr>
          <w:rFonts w:ascii="Book Antiqua" w:hAnsi="Book Antiqua"/>
          <w:b/>
          <w:kern w:val="2"/>
          <w:sz w:val="24"/>
          <w:szCs w:val="24"/>
        </w:rPr>
        <w:t>Chen BB</w:t>
      </w:r>
      <w:r w:rsidRPr="0081216A">
        <w:rPr>
          <w:rFonts w:ascii="Book Antiqua" w:hAnsi="Book Antiqua"/>
          <w:kern w:val="2"/>
          <w:sz w:val="24"/>
          <w:szCs w:val="24"/>
        </w:rPr>
        <w:t xml:space="preserve">, Hsu CY, Yu CW, Liang PC, Hsu C, Hsu CH, Cheng AL, Shih TT. Early perfusion changes within 1 week of systemic treatment measured by dynamic contrast-enhanced MRI may predict survival in patients with advanced hepatocellular carcinoma. </w:t>
      </w:r>
      <w:r w:rsidRPr="0081216A">
        <w:rPr>
          <w:rFonts w:ascii="Book Antiqua" w:hAnsi="Book Antiqua"/>
          <w:i/>
          <w:kern w:val="2"/>
          <w:sz w:val="24"/>
          <w:szCs w:val="24"/>
        </w:rPr>
        <w:t>Eur Radiol</w:t>
      </w:r>
      <w:r w:rsidRPr="0081216A">
        <w:rPr>
          <w:rFonts w:ascii="Book Antiqua" w:hAnsi="Book Antiqua"/>
          <w:kern w:val="2"/>
          <w:sz w:val="24"/>
          <w:szCs w:val="24"/>
        </w:rPr>
        <w:t xml:space="preserve"> 2017; </w:t>
      </w:r>
      <w:r w:rsidRPr="0081216A">
        <w:rPr>
          <w:rFonts w:ascii="Book Antiqua" w:hAnsi="Book Antiqua"/>
          <w:b/>
          <w:kern w:val="2"/>
          <w:sz w:val="24"/>
          <w:szCs w:val="24"/>
        </w:rPr>
        <w:t>27</w:t>
      </w:r>
      <w:r w:rsidRPr="0081216A">
        <w:rPr>
          <w:rFonts w:ascii="Book Antiqua" w:hAnsi="Book Antiqua"/>
          <w:kern w:val="2"/>
          <w:sz w:val="24"/>
          <w:szCs w:val="24"/>
        </w:rPr>
        <w:t>: 3069-3079 [PMID: 27957638 DOI: 10.1007/s00330-016-4670-2]</w:t>
      </w:r>
    </w:p>
    <w:p w14:paraId="72EECEE2"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82 </w:t>
      </w:r>
      <w:r w:rsidRPr="0081216A">
        <w:rPr>
          <w:rFonts w:ascii="Book Antiqua" w:hAnsi="Book Antiqua"/>
          <w:b/>
          <w:kern w:val="2"/>
          <w:sz w:val="24"/>
          <w:szCs w:val="24"/>
        </w:rPr>
        <w:t>Ippolito D</w:t>
      </w:r>
      <w:r w:rsidRPr="0081216A">
        <w:rPr>
          <w:rFonts w:ascii="Book Antiqua" w:hAnsi="Book Antiqua"/>
          <w:kern w:val="2"/>
          <w:sz w:val="24"/>
          <w:szCs w:val="24"/>
        </w:rPr>
        <w:t xml:space="preserve">, Querques G, Okolicsanyi S, Franzesi CT, Strazzabosco M, Sironi S. Diagnostic value of dynamic contrast-enhanced CT with perfusion imaging in the quantitative assessment of tumor response to sorafenib in patients with advanced hepatocellular carcinoma: A feasibility study. </w:t>
      </w:r>
      <w:r w:rsidRPr="0081216A">
        <w:rPr>
          <w:rFonts w:ascii="Book Antiqua" w:hAnsi="Book Antiqua"/>
          <w:i/>
          <w:kern w:val="2"/>
          <w:sz w:val="24"/>
          <w:szCs w:val="24"/>
        </w:rPr>
        <w:t>Eur J Radiol</w:t>
      </w:r>
      <w:r w:rsidRPr="0081216A">
        <w:rPr>
          <w:rFonts w:ascii="Book Antiqua" w:hAnsi="Book Antiqua"/>
          <w:kern w:val="2"/>
          <w:sz w:val="24"/>
          <w:szCs w:val="24"/>
        </w:rPr>
        <w:t xml:space="preserve"> 2017; </w:t>
      </w:r>
      <w:r w:rsidRPr="0081216A">
        <w:rPr>
          <w:rFonts w:ascii="Book Antiqua" w:hAnsi="Book Antiqua"/>
          <w:b/>
          <w:kern w:val="2"/>
          <w:sz w:val="24"/>
          <w:szCs w:val="24"/>
        </w:rPr>
        <w:t>90</w:t>
      </w:r>
      <w:r w:rsidRPr="0081216A">
        <w:rPr>
          <w:rFonts w:ascii="Book Antiqua" w:hAnsi="Book Antiqua"/>
          <w:kern w:val="2"/>
          <w:sz w:val="24"/>
          <w:szCs w:val="24"/>
        </w:rPr>
        <w:t>: 34-41 [PMID: 28583645 DOI: 10.1016/j.ejrad.2017.02.027]</w:t>
      </w:r>
    </w:p>
    <w:p w14:paraId="4E8399EE"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83 </w:t>
      </w:r>
      <w:r w:rsidRPr="0081216A">
        <w:rPr>
          <w:rFonts w:ascii="Book Antiqua" w:hAnsi="Book Antiqua"/>
          <w:b/>
          <w:kern w:val="2"/>
          <w:sz w:val="24"/>
          <w:szCs w:val="24"/>
        </w:rPr>
        <w:t>Venkatesh SK</w:t>
      </w:r>
      <w:r w:rsidRPr="0081216A">
        <w:rPr>
          <w:rFonts w:ascii="Book Antiqua" w:hAnsi="Book Antiqua"/>
          <w:kern w:val="2"/>
          <w:sz w:val="24"/>
          <w:szCs w:val="24"/>
        </w:rPr>
        <w:t xml:space="preserve">, Yin M, Ehman RL. Magnetic resonance elastography of liver: technique, analysis, and clinical applications. </w:t>
      </w:r>
      <w:r w:rsidRPr="0081216A">
        <w:rPr>
          <w:rFonts w:ascii="Book Antiqua" w:hAnsi="Book Antiqua"/>
          <w:i/>
          <w:kern w:val="2"/>
          <w:sz w:val="24"/>
          <w:szCs w:val="24"/>
        </w:rPr>
        <w:t>J Magn Reson Imaging</w:t>
      </w:r>
      <w:r w:rsidRPr="0081216A">
        <w:rPr>
          <w:rFonts w:ascii="Book Antiqua" w:hAnsi="Book Antiqua"/>
          <w:kern w:val="2"/>
          <w:sz w:val="24"/>
          <w:szCs w:val="24"/>
        </w:rPr>
        <w:t xml:space="preserve"> 2013; </w:t>
      </w:r>
      <w:r w:rsidRPr="0081216A">
        <w:rPr>
          <w:rFonts w:ascii="Book Antiqua" w:hAnsi="Book Antiqua"/>
          <w:b/>
          <w:kern w:val="2"/>
          <w:sz w:val="24"/>
          <w:szCs w:val="24"/>
        </w:rPr>
        <w:t>37</w:t>
      </w:r>
      <w:r w:rsidRPr="0081216A">
        <w:rPr>
          <w:rFonts w:ascii="Book Antiqua" w:hAnsi="Book Antiqua"/>
          <w:kern w:val="2"/>
          <w:sz w:val="24"/>
          <w:szCs w:val="24"/>
        </w:rPr>
        <w:t>: 544-555 [PMID: 23423795 DOI: 10.1002/jmri.23731]</w:t>
      </w:r>
    </w:p>
    <w:p w14:paraId="29B5139B"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84 </w:t>
      </w:r>
      <w:r w:rsidRPr="0081216A">
        <w:rPr>
          <w:rFonts w:ascii="Book Antiqua" w:hAnsi="Book Antiqua"/>
          <w:b/>
          <w:kern w:val="2"/>
          <w:sz w:val="24"/>
          <w:szCs w:val="24"/>
        </w:rPr>
        <w:t>Motosugi U</w:t>
      </w:r>
      <w:r w:rsidRPr="0081216A">
        <w:rPr>
          <w:rFonts w:ascii="Book Antiqua" w:hAnsi="Book Antiqua"/>
          <w:kern w:val="2"/>
          <w:sz w:val="24"/>
          <w:szCs w:val="24"/>
        </w:rPr>
        <w:t xml:space="preserve">, Ichikawa T, Koshiishi T, Sano K, Morisaka H, Ichikawa S, Enomoto N, Matsuda M, Fujii H, Araki T. Liver stiffness measured by magnetic resonance elastography as a risk factor for hepatocellular carcinoma: a preliminary case-control study. </w:t>
      </w:r>
      <w:r w:rsidRPr="0081216A">
        <w:rPr>
          <w:rFonts w:ascii="Book Antiqua" w:hAnsi="Book Antiqua"/>
          <w:i/>
          <w:kern w:val="2"/>
          <w:sz w:val="24"/>
          <w:szCs w:val="24"/>
        </w:rPr>
        <w:t>Eur Radiol</w:t>
      </w:r>
      <w:r w:rsidRPr="0081216A">
        <w:rPr>
          <w:rFonts w:ascii="Book Antiqua" w:hAnsi="Book Antiqua"/>
          <w:kern w:val="2"/>
          <w:sz w:val="24"/>
          <w:szCs w:val="24"/>
        </w:rPr>
        <w:t xml:space="preserve"> 2013; </w:t>
      </w:r>
      <w:r w:rsidRPr="0081216A">
        <w:rPr>
          <w:rFonts w:ascii="Book Antiqua" w:hAnsi="Book Antiqua"/>
          <w:b/>
          <w:kern w:val="2"/>
          <w:sz w:val="24"/>
          <w:szCs w:val="24"/>
        </w:rPr>
        <w:t>23</w:t>
      </w:r>
      <w:r w:rsidRPr="0081216A">
        <w:rPr>
          <w:rFonts w:ascii="Book Antiqua" w:hAnsi="Book Antiqua"/>
          <w:kern w:val="2"/>
          <w:sz w:val="24"/>
          <w:szCs w:val="24"/>
        </w:rPr>
        <w:t>: 156-162 [PMID: 22814828 DOI: 10.1007/s00330-012-2571-6]</w:t>
      </w:r>
    </w:p>
    <w:p w14:paraId="22BDFA7A"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85 </w:t>
      </w:r>
      <w:r w:rsidRPr="0081216A">
        <w:rPr>
          <w:rFonts w:ascii="Book Antiqua" w:hAnsi="Book Antiqua"/>
          <w:b/>
          <w:kern w:val="2"/>
          <w:sz w:val="24"/>
          <w:szCs w:val="24"/>
        </w:rPr>
        <w:t>Anaparthy R</w:t>
      </w:r>
      <w:r w:rsidRPr="0081216A">
        <w:rPr>
          <w:rFonts w:ascii="Book Antiqua" w:hAnsi="Book Antiqua"/>
          <w:kern w:val="2"/>
          <w:sz w:val="24"/>
          <w:szCs w:val="24"/>
        </w:rPr>
        <w:t xml:space="preserve">, Talwalkar JA, Yin M, Roberts LR, Fidler JL, Ehman RL. Liver stiffness measurement by magnetic resonance elastography is not associated with developing hepatocellular carcinoma in subjects with compensated cirrhosis. </w:t>
      </w:r>
      <w:r w:rsidRPr="0081216A">
        <w:rPr>
          <w:rFonts w:ascii="Book Antiqua" w:hAnsi="Book Antiqua"/>
          <w:i/>
          <w:kern w:val="2"/>
          <w:sz w:val="24"/>
          <w:szCs w:val="24"/>
        </w:rPr>
        <w:t>Aliment Pharmacol Ther</w:t>
      </w:r>
      <w:r w:rsidRPr="0081216A">
        <w:rPr>
          <w:rFonts w:ascii="Book Antiqua" w:hAnsi="Book Antiqua"/>
          <w:kern w:val="2"/>
          <w:sz w:val="24"/>
          <w:szCs w:val="24"/>
        </w:rPr>
        <w:t xml:space="preserve"> 2011; </w:t>
      </w:r>
      <w:r w:rsidRPr="0081216A">
        <w:rPr>
          <w:rFonts w:ascii="Book Antiqua" w:hAnsi="Book Antiqua"/>
          <w:b/>
          <w:kern w:val="2"/>
          <w:sz w:val="24"/>
          <w:szCs w:val="24"/>
        </w:rPr>
        <w:t>34</w:t>
      </w:r>
      <w:r w:rsidRPr="0081216A">
        <w:rPr>
          <w:rFonts w:ascii="Book Antiqua" w:hAnsi="Book Antiqua"/>
          <w:kern w:val="2"/>
          <w:sz w:val="24"/>
          <w:szCs w:val="24"/>
        </w:rPr>
        <w:t>: 83-91 [PMID: 21535445 DOI: 10.1111/j.1365-2036.2011.04673.x]</w:t>
      </w:r>
    </w:p>
    <w:p w14:paraId="6D3ED3A3"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86 </w:t>
      </w:r>
      <w:r w:rsidRPr="0081216A">
        <w:rPr>
          <w:rFonts w:ascii="Book Antiqua" w:hAnsi="Book Antiqua"/>
          <w:b/>
          <w:kern w:val="2"/>
          <w:sz w:val="24"/>
          <w:szCs w:val="24"/>
        </w:rPr>
        <w:t>Venkatesh SK</w:t>
      </w:r>
      <w:r w:rsidRPr="0081216A">
        <w:rPr>
          <w:rFonts w:ascii="Book Antiqua" w:hAnsi="Book Antiqua"/>
          <w:kern w:val="2"/>
          <w:sz w:val="24"/>
          <w:szCs w:val="24"/>
        </w:rPr>
        <w:t xml:space="preserve">, Yin M, Glockner JF, Takahashi N, Araoz PA, Talwalkar JA, Ehman RL. MR elastography of liver tumors: preliminary results. </w:t>
      </w:r>
      <w:r w:rsidRPr="0081216A">
        <w:rPr>
          <w:rFonts w:ascii="Book Antiqua" w:hAnsi="Book Antiqua"/>
          <w:i/>
          <w:kern w:val="2"/>
          <w:sz w:val="24"/>
          <w:szCs w:val="24"/>
        </w:rPr>
        <w:t>AJR Am J Roentgenol</w:t>
      </w:r>
      <w:r w:rsidRPr="0081216A">
        <w:rPr>
          <w:rFonts w:ascii="Book Antiqua" w:hAnsi="Book Antiqua"/>
          <w:kern w:val="2"/>
          <w:sz w:val="24"/>
          <w:szCs w:val="24"/>
        </w:rPr>
        <w:t xml:space="preserve"> 2008; </w:t>
      </w:r>
      <w:r w:rsidRPr="0081216A">
        <w:rPr>
          <w:rFonts w:ascii="Book Antiqua" w:hAnsi="Book Antiqua"/>
          <w:b/>
          <w:kern w:val="2"/>
          <w:sz w:val="24"/>
          <w:szCs w:val="24"/>
        </w:rPr>
        <w:t>190</w:t>
      </w:r>
      <w:r w:rsidRPr="0081216A">
        <w:rPr>
          <w:rFonts w:ascii="Book Antiqua" w:hAnsi="Book Antiqua"/>
          <w:kern w:val="2"/>
          <w:sz w:val="24"/>
          <w:szCs w:val="24"/>
        </w:rPr>
        <w:t>: 1534-1540 [PMID: 18492904 DOI: 10.2214/AJR.07.3123]</w:t>
      </w:r>
    </w:p>
    <w:p w14:paraId="1E4A12B2"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87 </w:t>
      </w:r>
      <w:r w:rsidRPr="0081216A">
        <w:rPr>
          <w:rFonts w:ascii="Book Antiqua" w:hAnsi="Book Antiqua"/>
          <w:b/>
          <w:kern w:val="2"/>
          <w:sz w:val="24"/>
          <w:szCs w:val="24"/>
        </w:rPr>
        <w:t>Hennedige TP</w:t>
      </w:r>
      <w:r w:rsidRPr="0081216A">
        <w:rPr>
          <w:rFonts w:ascii="Book Antiqua" w:hAnsi="Book Antiqua"/>
          <w:kern w:val="2"/>
          <w:sz w:val="24"/>
          <w:szCs w:val="24"/>
        </w:rPr>
        <w:t xml:space="preserve">, Hallinan JT, Leung FP, Teo LL, Iyer S, Wang G, Chang S, </w:t>
      </w:r>
      <w:r w:rsidRPr="0081216A">
        <w:rPr>
          <w:rFonts w:ascii="Book Antiqua" w:hAnsi="Book Antiqua"/>
          <w:kern w:val="2"/>
          <w:sz w:val="24"/>
          <w:szCs w:val="24"/>
        </w:rPr>
        <w:lastRenderedPageBreak/>
        <w:t xml:space="preserve">Madhavan KK, Wee A, Venkatesh SK. Comparison of magnetic resonance elastography and diffusion-weighted imaging for differentiating benign and malignant liver lesions. </w:t>
      </w:r>
      <w:r w:rsidRPr="0081216A">
        <w:rPr>
          <w:rFonts w:ascii="Book Antiqua" w:hAnsi="Book Antiqua"/>
          <w:i/>
          <w:kern w:val="2"/>
          <w:sz w:val="24"/>
          <w:szCs w:val="24"/>
        </w:rPr>
        <w:t>Eur Radiol</w:t>
      </w:r>
      <w:r w:rsidRPr="0081216A">
        <w:rPr>
          <w:rFonts w:ascii="Book Antiqua" w:hAnsi="Book Antiqua"/>
          <w:kern w:val="2"/>
          <w:sz w:val="24"/>
          <w:szCs w:val="24"/>
        </w:rPr>
        <w:t xml:space="preserve"> 2016; </w:t>
      </w:r>
      <w:r w:rsidRPr="0081216A">
        <w:rPr>
          <w:rFonts w:ascii="Book Antiqua" w:hAnsi="Book Antiqua"/>
          <w:b/>
          <w:kern w:val="2"/>
          <w:sz w:val="24"/>
          <w:szCs w:val="24"/>
        </w:rPr>
        <w:t>26</w:t>
      </w:r>
      <w:r w:rsidRPr="0081216A">
        <w:rPr>
          <w:rFonts w:ascii="Book Antiqua" w:hAnsi="Book Antiqua"/>
          <w:kern w:val="2"/>
          <w:sz w:val="24"/>
          <w:szCs w:val="24"/>
        </w:rPr>
        <w:t>: 398-406 [PMID: 26032879 DOI: 10.1007/s00330-015-3835-8]</w:t>
      </w:r>
    </w:p>
    <w:p w14:paraId="1ABC0185"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88 </w:t>
      </w:r>
      <w:r w:rsidRPr="0081216A">
        <w:rPr>
          <w:rFonts w:ascii="Book Antiqua" w:hAnsi="Book Antiqua"/>
          <w:b/>
          <w:kern w:val="2"/>
          <w:sz w:val="24"/>
          <w:szCs w:val="24"/>
        </w:rPr>
        <w:t>Hennedige T</w:t>
      </w:r>
      <w:r w:rsidRPr="0081216A">
        <w:rPr>
          <w:rFonts w:ascii="Book Antiqua" w:hAnsi="Book Antiqua"/>
          <w:kern w:val="2"/>
          <w:sz w:val="24"/>
          <w:szCs w:val="24"/>
        </w:rPr>
        <w:t xml:space="preserve">, Venkatesh SK. Imaging of hepatocellular carcinoma: diagnosis, staging and treatment monitoring. </w:t>
      </w:r>
      <w:r w:rsidRPr="0081216A">
        <w:rPr>
          <w:rFonts w:ascii="Book Antiqua" w:hAnsi="Book Antiqua"/>
          <w:i/>
          <w:kern w:val="2"/>
          <w:sz w:val="24"/>
          <w:szCs w:val="24"/>
        </w:rPr>
        <w:t>Cancer Imaging</w:t>
      </w:r>
      <w:r w:rsidRPr="0081216A">
        <w:rPr>
          <w:rFonts w:ascii="Book Antiqua" w:hAnsi="Book Antiqua"/>
          <w:kern w:val="2"/>
          <w:sz w:val="24"/>
          <w:szCs w:val="24"/>
        </w:rPr>
        <w:t xml:space="preserve"> 2013; </w:t>
      </w:r>
      <w:r w:rsidRPr="0081216A">
        <w:rPr>
          <w:rFonts w:ascii="Book Antiqua" w:hAnsi="Book Antiqua"/>
          <w:b/>
          <w:kern w:val="2"/>
          <w:sz w:val="24"/>
          <w:szCs w:val="24"/>
        </w:rPr>
        <w:t>12</w:t>
      </w:r>
      <w:r w:rsidRPr="0081216A">
        <w:rPr>
          <w:rFonts w:ascii="Book Antiqua" w:hAnsi="Book Antiqua"/>
          <w:kern w:val="2"/>
          <w:sz w:val="24"/>
          <w:szCs w:val="24"/>
        </w:rPr>
        <w:t>: 530-547 [PMID: 23400006 DOI: 10.1102/1470-7330.2012.0044]</w:t>
      </w:r>
    </w:p>
    <w:p w14:paraId="39931067"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89 </w:t>
      </w:r>
      <w:r w:rsidRPr="0081216A">
        <w:rPr>
          <w:rFonts w:ascii="Book Antiqua" w:hAnsi="Book Antiqua"/>
          <w:b/>
          <w:kern w:val="2"/>
          <w:sz w:val="24"/>
          <w:szCs w:val="24"/>
        </w:rPr>
        <w:t>Paudyal B</w:t>
      </w:r>
      <w:r w:rsidRPr="0081216A">
        <w:rPr>
          <w:rFonts w:ascii="Book Antiqua" w:hAnsi="Book Antiqua"/>
          <w:kern w:val="2"/>
          <w:sz w:val="24"/>
          <w:szCs w:val="24"/>
        </w:rPr>
        <w:t xml:space="preserve">, Paudyal P, Oriuchi N, Tsushima Y, Nakajima T, Endo K. Clinical implication of glucose transport and metabolism evaluated by 18F-FDG PET in hepatocellular carcinoma. </w:t>
      </w:r>
      <w:r w:rsidRPr="0081216A">
        <w:rPr>
          <w:rFonts w:ascii="Book Antiqua" w:hAnsi="Book Antiqua"/>
          <w:i/>
          <w:kern w:val="2"/>
          <w:sz w:val="24"/>
          <w:szCs w:val="24"/>
        </w:rPr>
        <w:t>Int J Oncol</w:t>
      </w:r>
      <w:r w:rsidRPr="0081216A">
        <w:rPr>
          <w:rFonts w:ascii="Book Antiqua" w:hAnsi="Book Antiqua"/>
          <w:kern w:val="2"/>
          <w:sz w:val="24"/>
          <w:szCs w:val="24"/>
        </w:rPr>
        <w:t xml:space="preserve"> 2008; </w:t>
      </w:r>
      <w:r w:rsidRPr="0081216A">
        <w:rPr>
          <w:rFonts w:ascii="Book Antiqua" w:hAnsi="Book Antiqua"/>
          <w:b/>
          <w:kern w:val="2"/>
          <w:sz w:val="24"/>
          <w:szCs w:val="24"/>
        </w:rPr>
        <w:t>33</w:t>
      </w:r>
      <w:r w:rsidRPr="0081216A">
        <w:rPr>
          <w:rFonts w:ascii="Book Antiqua" w:hAnsi="Book Antiqua"/>
          <w:kern w:val="2"/>
          <w:sz w:val="24"/>
          <w:szCs w:val="24"/>
        </w:rPr>
        <w:t>: 1047-1054 [PMID: 18949368]</w:t>
      </w:r>
    </w:p>
    <w:p w14:paraId="59E90506"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90 </w:t>
      </w:r>
      <w:r w:rsidRPr="0081216A">
        <w:rPr>
          <w:rFonts w:ascii="Book Antiqua" w:hAnsi="Book Antiqua"/>
          <w:b/>
          <w:kern w:val="2"/>
          <w:sz w:val="24"/>
          <w:szCs w:val="24"/>
        </w:rPr>
        <w:t>Hong G</w:t>
      </w:r>
      <w:r w:rsidRPr="0081216A">
        <w:rPr>
          <w:rFonts w:ascii="Book Antiqua" w:hAnsi="Book Antiqua"/>
          <w:kern w:val="2"/>
          <w:sz w:val="24"/>
          <w:szCs w:val="24"/>
        </w:rPr>
        <w:t xml:space="preserve">, Suh KS, Suh SW, Yoo T, Kim H, Park MS, Choi Y, Paeng JC, Yi NJ, Lee KW. Alpha-fetoprotein and (18)F-FDG positron emission tomography predict tumor recurrence better than Milan criteria in living donor liver transplantation. </w:t>
      </w:r>
      <w:r w:rsidRPr="0081216A">
        <w:rPr>
          <w:rFonts w:ascii="Book Antiqua" w:hAnsi="Book Antiqua"/>
          <w:i/>
          <w:kern w:val="2"/>
          <w:sz w:val="24"/>
          <w:szCs w:val="24"/>
        </w:rPr>
        <w:t>J Hepatol</w:t>
      </w:r>
      <w:r w:rsidRPr="0081216A">
        <w:rPr>
          <w:rFonts w:ascii="Book Antiqua" w:hAnsi="Book Antiqua"/>
          <w:kern w:val="2"/>
          <w:sz w:val="24"/>
          <w:szCs w:val="24"/>
        </w:rPr>
        <w:t xml:space="preserve"> 2016; </w:t>
      </w:r>
      <w:r w:rsidRPr="0081216A">
        <w:rPr>
          <w:rFonts w:ascii="Book Antiqua" w:hAnsi="Book Antiqua"/>
          <w:b/>
          <w:kern w:val="2"/>
          <w:sz w:val="24"/>
          <w:szCs w:val="24"/>
        </w:rPr>
        <w:t>64</w:t>
      </w:r>
      <w:r w:rsidRPr="0081216A">
        <w:rPr>
          <w:rFonts w:ascii="Book Antiqua" w:hAnsi="Book Antiqua"/>
          <w:kern w:val="2"/>
          <w:sz w:val="24"/>
          <w:szCs w:val="24"/>
        </w:rPr>
        <w:t>: 852-859 [PMID: 26658686 DOI: 10.1016/j.jhep.2015.11.033]</w:t>
      </w:r>
    </w:p>
    <w:p w14:paraId="5B72AD91"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91 </w:t>
      </w:r>
      <w:r w:rsidRPr="0081216A">
        <w:rPr>
          <w:rFonts w:ascii="Book Antiqua" w:hAnsi="Book Antiqua"/>
          <w:b/>
          <w:kern w:val="2"/>
          <w:sz w:val="24"/>
          <w:szCs w:val="24"/>
        </w:rPr>
        <w:t>Sugiyama M</w:t>
      </w:r>
      <w:r w:rsidRPr="0081216A">
        <w:rPr>
          <w:rFonts w:ascii="Book Antiqua" w:hAnsi="Book Antiqua"/>
          <w:kern w:val="2"/>
          <w:sz w:val="24"/>
          <w:szCs w:val="24"/>
        </w:rPr>
        <w:t xml:space="preserve">, Sakahara H, Torizuka T, Kanno T, Nakamura F, Futatsubashi M, Nakamura S. 18F-FDG PET in the detection of extrahepatic metastases from hepatocellular carcinoma. </w:t>
      </w:r>
      <w:r w:rsidRPr="0081216A">
        <w:rPr>
          <w:rFonts w:ascii="Book Antiqua" w:hAnsi="Book Antiqua"/>
          <w:i/>
          <w:kern w:val="2"/>
          <w:sz w:val="24"/>
          <w:szCs w:val="24"/>
        </w:rPr>
        <w:t>J Gastroenterol</w:t>
      </w:r>
      <w:r w:rsidRPr="0081216A">
        <w:rPr>
          <w:rFonts w:ascii="Book Antiqua" w:hAnsi="Book Antiqua"/>
          <w:kern w:val="2"/>
          <w:sz w:val="24"/>
          <w:szCs w:val="24"/>
        </w:rPr>
        <w:t xml:space="preserve"> 2004; </w:t>
      </w:r>
      <w:r w:rsidRPr="0081216A">
        <w:rPr>
          <w:rFonts w:ascii="Book Antiqua" w:hAnsi="Book Antiqua"/>
          <w:b/>
          <w:kern w:val="2"/>
          <w:sz w:val="24"/>
          <w:szCs w:val="24"/>
        </w:rPr>
        <w:t>39</w:t>
      </w:r>
      <w:r w:rsidRPr="0081216A">
        <w:rPr>
          <w:rFonts w:ascii="Book Antiqua" w:hAnsi="Book Antiqua"/>
          <w:kern w:val="2"/>
          <w:sz w:val="24"/>
          <w:szCs w:val="24"/>
        </w:rPr>
        <w:t>: 961-968 [PMID: 15549449 DOI: 10.1007/s00535-004-1427-5]</w:t>
      </w:r>
    </w:p>
    <w:p w14:paraId="59796D37"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92 </w:t>
      </w:r>
      <w:r w:rsidRPr="0081216A">
        <w:rPr>
          <w:rFonts w:ascii="Book Antiqua" w:hAnsi="Book Antiqua"/>
          <w:b/>
          <w:kern w:val="2"/>
          <w:sz w:val="24"/>
          <w:szCs w:val="24"/>
        </w:rPr>
        <w:t>Lin CY</w:t>
      </w:r>
      <w:r w:rsidRPr="0081216A">
        <w:rPr>
          <w:rFonts w:ascii="Book Antiqua" w:hAnsi="Book Antiqua"/>
          <w:kern w:val="2"/>
          <w:sz w:val="24"/>
          <w:szCs w:val="24"/>
        </w:rPr>
        <w:t xml:space="preserve">, Chen JH, Liang JA, Lin CC, Jeng LB, Kao CH. 18F-FDG PET or PET/CT for detecting extrahepatic metastases or recurrent hepatocellular carcinoma: a systematic review and meta-analysis. </w:t>
      </w:r>
      <w:r w:rsidRPr="0081216A">
        <w:rPr>
          <w:rFonts w:ascii="Book Antiqua" w:hAnsi="Book Antiqua"/>
          <w:i/>
          <w:kern w:val="2"/>
          <w:sz w:val="24"/>
          <w:szCs w:val="24"/>
        </w:rPr>
        <w:t>Eur J Radiol</w:t>
      </w:r>
      <w:r w:rsidRPr="0081216A">
        <w:rPr>
          <w:rFonts w:ascii="Book Antiqua" w:hAnsi="Book Antiqua"/>
          <w:kern w:val="2"/>
          <w:sz w:val="24"/>
          <w:szCs w:val="24"/>
        </w:rPr>
        <w:t xml:space="preserve"> 2012; </w:t>
      </w:r>
      <w:r w:rsidRPr="0081216A">
        <w:rPr>
          <w:rFonts w:ascii="Book Antiqua" w:hAnsi="Book Antiqua"/>
          <w:b/>
          <w:kern w:val="2"/>
          <w:sz w:val="24"/>
          <w:szCs w:val="24"/>
        </w:rPr>
        <w:t>81</w:t>
      </w:r>
      <w:r w:rsidRPr="0081216A">
        <w:rPr>
          <w:rFonts w:ascii="Book Antiqua" w:hAnsi="Book Antiqua"/>
          <w:kern w:val="2"/>
          <w:sz w:val="24"/>
          <w:szCs w:val="24"/>
        </w:rPr>
        <w:t>: 2417-2422 [PMID: 21899970 DOI: 10.1016/j.ejrad.2011.08.004]</w:t>
      </w:r>
    </w:p>
    <w:p w14:paraId="225FB325"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93 </w:t>
      </w:r>
      <w:r w:rsidRPr="0081216A">
        <w:rPr>
          <w:rFonts w:ascii="Book Antiqua" w:hAnsi="Book Antiqua"/>
          <w:b/>
          <w:kern w:val="2"/>
          <w:sz w:val="24"/>
          <w:szCs w:val="24"/>
        </w:rPr>
        <w:t>Bertagna F</w:t>
      </w:r>
      <w:r w:rsidRPr="0081216A">
        <w:rPr>
          <w:rFonts w:ascii="Book Antiqua" w:hAnsi="Book Antiqua"/>
          <w:kern w:val="2"/>
          <w:sz w:val="24"/>
          <w:szCs w:val="24"/>
        </w:rPr>
        <w:t xml:space="preserve">, Bertoli M, Bosio G, Biasiotto G, Sadeghi R, Giubbini R, Treglia G. Diagnostic role of radiolabelled choline PET or PET/CT in hepatocellular carcinoma: a systematic review and meta-analysis. </w:t>
      </w:r>
      <w:r w:rsidRPr="0081216A">
        <w:rPr>
          <w:rFonts w:ascii="Book Antiqua" w:hAnsi="Book Antiqua"/>
          <w:i/>
          <w:kern w:val="2"/>
          <w:sz w:val="24"/>
          <w:szCs w:val="24"/>
        </w:rPr>
        <w:t>Hepatol Int</w:t>
      </w:r>
      <w:r w:rsidRPr="0081216A">
        <w:rPr>
          <w:rFonts w:ascii="Book Antiqua" w:hAnsi="Book Antiqua"/>
          <w:kern w:val="2"/>
          <w:sz w:val="24"/>
          <w:szCs w:val="24"/>
        </w:rPr>
        <w:t xml:space="preserve"> 2014; </w:t>
      </w:r>
      <w:r w:rsidRPr="0081216A">
        <w:rPr>
          <w:rFonts w:ascii="Book Antiqua" w:hAnsi="Book Antiqua"/>
          <w:b/>
          <w:kern w:val="2"/>
          <w:sz w:val="24"/>
          <w:szCs w:val="24"/>
        </w:rPr>
        <w:t>8</w:t>
      </w:r>
      <w:r w:rsidRPr="0081216A">
        <w:rPr>
          <w:rFonts w:ascii="Book Antiqua" w:hAnsi="Book Antiqua"/>
          <w:kern w:val="2"/>
          <w:sz w:val="24"/>
          <w:szCs w:val="24"/>
        </w:rPr>
        <w:t>: 493-500 [PMID: 26202754 DOI: 10.1007/s12072-014-9566-0]</w:t>
      </w:r>
    </w:p>
    <w:p w14:paraId="4C6855F4"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94 </w:t>
      </w:r>
      <w:r w:rsidRPr="0081216A">
        <w:rPr>
          <w:rFonts w:ascii="Book Antiqua" w:hAnsi="Book Antiqua"/>
          <w:b/>
          <w:kern w:val="2"/>
          <w:sz w:val="24"/>
          <w:szCs w:val="24"/>
        </w:rPr>
        <w:t>Talbot JN</w:t>
      </w:r>
      <w:r w:rsidRPr="0081216A">
        <w:rPr>
          <w:rFonts w:ascii="Book Antiqua" w:hAnsi="Book Antiqua"/>
          <w:kern w:val="2"/>
          <w:sz w:val="24"/>
          <w:szCs w:val="24"/>
        </w:rPr>
        <w:t xml:space="preserve">, Fartoux L, Balogova S, Nataf V, Kerrou K, Gutman F, Huchet V, Ancel D, Grange JD, Rosmorduc O. Detection of hepatocellular carcinoma with PET/CT: a prospective comparison of 18F-fluorocholine and 18F-FDG in </w:t>
      </w:r>
      <w:r w:rsidRPr="0081216A">
        <w:rPr>
          <w:rFonts w:ascii="Book Antiqua" w:hAnsi="Book Antiqua"/>
          <w:kern w:val="2"/>
          <w:sz w:val="24"/>
          <w:szCs w:val="24"/>
        </w:rPr>
        <w:lastRenderedPageBreak/>
        <w:t xml:space="preserve">patients with cirrhosis or chronic liver disease. </w:t>
      </w:r>
      <w:r w:rsidRPr="0081216A">
        <w:rPr>
          <w:rFonts w:ascii="Book Antiqua" w:hAnsi="Book Antiqua"/>
          <w:i/>
          <w:kern w:val="2"/>
          <w:sz w:val="24"/>
          <w:szCs w:val="24"/>
        </w:rPr>
        <w:t>J Nucl Med</w:t>
      </w:r>
      <w:r w:rsidRPr="0081216A">
        <w:rPr>
          <w:rFonts w:ascii="Book Antiqua" w:hAnsi="Book Antiqua"/>
          <w:kern w:val="2"/>
          <w:sz w:val="24"/>
          <w:szCs w:val="24"/>
        </w:rPr>
        <w:t xml:space="preserve"> 2010; </w:t>
      </w:r>
      <w:r w:rsidRPr="0081216A">
        <w:rPr>
          <w:rFonts w:ascii="Book Antiqua" w:hAnsi="Book Antiqua"/>
          <w:b/>
          <w:kern w:val="2"/>
          <w:sz w:val="24"/>
          <w:szCs w:val="24"/>
        </w:rPr>
        <w:t>51</w:t>
      </w:r>
      <w:r w:rsidRPr="0081216A">
        <w:rPr>
          <w:rFonts w:ascii="Book Antiqua" w:hAnsi="Book Antiqua"/>
          <w:kern w:val="2"/>
          <w:sz w:val="24"/>
          <w:szCs w:val="24"/>
        </w:rPr>
        <w:t>: 1699-1706 [PMID: 20956466 DOI: 10.2967/jnumed.110.075507]</w:t>
      </w:r>
    </w:p>
    <w:p w14:paraId="59B63E5E"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95 </w:t>
      </w:r>
      <w:r w:rsidRPr="0081216A">
        <w:rPr>
          <w:rFonts w:ascii="Book Antiqua" w:hAnsi="Book Antiqua"/>
          <w:b/>
          <w:kern w:val="2"/>
          <w:sz w:val="24"/>
          <w:szCs w:val="24"/>
        </w:rPr>
        <w:t>Xie DY</w:t>
      </w:r>
      <w:r w:rsidRPr="0081216A">
        <w:rPr>
          <w:rFonts w:ascii="Book Antiqua" w:hAnsi="Book Antiqua"/>
          <w:kern w:val="2"/>
          <w:sz w:val="24"/>
          <w:szCs w:val="24"/>
        </w:rPr>
        <w:t xml:space="preserve">, Ren ZG, Zhou J, Fan J, Gao Q. Critical appraisal of Chinese 2017 guideline on the management of hepatocellular carcinoma. </w:t>
      </w:r>
      <w:r w:rsidRPr="0081216A">
        <w:rPr>
          <w:rFonts w:ascii="Book Antiqua" w:hAnsi="Book Antiqua"/>
          <w:i/>
          <w:kern w:val="2"/>
          <w:sz w:val="24"/>
          <w:szCs w:val="24"/>
        </w:rPr>
        <w:t>Hepatobiliary Surg Nutr</w:t>
      </w:r>
      <w:r w:rsidRPr="0081216A">
        <w:rPr>
          <w:rFonts w:ascii="Book Antiqua" w:hAnsi="Book Antiqua"/>
          <w:kern w:val="2"/>
          <w:sz w:val="24"/>
          <w:szCs w:val="24"/>
        </w:rPr>
        <w:t xml:space="preserve"> 2017; </w:t>
      </w:r>
      <w:r w:rsidRPr="0081216A">
        <w:rPr>
          <w:rFonts w:ascii="Book Antiqua" w:hAnsi="Book Antiqua"/>
          <w:b/>
          <w:kern w:val="2"/>
          <w:sz w:val="24"/>
          <w:szCs w:val="24"/>
        </w:rPr>
        <w:t>6</w:t>
      </w:r>
      <w:r w:rsidRPr="0081216A">
        <w:rPr>
          <w:rFonts w:ascii="Book Antiqua" w:hAnsi="Book Antiqua"/>
          <w:kern w:val="2"/>
          <w:sz w:val="24"/>
          <w:szCs w:val="24"/>
        </w:rPr>
        <w:t>: 387-396 [PMID: 29312973 DOI: 10.21037/hbsn.2017.11.01]</w:t>
      </w:r>
    </w:p>
    <w:p w14:paraId="3F8375FD"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96 </w:t>
      </w:r>
      <w:r w:rsidRPr="0081216A">
        <w:rPr>
          <w:rFonts w:ascii="Book Antiqua" w:hAnsi="Book Antiqua"/>
          <w:b/>
          <w:kern w:val="2"/>
          <w:sz w:val="24"/>
          <w:szCs w:val="24"/>
        </w:rPr>
        <w:t>Llovet JM</w:t>
      </w:r>
      <w:r w:rsidRPr="0081216A">
        <w:rPr>
          <w:rFonts w:ascii="Book Antiqua" w:hAnsi="Book Antiqua"/>
          <w:kern w:val="2"/>
          <w:sz w:val="24"/>
          <w:szCs w:val="24"/>
        </w:rPr>
        <w:t xml:space="preserve">, Brú C, Bruix J. Prognosis of hepatocellular carcinoma: the BCLC staging classification. </w:t>
      </w:r>
      <w:r w:rsidRPr="0081216A">
        <w:rPr>
          <w:rFonts w:ascii="Book Antiqua" w:hAnsi="Book Antiqua"/>
          <w:i/>
          <w:kern w:val="2"/>
          <w:sz w:val="24"/>
          <w:szCs w:val="24"/>
        </w:rPr>
        <w:t>Semin Liver Dis</w:t>
      </w:r>
      <w:r w:rsidRPr="0081216A">
        <w:rPr>
          <w:rFonts w:ascii="Book Antiqua" w:hAnsi="Book Antiqua"/>
          <w:kern w:val="2"/>
          <w:sz w:val="24"/>
          <w:szCs w:val="24"/>
        </w:rPr>
        <w:t xml:space="preserve"> 1999; </w:t>
      </w:r>
      <w:r w:rsidRPr="0081216A">
        <w:rPr>
          <w:rFonts w:ascii="Book Antiqua" w:hAnsi="Book Antiqua"/>
          <w:b/>
          <w:kern w:val="2"/>
          <w:sz w:val="24"/>
          <w:szCs w:val="24"/>
        </w:rPr>
        <w:t>19</w:t>
      </w:r>
      <w:r w:rsidRPr="0081216A">
        <w:rPr>
          <w:rFonts w:ascii="Book Antiqua" w:hAnsi="Book Antiqua"/>
          <w:kern w:val="2"/>
          <w:sz w:val="24"/>
          <w:szCs w:val="24"/>
        </w:rPr>
        <w:t>: 329-338 [PMID: 10518312 DOI: 10.1055/s-2007-1007122]</w:t>
      </w:r>
    </w:p>
    <w:p w14:paraId="31523C95"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97 </w:t>
      </w:r>
      <w:r w:rsidRPr="0081216A">
        <w:rPr>
          <w:rFonts w:ascii="Book Antiqua" w:hAnsi="Book Antiqua"/>
          <w:b/>
          <w:kern w:val="2"/>
          <w:sz w:val="24"/>
          <w:szCs w:val="24"/>
        </w:rPr>
        <w:t>Kim BK</w:t>
      </w:r>
      <w:r w:rsidRPr="0081216A">
        <w:rPr>
          <w:rFonts w:ascii="Book Antiqua" w:hAnsi="Book Antiqua"/>
          <w:kern w:val="2"/>
          <w:sz w:val="24"/>
          <w:szCs w:val="24"/>
        </w:rPr>
        <w:t xml:space="preserve">, Kim SU, Park JY, Kim DY, Ahn SH, Park MS, Kim EH, Seong J, Lee DY, Han KH. Applicability of BCLC stage for prognostic stratification in comparison with other staging systems: single centre experience from long-term clinical outcomes of 1717 treatment-naïve patients with hepatocellular carcinoma. </w:t>
      </w:r>
      <w:r w:rsidRPr="0081216A">
        <w:rPr>
          <w:rFonts w:ascii="Book Antiqua" w:hAnsi="Book Antiqua"/>
          <w:i/>
          <w:kern w:val="2"/>
          <w:sz w:val="24"/>
          <w:szCs w:val="24"/>
        </w:rPr>
        <w:t>Liver Int</w:t>
      </w:r>
      <w:r w:rsidRPr="0081216A">
        <w:rPr>
          <w:rFonts w:ascii="Book Antiqua" w:hAnsi="Book Antiqua"/>
          <w:kern w:val="2"/>
          <w:sz w:val="24"/>
          <w:szCs w:val="24"/>
        </w:rPr>
        <w:t xml:space="preserve"> 2012; </w:t>
      </w:r>
      <w:r w:rsidRPr="0081216A">
        <w:rPr>
          <w:rFonts w:ascii="Book Antiqua" w:hAnsi="Book Antiqua"/>
          <w:b/>
          <w:kern w:val="2"/>
          <w:sz w:val="24"/>
          <w:szCs w:val="24"/>
        </w:rPr>
        <w:t>32</w:t>
      </w:r>
      <w:r w:rsidRPr="0081216A">
        <w:rPr>
          <w:rFonts w:ascii="Book Antiqua" w:hAnsi="Book Antiqua"/>
          <w:kern w:val="2"/>
          <w:sz w:val="24"/>
          <w:szCs w:val="24"/>
        </w:rPr>
        <w:t>: 1120-1127 [PMID: 22524688 DOI: 10.1111/j.1478-3231.2012.02811.x]</w:t>
      </w:r>
    </w:p>
    <w:p w14:paraId="3AEAF985"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98 </w:t>
      </w:r>
      <w:r w:rsidRPr="0081216A">
        <w:rPr>
          <w:rFonts w:ascii="Book Antiqua" w:hAnsi="Book Antiqua"/>
          <w:b/>
          <w:kern w:val="2"/>
          <w:sz w:val="24"/>
          <w:szCs w:val="24"/>
        </w:rPr>
        <w:t>Marrero JA</w:t>
      </w:r>
      <w:r w:rsidRPr="0081216A">
        <w:rPr>
          <w:rFonts w:ascii="Book Antiqua" w:hAnsi="Book Antiqua"/>
          <w:kern w:val="2"/>
          <w:sz w:val="24"/>
          <w:szCs w:val="24"/>
        </w:rPr>
        <w:t xml:space="preserve">, Fontana RJ, Barrat A, Askari F, Conjeevaram HS, Su GL, Lok AS. Prognosis of hepatocellular carcinoma: comparison of 7 staging systems in an American cohort. </w:t>
      </w:r>
      <w:r w:rsidRPr="0081216A">
        <w:rPr>
          <w:rFonts w:ascii="Book Antiqua" w:hAnsi="Book Antiqua"/>
          <w:i/>
          <w:kern w:val="2"/>
          <w:sz w:val="24"/>
          <w:szCs w:val="24"/>
        </w:rPr>
        <w:t>Hepatology</w:t>
      </w:r>
      <w:r w:rsidRPr="0081216A">
        <w:rPr>
          <w:rFonts w:ascii="Book Antiqua" w:hAnsi="Book Antiqua"/>
          <w:kern w:val="2"/>
          <w:sz w:val="24"/>
          <w:szCs w:val="24"/>
        </w:rPr>
        <w:t xml:space="preserve"> 2005; </w:t>
      </w:r>
      <w:r w:rsidRPr="0081216A">
        <w:rPr>
          <w:rFonts w:ascii="Book Antiqua" w:hAnsi="Book Antiqua"/>
          <w:b/>
          <w:kern w:val="2"/>
          <w:sz w:val="24"/>
          <w:szCs w:val="24"/>
        </w:rPr>
        <w:t>41</w:t>
      </w:r>
      <w:r w:rsidRPr="0081216A">
        <w:rPr>
          <w:rFonts w:ascii="Book Antiqua" w:hAnsi="Book Antiqua"/>
          <w:kern w:val="2"/>
          <w:sz w:val="24"/>
          <w:szCs w:val="24"/>
        </w:rPr>
        <w:t>: 707-716 [PMID: 15795889 DOI: 10.1002/hep.20636]</w:t>
      </w:r>
    </w:p>
    <w:p w14:paraId="6373318A"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99 </w:t>
      </w:r>
      <w:r w:rsidRPr="0081216A">
        <w:rPr>
          <w:rFonts w:ascii="Book Antiqua" w:hAnsi="Book Antiqua"/>
          <w:b/>
          <w:kern w:val="2"/>
          <w:sz w:val="24"/>
          <w:szCs w:val="24"/>
        </w:rPr>
        <w:t>Cammà C</w:t>
      </w:r>
      <w:r w:rsidRPr="0081216A">
        <w:rPr>
          <w:rFonts w:ascii="Book Antiqua" w:hAnsi="Book Antiqua"/>
          <w:kern w:val="2"/>
          <w:sz w:val="24"/>
          <w:szCs w:val="24"/>
        </w:rPr>
        <w:t xml:space="preserve">, Di Marco V, Cabibbo G, Latteri F, Sandonato L, Parisi P, Enea M, Attanasio M, Galia M, Alessi N, Licata A, Latteri MA, Craxì A. Survival of patients with hepatocellular carcinoma in cirrhosis: a comparison of BCLC, CLIP and GRETCH staging systems. </w:t>
      </w:r>
      <w:r w:rsidRPr="0081216A">
        <w:rPr>
          <w:rFonts w:ascii="Book Antiqua" w:hAnsi="Book Antiqua"/>
          <w:i/>
          <w:kern w:val="2"/>
          <w:sz w:val="24"/>
          <w:szCs w:val="24"/>
        </w:rPr>
        <w:t>Aliment Pharmacol Ther</w:t>
      </w:r>
      <w:r w:rsidRPr="0081216A">
        <w:rPr>
          <w:rFonts w:ascii="Book Antiqua" w:hAnsi="Book Antiqua"/>
          <w:kern w:val="2"/>
          <w:sz w:val="24"/>
          <w:szCs w:val="24"/>
        </w:rPr>
        <w:t xml:space="preserve"> 2008; </w:t>
      </w:r>
      <w:r w:rsidRPr="0081216A">
        <w:rPr>
          <w:rFonts w:ascii="Book Antiqua" w:hAnsi="Book Antiqua"/>
          <w:b/>
          <w:kern w:val="2"/>
          <w:sz w:val="24"/>
          <w:szCs w:val="24"/>
        </w:rPr>
        <w:t>28</w:t>
      </w:r>
      <w:r w:rsidRPr="0081216A">
        <w:rPr>
          <w:rFonts w:ascii="Book Antiqua" w:hAnsi="Book Antiqua"/>
          <w:kern w:val="2"/>
          <w:sz w:val="24"/>
          <w:szCs w:val="24"/>
        </w:rPr>
        <w:t>: 62-75 [PMID: 18373636 DOI: 10.1111/j.1365-2036.2008.03692.x]</w:t>
      </w:r>
    </w:p>
    <w:p w14:paraId="55406D3F"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100 </w:t>
      </w:r>
      <w:r w:rsidRPr="0081216A">
        <w:rPr>
          <w:rFonts w:ascii="Book Antiqua" w:hAnsi="Book Antiqua"/>
          <w:b/>
          <w:kern w:val="2"/>
          <w:sz w:val="24"/>
          <w:szCs w:val="24"/>
        </w:rPr>
        <w:t>Bolondi L</w:t>
      </w:r>
      <w:r w:rsidRPr="0081216A">
        <w:rPr>
          <w:rFonts w:ascii="Book Antiqua" w:hAnsi="Book Antiqua"/>
          <w:kern w:val="2"/>
          <w:sz w:val="24"/>
          <w:szCs w:val="24"/>
        </w:rPr>
        <w:t xml:space="preserve">, Sofia S, Siringo S, Gaiani S, Casali A, Zironi G, Piscaglia F, Gramantieri L, Zanetti M, Sherman M. Surveillance programme of cirrhotic patients for early diagnosis and treatment of hepatocellular carcinoma: a cost effectiveness analysis. </w:t>
      </w:r>
      <w:r w:rsidRPr="0081216A">
        <w:rPr>
          <w:rFonts w:ascii="Book Antiqua" w:hAnsi="Book Antiqua"/>
          <w:i/>
          <w:kern w:val="2"/>
          <w:sz w:val="24"/>
          <w:szCs w:val="24"/>
        </w:rPr>
        <w:t>Gut</w:t>
      </w:r>
      <w:r w:rsidRPr="0081216A">
        <w:rPr>
          <w:rFonts w:ascii="Book Antiqua" w:hAnsi="Book Antiqua"/>
          <w:kern w:val="2"/>
          <w:sz w:val="24"/>
          <w:szCs w:val="24"/>
        </w:rPr>
        <w:t xml:space="preserve"> 2001; </w:t>
      </w:r>
      <w:r w:rsidRPr="0081216A">
        <w:rPr>
          <w:rFonts w:ascii="Book Antiqua" w:hAnsi="Book Antiqua"/>
          <w:b/>
          <w:kern w:val="2"/>
          <w:sz w:val="24"/>
          <w:szCs w:val="24"/>
        </w:rPr>
        <w:t>48</w:t>
      </w:r>
      <w:r w:rsidRPr="0081216A">
        <w:rPr>
          <w:rFonts w:ascii="Book Antiqua" w:hAnsi="Book Antiqua"/>
          <w:kern w:val="2"/>
          <w:sz w:val="24"/>
          <w:szCs w:val="24"/>
        </w:rPr>
        <w:t>: 251-259 [PMID: 11156649]</w:t>
      </w:r>
    </w:p>
    <w:p w14:paraId="23ABFC3B"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101 </w:t>
      </w:r>
      <w:r w:rsidRPr="0081216A">
        <w:rPr>
          <w:rFonts w:ascii="Book Antiqua" w:hAnsi="Book Antiqua"/>
          <w:b/>
          <w:kern w:val="2"/>
          <w:sz w:val="24"/>
          <w:szCs w:val="24"/>
        </w:rPr>
        <w:t>Singal A</w:t>
      </w:r>
      <w:r w:rsidRPr="0081216A">
        <w:rPr>
          <w:rFonts w:ascii="Book Antiqua" w:hAnsi="Book Antiqua"/>
          <w:kern w:val="2"/>
          <w:sz w:val="24"/>
          <w:szCs w:val="24"/>
        </w:rPr>
        <w:t xml:space="preserve">, Volk ML, Waljee A, Salgia R, Higgins P, Rogers MA, Marrero JA. Meta-analysis: surveillance with ultrasound for early-stage hepatocellular carcinoma in patients with cirrhosis. </w:t>
      </w:r>
      <w:r w:rsidRPr="0081216A">
        <w:rPr>
          <w:rFonts w:ascii="Book Antiqua" w:hAnsi="Book Antiqua"/>
          <w:i/>
          <w:kern w:val="2"/>
          <w:sz w:val="24"/>
          <w:szCs w:val="24"/>
        </w:rPr>
        <w:t>Aliment Pharmacol Ther</w:t>
      </w:r>
      <w:r w:rsidRPr="0081216A">
        <w:rPr>
          <w:rFonts w:ascii="Book Antiqua" w:hAnsi="Book Antiqua"/>
          <w:kern w:val="2"/>
          <w:sz w:val="24"/>
          <w:szCs w:val="24"/>
        </w:rPr>
        <w:t xml:space="preserve"> 2009; </w:t>
      </w:r>
      <w:r w:rsidRPr="0081216A">
        <w:rPr>
          <w:rFonts w:ascii="Book Antiqua" w:hAnsi="Book Antiqua"/>
          <w:b/>
          <w:kern w:val="2"/>
          <w:sz w:val="24"/>
          <w:szCs w:val="24"/>
        </w:rPr>
        <w:t>30</w:t>
      </w:r>
      <w:r w:rsidRPr="0081216A">
        <w:rPr>
          <w:rFonts w:ascii="Book Antiqua" w:hAnsi="Book Antiqua"/>
          <w:kern w:val="2"/>
          <w:sz w:val="24"/>
          <w:szCs w:val="24"/>
        </w:rPr>
        <w:t>: 37-47 [PMID: 19392863 DOI: 10.1111/j.1365-2036.2009.04014.x]</w:t>
      </w:r>
    </w:p>
    <w:p w14:paraId="17F81DF5"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lastRenderedPageBreak/>
        <w:t xml:space="preserve">102 </w:t>
      </w:r>
      <w:r w:rsidRPr="0081216A">
        <w:rPr>
          <w:rFonts w:ascii="Book Antiqua" w:hAnsi="Book Antiqua"/>
          <w:b/>
          <w:kern w:val="2"/>
          <w:sz w:val="24"/>
          <w:szCs w:val="24"/>
        </w:rPr>
        <w:t>Colli A</w:t>
      </w:r>
      <w:r w:rsidRPr="0081216A">
        <w:rPr>
          <w:rFonts w:ascii="Book Antiqua" w:hAnsi="Book Antiqua"/>
          <w:kern w:val="2"/>
          <w:sz w:val="24"/>
          <w:szCs w:val="24"/>
        </w:rPr>
        <w:t xml:space="preserve">, Fraquelli M, Casazza G, Massironi S, Colucci A, Conte D, Duca P. Accuracy of ultrasonography, spiral CT, magnetic resonance, and alpha-fetoprotein in diagnosing hepatocellular carcinoma: a systematic review. </w:t>
      </w:r>
      <w:r w:rsidRPr="0081216A">
        <w:rPr>
          <w:rFonts w:ascii="Book Antiqua" w:hAnsi="Book Antiqua"/>
          <w:i/>
          <w:kern w:val="2"/>
          <w:sz w:val="24"/>
          <w:szCs w:val="24"/>
        </w:rPr>
        <w:t>Am J Gastroenterol</w:t>
      </w:r>
      <w:r w:rsidRPr="0081216A">
        <w:rPr>
          <w:rFonts w:ascii="Book Antiqua" w:hAnsi="Book Antiqua"/>
          <w:kern w:val="2"/>
          <w:sz w:val="24"/>
          <w:szCs w:val="24"/>
        </w:rPr>
        <w:t xml:space="preserve"> 2006; </w:t>
      </w:r>
      <w:r w:rsidRPr="0081216A">
        <w:rPr>
          <w:rFonts w:ascii="Book Antiqua" w:hAnsi="Book Antiqua"/>
          <w:b/>
          <w:kern w:val="2"/>
          <w:sz w:val="24"/>
          <w:szCs w:val="24"/>
        </w:rPr>
        <w:t>101</w:t>
      </w:r>
      <w:r w:rsidRPr="0081216A">
        <w:rPr>
          <w:rFonts w:ascii="Book Antiqua" w:hAnsi="Book Antiqua"/>
          <w:kern w:val="2"/>
          <w:sz w:val="24"/>
          <w:szCs w:val="24"/>
        </w:rPr>
        <w:t>: 513-523 [PMID: 16542288 DOI: 10.1111/j.1572-0241.2006.00467.x]</w:t>
      </w:r>
    </w:p>
    <w:p w14:paraId="24A1EE29"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103 </w:t>
      </w:r>
      <w:r w:rsidRPr="0081216A">
        <w:rPr>
          <w:rFonts w:ascii="Book Antiqua" w:hAnsi="Book Antiqua"/>
          <w:b/>
          <w:kern w:val="2"/>
          <w:sz w:val="24"/>
          <w:szCs w:val="24"/>
        </w:rPr>
        <w:t>Cheng Z</w:t>
      </w:r>
      <w:r w:rsidRPr="0081216A">
        <w:rPr>
          <w:rFonts w:ascii="Book Antiqua" w:hAnsi="Book Antiqua"/>
          <w:kern w:val="2"/>
          <w:sz w:val="24"/>
          <w:szCs w:val="24"/>
        </w:rPr>
        <w:t xml:space="preserve">, Yang P, Lei Z, Zhang B, Si A, Yan Z, Xia Y, Li J, Wang K, Hartmann D, Hüser N, Lau WY, Shen F. Nomograms for prediction of long-term survival in elderly patients after partial hepatectomy for hepatocellular carcinoma. </w:t>
      </w:r>
      <w:r w:rsidRPr="0081216A">
        <w:rPr>
          <w:rFonts w:ascii="Book Antiqua" w:hAnsi="Book Antiqua"/>
          <w:i/>
          <w:kern w:val="2"/>
          <w:sz w:val="24"/>
          <w:szCs w:val="24"/>
        </w:rPr>
        <w:t>Surgery</w:t>
      </w:r>
      <w:r w:rsidRPr="0081216A">
        <w:rPr>
          <w:rFonts w:ascii="Book Antiqua" w:hAnsi="Book Antiqua"/>
          <w:kern w:val="2"/>
          <w:sz w:val="24"/>
          <w:szCs w:val="24"/>
        </w:rPr>
        <w:t xml:space="preserve"> 2017; </w:t>
      </w:r>
      <w:r w:rsidRPr="0081216A">
        <w:rPr>
          <w:rFonts w:ascii="Book Antiqua" w:hAnsi="Book Antiqua"/>
          <w:b/>
          <w:kern w:val="2"/>
          <w:sz w:val="24"/>
          <w:szCs w:val="24"/>
        </w:rPr>
        <w:t>162</w:t>
      </w:r>
      <w:r w:rsidRPr="0081216A">
        <w:rPr>
          <w:rFonts w:ascii="Book Antiqua" w:hAnsi="Book Antiqua"/>
          <w:kern w:val="2"/>
          <w:sz w:val="24"/>
          <w:szCs w:val="24"/>
        </w:rPr>
        <w:t>: 1231-1240 [PMID: 29033225 DOI: 10.1016/j.surg.2017.07.019]</w:t>
      </w:r>
    </w:p>
    <w:p w14:paraId="733A7089"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104 </w:t>
      </w:r>
      <w:r w:rsidRPr="0081216A">
        <w:rPr>
          <w:rFonts w:ascii="Book Antiqua" w:hAnsi="Book Antiqua"/>
          <w:b/>
          <w:kern w:val="2"/>
          <w:sz w:val="24"/>
          <w:szCs w:val="24"/>
        </w:rPr>
        <w:t>Pais R</w:t>
      </w:r>
      <w:r w:rsidRPr="0081216A">
        <w:rPr>
          <w:rFonts w:ascii="Book Antiqua" w:hAnsi="Book Antiqua"/>
          <w:kern w:val="2"/>
          <w:sz w:val="24"/>
          <w:szCs w:val="24"/>
        </w:rPr>
        <w:t xml:space="preserve">, Fartoux L, Goumard C, Scatton O, Wendum D, Rosmorduc O, Ratziu V. Temporal trends, clinical patterns and outcomes of NAFLD-related HCC in patients undergoing liver resection over a 20-year period. </w:t>
      </w:r>
      <w:r w:rsidRPr="0081216A">
        <w:rPr>
          <w:rFonts w:ascii="Book Antiqua" w:hAnsi="Book Antiqua"/>
          <w:i/>
          <w:kern w:val="2"/>
          <w:sz w:val="24"/>
          <w:szCs w:val="24"/>
        </w:rPr>
        <w:t>Aliment Pharmacol Ther</w:t>
      </w:r>
      <w:r w:rsidRPr="0081216A">
        <w:rPr>
          <w:rFonts w:ascii="Book Antiqua" w:hAnsi="Book Antiqua"/>
          <w:kern w:val="2"/>
          <w:sz w:val="24"/>
          <w:szCs w:val="24"/>
        </w:rPr>
        <w:t xml:space="preserve"> 2017; </w:t>
      </w:r>
      <w:r w:rsidRPr="0081216A">
        <w:rPr>
          <w:rFonts w:ascii="Book Antiqua" w:hAnsi="Book Antiqua"/>
          <w:b/>
          <w:kern w:val="2"/>
          <w:sz w:val="24"/>
          <w:szCs w:val="24"/>
        </w:rPr>
        <w:t>46</w:t>
      </w:r>
      <w:r w:rsidRPr="0081216A">
        <w:rPr>
          <w:rFonts w:ascii="Book Antiqua" w:hAnsi="Book Antiqua"/>
          <w:kern w:val="2"/>
          <w:sz w:val="24"/>
          <w:szCs w:val="24"/>
        </w:rPr>
        <w:t>: 856-863 [PMID: 28857208]</w:t>
      </w:r>
    </w:p>
    <w:p w14:paraId="23FC2937"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105 </w:t>
      </w:r>
      <w:r w:rsidRPr="0081216A">
        <w:rPr>
          <w:rFonts w:ascii="Book Antiqua" w:hAnsi="Book Antiqua"/>
          <w:b/>
          <w:kern w:val="2"/>
          <w:sz w:val="24"/>
          <w:szCs w:val="24"/>
        </w:rPr>
        <w:t>Sumie S</w:t>
      </w:r>
      <w:r w:rsidRPr="0081216A">
        <w:rPr>
          <w:rFonts w:ascii="Book Antiqua" w:hAnsi="Book Antiqua"/>
          <w:kern w:val="2"/>
          <w:sz w:val="24"/>
          <w:szCs w:val="24"/>
        </w:rPr>
        <w:t xml:space="preserve">, Nakashima O, Okuda K, Kuromatsu R, Kawaguchi A, Nakano M, Satani M, Yamada S, Okamura S, Hori M, Kakuma T, Torimura T, Sata M. The significance of classifying microvascular invasion in patients with hepatocellular carcinoma. </w:t>
      </w:r>
      <w:r w:rsidRPr="0081216A">
        <w:rPr>
          <w:rFonts w:ascii="Book Antiqua" w:hAnsi="Book Antiqua"/>
          <w:i/>
          <w:kern w:val="2"/>
          <w:sz w:val="24"/>
          <w:szCs w:val="24"/>
        </w:rPr>
        <w:t>Ann Surg Oncol</w:t>
      </w:r>
      <w:r w:rsidRPr="0081216A">
        <w:rPr>
          <w:rFonts w:ascii="Book Antiqua" w:hAnsi="Book Antiqua"/>
          <w:kern w:val="2"/>
          <w:sz w:val="24"/>
          <w:szCs w:val="24"/>
        </w:rPr>
        <w:t xml:space="preserve"> 2014; </w:t>
      </w:r>
      <w:r w:rsidRPr="0081216A">
        <w:rPr>
          <w:rFonts w:ascii="Book Antiqua" w:hAnsi="Book Antiqua"/>
          <w:b/>
          <w:kern w:val="2"/>
          <w:sz w:val="24"/>
          <w:szCs w:val="24"/>
        </w:rPr>
        <w:t>21</w:t>
      </w:r>
      <w:r w:rsidRPr="0081216A">
        <w:rPr>
          <w:rFonts w:ascii="Book Antiqua" w:hAnsi="Book Antiqua"/>
          <w:kern w:val="2"/>
          <w:sz w:val="24"/>
          <w:szCs w:val="24"/>
        </w:rPr>
        <w:t>: 1002-1009 [PMID: 24254204 DOI: 10.1245/s10434-013-3376-9]</w:t>
      </w:r>
    </w:p>
    <w:p w14:paraId="1BC5D69C"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106 </w:t>
      </w:r>
      <w:r w:rsidRPr="0081216A">
        <w:rPr>
          <w:rFonts w:ascii="Book Antiqua" w:hAnsi="Book Antiqua"/>
          <w:b/>
          <w:kern w:val="2"/>
          <w:sz w:val="24"/>
          <w:szCs w:val="24"/>
        </w:rPr>
        <w:t>Roayaie S</w:t>
      </w:r>
      <w:r w:rsidRPr="0081216A">
        <w:rPr>
          <w:rFonts w:ascii="Book Antiqua" w:hAnsi="Book Antiqua"/>
          <w:kern w:val="2"/>
          <w:sz w:val="24"/>
          <w:szCs w:val="24"/>
        </w:rPr>
        <w:t xml:space="preserve">, Blume IN, Thung SN, Guido M, Fiel MI, Hiotis S, Labow DM, Llovet JM, Schwartz ME. A system of classifying microvascular invasion to predict outcome after resection in patients with hepatocellular carcinoma. </w:t>
      </w:r>
      <w:r w:rsidRPr="0081216A">
        <w:rPr>
          <w:rFonts w:ascii="Book Antiqua" w:hAnsi="Book Antiqua"/>
          <w:i/>
          <w:kern w:val="2"/>
          <w:sz w:val="24"/>
          <w:szCs w:val="24"/>
        </w:rPr>
        <w:t>Gastroenterology</w:t>
      </w:r>
      <w:r w:rsidRPr="0081216A">
        <w:rPr>
          <w:rFonts w:ascii="Book Antiqua" w:hAnsi="Book Antiqua"/>
          <w:kern w:val="2"/>
          <w:sz w:val="24"/>
          <w:szCs w:val="24"/>
        </w:rPr>
        <w:t xml:space="preserve"> 2009; </w:t>
      </w:r>
      <w:r w:rsidRPr="0081216A">
        <w:rPr>
          <w:rFonts w:ascii="Book Antiqua" w:hAnsi="Book Antiqua"/>
          <w:b/>
          <w:kern w:val="2"/>
          <w:sz w:val="24"/>
          <w:szCs w:val="24"/>
        </w:rPr>
        <w:t>137</w:t>
      </w:r>
      <w:r w:rsidRPr="0081216A">
        <w:rPr>
          <w:rFonts w:ascii="Book Antiqua" w:hAnsi="Book Antiqua"/>
          <w:kern w:val="2"/>
          <w:sz w:val="24"/>
          <w:szCs w:val="24"/>
        </w:rPr>
        <w:t>: 850-855 [PMID: 19524573 DOI: 10.1053/j.gastro.2009.06.003]</w:t>
      </w:r>
    </w:p>
    <w:p w14:paraId="0FC6D7EC"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107 </w:t>
      </w:r>
      <w:r w:rsidRPr="0081216A">
        <w:rPr>
          <w:rFonts w:ascii="Book Antiqua" w:hAnsi="Book Antiqua"/>
          <w:b/>
          <w:kern w:val="2"/>
          <w:sz w:val="24"/>
          <w:szCs w:val="24"/>
        </w:rPr>
        <w:t>Imamura H</w:t>
      </w:r>
      <w:r w:rsidRPr="0081216A">
        <w:rPr>
          <w:rFonts w:ascii="Book Antiqua" w:hAnsi="Book Antiqua"/>
          <w:kern w:val="2"/>
          <w:sz w:val="24"/>
          <w:szCs w:val="24"/>
        </w:rPr>
        <w:t xml:space="preserve">, Matsuyama Y, Tanaka E, Ohkubo T, Hasegawa K, Miyagawa S, Sugawara Y, Minagawa M, Takayama T, Kawasaki S, Makuuchi M. Risk factors contributing to early and late phase intrahepatic recurrence of hepatocellular carcinoma after hepatectomy. </w:t>
      </w:r>
      <w:r w:rsidRPr="0081216A">
        <w:rPr>
          <w:rFonts w:ascii="Book Antiqua" w:hAnsi="Book Antiqua"/>
          <w:i/>
          <w:kern w:val="2"/>
          <w:sz w:val="24"/>
          <w:szCs w:val="24"/>
        </w:rPr>
        <w:t>J Hepatol</w:t>
      </w:r>
      <w:r w:rsidRPr="0081216A">
        <w:rPr>
          <w:rFonts w:ascii="Book Antiqua" w:hAnsi="Book Antiqua"/>
          <w:kern w:val="2"/>
          <w:sz w:val="24"/>
          <w:szCs w:val="24"/>
        </w:rPr>
        <w:t xml:space="preserve"> 2003; </w:t>
      </w:r>
      <w:r w:rsidRPr="0081216A">
        <w:rPr>
          <w:rFonts w:ascii="Book Antiqua" w:hAnsi="Book Antiqua"/>
          <w:b/>
          <w:kern w:val="2"/>
          <w:sz w:val="24"/>
          <w:szCs w:val="24"/>
        </w:rPr>
        <w:t>38</w:t>
      </w:r>
      <w:r w:rsidRPr="0081216A">
        <w:rPr>
          <w:rFonts w:ascii="Book Antiqua" w:hAnsi="Book Antiqua"/>
          <w:kern w:val="2"/>
          <w:sz w:val="24"/>
          <w:szCs w:val="24"/>
        </w:rPr>
        <w:t>: 200-207 [PMID: 12547409]</w:t>
      </w:r>
    </w:p>
    <w:p w14:paraId="5A562384"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108 </w:t>
      </w:r>
      <w:r w:rsidRPr="0081216A">
        <w:rPr>
          <w:rFonts w:ascii="Book Antiqua" w:hAnsi="Book Antiqua"/>
          <w:b/>
          <w:kern w:val="2"/>
          <w:sz w:val="24"/>
          <w:szCs w:val="24"/>
        </w:rPr>
        <w:t>Parfitt JR</w:t>
      </w:r>
      <w:r w:rsidRPr="0081216A">
        <w:rPr>
          <w:rFonts w:ascii="Book Antiqua" w:hAnsi="Book Antiqua"/>
          <w:kern w:val="2"/>
          <w:sz w:val="24"/>
          <w:szCs w:val="24"/>
        </w:rPr>
        <w:t xml:space="preserve">, Marotta P, Alghamdi M, Wall W, Khakhar A, Suskin NG, Quan D, McAllister V, Ghent C, Levstik M, McLean C, Chakrabarti S, Garcia B, </w:t>
      </w:r>
      <w:r w:rsidRPr="0081216A">
        <w:rPr>
          <w:rFonts w:ascii="Book Antiqua" w:hAnsi="Book Antiqua"/>
          <w:kern w:val="2"/>
          <w:sz w:val="24"/>
          <w:szCs w:val="24"/>
        </w:rPr>
        <w:lastRenderedPageBreak/>
        <w:t xml:space="preserve">Driman DK. Recurrent hepatocellular carcinoma after transplantation: use of a pathological score on explanted livers to predict recurrence. </w:t>
      </w:r>
      <w:r w:rsidRPr="0081216A">
        <w:rPr>
          <w:rFonts w:ascii="Book Antiqua" w:hAnsi="Book Antiqua"/>
          <w:i/>
          <w:kern w:val="2"/>
          <w:sz w:val="24"/>
          <w:szCs w:val="24"/>
        </w:rPr>
        <w:t>Liver Transpl</w:t>
      </w:r>
      <w:r w:rsidRPr="0081216A">
        <w:rPr>
          <w:rFonts w:ascii="Book Antiqua" w:hAnsi="Book Antiqua"/>
          <w:kern w:val="2"/>
          <w:sz w:val="24"/>
          <w:szCs w:val="24"/>
        </w:rPr>
        <w:t xml:space="preserve"> 2007; </w:t>
      </w:r>
      <w:r w:rsidRPr="0081216A">
        <w:rPr>
          <w:rFonts w:ascii="Book Antiqua" w:hAnsi="Book Antiqua"/>
          <w:b/>
          <w:kern w:val="2"/>
          <w:sz w:val="24"/>
          <w:szCs w:val="24"/>
        </w:rPr>
        <w:t>13</w:t>
      </w:r>
      <w:r w:rsidRPr="0081216A">
        <w:rPr>
          <w:rFonts w:ascii="Book Antiqua" w:hAnsi="Book Antiqua"/>
          <w:kern w:val="2"/>
          <w:sz w:val="24"/>
          <w:szCs w:val="24"/>
        </w:rPr>
        <w:t>: 543-551 [PMID: 17394152 DOI: 10.1002/lt.21078]</w:t>
      </w:r>
    </w:p>
    <w:p w14:paraId="359D744B"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109 </w:t>
      </w:r>
      <w:r w:rsidRPr="0081216A">
        <w:rPr>
          <w:rFonts w:ascii="Book Antiqua" w:hAnsi="Book Antiqua"/>
          <w:b/>
          <w:kern w:val="2"/>
          <w:sz w:val="24"/>
          <w:szCs w:val="24"/>
        </w:rPr>
        <w:t>Jonas S</w:t>
      </w:r>
      <w:r w:rsidRPr="0081216A">
        <w:rPr>
          <w:rFonts w:ascii="Book Antiqua" w:hAnsi="Book Antiqua"/>
          <w:kern w:val="2"/>
          <w:sz w:val="24"/>
          <w:szCs w:val="24"/>
        </w:rPr>
        <w:t xml:space="preserve">, Bechstein WO, Steinmüller T, Herrmann M, Radke C, Berg T, Settmacher U, Neuhaus P. Vascular invasion and histopathologic grading determine outcome after liver transplantation for hepatocellular carcinoma in cirrhosis. </w:t>
      </w:r>
      <w:r w:rsidRPr="0081216A">
        <w:rPr>
          <w:rFonts w:ascii="Book Antiqua" w:hAnsi="Book Antiqua"/>
          <w:i/>
          <w:kern w:val="2"/>
          <w:sz w:val="24"/>
          <w:szCs w:val="24"/>
        </w:rPr>
        <w:t>Hepatology</w:t>
      </w:r>
      <w:r w:rsidRPr="0081216A">
        <w:rPr>
          <w:rFonts w:ascii="Book Antiqua" w:hAnsi="Book Antiqua"/>
          <w:kern w:val="2"/>
          <w:sz w:val="24"/>
          <w:szCs w:val="24"/>
        </w:rPr>
        <w:t xml:space="preserve"> 2001; </w:t>
      </w:r>
      <w:r w:rsidRPr="0081216A">
        <w:rPr>
          <w:rFonts w:ascii="Book Antiqua" w:hAnsi="Book Antiqua"/>
          <w:b/>
          <w:kern w:val="2"/>
          <w:sz w:val="24"/>
          <w:szCs w:val="24"/>
        </w:rPr>
        <w:t>33</w:t>
      </w:r>
      <w:r w:rsidRPr="0081216A">
        <w:rPr>
          <w:rFonts w:ascii="Book Antiqua" w:hAnsi="Book Antiqua"/>
          <w:kern w:val="2"/>
          <w:sz w:val="24"/>
          <w:szCs w:val="24"/>
        </w:rPr>
        <w:t>: 1080-1086 [PMID: 11343235 DOI: 10.1053/jhep.2001.23561]</w:t>
      </w:r>
    </w:p>
    <w:p w14:paraId="748325F4"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110 </w:t>
      </w:r>
      <w:r w:rsidRPr="0081216A">
        <w:rPr>
          <w:rFonts w:ascii="Book Antiqua" w:hAnsi="Book Antiqua"/>
          <w:b/>
          <w:kern w:val="2"/>
          <w:sz w:val="24"/>
          <w:szCs w:val="24"/>
        </w:rPr>
        <w:t>Dudek K</w:t>
      </w:r>
      <w:r w:rsidRPr="0081216A">
        <w:rPr>
          <w:rFonts w:ascii="Book Antiqua" w:hAnsi="Book Antiqua"/>
          <w:kern w:val="2"/>
          <w:sz w:val="24"/>
          <w:szCs w:val="24"/>
        </w:rPr>
        <w:t xml:space="preserve">, Kornasiewicz O, Remiszewski P, Kobryń K, Ziarkiewicz-Wróblewska B, Górnicka B, Zieniewicz K, Krawczyk M. Impact of tumor characteristic on the outcome of liver transplantation in patients with hepatocellular carcinoma. </w:t>
      </w:r>
      <w:r w:rsidRPr="0081216A">
        <w:rPr>
          <w:rFonts w:ascii="Book Antiqua" w:hAnsi="Book Antiqua"/>
          <w:i/>
          <w:kern w:val="2"/>
          <w:sz w:val="24"/>
          <w:szCs w:val="24"/>
        </w:rPr>
        <w:t>Transplant Proc</w:t>
      </w:r>
      <w:r w:rsidRPr="0081216A">
        <w:rPr>
          <w:rFonts w:ascii="Book Antiqua" w:hAnsi="Book Antiqua"/>
          <w:kern w:val="2"/>
          <w:sz w:val="24"/>
          <w:szCs w:val="24"/>
        </w:rPr>
        <w:t xml:space="preserve"> 2009; </w:t>
      </w:r>
      <w:r w:rsidRPr="0081216A">
        <w:rPr>
          <w:rFonts w:ascii="Book Antiqua" w:hAnsi="Book Antiqua"/>
          <w:b/>
          <w:kern w:val="2"/>
          <w:sz w:val="24"/>
          <w:szCs w:val="24"/>
        </w:rPr>
        <w:t>41</w:t>
      </w:r>
      <w:r w:rsidRPr="0081216A">
        <w:rPr>
          <w:rFonts w:ascii="Book Antiqua" w:hAnsi="Book Antiqua"/>
          <w:kern w:val="2"/>
          <w:sz w:val="24"/>
          <w:szCs w:val="24"/>
        </w:rPr>
        <w:t>: 3135-3137 [PMID: 19857695 DOI: 10.1016/j.transproceed.2009.08.016]</w:t>
      </w:r>
    </w:p>
    <w:p w14:paraId="6653F122"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111 </w:t>
      </w:r>
      <w:r w:rsidRPr="0081216A">
        <w:rPr>
          <w:rFonts w:ascii="Book Antiqua" w:hAnsi="Book Antiqua"/>
          <w:b/>
          <w:kern w:val="2"/>
          <w:sz w:val="24"/>
          <w:szCs w:val="24"/>
        </w:rPr>
        <w:t>Gouw AS</w:t>
      </w:r>
      <w:r w:rsidRPr="0081216A">
        <w:rPr>
          <w:rFonts w:ascii="Book Antiqua" w:hAnsi="Book Antiqua"/>
          <w:kern w:val="2"/>
          <w:sz w:val="24"/>
          <w:szCs w:val="24"/>
        </w:rPr>
        <w:t xml:space="preserve">, Balabaud C, Kusano H, Todo S, Ichida T, Kojiro M. Markers for microvascular invasion in hepatocellular carcinoma: where do we stand? </w:t>
      </w:r>
      <w:r w:rsidRPr="0081216A">
        <w:rPr>
          <w:rFonts w:ascii="Book Antiqua" w:hAnsi="Book Antiqua"/>
          <w:i/>
          <w:kern w:val="2"/>
          <w:sz w:val="24"/>
          <w:szCs w:val="24"/>
        </w:rPr>
        <w:t>Liver Transpl</w:t>
      </w:r>
      <w:r w:rsidRPr="0081216A">
        <w:rPr>
          <w:rFonts w:ascii="Book Antiqua" w:hAnsi="Book Antiqua"/>
          <w:kern w:val="2"/>
          <w:sz w:val="24"/>
          <w:szCs w:val="24"/>
        </w:rPr>
        <w:t xml:space="preserve"> 2011; </w:t>
      </w:r>
      <w:r w:rsidRPr="0081216A">
        <w:rPr>
          <w:rFonts w:ascii="Book Antiqua" w:hAnsi="Book Antiqua"/>
          <w:b/>
          <w:kern w:val="2"/>
          <w:sz w:val="24"/>
          <w:szCs w:val="24"/>
        </w:rPr>
        <w:t>17 Suppl 2</w:t>
      </w:r>
      <w:r w:rsidRPr="0081216A">
        <w:rPr>
          <w:rFonts w:ascii="Book Antiqua" w:hAnsi="Book Antiqua"/>
          <w:kern w:val="2"/>
          <w:sz w:val="24"/>
          <w:szCs w:val="24"/>
        </w:rPr>
        <w:t>: S72-S80 [PMID: 21714066 DOI: 10.1002/lt.22368]</w:t>
      </w:r>
    </w:p>
    <w:p w14:paraId="3D5689FB"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112 </w:t>
      </w:r>
      <w:r w:rsidRPr="0081216A">
        <w:rPr>
          <w:rFonts w:ascii="Book Antiqua" w:hAnsi="Book Antiqua"/>
          <w:b/>
          <w:kern w:val="2"/>
          <w:sz w:val="24"/>
          <w:szCs w:val="24"/>
        </w:rPr>
        <w:t>Reginelli A</w:t>
      </w:r>
      <w:r w:rsidRPr="0081216A">
        <w:rPr>
          <w:rFonts w:ascii="Book Antiqua" w:hAnsi="Book Antiqua"/>
          <w:kern w:val="2"/>
          <w:sz w:val="24"/>
          <w:szCs w:val="24"/>
        </w:rPr>
        <w:t xml:space="preserve">, Vanzulli A, Sgrazzutti C, Caschera L, Serra N, Raucci A, Urraro F, Cappabianca S. Vascular microinvasion from hepatocellular carcinoma: CT findings and pathologic correlation for the best therapeutic strategies. </w:t>
      </w:r>
      <w:r w:rsidRPr="0081216A">
        <w:rPr>
          <w:rFonts w:ascii="Book Antiqua" w:hAnsi="Book Antiqua"/>
          <w:i/>
          <w:kern w:val="2"/>
          <w:sz w:val="24"/>
          <w:szCs w:val="24"/>
        </w:rPr>
        <w:t>Med Oncol</w:t>
      </w:r>
      <w:r w:rsidRPr="0081216A">
        <w:rPr>
          <w:rFonts w:ascii="Book Antiqua" w:hAnsi="Book Antiqua"/>
          <w:kern w:val="2"/>
          <w:sz w:val="24"/>
          <w:szCs w:val="24"/>
        </w:rPr>
        <w:t xml:space="preserve"> 2017; </w:t>
      </w:r>
      <w:r w:rsidRPr="0081216A">
        <w:rPr>
          <w:rFonts w:ascii="Book Antiqua" w:hAnsi="Book Antiqua"/>
          <w:b/>
          <w:kern w:val="2"/>
          <w:sz w:val="24"/>
          <w:szCs w:val="24"/>
        </w:rPr>
        <w:t>34</w:t>
      </w:r>
      <w:r w:rsidRPr="0081216A">
        <w:rPr>
          <w:rFonts w:ascii="Book Antiqua" w:hAnsi="Book Antiqua"/>
          <w:kern w:val="2"/>
          <w:sz w:val="24"/>
          <w:szCs w:val="24"/>
        </w:rPr>
        <w:t>: 93 [PMID: 28401484 DOI: 10.1007/s12032-017-0949-7]</w:t>
      </w:r>
    </w:p>
    <w:p w14:paraId="3BF839DA"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113 </w:t>
      </w:r>
      <w:r w:rsidRPr="0081216A">
        <w:rPr>
          <w:rFonts w:ascii="Book Antiqua" w:hAnsi="Book Antiqua"/>
          <w:b/>
          <w:kern w:val="2"/>
          <w:sz w:val="24"/>
          <w:szCs w:val="24"/>
        </w:rPr>
        <w:t>Zhao H</w:t>
      </w:r>
      <w:r w:rsidRPr="0081216A">
        <w:rPr>
          <w:rFonts w:ascii="Book Antiqua" w:hAnsi="Book Antiqua"/>
          <w:kern w:val="2"/>
          <w:sz w:val="24"/>
          <w:szCs w:val="24"/>
        </w:rPr>
        <w:t xml:space="preserve">, Hua Y, Dai T, He J, Tang M, Fu X, Mao L, Jin H, Qiu Y. Development and validation of a novel predictive scoring model for microvascular invasion in patients with hepatocellular carcinoma. </w:t>
      </w:r>
      <w:r w:rsidRPr="0081216A">
        <w:rPr>
          <w:rFonts w:ascii="Book Antiqua" w:hAnsi="Book Antiqua"/>
          <w:i/>
          <w:kern w:val="2"/>
          <w:sz w:val="24"/>
          <w:szCs w:val="24"/>
        </w:rPr>
        <w:t>Eur J Radiol</w:t>
      </w:r>
      <w:r w:rsidRPr="0081216A">
        <w:rPr>
          <w:rFonts w:ascii="Book Antiqua" w:hAnsi="Book Antiqua"/>
          <w:kern w:val="2"/>
          <w:sz w:val="24"/>
          <w:szCs w:val="24"/>
        </w:rPr>
        <w:t xml:space="preserve"> 2017; </w:t>
      </w:r>
      <w:r w:rsidRPr="0081216A">
        <w:rPr>
          <w:rFonts w:ascii="Book Antiqua" w:hAnsi="Book Antiqua"/>
          <w:b/>
          <w:kern w:val="2"/>
          <w:sz w:val="24"/>
          <w:szCs w:val="24"/>
        </w:rPr>
        <w:t>88</w:t>
      </w:r>
      <w:r w:rsidRPr="0081216A">
        <w:rPr>
          <w:rFonts w:ascii="Book Antiqua" w:hAnsi="Book Antiqua"/>
          <w:kern w:val="2"/>
          <w:sz w:val="24"/>
          <w:szCs w:val="24"/>
        </w:rPr>
        <w:t>: 32-40 [PMID: 28189206 DOI: 10.1016/j.ejrad.2016.12.030]</w:t>
      </w:r>
    </w:p>
    <w:p w14:paraId="3CD0279A"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114 </w:t>
      </w:r>
      <w:r w:rsidRPr="0081216A">
        <w:rPr>
          <w:rFonts w:ascii="Book Antiqua" w:hAnsi="Book Antiqua"/>
          <w:b/>
          <w:kern w:val="2"/>
          <w:sz w:val="24"/>
          <w:szCs w:val="24"/>
        </w:rPr>
        <w:t>Banerjee S</w:t>
      </w:r>
      <w:r w:rsidRPr="0081216A">
        <w:rPr>
          <w:rFonts w:ascii="Book Antiqua" w:hAnsi="Book Antiqua"/>
          <w:kern w:val="2"/>
          <w:sz w:val="24"/>
          <w:szCs w:val="24"/>
        </w:rPr>
        <w:t xml:space="preserve">, Wang DS, Kim HJ, Sirlin CB, Chan MG, Korn RL, Rutman AM, Siripongsakun S, Lu D, Imanbayev G, Kuo MD. A computed tomography radiogenomic biomarker predicts microvascular invasion and clinical outcomes in hepatocellular carcinoma. </w:t>
      </w:r>
      <w:r w:rsidRPr="0081216A">
        <w:rPr>
          <w:rFonts w:ascii="Book Antiqua" w:hAnsi="Book Antiqua"/>
          <w:i/>
          <w:kern w:val="2"/>
          <w:sz w:val="24"/>
          <w:szCs w:val="24"/>
        </w:rPr>
        <w:t>Hepatology</w:t>
      </w:r>
      <w:r w:rsidRPr="0081216A">
        <w:rPr>
          <w:rFonts w:ascii="Book Antiqua" w:hAnsi="Book Antiqua"/>
          <w:kern w:val="2"/>
          <w:sz w:val="24"/>
          <w:szCs w:val="24"/>
        </w:rPr>
        <w:t xml:space="preserve"> 2015; </w:t>
      </w:r>
      <w:r w:rsidRPr="0081216A">
        <w:rPr>
          <w:rFonts w:ascii="Book Antiqua" w:hAnsi="Book Antiqua"/>
          <w:b/>
          <w:kern w:val="2"/>
          <w:sz w:val="24"/>
          <w:szCs w:val="24"/>
        </w:rPr>
        <w:t>62</w:t>
      </w:r>
      <w:r w:rsidRPr="0081216A">
        <w:rPr>
          <w:rFonts w:ascii="Book Antiqua" w:hAnsi="Book Antiqua"/>
          <w:kern w:val="2"/>
          <w:sz w:val="24"/>
          <w:szCs w:val="24"/>
        </w:rPr>
        <w:t>: 792-800 [PMID: 25930992 DOI: 10.1002/hep.27877]</w:t>
      </w:r>
    </w:p>
    <w:p w14:paraId="188C1CC2"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115 </w:t>
      </w:r>
      <w:r w:rsidRPr="0081216A">
        <w:rPr>
          <w:rFonts w:ascii="Book Antiqua" w:hAnsi="Book Antiqua"/>
          <w:b/>
          <w:kern w:val="2"/>
          <w:sz w:val="24"/>
          <w:szCs w:val="24"/>
        </w:rPr>
        <w:t>Chou CT</w:t>
      </w:r>
      <w:r w:rsidRPr="0081216A">
        <w:rPr>
          <w:rFonts w:ascii="Book Antiqua" w:hAnsi="Book Antiqua"/>
          <w:kern w:val="2"/>
          <w:sz w:val="24"/>
          <w:szCs w:val="24"/>
        </w:rPr>
        <w:t>, Chen RC, Lin WC, Ko CJ, Chen CB, Chen YL. Prediction of microvascular invasion of hepatocellular carcinoma: preoperative CT and histo</w:t>
      </w:r>
      <w:r w:rsidRPr="0081216A">
        <w:rPr>
          <w:rFonts w:ascii="Book Antiqua" w:hAnsi="Book Antiqua"/>
          <w:kern w:val="2"/>
          <w:sz w:val="24"/>
          <w:szCs w:val="24"/>
        </w:rPr>
        <w:lastRenderedPageBreak/>
        <w:t xml:space="preserve">pathologic correlation. </w:t>
      </w:r>
      <w:r w:rsidRPr="0081216A">
        <w:rPr>
          <w:rFonts w:ascii="Book Antiqua" w:hAnsi="Book Antiqua"/>
          <w:i/>
          <w:kern w:val="2"/>
          <w:sz w:val="24"/>
          <w:szCs w:val="24"/>
        </w:rPr>
        <w:t>AJR Am J Roentgenol</w:t>
      </w:r>
      <w:r w:rsidRPr="0081216A">
        <w:rPr>
          <w:rFonts w:ascii="Book Antiqua" w:hAnsi="Book Antiqua"/>
          <w:kern w:val="2"/>
          <w:sz w:val="24"/>
          <w:szCs w:val="24"/>
        </w:rPr>
        <w:t xml:space="preserve"> 2014; </w:t>
      </w:r>
      <w:r w:rsidRPr="0081216A">
        <w:rPr>
          <w:rFonts w:ascii="Book Antiqua" w:hAnsi="Book Antiqua"/>
          <w:b/>
          <w:kern w:val="2"/>
          <w:sz w:val="24"/>
          <w:szCs w:val="24"/>
        </w:rPr>
        <w:t>203</w:t>
      </w:r>
      <w:r w:rsidRPr="0081216A">
        <w:rPr>
          <w:rFonts w:ascii="Book Antiqua" w:hAnsi="Book Antiqua"/>
          <w:kern w:val="2"/>
          <w:sz w:val="24"/>
          <w:szCs w:val="24"/>
        </w:rPr>
        <w:t>: W253-W259 [PMID: 25148181 DOI: 10.2214/AJR.13.10595]</w:t>
      </w:r>
    </w:p>
    <w:p w14:paraId="523801D6"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116 </w:t>
      </w:r>
      <w:r w:rsidRPr="0081216A">
        <w:rPr>
          <w:rFonts w:ascii="Book Antiqua" w:hAnsi="Book Antiqua"/>
          <w:b/>
          <w:kern w:val="2"/>
          <w:sz w:val="24"/>
          <w:szCs w:val="24"/>
        </w:rPr>
        <w:t>Chandarana H</w:t>
      </w:r>
      <w:r w:rsidRPr="0081216A">
        <w:rPr>
          <w:rFonts w:ascii="Book Antiqua" w:hAnsi="Book Antiqua"/>
          <w:kern w:val="2"/>
          <w:sz w:val="24"/>
          <w:szCs w:val="24"/>
        </w:rPr>
        <w:t xml:space="preserve">, Robinson E, Hajdu CH, Drozhinin L, Babb JS, Taouli B. Microvascular invasion in hepatocellular carcinoma: is it predictable with pretransplant MRI? </w:t>
      </w:r>
      <w:r w:rsidRPr="0081216A">
        <w:rPr>
          <w:rFonts w:ascii="Book Antiqua" w:hAnsi="Book Antiqua"/>
          <w:i/>
          <w:kern w:val="2"/>
          <w:sz w:val="24"/>
          <w:szCs w:val="24"/>
        </w:rPr>
        <w:t>AJR Am J Roentgenol</w:t>
      </w:r>
      <w:r w:rsidRPr="0081216A">
        <w:rPr>
          <w:rFonts w:ascii="Book Antiqua" w:hAnsi="Book Antiqua"/>
          <w:kern w:val="2"/>
          <w:sz w:val="24"/>
          <w:szCs w:val="24"/>
        </w:rPr>
        <w:t xml:space="preserve"> 2011; </w:t>
      </w:r>
      <w:r w:rsidRPr="0081216A">
        <w:rPr>
          <w:rFonts w:ascii="Book Antiqua" w:hAnsi="Book Antiqua"/>
          <w:b/>
          <w:kern w:val="2"/>
          <w:sz w:val="24"/>
          <w:szCs w:val="24"/>
        </w:rPr>
        <w:t>196</w:t>
      </w:r>
      <w:r w:rsidRPr="0081216A">
        <w:rPr>
          <w:rFonts w:ascii="Book Antiqua" w:hAnsi="Book Antiqua"/>
          <w:kern w:val="2"/>
          <w:sz w:val="24"/>
          <w:szCs w:val="24"/>
        </w:rPr>
        <w:t>: 1083-1089 [PMID: 21512074 DOI: 10.2214/AJR.10.4720]</w:t>
      </w:r>
    </w:p>
    <w:p w14:paraId="49AB53E5"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117 </w:t>
      </w:r>
      <w:r w:rsidRPr="0081216A">
        <w:rPr>
          <w:rFonts w:ascii="Book Antiqua" w:hAnsi="Book Antiqua"/>
          <w:b/>
          <w:kern w:val="2"/>
          <w:sz w:val="24"/>
          <w:szCs w:val="24"/>
        </w:rPr>
        <w:t>Kim H</w:t>
      </w:r>
      <w:r w:rsidRPr="0081216A">
        <w:rPr>
          <w:rFonts w:ascii="Book Antiqua" w:hAnsi="Book Antiqua"/>
          <w:kern w:val="2"/>
          <w:sz w:val="24"/>
          <w:szCs w:val="24"/>
        </w:rPr>
        <w:t xml:space="preserve">, Park MS, Choi JY, Park YN, Kim MJ, Kim KS, Choi JS, Han KH, Kim E, Kim KW. Can microvessel invasion of hepatocellular carcinoma be predicted by pre-operative MRI? </w:t>
      </w:r>
      <w:r w:rsidRPr="0081216A">
        <w:rPr>
          <w:rFonts w:ascii="Book Antiqua" w:hAnsi="Book Antiqua"/>
          <w:i/>
          <w:kern w:val="2"/>
          <w:sz w:val="24"/>
          <w:szCs w:val="24"/>
        </w:rPr>
        <w:t>Eur Radiol</w:t>
      </w:r>
      <w:r w:rsidRPr="0081216A">
        <w:rPr>
          <w:rFonts w:ascii="Book Antiqua" w:hAnsi="Book Antiqua"/>
          <w:kern w:val="2"/>
          <w:sz w:val="24"/>
          <w:szCs w:val="24"/>
        </w:rPr>
        <w:t xml:space="preserve"> 2009; </w:t>
      </w:r>
      <w:r w:rsidRPr="0081216A">
        <w:rPr>
          <w:rFonts w:ascii="Book Antiqua" w:hAnsi="Book Antiqua"/>
          <w:b/>
          <w:kern w:val="2"/>
          <w:sz w:val="24"/>
          <w:szCs w:val="24"/>
        </w:rPr>
        <w:t>19</w:t>
      </w:r>
      <w:r w:rsidRPr="0081216A">
        <w:rPr>
          <w:rFonts w:ascii="Book Antiqua" w:hAnsi="Book Antiqua"/>
          <w:kern w:val="2"/>
          <w:sz w:val="24"/>
          <w:szCs w:val="24"/>
        </w:rPr>
        <w:t>: 1744-1751 [PMID: 19247666 DOI: 10.1007/s00330-009-1331-8]</w:t>
      </w:r>
    </w:p>
    <w:p w14:paraId="4CBE5A46"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118 </w:t>
      </w:r>
      <w:r w:rsidRPr="0081216A">
        <w:rPr>
          <w:rFonts w:ascii="Book Antiqua" w:hAnsi="Book Antiqua"/>
          <w:b/>
          <w:kern w:val="2"/>
          <w:sz w:val="24"/>
          <w:szCs w:val="24"/>
        </w:rPr>
        <w:t>Lim JH</w:t>
      </w:r>
      <w:r w:rsidRPr="0081216A">
        <w:rPr>
          <w:rFonts w:ascii="Book Antiqua" w:hAnsi="Book Antiqua"/>
          <w:kern w:val="2"/>
          <w:sz w:val="24"/>
          <w:szCs w:val="24"/>
        </w:rPr>
        <w:t xml:space="preserve">, Choi D, Park CK, Lee WJ, Lim HK. Encapsulated hepatocellular carcinoma: CT-pathologic correlations. </w:t>
      </w:r>
      <w:r w:rsidRPr="0081216A">
        <w:rPr>
          <w:rFonts w:ascii="Book Antiqua" w:hAnsi="Book Antiqua"/>
          <w:i/>
          <w:kern w:val="2"/>
          <w:sz w:val="24"/>
          <w:szCs w:val="24"/>
        </w:rPr>
        <w:t>Eur Radiol</w:t>
      </w:r>
      <w:r w:rsidRPr="0081216A">
        <w:rPr>
          <w:rFonts w:ascii="Book Antiqua" w:hAnsi="Book Antiqua"/>
          <w:kern w:val="2"/>
          <w:sz w:val="24"/>
          <w:szCs w:val="24"/>
        </w:rPr>
        <w:t xml:space="preserve"> 2006; </w:t>
      </w:r>
      <w:r w:rsidRPr="0081216A">
        <w:rPr>
          <w:rFonts w:ascii="Book Antiqua" w:hAnsi="Book Antiqua"/>
          <w:b/>
          <w:kern w:val="2"/>
          <w:sz w:val="24"/>
          <w:szCs w:val="24"/>
        </w:rPr>
        <w:t>16</w:t>
      </w:r>
      <w:r w:rsidRPr="0081216A">
        <w:rPr>
          <w:rFonts w:ascii="Book Antiqua" w:hAnsi="Book Antiqua"/>
          <w:kern w:val="2"/>
          <w:sz w:val="24"/>
          <w:szCs w:val="24"/>
        </w:rPr>
        <w:t>: 2326-2333 [PMID: 16547706 DOI: 10.1007/s00330-006-0203-8]</w:t>
      </w:r>
    </w:p>
    <w:p w14:paraId="3D9A005A"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119 </w:t>
      </w:r>
      <w:r w:rsidRPr="0081216A">
        <w:rPr>
          <w:rFonts w:ascii="Book Antiqua" w:hAnsi="Book Antiqua"/>
          <w:b/>
          <w:kern w:val="2"/>
          <w:sz w:val="24"/>
          <w:szCs w:val="24"/>
        </w:rPr>
        <w:t>Eguchi S</w:t>
      </w:r>
      <w:r w:rsidRPr="0081216A">
        <w:rPr>
          <w:rFonts w:ascii="Book Antiqua" w:hAnsi="Book Antiqua"/>
          <w:kern w:val="2"/>
          <w:sz w:val="24"/>
          <w:szCs w:val="24"/>
        </w:rPr>
        <w:t xml:space="preserve">, Takatsuki M, Hidaka M, Soyama A, Tomonaga T, Muraoka I, Kanematsu T. Predictor for histological microvascular invasion of hepatocellular carcinoma: a lesson from 229 consecutive cases of curative liver resection. </w:t>
      </w:r>
      <w:r w:rsidRPr="0081216A">
        <w:rPr>
          <w:rFonts w:ascii="Book Antiqua" w:hAnsi="Book Antiqua"/>
          <w:i/>
          <w:kern w:val="2"/>
          <w:sz w:val="24"/>
          <w:szCs w:val="24"/>
        </w:rPr>
        <w:t>World J Surg</w:t>
      </w:r>
      <w:r w:rsidRPr="0081216A">
        <w:rPr>
          <w:rFonts w:ascii="Book Antiqua" w:hAnsi="Book Antiqua"/>
          <w:kern w:val="2"/>
          <w:sz w:val="24"/>
          <w:szCs w:val="24"/>
        </w:rPr>
        <w:t xml:space="preserve"> 2010; </w:t>
      </w:r>
      <w:r w:rsidRPr="0081216A">
        <w:rPr>
          <w:rFonts w:ascii="Book Antiqua" w:hAnsi="Book Antiqua"/>
          <w:b/>
          <w:kern w:val="2"/>
          <w:sz w:val="24"/>
          <w:szCs w:val="24"/>
        </w:rPr>
        <w:t>34</w:t>
      </w:r>
      <w:r w:rsidRPr="0081216A">
        <w:rPr>
          <w:rFonts w:ascii="Book Antiqua" w:hAnsi="Book Antiqua"/>
          <w:kern w:val="2"/>
          <w:sz w:val="24"/>
          <w:szCs w:val="24"/>
        </w:rPr>
        <w:t>: 1034-1038 [PMID: 20127241 DOI: 10.1007/s00268-010-0424-5]</w:t>
      </w:r>
    </w:p>
    <w:p w14:paraId="580C5D20"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120 </w:t>
      </w:r>
      <w:r w:rsidRPr="0081216A">
        <w:rPr>
          <w:rFonts w:ascii="Book Antiqua" w:hAnsi="Book Antiqua"/>
          <w:b/>
          <w:kern w:val="2"/>
          <w:sz w:val="24"/>
          <w:szCs w:val="24"/>
        </w:rPr>
        <w:t>Nagano Y</w:t>
      </w:r>
      <w:r w:rsidRPr="0081216A">
        <w:rPr>
          <w:rFonts w:ascii="Book Antiqua" w:hAnsi="Book Antiqua"/>
          <w:kern w:val="2"/>
          <w:sz w:val="24"/>
          <w:szCs w:val="24"/>
        </w:rPr>
        <w:t xml:space="preserve">, Shimada H, Takeda K, Ueda M, Matsuo K, Tanaka K, Endo I, Kunisaki C, Togo S. Predictive factors of microvascular invasion in patients with hepatocellular carcinoma larger than 5 cm. </w:t>
      </w:r>
      <w:r w:rsidRPr="0081216A">
        <w:rPr>
          <w:rFonts w:ascii="Book Antiqua" w:hAnsi="Book Antiqua"/>
          <w:i/>
          <w:kern w:val="2"/>
          <w:sz w:val="24"/>
          <w:szCs w:val="24"/>
        </w:rPr>
        <w:t>World J Surg</w:t>
      </w:r>
      <w:r w:rsidRPr="0081216A">
        <w:rPr>
          <w:rFonts w:ascii="Book Antiqua" w:hAnsi="Book Antiqua"/>
          <w:kern w:val="2"/>
          <w:sz w:val="24"/>
          <w:szCs w:val="24"/>
        </w:rPr>
        <w:t xml:space="preserve"> 2008; </w:t>
      </w:r>
      <w:r w:rsidRPr="0081216A">
        <w:rPr>
          <w:rFonts w:ascii="Book Antiqua" w:hAnsi="Book Antiqua"/>
          <w:b/>
          <w:kern w:val="2"/>
          <w:sz w:val="24"/>
          <w:szCs w:val="24"/>
        </w:rPr>
        <w:t>32</w:t>
      </w:r>
      <w:r w:rsidRPr="0081216A">
        <w:rPr>
          <w:rFonts w:ascii="Book Antiqua" w:hAnsi="Book Antiqua"/>
          <w:kern w:val="2"/>
          <w:sz w:val="24"/>
          <w:szCs w:val="24"/>
        </w:rPr>
        <w:t>: 2218-2222 [PMID: 18642045 DOI: 10.1007/s00268-008-9585-x]</w:t>
      </w:r>
    </w:p>
    <w:p w14:paraId="6D5D8C0F"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121 </w:t>
      </w:r>
      <w:r w:rsidRPr="0081216A">
        <w:rPr>
          <w:rFonts w:ascii="Book Antiqua" w:hAnsi="Book Antiqua"/>
          <w:b/>
          <w:kern w:val="2"/>
          <w:sz w:val="24"/>
          <w:szCs w:val="24"/>
        </w:rPr>
        <w:t>Hui AM</w:t>
      </w:r>
      <w:r w:rsidRPr="0081216A">
        <w:rPr>
          <w:rFonts w:ascii="Book Antiqua" w:hAnsi="Book Antiqua"/>
          <w:kern w:val="2"/>
          <w:sz w:val="24"/>
          <w:szCs w:val="24"/>
        </w:rPr>
        <w:t xml:space="preserve">, Takayama T, Sano K, Kubota K, Akahane M, Ohtomo K, Makuuchi M. Predictive value of gross classification of hepatocellular carcinoma on recurrence and survival after hepatectomy. </w:t>
      </w:r>
      <w:r w:rsidRPr="0081216A">
        <w:rPr>
          <w:rFonts w:ascii="Book Antiqua" w:hAnsi="Book Antiqua"/>
          <w:i/>
          <w:kern w:val="2"/>
          <w:sz w:val="24"/>
          <w:szCs w:val="24"/>
        </w:rPr>
        <w:t>J Hepatol</w:t>
      </w:r>
      <w:r w:rsidRPr="0081216A">
        <w:rPr>
          <w:rFonts w:ascii="Book Antiqua" w:hAnsi="Book Antiqua"/>
          <w:kern w:val="2"/>
          <w:sz w:val="24"/>
          <w:szCs w:val="24"/>
        </w:rPr>
        <w:t xml:space="preserve"> 2000; </w:t>
      </w:r>
      <w:r w:rsidRPr="0081216A">
        <w:rPr>
          <w:rFonts w:ascii="Book Antiqua" w:hAnsi="Book Antiqua"/>
          <w:b/>
          <w:kern w:val="2"/>
          <w:sz w:val="24"/>
          <w:szCs w:val="24"/>
        </w:rPr>
        <w:t>33</w:t>
      </w:r>
      <w:r w:rsidRPr="0081216A">
        <w:rPr>
          <w:rFonts w:ascii="Book Antiqua" w:hAnsi="Book Antiqua"/>
          <w:kern w:val="2"/>
          <w:sz w:val="24"/>
          <w:szCs w:val="24"/>
        </w:rPr>
        <w:t>: 975-979 [PMID: 11131461]</w:t>
      </w:r>
    </w:p>
    <w:p w14:paraId="38D309D2"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122 </w:t>
      </w:r>
      <w:r w:rsidRPr="0081216A">
        <w:rPr>
          <w:rFonts w:ascii="Book Antiqua" w:hAnsi="Book Antiqua"/>
          <w:b/>
          <w:kern w:val="2"/>
          <w:sz w:val="24"/>
          <w:szCs w:val="24"/>
        </w:rPr>
        <w:t>Nishie A</w:t>
      </w:r>
      <w:r w:rsidRPr="0081216A">
        <w:rPr>
          <w:rFonts w:ascii="Book Antiqua" w:hAnsi="Book Antiqua"/>
          <w:kern w:val="2"/>
          <w:sz w:val="24"/>
          <w:szCs w:val="24"/>
        </w:rPr>
        <w:t xml:space="preserve">, Yoshimitsu K, Asayama Y, Irie H, Tajima T, Hirakawa M, Ishigami K, Nakayama T, Kakihara D, Nishihara Y, Taketomi A, Honda H. Radiologic detectability of minute portal venous invasion in hepatocellular carcinoma. </w:t>
      </w:r>
      <w:r w:rsidRPr="0081216A">
        <w:rPr>
          <w:rFonts w:ascii="Book Antiqua" w:hAnsi="Book Antiqua"/>
          <w:i/>
          <w:kern w:val="2"/>
          <w:sz w:val="24"/>
          <w:szCs w:val="24"/>
        </w:rPr>
        <w:t>AJR Am J Roentgenol</w:t>
      </w:r>
      <w:r w:rsidRPr="0081216A">
        <w:rPr>
          <w:rFonts w:ascii="Book Antiqua" w:hAnsi="Book Antiqua"/>
          <w:kern w:val="2"/>
          <w:sz w:val="24"/>
          <w:szCs w:val="24"/>
        </w:rPr>
        <w:t xml:space="preserve"> 2008; </w:t>
      </w:r>
      <w:r w:rsidRPr="0081216A">
        <w:rPr>
          <w:rFonts w:ascii="Book Antiqua" w:hAnsi="Book Antiqua"/>
          <w:b/>
          <w:kern w:val="2"/>
          <w:sz w:val="24"/>
          <w:szCs w:val="24"/>
        </w:rPr>
        <w:t>190</w:t>
      </w:r>
      <w:r w:rsidRPr="0081216A">
        <w:rPr>
          <w:rFonts w:ascii="Book Antiqua" w:hAnsi="Book Antiqua"/>
          <w:kern w:val="2"/>
          <w:sz w:val="24"/>
          <w:szCs w:val="24"/>
        </w:rPr>
        <w:t>: 81-87 [PMID: 18094297 DOI: 10.2214/AJR.07.2810]</w:t>
      </w:r>
    </w:p>
    <w:p w14:paraId="132C8633"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lastRenderedPageBreak/>
        <w:t xml:space="preserve">123 </w:t>
      </w:r>
      <w:r w:rsidRPr="0081216A">
        <w:rPr>
          <w:rFonts w:ascii="Book Antiqua" w:hAnsi="Book Antiqua"/>
          <w:b/>
          <w:kern w:val="2"/>
          <w:sz w:val="24"/>
          <w:szCs w:val="24"/>
        </w:rPr>
        <w:t>Miyata R</w:t>
      </w:r>
      <w:r w:rsidRPr="0081216A">
        <w:rPr>
          <w:rFonts w:ascii="Book Antiqua" w:hAnsi="Book Antiqua"/>
          <w:kern w:val="2"/>
          <w:sz w:val="24"/>
          <w:szCs w:val="24"/>
        </w:rPr>
        <w:t xml:space="preserve">, Tanimoto A, Wakabayashi G, Shimazu M, Nakatsuka S, Mukai M, Kitajima M. Accuracy of preoperative prediction of microinvasion of portal vein in hepatocellular carcinoma using superparamagnetic iron oxide-enhanced magnetic resonance imaging and computed tomography during hepatic angiography. </w:t>
      </w:r>
      <w:r w:rsidRPr="0081216A">
        <w:rPr>
          <w:rFonts w:ascii="Book Antiqua" w:hAnsi="Book Antiqua"/>
          <w:i/>
          <w:kern w:val="2"/>
          <w:sz w:val="24"/>
          <w:szCs w:val="24"/>
        </w:rPr>
        <w:t>J Gastroenterol</w:t>
      </w:r>
      <w:r w:rsidRPr="0081216A">
        <w:rPr>
          <w:rFonts w:ascii="Book Antiqua" w:hAnsi="Book Antiqua"/>
          <w:kern w:val="2"/>
          <w:sz w:val="24"/>
          <w:szCs w:val="24"/>
        </w:rPr>
        <w:t xml:space="preserve"> 2006; </w:t>
      </w:r>
      <w:r w:rsidRPr="0081216A">
        <w:rPr>
          <w:rFonts w:ascii="Book Antiqua" w:hAnsi="Book Antiqua"/>
          <w:b/>
          <w:kern w:val="2"/>
          <w:sz w:val="24"/>
          <w:szCs w:val="24"/>
        </w:rPr>
        <w:t>41</w:t>
      </w:r>
      <w:r w:rsidRPr="0081216A">
        <w:rPr>
          <w:rFonts w:ascii="Book Antiqua" w:hAnsi="Book Antiqua"/>
          <w:kern w:val="2"/>
          <w:sz w:val="24"/>
          <w:szCs w:val="24"/>
        </w:rPr>
        <w:t>: 987-995 [PMID: 17096068 DOI: 10.1007/s00535-006-1890-2]</w:t>
      </w:r>
    </w:p>
    <w:p w14:paraId="2E24FBE4"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124 </w:t>
      </w:r>
      <w:r w:rsidRPr="0081216A">
        <w:rPr>
          <w:rFonts w:ascii="Book Antiqua" w:hAnsi="Book Antiqua"/>
          <w:b/>
          <w:kern w:val="2"/>
          <w:sz w:val="24"/>
          <w:szCs w:val="24"/>
        </w:rPr>
        <w:t>Suh YJ</w:t>
      </w:r>
      <w:r w:rsidRPr="0081216A">
        <w:rPr>
          <w:rFonts w:ascii="Book Antiqua" w:hAnsi="Book Antiqua"/>
          <w:kern w:val="2"/>
          <w:sz w:val="24"/>
          <w:szCs w:val="24"/>
        </w:rPr>
        <w:t xml:space="preserve">, Kim MJ, Choi JY, Park MS, Kim KW. Preoperative prediction of the microvascular invasion of hepatocellular carcinoma with diffusion-weighted imaging. </w:t>
      </w:r>
      <w:r w:rsidRPr="0081216A">
        <w:rPr>
          <w:rFonts w:ascii="Book Antiqua" w:hAnsi="Book Antiqua"/>
          <w:i/>
          <w:kern w:val="2"/>
          <w:sz w:val="24"/>
          <w:szCs w:val="24"/>
        </w:rPr>
        <w:t>Liver Transpl</w:t>
      </w:r>
      <w:r w:rsidRPr="0081216A">
        <w:rPr>
          <w:rFonts w:ascii="Book Antiqua" w:hAnsi="Book Antiqua"/>
          <w:kern w:val="2"/>
          <w:sz w:val="24"/>
          <w:szCs w:val="24"/>
        </w:rPr>
        <w:t xml:space="preserve"> 2012; </w:t>
      </w:r>
      <w:r w:rsidRPr="0081216A">
        <w:rPr>
          <w:rFonts w:ascii="Book Antiqua" w:hAnsi="Book Antiqua"/>
          <w:b/>
          <w:kern w:val="2"/>
          <w:sz w:val="24"/>
          <w:szCs w:val="24"/>
        </w:rPr>
        <w:t>18</w:t>
      </w:r>
      <w:r w:rsidRPr="0081216A">
        <w:rPr>
          <w:rFonts w:ascii="Book Antiqua" w:hAnsi="Book Antiqua"/>
          <w:kern w:val="2"/>
          <w:sz w:val="24"/>
          <w:szCs w:val="24"/>
        </w:rPr>
        <w:t>: 1171-1178 [PMID: 22767394 DOI: 10.1002/lt.23502]</w:t>
      </w:r>
    </w:p>
    <w:p w14:paraId="5BE0177E"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125 </w:t>
      </w:r>
      <w:r w:rsidRPr="0081216A">
        <w:rPr>
          <w:rFonts w:ascii="Book Antiqua" w:hAnsi="Book Antiqua"/>
          <w:b/>
          <w:kern w:val="2"/>
          <w:sz w:val="24"/>
          <w:szCs w:val="24"/>
        </w:rPr>
        <w:t>Okamura S</w:t>
      </w:r>
      <w:r w:rsidRPr="0081216A">
        <w:rPr>
          <w:rFonts w:ascii="Book Antiqua" w:hAnsi="Book Antiqua"/>
          <w:kern w:val="2"/>
          <w:sz w:val="24"/>
          <w:szCs w:val="24"/>
        </w:rPr>
        <w:t xml:space="preserve">, Sumie S, Tonan T, Nakano M, Satani M, Shimose S, Shirono T, Iwamoto H, Aino H, Niizeki T, Tajiri N, Kuromatsu R, Okuda K, Nakashima O, Torimura T. Diffusion-weighted magnetic resonance imaging predicts malignant potential in small hepatocellular carcinoma. </w:t>
      </w:r>
      <w:r w:rsidRPr="0081216A">
        <w:rPr>
          <w:rFonts w:ascii="Book Antiqua" w:hAnsi="Book Antiqua"/>
          <w:i/>
          <w:kern w:val="2"/>
          <w:sz w:val="24"/>
          <w:szCs w:val="24"/>
        </w:rPr>
        <w:t>Dig Liver Dis</w:t>
      </w:r>
      <w:r w:rsidRPr="0081216A">
        <w:rPr>
          <w:rFonts w:ascii="Book Antiqua" w:hAnsi="Book Antiqua"/>
          <w:kern w:val="2"/>
          <w:sz w:val="24"/>
          <w:szCs w:val="24"/>
        </w:rPr>
        <w:t xml:space="preserve"> 2016; </w:t>
      </w:r>
      <w:r w:rsidRPr="0081216A">
        <w:rPr>
          <w:rFonts w:ascii="Book Antiqua" w:hAnsi="Book Antiqua"/>
          <w:b/>
          <w:kern w:val="2"/>
          <w:sz w:val="24"/>
          <w:szCs w:val="24"/>
        </w:rPr>
        <w:t>48</w:t>
      </w:r>
      <w:r w:rsidRPr="0081216A">
        <w:rPr>
          <w:rFonts w:ascii="Book Antiqua" w:hAnsi="Book Antiqua"/>
          <w:kern w:val="2"/>
          <w:sz w:val="24"/>
          <w:szCs w:val="24"/>
        </w:rPr>
        <w:t>: 945-952 [PMID: 27338850 DOI: 10.1016/j.dld.2016.05.020]</w:t>
      </w:r>
    </w:p>
    <w:p w14:paraId="3EF2296B"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126 </w:t>
      </w:r>
      <w:r w:rsidRPr="0081216A">
        <w:rPr>
          <w:rFonts w:ascii="Book Antiqua" w:hAnsi="Book Antiqua"/>
          <w:b/>
          <w:kern w:val="2"/>
          <w:sz w:val="24"/>
          <w:szCs w:val="24"/>
        </w:rPr>
        <w:t>Xu P</w:t>
      </w:r>
      <w:r w:rsidRPr="0081216A">
        <w:rPr>
          <w:rFonts w:ascii="Book Antiqua" w:hAnsi="Book Antiqua"/>
          <w:kern w:val="2"/>
          <w:sz w:val="24"/>
          <w:szCs w:val="24"/>
        </w:rPr>
        <w:t xml:space="preserve">, Zeng M, Liu K, Shan Y, Xu C, Lin J. Microvascular invasion in small hepatocellular carcinoma: is it predictable with preoperative diffusion-weighted imaging? </w:t>
      </w:r>
      <w:r w:rsidRPr="0081216A">
        <w:rPr>
          <w:rFonts w:ascii="Book Antiqua" w:hAnsi="Book Antiqua"/>
          <w:i/>
          <w:kern w:val="2"/>
          <w:sz w:val="24"/>
          <w:szCs w:val="24"/>
        </w:rPr>
        <w:t>J Gastroenterol Hepatol</w:t>
      </w:r>
      <w:r w:rsidRPr="0081216A">
        <w:rPr>
          <w:rFonts w:ascii="Book Antiqua" w:hAnsi="Book Antiqua"/>
          <w:kern w:val="2"/>
          <w:sz w:val="24"/>
          <w:szCs w:val="24"/>
        </w:rPr>
        <w:t xml:space="preserve"> 2014; </w:t>
      </w:r>
      <w:r w:rsidRPr="0081216A">
        <w:rPr>
          <w:rFonts w:ascii="Book Antiqua" w:hAnsi="Book Antiqua"/>
          <w:b/>
          <w:kern w:val="2"/>
          <w:sz w:val="24"/>
          <w:szCs w:val="24"/>
        </w:rPr>
        <w:t>29</w:t>
      </w:r>
      <w:r w:rsidRPr="0081216A">
        <w:rPr>
          <w:rFonts w:ascii="Book Antiqua" w:hAnsi="Book Antiqua"/>
          <w:kern w:val="2"/>
          <w:sz w:val="24"/>
          <w:szCs w:val="24"/>
        </w:rPr>
        <w:t>: 330-336 [PMID: 24033853 DOI: 10.1111/jgh.12358]</w:t>
      </w:r>
    </w:p>
    <w:p w14:paraId="6B2BD63E"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127 </w:t>
      </w:r>
      <w:r w:rsidRPr="0081216A">
        <w:rPr>
          <w:rFonts w:ascii="Book Antiqua" w:hAnsi="Book Antiqua"/>
          <w:b/>
          <w:kern w:val="2"/>
          <w:sz w:val="24"/>
          <w:szCs w:val="24"/>
        </w:rPr>
        <w:t>Wang WT</w:t>
      </w:r>
      <w:r w:rsidRPr="0081216A">
        <w:rPr>
          <w:rFonts w:ascii="Book Antiqua" w:hAnsi="Book Antiqua"/>
          <w:kern w:val="2"/>
          <w:sz w:val="24"/>
          <w:szCs w:val="24"/>
        </w:rPr>
        <w:t xml:space="preserve">, Yang L, Yang ZX, Hu XX, Ding Y, Yan X, Fu CX, Grimm R, Zeng MS, Rao SX. Assessment of Microvascular Invasion of Hepatocellular Carcinoma with Diffusion Kurtosis Imaging. </w:t>
      </w:r>
      <w:r w:rsidRPr="0081216A">
        <w:rPr>
          <w:rFonts w:ascii="Book Antiqua" w:hAnsi="Book Antiqua"/>
          <w:i/>
          <w:kern w:val="2"/>
          <w:sz w:val="24"/>
          <w:szCs w:val="24"/>
        </w:rPr>
        <w:t>Radiology</w:t>
      </w:r>
      <w:r w:rsidRPr="0081216A">
        <w:rPr>
          <w:rFonts w:ascii="Book Antiqua" w:hAnsi="Book Antiqua"/>
          <w:kern w:val="2"/>
          <w:sz w:val="24"/>
          <w:szCs w:val="24"/>
        </w:rPr>
        <w:t xml:space="preserve"> 2018; </w:t>
      </w:r>
      <w:r w:rsidRPr="0081216A">
        <w:rPr>
          <w:rFonts w:ascii="Book Antiqua" w:hAnsi="Book Antiqua"/>
          <w:b/>
          <w:kern w:val="2"/>
          <w:sz w:val="24"/>
          <w:szCs w:val="24"/>
        </w:rPr>
        <w:t>286</w:t>
      </w:r>
      <w:r w:rsidRPr="0081216A">
        <w:rPr>
          <w:rFonts w:ascii="Book Antiqua" w:hAnsi="Book Antiqua"/>
          <w:kern w:val="2"/>
          <w:sz w:val="24"/>
          <w:szCs w:val="24"/>
        </w:rPr>
        <w:t>: 571-580 [PMID: 28937853 DOI: 10.1148/radiol.2017170515]</w:t>
      </w:r>
    </w:p>
    <w:p w14:paraId="0BC709B4"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128 </w:t>
      </w:r>
      <w:r w:rsidRPr="0081216A">
        <w:rPr>
          <w:rFonts w:ascii="Book Antiqua" w:hAnsi="Book Antiqua"/>
          <w:b/>
          <w:kern w:val="2"/>
          <w:sz w:val="24"/>
          <w:szCs w:val="24"/>
        </w:rPr>
        <w:t>Lee S</w:t>
      </w:r>
      <w:r w:rsidRPr="0081216A">
        <w:rPr>
          <w:rFonts w:ascii="Book Antiqua" w:hAnsi="Book Antiqua"/>
          <w:kern w:val="2"/>
          <w:sz w:val="24"/>
          <w:szCs w:val="24"/>
        </w:rPr>
        <w:t xml:space="preserve">, Kim SH, Lee JE, Sinn DH, Park CK. Preoperative gadoxetic acid-enhanced MRI for predicting microvascular invasion in patients with single hepatocellular carcinoma. </w:t>
      </w:r>
      <w:r w:rsidRPr="0081216A">
        <w:rPr>
          <w:rFonts w:ascii="Book Antiqua" w:hAnsi="Book Antiqua"/>
          <w:i/>
          <w:kern w:val="2"/>
          <w:sz w:val="24"/>
          <w:szCs w:val="24"/>
        </w:rPr>
        <w:t>J Hepatol</w:t>
      </w:r>
      <w:r w:rsidRPr="0081216A">
        <w:rPr>
          <w:rFonts w:ascii="Book Antiqua" w:hAnsi="Book Antiqua"/>
          <w:kern w:val="2"/>
          <w:sz w:val="24"/>
          <w:szCs w:val="24"/>
        </w:rPr>
        <w:t xml:space="preserve"> 2017; </w:t>
      </w:r>
      <w:r w:rsidRPr="0081216A">
        <w:rPr>
          <w:rFonts w:ascii="Book Antiqua" w:hAnsi="Book Antiqua"/>
          <w:b/>
          <w:kern w:val="2"/>
          <w:sz w:val="24"/>
          <w:szCs w:val="24"/>
        </w:rPr>
        <w:t>67</w:t>
      </w:r>
      <w:r w:rsidRPr="0081216A">
        <w:rPr>
          <w:rFonts w:ascii="Book Antiqua" w:hAnsi="Book Antiqua"/>
          <w:kern w:val="2"/>
          <w:sz w:val="24"/>
          <w:szCs w:val="24"/>
        </w:rPr>
        <w:t>: 526-534 [PMID: 28483680 DOI: 10.1016/j.jhep.2017.04.024]</w:t>
      </w:r>
    </w:p>
    <w:p w14:paraId="6DCBF78F"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129 </w:t>
      </w:r>
      <w:r w:rsidRPr="0081216A">
        <w:rPr>
          <w:rFonts w:ascii="Book Antiqua" w:hAnsi="Book Antiqua"/>
          <w:b/>
          <w:kern w:val="2"/>
          <w:sz w:val="24"/>
          <w:szCs w:val="24"/>
        </w:rPr>
        <w:t>Shin SK</w:t>
      </w:r>
      <w:r w:rsidRPr="0081216A">
        <w:rPr>
          <w:rFonts w:ascii="Book Antiqua" w:hAnsi="Book Antiqua"/>
          <w:kern w:val="2"/>
          <w:sz w:val="24"/>
          <w:szCs w:val="24"/>
        </w:rPr>
        <w:t xml:space="preserve">, Kim YS, Shim YS, Choi SJ, Park SH, Jung DH, Kwon OS, Choi DJ, Kim JH. Peritumoral decreased uptake area of gadoxetic acid enhanced magnetic resonance imaging and tumor recurrence after surgical resection in hepatocellular carcinoma: A STROBE-compliant article. </w:t>
      </w:r>
      <w:r w:rsidRPr="0081216A">
        <w:rPr>
          <w:rFonts w:ascii="Book Antiqua" w:hAnsi="Book Antiqua"/>
          <w:i/>
          <w:kern w:val="2"/>
          <w:sz w:val="24"/>
          <w:szCs w:val="24"/>
        </w:rPr>
        <w:t>Medicine (Baltimore)</w:t>
      </w:r>
      <w:r w:rsidRPr="0081216A">
        <w:rPr>
          <w:rFonts w:ascii="Book Antiqua" w:hAnsi="Book Antiqua"/>
          <w:kern w:val="2"/>
          <w:sz w:val="24"/>
          <w:szCs w:val="24"/>
        </w:rPr>
        <w:t xml:space="preserve"> </w:t>
      </w:r>
      <w:r w:rsidRPr="0081216A">
        <w:rPr>
          <w:rFonts w:ascii="Book Antiqua" w:hAnsi="Book Antiqua"/>
          <w:kern w:val="2"/>
          <w:sz w:val="24"/>
          <w:szCs w:val="24"/>
        </w:rPr>
        <w:lastRenderedPageBreak/>
        <w:t xml:space="preserve">2017; </w:t>
      </w:r>
      <w:r w:rsidRPr="0081216A">
        <w:rPr>
          <w:rFonts w:ascii="Book Antiqua" w:hAnsi="Book Antiqua"/>
          <w:b/>
          <w:kern w:val="2"/>
          <w:sz w:val="24"/>
          <w:szCs w:val="24"/>
        </w:rPr>
        <w:t>96</w:t>
      </w:r>
      <w:r w:rsidRPr="0081216A">
        <w:rPr>
          <w:rFonts w:ascii="Book Antiqua" w:hAnsi="Book Antiqua"/>
          <w:kern w:val="2"/>
          <w:sz w:val="24"/>
          <w:szCs w:val="24"/>
        </w:rPr>
        <w:t>: e7761 [PMID: 28816953]</w:t>
      </w:r>
    </w:p>
    <w:p w14:paraId="44E5197E"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130 </w:t>
      </w:r>
      <w:r w:rsidRPr="0081216A">
        <w:rPr>
          <w:rFonts w:ascii="Book Antiqua" w:hAnsi="Book Antiqua"/>
          <w:b/>
          <w:kern w:val="2"/>
          <w:sz w:val="24"/>
          <w:szCs w:val="24"/>
        </w:rPr>
        <w:t>Nishie A</w:t>
      </w:r>
      <w:r w:rsidRPr="0081216A">
        <w:rPr>
          <w:rFonts w:ascii="Book Antiqua" w:hAnsi="Book Antiqua"/>
          <w:kern w:val="2"/>
          <w:sz w:val="24"/>
          <w:szCs w:val="24"/>
        </w:rPr>
        <w:t xml:space="preserve">, Asayama Y, Ishigami K, Kakihara D, Nakayama T, Ushijima Y, Takayama Y, Shirabe K, Fujita N, Kubo Y, Hirakawa M, Honda H. Clinicopathological significance of the peritumoral decreased uptake area of gadolinium ethoxybenzyl diethylenetriamine pentaacetic acid in hepatocellular carcinoma. </w:t>
      </w:r>
      <w:r w:rsidRPr="0081216A">
        <w:rPr>
          <w:rFonts w:ascii="Book Antiqua" w:hAnsi="Book Antiqua"/>
          <w:i/>
          <w:kern w:val="2"/>
          <w:sz w:val="24"/>
          <w:szCs w:val="24"/>
        </w:rPr>
        <w:t>J Gastroenterol Hepatol</w:t>
      </w:r>
      <w:r w:rsidRPr="0081216A">
        <w:rPr>
          <w:rFonts w:ascii="Book Antiqua" w:hAnsi="Book Antiqua"/>
          <w:kern w:val="2"/>
          <w:sz w:val="24"/>
          <w:szCs w:val="24"/>
        </w:rPr>
        <w:t xml:space="preserve"> 2014; </w:t>
      </w:r>
      <w:r w:rsidRPr="0081216A">
        <w:rPr>
          <w:rFonts w:ascii="Book Antiqua" w:hAnsi="Book Antiqua"/>
          <w:b/>
          <w:kern w:val="2"/>
          <w:sz w:val="24"/>
          <w:szCs w:val="24"/>
        </w:rPr>
        <w:t>29</w:t>
      </w:r>
      <w:r w:rsidRPr="0081216A">
        <w:rPr>
          <w:rFonts w:ascii="Book Antiqua" w:hAnsi="Book Antiqua"/>
          <w:kern w:val="2"/>
          <w:sz w:val="24"/>
          <w:szCs w:val="24"/>
        </w:rPr>
        <w:t>: 561-567 [PMID: 24219648 DOI: 10.1111/jgh.12423]</w:t>
      </w:r>
    </w:p>
    <w:p w14:paraId="240FC9DF"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131 </w:t>
      </w:r>
      <w:r w:rsidRPr="0081216A">
        <w:rPr>
          <w:rFonts w:ascii="Book Antiqua" w:hAnsi="Book Antiqua"/>
          <w:b/>
          <w:kern w:val="2"/>
          <w:sz w:val="24"/>
          <w:szCs w:val="24"/>
        </w:rPr>
        <w:t>Kim KA</w:t>
      </w:r>
      <w:r w:rsidRPr="0081216A">
        <w:rPr>
          <w:rFonts w:ascii="Book Antiqua" w:hAnsi="Book Antiqua"/>
          <w:kern w:val="2"/>
          <w:sz w:val="24"/>
          <w:szCs w:val="24"/>
        </w:rPr>
        <w:t xml:space="preserve">, Kim MJ, Jeon HM, Kim KS, Choi JS, Ahn SH, Cha SJ, Chung YE. Prediction of microvascular invasion of hepatocellular carcinoma: usefulness of peritumoral hypointensity seen on gadoxetate disodium-enhanced hepatobiliary phase images. </w:t>
      </w:r>
      <w:r w:rsidRPr="0081216A">
        <w:rPr>
          <w:rFonts w:ascii="Book Antiqua" w:hAnsi="Book Antiqua"/>
          <w:i/>
          <w:kern w:val="2"/>
          <w:sz w:val="24"/>
          <w:szCs w:val="24"/>
        </w:rPr>
        <w:t>J Magn Reson Imaging</w:t>
      </w:r>
      <w:r w:rsidRPr="0081216A">
        <w:rPr>
          <w:rFonts w:ascii="Book Antiqua" w:hAnsi="Book Antiqua"/>
          <w:kern w:val="2"/>
          <w:sz w:val="24"/>
          <w:szCs w:val="24"/>
        </w:rPr>
        <w:t xml:space="preserve"> 2012; </w:t>
      </w:r>
      <w:r w:rsidRPr="0081216A">
        <w:rPr>
          <w:rFonts w:ascii="Book Antiqua" w:hAnsi="Book Antiqua"/>
          <w:b/>
          <w:kern w:val="2"/>
          <w:sz w:val="24"/>
          <w:szCs w:val="24"/>
        </w:rPr>
        <w:t>35</w:t>
      </w:r>
      <w:r w:rsidRPr="0081216A">
        <w:rPr>
          <w:rFonts w:ascii="Book Antiqua" w:hAnsi="Book Antiqua"/>
          <w:kern w:val="2"/>
          <w:sz w:val="24"/>
          <w:szCs w:val="24"/>
        </w:rPr>
        <w:t>: 629-634 [PMID: 22069244 DOI: 10.1002/jmri.22876]</w:t>
      </w:r>
    </w:p>
    <w:p w14:paraId="0CC0345A" w14:textId="77777777" w:rsidR="0081216A" w:rsidRPr="0081216A" w:rsidRDefault="0081216A" w:rsidP="00327F62">
      <w:pPr>
        <w:suppressAutoHyphens w:val="0"/>
        <w:autoSpaceDN/>
        <w:snapToGrid w:val="0"/>
        <w:spacing w:line="360" w:lineRule="auto"/>
        <w:textAlignment w:val="auto"/>
        <w:rPr>
          <w:rFonts w:ascii="Book Antiqua" w:hAnsi="Book Antiqua"/>
          <w:kern w:val="2"/>
          <w:sz w:val="24"/>
          <w:szCs w:val="24"/>
        </w:rPr>
      </w:pPr>
      <w:r w:rsidRPr="0081216A">
        <w:rPr>
          <w:rFonts w:ascii="Book Antiqua" w:hAnsi="Book Antiqua"/>
          <w:kern w:val="2"/>
          <w:sz w:val="24"/>
          <w:szCs w:val="24"/>
        </w:rPr>
        <w:t xml:space="preserve">132 </w:t>
      </w:r>
      <w:r w:rsidRPr="0081216A">
        <w:rPr>
          <w:rFonts w:ascii="Book Antiqua" w:hAnsi="Book Antiqua"/>
          <w:b/>
          <w:kern w:val="2"/>
          <w:sz w:val="24"/>
          <w:szCs w:val="24"/>
        </w:rPr>
        <w:t>Lei Z</w:t>
      </w:r>
      <w:r w:rsidRPr="0081216A">
        <w:rPr>
          <w:rFonts w:ascii="Book Antiqua" w:hAnsi="Book Antiqua"/>
          <w:kern w:val="2"/>
          <w:sz w:val="24"/>
          <w:szCs w:val="24"/>
        </w:rPr>
        <w:t xml:space="preserve">, Li J, Wu D, Xia Y, Wang Q, Si A, Wang K, Wan X, Lau WY, Wu M, Shen F. Nomogram for Preoperative Estimation of Microvascular Invasion Risk in Hepatitis B Virus-Related Hepatocellular Carcinoma Within the Milan Criteria. </w:t>
      </w:r>
      <w:r w:rsidRPr="0081216A">
        <w:rPr>
          <w:rFonts w:ascii="Book Antiqua" w:hAnsi="Book Antiqua"/>
          <w:i/>
          <w:kern w:val="2"/>
          <w:sz w:val="24"/>
          <w:szCs w:val="24"/>
        </w:rPr>
        <w:t>JAMA Surg</w:t>
      </w:r>
      <w:r w:rsidRPr="0081216A">
        <w:rPr>
          <w:rFonts w:ascii="Book Antiqua" w:hAnsi="Book Antiqua"/>
          <w:kern w:val="2"/>
          <w:sz w:val="24"/>
          <w:szCs w:val="24"/>
        </w:rPr>
        <w:t xml:space="preserve"> 2016; </w:t>
      </w:r>
      <w:r w:rsidRPr="0081216A">
        <w:rPr>
          <w:rFonts w:ascii="Book Antiqua" w:hAnsi="Book Antiqua"/>
          <w:b/>
          <w:kern w:val="2"/>
          <w:sz w:val="24"/>
          <w:szCs w:val="24"/>
        </w:rPr>
        <w:t>151</w:t>
      </w:r>
      <w:r w:rsidRPr="0081216A">
        <w:rPr>
          <w:rFonts w:ascii="Book Antiqua" w:hAnsi="Book Antiqua"/>
          <w:kern w:val="2"/>
          <w:sz w:val="24"/>
          <w:szCs w:val="24"/>
        </w:rPr>
        <w:t>: 356-363 [PMID: 26579636 DOI: 10.1001/jamasurg.2015.4257]</w:t>
      </w:r>
    </w:p>
    <w:p w14:paraId="44A506FC" w14:textId="77777777" w:rsidR="0081216A" w:rsidRPr="0081216A" w:rsidRDefault="0081216A" w:rsidP="00327F62">
      <w:pPr>
        <w:suppressAutoHyphens w:val="0"/>
        <w:autoSpaceDN/>
        <w:snapToGrid w:val="0"/>
        <w:spacing w:line="360" w:lineRule="auto"/>
        <w:jc w:val="right"/>
        <w:textAlignment w:val="auto"/>
        <w:rPr>
          <w:rFonts w:ascii="Book Antiqua" w:hAnsi="Book Antiqua"/>
          <w:bCs/>
          <w:kern w:val="2"/>
          <w:sz w:val="24"/>
          <w:szCs w:val="24"/>
        </w:rPr>
      </w:pPr>
      <w:bookmarkStart w:id="97" w:name="OLE_LINK51"/>
      <w:bookmarkStart w:id="98" w:name="OLE_LINK52"/>
      <w:bookmarkStart w:id="99" w:name="OLE_LINK120"/>
      <w:bookmarkStart w:id="100" w:name="OLE_LINK148"/>
      <w:bookmarkStart w:id="101" w:name="OLE_LINK72"/>
      <w:bookmarkStart w:id="102" w:name="OLE_LINK112"/>
      <w:bookmarkStart w:id="103" w:name="OLE_LINK320"/>
      <w:bookmarkStart w:id="104" w:name="OLE_LINK387"/>
      <w:bookmarkStart w:id="105" w:name="OLE_LINK183"/>
      <w:bookmarkStart w:id="106" w:name="OLE_LINK254"/>
      <w:bookmarkStart w:id="107" w:name="OLE_LINK149"/>
      <w:bookmarkStart w:id="108" w:name="OLE_LINK225"/>
      <w:bookmarkStart w:id="109" w:name="OLE_LINK207"/>
      <w:bookmarkStart w:id="110" w:name="OLE_LINK226"/>
      <w:bookmarkStart w:id="111" w:name="OLE_LINK212"/>
      <w:bookmarkStart w:id="112" w:name="OLE_LINK250"/>
      <w:bookmarkStart w:id="113" w:name="OLE_LINK281"/>
      <w:bookmarkStart w:id="114" w:name="OLE_LINK282"/>
      <w:bookmarkStart w:id="115" w:name="OLE_LINK313"/>
      <w:bookmarkStart w:id="116" w:name="OLE_LINK304"/>
      <w:bookmarkStart w:id="117" w:name="OLE_LINK321"/>
      <w:bookmarkStart w:id="118" w:name="OLE_LINK385"/>
      <w:bookmarkStart w:id="119" w:name="OLE_LINK400"/>
      <w:bookmarkStart w:id="120" w:name="OLE_LINK346"/>
      <w:bookmarkStart w:id="121" w:name="OLE_LINK371"/>
      <w:bookmarkStart w:id="122" w:name="OLE_LINK334"/>
      <w:bookmarkStart w:id="123" w:name="OLE_LINK1830"/>
      <w:bookmarkStart w:id="124" w:name="OLE_LINK457"/>
      <w:bookmarkStart w:id="125" w:name="OLE_LINK288"/>
      <w:bookmarkStart w:id="126" w:name="OLE_LINK384"/>
      <w:bookmarkStart w:id="127" w:name="OLE_LINK379"/>
      <w:bookmarkStart w:id="128" w:name="OLE_LINK303"/>
      <w:bookmarkStart w:id="129" w:name="OLE_LINK450"/>
      <w:bookmarkStart w:id="130" w:name="OLE_LINK489"/>
      <w:bookmarkStart w:id="131" w:name="OLE_LINK535"/>
      <w:bookmarkStart w:id="132" w:name="OLE_LINK648"/>
      <w:bookmarkStart w:id="133" w:name="OLE_LINK686"/>
      <w:bookmarkStart w:id="134" w:name="OLE_LINK471"/>
      <w:bookmarkStart w:id="135" w:name="OLE_LINK462"/>
      <w:bookmarkStart w:id="136" w:name="OLE_LINK519"/>
      <w:bookmarkStart w:id="137" w:name="OLE_LINK575"/>
      <w:bookmarkStart w:id="138" w:name="OLE_LINK491"/>
      <w:bookmarkStart w:id="139" w:name="OLE_LINK532"/>
      <w:bookmarkStart w:id="140" w:name="OLE_LINK572"/>
      <w:bookmarkStart w:id="141" w:name="OLE_LINK574"/>
      <w:bookmarkStart w:id="142" w:name="OLE_LINK480"/>
      <w:bookmarkStart w:id="143" w:name="OLE_LINK567"/>
      <w:bookmarkStart w:id="144" w:name="OLE_LINK2700"/>
      <w:bookmarkStart w:id="145" w:name="OLE_LINK581"/>
      <w:bookmarkStart w:id="146" w:name="OLE_LINK639"/>
      <w:bookmarkStart w:id="147" w:name="OLE_LINK688"/>
      <w:bookmarkStart w:id="148" w:name="OLE_LINK722"/>
      <w:bookmarkStart w:id="149" w:name="OLE_LINK542"/>
      <w:bookmarkStart w:id="150" w:name="OLE_LINK589"/>
      <w:bookmarkStart w:id="151" w:name="OLE_LINK582"/>
      <w:bookmarkStart w:id="152" w:name="OLE_LINK640"/>
      <w:bookmarkStart w:id="153" w:name="OLE_LINK714"/>
      <w:bookmarkStart w:id="154" w:name="OLE_LINK593"/>
      <w:bookmarkStart w:id="155" w:name="OLE_LINK716"/>
      <w:bookmarkStart w:id="156" w:name="OLE_LINK770"/>
      <w:bookmarkStart w:id="157" w:name="OLE_LINK801"/>
      <w:bookmarkStart w:id="158" w:name="OLE_LINK660"/>
      <w:bookmarkStart w:id="159" w:name="OLE_LINK781"/>
      <w:bookmarkStart w:id="160" w:name="OLE_LINK833"/>
      <w:bookmarkStart w:id="161" w:name="OLE_LINK642"/>
      <w:bookmarkStart w:id="162" w:name="OLE_LINK700"/>
      <w:bookmarkStart w:id="163" w:name="OLE_LINK792"/>
      <w:bookmarkStart w:id="164" w:name="OLE_LINK2882"/>
      <w:bookmarkStart w:id="165" w:name="OLE_LINK836"/>
      <w:bookmarkStart w:id="166" w:name="OLE_LINK889"/>
      <w:bookmarkStart w:id="167" w:name="OLE_LINK782"/>
      <w:bookmarkStart w:id="168" w:name="OLE_LINK826"/>
      <w:bookmarkStart w:id="169" w:name="OLE_LINK865"/>
      <w:bookmarkStart w:id="170" w:name="OLE_LINK856"/>
      <w:bookmarkStart w:id="171" w:name="OLE_LINK908"/>
      <w:bookmarkStart w:id="172" w:name="OLE_LINK980"/>
      <w:bookmarkStart w:id="173" w:name="OLE_LINK1018"/>
      <w:bookmarkStart w:id="174" w:name="OLE_LINK1049"/>
      <w:bookmarkStart w:id="175" w:name="OLE_LINK1076"/>
      <w:bookmarkStart w:id="176" w:name="OLE_LINK1106"/>
      <w:bookmarkStart w:id="177" w:name="OLE_LINK891"/>
      <w:bookmarkStart w:id="178" w:name="OLE_LINK943"/>
      <w:bookmarkStart w:id="179" w:name="OLE_LINK981"/>
      <w:bookmarkStart w:id="180" w:name="OLE_LINK1030"/>
      <w:bookmarkStart w:id="181" w:name="OLE_LINK847"/>
      <w:bookmarkStart w:id="182" w:name="OLE_LINK909"/>
      <w:bookmarkStart w:id="183" w:name="OLE_LINK906"/>
      <w:bookmarkStart w:id="184" w:name="OLE_LINK992"/>
      <w:bookmarkStart w:id="185" w:name="OLE_LINK993"/>
      <w:bookmarkStart w:id="186" w:name="OLE_LINK1052"/>
      <w:bookmarkStart w:id="187" w:name="OLE_LINK946"/>
      <w:bookmarkStart w:id="188" w:name="OLE_LINK911"/>
      <w:bookmarkStart w:id="189" w:name="OLE_LINK930"/>
      <w:bookmarkStart w:id="190" w:name="OLE_LINK1059"/>
      <w:bookmarkStart w:id="191" w:name="OLE_LINK1174"/>
      <w:bookmarkStart w:id="192" w:name="OLE_LINK1137"/>
      <w:bookmarkStart w:id="193" w:name="OLE_LINK1167"/>
      <w:bookmarkStart w:id="194" w:name="OLE_LINK1200"/>
      <w:bookmarkStart w:id="195" w:name="OLE_LINK1241"/>
      <w:bookmarkStart w:id="196" w:name="OLE_LINK1288"/>
      <w:bookmarkStart w:id="197" w:name="OLE_LINK1056"/>
      <w:bookmarkStart w:id="198" w:name="OLE_LINK1158"/>
      <w:bookmarkStart w:id="199" w:name="OLE_LINK1175"/>
      <w:bookmarkStart w:id="200" w:name="OLE_LINK1074"/>
      <w:bookmarkStart w:id="201" w:name="OLE_LINK1169"/>
      <w:bookmarkStart w:id="202" w:name="OLE_LINK1053"/>
      <w:bookmarkStart w:id="203" w:name="OLE_LINK1054"/>
      <w:r w:rsidRPr="0081216A">
        <w:rPr>
          <w:rFonts w:ascii="Book Antiqua" w:hAnsi="Book Antiqua"/>
          <w:b/>
          <w:bCs/>
          <w:kern w:val="2"/>
          <w:sz w:val="24"/>
          <w:szCs w:val="24"/>
        </w:rPr>
        <w:t>P-Reviewer:</w:t>
      </w:r>
      <w:r w:rsidRPr="0081216A">
        <w:rPr>
          <w:rFonts w:ascii="Book Antiqua" w:hAnsi="Book Antiqua" w:hint="eastAsia"/>
          <w:b/>
          <w:bCs/>
          <w:kern w:val="2"/>
          <w:sz w:val="24"/>
          <w:szCs w:val="24"/>
        </w:rPr>
        <w:t xml:space="preserve">  </w:t>
      </w:r>
      <w:r w:rsidRPr="0081216A">
        <w:rPr>
          <w:rFonts w:ascii="Book Antiqua" w:hAnsi="Book Antiqua"/>
          <w:bCs/>
          <w:kern w:val="2"/>
          <w:sz w:val="24"/>
          <w:szCs w:val="24"/>
        </w:rPr>
        <w:t>Berkane</w:t>
      </w:r>
      <w:r w:rsidRPr="0081216A">
        <w:rPr>
          <w:rFonts w:ascii="Book Antiqua" w:hAnsi="Book Antiqua" w:hint="eastAsia"/>
          <w:bCs/>
          <w:kern w:val="2"/>
          <w:sz w:val="24"/>
          <w:szCs w:val="24"/>
        </w:rPr>
        <w:t xml:space="preserve"> S, </w:t>
      </w:r>
      <w:r w:rsidRPr="0081216A">
        <w:rPr>
          <w:rFonts w:ascii="Book Antiqua" w:hAnsi="Book Antiqua"/>
          <w:bCs/>
          <w:kern w:val="2"/>
          <w:sz w:val="24"/>
          <w:szCs w:val="24"/>
        </w:rPr>
        <w:t>Cerwenka</w:t>
      </w:r>
      <w:r w:rsidRPr="0081216A">
        <w:rPr>
          <w:rFonts w:ascii="Book Antiqua" w:hAnsi="Book Antiqua" w:hint="eastAsia"/>
          <w:bCs/>
          <w:kern w:val="2"/>
          <w:sz w:val="24"/>
          <w:szCs w:val="24"/>
        </w:rPr>
        <w:t xml:space="preserve"> H, </w:t>
      </w:r>
      <w:r w:rsidRPr="0081216A">
        <w:rPr>
          <w:rFonts w:ascii="Book Antiqua" w:hAnsi="Book Antiqua"/>
          <w:bCs/>
          <w:kern w:val="2"/>
          <w:sz w:val="24"/>
          <w:szCs w:val="24"/>
        </w:rPr>
        <w:t>Facciorusso</w:t>
      </w:r>
      <w:r w:rsidRPr="0081216A">
        <w:rPr>
          <w:rFonts w:ascii="Book Antiqua" w:hAnsi="Book Antiqua" w:hint="eastAsia"/>
          <w:bCs/>
          <w:kern w:val="2"/>
          <w:sz w:val="24"/>
          <w:szCs w:val="24"/>
        </w:rPr>
        <w:t xml:space="preserve"> A, </w:t>
      </w:r>
      <w:r w:rsidRPr="0081216A">
        <w:rPr>
          <w:rFonts w:ascii="Book Antiqua" w:hAnsi="Book Antiqua"/>
          <w:bCs/>
          <w:kern w:val="2"/>
          <w:sz w:val="24"/>
          <w:szCs w:val="24"/>
        </w:rPr>
        <w:t>Tsoulfas</w:t>
      </w:r>
      <w:r w:rsidRPr="0081216A">
        <w:rPr>
          <w:rFonts w:ascii="Book Antiqua" w:hAnsi="Book Antiqua" w:hint="eastAsia"/>
          <w:bCs/>
          <w:kern w:val="2"/>
          <w:sz w:val="24"/>
          <w:szCs w:val="24"/>
        </w:rPr>
        <w:t xml:space="preserve"> G</w:t>
      </w:r>
    </w:p>
    <w:p w14:paraId="0A09C46C" w14:textId="77777777" w:rsidR="0081216A" w:rsidRPr="0081216A" w:rsidRDefault="0081216A" w:rsidP="00327F62">
      <w:pPr>
        <w:suppressAutoHyphens w:val="0"/>
        <w:autoSpaceDN/>
        <w:snapToGrid w:val="0"/>
        <w:spacing w:line="360" w:lineRule="auto"/>
        <w:jc w:val="right"/>
        <w:textAlignment w:val="auto"/>
        <w:rPr>
          <w:rFonts w:ascii="Book Antiqua" w:hAnsi="Book Antiqua"/>
          <w:kern w:val="2"/>
          <w:sz w:val="24"/>
          <w:szCs w:val="24"/>
        </w:rPr>
      </w:pPr>
      <w:r w:rsidRPr="0081216A">
        <w:rPr>
          <w:rFonts w:ascii="Book Antiqua" w:hAnsi="Book Antiqua"/>
          <w:b/>
          <w:bCs/>
          <w:kern w:val="2"/>
          <w:sz w:val="24"/>
          <w:szCs w:val="24"/>
        </w:rPr>
        <w:t>S-Editor:</w:t>
      </w:r>
      <w:r w:rsidRPr="0081216A">
        <w:rPr>
          <w:rFonts w:ascii="Book Antiqua" w:hAnsi="Book Antiqua" w:hint="eastAsia"/>
          <w:kern w:val="2"/>
          <w:sz w:val="24"/>
          <w:szCs w:val="24"/>
        </w:rPr>
        <w:t xml:space="preserve"> Gong ZM </w:t>
      </w:r>
      <w:r w:rsidRPr="0081216A">
        <w:rPr>
          <w:rFonts w:ascii="Book Antiqua" w:hAnsi="Book Antiqua"/>
          <w:b/>
          <w:bCs/>
          <w:kern w:val="2"/>
          <w:sz w:val="24"/>
          <w:szCs w:val="24"/>
        </w:rPr>
        <w:t>L-Editor:</w:t>
      </w:r>
      <w:r w:rsidRPr="0081216A">
        <w:rPr>
          <w:rFonts w:ascii="Book Antiqua" w:hAnsi="Book Antiqua"/>
          <w:kern w:val="2"/>
          <w:sz w:val="24"/>
          <w:szCs w:val="24"/>
        </w:rPr>
        <w:t xml:space="preserve"> </w:t>
      </w:r>
      <w:r w:rsidRPr="0081216A">
        <w:rPr>
          <w:rFonts w:ascii="Book Antiqua" w:hAnsi="Book Antiqua"/>
          <w:b/>
          <w:bCs/>
          <w:kern w:val="2"/>
          <w:sz w:val="24"/>
          <w:szCs w:val="24"/>
        </w:rPr>
        <w:t>E-Editor:</w:t>
      </w:r>
    </w:p>
    <w:p w14:paraId="33C112AA" w14:textId="77777777" w:rsidR="0081216A" w:rsidRPr="0081216A" w:rsidRDefault="0081216A" w:rsidP="00327F62">
      <w:pPr>
        <w:shd w:val="clear" w:color="auto" w:fill="FFFFFF"/>
        <w:suppressAutoHyphens w:val="0"/>
        <w:autoSpaceDN/>
        <w:snapToGrid w:val="0"/>
        <w:spacing w:line="360" w:lineRule="auto"/>
        <w:textAlignment w:val="auto"/>
        <w:rPr>
          <w:rFonts w:ascii="Book Antiqua" w:hAnsi="Book Antiqua" w:cs="Helvetica"/>
          <w:b/>
          <w:kern w:val="2"/>
          <w:sz w:val="24"/>
          <w:szCs w:val="24"/>
        </w:rPr>
      </w:pPr>
      <w:bookmarkStart w:id="204" w:name="OLE_LINK880"/>
      <w:bookmarkStart w:id="205" w:name="OLE_LINK881"/>
      <w:bookmarkStart w:id="206" w:name="OLE_LINK497"/>
      <w:bookmarkStart w:id="207" w:name="OLE_LINK813"/>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81216A">
        <w:rPr>
          <w:rFonts w:ascii="Book Antiqua" w:hAnsi="Book Antiqua" w:cs="Helvetica"/>
          <w:b/>
          <w:kern w:val="2"/>
          <w:sz w:val="24"/>
          <w:szCs w:val="24"/>
        </w:rPr>
        <w:t xml:space="preserve">Specialty type: </w:t>
      </w:r>
      <w:r w:rsidRPr="0081216A">
        <w:rPr>
          <w:rFonts w:ascii="Book Antiqua" w:hAnsi="Book Antiqua" w:cs="Helvetica"/>
          <w:kern w:val="2"/>
          <w:sz w:val="24"/>
          <w:szCs w:val="24"/>
        </w:rPr>
        <w:t>Gastroenterology and</w:t>
      </w:r>
      <w:r w:rsidRPr="0081216A">
        <w:rPr>
          <w:rFonts w:ascii="Book Antiqua" w:hAnsi="Book Antiqua" w:cs="Helvetica" w:hint="eastAsia"/>
          <w:kern w:val="2"/>
          <w:sz w:val="24"/>
          <w:szCs w:val="24"/>
        </w:rPr>
        <w:t xml:space="preserve"> </w:t>
      </w:r>
      <w:r w:rsidRPr="0081216A">
        <w:rPr>
          <w:rFonts w:ascii="Book Antiqua" w:hAnsi="Book Antiqua" w:cs="Helvetica"/>
          <w:kern w:val="2"/>
          <w:sz w:val="24"/>
          <w:szCs w:val="24"/>
        </w:rPr>
        <w:t>hepatology</w:t>
      </w:r>
    </w:p>
    <w:p w14:paraId="10F5DCC7" w14:textId="77777777" w:rsidR="0081216A" w:rsidRPr="0081216A" w:rsidRDefault="0081216A" w:rsidP="00327F62">
      <w:pPr>
        <w:shd w:val="clear" w:color="auto" w:fill="FFFFFF"/>
        <w:suppressAutoHyphens w:val="0"/>
        <w:autoSpaceDN/>
        <w:snapToGrid w:val="0"/>
        <w:spacing w:line="360" w:lineRule="auto"/>
        <w:textAlignment w:val="auto"/>
        <w:rPr>
          <w:rFonts w:ascii="Book Antiqua" w:hAnsi="Book Antiqua" w:cs="Helvetica"/>
          <w:b/>
          <w:kern w:val="2"/>
          <w:sz w:val="24"/>
          <w:szCs w:val="24"/>
        </w:rPr>
      </w:pPr>
      <w:r w:rsidRPr="0081216A">
        <w:rPr>
          <w:rFonts w:ascii="Book Antiqua" w:hAnsi="Book Antiqua" w:cs="Helvetica"/>
          <w:b/>
          <w:kern w:val="2"/>
          <w:sz w:val="24"/>
          <w:szCs w:val="24"/>
        </w:rPr>
        <w:t xml:space="preserve">Country of origin: </w:t>
      </w:r>
      <w:r w:rsidRPr="0081216A">
        <w:rPr>
          <w:rFonts w:ascii="Book Antiqua" w:hAnsi="Book Antiqua" w:cs="Helvetica"/>
          <w:kern w:val="2"/>
          <w:sz w:val="24"/>
          <w:szCs w:val="24"/>
          <w:lang w:val="en-CA"/>
        </w:rPr>
        <w:t>China</w:t>
      </w:r>
    </w:p>
    <w:p w14:paraId="432369AD" w14:textId="77777777" w:rsidR="0081216A" w:rsidRPr="0081216A" w:rsidRDefault="0081216A" w:rsidP="00327F62">
      <w:pPr>
        <w:shd w:val="clear" w:color="auto" w:fill="FFFFFF"/>
        <w:suppressAutoHyphens w:val="0"/>
        <w:autoSpaceDN/>
        <w:snapToGrid w:val="0"/>
        <w:spacing w:line="360" w:lineRule="auto"/>
        <w:textAlignment w:val="auto"/>
        <w:rPr>
          <w:rFonts w:ascii="Book Antiqua" w:hAnsi="Book Antiqua" w:cs="Helvetica"/>
          <w:b/>
          <w:kern w:val="2"/>
          <w:sz w:val="24"/>
          <w:szCs w:val="24"/>
        </w:rPr>
      </w:pPr>
      <w:r w:rsidRPr="0081216A">
        <w:rPr>
          <w:rFonts w:ascii="Book Antiqua" w:hAnsi="Book Antiqua" w:cs="Helvetica"/>
          <w:b/>
          <w:kern w:val="2"/>
          <w:sz w:val="24"/>
          <w:szCs w:val="24"/>
        </w:rPr>
        <w:t>Peer-review report classification</w:t>
      </w:r>
    </w:p>
    <w:p w14:paraId="4099F235" w14:textId="77777777" w:rsidR="0081216A" w:rsidRPr="0081216A" w:rsidRDefault="0081216A" w:rsidP="00327F62">
      <w:pPr>
        <w:shd w:val="clear" w:color="auto" w:fill="FFFFFF"/>
        <w:suppressAutoHyphens w:val="0"/>
        <w:autoSpaceDN/>
        <w:snapToGrid w:val="0"/>
        <w:spacing w:line="360" w:lineRule="auto"/>
        <w:textAlignment w:val="auto"/>
        <w:rPr>
          <w:rFonts w:ascii="Book Antiqua" w:hAnsi="Book Antiqua" w:cs="Helvetica"/>
          <w:kern w:val="2"/>
          <w:sz w:val="24"/>
          <w:szCs w:val="24"/>
        </w:rPr>
      </w:pPr>
      <w:r w:rsidRPr="0081216A">
        <w:rPr>
          <w:rFonts w:ascii="Book Antiqua" w:hAnsi="Book Antiqua" w:cs="Helvetica"/>
          <w:kern w:val="2"/>
          <w:sz w:val="24"/>
          <w:szCs w:val="24"/>
        </w:rPr>
        <w:t xml:space="preserve">Grade A (Excellent): </w:t>
      </w:r>
      <w:r w:rsidRPr="0081216A">
        <w:rPr>
          <w:rFonts w:ascii="Book Antiqua" w:hAnsi="Book Antiqua" w:cs="Helvetica" w:hint="eastAsia"/>
          <w:kern w:val="2"/>
          <w:sz w:val="24"/>
          <w:szCs w:val="24"/>
        </w:rPr>
        <w:t>0</w:t>
      </w:r>
    </w:p>
    <w:p w14:paraId="6CEDA55B" w14:textId="77777777" w:rsidR="0081216A" w:rsidRPr="0081216A" w:rsidRDefault="0081216A" w:rsidP="00327F62">
      <w:pPr>
        <w:shd w:val="clear" w:color="auto" w:fill="FFFFFF"/>
        <w:suppressAutoHyphens w:val="0"/>
        <w:autoSpaceDN/>
        <w:snapToGrid w:val="0"/>
        <w:spacing w:line="360" w:lineRule="auto"/>
        <w:textAlignment w:val="auto"/>
        <w:rPr>
          <w:rFonts w:ascii="Book Antiqua" w:hAnsi="Book Antiqua" w:cs="Helvetica"/>
          <w:kern w:val="2"/>
          <w:sz w:val="24"/>
          <w:szCs w:val="24"/>
        </w:rPr>
      </w:pPr>
      <w:r w:rsidRPr="0081216A">
        <w:rPr>
          <w:rFonts w:ascii="Book Antiqua" w:hAnsi="Book Antiqua" w:cs="Helvetica"/>
          <w:kern w:val="2"/>
          <w:sz w:val="24"/>
          <w:szCs w:val="24"/>
        </w:rPr>
        <w:t>Grade B (Very good):</w:t>
      </w:r>
      <w:r w:rsidRPr="0081216A">
        <w:rPr>
          <w:rFonts w:ascii="Book Antiqua" w:hAnsi="Book Antiqua" w:cs="Helvetica" w:hint="eastAsia"/>
          <w:kern w:val="2"/>
          <w:sz w:val="24"/>
          <w:szCs w:val="24"/>
        </w:rPr>
        <w:t xml:space="preserve"> B</w:t>
      </w:r>
    </w:p>
    <w:p w14:paraId="73ED868C" w14:textId="77777777" w:rsidR="0081216A" w:rsidRPr="0081216A" w:rsidRDefault="0081216A" w:rsidP="00327F62">
      <w:pPr>
        <w:shd w:val="clear" w:color="auto" w:fill="FFFFFF"/>
        <w:suppressAutoHyphens w:val="0"/>
        <w:autoSpaceDN/>
        <w:snapToGrid w:val="0"/>
        <w:spacing w:line="360" w:lineRule="auto"/>
        <w:textAlignment w:val="auto"/>
        <w:rPr>
          <w:rFonts w:ascii="Book Antiqua" w:hAnsi="Book Antiqua" w:cs="Helvetica"/>
          <w:kern w:val="2"/>
          <w:sz w:val="24"/>
          <w:szCs w:val="24"/>
        </w:rPr>
      </w:pPr>
      <w:r w:rsidRPr="0081216A">
        <w:rPr>
          <w:rFonts w:ascii="Book Antiqua" w:hAnsi="Book Antiqua" w:cs="Helvetica"/>
          <w:kern w:val="2"/>
          <w:sz w:val="24"/>
          <w:szCs w:val="24"/>
        </w:rPr>
        <w:t xml:space="preserve">Grade C (Good): </w:t>
      </w:r>
      <w:r w:rsidRPr="0081216A">
        <w:rPr>
          <w:rFonts w:ascii="Book Antiqua" w:hAnsi="Book Antiqua" w:cs="Helvetica" w:hint="eastAsia"/>
          <w:kern w:val="2"/>
          <w:sz w:val="24"/>
          <w:szCs w:val="24"/>
        </w:rPr>
        <w:t>C, C, C</w:t>
      </w:r>
    </w:p>
    <w:p w14:paraId="7A4F97AD" w14:textId="77777777" w:rsidR="0081216A" w:rsidRPr="0081216A" w:rsidRDefault="0081216A" w:rsidP="00327F62">
      <w:pPr>
        <w:shd w:val="clear" w:color="auto" w:fill="FFFFFF"/>
        <w:suppressAutoHyphens w:val="0"/>
        <w:autoSpaceDN/>
        <w:snapToGrid w:val="0"/>
        <w:spacing w:line="360" w:lineRule="auto"/>
        <w:textAlignment w:val="auto"/>
        <w:rPr>
          <w:rFonts w:ascii="Book Antiqua" w:hAnsi="Book Antiqua" w:cs="Helvetica"/>
          <w:kern w:val="2"/>
          <w:sz w:val="24"/>
          <w:szCs w:val="24"/>
        </w:rPr>
      </w:pPr>
      <w:r w:rsidRPr="0081216A">
        <w:rPr>
          <w:rFonts w:ascii="Book Antiqua" w:hAnsi="Book Antiqua" w:cs="Helvetica"/>
          <w:kern w:val="2"/>
          <w:sz w:val="24"/>
          <w:szCs w:val="24"/>
        </w:rPr>
        <w:t xml:space="preserve">Grade D (Fair): </w:t>
      </w:r>
      <w:r w:rsidRPr="0081216A">
        <w:rPr>
          <w:rFonts w:ascii="Book Antiqua" w:hAnsi="Book Antiqua" w:cs="Helvetica" w:hint="eastAsia"/>
          <w:kern w:val="2"/>
          <w:sz w:val="24"/>
          <w:szCs w:val="24"/>
        </w:rPr>
        <w:t>0</w:t>
      </w:r>
    </w:p>
    <w:p w14:paraId="74F357D2" w14:textId="7F20A3A1" w:rsidR="000548FC" w:rsidRPr="0081216A" w:rsidRDefault="0081216A" w:rsidP="00327F62">
      <w:pPr>
        <w:shd w:val="clear" w:color="auto" w:fill="FFFFFF"/>
        <w:suppressAutoHyphens w:val="0"/>
        <w:autoSpaceDN/>
        <w:snapToGrid w:val="0"/>
        <w:spacing w:line="360" w:lineRule="auto"/>
        <w:textAlignment w:val="auto"/>
        <w:rPr>
          <w:rFonts w:ascii="Book Antiqua" w:hAnsi="Book Antiqua" w:cs="Helvetica"/>
          <w:kern w:val="2"/>
          <w:sz w:val="24"/>
          <w:szCs w:val="24"/>
        </w:rPr>
      </w:pPr>
      <w:r w:rsidRPr="0081216A">
        <w:rPr>
          <w:rFonts w:ascii="Book Antiqua" w:hAnsi="Book Antiqua" w:cs="Helvetica"/>
          <w:kern w:val="2"/>
          <w:sz w:val="24"/>
          <w:szCs w:val="24"/>
        </w:rPr>
        <w:t xml:space="preserve">Grade E (Poor): </w:t>
      </w:r>
      <w:bookmarkEnd w:id="202"/>
      <w:bookmarkEnd w:id="203"/>
      <w:bookmarkEnd w:id="204"/>
      <w:bookmarkEnd w:id="205"/>
      <w:bookmarkEnd w:id="206"/>
      <w:bookmarkEnd w:id="207"/>
      <w:r w:rsidRPr="0081216A">
        <w:rPr>
          <w:rFonts w:ascii="Book Antiqua" w:hAnsi="Book Antiqua" w:cs="Helvetica" w:hint="eastAsia"/>
          <w:kern w:val="2"/>
          <w:sz w:val="24"/>
          <w:szCs w:val="24"/>
        </w:rPr>
        <w:t>0</w:t>
      </w:r>
    </w:p>
    <w:p w14:paraId="367D1A63" w14:textId="77777777" w:rsidR="00BE5A7E" w:rsidRPr="00923307" w:rsidRDefault="00BE5A7E" w:rsidP="00327F62">
      <w:pPr>
        <w:widowControl/>
        <w:suppressAutoHyphens w:val="0"/>
        <w:snapToGrid w:val="0"/>
        <w:spacing w:line="360" w:lineRule="auto"/>
        <w:rPr>
          <w:rFonts w:ascii="Book Antiqua" w:eastAsiaTheme="minorEastAsia" w:hAnsi="Book Antiqua"/>
          <w:b/>
          <w:kern w:val="2"/>
          <w:sz w:val="24"/>
          <w:szCs w:val="24"/>
        </w:rPr>
      </w:pPr>
      <w:r w:rsidRPr="00923307">
        <w:rPr>
          <w:rFonts w:ascii="Book Antiqua" w:eastAsiaTheme="minorEastAsia" w:hAnsi="Book Antiqua"/>
          <w:b/>
          <w:kern w:val="2"/>
          <w:sz w:val="24"/>
          <w:szCs w:val="24"/>
        </w:rPr>
        <w:br w:type="page"/>
      </w:r>
    </w:p>
    <w:p w14:paraId="05FFBE36" w14:textId="77777777" w:rsidR="005F1131" w:rsidRDefault="005F1131" w:rsidP="00327F62">
      <w:pPr>
        <w:suppressAutoHyphens w:val="0"/>
        <w:autoSpaceDN/>
        <w:snapToGrid w:val="0"/>
        <w:spacing w:line="360" w:lineRule="auto"/>
        <w:textAlignment w:val="auto"/>
        <w:rPr>
          <w:rFonts w:ascii="Book Antiqua" w:eastAsiaTheme="minorEastAsia" w:hAnsi="Book Antiqua"/>
          <w:b/>
          <w:kern w:val="2"/>
          <w:sz w:val="24"/>
          <w:szCs w:val="24"/>
        </w:rPr>
        <w:sectPr w:rsidR="005F1131">
          <w:headerReference w:type="default" r:id="rId9"/>
          <w:endnotePr>
            <w:numFmt w:val="decimal"/>
          </w:endnotePr>
          <w:pgSz w:w="11906" w:h="16838"/>
          <w:pgMar w:top="1440" w:right="1800" w:bottom="1440" w:left="1800" w:header="851" w:footer="992" w:gutter="0"/>
          <w:cols w:space="720"/>
          <w:docGrid w:type="lines" w:linePitch="365"/>
        </w:sectPr>
      </w:pPr>
    </w:p>
    <w:p w14:paraId="786A0E9E" w14:textId="4C918748" w:rsidR="00A11A89" w:rsidRPr="00923307" w:rsidRDefault="005F1131" w:rsidP="00327F62">
      <w:pPr>
        <w:suppressAutoHyphens w:val="0"/>
        <w:autoSpaceDN/>
        <w:snapToGrid w:val="0"/>
        <w:spacing w:line="360" w:lineRule="auto"/>
        <w:textAlignment w:val="auto"/>
        <w:rPr>
          <w:rFonts w:ascii="Book Antiqua" w:eastAsiaTheme="minorEastAsia" w:hAnsi="Book Antiqua"/>
          <w:b/>
          <w:kern w:val="2"/>
          <w:sz w:val="24"/>
          <w:szCs w:val="24"/>
        </w:rPr>
      </w:pPr>
      <w:r>
        <w:rPr>
          <w:rFonts w:ascii="Book Antiqua" w:eastAsiaTheme="minorEastAsia" w:hAnsi="Book Antiqua"/>
          <w:b/>
          <w:kern w:val="2"/>
          <w:sz w:val="24"/>
          <w:szCs w:val="24"/>
        </w:rPr>
        <w:lastRenderedPageBreak/>
        <w:t>Table 1</w:t>
      </w:r>
      <w:r w:rsidR="00A11A89" w:rsidRPr="00923307">
        <w:rPr>
          <w:rFonts w:ascii="Book Antiqua" w:eastAsiaTheme="minorEastAsia" w:hAnsi="Book Antiqua"/>
          <w:b/>
          <w:kern w:val="2"/>
          <w:sz w:val="24"/>
          <w:szCs w:val="24"/>
        </w:rPr>
        <w:t xml:space="preserve"> Major Imaging moda</w:t>
      </w:r>
      <w:r>
        <w:rPr>
          <w:rFonts w:ascii="Book Antiqua" w:eastAsiaTheme="minorEastAsia" w:hAnsi="Book Antiqua"/>
          <w:b/>
          <w:kern w:val="2"/>
          <w:sz w:val="24"/>
          <w:szCs w:val="24"/>
        </w:rPr>
        <w:t xml:space="preserve">lities for the diagnosis of </w:t>
      </w:r>
      <w:r w:rsidRPr="005F1131">
        <w:rPr>
          <w:rFonts w:ascii="Book Antiqua" w:eastAsiaTheme="minorEastAsia" w:hAnsi="Book Antiqua"/>
          <w:b/>
          <w:kern w:val="2"/>
          <w:sz w:val="24"/>
          <w:szCs w:val="24"/>
        </w:rPr>
        <w:t>hepatocellular carcinoma</w:t>
      </w:r>
    </w:p>
    <w:tbl>
      <w:tblPr>
        <w:tblStyle w:val="TableGrid"/>
        <w:tblW w:w="11794" w:type="dxa"/>
        <w:tblInd w:w="-6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06"/>
        <w:gridCol w:w="841"/>
        <w:gridCol w:w="963"/>
        <w:gridCol w:w="1559"/>
        <w:gridCol w:w="851"/>
        <w:gridCol w:w="850"/>
        <w:gridCol w:w="851"/>
        <w:gridCol w:w="850"/>
        <w:gridCol w:w="2014"/>
        <w:gridCol w:w="2409"/>
      </w:tblGrid>
      <w:tr w:rsidR="00923307" w:rsidRPr="007F29CC" w14:paraId="01318B0C" w14:textId="77777777" w:rsidTr="004279D8">
        <w:trPr>
          <w:trHeight w:val="446"/>
        </w:trPr>
        <w:tc>
          <w:tcPr>
            <w:tcW w:w="1447" w:type="dxa"/>
            <w:gridSpan w:val="2"/>
            <w:vMerge w:val="restart"/>
            <w:hideMark/>
          </w:tcPr>
          <w:p w14:paraId="17BFCE9E" w14:textId="77777777" w:rsidR="00A11A89" w:rsidRPr="007F29CC" w:rsidRDefault="00A11A89" w:rsidP="00327F62">
            <w:pPr>
              <w:suppressAutoHyphens w:val="0"/>
              <w:snapToGrid w:val="0"/>
              <w:spacing w:line="360" w:lineRule="auto"/>
              <w:rPr>
                <w:rFonts w:ascii="Book Antiqua" w:hAnsi="Book Antiqua"/>
                <w:b/>
                <w:sz w:val="24"/>
                <w:szCs w:val="24"/>
              </w:rPr>
            </w:pPr>
            <w:r w:rsidRPr="007F29CC">
              <w:rPr>
                <w:rFonts w:ascii="Book Antiqua" w:hAnsi="Book Antiqua"/>
                <w:b/>
                <w:sz w:val="24"/>
                <w:szCs w:val="24"/>
              </w:rPr>
              <w:t>Modality</w:t>
            </w:r>
          </w:p>
        </w:tc>
        <w:tc>
          <w:tcPr>
            <w:tcW w:w="963" w:type="dxa"/>
            <w:vMerge w:val="restart"/>
            <w:hideMark/>
          </w:tcPr>
          <w:p w14:paraId="346649C2" w14:textId="77777777" w:rsidR="00A11A89" w:rsidRPr="007F29CC" w:rsidRDefault="00A11A89" w:rsidP="00327F62">
            <w:pPr>
              <w:suppressAutoHyphens w:val="0"/>
              <w:snapToGrid w:val="0"/>
              <w:spacing w:line="360" w:lineRule="auto"/>
              <w:jc w:val="center"/>
              <w:rPr>
                <w:rFonts w:ascii="Book Antiqua" w:hAnsi="Book Antiqua"/>
                <w:b/>
                <w:sz w:val="24"/>
                <w:szCs w:val="24"/>
              </w:rPr>
            </w:pPr>
            <w:r w:rsidRPr="007F29CC">
              <w:rPr>
                <w:rFonts w:ascii="Book Antiqua" w:hAnsi="Book Antiqua"/>
                <w:b/>
                <w:sz w:val="24"/>
                <w:szCs w:val="24"/>
              </w:rPr>
              <w:t>Role</w:t>
            </w:r>
          </w:p>
        </w:tc>
        <w:tc>
          <w:tcPr>
            <w:tcW w:w="1559" w:type="dxa"/>
            <w:vMerge w:val="restart"/>
            <w:hideMark/>
          </w:tcPr>
          <w:p w14:paraId="53286075" w14:textId="77777777" w:rsidR="00A11A89" w:rsidRPr="007F29CC" w:rsidRDefault="00A11A89" w:rsidP="00327F62">
            <w:pPr>
              <w:suppressAutoHyphens w:val="0"/>
              <w:snapToGrid w:val="0"/>
              <w:spacing w:line="360" w:lineRule="auto"/>
              <w:jc w:val="center"/>
              <w:rPr>
                <w:rFonts w:ascii="Book Antiqua" w:hAnsi="Book Antiqua"/>
                <w:b/>
                <w:sz w:val="24"/>
                <w:szCs w:val="24"/>
              </w:rPr>
            </w:pPr>
            <w:r w:rsidRPr="007F29CC">
              <w:rPr>
                <w:rFonts w:ascii="Book Antiqua" w:hAnsi="Book Antiqua"/>
                <w:b/>
                <w:sz w:val="24"/>
                <w:szCs w:val="24"/>
              </w:rPr>
              <w:t>Imaging features of HCC</w:t>
            </w:r>
          </w:p>
        </w:tc>
        <w:tc>
          <w:tcPr>
            <w:tcW w:w="1701" w:type="dxa"/>
            <w:gridSpan w:val="2"/>
            <w:hideMark/>
          </w:tcPr>
          <w:p w14:paraId="4F093F32" w14:textId="77777777" w:rsidR="00A11A89" w:rsidRPr="007F29CC" w:rsidRDefault="00A11A89" w:rsidP="00327F62">
            <w:pPr>
              <w:suppressAutoHyphens w:val="0"/>
              <w:snapToGrid w:val="0"/>
              <w:spacing w:line="360" w:lineRule="auto"/>
              <w:jc w:val="center"/>
              <w:rPr>
                <w:rFonts w:ascii="Book Antiqua" w:hAnsi="Book Antiqua"/>
                <w:b/>
                <w:sz w:val="24"/>
                <w:szCs w:val="24"/>
              </w:rPr>
            </w:pPr>
            <w:r w:rsidRPr="007F29CC">
              <w:rPr>
                <w:rFonts w:ascii="Book Antiqua" w:hAnsi="Book Antiqua"/>
                <w:b/>
                <w:sz w:val="24"/>
                <w:szCs w:val="24"/>
              </w:rPr>
              <w:t>Sensitivity</w:t>
            </w:r>
          </w:p>
        </w:tc>
        <w:tc>
          <w:tcPr>
            <w:tcW w:w="1701" w:type="dxa"/>
            <w:gridSpan w:val="2"/>
            <w:hideMark/>
          </w:tcPr>
          <w:p w14:paraId="30CA4113" w14:textId="77777777" w:rsidR="00A11A89" w:rsidRPr="007F29CC" w:rsidRDefault="00A11A89" w:rsidP="00327F62">
            <w:pPr>
              <w:suppressAutoHyphens w:val="0"/>
              <w:snapToGrid w:val="0"/>
              <w:spacing w:line="360" w:lineRule="auto"/>
              <w:jc w:val="center"/>
              <w:rPr>
                <w:rFonts w:ascii="Book Antiqua" w:hAnsi="Book Antiqua"/>
                <w:b/>
                <w:sz w:val="24"/>
                <w:szCs w:val="24"/>
              </w:rPr>
            </w:pPr>
            <w:r w:rsidRPr="007F29CC">
              <w:rPr>
                <w:rFonts w:ascii="Book Antiqua" w:hAnsi="Book Antiqua"/>
                <w:b/>
                <w:sz w:val="24"/>
                <w:szCs w:val="24"/>
              </w:rPr>
              <w:t>Specificity</w:t>
            </w:r>
          </w:p>
        </w:tc>
        <w:tc>
          <w:tcPr>
            <w:tcW w:w="2014" w:type="dxa"/>
            <w:vMerge w:val="restart"/>
            <w:hideMark/>
          </w:tcPr>
          <w:p w14:paraId="5A2F3C8F" w14:textId="77777777" w:rsidR="00A11A89" w:rsidRPr="007F29CC" w:rsidRDefault="00A11A89" w:rsidP="00327F62">
            <w:pPr>
              <w:suppressAutoHyphens w:val="0"/>
              <w:snapToGrid w:val="0"/>
              <w:spacing w:line="360" w:lineRule="auto"/>
              <w:jc w:val="center"/>
              <w:rPr>
                <w:rFonts w:ascii="Book Antiqua" w:hAnsi="Book Antiqua"/>
                <w:b/>
                <w:sz w:val="24"/>
                <w:szCs w:val="24"/>
              </w:rPr>
            </w:pPr>
            <w:r w:rsidRPr="007F29CC">
              <w:rPr>
                <w:rFonts w:ascii="Book Antiqua" w:hAnsi="Book Antiqua"/>
                <w:b/>
                <w:sz w:val="24"/>
                <w:szCs w:val="24"/>
              </w:rPr>
              <w:t>Advantages</w:t>
            </w:r>
          </w:p>
        </w:tc>
        <w:tc>
          <w:tcPr>
            <w:tcW w:w="2409" w:type="dxa"/>
            <w:vMerge w:val="restart"/>
            <w:hideMark/>
          </w:tcPr>
          <w:p w14:paraId="61331ECD" w14:textId="77777777" w:rsidR="00A11A89" w:rsidRPr="007F29CC" w:rsidRDefault="00A11A89" w:rsidP="00327F62">
            <w:pPr>
              <w:suppressAutoHyphens w:val="0"/>
              <w:snapToGrid w:val="0"/>
              <w:spacing w:line="360" w:lineRule="auto"/>
              <w:jc w:val="center"/>
              <w:rPr>
                <w:rFonts w:ascii="Book Antiqua" w:hAnsi="Book Antiqua"/>
                <w:b/>
                <w:sz w:val="24"/>
                <w:szCs w:val="24"/>
              </w:rPr>
            </w:pPr>
            <w:r w:rsidRPr="007F29CC">
              <w:rPr>
                <w:rFonts w:ascii="Book Antiqua" w:hAnsi="Book Antiqua"/>
                <w:b/>
                <w:sz w:val="24"/>
                <w:szCs w:val="24"/>
              </w:rPr>
              <w:t>Disadvantages</w:t>
            </w:r>
          </w:p>
        </w:tc>
      </w:tr>
      <w:tr w:rsidR="00923307" w:rsidRPr="007F29CC" w14:paraId="132A983D" w14:textId="77777777" w:rsidTr="004279D8">
        <w:trPr>
          <w:trHeight w:val="207"/>
        </w:trPr>
        <w:tc>
          <w:tcPr>
            <w:tcW w:w="1447" w:type="dxa"/>
            <w:gridSpan w:val="2"/>
            <w:vMerge/>
            <w:hideMark/>
          </w:tcPr>
          <w:p w14:paraId="64B00667" w14:textId="77777777" w:rsidR="00A11A89" w:rsidRPr="007F29CC" w:rsidRDefault="00A11A89" w:rsidP="00327F62">
            <w:pPr>
              <w:suppressAutoHyphens w:val="0"/>
              <w:snapToGrid w:val="0"/>
              <w:spacing w:line="360" w:lineRule="auto"/>
              <w:rPr>
                <w:rFonts w:ascii="Book Antiqua" w:hAnsi="Book Antiqua"/>
                <w:b/>
                <w:sz w:val="24"/>
                <w:szCs w:val="24"/>
              </w:rPr>
            </w:pPr>
          </w:p>
        </w:tc>
        <w:tc>
          <w:tcPr>
            <w:tcW w:w="963" w:type="dxa"/>
            <w:vMerge/>
            <w:hideMark/>
          </w:tcPr>
          <w:p w14:paraId="4FF27C5A" w14:textId="77777777" w:rsidR="00A11A89" w:rsidRPr="007F29CC" w:rsidRDefault="00A11A89" w:rsidP="00327F62">
            <w:pPr>
              <w:suppressAutoHyphens w:val="0"/>
              <w:snapToGrid w:val="0"/>
              <w:spacing w:line="360" w:lineRule="auto"/>
              <w:jc w:val="center"/>
              <w:rPr>
                <w:rFonts w:ascii="Book Antiqua" w:hAnsi="Book Antiqua"/>
                <w:b/>
                <w:sz w:val="24"/>
                <w:szCs w:val="24"/>
              </w:rPr>
            </w:pPr>
          </w:p>
        </w:tc>
        <w:tc>
          <w:tcPr>
            <w:tcW w:w="1559" w:type="dxa"/>
            <w:vMerge/>
            <w:hideMark/>
          </w:tcPr>
          <w:p w14:paraId="24997352" w14:textId="77777777" w:rsidR="00A11A89" w:rsidRPr="007F29CC" w:rsidRDefault="00A11A89" w:rsidP="00327F62">
            <w:pPr>
              <w:suppressAutoHyphens w:val="0"/>
              <w:snapToGrid w:val="0"/>
              <w:spacing w:line="360" w:lineRule="auto"/>
              <w:jc w:val="center"/>
              <w:rPr>
                <w:rFonts w:ascii="Book Antiqua" w:hAnsi="Book Antiqua"/>
                <w:b/>
                <w:sz w:val="24"/>
                <w:szCs w:val="24"/>
              </w:rPr>
            </w:pPr>
          </w:p>
        </w:tc>
        <w:tc>
          <w:tcPr>
            <w:tcW w:w="851" w:type="dxa"/>
            <w:hideMark/>
          </w:tcPr>
          <w:p w14:paraId="2DE9D679" w14:textId="77777777" w:rsidR="00A11A89" w:rsidRPr="007F29CC" w:rsidRDefault="00A11A89" w:rsidP="00327F62">
            <w:pPr>
              <w:suppressAutoHyphens w:val="0"/>
              <w:snapToGrid w:val="0"/>
              <w:spacing w:line="360" w:lineRule="auto"/>
              <w:jc w:val="center"/>
              <w:rPr>
                <w:rFonts w:ascii="Book Antiqua" w:hAnsi="Book Antiqua"/>
                <w:b/>
                <w:sz w:val="24"/>
                <w:szCs w:val="24"/>
              </w:rPr>
            </w:pPr>
            <w:r w:rsidRPr="007F29CC">
              <w:rPr>
                <w:rFonts w:ascii="Book Antiqua" w:hAnsi="Book Antiqua"/>
                <w:b/>
                <w:sz w:val="24"/>
                <w:szCs w:val="24"/>
              </w:rPr>
              <w:t>All size</w:t>
            </w:r>
          </w:p>
        </w:tc>
        <w:tc>
          <w:tcPr>
            <w:tcW w:w="850" w:type="dxa"/>
            <w:hideMark/>
          </w:tcPr>
          <w:p w14:paraId="7ED5B6F2" w14:textId="08227D0D" w:rsidR="00A11A89" w:rsidRPr="007F29CC" w:rsidRDefault="00A11A89" w:rsidP="00327F62">
            <w:pPr>
              <w:suppressAutoHyphens w:val="0"/>
              <w:snapToGrid w:val="0"/>
              <w:spacing w:line="360" w:lineRule="auto"/>
              <w:jc w:val="center"/>
              <w:rPr>
                <w:rFonts w:ascii="Book Antiqua" w:hAnsi="Book Antiqua"/>
                <w:b/>
                <w:sz w:val="24"/>
                <w:szCs w:val="24"/>
              </w:rPr>
            </w:pPr>
            <w:r w:rsidRPr="007F29CC">
              <w:rPr>
                <w:rFonts w:ascii="Book Antiqua" w:hAnsi="Book Antiqua"/>
                <w:b/>
                <w:sz w:val="24"/>
                <w:szCs w:val="24"/>
              </w:rPr>
              <w:t>≤</w:t>
            </w:r>
            <w:r w:rsidR="005F1131" w:rsidRPr="007F29CC">
              <w:rPr>
                <w:rFonts w:ascii="Book Antiqua" w:hAnsi="Book Antiqua" w:hint="eastAsia"/>
                <w:b/>
                <w:sz w:val="24"/>
                <w:szCs w:val="24"/>
              </w:rPr>
              <w:t xml:space="preserve"> </w:t>
            </w:r>
            <w:r w:rsidRPr="007F29CC">
              <w:rPr>
                <w:rFonts w:ascii="Book Antiqua" w:hAnsi="Book Antiqua"/>
                <w:b/>
                <w:sz w:val="24"/>
                <w:szCs w:val="24"/>
              </w:rPr>
              <w:t>20</w:t>
            </w:r>
            <w:r w:rsidR="005F1131" w:rsidRPr="007F29CC">
              <w:rPr>
                <w:rFonts w:ascii="Book Antiqua" w:hAnsi="Book Antiqua" w:hint="eastAsia"/>
                <w:b/>
                <w:sz w:val="24"/>
                <w:szCs w:val="24"/>
              </w:rPr>
              <w:t xml:space="preserve"> </w:t>
            </w:r>
            <w:r w:rsidRPr="007F29CC">
              <w:rPr>
                <w:rFonts w:ascii="Book Antiqua" w:hAnsi="Book Antiqua"/>
                <w:b/>
                <w:sz w:val="24"/>
                <w:szCs w:val="24"/>
              </w:rPr>
              <w:t>mm</w:t>
            </w:r>
          </w:p>
        </w:tc>
        <w:tc>
          <w:tcPr>
            <w:tcW w:w="851" w:type="dxa"/>
            <w:hideMark/>
          </w:tcPr>
          <w:p w14:paraId="67D85DB2" w14:textId="77777777" w:rsidR="00A11A89" w:rsidRPr="007F29CC" w:rsidRDefault="00A11A89" w:rsidP="00327F62">
            <w:pPr>
              <w:suppressAutoHyphens w:val="0"/>
              <w:snapToGrid w:val="0"/>
              <w:spacing w:line="360" w:lineRule="auto"/>
              <w:jc w:val="center"/>
              <w:rPr>
                <w:rFonts w:ascii="Book Antiqua" w:hAnsi="Book Antiqua"/>
                <w:b/>
                <w:sz w:val="24"/>
                <w:szCs w:val="24"/>
              </w:rPr>
            </w:pPr>
            <w:r w:rsidRPr="007F29CC">
              <w:rPr>
                <w:rFonts w:ascii="Book Antiqua" w:hAnsi="Book Antiqua"/>
                <w:b/>
                <w:sz w:val="24"/>
                <w:szCs w:val="24"/>
              </w:rPr>
              <w:t>All size</w:t>
            </w:r>
          </w:p>
        </w:tc>
        <w:tc>
          <w:tcPr>
            <w:tcW w:w="850" w:type="dxa"/>
            <w:hideMark/>
          </w:tcPr>
          <w:p w14:paraId="728F5233" w14:textId="37F20E81" w:rsidR="00A11A89" w:rsidRPr="007F29CC" w:rsidRDefault="00A11A89" w:rsidP="00327F62">
            <w:pPr>
              <w:suppressAutoHyphens w:val="0"/>
              <w:snapToGrid w:val="0"/>
              <w:spacing w:line="360" w:lineRule="auto"/>
              <w:jc w:val="center"/>
              <w:rPr>
                <w:rFonts w:ascii="Book Antiqua" w:hAnsi="Book Antiqua"/>
                <w:b/>
                <w:sz w:val="24"/>
                <w:szCs w:val="24"/>
              </w:rPr>
            </w:pPr>
            <w:r w:rsidRPr="007F29CC">
              <w:rPr>
                <w:rFonts w:ascii="Book Antiqua" w:hAnsi="Book Antiqua"/>
                <w:b/>
                <w:sz w:val="24"/>
                <w:szCs w:val="24"/>
              </w:rPr>
              <w:t>≤</w:t>
            </w:r>
            <w:r w:rsidR="005F1131" w:rsidRPr="007F29CC">
              <w:rPr>
                <w:rFonts w:ascii="Book Antiqua" w:hAnsi="Book Antiqua" w:hint="eastAsia"/>
                <w:b/>
                <w:sz w:val="24"/>
                <w:szCs w:val="24"/>
              </w:rPr>
              <w:t xml:space="preserve"> </w:t>
            </w:r>
            <w:r w:rsidRPr="007F29CC">
              <w:rPr>
                <w:rFonts w:ascii="Book Antiqua" w:hAnsi="Book Antiqua"/>
                <w:b/>
                <w:sz w:val="24"/>
                <w:szCs w:val="24"/>
              </w:rPr>
              <w:t>20</w:t>
            </w:r>
            <w:r w:rsidR="005F1131" w:rsidRPr="007F29CC">
              <w:rPr>
                <w:rFonts w:ascii="Book Antiqua" w:hAnsi="Book Antiqua" w:hint="eastAsia"/>
                <w:b/>
                <w:sz w:val="24"/>
                <w:szCs w:val="24"/>
              </w:rPr>
              <w:t xml:space="preserve"> </w:t>
            </w:r>
            <w:r w:rsidRPr="007F29CC">
              <w:rPr>
                <w:rFonts w:ascii="Book Antiqua" w:hAnsi="Book Antiqua"/>
                <w:b/>
                <w:sz w:val="24"/>
                <w:szCs w:val="24"/>
              </w:rPr>
              <w:t>mm</w:t>
            </w:r>
          </w:p>
        </w:tc>
        <w:tc>
          <w:tcPr>
            <w:tcW w:w="2014" w:type="dxa"/>
            <w:vMerge/>
            <w:hideMark/>
          </w:tcPr>
          <w:p w14:paraId="7F5154E0" w14:textId="77777777" w:rsidR="00A11A89" w:rsidRPr="007F29CC" w:rsidRDefault="00A11A89" w:rsidP="00327F62">
            <w:pPr>
              <w:suppressAutoHyphens w:val="0"/>
              <w:snapToGrid w:val="0"/>
              <w:spacing w:line="360" w:lineRule="auto"/>
              <w:jc w:val="center"/>
              <w:rPr>
                <w:rFonts w:ascii="Book Antiqua" w:hAnsi="Book Antiqua"/>
                <w:b/>
                <w:sz w:val="24"/>
                <w:szCs w:val="24"/>
              </w:rPr>
            </w:pPr>
          </w:p>
        </w:tc>
        <w:tc>
          <w:tcPr>
            <w:tcW w:w="2409" w:type="dxa"/>
            <w:vMerge/>
            <w:hideMark/>
          </w:tcPr>
          <w:p w14:paraId="6E321A5F" w14:textId="77777777" w:rsidR="00A11A89" w:rsidRPr="007F29CC" w:rsidRDefault="00A11A89" w:rsidP="00327F62">
            <w:pPr>
              <w:suppressAutoHyphens w:val="0"/>
              <w:snapToGrid w:val="0"/>
              <w:spacing w:line="360" w:lineRule="auto"/>
              <w:jc w:val="center"/>
              <w:rPr>
                <w:rFonts w:ascii="Book Antiqua" w:hAnsi="Book Antiqua"/>
                <w:b/>
                <w:sz w:val="24"/>
                <w:szCs w:val="24"/>
              </w:rPr>
            </w:pPr>
          </w:p>
        </w:tc>
      </w:tr>
      <w:tr w:rsidR="00923307" w:rsidRPr="007F29CC" w14:paraId="0DB56D5E" w14:textId="77777777" w:rsidTr="004279D8">
        <w:trPr>
          <w:trHeight w:val="1415"/>
        </w:trPr>
        <w:tc>
          <w:tcPr>
            <w:tcW w:w="606" w:type="dxa"/>
            <w:vMerge w:val="restart"/>
            <w:hideMark/>
          </w:tcPr>
          <w:p w14:paraId="641F1B06" w14:textId="77777777" w:rsidR="00A11A89" w:rsidRPr="007F29CC" w:rsidRDefault="00A11A89" w:rsidP="00327F62">
            <w:pPr>
              <w:suppressAutoHyphens w:val="0"/>
              <w:snapToGrid w:val="0"/>
              <w:spacing w:line="360" w:lineRule="auto"/>
              <w:rPr>
                <w:rFonts w:ascii="Book Antiqua" w:hAnsi="Book Antiqua"/>
                <w:sz w:val="24"/>
                <w:szCs w:val="24"/>
              </w:rPr>
            </w:pPr>
            <w:r w:rsidRPr="007F29CC">
              <w:rPr>
                <w:rFonts w:ascii="Book Antiqua" w:hAnsi="Book Antiqua"/>
                <w:sz w:val="24"/>
                <w:szCs w:val="24"/>
              </w:rPr>
              <w:t>US</w:t>
            </w:r>
          </w:p>
        </w:tc>
        <w:tc>
          <w:tcPr>
            <w:tcW w:w="841" w:type="dxa"/>
            <w:hideMark/>
          </w:tcPr>
          <w:p w14:paraId="185C9E3B" w14:textId="77777777" w:rsidR="00A11A89" w:rsidRPr="007F29CC" w:rsidRDefault="00A11A89" w:rsidP="00327F62">
            <w:pPr>
              <w:suppressAutoHyphens w:val="0"/>
              <w:snapToGrid w:val="0"/>
              <w:spacing w:line="360" w:lineRule="auto"/>
              <w:rPr>
                <w:rFonts w:ascii="Book Antiqua" w:hAnsi="Book Antiqua"/>
                <w:sz w:val="24"/>
                <w:szCs w:val="24"/>
              </w:rPr>
            </w:pPr>
            <w:r w:rsidRPr="007F29CC">
              <w:rPr>
                <w:rFonts w:ascii="Book Antiqua" w:hAnsi="Book Antiqua"/>
                <w:sz w:val="24"/>
                <w:szCs w:val="24"/>
              </w:rPr>
              <w:t>B-mode US</w:t>
            </w:r>
          </w:p>
        </w:tc>
        <w:tc>
          <w:tcPr>
            <w:tcW w:w="963" w:type="dxa"/>
            <w:hideMark/>
          </w:tcPr>
          <w:p w14:paraId="342F0A3C"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Screening and surveillance</w:t>
            </w:r>
          </w:p>
        </w:tc>
        <w:tc>
          <w:tcPr>
            <w:tcW w:w="1559" w:type="dxa"/>
            <w:hideMark/>
          </w:tcPr>
          <w:p w14:paraId="0BA8809C"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Nodules with altered echogenicity (hypo- or hyperechoic) and abnormal portal venous and/or arterial blood flow compared with background liver.</w:t>
            </w:r>
          </w:p>
        </w:tc>
        <w:tc>
          <w:tcPr>
            <w:tcW w:w="851" w:type="dxa"/>
            <w:hideMark/>
          </w:tcPr>
          <w:p w14:paraId="5A5A87DC" w14:textId="751F6480"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51</w:t>
            </w:r>
            <w:r w:rsidR="005F1131" w:rsidRPr="007F29CC">
              <w:rPr>
                <w:rFonts w:ascii="Book Antiqua" w:hAnsi="Book Antiqua"/>
                <w:sz w:val="24"/>
                <w:szCs w:val="24"/>
              </w:rPr>
              <w:t>%</w:t>
            </w:r>
            <w:r w:rsidRPr="007F29CC">
              <w:rPr>
                <w:rFonts w:ascii="Book Antiqua" w:hAnsi="Book Antiqua"/>
                <w:sz w:val="24"/>
                <w:szCs w:val="24"/>
              </w:rPr>
              <w:t>-67%</w:t>
            </w:r>
          </w:p>
        </w:tc>
        <w:tc>
          <w:tcPr>
            <w:tcW w:w="850" w:type="dxa"/>
            <w:hideMark/>
          </w:tcPr>
          <w:p w14:paraId="5E1ADCAF" w14:textId="505F7C68"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26</w:t>
            </w:r>
            <w:r w:rsidR="005F1131" w:rsidRPr="007F29CC">
              <w:rPr>
                <w:rFonts w:ascii="Book Antiqua" w:hAnsi="Book Antiqua"/>
                <w:sz w:val="24"/>
                <w:szCs w:val="24"/>
              </w:rPr>
              <w:t>%</w:t>
            </w:r>
            <w:r w:rsidRPr="007F29CC">
              <w:rPr>
                <w:rFonts w:ascii="Book Antiqua" w:hAnsi="Book Antiqua"/>
                <w:sz w:val="24"/>
                <w:szCs w:val="24"/>
              </w:rPr>
              <w:t>-49%</w:t>
            </w:r>
          </w:p>
        </w:tc>
        <w:tc>
          <w:tcPr>
            <w:tcW w:w="851" w:type="dxa"/>
            <w:hideMark/>
          </w:tcPr>
          <w:p w14:paraId="479116A4" w14:textId="1E28C8CB"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80</w:t>
            </w:r>
            <w:r w:rsidR="004279D8" w:rsidRPr="007F29CC">
              <w:rPr>
                <w:rFonts w:ascii="Book Antiqua" w:hAnsi="Book Antiqua"/>
                <w:sz w:val="24"/>
                <w:szCs w:val="24"/>
              </w:rPr>
              <w:t>%</w:t>
            </w:r>
            <w:r w:rsidRPr="007F29CC">
              <w:rPr>
                <w:rFonts w:ascii="Book Antiqua" w:hAnsi="Book Antiqua"/>
                <w:sz w:val="24"/>
                <w:szCs w:val="24"/>
              </w:rPr>
              <w:t>-100%</w:t>
            </w:r>
          </w:p>
        </w:tc>
        <w:tc>
          <w:tcPr>
            <w:tcW w:w="850" w:type="dxa"/>
            <w:hideMark/>
          </w:tcPr>
          <w:p w14:paraId="241E6F17" w14:textId="1DABC99F"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67</w:t>
            </w:r>
            <w:r w:rsidR="004279D8" w:rsidRPr="007F29CC">
              <w:rPr>
                <w:rFonts w:ascii="Book Antiqua" w:hAnsi="Book Antiqua"/>
                <w:sz w:val="24"/>
                <w:szCs w:val="24"/>
              </w:rPr>
              <w:t>%</w:t>
            </w:r>
            <w:r w:rsidRPr="007F29CC">
              <w:rPr>
                <w:rFonts w:ascii="Book Antiqua" w:hAnsi="Book Antiqua"/>
                <w:sz w:val="24"/>
                <w:szCs w:val="24"/>
              </w:rPr>
              <w:t>-80%</w:t>
            </w:r>
          </w:p>
        </w:tc>
        <w:tc>
          <w:tcPr>
            <w:tcW w:w="2014" w:type="dxa"/>
            <w:vMerge w:val="restart"/>
            <w:hideMark/>
          </w:tcPr>
          <w:p w14:paraId="3E989335" w14:textId="5AE281F2"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1. Real-time, less expensive, no ionizing radiation.</w:t>
            </w:r>
          </w:p>
          <w:p w14:paraId="7E542786"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2. CEUS Allows real-time continuous imaging and characterization of the dynamic washin of contrast agents.</w:t>
            </w:r>
          </w:p>
          <w:p w14:paraId="7D7D469F"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3. CEUS Can help resolve indeterminate vascular shunts detected by CT or MRI.</w:t>
            </w:r>
          </w:p>
        </w:tc>
        <w:tc>
          <w:tcPr>
            <w:tcW w:w="2409" w:type="dxa"/>
            <w:vMerge w:val="restart"/>
            <w:hideMark/>
          </w:tcPr>
          <w:p w14:paraId="4A0B4735"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1. Requires recognized expertise to perform good examinations.</w:t>
            </w:r>
          </w:p>
          <w:p w14:paraId="2DB7A96D"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 xml:space="preserve">2. Sensitive to inter- and intraobserver </w:t>
            </w:r>
            <w:r w:rsidR="00846D8F" w:rsidRPr="007F29CC">
              <w:rPr>
                <w:rFonts w:ascii="Book Antiqua" w:hAnsi="Book Antiqua"/>
                <w:sz w:val="24"/>
                <w:szCs w:val="24"/>
              </w:rPr>
              <w:t>variabilities</w:t>
            </w:r>
            <w:r w:rsidRPr="007F29CC">
              <w:rPr>
                <w:rFonts w:ascii="Book Antiqua" w:hAnsi="Book Antiqua"/>
                <w:sz w:val="24"/>
                <w:szCs w:val="24"/>
              </w:rPr>
              <w:t>.</w:t>
            </w:r>
          </w:p>
          <w:p w14:paraId="79EB8705"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3. Limited application in obese patients and patients with very cirrhotic heterogeneous livers.</w:t>
            </w:r>
          </w:p>
          <w:p w14:paraId="5BA7D582"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4. US is less accurate compared with CT and MRI for HCC diagnosis.</w:t>
            </w:r>
          </w:p>
          <w:p w14:paraId="50B6BE75"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5. CEUS may demonstrate deteriorated performance for deep, subdiaphragmatic, multiple and treated lesions.</w:t>
            </w:r>
          </w:p>
        </w:tc>
      </w:tr>
      <w:tr w:rsidR="00923307" w:rsidRPr="007F29CC" w14:paraId="548DEB50" w14:textId="77777777" w:rsidTr="004279D8">
        <w:trPr>
          <w:trHeight w:val="1427"/>
        </w:trPr>
        <w:tc>
          <w:tcPr>
            <w:tcW w:w="606" w:type="dxa"/>
            <w:vMerge/>
            <w:hideMark/>
          </w:tcPr>
          <w:p w14:paraId="043160FB" w14:textId="77777777" w:rsidR="00A11A89" w:rsidRPr="007F29CC" w:rsidRDefault="00A11A89" w:rsidP="00327F62">
            <w:pPr>
              <w:suppressAutoHyphens w:val="0"/>
              <w:snapToGrid w:val="0"/>
              <w:spacing w:line="360" w:lineRule="auto"/>
              <w:rPr>
                <w:rFonts w:ascii="Book Antiqua" w:hAnsi="Book Antiqua"/>
                <w:sz w:val="24"/>
                <w:szCs w:val="24"/>
              </w:rPr>
            </w:pPr>
          </w:p>
        </w:tc>
        <w:tc>
          <w:tcPr>
            <w:tcW w:w="841" w:type="dxa"/>
            <w:hideMark/>
          </w:tcPr>
          <w:p w14:paraId="756228A4" w14:textId="77777777" w:rsidR="00A11A89" w:rsidRPr="007F29CC" w:rsidRDefault="00A11A89" w:rsidP="00327F62">
            <w:pPr>
              <w:suppressAutoHyphens w:val="0"/>
              <w:snapToGrid w:val="0"/>
              <w:spacing w:line="360" w:lineRule="auto"/>
              <w:rPr>
                <w:rFonts w:ascii="Book Antiqua" w:hAnsi="Book Antiqua"/>
                <w:sz w:val="24"/>
                <w:szCs w:val="24"/>
              </w:rPr>
            </w:pPr>
            <w:r w:rsidRPr="007F29CC">
              <w:rPr>
                <w:rFonts w:ascii="Book Antiqua" w:hAnsi="Book Antiqua"/>
                <w:sz w:val="24"/>
                <w:szCs w:val="24"/>
              </w:rPr>
              <w:t>CEUS</w:t>
            </w:r>
          </w:p>
        </w:tc>
        <w:tc>
          <w:tcPr>
            <w:tcW w:w="963" w:type="dxa"/>
            <w:hideMark/>
          </w:tcPr>
          <w:p w14:paraId="51BE02E7"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Focal liver lesion characterization, rapid diagnosis</w:t>
            </w:r>
          </w:p>
        </w:tc>
        <w:tc>
          <w:tcPr>
            <w:tcW w:w="1559" w:type="dxa"/>
            <w:hideMark/>
          </w:tcPr>
          <w:p w14:paraId="01824458"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Hyperenhancement in the hepatic arterial phase and wash-out appearance in the portal venous and/or delayed phases.</w:t>
            </w:r>
          </w:p>
        </w:tc>
        <w:tc>
          <w:tcPr>
            <w:tcW w:w="851" w:type="dxa"/>
            <w:hideMark/>
          </w:tcPr>
          <w:p w14:paraId="7D849112" w14:textId="6262A33D"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80</w:t>
            </w:r>
            <w:r w:rsidR="004279D8" w:rsidRPr="007F29CC">
              <w:rPr>
                <w:rFonts w:ascii="Book Antiqua" w:hAnsi="Book Antiqua"/>
                <w:sz w:val="24"/>
                <w:szCs w:val="24"/>
              </w:rPr>
              <w:t>%</w:t>
            </w:r>
            <w:r w:rsidRPr="007F29CC">
              <w:rPr>
                <w:rFonts w:ascii="Book Antiqua" w:hAnsi="Book Antiqua"/>
                <w:sz w:val="24"/>
                <w:szCs w:val="24"/>
              </w:rPr>
              <w:t>-94%</w:t>
            </w:r>
          </w:p>
        </w:tc>
        <w:tc>
          <w:tcPr>
            <w:tcW w:w="850" w:type="dxa"/>
            <w:hideMark/>
          </w:tcPr>
          <w:p w14:paraId="61BE6D14" w14:textId="7D1D4A20"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55</w:t>
            </w:r>
            <w:r w:rsidR="004279D8" w:rsidRPr="007F29CC">
              <w:rPr>
                <w:rFonts w:ascii="Book Antiqua" w:hAnsi="Book Antiqua"/>
                <w:sz w:val="24"/>
                <w:szCs w:val="24"/>
              </w:rPr>
              <w:t>%</w:t>
            </w:r>
            <w:r w:rsidRPr="007F29CC">
              <w:rPr>
                <w:rFonts w:ascii="Book Antiqua" w:hAnsi="Book Antiqua"/>
                <w:sz w:val="24"/>
                <w:szCs w:val="24"/>
              </w:rPr>
              <w:t>-76%</w:t>
            </w:r>
          </w:p>
        </w:tc>
        <w:tc>
          <w:tcPr>
            <w:tcW w:w="851" w:type="dxa"/>
            <w:hideMark/>
          </w:tcPr>
          <w:p w14:paraId="616B824A" w14:textId="67B1AE33"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82</w:t>
            </w:r>
            <w:r w:rsidR="004279D8" w:rsidRPr="007F29CC">
              <w:rPr>
                <w:rFonts w:ascii="Book Antiqua" w:hAnsi="Book Antiqua"/>
                <w:sz w:val="24"/>
                <w:szCs w:val="24"/>
              </w:rPr>
              <w:t>%</w:t>
            </w:r>
            <w:r w:rsidRPr="007F29CC">
              <w:rPr>
                <w:rFonts w:ascii="Book Antiqua" w:hAnsi="Book Antiqua"/>
                <w:sz w:val="24"/>
                <w:szCs w:val="24"/>
              </w:rPr>
              <w:t>-98%</w:t>
            </w:r>
          </w:p>
        </w:tc>
        <w:tc>
          <w:tcPr>
            <w:tcW w:w="850" w:type="dxa"/>
            <w:hideMark/>
          </w:tcPr>
          <w:p w14:paraId="74722B8B" w14:textId="2674CF0B"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80</w:t>
            </w:r>
            <w:r w:rsidR="004279D8" w:rsidRPr="007F29CC">
              <w:rPr>
                <w:rFonts w:ascii="Book Antiqua" w:hAnsi="Book Antiqua"/>
                <w:sz w:val="24"/>
                <w:szCs w:val="24"/>
              </w:rPr>
              <w:t>%</w:t>
            </w:r>
            <w:r w:rsidRPr="007F29CC">
              <w:rPr>
                <w:rFonts w:ascii="Book Antiqua" w:hAnsi="Book Antiqua"/>
                <w:sz w:val="24"/>
                <w:szCs w:val="24"/>
              </w:rPr>
              <w:t>-98%</w:t>
            </w:r>
          </w:p>
        </w:tc>
        <w:tc>
          <w:tcPr>
            <w:tcW w:w="2014" w:type="dxa"/>
            <w:vMerge/>
            <w:hideMark/>
          </w:tcPr>
          <w:p w14:paraId="5AFD6B74" w14:textId="77777777" w:rsidR="00A11A89" w:rsidRPr="007F29CC" w:rsidRDefault="00A11A89" w:rsidP="00327F62">
            <w:pPr>
              <w:suppressAutoHyphens w:val="0"/>
              <w:snapToGrid w:val="0"/>
              <w:spacing w:line="360" w:lineRule="auto"/>
              <w:jc w:val="center"/>
              <w:rPr>
                <w:rFonts w:ascii="Book Antiqua" w:hAnsi="Book Antiqua"/>
                <w:sz w:val="24"/>
                <w:szCs w:val="24"/>
              </w:rPr>
            </w:pPr>
          </w:p>
        </w:tc>
        <w:tc>
          <w:tcPr>
            <w:tcW w:w="2409" w:type="dxa"/>
            <w:vMerge/>
            <w:hideMark/>
          </w:tcPr>
          <w:p w14:paraId="47103A00" w14:textId="77777777" w:rsidR="00A11A89" w:rsidRPr="007F29CC" w:rsidRDefault="00A11A89" w:rsidP="00327F62">
            <w:pPr>
              <w:suppressAutoHyphens w:val="0"/>
              <w:snapToGrid w:val="0"/>
              <w:spacing w:line="360" w:lineRule="auto"/>
              <w:jc w:val="center"/>
              <w:rPr>
                <w:rFonts w:ascii="Book Antiqua" w:hAnsi="Book Antiqua"/>
                <w:sz w:val="24"/>
                <w:szCs w:val="24"/>
              </w:rPr>
            </w:pPr>
          </w:p>
        </w:tc>
      </w:tr>
      <w:tr w:rsidR="00923307" w:rsidRPr="007F29CC" w14:paraId="07B5A0E9" w14:textId="77777777" w:rsidTr="004279D8">
        <w:trPr>
          <w:trHeight w:val="1541"/>
        </w:trPr>
        <w:tc>
          <w:tcPr>
            <w:tcW w:w="1447" w:type="dxa"/>
            <w:gridSpan w:val="2"/>
            <w:hideMark/>
          </w:tcPr>
          <w:p w14:paraId="638949AE" w14:textId="77777777" w:rsidR="00A11A89" w:rsidRPr="007F29CC" w:rsidRDefault="00A11A89" w:rsidP="00327F62">
            <w:pPr>
              <w:suppressAutoHyphens w:val="0"/>
              <w:snapToGrid w:val="0"/>
              <w:spacing w:line="360" w:lineRule="auto"/>
              <w:rPr>
                <w:rFonts w:ascii="Book Antiqua" w:hAnsi="Book Antiqua"/>
                <w:sz w:val="24"/>
                <w:szCs w:val="24"/>
              </w:rPr>
            </w:pPr>
            <w:r w:rsidRPr="007F29CC">
              <w:rPr>
                <w:rFonts w:ascii="Book Antiqua" w:hAnsi="Book Antiqua"/>
                <w:sz w:val="24"/>
                <w:szCs w:val="24"/>
              </w:rPr>
              <w:lastRenderedPageBreak/>
              <w:t>CT</w:t>
            </w:r>
          </w:p>
        </w:tc>
        <w:tc>
          <w:tcPr>
            <w:tcW w:w="963" w:type="dxa"/>
            <w:hideMark/>
          </w:tcPr>
          <w:p w14:paraId="24DC8E73"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Diagnostic</w:t>
            </w:r>
          </w:p>
        </w:tc>
        <w:tc>
          <w:tcPr>
            <w:tcW w:w="1559" w:type="dxa"/>
            <w:hideMark/>
          </w:tcPr>
          <w:p w14:paraId="3C519D61"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Hyperenhancement in the hepatic arterial phase and wash-out appearance in the portal venous and/or delayed phases.</w:t>
            </w:r>
          </w:p>
        </w:tc>
        <w:tc>
          <w:tcPr>
            <w:tcW w:w="851" w:type="dxa"/>
            <w:hideMark/>
          </w:tcPr>
          <w:p w14:paraId="220F76A5" w14:textId="6A379DC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63</w:t>
            </w:r>
            <w:r w:rsidR="004279D8" w:rsidRPr="007F29CC">
              <w:rPr>
                <w:rFonts w:ascii="Book Antiqua" w:hAnsi="Book Antiqua"/>
                <w:sz w:val="24"/>
                <w:szCs w:val="24"/>
              </w:rPr>
              <w:t>%</w:t>
            </w:r>
            <w:r w:rsidRPr="007F29CC">
              <w:rPr>
                <w:rFonts w:ascii="Book Antiqua" w:hAnsi="Book Antiqua"/>
                <w:sz w:val="24"/>
                <w:szCs w:val="24"/>
              </w:rPr>
              <w:t>-76%</w:t>
            </w:r>
          </w:p>
        </w:tc>
        <w:tc>
          <w:tcPr>
            <w:tcW w:w="850" w:type="dxa"/>
            <w:hideMark/>
          </w:tcPr>
          <w:p w14:paraId="46475AB4" w14:textId="72ACD1C0"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63</w:t>
            </w:r>
            <w:r w:rsidR="004279D8" w:rsidRPr="007F29CC">
              <w:rPr>
                <w:rFonts w:ascii="Book Antiqua" w:hAnsi="Book Antiqua"/>
                <w:sz w:val="24"/>
                <w:szCs w:val="24"/>
              </w:rPr>
              <w:t>%</w:t>
            </w:r>
            <w:r w:rsidRPr="007F29CC">
              <w:rPr>
                <w:rFonts w:ascii="Book Antiqua" w:hAnsi="Book Antiqua"/>
                <w:sz w:val="24"/>
                <w:szCs w:val="24"/>
              </w:rPr>
              <w:t>-70%</w:t>
            </w:r>
          </w:p>
        </w:tc>
        <w:tc>
          <w:tcPr>
            <w:tcW w:w="851" w:type="dxa"/>
            <w:hideMark/>
          </w:tcPr>
          <w:p w14:paraId="3A6F7F29" w14:textId="6AF7B99E"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87</w:t>
            </w:r>
            <w:r w:rsidR="004279D8" w:rsidRPr="007F29CC">
              <w:rPr>
                <w:rFonts w:ascii="Book Antiqua" w:hAnsi="Book Antiqua"/>
                <w:sz w:val="24"/>
                <w:szCs w:val="24"/>
              </w:rPr>
              <w:t>%</w:t>
            </w:r>
            <w:r w:rsidRPr="007F29CC">
              <w:rPr>
                <w:rFonts w:ascii="Book Antiqua" w:hAnsi="Book Antiqua"/>
                <w:sz w:val="24"/>
                <w:szCs w:val="24"/>
              </w:rPr>
              <w:t>-98%</w:t>
            </w:r>
          </w:p>
        </w:tc>
        <w:tc>
          <w:tcPr>
            <w:tcW w:w="850" w:type="dxa"/>
            <w:hideMark/>
          </w:tcPr>
          <w:p w14:paraId="626E2494" w14:textId="3C98E0CE"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89</w:t>
            </w:r>
            <w:r w:rsidR="004279D8" w:rsidRPr="007F29CC">
              <w:rPr>
                <w:rFonts w:ascii="Book Antiqua" w:hAnsi="Book Antiqua"/>
                <w:sz w:val="24"/>
                <w:szCs w:val="24"/>
              </w:rPr>
              <w:t>%</w:t>
            </w:r>
            <w:r w:rsidRPr="007F29CC">
              <w:rPr>
                <w:rFonts w:ascii="Book Antiqua" w:hAnsi="Book Antiqua"/>
                <w:sz w:val="24"/>
                <w:szCs w:val="24"/>
              </w:rPr>
              <w:t>-93%</w:t>
            </w:r>
          </w:p>
        </w:tc>
        <w:tc>
          <w:tcPr>
            <w:tcW w:w="2014" w:type="dxa"/>
            <w:hideMark/>
          </w:tcPr>
          <w:p w14:paraId="367E360E"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1. Widely available and well validated worldwide.</w:t>
            </w:r>
          </w:p>
          <w:p w14:paraId="22EC8D55"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2. Enables full cross-sectional evaluation of the liver and can provide important staging information.</w:t>
            </w:r>
          </w:p>
          <w:p w14:paraId="67F6ABFA"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3. Demonstrates high specificity for HCC diagnosis.</w:t>
            </w:r>
          </w:p>
        </w:tc>
        <w:tc>
          <w:tcPr>
            <w:tcW w:w="2409" w:type="dxa"/>
            <w:hideMark/>
          </w:tcPr>
          <w:p w14:paraId="7D307533"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1. Ionizing radiation exposure.</w:t>
            </w:r>
          </w:p>
          <w:p w14:paraId="470D2E7F"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2. Requires application intravenous contrast agents.</w:t>
            </w:r>
          </w:p>
          <w:p w14:paraId="5FBD9979"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3. Less sensitive for early and small lesions.</w:t>
            </w:r>
          </w:p>
        </w:tc>
      </w:tr>
      <w:tr w:rsidR="00923307" w:rsidRPr="007F29CC" w14:paraId="1157C748" w14:textId="77777777" w:rsidTr="004279D8">
        <w:trPr>
          <w:trHeight w:val="1268"/>
        </w:trPr>
        <w:tc>
          <w:tcPr>
            <w:tcW w:w="606" w:type="dxa"/>
            <w:vMerge w:val="restart"/>
            <w:hideMark/>
          </w:tcPr>
          <w:p w14:paraId="5DEAB7FA" w14:textId="77777777" w:rsidR="00A11A89" w:rsidRPr="007F29CC" w:rsidRDefault="00A11A89" w:rsidP="00327F62">
            <w:pPr>
              <w:suppressAutoHyphens w:val="0"/>
              <w:snapToGrid w:val="0"/>
              <w:spacing w:line="360" w:lineRule="auto"/>
              <w:rPr>
                <w:rFonts w:ascii="Book Antiqua" w:hAnsi="Book Antiqua"/>
                <w:sz w:val="24"/>
                <w:szCs w:val="24"/>
              </w:rPr>
            </w:pPr>
            <w:r w:rsidRPr="007F29CC">
              <w:rPr>
                <w:rFonts w:ascii="Book Antiqua" w:hAnsi="Book Antiqua"/>
                <w:sz w:val="24"/>
                <w:szCs w:val="24"/>
              </w:rPr>
              <w:t>MRI</w:t>
            </w:r>
          </w:p>
        </w:tc>
        <w:tc>
          <w:tcPr>
            <w:tcW w:w="841" w:type="dxa"/>
            <w:hideMark/>
          </w:tcPr>
          <w:p w14:paraId="10A0C78B" w14:textId="77777777" w:rsidR="00A11A89" w:rsidRPr="007F29CC" w:rsidRDefault="00A11A89" w:rsidP="00327F62">
            <w:pPr>
              <w:suppressAutoHyphens w:val="0"/>
              <w:snapToGrid w:val="0"/>
              <w:spacing w:line="360" w:lineRule="auto"/>
              <w:rPr>
                <w:rFonts w:ascii="Book Antiqua" w:hAnsi="Book Antiqua"/>
                <w:sz w:val="24"/>
                <w:szCs w:val="24"/>
              </w:rPr>
            </w:pPr>
            <w:r w:rsidRPr="007F29CC">
              <w:rPr>
                <w:rFonts w:ascii="Book Antiqua" w:hAnsi="Book Antiqua"/>
                <w:sz w:val="24"/>
                <w:szCs w:val="24"/>
              </w:rPr>
              <w:t>All</w:t>
            </w:r>
          </w:p>
        </w:tc>
        <w:tc>
          <w:tcPr>
            <w:tcW w:w="963" w:type="dxa"/>
            <w:vMerge w:val="restart"/>
            <w:hideMark/>
          </w:tcPr>
          <w:p w14:paraId="0313CB2F"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Diagnostic</w:t>
            </w:r>
          </w:p>
        </w:tc>
        <w:tc>
          <w:tcPr>
            <w:tcW w:w="1559" w:type="dxa"/>
            <w:vMerge w:val="restart"/>
            <w:hideMark/>
          </w:tcPr>
          <w:p w14:paraId="29667995"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Hyperenhancement in the hepatic arterial phase and wash-out appearance in the portal venous and/or delayed phases.</w:t>
            </w:r>
          </w:p>
        </w:tc>
        <w:tc>
          <w:tcPr>
            <w:tcW w:w="851" w:type="dxa"/>
            <w:hideMark/>
          </w:tcPr>
          <w:p w14:paraId="5B5302C0" w14:textId="4FF502CC"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77</w:t>
            </w:r>
            <w:r w:rsidR="004279D8" w:rsidRPr="007F29CC">
              <w:rPr>
                <w:rFonts w:ascii="Book Antiqua" w:hAnsi="Book Antiqua"/>
                <w:sz w:val="24"/>
                <w:szCs w:val="24"/>
              </w:rPr>
              <w:t>%</w:t>
            </w:r>
            <w:r w:rsidRPr="007F29CC">
              <w:rPr>
                <w:rFonts w:ascii="Book Antiqua" w:hAnsi="Book Antiqua"/>
                <w:sz w:val="24"/>
                <w:szCs w:val="24"/>
              </w:rPr>
              <w:t>-90%</w:t>
            </w:r>
          </w:p>
        </w:tc>
        <w:tc>
          <w:tcPr>
            <w:tcW w:w="850" w:type="dxa"/>
            <w:hideMark/>
          </w:tcPr>
          <w:p w14:paraId="1A9D6462" w14:textId="05791C49"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68</w:t>
            </w:r>
            <w:r w:rsidR="004279D8" w:rsidRPr="007F29CC">
              <w:rPr>
                <w:rFonts w:ascii="Book Antiqua" w:hAnsi="Book Antiqua"/>
                <w:sz w:val="24"/>
                <w:szCs w:val="24"/>
              </w:rPr>
              <w:t>%</w:t>
            </w:r>
            <w:r w:rsidRPr="007F29CC">
              <w:rPr>
                <w:rFonts w:ascii="Book Antiqua" w:hAnsi="Book Antiqua"/>
                <w:sz w:val="24"/>
                <w:szCs w:val="24"/>
              </w:rPr>
              <w:t>-85%</w:t>
            </w:r>
          </w:p>
        </w:tc>
        <w:tc>
          <w:tcPr>
            <w:tcW w:w="851" w:type="dxa"/>
            <w:hideMark/>
          </w:tcPr>
          <w:p w14:paraId="2320B4E8" w14:textId="123EDDA3"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84</w:t>
            </w:r>
            <w:r w:rsidR="004279D8" w:rsidRPr="007F29CC">
              <w:rPr>
                <w:rFonts w:ascii="Book Antiqua" w:hAnsi="Book Antiqua"/>
                <w:sz w:val="24"/>
                <w:szCs w:val="24"/>
              </w:rPr>
              <w:t>%</w:t>
            </w:r>
            <w:r w:rsidRPr="007F29CC">
              <w:rPr>
                <w:rFonts w:ascii="Book Antiqua" w:hAnsi="Book Antiqua"/>
                <w:sz w:val="24"/>
                <w:szCs w:val="24"/>
              </w:rPr>
              <w:t>-97%</w:t>
            </w:r>
          </w:p>
        </w:tc>
        <w:tc>
          <w:tcPr>
            <w:tcW w:w="850" w:type="dxa"/>
            <w:hideMark/>
          </w:tcPr>
          <w:p w14:paraId="38C8EFB0" w14:textId="10C963C6"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88</w:t>
            </w:r>
            <w:r w:rsidR="004279D8" w:rsidRPr="007F29CC">
              <w:rPr>
                <w:rFonts w:ascii="Book Antiqua" w:hAnsi="Book Antiqua"/>
                <w:sz w:val="24"/>
                <w:szCs w:val="24"/>
              </w:rPr>
              <w:t>%</w:t>
            </w:r>
            <w:r w:rsidRPr="007F29CC">
              <w:rPr>
                <w:rFonts w:ascii="Book Antiqua" w:hAnsi="Book Antiqua"/>
                <w:sz w:val="24"/>
                <w:szCs w:val="24"/>
              </w:rPr>
              <w:t>-95%</w:t>
            </w:r>
          </w:p>
        </w:tc>
        <w:tc>
          <w:tcPr>
            <w:tcW w:w="2014" w:type="dxa"/>
            <w:vMerge w:val="restart"/>
            <w:hideMark/>
          </w:tcPr>
          <w:p w14:paraId="0FA010C0"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1. No ionizing radiation exposure; 2. Widely available and well validated worldwide; 3. Enables full cross-sectional evaluation of the liver and can provide important staging information; 4. Demonstrate high specificity for HCC diag</w:t>
            </w:r>
            <w:r w:rsidRPr="007F29CC">
              <w:rPr>
                <w:rFonts w:ascii="Book Antiqua" w:hAnsi="Book Antiqua"/>
                <w:sz w:val="24"/>
                <w:szCs w:val="24"/>
              </w:rPr>
              <w:lastRenderedPageBreak/>
              <w:t>nosis; 5. Better depiction of tumor intrinsic characteristics than CT.</w:t>
            </w:r>
          </w:p>
        </w:tc>
        <w:tc>
          <w:tcPr>
            <w:tcW w:w="2409" w:type="dxa"/>
            <w:vMerge w:val="restart"/>
            <w:hideMark/>
          </w:tcPr>
          <w:p w14:paraId="0AAF591D"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lastRenderedPageBreak/>
              <w:t>1. More Sensitive to motion and susceptibility artifact.</w:t>
            </w:r>
          </w:p>
          <w:p w14:paraId="03FA6C54"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2. Requires injection of potentially nephrotoxic contrast agents.</w:t>
            </w:r>
          </w:p>
          <w:p w14:paraId="391A8E3C"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3. More time-consuming than CT or US.</w:t>
            </w:r>
          </w:p>
          <w:p w14:paraId="4ACF64B8"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4. Limited sensitivity for early and small lesions.</w:t>
            </w:r>
          </w:p>
        </w:tc>
      </w:tr>
      <w:tr w:rsidR="00923307" w:rsidRPr="007F29CC" w14:paraId="40A0935D" w14:textId="77777777" w:rsidTr="004279D8">
        <w:trPr>
          <w:trHeight w:val="994"/>
        </w:trPr>
        <w:tc>
          <w:tcPr>
            <w:tcW w:w="606" w:type="dxa"/>
            <w:vMerge/>
            <w:hideMark/>
          </w:tcPr>
          <w:p w14:paraId="6F84BFDD" w14:textId="77777777" w:rsidR="00A11A89" w:rsidRPr="007F29CC" w:rsidRDefault="00A11A89" w:rsidP="00327F62">
            <w:pPr>
              <w:suppressAutoHyphens w:val="0"/>
              <w:snapToGrid w:val="0"/>
              <w:spacing w:line="360" w:lineRule="auto"/>
              <w:rPr>
                <w:rFonts w:ascii="Book Antiqua" w:hAnsi="Book Antiqua"/>
                <w:sz w:val="24"/>
                <w:szCs w:val="24"/>
              </w:rPr>
            </w:pPr>
          </w:p>
        </w:tc>
        <w:tc>
          <w:tcPr>
            <w:tcW w:w="841" w:type="dxa"/>
            <w:hideMark/>
          </w:tcPr>
          <w:p w14:paraId="52C16FA7" w14:textId="77777777" w:rsidR="00A11A89" w:rsidRPr="007F29CC" w:rsidRDefault="00A11A89" w:rsidP="00327F62">
            <w:pPr>
              <w:suppressAutoHyphens w:val="0"/>
              <w:snapToGrid w:val="0"/>
              <w:spacing w:line="360" w:lineRule="auto"/>
              <w:rPr>
                <w:rFonts w:ascii="Book Antiqua" w:hAnsi="Book Antiqua"/>
                <w:sz w:val="24"/>
                <w:szCs w:val="24"/>
              </w:rPr>
            </w:pPr>
            <w:r w:rsidRPr="007F29CC">
              <w:rPr>
                <w:rFonts w:ascii="Book Antiqua" w:hAnsi="Book Antiqua"/>
                <w:sz w:val="24"/>
                <w:szCs w:val="24"/>
              </w:rPr>
              <w:t>Gadolinium-enhanced MRI</w:t>
            </w:r>
          </w:p>
        </w:tc>
        <w:tc>
          <w:tcPr>
            <w:tcW w:w="963" w:type="dxa"/>
            <w:vMerge/>
            <w:hideMark/>
          </w:tcPr>
          <w:p w14:paraId="61E548EF" w14:textId="77777777" w:rsidR="00A11A89" w:rsidRPr="007F29CC" w:rsidRDefault="00A11A89" w:rsidP="00327F62">
            <w:pPr>
              <w:suppressAutoHyphens w:val="0"/>
              <w:snapToGrid w:val="0"/>
              <w:spacing w:line="360" w:lineRule="auto"/>
              <w:jc w:val="center"/>
              <w:rPr>
                <w:rFonts w:ascii="Book Antiqua" w:hAnsi="Book Antiqua"/>
                <w:sz w:val="24"/>
                <w:szCs w:val="24"/>
              </w:rPr>
            </w:pPr>
          </w:p>
        </w:tc>
        <w:tc>
          <w:tcPr>
            <w:tcW w:w="1559" w:type="dxa"/>
            <w:vMerge/>
            <w:hideMark/>
          </w:tcPr>
          <w:p w14:paraId="342BEEEA" w14:textId="77777777" w:rsidR="00A11A89" w:rsidRPr="007F29CC" w:rsidRDefault="00A11A89" w:rsidP="00327F62">
            <w:pPr>
              <w:suppressAutoHyphens w:val="0"/>
              <w:snapToGrid w:val="0"/>
              <w:spacing w:line="360" w:lineRule="auto"/>
              <w:jc w:val="center"/>
              <w:rPr>
                <w:rFonts w:ascii="Book Antiqua" w:hAnsi="Book Antiqua"/>
                <w:sz w:val="24"/>
                <w:szCs w:val="24"/>
              </w:rPr>
            </w:pPr>
          </w:p>
        </w:tc>
        <w:tc>
          <w:tcPr>
            <w:tcW w:w="851" w:type="dxa"/>
            <w:hideMark/>
          </w:tcPr>
          <w:p w14:paraId="147944AD" w14:textId="7947591F"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67</w:t>
            </w:r>
            <w:r w:rsidR="004279D8" w:rsidRPr="007F29CC">
              <w:rPr>
                <w:rFonts w:ascii="Book Antiqua" w:hAnsi="Book Antiqua"/>
                <w:sz w:val="24"/>
                <w:szCs w:val="24"/>
              </w:rPr>
              <w:t>%</w:t>
            </w:r>
            <w:r w:rsidRPr="007F29CC">
              <w:rPr>
                <w:rFonts w:ascii="Book Antiqua" w:hAnsi="Book Antiqua"/>
                <w:sz w:val="24"/>
                <w:szCs w:val="24"/>
              </w:rPr>
              <w:t>-82%</w:t>
            </w:r>
          </w:p>
        </w:tc>
        <w:tc>
          <w:tcPr>
            <w:tcW w:w="850" w:type="dxa"/>
            <w:hideMark/>
          </w:tcPr>
          <w:p w14:paraId="0B4C6722" w14:textId="6904D409"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57</w:t>
            </w:r>
            <w:r w:rsidR="004279D8" w:rsidRPr="007F29CC">
              <w:rPr>
                <w:rFonts w:ascii="Book Antiqua" w:hAnsi="Book Antiqua"/>
                <w:sz w:val="24"/>
                <w:szCs w:val="24"/>
              </w:rPr>
              <w:t>%</w:t>
            </w:r>
            <w:r w:rsidRPr="007F29CC">
              <w:rPr>
                <w:rFonts w:ascii="Book Antiqua" w:hAnsi="Book Antiqua"/>
                <w:sz w:val="24"/>
                <w:szCs w:val="24"/>
              </w:rPr>
              <w:t>-75%</w:t>
            </w:r>
          </w:p>
        </w:tc>
        <w:tc>
          <w:tcPr>
            <w:tcW w:w="851" w:type="dxa"/>
            <w:hideMark/>
          </w:tcPr>
          <w:p w14:paraId="0D1D455E" w14:textId="7F54887B"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68</w:t>
            </w:r>
            <w:r w:rsidR="004279D8" w:rsidRPr="007F29CC">
              <w:rPr>
                <w:rFonts w:ascii="Book Antiqua" w:hAnsi="Book Antiqua"/>
                <w:sz w:val="24"/>
                <w:szCs w:val="24"/>
              </w:rPr>
              <w:t>%</w:t>
            </w:r>
            <w:r w:rsidRPr="007F29CC">
              <w:rPr>
                <w:rFonts w:ascii="Book Antiqua" w:hAnsi="Book Antiqua"/>
                <w:sz w:val="24"/>
                <w:szCs w:val="24"/>
              </w:rPr>
              <w:t>-95%</w:t>
            </w:r>
          </w:p>
        </w:tc>
        <w:tc>
          <w:tcPr>
            <w:tcW w:w="850" w:type="dxa"/>
            <w:hideMark/>
          </w:tcPr>
          <w:p w14:paraId="36FADB99" w14:textId="19056731"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86</w:t>
            </w:r>
            <w:r w:rsidR="004279D8" w:rsidRPr="007F29CC">
              <w:rPr>
                <w:rFonts w:ascii="Book Antiqua" w:hAnsi="Book Antiqua"/>
                <w:sz w:val="24"/>
                <w:szCs w:val="24"/>
              </w:rPr>
              <w:t>%</w:t>
            </w:r>
            <w:r w:rsidRPr="007F29CC">
              <w:rPr>
                <w:rFonts w:ascii="Book Antiqua" w:hAnsi="Book Antiqua"/>
                <w:sz w:val="24"/>
                <w:szCs w:val="24"/>
              </w:rPr>
              <w:t>-94%</w:t>
            </w:r>
          </w:p>
        </w:tc>
        <w:tc>
          <w:tcPr>
            <w:tcW w:w="2014" w:type="dxa"/>
            <w:vMerge/>
            <w:hideMark/>
          </w:tcPr>
          <w:p w14:paraId="50C75C1D" w14:textId="77777777" w:rsidR="00A11A89" w:rsidRPr="007F29CC" w:rsidRDefault="00A11A89" w:rsidP="00327F62">
            <w:pPr>
              <w:suppressAutoHyphens w:val="0"/>
              <w:snapToGrid w:val="0"/>
              <w:spacing w:line="360" w:lineRule="auto"/>
              <w:jc w:val="center"/>
              <w:rPr>
                <w:rFonts w:ascii="Book Antiqua" w:hAnsi="Book Antiqua"/>
                <w:sz w:val="24"/>
                <w:szCs w:val="24"/>
              </w:rPr>
            </w:pPr>
          </w:p>
        </w:tc>
        <w:tc>
          <w:tcPr>
            <w:tcW w:w="2409" w:type="dxa"/>
            <w:vMerge/>
            <w:hideMark/>
          </w:tcPr>
          <w:p w14:paraId="0B25B515" w14:textId="77777777" w:rsidR="00A11A89" w:rsidRPr="007F29CC" w:rsidRDefault="00A11A89" w:rsidP="00327F62">
            <w:pPr>
              <w:suppressAutoHyphens w:val="0"/>
              <w:snapToGrid w:val="0"/>
              <w:spacing w:line="360" w:lineRule="auto"/>
              <w:jc w:val="center"/>
              <w:rPr>
                <w:rFonts w:ascii="Book Antiqua" w:hAnsi="Book Antiqua"/>
                <w:sz w:val="24"/>
                <w:szCs w:val="24"/>
              </w:rPr>
            </w:pPr>
          </w:p>
        </w:tc>
      </w:tr>
      <w:tr w:rsidR="00923307" w:rsidRPr="007F29CC" w14:paraId="56F132DC" w14:textId="77777777" w:rsidTr="004279D8">
        <w:trPr>
          <w:trHeight w:val="2653"/>
        </w:trPr>
        <w:tc>
          <w:tcPr>
            <w:tcW w:w="606" w:type="dxa"/>
            <w:vMerge/>
            <w:hideMark/>
          </w:tcPr>
          <w:p w14:paraId="6B421B1E" w14:textId="77777777" w:rsidR="00A11A89" w:rsidRPr="007F29CC" w:rsidRDefault="00A11A89" w:rsidP="00327F62">
            <w:pPr>
              <w:suppressAutoHyphens w:val="0"/>
              <w:snapToGrid w:val="0"/>
              <w:spacing w:line="360" w:lineRule="auto"/>
              <w:rPr>
                <w:rFonts w:ascii="Book Antiqua" w:hAnsi="Book Antiqua"/>
                <w:sz w:val="24"/>
                <w:szCs w:val="24"/>
              </w:rPr>
            </w:pPr>
          </w:p>
        </w:tc>
        <w:tc>
          <w:tcPr>
            <w:tcW w:w="841" w:type="dxa"/>
            <w:hideMark/>
          </w:tcPr>
          <w:p w14:paraId="621740E9" w14:textId="77777777" w:rsidR="00A11A89" w:rsidRPr="007F29CC" w:rsidRDefault="00A11A89" w:rsidP="00327F62">
            <w:pPr>
              <w:suppressAutoHyphens w:val="0"/>
              <w:snapToGrid w:val="0"/>
              <w:spacing w:line="360" w:lineRule="auto"/>
              <w:rPr>
                <w:rFonts w:ascii="Book Antiqua" w:hAnsi="Book Antiqua"/>
                <w:sz w:val="24"/>
                <w:szCs w:val="24"/>
              </w:rPr>
            </w:pPr>
            <w:r w:rsidRPr="007F29CC">
              <w:rPr>
                <w:rFonts w:ascii="Book Antiqua" w:hAnsi="Book Antiqua"/>
                <w:sz w:val="24"/>
                <w:szCs w:val="24"/>
              </w:rPr>
              <w:t>Gadoxetate-enhanced MRI</w:t>
            </w:r>
          </w:p>
        </w:tc>
        <w:tc>
          <w:tcPr>
            <w:tcW w:w="963" w:type="dxa"/>
            <w:vMerge/>
            <w:hideMark/>
          </w:tcPr>
          <w:p w14:paraId="312223F4" w14:textId="77777777" w:rsidR="00A11A89" w:rsidRPr="007F29CC" w:rsidRDefault="00A11A89" w:rsidP="00327F62">
            <w:pPr>
              <w:suppressAutoHyphens w:val="0"/>
              <w:snapToGrid w:val="0"/>
              <w:spacing w:line="360" w:lineRule="auto"/>
              <w:jc w:val="center"/>
              <w:rPr>
                <w:rFonts w:ascii="Book Antiqua" w:hAnsi="Book Antiqua"/>
                <w:sz w:val="24"/>
                <w:szCs w:val="24"/>
              </w:rPr>
            </w:pPr>
          </w:p>
        </w:tc>
        <w:tc>
          <w:tcPr>
            <w:tcW w:w="1559" w:type="dxa"/>
            <w:hideMark/>
          </w:tcPr>
          <w:p w14:paraId="05CA2468"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Arterial phase hyperenhancement, portal venous phase wash-out appearance and hepatobiliary phase hypointensity.</w:t>
            </w:r>
          </w:p>
        </w:tc>
        <w:tc>
          <w:tcPr>
            <w:tcW w:w="851" w:type="dxa"/>
            <w:hideMark/>
          </w:tcPr>
          <w:p w14:paraId="36E35850" w14:textId="41330421"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79</w:t>
            </w:r>
            <w:r w:rsidR="004279D8" w:rsidRPr="007F29CC">
              <w:rPr>
                <w:rFonts w:ascii="Book Antiqua" w:hAnsi="Book Antiqua"/>
                <w:sz w:val="24"/>
                <w:szCs w:val="24"/>
              </w:rPr>
              <w:t>%</w:t>
            </w:r>
            <w:r w:rsidRPr="007F29CC">
              <w:rPr>
                <w:rFonts w:ascii="Book Antiqua" w:hAnsi="Book Antiqua"/>
                <w:sz w:val="24"/>
                <w:szCs w:val="24"/>
              </w:rPr>
              <w:t>-93%</w:t>
            </w:r>
          </w:p>
        </w:tc>
        <w:tc>
          <w:tcPr>
            <w:tcW w:w="850" w:type="dxa"/>
            <w:hideMark/>
          </w:tcPr>
          <w:p w14:paraId="4ABFC72F" w14:textId="5D324838"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90</w:t>
            </w:r>
            <w:r w:rsidR="004279D8" w:rsidRPr="007F29CC">
              <w:rPr>
                <w:rFonts w:ascii="Book Antiqua" w:hAnsi="Book Antiqua"/>
                <w:sz w:val="24"/>
                <w:szCs w:val="24"/>
              </w:rPr>
              <w:t>%</w:t>
            </w:r>
            <w:r w:rsidRPr="007F29CC">
              <w:rPr>
                <w:rFonts w:ascii="Book Antiqua" w:hAnsi="Book Antiqua"/>
                <w:sz w:val="24"/>
                <w:szCs w:val="24"/>
              </w:rPr>
              <w:t>-93%</w:t>
            </w:r>
          </w:p>
        </w:tc>
        <w:tc>
          <w:tcPr>
            <w:tcW w:w="851" w:type="dxa"/>
            <w:hideMark/>
          </w:tcPr>
          <w:p w14:paraId="3A4932E9" w14:textId="6D096B33"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90</w:t>
            </w:r>
            <w:r w:rsidR="004279D8" w:rsidRPr="007F29CC">
              <w:rPr>
                <w:rFonts w:ascii="Book Antiqua" w:hAnsi="Book Antiqua"/>
                <w:sz w:val="24"/>
                <w:szCs w:val="24"/>
              </w:rPr>
              <w:t>%</w:t>
            </w:r>
            <w:r w:rsidRPr="007F29CC">
              <w:rPr>
                <w:rFonts w:ascii="Book Antiqua" w:hAnsi="Book Antiqua"/>
                <w:sz w:val="24"/>
                <w:szCs w:val="24"/>
              </w:rPr>
              <w:t>-97%</w:t>
            </w:r>
          </w:p>
        </w:tc>
        <w:tc>
          <w:tcPr>
            <w:tcW w:w="850" w:type="dxa"/>
            <w:hideMark/>
          </w:tcPr>
          <w:p w14:paraId="2532F082" w14:textId="1D628215"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87</w:t>
            </w:r>
            <w:r w:rsidR="004279D8" w:rsidRPr="007F29CC">
              <w:rPr>
                <w:rFonts w:ascii="Book Antiqua" w:hAnsi="Book Antiqua"/>
                <w:sz w:val="24"/>
                <w:szCs w:val="24"/>
              </w:rPr>
              <w:t>%</w:t>
            </w:r>
            <w:r w:rsidRPr="007F29CC">
              <w:rPr>
                <w:rFonts w:ascii="Book Antiqua" w:hAnsi="Book Antiqua"/>
                <w:sz w:val="24"/>
                <w:szCs w:val="24"/>
              </w:rPr>
              <w:t>-91%</w:t>
            </w:r>
          </w:p>
        </w:tc>
        <w:tc>
          <w:tcPr>
            <w:tcW w:w="2014" w:type="dxa"/>
            <w:hideMark/>
          </w:tcPr>
          <w:p w14:paraId="2E41793A"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1. Permits evaluation of hepatocyte functions.</w:t>
            </w:r>
          </w:p>
          <w:p w14:paraId="20D48349"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2. Very sensitive for early and small lesions.</w:t>
            </w:r>
          </w:p>
          <w:p w14:paraId="13BD3980"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3. Hepatobiliary phase signal intensity is well correlated with HCC histologic grade.</w:t>
            </w:r>
          </w:p>
          <w:p w14:paraId="5D539CE5"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4. Can help differentiate early HCCs from cirrhosis-associated benign nodules.</w:t>
            </w:r>
          </w:p>
        </w:tc>
        <w:tc>
          <w:tcPr>
            <w:tcW w:w="2409" w:type="dxa"/>
            <w:hideMark/>
          </w:tcPr>
          <w:p w14:paraId="6BB6DC46"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1. Prolonged examination time and increased cost.</w:t>
            </w:r>
          </w:p>
          <w:p w14:paraId="612D5686"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2. Less available and validated than CT or conventional MR.</w:t>
            </w:r>
          </w:p>
          <w:p w14:paraId="235D3E81"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3. Some HCCs can appear iso- or even hyperintense on hepatobiliary phase images.</w:t>
            </w:r>
          </w:p>
          <w:p w14:paraId="4B339CF3" w14:textId="77777777"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4. Hepatobiliary phase hypointensity may be appreciated in a wide spectrum of diseases with both benign and malignant entities.</w:t>
            </w:r>
          </w:p>
          <w:p w14:paraId="1618F810" w14:textId="3E9FF8F5" w:rsidR="00A11A89" w:rsidRPr="007F29CC" w:rsidRDefault="00A11A89" w:rsidP="00327F62">
            <w:pPr>
              <w:suppressAutoHyphens w:val="0"/>
              <w:snapToGrid w:val="0"/>
              <w:spacing w:line="360" w:lineRule="auto"/>
              <w:jc w:val="center"/>
              <w:rPr>
                <w:rFonts w:ascii="Book Antiqua" w:hAnsi="Book Antiqua"/>
                <w:sz w:val="24"/>
                <w:szCs w:val="24"/>
              </w:rPr>
            </w:pPr>
            <w:r w:rsidRPr="007F29CC">
              <w:rPr>
                <w:rFonts w:ascii="Book Antiqua" w:hAnsi="Book Antiqua"/>
                <w:sz w:val="24"/>
                <w:szCs w:val="24"/>
              </w:rPr>
              <w:t>5. Delayed phase, which can better depict washout appearance, is absent.</w:t>
            </w:r>
          </w:p>
        </w:tc>
      </w:tr>
    </w:tbl>
    <w:p w14:paraId="7E3912D6" w14:textId="3E3E9504" w:rsidR="00A11A89" w:rsidRPr="004279D8" w:rsidRDefault="002C0ED3" w:rsidP="00327F62">
      <w:pPr>
        <w:suppressAutoHyphens w:val="0"/>
        <w:autoSpaceDN/>
        <w:snapToGrid w:val="0"/>
        <w:spacing w:line="360" w:lineRule="auto"/>
        <w:textAlignment w:val="auto"/>
        <w:rPr>
          <w:rFonts w:ascii="Book Antiqua" w:eastAsiaTheme="minorEastAsia" w:hAnsi="Book Antiqua"/>
          <w:kern w:val="2"/>
          <w:sz w:val="24"/>
          <w:szCs w:val="24"/>
        </w:rPr>
      </w:pPr>
      <w:r w:rsidRPr="004279D8">
        <w:rPr>
          <w:rFonts w:ascii="Book Antiqua" w:eastAsiaTheme="minorEastAsia" w:hAnsi="Book Antiqua"/>
          <w:kern w:val="2"/>
          <w:sz w:val="24"/>
          <w:szCs w:val="24"/>
        </w:rPr>
        <w:t>US</w:t>
      </w:r>
      <w:r w:rsidR="004279D8">
        <w:rPr>
          <w:rFonts w:ascii="Book Antiqua" w:eastAsiaTheme="minorEastAsia" w:hAnsi="Book Antiqua" w:hint="eastAsia"/>
          <w:kern w:val="2"/>
          <w:sz w:val="24"/>
          <w:szCs w:val="24"/>
        </w:rPr>
        <w:t>:</w:t>
      </w:r>
      <w:r w:rsidRPr="004279D8">
        <w:rPr>
          <w:rFonts w:ascii="Book Antiqua" w:eastAsiaTheme="minorEastAsia" w:hAnsi="Book Antiqua"/>
          <w:kern w:val="2"/>
          <w:sz w:val="24"/>
          <w:szCs w:val="24"/>
        </w:rPr>
        <w:t xml:space="preserve"> </w:t>
      </w:r>
      <w:r w:rsidRPr="007F29CC">
        <w:rPr>
          <w:rFonts w:ascii="Book Antiqua" w:eastAsiaTheme="minorEastAsia" w:hAnsi="Book Antiqua"/>
          <w:caps/>
          <w:kern w:val="2"/>
          <w:sz w:val="24"/>
          <w:szCs w:val="24"/>
        </w:rPr>
        <w:t>u</w:t>
      </w:r>
      <w:r w:rsidRPr="004279D8">
        <w:rPr>
          <w:rFonts w:ascii="Book Antiqua" w:eastAsiaTheme="minorEastAsia" w:hAnsi="Book Antiqua"/>
          <w:kern w:val="2"/>
          <w:sz w:val="24"/>
          <w:szCs w:val="24"/>
        </w:rPr>
        <w:t>ltrasound; CEUS</w:t>
      </w:r>
      <w:r w:rsidR="004279D8">
        <w:rPr>
          <w:rFonts w:ascii="Book Antiqua" w:eastAsiaTheme="minorEastAsia" w:hAnsi="Book Antiqua" w:hint="eastAsia"/>
          <w:kern w:val="2"/>
          <w:sz w:val="24"/>
          <w:szCs w:val="24"/>
        </w:rPr>
        <w:t>:</w:t>
      </w:r>
      <w:r w:rsidRPr="004279D8">
        <w:rPr>
          <w:rFonts w:ascii="Book Antiqua" w:eastAsiaTheme="minorEastAsia" w:hAnsi="Book Antiqua"/>
          <w:kern w:val="2"/>
          <w:sz w:val="24"/>
          <w:szCs w:val="24"/>
        </w:rPr>
        <w:t xml:space="preserve"> </w:t>
      </w:r>
      <w:r w:rsidRPr="007F29CC">
        <w:rPr>
          <w:rFonts w:ascii="Book Antiqua" w:eastAsiaTheme="minorEastAsia" w:hAnsi="Book Antiqua"/>
          <w:caps/>
          <w:kern w:val="2"/>
          <w:sz w:val="24"/>
          <w:szCs w:val="24"/>
        </w:rPr>
        <w:t>c</w:t>
      </w:r>
      <w:r w:rsidRPr="004279D8">
        <w:rPr>
          <w:rFonts w:ascii="Book Antiqua" w:eastAsiaTheme="minorEastAsia" w:hAnsi="Book Antiqua"/>
          <w:kern w:val="2"/>
          <w:sz w:val="24"/>
          <w:szCs w:val="24"/>
        </w:rPr>
        <w:t>ontrast-enhanced ultrasound; CT</w:t>
      </w:r>
      <w:r w:rsidR="004279D8">
        <w:rPr>
          <w:rFonts w:ascii="Book Antiqua" w:eastAsiaTheme="minorEastAsia" w:hAnsi="Book Antiqua" w:hint="eastAsia"/>
          <w:kern w:val="2"/>
          <w:sz w:val="24"/>
          <w:szCs w:val="24"/>
        </w:rPr>
        <w:t>:</w:t>
      </w:r>
      <w:r w:rsidRPr="004279D8">
        <w:rPr>
          <w:rFonts w:ascii="Book Antiqua" w:eastAsiaTheme="minorEastAsia" w:hAnsi="Book Antiqua"/>
          <w:kern w:val="2"/>
          <w:sz w:val="24"/>
          <w:szCs w:val="24"/>
        </w:rPr>
        <w:t xml:space="preserve"> </w:t>
      </w:r>
      <w:r w:rsidRPr="007F29CC">
        <w:rPr>
          <w:rFonts w:ascii="Book Antiqua" w:eastAsiaTheme="minorEastAsia" w:hAnsi="Book Antiqua"/>
          <w:caps/>
          <w:kern w:val="2"/>
          <w:sz w:val="24"/>
          <w:szCs w:val="24"/>
        </w:rPr>
        <w:t>c</w:t>
      </w:r>
      <w:r w:rsidRPr="004279D8">
        <w:rPr>
          <w:rFonts w:ascii="Book Antiqua" w:eastAsiaTheme="minorEastAsia" w:hAnsi="Book Antiqua"/>
          <w:kern w:val="2"/>
          <w:sz w:val="24"/>
          <w:szCs w:val="24"/>
        </w:rPr>
        <w:t>omputed tomography; MRI</w:t>
      </w:r>
      <w:r w:rsidR="004279D8">
        <w:rPr>
          <w:rFonts w:ascii="Book Antiqua" w:eastAsiaTheme="minorEastAsia" w:hAnsi="Book Antiqua" w:hint="eastAsia"/>
          <w:kern w:val="2"/>
          <w:sz w:val="24"/>
          <w:szCs w:val="24"/>
        </w:rPr>
        <w:t>:</w:t>
      </w:r>
      <w:r w:rsidRPr="004279D8">
        <w:rPr>
          <w:rFonts w:ascii="Book Antiqua" w:eastAsiaTheme="minorEastAsia" w:hAnsi="Book Antiqua"/>
          <w:kern w:val="2"/>
          <w:sz w:val="24"/>
          <w:szCs w:val="24"/>
        </w:rPr>
        <w:t xml:space="preserve"> </w:t>
      </w:r>
      <w:r w:rsidRPr="007F29CC">
        <w:rPr>
          <w:rFonts w:ascii="Book Antiqua" w:eastAsiaTheme="minorEastAsia" w:hAnsi="Book Antiqua"/>
          <w:caps/>
          <w:kern w:val="2"/>
          <w:sz w:val="24"/>
          <w:szCs w:val="24"/>
        </w:rPr>
        <w:t>m</w:t>
      </w:r>
      <w:r w:rsidRPr="004279D8">
        <w:rPr>
          <w:rFonts w:ascii="Book Antiqua" w:eastAsiaTheme="minorEastAsia" w:hAnsi="Book Antiqua"/>
          <w:kern w:val="2"/>
          <w:sz w:val="24"/>
          <w:szCs w:val="24"/>
        </w:rPr>
        <w:t>agnetic resonance imaging; HCC</w:t>
      </w:r>
      <w:r w:rsidR="004279D8">
        <w:rPr>
          <w:rFonts w:ascii="Book Antiqua" w:eastAsiaTheme="minorEastAsia" w:hAnsi="Book Antiqua" w:hint="eastAsia"/>
          <w:kern w:val="2"/>
          <w:sz w:val="24"/>
          <w:szCs w:val="24"/>
        </w:rPr>
        <w:t>:</w:t>
      </w:r>
      <w:r w:rsidRPr="004279D8">
        <w:rPr>
          <w:rFonts w:ascii="Book Antiqua" w:eastAsiaTheme="minorEastAsia" w:hAnsi="Book Antiqua"/>
          <w:kern w:val="2"/>
          <w:sz w:val="24"/>
          <w:szCs w:val="24"/>
        </w:rPr>
        <w:t xml:space="preserve"> </w:t>
      </w:r>
      <w:r w:rsidRPr="007F29CC">
        <w:rPr>
          <w:rFonts w:ascii="Book Antiqua" w:eastAsiaTheme="minorEastAsia" w:hAnsi="Book Antiqua"/>
          <w:caps/>
          <w:kern w:val="2"/>
          <w:sz w:val="24"/>
          <w:szCs w:val="24"/>
        </w:rPr>
        <w:t>h</w:t>
      </w:r>
      <w:r w:rsidRPr="004279D8">
        <w:rPr>
          <w:rFonts w:ascii="Book Antiqua" w:eastAsiaTheme="minorEastAsia" w:hAnsi="Book Antiqua"/>
          <w:kern w:val="2"/>
          <w:sz w:val="24"/>
          <w:szCs w:val="24"/>
        </w:rPr>
        <w:t>epatocellular carcinoma</w:t>
      </w:r>
      <w:r w:rsidR="004279D8">
        <w:rPr>
          <w:rFonts w:ascii="Book Antiqua" w:eastAsiaTheme="minorEastAsia" w:hAnsi="Book Antiqua" w:hint="eastAsia"/>
          <w:kern w:val="2"/>
          <w:sz w:val="24"/>
          <w:szCs w:val="24"/>
        </w:rPr>
        <w:t>.</w:t>
      </w:r>
    </w:p>
    <w:p w14:paraId="6E9491AD" w14:textId="77777777" w:rsidR="002C0ED3" w:rsidRPr="00923307" w:rsidRDefault="002C0ED3" w:rsidP="00327F62">
      <w:pPr>
        <w:suppressAutoHyphens w:val="0"/>
        <w:autoSpaceDN/>
        <w:snapToGrid w:val="0"/>
        <w:spacing w:line="360" w:lineRule="auto"/>
        <w:textAlignment w:val="auto"/>
        <w:rPr>
          <w:rFonts w:ascii="Book Antiqua" w:eastAsiaTheme="minorEastAsia" w:hAnsi="Book Antiqua"/>
          <w:i/>
          <w:kern w:val="2"/>
          <w:sz w:val="24"/>
          <w:szCs w:val="24"/>
        </w:rPr>
      </w:pPr>
    </w:p>
    <w:p w14:paraId="54A59674" w14:textId="77777777" w:rsidR="00D949EC" w:rsidRPr="00923307" w:rsidRDefault="00D949EC" w:rsidP="00327F62">
      <w:pPr>
        <w:suppressAutoHyphens w:val="0"/>
        <w:autoSpaceDN/>
        <w:snapToGrid w:val="0"/>
        <w:spacing w:line="360" w:lineRule="auto"/>
        <w:textAlignment w:val="auto"/>
        <w:rPr>
          <w:rFonts w:ascii="Book Antiqua" w:eastAsiaTheme="minorEastAsia" w:hAnsi="Book Antiqua"/>
          <w:i/>
          <w:kern w:val="2"/>
          <w:sz w:val="24"/>
          <w:szCs w:val="24"/>
        </w:rPr>
      </w:pPr>
    </w:p>
    <w:p w14:paraId="6F89BCAD" w14:textId="2C3C5267" w:rsidR="00D949EC" w:rsidRPr="00923307" w:rsidRDefault="004279D8" w:rsidP="00327F62">
      <w:pPr>
        <w:suppressAutoHyphens w:val="0"/>
        <w:autoSpaceDN/>
        <w:snapToGrid w:val="0"/>
        <w:spacing w:line="360" w:lineRule="auto"/>
        <w:textAlignment w:val="auto"/>
        <w:rPr>
          <w:rFonts w:ascii="Book Antiqua" w:eastAsiaTheme="minorEastAsia" w:hAnsi="Book Antiqua"/>
          <w:i/>
          <w:kern w:val="2"/>
          <w:sz w:val="24"/>
          <w:szCs w:val="24"/>
        </w:rPr>
      </w:pPr>
      <w:r>
        <w:rPr>
          <w:rFonts w:ascii="Book Antiqua" w:eastAsiaTheme="minorEastAsia" w:hAnsi="Book Antiqua"/>
          <w:b/>
          <w:kern w:val="2"/>
          <w:sz w:val="24"/>
          <w:szCs w:val="24"/>
        </w:rPr>
        <w:lastRenderedPageBreak/>
        <w:t>Table 2</w:t>
      </w:r>
      <w:r w:rsidR="00D949EC" w:rsidRPr="00923307">
        <w:rPr>
          <w:rFonts w:ascii="Book Antiqua" w:eastAsiaTheme="minorEastAsia" w:hAnsi="Book Antiqua"/>
          <w:b/>
          <w:kern w:val="2"/>
          <w:sz w:val="24"/>
          <w:szCs w:val="24"/>
        </w:rPr>
        <w:t xml:space="preserve"> Comparison of guidelines of different countries and regions</w:t>
      </w:r>
    </w:p>
    <w:tbl>
      <w:tblPr>
        <w:tblStyle w:val="TableGrid"/>
        <w:tblpPr w:leftFromText="180" w:rightFromText="180" w:vertAnchor="text" w:horzAnchor="margin" w:tblpXSpec="center" w:tblpY="215"/>
        <w:tblW w:w="11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28"/>
        <w:gridCol w:w="710"/>
        <w:gridCol w:w="2324"/>
        <w:gridCol w:w="1656"/>
        <w:gridCol w:w="973"/>
        <w:gridCol w:w="1286"/>
        <w:gridCol w:w="1286"/>
        <w:gridCol w:w="1750"/>
      </w:tblGrid>
      <w:tr w:rsidR="00923307" w:rsidRPr="00077C3F" w14:paraId="68E206EF" w14:textId="77777777" w:rsidTr="00CF19A2">
        <w:trPr>
          <w:trHeight w:val="545"/>
        </w:trPr>
        <w:tc>
          <w:tcPr>
            <w:tcW w:w="1128" w:type="dxa"/>
            <w:shd w:val="clear" w:color="auto" w:fill="auto"/>
          </w:tcPr>
          <w:p w14:paraId="12181F34" w14:textId="77777777" w:rsidR="00D949EC" w:rsidRPr="00077C3F" w:rsidRDefault="00D949EC" w:rsidP="00327F62">
            <w:pPr>
              <w:suppressAutoHyphens w:val="0"/>
              <w:snapToGrid w:val="0"/>
              <w:spacing w:line="360" w:lineRule="auto"/>
              <w:rPr>
                <w:rFonts w:ascii="Book Antiqua" w:hAnsi="Book Antiqua"/>
                <w:b/>
                <w:sz w:val="24"/>
                <w:szCs w:val="24"/>
              </w:rPr>
            </w:pPr>
            <w:r w:rsidRPr="00077C3F">
              <w:rPr>
                <w:rFonts w:ascii="Book Antiqua" w:hAnsi="Book Antiqua"/>
                <w:b/>
                <w:sz w:val="24"/>
                <w:szCs w:val="24"/>
              </w:rPr>
              <w:t>Region</w:t>
            </w:r>
          </w:p>
        </w:tc>
        <w:tc>
          <w:tcPr>
            <w:tcW w:w="710" w:type="dxa"/>
            <w:shd w:val="clear" w:color="auto" w:fill="auto"/>
          </w:tcPr>
          <w:p w14:paraId="4271C629" w14:textId="74195290" w:rsidR="00D949EC" w:rsidRPr="00077C3F" w:rsidRDefault="00D949EC" w:rsidP="00CF19A2">
            <w:pPr>
              <w:suppressAutoHyphens w:val="0"/>
              <w:snapToGrid w:val="0"/>
              <w:spacing w:line="360" w:lineRule="auto"/>
              <w:jc w:val="center"/>
              <w:rPr>
                <w:rFonts w:ascii="Book Antiqua" w:hAnsi="Book Antiqua"/>
                <w:b/>
                <w:sz w:val="24"/>
                <w:szCs w:val="24"/>
              </w:rPr>
            </w:pPr>
            <w:r w:rsidRPr="00077C3F">
              <w:rPr>
                <w:rFonts w:ascii="Book Antiqua" w:hAnsi="Book Antiqua"/>
                <w:b/>
                <w:sz w:val="24"/>
                <w:szCs w:val="24"/>
              </w:rPr>
              <w:t>Year</w:t>
            </w:r>
          </w:p>
        </w:tc>
        <w:tc>
          <w:tcPr>
            <w:tcW w:w="2324" w:type="dxa"/>
            <w:shd w:val="clear" w:color="auto" w:fill="auto"/>
          </w:tcPr>
          <w:p w14:paraId="21CBFC8C" w14:textId="77777777" w:rsidR="00D949EC" w:rsidRPr="00077C3F" w:rsidRDefault="00D949EC" w:rsidP="00CF19A2">
            <w:pPr>
              <w:suppressAutoHyphens w:val="0"/>
              <w:snapToGrid w:val="0"/>
              <w:spacing w:line="360" w:lineRule="auto"/>
              <w:jc w:val="center"/>
              <w:rPr>
                <w:rFonts w:ascii="Book Antiqua" w:hAnsi="Book Antiqua"/>
                <w:b/>
                <w:sz w:val="24"/>
                <w:szCs w:val="24"/>
              </w:rPr>
            </w:pPr>
            <w:r w:rsidRPr="00077C3F">
              <w:rPr>
                <w:rFonts w:ascii="Book Antiqua" w:hAnsi="Book Antiqua"/>
                <w:b/>
                <w:sz w:val="24"/>
                <w:szCs w:val="24"/>
              </w:rPr>
              <w:t>Country/society</w:t>
            </w:r>
          </w:p>
        </w:tc>
        <w:tc>
          <w:tcPr>
            <w:tcW w:w="1656" w:type="dxa"/>
            <w:shd w:val="clear" w:color="auto" w:fill="auto"/>
          </w:tcPr>
          <w:p w14:paraId="29A43EAF" w14:textId="0A816291" w:rsidR="00D949EC" w:rsidRPr="00077C3F" w:rsidRDefault="00D949EC" w:rsidP="00CF19A2">
            <w:pPr>
              <w:suppressAutoHyphens w:val="0"/>
              <w:snapToGrid w:val="0"/>
              <w:spacing w:line="360" w:lineRule="auto"/>
              <w:jc w:val="center"/>
              <w:rPr>
                <w:rFonts w:ascii="Book Antiqua" w:hAnsi="Book Antiqua"/>
                <w:b/>
                <w:sz w:val="24"/>
                <w:szCs w:val="24"/>
              </w:rPr>
            </w:pPr>
            <w:r w:rsidRPr="00077C3F">
              <w:rPr>
                <w:rFonts w:ascii="Book Antiqua" w:hAnsi="Book Antiqua"/>
                <w:b/>
                <w:sz w:val="24"/>
                <w:szCs w:val="24"/>
              </w:rPr>
              <w:t>Stratification</w:t>
            </w:r>
          </w:p>
        </w:tc>
        <w:tc>
          <w:tcPr>
            <w:tcW w:w="973" w:type="dxa"/>
            <w:shd w:val="clear" w:color="auto" w:fill="auto"/>
          </w:tcPr>
          <w:p w14:paraId="1D057F6A" w14:textId="77777777" w:rsidR="00D949EC" w:rsidRPr="00077C3F" w:rsidRDefault="00D949EC" w:rsidP="00CF19A2">
            <w:pPr>
              <w:suppressAutoHyphens w:val="0"/>
              <w:snapToGrid w:val="0"/>
              <w:spacing w:line="360" w:lineRule="auto"/>
              <w:jc w:val="center"/>
              <w:rPr>
                <w:rFonts w:ascii="Book Antiqua" w:hAnsi="Book Antiqua"/>
                <w:b/>
                <w:sz w:val="24"/>
                <w:szCs w:val="24"/>
              </w:rPr>
            </w:pPr>
            <w:r w:rsidRPr="00077C3F">
              <w:rPr>
                <w:rFonts w:ascii="Book Antiqua" w:hAnsi="Book Antiqua"/>
                <w:b/>
                <w:sz w:val="24"/>
                <w:szCs w:val="24"/>
              </w:rPr>
              <w:t>Cut-off size</w:t>
            </w:r>
          </w:p>
        </w:tc>
        <w:tc>
          <w:tcPr>
            <w:tcW w:w="1286" w:type="dxa"/>
            <w:shd w:val="clear" w:color="auto" w:fill="auto"/>
          </w:tcPr>
          <w:p w14:paraId="76F5D60D" w14:textId="77777777" w:rsidR="00D949EC" w:rsidRPr="00077C3F" w:rsidRDefault="00D949EC" w:rsidP="00CF19A2">
            <w:pPr>
              <w:suppressAutoHyphens w:val="0"/>
              <w:snapToGrid w:val="0"/>
              <w:spacing w:line="360" w:lineRule="auto"/>
              <w:jc w:val="center"/>
              <w:rPr>
                <w:rFonts w:ascii="Book Antiqua" w:hAnsi="Book Antiqua"/>
                <w:b/>
                <w:sz w:val="24"/>
                <w:szCs w:val="24"/>
              </w:rPr>
            </w:pPr>
            <w:r w:rsidRPr="00077C3F">
              <w:rPr>
                <w:rFonts w:ascii="Book Antiqua" w:hAnsi="Book Antiqua"/>
                <w:b/>
                <w:sz w:val="24"/>
                <w:szCs w:val="24"/>
              </w:rPr>
              <w:t>AFP</w:t>
            </w:r>
          </w:p>
        </w:tc>
        <w:tc>
          <w:tcPr>
            <w:tcW w:w="1286" w:type="dxa"/>
            <w:shd w:val="clear" w:color="auto" w:fill="auto"/>
          </w:tcPr>
          <w:p w14:paraId="5021BB0A" w14:textId="77777777" w:rsidR="00D949EC" w:rsidRPr="00077C3F" w:rsidRDefault="00D949EC" w:rsidP="00CF19A2">
            <w:pPr>
              <w:suppressAutoHyphens w:val="0"/>
              <w:snapToGrid w:val="0"/>
              <w:spacing w:line="360" w:lineRule="auto"/>
              <w:jc w:val="center"/>
              <w:rPr>
                <w:rFonts w:ascii="Book Antiqua" w:hAnsi="Book Antiqua"/>
                <w:b/>
                <w:sz w:val="24"/>
                <w:szCs w:val="24"/>
              </w:rPr>
            </w:pPr>
            <w:r w:rsidRPr="00077C3F">
              <w:rPr>
                <w:rFonts w:ascii="Book Antiqua" w:hAnsi="Book Antiqua"/>
                <w:b/>
                <w:sz w:val="24"/>
                <w:szCs w:val="24"/>
              </w:rPr>
              <w:t>CEUS</w:t>
            </w:r>
          </w:p>
        </w:tc>
        <w:tc>
          <w:tcPr>
            <w:tcW w:w="1750" w:type="dxa"/>
            <w:shd w:val="clear" w:color="auto" w:fill="auto"/>
          </w:tcPr>
          <w:p w14:paraId="39115476" w14:textId="77777777" w:rsidR="00D949EC" w:rsidRPr="00077C3F" w:rsidRDefault="00D949EC" w:rsidP="00CF19A2">
            <w:pPr>
              <w:suppressAutoHyphens w:val="0"/>
              <w:snapToGrid w:val="0"/>
              <w:spacing w:line="360" w:lineRule="auto"/>
              <w:jc w:val="center"/>
              <w:rPr>
                <w:rFonts w:ascii="Book Antiqua" w:hAnsi="Book Antiqua"/>
                <w:b/>
                <w:sz w:val="24"/>
                <w:szCs w:val="24"/>
              </w:rPr>
            </w:pPr>
            <w:r w:rsidRPr="00077C3F">
              <w:rPr>
                <w:rFonts w:ascii="Book Antiqua" w:hAnsi="Book Antiqua"/>
                <w:b/>
                <w:sz w:val="24"/>
                <w:szCs w:val="24"/>
              </w:rPr>
              <w:t>EOB-MRI</w:t>
            </w:r>
          </w:p>
        </w:tc>
      </w:tr>
      <w:tr w:rsidR="00923307" w:rsidRPr="00077C3F" w14:paraId="5456B473" w14:textId="77777777" w:rsidTr="00CF19A2">
        <w:trPr>
          <w:trHeight w:val="545"/>
        </w:trPr>
        <w:tc>
          <w:tcPr>
            <w:tcW w:w="1128" w:type="dxa"/>
            <w:vMerge w:val="restart"/>
            <w:shd w:val="clear" w:color="auto" w:fill="auto"/>
          </w:tcPr>
          <w:p w14:paraId="493D64B8" w14:textId="77777777" w:rsidR="00D949EC" w:rsidRPr="00077C3F" w:rsidRDefault="00D949EC" w:rsidP="00327F62">
            <w:pPr>
              <w:suppressAutoHyphens w:val="0"/>
              <w:snapToGrid w:val="0"/>
              <w:spacing w:line="360" w:lineRule="auto"/>
              <w:rPr>
                <w:rFonts w:ascii="Book Antiqua" w:hAnsi="Book Antiqua"/>
                <w:sz w:val="24"/>
                <w:szCs w:val="24"/>
              </w:rPr>
            </w:pPr>
            <w:r w:rsidRPr="00077C3F">
              <w:rPr>
                <w:rFonts w:ascii="Book Antiqua" w:hAnsi="Book Antiqua"/>
                <w:sz w:val="24"/>
                <w:szCs w:val="24"/>
              </w:rPr>
              <w:t>Asia</w:t>
            </w:r>
          </w:p>
        </w:tc>
        <w:tc>
          <w:tcPr>
            <w:tcW w:w="710" w:type="dxa"/>
            <w:shd w:val="clear" w:color="auto" w:fill="auto"/>
          </w:tcPr>
          <w:p w14:paraId="534DD3CA"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2014</w:t>
            </w:r>
          </w:p>
        </w:tc>
        <w:tc>
          <w:tcPr>
            <w:tcW w:w="2324" w:type="dxa"/>
            <w:shd w:val="clear" w:color="auto" w:fill="auto"/>
          </w:tcPr>
          <w:p w14:paraId="6BC2CA44"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Japan/JSH-LCSG</w:t>
            </w:r>
          </w:p>
        </w:tc>
        <w:tc>
          <w:tcPr>
            <w:tcW w:w="1656" w:type="dxa"/>
            <w:shd w:val="clear" w:color="auto" w:fill="auto"/>
          </w:tcPr>
          <w:p w14:paraId="2AD68366"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Dynamic pattern</w:t>
            </w:r>
          </w:p>
        </w:tc>
        <w:tc>
          <w:tcPr>
            <w:tcW w:w="973" w:type="dxa"/>
            <w:shd w:val="clear" w:color="auto" w:fill="auto"/>
          </w:tcPr>
          <w:p w14:paraId="027B9ABA"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w:t>
            </w:r>
          </w:p>
        </w:tc>
        <w:tc>
          <w:tcPr>
            <w:tcW w:w="1286" w:type="dxa"/>
            <w:shd w:val="clear" w:color="auto" w:fill="auto"/>
          </w:tcPr>
          <w:p w14:paraId="5AEB8DA9"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Not included</w:t>
            </w:r>
          </w:p>
        </w:tc>
        <w:tc>
          <w:tcPr>
            <w:tcW w:w="1286" w:type="dxa"/>
            <w:shd w:val="clear" w:color="auto" w:fill="auto"/>
          </w:tcPr>
          <w:p w14:paraId="19A6802A" w14:textId="20AEF8B8"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Included</w:t>
            </w:r>
          </w:p>
        </w:tc>
        <w:tc>
          <w:tcPr>
            <w:tcW w:w="1750" w:type="dxa"/>
            <w:shd w:val="clear" w:color="auto" w:fill="auto"/>
          </w:tcPr>
          <w:p w14:paraId="238F87BA" w14:textId="73886C7A"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First-line</w:t>
            </w:r>
          </w:p>
        </w:tc>
      </w:tr>
      <w:tr w:rsidR="00923307" w:rsidRPr="00077C3F" w14:paraId="7A7B55FE" w14:textId="77777777" w:rsidTr="00CF19A2">
        <w:trPr>
          <w:trHeight w:val="545"/>
        </w:trPr>
        <w:tc>
          <w:tcPr>
            <w:tcW w:w="1128" w:type="dxa"/>
            <w:vMerge/>
            <w:shd w:val="clear" w:color="auto" w:fill="auto"/>
          </w:tcPr>
          <w:p w14:paraId="1D557D5D" w14:textId="77777777" w:rsidR="00D949EC" w:rsidRPr="00077C3F" w:rsidRDefault="00D949EC" w:rsidP="00327F62">
            <w:pPr>
              <w:suppressAutoHyphens w:val="0"/>
              <w:snapToGrid w:val="0"/>
              <w:spacing w:line="360" w:lineRule="auto"/>
              <w:rPr>
                <w:rFonts w:ascii="Book Antiqua" w:hAnsi="Book Antiqua"/>
                <w:sz w:val="24"/>
                <w:szCs w:val="24"/>
              </w:rPr>
            </w:pPr>
          </w:p>
        </w:tc>
        <w:tc>
          <w:tcPr>
            <w:tcW w:w="710" w:type="dxa"/>
            <w:shd w:val="clear" w:color="auto" w:fill="auto"/>
          </w:tcPr>
          <w:p w14:paraId="73B72D9A"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2014</w:t>
            </w:r>
          </w:p>
        </w:tc>
        <w:tc>
          <w:tcPr>
            <w:tcW w:w="2324" w:type="dxa"/>
            <w:shd w:val="clear" w:color="auto" w:fill="auto"/>
          </w:tcPr>
          <w:p w14:paraId="555D5E76" w14:textId="529E0DBE" w:rsidR="00D949EC" w:rsidRPr="00077C3F" w:rsidRDefault="00CF19A2" w:rsidP="00CF19A2">
            <w:pPr>
              <w:suppressAutoHyphens w:val="0"/>
              <w:snapToGrid w:val="0"/>
              <w:spacing w:line="360" w:lineRule="auto"/>
              <w:jc w:val="center"/>
              <w:rPr>
                <w:rFonts w:ascii="Book Antiqua" w:hAnsi="Book Antiqua"/>
                <w:sz w:val="24"/>
                <w:szCs w:val="24"/>
              </w:rPr>
            </w:pPr>
            <w:r>
              <w:rPr>
                <w:rFonts w:ascii="Book Antiqua" w:hAnsi="Book Antiqua"/>
                <w:sz w:val="24"/>
                <w:szCs w:val="24"/>
              </w:rPr>
              <w:t>Korea/</w:t>
            </w:r>
            <w:r w:rsidR="00D949EC" w:rsidRPr="00077C3F">
              <w:rPr>
                <w:rFonts w:ascii="Book Antiqua" w:hAnsi="Book Antiqua"/>
                <w:sz w:val="24"/>
                <w:szCs w:val="24"/>
              </w:rPr>
              <w:t>KLCSG-NCC</w:t>
            </w:r>
          </w:p>
        </w:tc>
        <w:tc>
          <w:tcPr>
            <w:tcW w:w="1656" w:type="dxa"/>
            <w:shd w:val="clear" w:color="auto" w:fill="auto"/>
          </w:tcPr>
          <w:p w14:paraId="79FDB5E5"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Size-based</w:t>
            </w:r>
          </w:p>
        </w:tc>
        <w:tc>
          <w:tcPr>
            <w:tcW w:w="973" w:type="dxa"/>
            <w:shd w:val="clear" w:color="auto" w:fill="auto"/>
          </w:tcPr>
          <w:p w14:paraId="15381B03"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1 cm</w:t>
            </w:r>
          </w:p>
        </w:tc>
        <w:tc>
          <w:tcPr>
            <w:tcW w:w="1286" w:type="dxa"/>
            <w:shd w:val="clear" w:color="auto" w:fill="auto"/>
          </w:tcPr>
          <w:p w14:paraId="24710FA5" w14:textId="53B68904"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Included</w:t>
            </w:r>
          </w:p>
        </w:tc>
        <w:tc>
          <w:tcPr>
            <w:tcW w:w="1286" w:type="dxa"/>
            <w:shd w:val="clear" w:color="auto" w:fill="auto"/>
          </w:tcPr>
          <w:p w14:paraId="2071E058"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Not included</w:t>
            </w:r>
          </w:p>
        </w:tc>
        <w:tc>
          <w:tcPr>
            <w:tcW w:w="1750" w:type="dxa"/>
            <w:shd w:val="clear" w:color="auto" w:fill="auto"/>
          </w:tcPr>
          <w:p w14:paraId="4BB85AAC"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Preferentially recommended</w:t>
            </w:r>
          </w:p>
        </w:tc>
      </w:tr>
      <w:tr w:rsidR="00923307" w:rsidRPr="00077C3F" w14:paraId="26CA76F1" w14:textId="77777777" w:rsidTr="00CF19A2">
        <w:trPr>
          <w:trHeight w:val="569"/>
        </w:trPr>
        <w:tc>
          <w:tcPr>
            <w:tcW w:w="1128" w:type="dxa"/>
            <w:vMerge/>
            <w:shd w:val="clear" w:color="auto" w:fill="auto"/>
          </w:tcPr>
          <w:p w14:paraId="689EE57C" w14:textId="77777777" w:rsidR="00D949EC" w:rsidRPr="00077C3F" w:rsidRDefault="00D949EC" w:rsidP="00327F62">
            <w:pPr>
              <w:suppressAutoHyphens w:val="0"/>
              <w:snapToGrid w:val="0"/>
              <w:spacing w:line="360" w:lineRule="auto"/>
              <w:rPr>
                <w:rFonts w:ascii="Book Antiqua" w:hAnsi="Book Antiqua"/>
                <w:sz w:val="24"/>
                <w:szCs w:val="24"/>
              </w:rPr>
            </w:pPr>
          </w:p>
        </w:tc>
        <w:tc>
          <w:tcPr>
            <w:tcW w:w="710" w:type="dxa"/>
            <w:shd w:val="clear" w:color="auto" w:fill="auto"/>
          </w:tcPr>
          <w:p w14:paraId="32D6BBC3"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2014</w:t>
            </w:r>
          </w:p>
        </w:tc>
        <w:tc>
          <w:tcPr>
            <w:tcW w:w="2324" w:type="dxa"/>
            <w:shd w:val="clear" w:color="auto" w:fill="auto"/>
          </w:tcPr>
          <w:p w14:paraId="72EDE906" w14:textId="5B7595CF" w:rsidR="00D949EC" w:rsidRPr="00077C3F" w:rsidRDefault="00CF19A2" w:rsidP="00CF19A2">
            <w:pPr>
              <w:suppressAutoHyphens w:val="0"/>
              <w:snapToGrid w:val="0"/>
              <w:spacing w:line="360" w:lineRule="auto"/>
              <w:jc w:val="center"/>
              <w:rPr>
                <w:rFonts w:ascii="Book Antiqua" w:hAnsi="Book Antiqua"/>
                <w:sz w:val="24"/>
                <w:szCs w:val="24"/>
              </w:rPr>
            </w:pPr>
            <w:r>
              <w:rPr>
                <w:rFonts w:ascii="Book Antiqua" w:hAnsi="Book Antiqua"/>
                <w:sz w:val="24"/>
                <w:szCs w:val="24"/>
              </w:rPr>
              <w:t>India/</w:t>
            </w:r>
            <w:r w:rsidR="00D949EC" w:rsidRPr="00077C3F">
              <w:rPr>
                <w:rFonts w:ascii="Book Antiqua" w:hAnsi="Book Antiqua"/>
                <w:sz w:val="24"/>
                <w:szCs w:val="24"/>
              </w:rPr>
              <w:t>INASL</w:t>
            </w:r>
          </w:p>
        </w:tc>
        <w:tc>
          <w:tcPr>
            <w:tcW w:w="1656" w:type="dxa"/>
            <w:shd w:val="clear" w:color="auto" w:fill="auto"/>
          </w:tcPr>
          <w:p w14:paraId="2C118C6F" w14:textId="1CB352AB"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Size-based</w:t>
            </w:r>
          </w:p>
        </w:tc>
        <w:tc>
          <w:tcPr>
            <w:tcW w:w="973" w:type="dxa"/>
            <w:shd w:val="clear" w:color="auto" w:fill="auto"/>
          </w:tcPr>
          <w:p w14:paraId="38453E8A"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1 cm</w:t>
            </w:r>
          </w:p>
        </w:tc>
        <w:tc>
          <w:tcPr>
            <w:tcW w:w="1286" w:type="dxa"/>
            <w:shd w:val="clear" w:color="auto" w:fill="auto"/>
          </w:tcPr>
          <w:p w14:paraId="537D0129"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Not included</w:t>
            </w:r>
          </w:p>
        </w:tc>
        <w:tc>
          <w:tcPr>
            <w:tcW w:w="1286" w:type="dxa"/>
            <w:shd w:val="clear" w:color="auto" w:fill="auto"/>
          </w:tcPr>
          <w:p w14:paraId="7DA2513D" w14:textId="26773966"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Included</w:t>
            </w:r>
          </w:p>
        </w:tc>
        <w:tc>
          <w:tcPr>
            <w:tcW w:w="1750" w:type="dxa"/>
            <w:shd w:val="clear" w:color="auto" w:fill="auto"/>
          </w:tcPr>
          <w:p w14:paraId="57139F13"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According to availability</w:t>
            </w:r>
          </w:p>
        </w:tc>
      </w:tr>
      <w:tr w:rsidR="00923307" w:rsidRPr="00077C3F" w14:paraId="44EA416D" w14:textId="77777777" w:rsidTr="00CF19A2">
        <w:trPr>
          <w:trHeight w:val="545"/>
        </w:trPr>
        <w:tc>
          <w:tcPr>
            <w:tcW w:w="1128" w:type="dxa"/>
            <w:vMerge/>
            <w:shd w:val="clear" w:color="auto" w:fill="auto"/>
          </w:tcPr>
          <w:p w14:paraId="4041C9A0" w14:textId="77777777" w:rsidR="00D949EC" w:rsidRPr="00077C3F" w:rsidRDefault="00D949EC" w:rsidP="00327F62">
            <w:pPr>
              <w:suppressAutoHyphens w:val="0"/>
              <w:snapToGrid w:val="0"/>
              <w:spacing w:line="360" w:lineRule="auto"/>
              <w:rPr>
                <w:rFonts w:ascii="Book Antiqua" w:hAnsi="Book Antiqua"/>
                <w:sz w:val="24"/>
                <w:szCs w:val="24"/>
              </w:rPr>
            </w:pPr>
          </w:p>
        </w:tc>
        <w:tc>
          <w:tcPr>
            <w:tcW w:w="710" w:type="dxa"/>
            <w:shd w:val="clear" w:color="auto" w:fill="auto"/>
          </w:tcPr>
          <w:p w14:paraId="36E0E34E"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2017</w:t>
            </w:r>
          </w:p>
        </w:tc>
        <w:tc>
          <w:tcPr>
            <w:tcW w:w="2324" w:type="dxa"/>
            <w:shd w:val="clear" w:color="auto" w:fill="auto"/>
          </w:tcPr>
          <w:p w14:paraId="6C7CFB8E" w14:textId="4A56842B" w:rsidR="00D949EC" w:rsidRPr="00077C3F" w:rsidRDefault="00CF19A2" w:rsidP="00CF19A2">
            <w:pPr>
              <w:suppressAutoHyphens w:val="0"/>
              <w:snapToGrid w:val="0"/>
              <w:spacing w:line="360" w:lineRule="auto"/>
              <w:jc w:val="center"/>
              <w:rPr>
                <w:rFonts w:ascii="Book Antiqua" w:hAnsi="Book Antiqua"/>
                <w:sz w:val="24"/>
                <w:szCs w:val="24"/>
              </w:rPr>
            </w:pPr>
            <w:r>
              <w:rPr>
                <w:rFonts w:ascii="Book Antiqua" w:hAnsi="Book Antiqua"/>
                <w:sz w:val="24"/>
                <w:szCs w:val="24"/>
              </w:rPr>
              <w:t>China/</w:t>
            </w:r>
            <w:r w:rsidR="00D949EC" w:rsidRPr="00077C3F">
              <w:rPr>
                <w:rFonts w:ascii="Book Antiqua" w:hAnsi="Book Antiqua"/>
                <w:sz w:val="24"/>
                <w:szCs w:val="24"/>
              </w:rPr>
              <w:t>NHFPCPRC</w:t>
            </w:r>
          </w:p>
        </w:tc>
        <w:tc>
          <w:tcPr>
            <w:tcW w:w="1656" w:type="dxa"/>
            <w:shd w:val="clear" w:color="auto" w:fill="auto"/>
          </w:tcPr>
          <w:p w14:paraId="11CB56B9" w14:textId="46E1B846"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Size-based</w:t>
            </w:r>
          </w:p>
        </w:tc>
        <w:tc>
          <w:tcPr>
            <w:tcW w:w="973" w:type="dxa"/>
            <w:shd w:val="clear" w:color="auto" w:fill="auto"/>
          </w:tcPr>
          <w:p w14:paraId="40CAAC7B"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2 cm</w:t>
            </w:r>
          </w:p>
        </w:tc>
        <w:tc>
          <w:tcPr>
            <w:tcW w:w="1286" w:type="dxa"/>
            <w:shd w:val="clear" w:color="auto" w:fill="auto"/>
          </w:tcPr>
          <w:p w14:paraId="3A47CA25" w14:textId="5C673470"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Included</w:t>
            </w:r>
          </w:p>
        </w:tc>
        <w:tc>
          <w:tcPr>
            <w:tcW w:w="1286" w:type="dxa"/>
            <w:shd w:val="clear" w:color="auto" w:fill="auto"/>
          </w:tcPr>
          <w:p w14:paraId="6F22B0A6" w14:textId="7E5392D0"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Included</w:t>
            </w:r>
          </w:p>
        </w:tc>
        <w:tc>
          <w:tcPr>
            <w:tcW w:w="1750" w:type="dxa"/>
            <w:shd w:val="clear" w:color="auto" w:fill="auto"/>
          </w:tcPr>
          <w:p w14:paraId="20DFCDE3" w14:textId="67342581"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Optional</w:t>
            </w:r>
          </w:p>
        </w:tc>
      </w:tr>
      <w:tr w:rsidR="00923307" w:rsidRPr="00077C3F" w14:paraId="31246B17" w14:textId="77777777" w:rsidTr="00CF19A2">
        <w:trPr>
          <w:trHeight w:val="545"/>
        </w:trPr>
        <w:tc>
          <w:tcPr>
            <w:tcW w:w="1128" w:type="dxa"/>
            <w:vMerge/>
            <w:shd w:val="clear" w:color="auto" w:fill="auto"/>
          </w:tcPr>
          <w:p w14:paraId="69DCC2C5" w14:textId="77777777" w:rsidR="00D949EC" w:rsidRPr="00077C3F" w:rsidRDefault="00D949EC" w:rsidP="00327F62">
            <w:pPr>
              <w:suppressAutoHyphens w:val="0"/>
              <w:snapToGrid w:val="0"/>
              <w:spacing w:line="360" w:lineRule="auto"/>
              <w:rPr>
                <w:rFonts w:ascii="Book Antiqua" w:hAnsi="Book Antiqua"/>
                <w:sz w:val="24"/>
                <w:szCs w:val="24"/>
              </w:rPr>
            </w:pPr>
          </w:p>
        </w:tc>
        <w:tc>
          <w:tcPr>
            <w:tcW w:w="710" w:type="dxa"/>
            <w:shd w:val="clear" w:color="auto" w:fill="auto"/>
          </w:tcPr>
          <w:p w14:paraId="5528E70B"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2017</w:t>
            </w:r>
          </w:p>
        </w:tc>
        <w:tc>
          <w:tcPr>
            <w:tcW w:w="2324" w:type="dxa"/>
            <w:shd w:val="clear" w:color="auto" w:fill="auto"/>
          </w:tcPr>
          <w:p w14:paraId="1D3464EB"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APASL</w:t>
            </w:r>
          </w:p>
        </w:tc>
        <w:tc>
          <w:tcPr>
            <w:tcW w:w="1656" w:type="dxa"/>
            <w:shd w:val="clear" w:color="auto" w:fill="auto"/>
          </w:tcPr>
          <w:p w14:paraId="7E104FA1"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Dynamic pattern</w:t>
            </w:r>
          </w:p>
        </w:tc>
        <w:tc>
          <w:tcPr>
            <w:tcW w:w="973" w:type="dxa"/>
            <w:shd w:val="clear" w:color="auto" w:fill="auto"/>
          </w:tcPr>
          <w:p w14:paraId="52CBBF89"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w:t>
            </w:r>
          </w:p>
        </w:tc>
        <w:tc>
          <w:tcPr>
            <w:tcW w:w="1286" w:type="dxa"/>
            <w:shd w:val="clear" w:color="auto" w:fill="auto"/>
          </w:tcPr>
          <w:p w14:paraId="6D7FC1E9"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Not included</w:t>
            </w:r>
          </w:p>
        </w:tc>
        <w:tc>
          <w:tcPr>
            <w:tcW w:w="1286" w:type="dxa"/>
            <w:shd w:val="clear" w:color="auto" w:fill="auto"/>
          </w:tcPr>
          <w:p w14:paraId="593EEB00" w14:textId="568FADF0"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Included</w:t>
            </w:r>
          </w:p>
        </w:tc>
        <w:tc>
          <w:tcPr>
            <w:tcW w:w="1750" w:type="dxa"/>
            <w:shd w:val="clear" w:color="auto" w:fill="auto"/>
          </w:tcPr>
          <w:p w14:paraId="5DCA3371"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First-line</w:t>
            </w:r>
          </w:p>
        </w:tc>
      </w:tr>
      <w:tr w:rsidR="00923307" w:rsidRPr="00077C3F" w14:paraId="32BFA7BB" w14:textId="77777777" w:rsidTr="00CF19A2">
        <w:trPr>
          <w:trHeight w:val="545"/>
        </w:trPr>
        <w:tc>
          <w:tcPr>
            <w:tcW w:w="1128" w:type="dxa"/>
            <w:shd w:val="clear" w:color="auto" w:fill="auto"/>
          </w:tcPr>
          <w:p w14:paraId="5D2D208E" w14:textId="77777777" w:rsidR="00D949EC" w:rsidRPr="00077C3F" w:rsidRDefault="00D949EC" w:rsidP="00327F62">
            <w:pPr>
              <w:suppressAutoHyphens w:val="0"/>
              <w:snapToGrid w:val="0"/>
              <w:spacing w:line="360" w:lineRule="auto"/>
              <w:rPr>
                <w:rFonts w:ascii="Book Antiqua" w:hAnsi="Book Antiqua"/>
                <w:sz w:val="24"/>
                <w:szCs w:val="24"/>
              </w:rPr>
            </w:pPr>
            <w:r w:rsidRPr="00077C3F">
              <w:rPr>
                <w:rFonts w:ascii="Book Antiqua" w:hAnsi="Book Antiqua"/>
                <w:sz w:val="24"/>
                <w:szCs w:val="24"/>
              </w:rPr>
              <w:t>Europe</w:t>
            </w:r>
          </w:p>
        </w:tc>
        <w:tc>
          <w:tcPr>
            <w:tcW w:w="710" w:type="dxa"/>
            <w:shd w:val="clear" w:color="auto" w:fill="auto"/>
          </w:tcPr>
          <w:p w14:paraId="2746C134"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2012</w:t>
            </w:r>
          </w:p>
        </w:tc>
        <w:tc>
          <w:tcPr>
            <w:tcW w:w="2324" w:type="dxa"/>
            <w:shd w:val="clear" w:color="auto" w:fill="auto"/>
          </w:tcPr>
          <w:p w14:paraId="606EA4A8"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EASL-EORTC</w:t>
            </w:r>
          </w:p>
        </w:tc>
        <w:tc>
          <w:tcPr>
            <w:tcW w:w="1656" w:type="dxa"/>
            <w:shd w:val="clear" w:color="auto" w:fill="auto"/>
          </w:tcPr>
          <w:p w14:paraId="0FAFA6CA" w14:textId="6110B57D"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Size-based</w:t>
            </w:r>
          </w:p>
        </w:tc>
        <w:tc>
          <w:tcPr>
            <w:tcW w:w="973" w:type="dxa"/>
            <w:shd w:val="clear" w:color="auto" w:fill="auto"/>
          </w:tcPr>
          <w:p w14:paraId="609E3A1E"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1 cm/ 2 cm</w:t>
            </w:r>
          </w:p>
        </w:tc>
        <w:tc>
          <w:tcPr>
            <w:tcW w:w="1286" w:type="dxa"/>
            <w:shd w:val="clear" w:color="auto" w:fill="auto"/>
          </w:tcPr>
          <w:p w14:paraId="31288D95" w14:textId="77777777" w:rsidR="00D949EC" w:rsidRPr="00077C3F" w:rsidRDefault="00D949EC" w:rsidP="00CF19A2">
            <w:pPr>
              <w:suppressAutoHyphens w:val="0"/>
              <w:snapToGrid w:val="0"/>
              <w:spacing w:line="360" w:lineRule="auto"/>
              <w:jc w:val="center"/>
              <w:rPr>
                <w:rFonts w:ascii="Book Antiqua" w:hAnsi="Book Antiqua"/>
                <w:sz w:val="24"/>
                <w:szCs w:val="24"/>
              </w:rPr>
            </w:pPr>
          </w:p>
        </w:tc>
        <w:tc>
          <w:tcPr>
            <w:tcW w:w="1286" w:type="dxa"/>
            <w:shd w:val="clear" w:color="auto" w:fill="auto"/>
          </w:tcPr>
          <w:p w14:paraId="7BCC4A31" w14:textId="77777777" w:rsidR="00D949EC" w:rsidRPr="00077C3F" w:rsidRDefault="00D949EC" w:rsidP="00CF19A2">
            <w:pPr>
              <w:suppressAutoHyphens w:val="0"/>
              <w:snapToGrid w:val="0"/>
              <w:spacing w:line="360" w:lineRule="auto"/>
              <w:jc w:val="center"/>
              <w:rPr>
                <w:rFonts w:ascii="Book Antiqua" w:hAnsi="Book Antiqua"/>
                <w:sz w:val="24"/>
                <w:szCs w:val="24"/>
              </w:rPr>
            </w:pPr>
          </w:p>
        </w:tc>
        <w:tc>
          <w:tcPr>
            <w:tcW w:w="1750" w:type="dxa"/>
            <w:shd w:val="clear" w:color="auto" w:fill="auto"/>
          </w:tcPr>
          <w:p w14:paraId="67473B6D" w14:textId="590F6C6D"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Not included</w:t>
            </w:r>
          </w:p>
        </w:tc>
      </w:tr>
      <w:tr w:rsidR="00923307" w:rsidRPr="00077C3F" w14:paraId="7726F69D" w14:textId="77777777" w:rsidTr="00CF19A2">
        <w:trPr>
          <w:trHeight w:val="545"/>
        </w:trPr>
        <w:tc>
          <w:tcPr>
            <w:tcW w:w="1128" w:type="dxa"/>
            <w:shd w:val="clear" w:color="auto" w:fill="auto"/>
          </w:tcPr>
          <w:p w14:paraId="7D927052" w14:textId="77777777" w:rsidR="00D949EC" w:rsidRPr="00077C3F" w:rsidRDefault="00D949EC" w:rsidP="00327F62">
            <w:pPr>
              <w:suppressAutoHyphens w:val="0"/>
              <w:snapToGrid w:val="0"/>
              <w:spacing w:line="360" w:lineRule="auto"/>
              <w:rPr>
                <w:rFonts w:ascii="Book Antiqua" w:hAnsi="Book Antiqua"/>
                <w:sz w:val="24"/>
                <w:szCs w:val="24"/>
              </w:rPr>
            </w:pPr>
            <w:r w:rsidRPr="00077C3F">
              <w:rPr>
                <w:rFonts w:ascii="Book Antiqua" w:hAnsi="Book Antiqua"/>
                <w:sz w:val="24"/>
                <w:szCs w:val="24"/>
              </w:rPr>
              <w:t xml:space="preserve">America </w:t>
            </w:r>
          </w:p>
        </w:tc>
        <w:tc>
          <w:tcPr>
            <w:tcW w:w="710" w:type="dxa"/>
            <w:shd w:val="clear" w:color="auto" w:fill="auto"/>
          </w:tcPr>
          <w:p w14:paraId="75EBED40"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2011</w:t>
            </w:r>
          </w:p>
        </w:tc>
        <w:tc>
          <w:tcPr>
            <w:tcW w:w="2324" w:type="dxa"/>
            <w:shd w:val="clear" w:color="auto" w:fill="auto"/>
          </w:tcPr>
          <w:p w14:paraId="76F9AD01"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USA/AASLD</w:t>
            </w:r>
          </w:p>
        </w:tc>
        <w:tc>
          <w:tcPr>
            <w:tcW w:w="1656" w:type="dxa"/>
            <w:shd w:val="clear" w:color="auto" w:fill="auto"/>
          </w:tcPr>
          <w:p w14:paraId="636EE9D6" w14:textId="3FBF80A4"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Size-based</w:t>
            </w:r>
          </w:p>
        </w:tc>
        <w:tc>
          <w:tcPr>
            <w:tcW w:w="973" w:type="dxa"/>
            <w:shd w:val="clear" w:color="auto" w:fill="auto"/>
          </w:tcPr>
          <w:p w14:paraId="310D94EE" w14:textId="77777777"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1 cm</w:t>
            </w:r>
          </w:p>
        </w:tc>
        <w:tc>
          <w:tcPr>
            <w:tcW w:w="1286" w:type="dxa"/>
            <w:shd w:val="clear" w:color="auto" w:fill="auto"/>
          </w:tcPr>
          <w:p w14:paraId="71172E4C" w14:textId="77777777" w:rsidR="00D949EC" w:rsidRPr="00077C3F" w:rsidRDefault="00D949EC" w:rsidP="00CF19A2">
            <w:pPr>
              <w:suppressAutoHyphens w:val="0"/>
              <w:snapToGrid w:val="0"/>
              <w:spacing w:line="360" w:lineRule="auto"/>
              <w:jc w:val="center"/>
              <w:rPr>
                <w:rFonts w:ascii="Book Antiqua" w:hAnsi="Book Antiqua"/>
                <w:sz w:val="24"/>
                <w:szCs w:val="24"/>
              </w:rPr>
            </w:pPr>
          </w:p>
        </w:tc>
        <w:tc>
          <w:tcPr>
            <w:tcW w:w="1286" w:type="dxa"/>
            <w:shd w:val="clear" w:color="auto" w:fill="auto"/>
          </w:tcPr>
          <w:p w14:paraId="21581086" w14:textId="77777777" w:rsidR="00D949EC" w:rsidRPr="00077C3F" w:rsidRDefault="00D949EC" w:rsidP="00CF19A2">
            <w:pPr>
              <w:suppressAutoHyphens w:val="0"/>
              <w:snapToGrid w:val="0"/>
              <w:spacing w:line="360" w:lineRule="auto"/>
              <w:jc w:val="center"/>
              <w:rPr>
                <w:rFonts w:ascii="Book Antiqua" w:hAnsi="Book Antiqua"/>
                <w:sz w:val="24"/>
                <w:szCs w:val="24"/>
              </w:rPr>
            </w:pPr>
          </w:p>
        </w:tc>
        <w:tc>
          <w:tcPr>
            <w:tcW w:w="1750" w:type="dxa"/>
            <w:shd w:val="clear" w:color="auto" w:fill="auto"/>
          </w:tcPr>
          <w:p w14:paraId="4A7EA258" w14:textId="30B6F4C3" w:rsidR="00D949EC" w:rsidRPr="00077C3F" w:rsidRDefault="00D949EC" w:rsidP="00CF19A2">
            <w:pPr>
              <w:suppressAutoHyphens w:val="0"/>
              <w:snapToGrid w:val="0"/>
              <w:spacing w:line="360" w:lineRule="auto"/>
              <w:jc w:val="center"/>
              <w:rPr>
                <w:rFonts w:ascii="Book Antiqua" w:hAnsi="Book Antiqua"/>
                <w:sz w:val="24"/>
                <w:szCs w:val="24"/>
              </w:rPr>
            </w:pPr>
            <w:r w:rsidRPr="00077C3F">
              <w:rPr>
                <w:rFonts w:ascii="Book Antiqua" w:hAnsi="Book Antiqua"/>
                <w:sz w:val="24"/>
                <w:szCs w:val="24"/>
              </w:rPr>
              <w:t>Not included</w:t>
            </w:r>
          </w:p>
        </w:tc>
      </w:tr>
    </w:tbl>
    <w:p w14:paraId="140F0717" w14:textId="4C6C071C" w:rsidR="004279D8" w:rsidRDefault="00CF19A2" w:rsidP="00327F62">
      <w:pPr>
        <w:suppressAutoHyphens w:val="0"/>
        <w:autoSpaceDN/>
        <w:snapToGrid w:val="0"/>
        <w:spacing w:line="360" w:lineRule="auto"/>
        <w:textAlignment w:val="auto"/>
        <w:rPr>
          <w:rFonts w:ascii="Book Antiqua" w:eastAsiaTheme="minorEastAsia" w:hAnsi="Book Antiqua"/>
          <w:b/>
          <w:kern w:val="2"/>
          <w:sz w:val="24"/>
          <w:szCs w:val="24"/>
        </w:rPr>
      </w:pPr>
      <w:r w:rsidRPr="00077C3F">
        <w:rPr>
          <w:rFonts w:ascii="Book Antiqua" w:hAnsi="Book Antiqua"/>
          <w:sz w:val="24"/>
          <w:szCs w:val="24"/>
        </w:rPr>
        <w:t>AFP</w:t>
      </w:r>
      <w:r w:rsidRPr="00077C3F">
        <w:rPr>
          <w:rFonts w:ascii="Book Antiqua" w:hAnsi="Book Antiqua" w:hint="eastAsia"/>
          <w:sz w:val="24"/>
          <w:szCs w:val="24"/>
        </w:rPr>
        <w:t>:</w:t>
      </w:r>
      <w:r>
        <w:rPr>
          <w:rFonts w:ascii="Book Antiqua" w:hAnsi="Book Antiqua" w:hint="eastAsia"/>
          <w:sz w:val="24"/>
          <w:szCs w:val="24"/>
        </w:rPr>
        <w:t xml:space="preserve"> </w:t>
      </w:r>
      <w:r w:rsidRPr="00077C3F">
        <w:rPr>
          <w:rFonts w:ascii="Book Antiqua" w:hAnsi="Book Antiqua" w:hint="eastAsia"/>
          <w:sz w:val="24"/>
          <w:szCs w:val="24"/>
        </w:rPr>
        <w:t>A</w:t>
      </w:r>
      <w:r w:rsidRPr="00077C3F">
        <w:rPr>
          <w:rFonts w:ascii="Book Antiqua" w:hAnsi="Book Antiqua"/>
          <w:sz w:val="24"/>
          <w:szCs w:val="24"/>
        </w:rPr>
        <w:t>lpha fetoprotein; CEUS</w:t>
      </w:r>
      <w:r w:rsidRPr="00077C3F">
        <w:rPr>
          <w:rFonts w:ascii="Book Antiqua" w:hAnsi="Book Antiqua" w:hint="eastAsia"/>
          <w:sz w:val="24"/>
          <w:szCs w:val="24"/>
        </w:rPr>
        <w:t>:</w:t>
      </w:r>
      <w:r w:rsidRPr="00077C3F">
        <w:rPr>
          <w:rFonts w:ascii="Book Antiqua" w:hAnsi="Book Antiqua"/>
          <w:sz w:val="24"/>
          <w:szCs w:val="24"/>
        </w:rPr>
        <w:t xml:space="preserve"> </w:t>
      </w:r>
      <w:r w:rsidRPr="00077C3F">
        <w:rPr>
          <w:rFonts w:ascii="Book Antiqua" w:hAnsi="Book Antiqua" w:hint="eastAsia"/>
          <w:sz w:val="24"/>
          <w:szCs w:val="24"/>
        </w:rPr>
        <w:t>A</w:t>
      </w:r>
      <w:r w:rsidRPr="00077C3F">
        <w:rPr>
          <w:rFonts w:ascii="Book Antiqua" w:hAnsi="Book Antiqua"/>
          <w:sz w:val="24"/>
          <w:szCs w:val="24"/>
        </w:rPr>
        <w:t>ontrast-enhanced ultrasonography; EOB-MRI</w:t>
      </w:r>
      <w:r w:rsidRPr="00077C3F">
        <w:rPr>
          <w:rFonts w:ascii="Book Antiqua" w:hAnsi="Book Antiqua" w:hint="eastAsia"/>
          <w:sz w:val="24"/>
          <w:szCs w:val="24"/>
        </w:rPr>
        <w:t>:</w:t>
      </w:r>
      <w:r w:rsidRPr="00077C3F">
        <w:rPr>
          <w:rFonts w:ascii="Book Antiqua" w:hAnsi="Book Antiqua"/>
          <w:sz w:val="24"/>
          <w:szCs w:val="24"/>
        </w:rPr>
        <w:t xml:space="preserve"> </w:t>
      </w:r>
      <w:r w:rsidRPr="00077C3F">
        <w:rPr>
          <w:rFonts w:ascii="Book Antiqua" w:hAnsi="Book Antiqua" w:hint="eastAsia"/>
          <w:sz w:val="24"/>
          <w:szCs w:val="24"/>
        </w:rPr>
        <w:t>A</w:t>
      </w:r>
      <w:r w:rsidRPr="00077C3F">
        <w:rPr>
          <w:rFonts w:ascii="Book Antiqua" w:hAnsi="Book Antiqua"/>
          <w:sz w:val="24"/>
          <w:szCs w:val="24"/>
        </w:rPr>
        <w:t>adoxetic acid-enhanced MRI; JSH-LCSG</w:t>
      </w:r>
      <w:r w:rsidRPr="00077C3F">
        <w:rPr>
          <w:rFonts w:ascii="Book Antiqua" w:hAnsi="Book Antiqua" w:hint="eastAsia"/>
          <w:sz w:val="24"/>
          <w:szCs w:val="24"/>
        </w:rPr>
        <w:t>:</w:t>
      </w:r>
      <w:r w:rsidRPr="00077C3F">
        <w:rPr>
          <w:rFonts w:ascii="Book Antiqua" w:hAnsi="Book Antiqua"/>
          <w:sz w:val="24"/>
          <w:szCs w:val="24"/>
        </w:rPr>
        <w:t xml:space="preserve"> Japan Society of Hepatology - Liver Cancer Study Group of Japan; KLCSG-NCC</w:t>
      </w:r>
      <w:r w:rsidRPr="00077C3F">
        <w:rPr>
          <w:rFonts w:ascii="Book Antiqua" w:hAnsi="Book Antiqua" w:hint="eastAsia"/>
          <w:sz w:val="24"/>
          <w:szCs w:val="24"/>
        </w:rPr>
        <w:t>:</w:t>
      </w:r>
      <w:r w:rsidRPr="00077C3F">
        <w:rPr>
          <w:rFonts w:ascii="Book Antiqua" w:hAnsi="Book Antiqua"/>
          <w:sz w:val="24"/>
          <w:szCs w:val="24"/>
        </w:rPr>
        <w:t xml:space="preserve"> Korean Liver Cancer Study Group - National Cancer Center; INASL</w:t>
      </w:r>
      <w:r w:rsidRPr="00077C3F">
        <w:rPr>
          <w:rFonts w:ascii="Book Antiqua" w:hAnsi="Book Antiqua" w:hint="eastAsia"/>
          <w:sz w:val="24"/>
          <w:szCs w:val="24"/>
        </w:rPr>
        <w:t xml:space="preserve">: </w:t>
      </w:r>
      <w:r w:rsidRPr="00077C3F">
        <w:rPr>
          <w:rFonts w:ascii="Book Antiqua" w:hAnsi="Book Antiqua"/>
          <w:sz w:val="24"/>
          <w:szCs w:val="24"/>
        </w:rPr>
        <w:t>The Indian National Association for Study of the Liver; NHFPCPRC</w:t>
      </w:r>
      <w:r w:rsidRPr="00077C3F">
        <w:rPr>
          <w:rFonts w:ascii="Book Antiqua" w:hAnsi="Book Antiqua" w:hint="eastAsia"/>
          <w:sz w:val="24"/>
          <w:szCs w:val="24"/>
        </w:rPr>
        <w:t>:</w:t>
      </w:r>
      <w:r w:rsidRPr="00077C3F">
        <w:rPr>
          <w:rFonts w:ascii="Book Antiqua" w:hAnsi="Book Antiqua"/>
          <w:sz w:val="24"/>
          <w:szCs w:val="24"/>
        </w:rPr>
        <w:t xml:space="preserve"> National Health and Family Planning Commission of the People’s Republic of China; APASL</w:t>
      </w:r>
      <w:r w:rsidRPr="00077C3F">
        <w:rPr>
          <w:rFonts w:ascii="Book Antiqua" w:hAnsi="Book Antiqua" w:hint="eastAsia"/>
          <w:sz w:val="24"/>
          <w:szCs w:val="24"/>
        </w:rPr>
        <w:t>:</w:t>
      </w:r>
      <w:r w:rsidRPr="00077C3F">
        <w:rPr>
          <w:rFonts w:ascii="Book Antiqua" w:hAnsi="Book Antiqua"/>
          <w:sz w:val="24"/>
          <w:szCs w:val="24"/>
        </w:rPr>
        <w:t xml:space="preserve"> Asia-Pacific Association for the Study of the Liver; EASL-EORTC</w:t>
      </w:r>
      <w:r w:rsidRPr="00077C3F">
        <w:rPr>
          <w:rFonts w:ascii="Book Antiqua" w:hAnsi="Book Antiqua" w:hint="eastAsia"/>
          <w:sz w:val="24"/>
          <w:szCs w:val="24"/>
        </w:rPr>
        <w:t>:</w:t>
      </w:r>
      <w:r w:rsidRPr="00077C3F">
        <w:rPr>
          <w:rFonts w:ascii="Book Antiqua" w:hAnsi="Book Antiqua"/>
          <w:sz w:val="24"/>
          <w:szCs w:val="24"/>
        </w:rPr>
        <w:t xml:space="preserve"> European Association for the Study of the Liver - European Organization for Research &amp; Treatment of Cancer; AASLD</w:t>
      </w:r>
      <w:r w:rsidRPr="00077C3F">
        <w:rPr>
          <w:rFonts w:ascii="Book Antiqua" w:hAnsi="Book Antiqua" w:hint="eastAsia"/>
          <w:sz w:val="24"/>
          <w:szCs w:val="24"/>
        </w:rPr>
        <w:t xml:space="preserve">: </w:t>
      </w:r>
      <w:r w:rsidRPr="00077C3F">
        <w:rPr>
          <w:rFonts w:ascii="Book Antiqua" w:hAnsi="Book Antiqua"/>
          <w:sz w:val="24"/>
          <w:szCs w:val="24"/>
        </w:rPr>
        <w:t>The American Association for the Study of Liver Diseases.</w:t>
      </w:r>
    </w:p>
    <w:p w14:paraId="6706C6F8" w14:textId="77777777" w:rsidR="004279D8" w:rsidRDefault="004279D8" w:rsidP="00327F62">
      <w:pPr>
        <w:widowControl/>
        <w:suppressAutoHyphens w:val="0"/>
        <w:snapToGrid w:val="0"/>
        <w:spacing w:line="360" w:lineRule="auto"/>
        <w:jc w:val="left"/>
        <w:rPr>
          <w:rFonts w:ascii="Book Antiqua" w:eastAsiaTheme="minorEastAsia" w:hAnsi="Book Antiqua"/>
          <w:b/>
          <w:kern w:val="2"/>
          <w:sz w:val="24"/>
          <w:szCs w:val="24"/>
        </w:rPr>
      </w:pPr>
      <w:r>
        <w:rPr>
          <w:rFonts w:ascii="Book Antiqua" w:eastAsiaTheme="minorEastAsia" w:hAnsi="Book Antiqua"/>
          <w:b/>
          <w:kern w:val="2"/>
          <w:sz w:val="24"/>
          <w:szCs w:val="24"/>
        </w:rPr>
        <w:br w:type="page"/>
      </w:r>
    </w:p>
    <w:p w14:paraId="6A3BB599" w14:textId="77777777" w:rsidR="009C2D9A" w:rsidRPr="00923307" w:rsidRDefault="009C2D9A" w:rsidP="00327F62">
      <w:pPr>
        <w:suppressAutoHyphens w:val="0"/>
        <w:autoSpaceDN/>
        <w:snapToGrid w:val="0"/>
        <w:spacing w:line="360" w:lineRule="auto"/>
        <w:textAlignment w:val="auto"/>
        <w:rPr>
          <w:rFonts w:ascii="Book Antiqua" w:eastAsiaTheme="minorEastAsia" w:hAnsi="Book Antiqua"/>
          <w:kern w:val="2"/>
          <w:sz w:val="24"/>
          <w:szCs w:val="24"/>
        </w:rPr>
      </w:pPr>
      <w:r w:rsidRPr="00923307">
        <w:rPr>
          <w:rFonts w:ascii="Book Antiqua" w:eastAsiaTheme="minorEastAsia" w:hAnsi="Book Antiqua"/>
          <w:kern w:val="2"/>
          <w:sz w:val="24"/>
          <w:szCs w:val="24"/>
        </w:rPr>
        <w:lastRenderedPageBreak/>
        <w:t xml:space="preserve">A </w:t>
      </w:r>
      <w:r w:rsidRPr="00923307">
        <w:rPr>
          <w:rFonts w:ascii="Book Antiqua" w:eastAsiaTheme="minorEastAsia" w:hAnsi="Book Antiqua"/>
          <w:noProof/>
          <w:kern w:val="2"/>
          <w:sz w:val="24"/>
          <w:szCs w:val="24"/>
        </w:rPr>
        <w:drawing>
          <wp:inline distT="0" distB="0" distL="0" distR="0" wp14:anchorId="46443EF9" wp14:editId="36A667BB">
            <wp:extent cx="2939969" cy="223170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39969" cy="2231701"/>
                    </a:xfrm>
                    <a:prstGeom prst="rect">
                      <a:avLst/>
                    </a:prstGeom>
                  </pic:spPr>
                </pic:pic>
              </a:graphicData>
            </a:graphic>
          </wp:inline>
        </w:drawing>
      </w:r>
    </w:p>
    <w:p w14:paraId="0FB28CFF" w14:textId="77777777" w:rsidR="009C2D9A" w:rsidRPr="00923307" w:rsidRDefault="009C2D9A" w:rsidP="00327F62">
      <w:pPr>
        <w:suppressAutoHyphens w:val="0"/>
        <w:autoSpaceDN/>
        <w:snapToGrid w:val="0"/>
        <w:spacing w:line="360" w:lineRule="auto"/>
        <w:textAlignment w:val="auto"/>
        <w:rPr>
          <w:rFonts w:ascii="Book Antiqua" w:eastAsiaTheme="minorEastAsia" w:hAnsi="Book Antiqua"/>
          <w:kern w:val="2"/>
          <w:sz w:val="24"/>
          <w:szCs w:val="24"/>
        </w:rPr>
      </w:pPr>
      <w:r w:rsidRPr="00923307">
        <w:rPr>
          <w:rFonts w:ascii="Book Antiqua" w:eastAsiaTheme="minorEastAsia" w:hAnsi="Book Antiqua"/>
          <w:kern w:val="2"/>
          <w:sz w:val="24"/>
          <w:szCs w:val="24"/>
        </w:rPr>
        <w:t xml:space="preserve">B </w:t>
      </w:r>
      <w:r w:rsidRPr="00923307">
        <w:rPr>
          <w:rFonts w:ascii="Book Antiqua" w:eastAsiaTheme="minorEastAsia" w:hAnsi="Book Antiqua"/>
          <w:noProof/>
          <w:kern w:val="2"/>
          <w:sz w:val="24"/>
          <w:szCs w:val="24"/>
        </w:rPr>
        <w:drawing>
          <wp:inline distT="0" distB="0" distL="0" distR="0" wp14:anchorId="3D5E2B7D" wp14:editId="0FB8912F">
            <wp:extent cx="2968906" cy="234588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8906" cy="2345885"/>
                    </a:xfrm>
                    <a:prstGeom prst="rect">
                      <a:avLst/>
                    </a:prstGeom>
                  </pic:spPr>
                </pic:pic>
              </a:graphicData>
            </a:graphic>
          </wp:inline>
        </w:drawing>
      </w:r>
    </w:p>
    <w:p w14:paraId="4FD7C104" w14:textId="77777777" w:rsidR="009C2D9A" w:rsidRPr="00923307" w:rsidRDefault="009C2D9A" w:rsidP="00327F62">
      <w:pPr>
        <w:suppressAutoHyphens w:val="0"/>
        <w:autoSpaceDN/>
        <w:snapToGrid w:val="0"/>
        <w:spacing w:line="360" w:lineRule="auto"/>
        <w:textAlignment w:val="auto"/>
        <w:rPr>
          <w:rFonts w:ascii="Book Antiqua" w:eastAsiaTheme="minorEastAsia" w:hAnsi="Book Antiqua"/>
          <w:kern w:val="2"/>
          <w:sz w:val="24"/>
          <w:szCs w:val="24"/>
        </w:rPr>
      </w:pPr>
      <w:r w:rsidRPr="00923307">
        <w:rPr>
          <w:rFonts w:ascii="Book Antiqua" w:eastAsiaTheme="minorEastAsia" w:hAnsi="Book Antiqua"/>
          <w:noProof/>
          <w:kern w:val="2"/>
          <w:sz w:val="24"/>
          <w:szCs w:val="24"/>
        </w:rPr>
        <mc:AlternateContent>
          <mc:Choice Requires="wps">
            <w:drawing>
              <wp:anchor distT="0" distB="0" distL="114300" distR="114300" simplePos="0" relativeHeight="251659264" behindDoc="0" locked="0" layoutInCell="1" allowOverlap="1" wp14:anchorId="70310359" wp14:editId="235A6F09">
                <wp:simplePos x="0" y="0"/>
                <wp:positionH relativeFrom="column">
                  <wp:posOffset>1245352</wp:posOffset>
                </wp:positionH>
                <wp:positionV relativeFrom="paragraph">
                  <wp:posOffset>294216</wp:posOffset>
                </wp:positionV>
                <wp:extent cx="102995" cy="316196"/>
                <wp:effectExtent l="26987" t="49213" r="0" b="57467"/>
                <wp:wrapNone/>
                <wp:docPr id="6" name="箭头: 上 6"/>
                <wp:cNvGraphicFramePr/>
                <a:graphic xmlns:a="http://schemas.openxmlformats.org/drawingml/2006/main">
                  <a:graphicData uri="http://schemas.microsoft.com/office/word/2010/wordprocessingShape">
                    <wps:wsp>
                      <wps:cNvSpPr/>
                      <wps:spPr>
                        <a:xfrm rot="6506552">
                          <a:off x="0" y="0"/>
                          <a:ext cx="102995" cy="316196"/>
                        </a:xfrm>
                        <a:prstGeom prst="upArrow">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0309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箭头: 上 6" o:spid="_x0000_s1026" type="#_x0000_t68" style="position:absolute;margin-left:98.05pt;margin-top:23.15pt;width:8.1pt;height:24.9pt;rotation:710689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" adj="3518" fillcolor="window" strokecolor="window" strokeweight="1pt"/>
            </w:pict>
          </mc:Fallback>
        </mc:AlternateContent>
      </w:r>
      <w:r w:rsidRPr="00923307">
        <w:rPr>
          <w:rFonts w:ascii="Book Antiqua" w:eastAsiaTheme="minorEastAsia" w:hAnsi="Book Antiqua"/>
          <w:kern w:val="2"/>
          <w:sz w:val="24"/>
          <w:szCs w:val="24"/>
        </w:rPr>
        <w:t xml:space="preserve">C </w:t>
      </w:r>
      <w:r w:rsidRPr="00923307">
        <w:rPr>
          <w:rFonts w:ascii="Book Antiqua" w:eastAsiaTheme="minorEastAsia" w:hAnsi="Book Antiqua"/>
          <w:noProof/>
          <w:kern w:val="2"/>
          <w:sz w:val="24"/>
          <w:szCs w:val="24"/>
        </w:rPr>
        <w:drawing>
          <wp:inline distT="0" distB="0" distL="0" distR="0" wp14:anchorId="5F626FEE" wp14:editId="0B1B68E7">
            <wp:extent cx="2933088" cy="2262850"/>
            <wp:effectExtent l="0" t="0" r="63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3088" cy="2262850"/>
                    </a:xfrm>
                    <a:prstGeom prst="rect">
                      <a:avLst/>
                    </a:prstGeom>
                  </pic:spPr>
                </pic:pic>
              </a:graphicData>
            </a:graphic>
          </wp:inline>
        </w:drawing>
      </w:r>
    </w:p>
    <w:p w14:paraId="2314A101" w14:textId="77777777" w:rsidR="009C2D9A" w:rsidRPr="00923307" w:rsidRDefault="009C2D9A" w:rsidP="00327F62">
      <w:pPr>
        <w:suppressAutoHyphens w:val="0"/>
        <w:autoSpaceDN/>
        <w:snapToGrid w:val="0"/>
        <w:spacing w:line="360" w:lineRule="auto"/>
        <w:textAlignment w:val="auto"/>
        <w:rPr>
          <w:rFonts w:ascii="Book Antiqua" w:eastAsiaTheme="minorEastAsia" w:hAnsi="Book Antiqua"/>
          <w:kern w:val="2"/>
          <w:sz w:val="24"/>
          <w:szCs w:val="24"/>
        </w:rPr>
      </w:pPr>
      <w:r w:rsidRPr="00923307">
        <w:rPr>
          <w:rFonts w:ascii="Book Antiqua" w:eastAsiaTheme="minorEastAsia" w:hAnsi="Book Antiqua"/>
          <w:kern w:val="2"/>
          <w:sz w:val="24"/>
          <w:szCs w:val="24"/>
        </w:rPr>
        <w:lastRenderedPageBreak/>
        <w:t xml:space="preserve">D </w:t>
      </w:r>
      <w:r w:rsidRPr="00923307">
        <w:rPr>
          <w:rFonts w:ascii="Book Antiqua" w:eastAsiaTheme="minorEastAsia" w:hAnsi="Book Antiqua"/>
          <w:noProof/>
          <w:kern w:val="2"/>
          <w:sz w:val="24"/>
          <w:szCs w:val="24"/>
        </w:rPr>
        <w:drawing>
          <wp:inline distT="0" distB="0" distL="0" distR="0" wp14:anchorId="10AC153A" wp14:editId="34B6FE21">
            <wp:extent cx="2620210" cy="2054506"/>
            <wp:effectExtent l="0" t="0" r="889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2736" cy="2056486"/>
                    </a:xfrm>
                    <a:prstGeom prst="rect">
                      <a:avLst/>
                    </a:prstGeom>
                    <a:noFill/>
                    <a:ln>
                      <a:noFill/>
                    </a:ln>
                  </pic:spPr>
                </pic:pic>
              </a:graphicData>
            </a:graphic>
          </wp:inline>
        </w:drawing>
      </w:r>
    </w:p>
    <w:p w14:paraId="3DCC7461" w14:textId="6FD0C432" w:rsidR="009C2D9A" w:rsidRPr="00923307" w:rsidRDefault="009C2D9A" w:rsidP="00327F62">
      <w:pPr>
        <w:suppressAutoHyphens w:val="0"/>
        <w:autoSpaceDN/>
        <w:snapToGrid w:val="0"/>
        <w:spacing w:line="360" w:lineRule="auto"/>
        <w:textAlignment w:val="auto"/>
        <w:rPr>
          <w:rFonts w:ascii="Book Antiqua" w:eastAsiaTheme="minorEastAsia" w:hAnsi="Book Antiqua"/>
          <w:kern w:val="2"/>
          <w:sz w:val="24"/>
          <w:szCs w:val="24"/>
        </w:rPr>
      </w:pPr>
      <w:r w:rsidRPr="00923307">
        <w:rPr>
          <w:rFonts w:ascii="Book Antiqua" w:eastAsiaTheme="minorEastAsia" w:hAnsi="Book Antiqua"/>
          <w:b/>
          <w:kern w:val="2"/>
          <w:sz w:val="24"/>
          <w:szCs w:val="24"/>
        </w:rPr>
        <w:t>Figure 1</w:t>
      </w:r>
      <w:r w:rsidRPr="00923307">
        <w:rPr>
          <w:rFonts w:ascii="Book Antiqua" w:eastAsiaTheme="minorEastAsia" w:hAnsi="Book Antiqua"/>
          <w:kern w:val="2"/>
          <w:sz w:val="24"/>
          <w:szCs w:val="24"/>
        </w:rPr>
        <w:t xml:space="preserve"> </w:t>
      </w:r>
      <w:r w:rsidR="00A21B39" w:rsidRPr="00A21B39">
        <w:rPr>
          <w:rFonts w:ascii="Book Antiqua" w:eastAsiaTheme="minorEastAsia" w:hAnsi="Book Antiqua"/>
          <w:b/>
          <w:caps/>
          <w:kern w:val="2"/>
          <w:sz w:val="24"/>
          <w:szCs w:val="24"/>
        </w:rPr>
        <w:t>h</w:t>
      </w:r>
      <w:r w:rsidR="00A21B39" w:rsidRPr="00A21B39">
        <w:rPr>
          <w:rFonts w:ascii="Book Antiqua" w:eastAsiaTheme="minorEastAsia" w:hAnsi="Book Antiqua"/>
          <w:b/>
          <w:kern w:val="2"/>
          <w:sz w:val="24"/>
          <w:szCs w:val="24"/>
        </w:rPr>
        <w:t xml:space="preserve">epatocellular carcinoma </w:t>
      </w:r>
      <w:r w:rsidRPr="00A21B39">
        <w:rPr>
          <w:rFonts w:ascii="Book Antiqua" w:eastAsiaTheme="minorEastAsia" w:hAnsi="Book Antiqua"/>
          <w:b/>
          <w:kern w:val="2"/>
          <w:sz w:val="24"/>
          <w:szCs w:val="24"/>
        </w:rPr>
        <w:t>in a 32-year-old</w:t>
      </w:r>
      <w:r w:rsidR="00777166" w:rsidRPr="00A21B39">
        <w:rPr>
          <w:rFonts w:ascii="Book Antiqua" w:eastAsiaTheme="minorEastAsia" w:hAnsi="Book Antiqua"/>
          <w:b/>
          <w:kern w:val="2"/>
          <w:sz w:val="24"/>
          <w:szCs w:val="24"/>
        </w:rPr>
        <w:t xml:space="preserve"> male with chronic hepatitis B.</w:t>
      </w:r>
      <w:r w:rsidR="00777166">
        <w:rPr>
          <w:rFonts w:ascii="Book Antiqua" w:eastAsiaTheme="minorEastAsia" w:hAnsi="Book Antiqua" w:hint="eastAsia"/>
          <w:kern w:val="2"/>
          <w:sz w:val="24"/>
          <w:szCs w:val="24"/>
        </w:rPr>
        <w:t xml:space="preserve"> </w:t>
      </w:r>
      <w:r w:rsidRPr="00923307">
        <w:rPr>
          <w:rFonts w:ascii="Book Antiqua" w:eastAsiaTheme="minorEastAsia" w:hAnsi="Book Antiqua"/>
          <w:kern w:val="2"/>
          <w:sz w:val="24"/>
          <w:szCs w:val="24"/>
        </w:rPr>
        <w:t>Axial dynamic nonenhanced</w:t>
      </w:r>
      <w:r w:rsidR="00A21B39">
        <w:rPr>
          <w:rFonts w:ascii="Book Antiqua" w:eastAsiaTheme="minorEastAsia" w:hAnsi="Book Antiqua" w:hint="eastAsia"/>
          <w:kern w:val="2"/>
          <w:sz w:val="24"/>
          <w:szCs w:val="24"/>
        </w:rPr>
        <w:t xml:space="preserve"> </w:t>
      </w:r>
      <w:r w:rsidRPr="00923307">
        <w:rPr>
          <w:rFonts w:ascii="Book Antiqua" w:eastAsiaTheme="minorEastAsia" w:hAnsi="Book Antiqua"/>
          <w:kern w:val="2"/>
          <w:sz w:val="24"/>
          <w:szCs w:val="24"/>
        </w:rPr>
        <w:t>(A), late arterial phase</w:t>
      </w:r>
      <w:r w:rsidR="00A21B39">
        <w:rPr>
          <w:rFonts w:ascii="Book Antiqua" w:eastAsiaTheme="minorEastAsia" w:hAnsi="Book Antiqua" w:hint="eastAsia"/>
          <w:kern w:val="2"/>
          <w:sz w:val="24"/>
          <w:szCs w:val="24"/>
        </w:rPr>
        <w:t xml:space="preserve"> </w:t>
      </w:r>
      <w:r w:rsidRPr="00923307">
        <w:rPr>
          <w:rFonts w:ascii="Book Antiqua" w:eastAsiaTheme="minorEastAsia" w:hAnsi="Book Antiqua"/>
          <w:kern w:val="2"/>
          <w:sz w:val="24"/>
          <w:szCs w:val="24"/>
        </w:rPr>
        <w:t>(B), and portal venous phase</w:t>
      </w:r>
      <w:r w:rsidR="00A21B39">
        <w:rPr>
          <w:rFonts w:ascii="Book Antiqua" w:eastAsiaTheme="minorEastAsia" w:hAnsi="Book Antiqua" w:hint="eastAsia"/>
          <w:kern w:val="2"/>
          <w:sz w:val="24"/>
          <w:szCs w:val="24"/>
        </w:rPr>
        <w:t xml:space="preserve"> </w:t>
      </w:r>
      <w:r w:rsidRPr="00923307">
        <w:rPr>
          <w:rFonts w:ascii="Book Antiqua" w:eastAsiaTheme="minorEastAsia" w:hAnsi="Book Antiqua"/>
          <w:kern w:val="2"/>
          <w:sz w:val="24"/>
          <w:szCs w:val="24"/>
        </w:rPr>
        <w:t>(C) CT images show the 8.5</w:t>
      </w:r>
      <w:r w:rsidR="00777166">
        <w:rPr>
          <w:rFonts w:ascii="Book Antiqua" w:eastAsiaTheme="minorEastAsia" w:hAnsi="Book Antiqua" w:hint="eastAsia"/>
          <w:kern w:val="2"/>
          <w:sz w:val="24"/>
          <w:szCs w:val="24"/>
        </w:rPr>
        <w:t xml:space="preserve"> </w:t>
      </w:r>
      <w:r w:rsidRPr="00923307">
        <w:rPr>
          <w:rFonts w:ascii="Book Antiqua" w:eastAsiaTheme="minorEastAsia" w:hAnsi="Book Antiqua"/>
          <w:kern w:val="2"/>
          <w:sz w:val="24"/>
          <w:szCs w:val="24"/>
        </w:rPr>
        <w:t>cm mass</w:t>
      </w:r>
      <w:r w:rsidR="00FC74CE" w:rsidRPr="00923307">
        <w:rPr>
          <w:rFonts w:ascii="Book Antiqua" w:eastAsiaTheme="minorEastAsia" w:hAnsi="Book Antiqua"/>
          <w:kern w:val="2"/>
          <w:sz w:val="24"/>
          <w:szCs w:val="24"/>
        </w:rPr>
        <w:t xml:space="preserve"> with arterial phase hyperenhancement and portal venous phase wash-out appearance.</w:t>
      </w:r>
      <w:r w:rsidRPr="00923307">
        <w:rPr>
          <w:rFonts w:ascii="Book Antiqua" w:eastAsiaTheme="minorEastAsia" w:hAnsi="Book Antiqua"/>
          <w:kern w:val="2"/>
          <w:sz w:val="24"/>
          <w:szCs w:val="24"/>
        </w:rPr>
        <w:t xml:space="preserve"> </w:t>
      </w:r>
      <w:r w:rsidR="00FC74CE" w:rsidRPr="00923307">
        <w:rPr>
          <w:rFonts w:ascii="Book Antiqua" w:eastAsiaTheme="minorEastAsia" w:hAnsi="Book Antiqua"/>
          <w:kern w:val="2"/>
          <w:sz w:val="24"/>
          <w:szCs w:val="24"/>
        </w:rPr>
        <w:t xml:space="preserve">The capsule is seen as a hyperattenuating ring on portal venous phase (C, white arrow). </w:t>
      </w:r>
      <w:bookmarkStart w:id="208" w:name="_Hlk511563162"/>
      <w:r w:rsidR="004E6A92" w:rsidRPr="00923307">
        <w:rPr>
          <w:rFonts w:ascii="Book Antiqua" w:eastAsiaTheme="minorEastAsia" w:hAnsi="Book Antiqua"/>
          <w:kern w:val="2"/>
          <w:sz w:val="24"/>
          <w:szCs w:val="24"/>
        </w:rPr>
        <w:t>The h</w:t>
      </w:r>
      <w:r w:rsidR="00FC74CE" w:rsidRPr="00923307">
        <w:rPr>
          <w:rFonts w:ascii="Book Antiqua" w:eastAsiaTheme="minorEastAsia" w:hAnsi="Book Antiqua"/>
          <w:kern w:val="2"/>
          <w:sz w:val="24"/>
          <w:szCs w:val="24"/>
        </w:rPr>
        <w:t xml:space="preserve">ematoxylin-eosin (H&amp;E) staining </w:t>
      </w:r>
      <w:r w:rsidR="004E6A92" w:rsidRPr="00923307">
        <w:rPr>
          <w:rFonts w:ascii="Book Antiqua" w:eastAsiaTheme="minorEastAsia" w:hAnsi="Book Antiqua"/>
          <w:kern w:val="2"/>
          <w:sz w:val="24"/>
          <w:szCs w:val="24"/>
        </w:rPr>
        <w:t xml:space="preserve">of the mass </w:t>
      </w:r>
      <w:r w:rsidR="004E6A92" w:rsidRPr="00923307">
        <w:rPr>
          <w:rFonts w:ascii="Book Antiqua" w:eastAsiaTheme="minorEastAsia" w:hAnsi="Book Antiqua" w:hint="eastAsia"/>
          <w:kern w:val="2"/>
          <w:sz w:val="24"/>
          <w:szCs w:val="24"/>
        </w:rPr>
        <w:t>at</w:t>
      </w:r>
      <w:r w:rsidR="004E6A92" w:rsidRPr="00923307">
        <w:rPr>
          <w:rFonts w:ascii="Book Antiqua" w:eastAsiaTheme="minorEastAsia" w:hAnsi="Book Antiqua"/>
          <w:kern w:val="2"/>
          <w:sz w:val="24"/>
          <w:szCs w:val="24"/>
        </w:rPr>
        <w:t xml:space="preserve"> </w:t>
      </w:r>
      <w:r w:rsidR="00FC74CE" w:rsidRPr="00923307">
        <w:rPr>
          <w:rFonts w:ascii="Book Antiqua" w:eastAsiaTheme="minorEastAsia" w:hAnsi="Book Antiqua"/>
          <w:kern w:val="2"/>
          <w:sz w:val="24"/>
          <w:szCs w:val="24"/>
        </w:rPr>
        <w:t>200</w:t>
      </w:r>
      <w:r w:rsidR="00777166">
        <w:rPr>
          <w:rFonts w:ascii="Book Antiqua" w:eastAsiaTheme="minorEastAsia" w:hAnsi="Book Antiqua" w:hint="eastAsia"/>
          <w:kern w:val="2"/>
          <w:sz w:val="24"/>
          <w:szCs w:val="24"/>
        </w:rPr>
        <w:t xml:space="preserve"> </w:t>
      </w:r>
      <w:r w:rsidR="004E6A92" w:rsidRPr="00923307">
        <w:rPr>
          <w:rFonts w:ascii="Book Antiqua" w:eastAsiaTheme="minorEastAsia" w:hAnsi="Book Antiqua" w:hint="eastAsia"/>
          <w:kern w:val="2"/>
          <w:sz w:val="24"/>
          <w:szCs w:val="24"/>
        </w:rPr>
        <w:t>×</w:t>
      </w:r>
      <w:r w:rsidR="00777166">
        <w:rPr>
          <w:rFonts w:ascii="Book Antiqua" w:eastAsiaTheme="minorEastAsia" w:hAnsi="Book Antiqua" w:hint="eastAsia"/>
          <w:kern w:val="2"/>
          <w:sz w:val="24"/>
          <w:szCs w:val="24"/>
        </w:rPr>
        <w:t xml:space="preserve"> </w:t>
      </w:r>
      <w:r w:rsidR="004E6A92" w:rsidRPr="00923307">
        <w:rPr>
          <w:rFonts w:ascii="Book Antiqua" w:eastAsiaTheme="minorEastAsia" w:hAnsi="Book Antiqua"/>
          <w:kern w:val="2"/>
          <w:sz w:val="24"/>
          <w:szCs w:val="24"/>
        </w:rPr>
        <w:t xml:space="preserve">magnification </w:t>
      </w:r>
      <w:r w:rsidR="00FC74CE" w:rsidRPr="00923307">
        <w:rPr>
          <w:rFonts w:ascii="Book Antiqua" w:eastAsiaTheme="minorEastAsia" w:hAnsi="Book Antiqua"/>
          <w:kern w:val="2"/>
          <w:sz w:val="24"/>
          <w:szCs w:val="24"/>
        </w:rPr>
        <w:t>proved it to be</w:t>
      </w:r>
      <w:r w:rsidRPr="00923307">
        <w:rPr>
          <w:rFonts w:ascii="Book Antiqua" w:eastAsiaTheme="minorEastAsia" w:hAnsi="Book Antiqua"/>
          <w:kern w:val="2"/>
          <w:sz w:val="24"/>
          <w:szCs w:val="24"/>
        </w:rPr>
        <w:t xml:space="preserve"> Edmonson-Steiner grade II (D).</w:t>
      </w:r>
      <w:bookmarkEnd w:id="208"/>
      <w:r w:rsidRPr="00923307">
        <w:rPr>
          <w:rFonts w:ascii="Book Antiqua" w:eastAsiaTheme="minorEastAsia" w:hAnsi="Book Antiqua"/>
          <w:kern w:val="2"/>
          <w:sz w:val="24"/>
          <w:szCs w:val="24"/>
        </w:rPr>
        <w:t xml:space="preserve"> </w:t>
      </w:r>
    </w:p>
    <w:p w14:paraId="67998248" w14:textId="13DC058E" w:rsidR="00777166" w:rsidRDefault="00777166" w:rsidP="00327F62">
      <w:pPr>
        <w:widowControl/>
        <w:suppressAutoHyphens w:val="0"/>
        <w:snapToGrid w:val="0"/>
        <w:spacing w:line="360" w:lineRule="auto"/>
        <w:jc w:val="left"/>
        <w:rPr>
          <w:rFonts w:ascii="Book Antiqua" w:eastAsiaTheme="minorEastAsia" w:hAnsi="Book Antiqua"/>
          <w:kern w:val="2"/>
          <w:sz w:val="24"/>
          <w:szCs w:val="24"/>
        </w:rPr>
      </w:pPr>
      <w:r>
        <w:rPr>
          <w:rFonts w:ascii="Book Antiqua" w:eastAsiaTheme="minorEastAsia" w:hAnsi="Book Antiqua"/>
          <w:kern w:val="2"/>
          <w:sz w:val="24"/>
          <w:szCs w:val="24"/>
        </w:rPr>
        <w:br w:type="page"/>
      </w:r>
    </w:p>
    <w:p w14:paraId="206AE694" w14:textId="77777777" w:rsidR="0088310E" w:rsidRPr="00923307" w:rsidRDefault="0088310E" w:rsidP="00327F62">
      <w:pPr>
        <w:suppressAutoHyphens w:val="0"/>
        <w:autoSpaceDN/>
        <w:snapToGrid w:val="0"/>
        <w:spacing w:line="360" w:lineRule="auto"/>
        <w:textAlignment w:val="auto"/>
        <w:rPr>
          <w:rFonts w:ascii="Book Antiqua" w:eastAsiaTheme="minorEastAsia" w:hAnsi="Book Antiqua"/>
          <w:kern w:val="2"/>
          <w:sz w:val="24"/>
          <w:szCs w:val="24"/>
        </w:rPr>
      </w:pPr>
      <w:r w:rsidRPr="00923307">
        <w:rPr>
          <w:rFonts w:ascii="Book Antiqua" w:eastAsiaTheme="minorEastAsia" w:hAnsi="Book Antiqua"/>
          <w:kern w:val="2"/>
          <w:sz w:val="24"/>
          <w:szCs w:val="24"/>
        </w:rPr>
        <w:lastRenderedPageBreak/>
        <w:t xml:space="preserve">A </w:t>
      </w:r>
      <w:r w:rsidRPr="00923307">
        <w:rPr>
          <w:rFonts w:ascii="Book Antiqua" w:eastAsiaTheme="minorEastAsia" w:hAnsi="Book Antiqua"/>
          <w:noProof/>
          <w:kern w:val="2"/>
          <w:sz w:val="24"/>
          <w:szCs w:val="24"/>
        </w:rPr>
        <w:drawing>
          <wp:inline distT="0" distB="0" distL="0" distR="0" wp14:anchorId="6B400A55" wp14:editId="70CCFB46">
            <wp:extent cx="2024481" cy="149313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4481" cy="1493134"/>
                    </a:xfrm>
                    <a:prstGeom prst="rect">
                      <a:avLst/>
                    </a:prstGeom>
                  </pic:spPr>
                </pic:pic>
              </a:graphicData>
            </a:graphic>
          </wp:inline>
        </w:drawing>
      </w:r>
    </w:p>
    <w:p w14:paraId="401C7204" w14:textId="77777777" w:rsidR="0088310E" w:rsidRPr="00923307" w:rsidRDefault="0088310E" w:rsidP="00327F62">
      <w:pPr>
        <w:suppressAutoHyphens w:val="0"/>
        <w:autoSpaceDN/>
        <w:snapToGrid w:val="0"/>
        <w:spacing w:line="360" w:lineRule="auto"/>
        <w:textAlignment w:val="auto"/>
        <w:rPr>
          <w:rFonts w:ascii="Book Antiqua" w:eastAsiaTheme="minorEastAsia" w:hAnsi="Book Antiqua"/>
          <w:kern w:val="2"/>
          <w:sz w:val="24"/>
          <w:szCs w:val="24"/>
        </w:rPr>
      </w:pPr>
      <w:r w:rsidRPr="00923307">
        <w:rPr>
          <w:rFonts w:ascii="Book Antiqua" w:eastAsiaTheme="minorEastAsia" w:hAnsi="Book Antiqua"/>
          <w:kern w:val="2"/>
          <w:sz w:val="24"/>
          <w:szCs w:val="24"/>
        </w:rPr>
        <w:t xml:space="preserve">B </w:t>
      </w:r>
      <w:r w:rsidRPr="00923307">
        <w:rPr>
          <w:rFonts w:ascii="Book Antiqua" w:eastAsiaTheme="minorEastAsia" w:hAnsi="Book Antiqua"/>
          <w:noProof/>
          <w:kern w:val="2"/>
          <w:sz w:val="24"/>
          <w:szCs w:val="24"/>
        </w:rPr>
        <w:drawing>
          <wp:inline distT="0" distB="0" distL="0" distR="0" wp14:anchorId="35F6B369" wp14:editId="544DA034">
            <wp:extent cx="2367023" cy="1755176"/>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94482" cy="1775537"/>
                    </a:xfrm>
                    <a:prstGeom prst="rect">
                      <a:avLst/>
                    </a:prstGeom>
                  </pic:spPr>
                </pic:pic>
              </a:graphicData>
            </a:graphic>
          </wp:inline>
        </w:drawing>
      </w:r>
    </w:p>
    <w:p w14:paraId="1E4ECA6A" w14:textId="77777777" w:rsidR="0088310E" w:rsidRPr="00923307" w:rsidRDefault="0088310E" w:rsidP="00327F62">
      <w:pPr>
        <w:suppressAutoHyphens w:val="0"/>
        <w:autoSpaceDN/>
        <w:snapToGrid w:val="0"/>
        <w:spacing w:line="360" w:lineRule="auto"/>
        <w:textAlignment w:val="auto"/>
        <w:rPr>
          <w:rFonts w:ascii="Book Antiqua" w:eastAsiaTheme="minorEastAsia" w:hAnsi="Book Antiqua"/>
          <w:kern w:val="2"/>
          <w:sz w:val="24"/>
          <w:szCs w:val="24"/>
        </w:rPr>
      </w:pPr>
      <w:r w:rsidRPr="00923307">
        <w:rPr>
          <w:rFonts w:ascii="Book Antiqua" w:eastAsiaTheme="minorEastAsia" w:hAnsi="Book Antiqua"/>
          <w:noProof/>
          <w:kern w:val="2"/>
          <w:sz w:val="24"/>
          <w:szCs w:val="24"/>
        </w:rPr>
        <mc:AlternateContent>
          <mc:Choice Requires="wps">
            <w:drawing>
              <wp:anchor distT="0" distB="0" distL="114300" distR="114300" simplePos="0" relativeHeight="251661312" behindDoc="0" locked="0" layoutInCell="1" allowOverlap="1" wp14:anchorId="4107DBA8" wp14:editId="6582A408">
                <wp:simplePos x="0" y="0"/>
                <wp:positionH relativeFrom="column">
                  <wp:posOffset>763198</wp:posOffset>
                </wp:positionH>
                <wp:positionV relativeFrom="paragraph">
                  <wp:posOffset>912495</wp:posOffset>
                </wp:positionV>
                <wp:extent cx="237431" cy="79238"/>
                <wp:effectExtent l="0" t="57150" r="10795" b="73660"/>
                <wp:wrapNone/>
                <wp:docPr id="9" name="箭头: 左 9"/>
                <wp:cNvGraphicFramePr/>
                <a:graphic xmlns:a="http://schemas.openxmlformats.org/drawingml/2006/main">
                  <a:graphicData uri="http://schemas.microsoft.com/office/word/2010/wordprocessingShape">
                    <wps:wsp>
                      <wps:cNvSpPr/>
                      <wps:spPr>
                        <a:xfrm rot="2058928">
                          <a:off x="0" y="0"/>
                          <a:ext cx="237431" cy="79238"/>
                        </a:xfrm>
                        <a:prstGeom prst="leftArrow">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FD1F8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箭头: 左 9" o:spid="_x0000_s1026" type="#_x0000_t66" style="position:absolute;margin-left:60.1pt;margin-top:71.85pt;width:18.7pt;height:6.25pt;rotation:224889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" adj="3604" fillcolor="window" strokecolor="window" strokeweight="1pt"/>
            </w:pict>
          </mc:Fallback>
        </mc:AlternateContent>
      </w:r>
      <w:r w:rsidRPr="00923307">
        <w:rPr>
          <w:rFonts w:ascii="Book Antiqua" w:eastAsiaTheme="minorEastAsia" w:hAnsi="Book Antiqua"/>
          <w:kern w:val="2"/>
          <w:sz w:val="24"/>
          <w:szCs w:val="24"/>
        </w:rPr>
        <w:t>C</w:t>
      </w:r>
      <w:r w:rsidRPr="00923307">
        <w:rPr>
          <w:rFonts w:ascii="Book Antiqua" w:eastAsiaTheme="minorEastAsia" w:hAnsi="Book Antiqua"/>
          <w:noProof/>
          <w:kern w:val="2"/>
          <w:sz w:val="24"/>
          <w:szCs w:val="24"/>
        </w:rPr>
        <w:t xml:space="preserve"> </w:t>
      </w:r>
      <w:r w:rsidRPr="00923307">
        <w:rPr>
          <w:rFonts w:ascii="Book Antiqua" w:eastAsiaTheme="minorEastAsia" w:hAnsi="Book Antiqua"/>
          <w:noProof/>
          <w:kern w:val="2"/>
          <w:sz w:val="24"/>
          <w:szCs w:val="24"/>
        </w:rPr>
        <w:drawing>
          <wp:inline distT="0" distB="0" distL="0" distR="0" wp14:anchorId="5FDBA53D" wp14:editId="085F094D">
            <wp:extent cx="2372810" cy="1759467"/>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1214" cy="1765699"/>
                    </a:xfrm>
                    <a:prstGeom prst="rect">
                      <a:avLst/>
                    </a:prstGeom>
                  </pic:spPr>
                </pic:pic>
              </a:graphicData>
            </a:graphic>
          </wp:inline>
        </w:drawing>
      </w:r>
    </w:p>
    <w:p w14:paraId="4FB7F882" w14:textId="77777777" w:rsidR="0088310E" w:rsidRPr="00923307" w:rsidRDefault="0088310E" w:rsidP="00327F62">
      <w:pPr>
        <w:suppressAutoHyphens w:val="0"/>
        <w:autoSpaceDN/>
        <w:snapToGrid w:val="0"/>
        <w:spacing w:line="360" w:lineRule="auto"/>
        <w:textAlignment w:val="auto"/>
        <w:rPr>
          <w:rFonts w:ascii="Book Antiqua" w:eastAsiaTheme="minorEastAsia" w:hAnsi="Book Antiqua"/>
          <w:kern w:val="2"/>
          <w:sz w:val="24"/>
          <w:szCs w:val="24"/>
        </w:rPr>
      </w:pPr>
      <w:r w:rsidRPr="00923307">
        <w:rPr>
          <w:rFonts w:ascii="Book Antiqua" w:eastAsiaTheme="minorEastAsia" w:hAnsi="Book Antiqua"/>
          <w:kern w:val="2"/>
          <w:sz w:val="24"/>
          <w:szCs w:val="24"/>
        </w:rPr>
        <w:t xml:space="preserve">D </w:t>
      </w:r>
      <w:r w:rsidRPr="00923307">
        <w:rPr>
          <w:rFonts w:ascii="Book Antiqua" w:eastAsiaTheme="minorEastAsia" w:hAnsi="Book Antiqua"/>
          <w:noProof/>
          <w:kern w:val="2"/>
          <w:sz w:val="24"/>
          <w:szCs w:val="24"/>
        </w:rPr>
        <w:drawing>
          <wp:inline distT="0" distB="0" distL="0" distR="0" wp14:anchorId="40F49747" wp14:editId="01DFAEDC">
            <wp:extent cx="2077656" cy="1477322"/>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77656" cy="1477322"/>
                    </a:xfrm>
                    <a:prstGeom prst="rect">
                      <a:avLst/>
                    </a:prstGeom>
                  </pic:spPr>
                </pic:pic>
              </a:graphicData>
            </a:graphic>
          </wp:inline>
        </w:drawing>
      </w:r>
    </w:p>
    <w:p w14:paraId="5FC56F50" w14:textId="77777777" w:rsidR="0088310E" w:rsidRPr="00923307" w:rsidRDefault="0088310E" w:rsidP="00327F62">
      <w:pPr>
        <w:suppressAutoHyphens w:val="0"/>
        <w:autoSpaceDN/>
        <w:snapToGrid w:val="0"/>
        <w:spacing w:line="360" w:lineRule="auto"/>
        <w:textAlignment w:val="auto"/>
        <w:rPr>
          <w:rFonts w:ascii="Book Antiqua" w:eastAsiaTheme="minorEastAsia" w:hAnsi="Book Antiqua"/>
          <w:kern w:val="2"/>
          <w:sz w:val="24"/>
          <w:szCs w:val="24"/>
        </w:rPr>
      </w:pPr>
      <w:r w:rsidRPr="00923307">
        <w:rPr>
          <w:rFonts w:ascii="Book Antiqua" w:eastAsiaTheme="minorEastAsia" w:hAnsi="Book Antiqua"/>
          <w:kern w:val="2"/>
          <w:sz w:val="24"/>
          <w:szCs w:val="24"/>
        </w:rPr>
        <w:t xml:space="preserve">E </w:t>
      </w:r>
      <w:r w:rsidRPr="00923307">
        <w:rPr>
          <w:rFonts w:ascii="Book Antiqua" w:eastAsiaTheme="minorEastAsia" w:hAnsi="Book Antiqua"/>
          <w:noProof/>
          <w:kern w:val="2"/>
          <w:sz w:val="24"/>
          <w:szCs w:val="24"/>
        </w:rPr>
        <w:drawing>
          <wp:inline distT="0" distB="0" distL="0" distR="0" wp14:anchorId="2D61DDC6" wp14:editId="63A212EE">
            <wp:extent cx="2089986" cy="1493134"/>
            <wp:effectExtent l="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9986" cy="1493134"/>
                    </a:xfrm>
                    <a:prstGeom prst="rect">
                      <a:avLst/>
                    </a:prstGeom>
                  </pic:spPr>
                </pic:pic>
              </a:graphicData>
            </a:graphic>
          </wp:inline>
        </w:drawing>
      </w:r>
    </w:p>
    <w:p w14:paraId="344C32F8" w14:textId="77777777" w:rsidR="0088310E" w:rsidRPr="00923307" w:rsidRDefault="0088310E" w:rsidP="00327F62">
      <w:pPr>
        <w:suppressAutoHyphens w:val="0"/>
        <w:autoSpaceDN/>
        <w:snapToGrid w:val="0"/>
        <w:spacing w:line="360" w:lineRule="auto"/>
        <w:textAlignment w:val="auto"/>
        <w:rPr>
          <w:rFonts w:ascii="Book Antiqua" w:eastAsiaTheme="minorEastAsia" w:hAnsi="Book Antiqua"/>
          <w:kern w:val="2"/>
          <w:sz w:val="24"/>
          <w:szCs w:val="24"/>
        </w:rPr>
      </w:pPr>
      <w:r w:rsidRPr="00923307">
        <w:rPr>
          <w:rFonts w:ascii="Book Antiqua" w:eastAsiaTheme="minorEastAsia" w:hAnsi="Book Antiqua"/>
          <w:kern w:val="2"/>
          <w:sz w:val="24"/>
          <w:szCs w:val="24"/>
        </w:rPr>
        <w:lastRenderedPageBreak/>
        <w:t xml:space="preserve">F </w:t>
      </w:r>
      <w:r w:rsidRPr="00923307">
        <w:rPr>
          <w:rFonts w:ascii="Book Antiqua" w:eastAsiaTheme="minorEastAsia" w:hAnsi="Book Antiqua"/>
          <w:noProof/>
          <w:kern w:val="2"/>
          <w:sz w:val="24"/>
          <w:szCs w:val="24"/>
        </w:rPr>
        <w:drawing>
          <wp:inline distT="0" distB="0" distL="0" distR="0" wp14:anchorId="0AF90B2C" wp14:editId="0F2E4DC3">
            <wp:extent cx="2233914" cy="15241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40464" cy="1528619"/>
                    </a:xfrm>
                    <a:prstGeom prst="rect">
                      <a:avLst/>
                    </a:prstGeom>
                  </pic:spPr>
                </pic:pic>
              </a:graphicData>
            </a:graphic>
          </wp:inline>
        </w:drawing>
      </w:r>
    </w:p>
    <w:p w14:paraId="6A4C24F0" w14:textId="77777777" w:rsidR="0088310E" w:rsidRPr="00923307" w:rsidRDefault="0088310E" w:rsidP="00327F62">
      <w:pPr>
        <w:suppressAutoHyphens w:val="0"/>
        <w:autoSpaceDN/>
        <w:snapToGrid w:val="0"/>
        <w:spacing w:line="360" w:lineRule="auto"/>
        <w:textAlignment w:val="auto"/>
        <w:rPr>
          <w:rFonts w:ascii="Book Antiqua" w:eastAsiaTheme="minorEastAsia" w:hAnsi="Book Antiqua"/>
          <w:kern w:val="2"/>
          <w:sz w:val="24"/>
          <w:szCs w:val="24"/>
        </w:rPr>
      </w:pPr>
      <w:r w:rsidRPr="00923307">
        <w:rPr>
          <w:rFonts w:ascii="Book Antiqua" w:eastAsiaTheme="minorEastAsia" w:hAnsi="Book Antiqua"/>
          <w:kern w:val="2"/>
          <w:sz w:val="24"/>
          <w:szCs w:val="24"/>
        </w:rPr>
        <w:t xml:space="preserve">G </w:t>
      </w:r>
      <w:r w:rsidRPr="00923307">
        <w:rPr>
          <w:rFonts w:ascii="Book Antiqua" w:eastAsiaTheme="minorEastAsia" w:hAnsi="Book Antiqua"/>
          <w:noProof/>
          <w:kern w:val="2"/>
          <w:sz w:val="24"/>
          <w:szCs w:val="24"/>
        </w:rPr>
        <w:drawing>
          <wp:inline distT="0" distB="0" distL="0" distR="0" wp14:anchorId="7E69DCD8" wp14:editId="3E4A54B6">
            <wp:extent cx="2184738" cy="1713053"/>
            <wp:effectExtent l="0" t="0" r="6350" b="1905"/>
            <wp:docPr id="8" name="图片 8" descr="D:\BaiduNetdiskDownload\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iduNetdiskDownload\59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1934" cy="1718696"/>
                    </a:xfrm>
                    <a:prstGeom prst="rect">
                      <a:avLst/>
                    </a:prstGeom>
                    <a:noFill/>
                    <a:ln>
                      <a:noFill/>
                    </a:ln>
                  </pic:spPr>
                </pic:pic>
              </a:graphicData>
            </a:graphic>
          </wp:inline>
        </w:drawing>
      </w:r>
    </w:p>
    <w:p w14:paraId="10FC038B" w14:textId="51B65EAC" w:rsidR="0088310E" w:rsidRPr="00923307" w:rsidRDefault="0088310E" w:rsidP="00327F62">
      <w:pPr>
        <w:suppressAutoHyphens w:val="0"/>
        <w:autoSpaceDN/>
        <w:snapToGrid w:val="0"/>
        <w:spacing w:line="360" w:lineRule="auto"/>
        <w:textAlignment w:val="auto"/>
        <w:rPr>
          <w:rFonts w:ascii="Book Antiqua" w:eastAsiaTheme="minorEastAsia" w:hAnsi="Book Antiqua"/>
          <w:kern w:val="2"/>
          <w:sz w:val="24"/>
          <w:szCs w:val="24"/>
        </w:rPr>
      </w:pPr>
      <w:r w:rsidRPr="00777166">
        <w:rPr>
          <w:rFonts w:ascii="Book Antiqua" w:eastAsiaTheme="minorEastAsia" w:hAnsi="Book Antiqua"/>
          <w:b/>
          <w:kern w:val="2"/>
          <w:sz w:val="24"/>
          <w:szCs w:val="24"/>
        </w:rPr>
        <w:t>Figure 2</w:t>
      </w:r>
      <w:r w:rsidR="00A21B39">
        <w:rPr>
          <w:rFonts w:ascii="Book Antiqua" w:eastAsiaTheme="minorEastAsia" w:hAnsi="Book Antiqua" w:hint="eastAsia"/>
          <w:b/>
          <w:kern w:val="2"/>
          <w:sz w:val="24"/>
          <w:szCs w:val="24"/>
        </w:rPr>
        <w:t xml:space="preserve"> </w:t>
      </w:r>
      <w:r w:rsidR="00A21B39" w:rsidRPr="00A21B39">
        <w:rPr>
          <w:rFonts w:ascii="Book Antiqua" w:eastAsiaTheme="minorEastAsia" w:hAnsi="Book Antiqua"/>
          <w:b/>
          <w:caps/>
          <w:kern w:val="2"/>
          <w:sz w:val="24"/>
          <w:szCs w:val="24"/>
        </w:rPr>
        <w:t>h</w:t>
      </w:r>
      <w:r w:rsidR="00A21B39" w:rsidRPr="005F1131">
        <w:rPr>
          <w:rFonts w:ascii="Book Antiqua" w:eastAsiaTheme="minorEastAsia" w:hAnsi="Book Antiqua"/>
          <w:b/>
          <w:kern w:val="2"/>
          <w:sz w:val="24"/>
          <w:szCs w:val="24"/>
        </w:rPr>
        <w:t>epatocellular carcinoma</w:t>
      </w:r>
      <w:r w:rsidR="00A21B39">
        <w:rPr>
          <w:rFonts w:ascii="Book Antiqua" w:eastAsiaTheme="minorEastAsia" w:hAnsi="Book Antiqua" w:hint="eastAsia"/>
          <w:b/>
          <w:kern w:val="2"/>
          <w:sz w:val="24"/>
          <w:szCs w:val="24"/>
        </w:rPr>
        <w:t xml:space="preserve"> </w:t>
      </w:r>
      <w:r w:rsidRPr="00777166">
        <w:rPr>
          <w:rFonts w:ascii="Book Antiqua" w:eastAsiaTheme="minorEastAsia" w:hAnsi="Book Antiqua"/>
          <w:b/>
          <w:kern w:val="2"/>
          <w:sz w:val="24"/>
          <w:szCs w:val="24"/>
        </w:rPr>
        <w:t>in 47-year-old</w:t>
      </w:r>
      <w:r w:rsidR="00777166" w:rsidRPr="00777166">
        <w:rPr>
          <w:rFonts w:ascii="Book Antiqua" w:eastAsiaTheme="minorEastAsia" w:hAnsi="Book Antiqua"/>
          <w:b/>
          <w:kern w:val="2"/>
          <w:sz w:val="24"/>
          <w:szCs w:val="24"/>
        </w:rPr>
        <w:t xml:space="preserve"> male with chronic hepatitis B.</w:t>
      </w:r>
      <w:r w:rsidR="00777166">
        <w:rPr>
          <w:rFonts w:ascii="Book Antiqua" w:eastAsiaTheme="minorEastAsia" w:hAnsi="Book Antiqua" w:hint="eastAsia"/>
          <w:kern w:val="2"/>
          <w:sz w:val="24"/>
          <w:szCs w:val="24"/>
        </w:rPr>
        <w:t xml:space="preserve"> </w:t>
      </w:r>
      <w:r w:rsidRPr="00923307">
        <w:rPr>
          <w:rFonts w:ascii="Book Antiqua" w:eastAsiaTheme="minorEastAsia" w:hAnsi="Book Antiqua"/>
          <w:kern w:val="2"/>
          <w:sz w:val="24"/>
          <w:szCs w:val="24"/>
        </w:rPr>
        <w:t>4.7-cm-sized mass in right anterior hepatic section shows hypointensity on unenhanced T1-weighted image</w:t>
      </w:r>
      <w:r w:rsidR="00A21B39">
        <w:rPr>
          <w:rFonts w:ascii="Book Antiqua" w:eastAsiaTheme="minorEastAsia" w:hAnsi="Book Antiqua" w:hint="eastAsia"/>
          <w:kern w:val="2"/>
          <w:sz w:val="24"/>
          <w:szCs w:val="24"/>
        </w:rPr>
        <w:t xml:space="preserve"> </w:t>
      </w:r>
      <w:r w:rsidRPr="00923307">
        <w:rPr>
          <w:rFonts w:ascii="Book Antiqua" w:eastAsiaTheme="minorEastAsia" w:hAnsi="Book Antiqua"/>
          <w:kern w:val="2"/>
          <w:sz w:val="24"/>
          <w:szCs w:val="24"/>
        </w:rPr>
        <w:t>(A), hyperenhancement in arterial phase (B), hypointensity relative to the surrounding liver parenchyma in portal venous phase (C) and 20 min hepatobiliary phase (D). An enhancing capsule (white arrow, the peripheral rim of smooth enhancement) in PVP, mosaic architecture, intermediate hyperintensity on T2-weighted images (E), and restricted d</w:t>
      </w:r>
      <w:bookmarkStart w:id="209" w:name="_Hlk511720902"/>
      <w:r w:rsidR="00777166">
        <w:rPr>
          <w:rFonts w:ascii="Book Antiqua" w:eastAsiaTheme="minorEastAsia" w:hAnsi="Book Antiqua"/>
          <w:kern w:val="2"/>
          <w:sz w:val="24"/>
          <w:szCs w:val="24"/>
        </w:rPr>
        <w:t xml:space="preserve">iffusion (F) are also visible. </w:t>
      </w:r>
      <w:r w:rsidR="004E6A92" w:rsidRPr="00923307">
        <w:rPr>
          <w:rFonts w:ascii="Book Antiqua" w:eastAsiaTheme="minorEastAsia" w:hAnsi="Book Antiqua"/>
          <w:kern w:val="2"/>
          <w:sz w:val="24"/>
          <w:szCs w:val="24"/>
        </w:rPr>
        <w:t xml:space="preserve">The mass </w:t>
      </w:r>
      <w:r w:rsidR="004C5982" w:rsidRPr="00923307">
        <w:rPr>
          <w:rFonts w:ascii="Book Antiqua" w:eastAsiaTheme="minorEastAsia" w:hAnsi="Book Antiqua"/>
          <w:kern w:val="2"/>
          <w:sz w:val="24"/>
          <w:szCs w:val="24"/>
        </w:rPr>
        <w:t xml:space="preserve">was confirmed as Edmonson-Steiner grade II </w:t>
      </w:r>
      <w:r w:rsidR="004E6A92" w:rsidRPr="00923307">
        <w:rPr>
          <w:rFonts w:ascii="Book Antiqua" w:eastAsiaTheme="minorEastAsia" w:hAnsi="Book Antiqua" w:hint="eastAsia"/>
          <w:kern w:val="2"/>
          <w:sz w:val="24"/>
          <w:szCs w:val="24"/>
        </w:rPr>
        <w:t>at</w:t>
      </w:r>
      <w:r w:rsidR="004E6A92" w:rsidRPr="00923307">
        <w:rPr>
          <w:rFonts w:ascii="Book Antiqua" w:eastAsiaTheme="minorEastAsia" w:hAnsi="Book Antiqua"/>
          <w:kern w:val="2"/>
          <w:sz w:val="24"/>
          <w:szCs w:val="24"/>
        </w:rPr>
        <w:t xml:space="preserve"> 200</w:t>
      </w:r>
      <w:r w:rsidR="00777166">
        <w:rPr>
          <w:rFonts w:ascii="Book Antiqua" w:eastAsiaTheme="minorEastAsia" w:hAnsi="Book Antiqua" w:hint="eastAsia"/>
          <w:kern w:val="2"/>
          <w:sz w:val="24"/>
          <w:szCs w:val="24"/>
        </w:rPr>
        <w:t xml:space="preserve"> </w:t>
      </w:r>
      <w:r w:rsidR="004E6A92" w:rsidRPr="003210FB">
        <w:rPr>
          <w:rFonts w:ascii="Book Antiqua" w:eastAsiaTheme="minorEastAsia" w:hAnsi="Book Antiqua"/>
          <w:kern w:val="2"/>
          <w:sz w:val="24"/>
          <w:szCs w:val="24"/>
        </w:rPr>
        <w:t>×</w:t>
      </w:r>
      <w:r w:rsidR="00777166">
        <w:rPr>
          <w:rFonts w:ascii="Book Antiqua" w:eastAsiaTheme="minorEastAsia" w:hAnsi="Book Antiqua" w:hint="eastAsia"/>
          <w:kern w:val="2"/>
          <w:sz w:val="24"/>
          <w:szCs w:val="24"/>
        </w:rPr>
        <w:t xml:space="preserve"> </w:t>
      </w:r>
      <w:r w:rsidR="004E6A92" w:rsidRPr="00923307">
        <w:rPr>
          <w:rFonts w:ascii="Book Antiqua" w:eastAsiaTheme="minorEastAsia" w:hAnsi="Book Antiqua"/>
          <w:kern w:val="2"/>
          <w:sz w:val="24"/>
          <w:szCs w:val="24"/>
        </w:rPr>
        <w:t xml:space="preserve">magnification </w:t>
      </w:r>
      <w:r w:rsidR="004C5982" w:rsidRPr="00923307">
        <w:rPr>
          <w:rFonts w:ascii="Book Antiqua" w:eastAsiaTheme="minorEastAsia" w:hAnsi="Book Antiqua"/>
          <w:kern w:val="2"/>
          <w:sz w:val="24"/>
          <w:szCs w:val="24"/>
        </w:rPr>
        <w:t>with hematoxylin-eosin (H&amp;E) staining</w:t>
      </w:r>
      <w:r w:rsidR="004E6A92" w:rsidRPr="00923307">
        <w:rPr>
          <w:rFonts w:ascii="Book Antiqua" w:eastAsiaTheme="minorEastAsia" w:hAnsi="Book Antiqua"/>
          <w:kern w:val="2"/>
          <w:sz w:val="24"/>
          <w:szCs w:val="24"/>
        </w:rPr>
        <w:t xml:space="preserve"> (D).</w:t>
      </w:r>
    </w:p>
    <w:bookmarkEnd w:id="209"/>
    <w:p w14:paraId="45F22A98" w14:textId="77777777" w:rsidR="00777166" w:rsidRDefault="00777166" w:rsidP="00327F62">
      <w:pPr>
        <w:widowControl/>
        <w:suppressAutoHyphens w:val="0"/>
        <w:snapToGrid w:val="0"/>
        <w:spacing w:line="360" w:lineRule="auto"/>
        <w:jc w:val="left"/>
        <w:rPr>
          <w:rFonts w:ascii="Book Antiqua" w:eastAsiaTheme="minorEastAsia" w:hAnsi="Book Antiqua"/>
          <w:b/>
          <w:kern w:val="2"/>
          <w:sz w:val="24"/>
          <w:szCs w:val="24"/>
        </w:rPr>
      </w:pPr>
      <w:r>
        <w:rPr>
          <w:rFonts w:ascii="Book Antiqua" w:eastAsiaTheme="minorEastAsia" w:hAnsi="Book Antiqua"/>
          <w:b/>
          <w:kern w:val="2"/>
          <w:sz w:val="24"/>
          <w:szCs w:val="24"/>
        </w:rPr>
        <w:br w:type="page"/>
      </w:r>
    </w:p>
    <w:p w14:paraId="120981ED" w14:textId="77777777" w:rsidR="00A534F9" w:rsidRPr="00923307" w:rsidRDefault="00A534F9" w:rsidP="00327F62">
      <w:pPr>
        <w:suppressAutoHyphens w:val="0"/>
        <w:autoSpaceDN/>
        <w:snapToGrid w:val="0"/>
        <w:spacing w:line="360" w:lineRule="auto"/>
        <w:textAlignment w:val="auto"/>
        <w:rPr>
          <w:rFonts w:ascii="Book Antiqua" w:eastAsiaTheme="minorEastAsia" w:hAnsi="Book Antiqua"/>
          <w:kern w:val="2"/>
          <w:sz w:val="24"/>
          <w:szCs w:val="24"/>
        </w:rPr>
      </w:pPr>
      <w:r w:rsidRPr="00923307">
        <w:rPr>
          <w:rFonts w:ascii="Book Antiqua" w:eastAsiaTheme="minorEastAsia" w:hAnsi="Book Antiqua"/>
          <w:kern w:val="2"/>
          <w:sz w:val="24"/>
          <w:szCs w:val="24"/>
        </w:rPr>
        <w:lastRenderedPageBreak/>
        <w:t xml:space="preserve">A </w:t>
      </w:r>
      <w:r w:rsidRPr="00923307">
        <w:rPr>
          <w:rFonts w:ascii="Book Antiqua" w:eastAsiaTheme="minorEastAsia" w:hAnsi="Book Antiqua"/>
          <w:noProof/>
          <w:kern w:val="2"/>
          <w:sz w:val="24"/>
          <w:szCs w:val="24"/>
        </w:rPr>
        <w:drawing>
          <wp:inline distT="0" distB="0" distL="0" distR="0" wp14:anchorId="44A0A8E7" wp14:editId="299DAA3D">
            <wp:extent cx="2969377" cy="2610091"/>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69377" cy="2610091"/>
                    </a:xfrm>
                    <a:prstGeom prst="rect">
                      <a:avLst/>
                    </a:prstGeom>
                  </pic:spPr>
                </pic:pic>
              </a:graphicData>
            </a:graphic>
          </wp:inline>
        </w:drawing>
      </w:r>
    </w:p>
    <w:p w14:paraId="11CA0E22" w14:textId="77777777" w:rsidR="00A534F9" w:rsidRPr="00923307" w:rsidRDefault="00A534F9" w:rsidP="00327F62">
      <w:pPr>
        <w:suppressAutoHyphens w:val="0"/>
        <w:autoSpaceDN/>
        <w:snapToGrid w:val="0"/>
        <w:spacing w:line="360" w:lineRule="auto"/>
        <w:textAlignment w:val="auto"/>
        <w:rPr>
          <w:rFonts w:ascii="Book Antiqua" w:eastAsiaTheme="minorEastAsia" w:hAnsi="Book Antiqua"/>
          <w:kern w:val="2"/>
          <w:sz w:val="24"/>
          <w:szCs w:val="24"/>
        </w:rPr>
      </w:pPr>
      <w:r w:rsidRPr="00923307">
        <w:rPr>
          <w:rFonts w:ascii="Book Antiqua" w:eastAsiaTheme="minorEastAsia" w:hAnsi="Book Antiqua"/>
          <w:noProof/>
          <w:kern w:val="2"/>
          <w:sz w:val="24"/>
          <w:szCs w:val="24"/>
        </w:rPr>
        <mc:AlternateContent>
          <mc:Choice Requires="wps">
            <w:drawing>
              <wp:anchor distT="0" distB="0" distL="114300" distR="114300" simplePos="0" relativeHeight="251665408" behindDoc="0" locked="0" layoutInCell="1" allowOverlap="1" wp14:anchorId="5BF37605" wp14:editId="260384C5">
                <wp:simplePos x="0" y="0"/>
                <wp:positionH relativeFrom="column">
                  <wp:posOffset>455295</wp:posOffset>
                </wp:positionH>
                <wp:positionV relativeFrom="paragraph">
                  <wp:posOffset>1311219</wp:posOffset>
                </wp:positionV>
                <wp:extent cx="146530" cy="176760"/>
                <wp:effectExtent l="57150" t="38100" r="0" b="33020"/>
                <wp:wrapNone/>
                <wp:docPr id="23" name="等腰三角形 23"/>
                <wp:cNvGraphicFramePr/>
                <a:graphic xmlns:a="http://schemas.openxmlformats.org/drawingml/2006/main">
                  <a:graphicData uri="http://schemas.microsoft.com/office/word/2010/wordprocessingShape">
                    <wps:wsp>
                      <wps:cNvSpPr/>
                      <wps:spPr>
                        <a:xfrm rot="9631407">
                          <a:off x="0" y="0"/>
                          <a:ext cx="146530" cy="176760"/>
                        </a:xfrm>
                        <a:prstGeom prst="triangl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EB3B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3" o:spid="_x0000_s1026" type="#_x0000_t5" style="position:absolute;margin-left:35.85pt;margin-top:103.25pt;width:11.55pt;height:13.9pt;rotation:1052006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" fillcolor="window" strokecolor="window" strokeweight="1pt"/>
            </w:pict>
          </mc:Fallback>
        </mc:AlternateContent>
      </w:r>
      <w:r w:rsidRPr="00923307">
        <w:rPr>
          <w:rFonts w:ascii="Book Antiqua" w:eastAsiaTheme="minorEastAsia" w:hAnsi="Book Antiqua"/>
          <w:noProof/>
          <w:kern w:val="2"/>
          <w:sz w:val="24"/>
          <w:szCs w:val="24"/>
        </w:rPr>
        <mc:AlternateContent>
          <mc:Choice Requires="wps">
            <w:drawing>
              <wp:anchor distT="0" distB="0" distL="114300" distR="114300" simplePos="0" relativeHeight="251664384" behindDoc="0" locked="0" layoutInCell="1" allowOverlap="1" wp14:anchorId="70094312" wp14:editId="2E5EEAA6">
                <wp:simplePos x="0" y="0"/>
                <wp:positionH relativeFrom="column">
                  <wp:posOffset>1148602</wp:posOffset>
                </wp:positionH>
                <wp:positionV relativeFrom="paragraph">
                  <wp:posOffset>1414780</wp:posOffset>
                </wp:positionV>
                <wp:extent cx="336245" cy="108306"/>
                <wp:effectExtent l="0" t="95250" r="0" b="82550"/>
                <wp:wrapNone/>
                <wp:docPr id="21" name="箭头: 左 21"/>
                <wp:cNvGraphicFramePr/>
                <a:graphic xmlns:a="http://schemas.openxmlformats.org/drawingml/2006/main">
                  <a:graphicData uri="http://schemas.microsoft.com/office/word/2010/wordprocessingShape">
                    <wps:wsp>
                      <wps:cNvSpPr/>
                      <wps:spPr>
                        <a:xfrm rot="19012770">
                          <a:off x="0" y="0"/>
                          <a:ext cx="336245" cy="108306"/>
                        </a:xfrm>
                        <a:prstGeom prst="leftArrow">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B6A39" id="箭头: 左 21" o:spid="_x0000_s1026" type="#_x0000_t66" style="position:absolute;margin-left:90.45pt;margin-top:111.4pt;width:26.5pt;height:8.55pt;rotation:-2825945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" adj="3479" fillcolor="window" strokecolor="window" strokeweight="1pt"/>
            </w:pict>
          </mc:Fallback>
        </mc:AlternateContent>
      </w:r>
      <w:r w:rsidRPr="00923307">
        <w:rPr>
          <w:rFonts w:ascii="Book Antiqua" w:eastAsiaTheme="minorEastAsia" w:hAnsi="Book Antiqua"/>
          <w:kern w:val="2"/>
          <w:sz w:val="24"/>
          <w:szCs w:val="24"/>
        </w:rPr>
        <w:t xml:space="preserve">B </w:t>
      </w:r>
      <w:r w:rsidRPr="00923307">
        <w:rPr>
          <w:rFonts w:ascii="Book Antiqua" w:eastAsiaTheme="minorEastAsia" w:hAnsi="Book Antiqua"/>
          <w:noProof/>
          <w:kern w:val="2"/>
          <w:sz w:val="24"/>
          <w:szCs w:val="24"/>
        </w:rPr>
        <w:drawing>
          <wp:inline distT="0" distB="0" distL="0" distR="0" wp14:anchorId="0A5CA55E" wp14:editId="4B21C929">
            <wp:extent cx="2979524" cy="2430683"/>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79524" cy="2430683"/>
                    </a:xfrm>
                    <a:prstGeom prst="rect">
                      <a:avLst/>
                    </a:prstGeom>
                  </pic:spPr>
                </pic:pic>
              </a:graphicData>
            </a:graphic>
          </wp:inline>
        </w:drawing>
      </w:r>
    </w:p>
    <w:p w14:paraId="0F8CE833" w14:textId="77777777" w:rsidR="00A534F9" w:rsidRPr="00923307" w:rsidRDefault="00A534F9" w:rsidP="00327F62">
      <w:pPr>
        <w:suppressAutoHyphens w:val="0"/>
        <w:autoSpaceDN/>
        <w:snapToGrid w:val="0"/>
        <w:spacing w:line="360" w:lineRule="auto"/>
        <w:textAlignment w:val="auto"/>
        <w:rPr>
          <w:rFonts w:ascii="Book Antiqua" w:eastAsiaTheme="minorEastAsia" w:hAnsi="Book Antiqua"/>
          <w:kern w:val="2"/>
          <w:sz w:val="24"/>
          <w:szCs w:val="24"/>
        </w:rPr>
      </w:pPr>
      <w:r w:rsidRPr="00923307">
        <w:rPr>
          <w:rFonts w:ascii="Book Antiqua" w:eastAsiaTheme="minorEastAsia" w:hAnsi="Book Antiqua"/>
          <w:noProof/>
          <w:kern w:val="2"/>
          <w:sz w:val="24"/>
          <w:szCs w:val="24"/>
        </w:rPr>
        <mc:AlternateContent>
          <mc:Choice Requires="wps">
            <w:drawing>
              <wp:anchor distT="0" distB="0" distL="114300" distR="114300" simplePos="0" relativeHeight="251666432" behindDoc="0" locked="0" layoutInCell="1" allowOverlap="1" wp14:anchorId="1488D82A" wp14:editId="60D992AE">
                <wp:simplePos x="0" y="0"/>
                <wp:positionH relativeFrom="column">
                  <wp:posOffset>378171</wp:posOffset>
                </wp:positionH>
                <wp:positionV relativeFrom="paragraph">
                  <wp:posOffset>1540204</wp:posOffset>
                </wp:positionV>
                <wp:extent cx="146530" cy="176760"/>
                <wp:effectExtent l="57150" t="57150" r="6350" b="13970"/>
                <wp:wrapNone/>
                <wp:docPr id="24" name="等腰三角形 24"/>
                <wp:cNvGraphicFramePr/>
                <a:graphic xmlns:a="http://schemas.openxmlformats.org/drawingml/2006/main">
                  <a:graphicData uri="http://schemas.microsoft.com/office/word/2010/wordprocessingShape">
                    <wps:wsp>
                      <wps:cNvSpPr/>
                      <wps:spPr>
                        <a:xfrm rot="8447619">
                          <a:off x="0" y="0"/>
                          <a:ext cx="146530" cy="176760"/>
                        </a:xfrm>
                        <a:prstGeom prst="triangl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37501" id="等腰三角形 24" o:spid="_x0000_s1026" type="#_x0000_t5" style="position:absolute;margin-left:29.8pt;margin-top:121.3pt;width:11.55pt;height:13.9pt;rotation:9227053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" fillcolor="window" strokecolor="window" strokeweight="1pt"/>
            </w:pict>
          </mc:Fallback>
        </mc:AlternateContent>
      </w:r>
      <w:r w:rsidRPr="00923307">
        <w:rPr>
          <w:rFonts w:ascii="Book Antiqua" w:eastAsiaTheme="minorEastAsia" w:hAnsi="Book Antiqua"/>
          <w:noProof/>
          <w:kern w:val="2"/>
          <w:sz w:val="24"/>
          <w:szCs w:val="24"/>
        </w:rPr>
        <mc:AlternateContent>
          <mc:Choice Requires="wps">
            <w:drawing>
              <wp:anchor distT="0" distB="0" distL="114300" distR="114300" simplePos="0" relativeHeight="251667456" behindDoc="0" locked="0" layoutInCell="1" allowOverlap="1" wp14:anchorId="15DD0BBC" wp14:editId="5C17DBB3">
                <wp:simplePos x="0" y="0"/>
                <wp:positionH relativeFrom="column">
                  <wp:posOffset>780415</wp:posOffset>
                </wp:positionH>
                <wp:positionV relativeFrom="paragraph">
                  <wp:posOffset>1529715</wp:posOffset>
                </wp:positionV>
                <wp:extent cx="146530" cy="176760"/>
                <wp:effectExtent l="0" t="57150" r="63500" b="13970"/>
                <wp:wrapNone/>
                <wp:docPr id="25" name="等腰三角形 25"/>
                <wp:cNvGraphicFramePr/>
                <a:graphic xmlns:a="http://schemas.openxmlformats.org/drawingml/2006/main">
                  <a:graphicData uri="http://schemas.microsoft.com/office/word/2010/wordprocessingShape">
                    <wps:wsp>
                      <wps:cNvSpPr/>
                      <wps:spPr>
                        <a:xfrm rot="12734469">
                          <a:off x="0" y="0"/>
                          <a:ext cx="146530" cy="176760"/>
                        </a:xfrm>
                        <a:prstGeom prst="triangl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49CA0" id="等腰三角形 25" o:spid="_x0000_s1026" type="#_x0000_t5" style="position:absolute;margin-left:61.45pt;margin-top:120.45pt;width:11.55pt;height:13.9pt;rotation:-9683524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" fillcolor="window" strokecolor="window" strokeweight="1pt"/>
            </w:pict>
          </mc:Fallback>
        </mc:AlternateContent>
      </w:r>
      <w:r w:rsidRPr="00923307">
        <w:rPr>
          <w:rFonts w:ascii="Book Antiqua" w:eastAsiaTheme="minorEastAsia" w:hAnsi="Book Antiqua"/>
          <w:kern w:val="2"/>
          <w:sz w:val="24"/>
          <w:szCs w:val="24"/>
        </w:rPr>
        <w:t xml:space="preserve">C </w:t>
      </w:r>
      <w:r w:rsidRPr="00923307">
        <w:rPr>
          <w:rFonts w:ascii="Book Antiqua" w:eastAsiaTheme="minorEastAsia" w:hAnsi="Book Antiqua"/>
          <w:noProof/>
          <w:kern w:val="2"/>
          <w:sz w:val="24"/>
          <w:szCs w:val="24"/>
        </w:rPr>
        <w:drawing>
          <wp:inline distT="0" distB="0" distL="0" distR="0" wp14:anchorId="1A5448E8" wp14:editId="300C4E6D">
            <wp:extent cx="2964063" cy="2714263"/>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64063" cy="2714263"/>
                    </a:xfrm>
                    <a:prstGeom prst="rect">
                      <a:avLst/>
                    </a:prstGeom>
                  </pic:spPr>
                </pic:pic>
              </a:graphicData>
            </a:graphic>
          </wp:inline>
        </w:drawing>
      </w:r>
    </w:p>
    <w:p w14:paraId="2BB4A8B2" w14:textId="77777777" w:rsidR="00A534F9" w:rsidRPr="00923307" w:rsidRDefault="00A534F9" w:rsidP="00327F62">
      <w:pPr>
        <w:suppressAutoHyphens w:val="0"/>
        <w:autoSpaceDN/>
        <w:snapToGrid w:val="0"/>
        <w:spacing w:line="360" w:lineRule="auto"/>
        <w:textAlignment w:val="auto"/>
        <w:rPr>
          <w:rFonts w:ascii="Book Antiqua" w:eastAsiaTheme="minorEastAsia" w:hAnsi="Book Antiqua"/>
          <w:kern w:val="2"/>
          <w:sz w:val="24"/>
          <w:szCs w:val="24"/>
        </w:rPr>
      </w:pPr>
      <w:r w:rsidRPr="00923307">
        <w:rPr>
          <w:rFonts w:ascii="Book Antiqua" w:eastAsiaTheme="minorEastAsia" w:hAnsi="Book Antiqua"/>
          <w:noProof/>
          <w:kern w:val="2"/>
          <w:sz w:val="24"/>
          <w:szCs w:val="24"/>
        </w:rPr>
        <w:lastRenderedPageBreak/>
        <mc:AlternateContent>
          <mc:Choice Requires="wps">
            <w:drawing>
              <wp:anchor distT="0" distB="0" distL="114300" distR="114300" simplePos="0" relativeHeight="251663360" behindDoc="0" locked="0" layoutInCell="1" allowOverlap="1" wp14:anchorId="26A86D28" wp14:editId="26705A38">
                <wp:simplePos x="0" y="0"/>
                <wp:positionH relativeFrom="column">
                  <wp:posOffset>1190754</wp:posOffset>
                </wp:positionH>
                <wp:positionV relativeFrom="paragraph">
                  <wp:posOffset>1543484</wp:posOffset>
                </wp:positionV>
                <wp:extent cx="336245" cy="108306"/>
                <wp:effectExtent l="0" t="95250" r="0" b="82550"/>
                <wp:wrapNone/>
                <wp:docPr id="19" name="箭头: 左 19"/>
                <wp:cNvGraphicFramePr/>
                <a:graphic xmlns:a="http://schemas.openxmlformats.org/drawingml/2006/main">
                  <a:graphicData uri="http://schemas.microsoft.com/office/word/2010/wordprocessingShape">
                    <wps:wsp>
                      <wps:cNvSpPr/>
                      <wps:spPr>
                        <a:xfrm rot="19012770">
                          <a:off x="0" y="0"/>
                          <a:ext cx="336245" cy="108306"/>
                        </a:xfrm>
                        <a:prstGeom prst="lef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2372A" id="箭头: 左 19" o:spid="_x0000_s1026" type="#_x0000_t66" style="position:absolute;margin-left:93.75pt;margin-top:121.55pt;width:26.5pt;height:8.55pt;rotation:-282594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" adj="3479" fillcolor="windowText" strokecolor="windowText" strokeweight="1pt"/>
            </w:pict>
          </mc:Fallback>
        </mc:AlternateContent>
      </w:r>
      <w:r w:rsidRPr="00923307">
        <w:rPr>
          <w:rFonts w:ascii="Book Antiqua" w:eastAsiaTheme="minorEastAsia" w:hAnsi="Book Antiqua"/>
          <w:kern w:val="2"/>
          <w:sz w:val="24"/>
          <w:szCs w:val="24"/>
        </w:rPr>
        <w:t xml:space="preserve">D </w:t>
      </w:r>
      <w:r w:rsidRPr="00923307">
        <w:rPr>
          <w:rFonts w:ascii="Book Antiqua" w:eastAsiaTheme="minorEastAsia" w:hAnsi="Book Antiqua"/>
          <w:noProof/>
          <w:kern w:val="2"/>
          <w:sz w:val="24"/>
          <w:szCs w:val="24"/>
        </w:rPr>
        <w:drawing>
          <wp:inline distT="0" distB="0" distL="0" distR="0" wp14:anchorId="3F41E325" wp14:editId="5DB3E33F">
            <wp:extent cx="2965167" cy="2627453"/>
            <wp:effectExtent l="0" t="0" r="698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7398" cy="2638291"/>
                    </a:xfrm>
                    <a:prstGeom prst="rect">
                      <a:avLst/>
                    </a:prstGeom>
                  </pic:spPr>
                </pic:pic>
              </a:graphicData>
            </a:graphic>
          </wp:inline>
        </w:drawing>
      </w:r>
    </w:p>
    <w:p w14:paraId="4CB88908" w14:textId="77777777" w:rsidR="00A534F9" w:rsidRPr="00923307" w:rsidRDefault="00A534F9" w:rsidP="00327F62">
      <w:pPr>
        <w:suppressAutoHyphens w:val="0"/>
        <w:autoSpaceDN/>
        <w:snapToGrid w:val="0"/>
        <w:spacing w:line="360" w:lineRule="auto"/>
        <w:textAlignment w:val="auto"/>
        <w:rPr>
          <w:rFonts w:ascii="Book Antiqua" w:eastAsiaTheme="minorEastAsia" w:hAnsi="Book Antiqua"/>
          <w:b/>
          <w:kern w:val="2"/>
          <w:sz w:val="24"/>
          <w:szCs w:val="24"/>
        </w:rPr>
      </w:pPr>
      <w:r w:rsidRPr="00923307">
        <w:rPr>
          <w:rFonts w:ascii="Book Antiqua" w:eastAsiaTheme="minorEastAsia" w:hAnsi="Book Antiqua"/>
          <w:b/>
          <w:kern w:val="2"/>
          <w:sz w:val="24"/>
          <w:szCs w:val="24"/>
        </w:rPr>
        <w:t xml:space="preserve">E </w:t>
      </w:r>
      <w:r w:rsidRPr="00923307">
        <w:rPr>
          <w:rFonts w:ascii="Book Antiqua" w:eastAsiaTheme="minorEastAsia" w:hAnsi="Book Antiqua"/>
          <w:noProof/>
          <w:kern w:val="2"/>
          <w:sz w:val="24"/>
          <w:szCs w:val="24"/>
        </w:rPr>
        <w:drawing>
          <wp:inline distT="0" distB="0" distL="0" distR="0" wp14:anchorId="5921DBCD" wp14:editId="02FA213E">
            <wp:extent cx="2937920" cy="257536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47743" cy="2583977"/>
                    </a:xfrm>
                    <a:prstGeom prst="rect">
                      <a:avLst/>
                    </a:prstGeom>
                  </pic:spPr>
                </pic:pic>
              </a:graphicData>
            </a:graphic>
          </wp:inline>
        </w:drawing>
      </w:r>
    </w:p>
    <w:p w14:paraId="5E6DE5F9" w14:textId="77777777" w:rsidR="00A534F9" w:rsidRPr="00923307" w:rsidRDefault="00A534F9" w:rsidP="00327F62">
      <w:pPr>
        <w:suppressAutoHyphens w:val="0"/>
        <w:autoSpaceDN/>
        <w:snapToGrid w:val="0"/>
        <w:spacing w:line="360" w:lineRule="auto"/>
        <w:textAlignment w:val="auto"/>
        <w:rPr>
          <w:rFonts w:ascii="Book Antiqua" w:eastAsiaTheme="minorEastAsia" w:hAnsi="Book Antiqua"/>
          <w:b/>
          <w:kern w:val="2"/>
          <w:sz w:val="24"/>
          <w:szCs w:val="24"/>
        </w:rPr>
      </w:pPr>
      <w:r w:rsidRPr="00923307">
        <w:rPr>
          <w:rFonts w:ascii="Book Antiqua" w:eastAsiaTheme="minorEastAsia" w:hAnsi="Book Antiqua"/>
          <w:b/>
          <w:kern w:val="2"/>
          <w:sz w:val="24"/>
          <w:szCs w:val="24"/>
        </w:rPr>
        <w:t xml:space="preserve">F </w:t>
      </w:r>
      <w:r w:rsidRPr="00923307">
        <w:rPr>
          <w:rFonts w:ascii="Book Antiqua" w:eastAsiaTheme="minorEastAsia" w:hAnsi="Book Antiqua"/>
          <w:noProof/>
          <w:kern w:val="2"/>
          <w:sz w:val="24"/>
          <w:szCs w:val="24"/>
        </w:rPr>
        <w:drawing>
          <wp:inline distT="0" distB="0" distL="0" distR="0" wp14:anchorId="50D9EBDD" wp14:editId="533A5ACC">
            <wp:extent cx="2965195" cy="2355448"/>
            <wp:effectExtent l="0" t="0" r="6985"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71030" cy="2360083"/>
                    </a:xfrm>
                    <a:prstGeom prst="rect">
                      <a:avLst/>
                    </a:prstGeom>
                  </pic:spPr>
                </pic:pic>
              </a:graphicData>
            </a:graphic>
          </wp:inline>
        </w:drawing>
      </w:r>
    </w:p>
    <w:p w14:paraId="391C7B24" w14:textId="77777777" w:rsidR="00A534F9" w:rsidRPr="00923307" w:rsidRDefault="00A534F9" w:rsidP="00327F62">
      <w:pPr>
        <w:suppressAutoHyphens w:val="0"/>
        <w:autoSpaceDN/>
        <w:snapToGrid w:val="0"/>
        <w:spacing w:line="360" w:lineRule="auto"/>
        <w:textAlignment w:val="auto"/>
        <w:rPr>
          <w:rFonts w:ascii="Book Antiqua" w:eastAsiaTheme="minorEastAsia" w:hAnsi="Book Antiqua"/>
          <w:b/>
          <w:kern w:val="2"/>
          <w:sz w:val="24"/>
          <w:szCs w:val="24"/>
        </w:rPr>
      </w:pPr>
      <w:r w:rsidRPr="00923307">
        <w:rPr>
          <w:rFonts w:ascii="Book Antiqua" w:eastAsiaTheme="minorEastAsia" w:hAnsi="Book Antiqua"/>
          <w:b/>
          <w:kern w:val="2"/>
          <w:sz w:val="24"/>
          <w:szCs w:val="24"/>
        </w:rPr>
        <w:lastRenderedPageBreak/>
        <w:t xml:space="preserve">G </w:t>
      </w:r>
      <w:r w:rsidRPr="00923307">
        <w:rPr>
          <w:rFonts w:ascii="Book Antiqua" w:eastAsiaTheme="minorEastAsia" w:hAnsi="Book Antiqua"/>
          <w:noProof/>
          <w:kern w:val="2"/>
          <w:sz w:val="24"/>
          <w:szCs w:val="24"/>
        </w:rPr>
        <w:drawing>
          <wp:inline distT="0" distB="0" distL="0" distR="0" wp14:anchorId="00BA28F8" wp14:editId="00C251F1">
            <wp:extent cx="1970692" cy="15452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0033" cy="1552544"/>
                    </a:xfrm>
                    <a:prstGeom prst="rect">
                      <a:avLst/>
                    </a:prstGeom>
                    <a:noFill/>
                    <a:ln>
                      <a:noFill/>
                    </a:ln>
                  </pic:spPr>
                </pic:pic>
              </a:graphicData>
            </a:graphic>
          </wp:inline>
        </w:drawing>
      </w:r>
    </w:p>
    <w:p w14:paraId="14ACED52" w14:textId="77777777" w:rsidR="00A534F9" w:rsidRPr="00923307" w:rsidRDefault="00A534F9" w:rsidP="00327F62">
      <w:pPr>
        <w:suppressAutoHyphens w:val="0"/>
        <w:autoSpaceDN/>
        <w:snapToGrid w:val="0"/>
        <w:spacing w:line="360" w:lineRule="auto"/>
        <w:textAlignment w:val="auto"/>
        <w:rPr>
          <w:rFonts w:ascii="Book Antiqua" w:eastAsiaTheme="minorEastAsia" w:hAnsi="Book Antiqua"/>
          <w:b/>
          <w:kern w:val="2"/>
          <w:sz w:val="24"/>
          <w:szCs w:val="24"/>
        </w:rPr>
      </w:pPr>
      <w:r w:rsidRPr="00923307">
        <w:rPr>
          <w:rFonts w:ascii="Book Antiqua" w:eastAsiaTheme="minorEastAsia" w:hAnsi="Book Antiqua"/>
          <w:b/>
          <w:kern w:val="2"/>
          <w:sz w:val="24"/>
          <w:szCs w:val="24"/>
        </w:rPr>
        <w:t xml:space="preserve">H </w:t>
      </w:r>
      <w:r w:rsidRPr="00923307">
        <w:rPr>
          <w:rFonts w:ascii="Book Antiqua" w:eastAsiaTheme="minorEastAsia" w:hAnsi="Book Antiqua"/>
          <w:noProof/>
          <w:kern w:val="2"/>
          <w:sz w:val="24"/>
          <w:szCs w:val="24"/>
        </w:rPr>
        <w:drawing>
          <wp:inline distT="0" distB="0" distL="0" distR="0" wp14:anchorId="39CE4599" wp14:editId="3950C2A7">
            <wp:extent cx="1904264" cy="1493134"/>
            <wp:effectExtent l="0" t="0" r="127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7308" cy="1495521"/>
                    </a:xfrm>
                    <a:prstGeom prst="rect">
                      <a:avLst/>
                    </a:prstGeom>
                    <a:noFill/>
                    <a:ln>
                      <a:noFill/>
                    </a:ln>
                  </pic:spPr>
                </pic:pic>
              </a:graphicData>
            </a:graphic>
          </wp:inline>
        </w:drawing>
      </w:r>
    </w:p>
    <w:p w14:paraId="64638A42" w14:textId="5688B00D" w:rsidR="00A534F9" w:rsidRPr="00777166" w:rsidRDefault="00A534F9" w:rsidP="00327F62">
      <w:pPr>
        <w:suppressAutoHyphens w:val="0"/>
        <w:autoSpaceDN/>
        <w:snapToGrid w:val="0"/>
        <w:spacing w:line="360" w:lineRule="auto"/>
        <w:textAlignment w:val="auto"/>
        <w:rPr>
          <w:rFonts w:ascii="Book Antiqua" w:eastAsiaTheme="minorEastAsia" w:hAnsi="Book Antiqua"/>
          <w:b/>
          <w:kern w:val="2"/>
          <w:sz w:val="24"/>
          <w:szCs w:val="24"/>
        </w:rPr>
      </w:pPr>
      <w:r w:rsidRPr="00777166">
        <w:rPr>
          <w:rFonts w:ascii="Book Antiqua" w:eastAsiaTheme="minorEastAsia" w:hAnsi="Book Antiqua"/>
          <w:b/>
          <w:kern w:val="2"/>
          <w:sz w:val="24"/>
          <w:szCs w:val="24"/>
        </w:rPr>
        <w:t>Figure 3</w:t>
      </w:r>
      <w:r w:rsidR="00A21B39">
        <w:rPr>
          <w:rFonts w:ascii="Book Antiqua" w:eastAsiaTheme="minorEastAsia" w:hAnsi="Book Antiqua" w:hint="eastAsia"/>
          <w:b/>
          <w:kern w:val="2"/>
          <w:sz w:val="24"/>
          <w:szCs w:val="24"/>
        </w:rPr>
        <w:t xml:space="preserve"> </w:t>
      </w:r>
      <w:r w:rsidR="00A21B39" w:rsidRPr="00A21B39">
        <w:rPr>
          <w:rFonts w:ascii="Book Antiqua" w:eastAsiaTheme="minorEastAsia" w:hAnsi="Book Antiqua"/>
          <w:b/>
          <w:caps/>
          <w:kern w:val="2"/>
          <w:sz w:val="24"/>
          <w:szCs w:val="24"/>
        </w:rPr>
        <w:t>h</w:t>
      </w:r>
      <w:r w:rsidR="00A21B39" w:rsidRPr="00A21B39">
        <w:rPr>
          <w:rFonts w:ascii="Book Antiqua" w:eastAsiaTheme="minorEastAsia" w:hAnsi="Book Antiqua"/>
          <w:b/>
          <w:kern w:val="2"/>
          <w:sz w:val="24"/>
          <w:szCs w:val="24"/>
        </w:rPr>
        <w:t>epatocellular carcinoma</w:t>
      </w:r>
      <w:r w:rsidR="00A21B39">
        <w:rPr>
          <w:rFonts w:ascii="Book Antiqua" w:eastAsiaTheme="minorEastAsia" w:hAnsi="Book Antiqua" w:hint="eastAsia"/>
          <w:b/>
          <w:kern w:val="2"/>
          <w:sz w:val="24"/>
          <w:szCs w:val="24"/>
        </w:rPr>
        <w:t xml:space="preserve"> </w:t>
      </w:r>
      <w:r w:rsidRPr="00777166">
        <w:rPr>
          <w:rFonts w:ascii="Book Antiqua" w:eastAsiaTheme="minorEastAsia" w:hAnsi="Book Antiqua"/>
          <w:b/>
          <w:kern w:val="2"/>
          <w:sz w:val="24"/>
          <w:szCs w:val="24"/>
        </w:rPr>
        <w:t>in a 71-year-old m</w:t>
      </w:r>
      <w:r w:rsidR="00777166">
        <w:rPr>
          <w:rFonts w:ascii="Book Antiqua" w:eastAsiaTheme="minorEastAsia" w:hAnsi="Book Antiqua"/>
          <w:b/>
          <w:kern w:val="2"/>
          <w:sz w:val="24"/>
          <w:szCs w:val="24"/>
        </w:rPr>
        <w:t xml:space="preserve">ale with recognized cirrhosis. </w:t>
      </w:r>
      <w:r w:rsidRPr="00923307">
        <w:rPr>
          <w:rFonts w:ascii="Book Antiqua" w:eastAsiaTheme="minorEastAsia" w:hAnsi="Book Antiqua"/>
          <w:kern w:val="2"/>
          <w:sz w:val="24"/>
          <w:szCs w:val="24"/>
        </w:rPr>
        <w:t xml:space="preserve">Gd-EOB-DTPA-enhanced MR image demonstrates a 5.3 cm lobulated HCC in right posterior section of liver. </w:t>
      </w:r>
      <w:r w:rsidR="004C5982" w:rsidRPr="00923307">
        <w:rPr>
          <w:rFonts w:ascii="Book Antiqua" w:eastAsiaTheme="minorEastAsia" w:hAnsi="Book Antiqua"/>
          <w:kern w:val="2"/>
          <w:sz w:val="24"/>
          <w:szCs w:val="24"/>
        </w:rPr>
        <w:t>The lesion</w:t>
      </w:r>
      <w:r w:rsidRPr="00923307">
        <w:rPr>
          <w:rFonts w:ascii="Book Antiqua" w:eastAsiaTheme="minorEastAsia" w:hAnsi="Book Antiqua"/>
          <w:kern w:val="2"/>
          <w:sz w:val="24"/>
          <w:szCs w:val="24"/>
        </w:rPr>
        <w:t xml:space="preserve"> shows peritumor enhancement in arterial phase (B, white arrow) and peritumor hypointense (D, black arrow) in hepatobiliary phase. Capsular disruption and non-smooth tumor margin are present (white triangles) in arterial phase (B) and portal venous phase (C). </w:t>
      </w:r>
      <w:bookmarkStart w:id="210" w:name="_Hlk511720949"/>
      <w:r w:rsidR="004C5982" w:rsidRPr="00923307">
        <w:rPr>
          <w:rFonts w:ascii="Book Antiqua" w:eastAsiaTheme="minorEastAsia" w:hAnsi="Book Antiqua"/>
          <w:kern w:val="2"/>
          <w:sz w:val="24"/>
          <w:szCs w:val="24"/>
        </w:rPr>
        <w:t>The l</w:t>
      </w:r>
      <w:r w:rsidRPr="00923307">
        <w:rPr>
          <w:rFonts w:ascii="Book Antiqua" w:eastAsiaTheme="minorEastAsia" w:hAnsi="Book Antiqua"/>
          <w:kern w:val="2"/>
          <w:sz w:val="24"/>
          <w:szCs w:val="24"/>
        </w:rPr>
        <w:t xml:space="preserve">esion was histopathologically </w:t>
      </w:r>
      <w:r w:rsidR="004C5982" w:rsidRPr="00923307">
        <w:rPr>
          <w:rFonts w:ascii="Book Antiqua" w:eastAsiaTheme="minorEastAsia" w:hAnsi="Book Antiqua"/>
          <w:kern w:val="2"/>
          <w:sz w:val="24"/>
          <w:szCs w:val="24"/>
        </w:rPr>
        <w:t>proven to be Edmonson-Steiner III grade with hematoxylin-eosin (H&amp;E) staining at 200</w:t>
      </w:r>
      <w:r w:rsidR="00A21B39">
        <w:rPr>
          <w:rFonts w:ascii="Book Antiqua" w:eastAsiaTheme="minorEastAsia" w:hAnsi="Book Antiqua" w:hint="eastAsia"/>
          <w:kern w:val="2"/>
          <w:sz w:val="24"/>
          <w:szCs w:val="24"/>
        </w:rPr>
        <w:t xml:space="preserve"> </w:t>
      </w:r>
      <w:r w:rsidR="004C5982" w:rsidRPr="00923307">
        <w:rPr>
          <w:rFonts w:ascii="Book Antiqua" w:eastAsiaTheme="minorEastAsia" w:hAnsi="Book Antiqua"/>
          <w:kern w:val="2"/>
          <w:sz w:val="24"/>
          <w:szCs w:val="24"/>
        </w:rPr>
        <w:t>×</w:t>
      </w:r>
      <w:r w:rsidR="00A21B39">
        <w:rPr>
          <w:rFonts w:ascii="Book Antiqua" w:eastAsiaTheme="minorEastAsia" w:hAnsi="Book Antiqua" w:hint="eastAsia"/>
          <w:kern w:val="2"/>
          <w:sz w:val="24"/>
          <w:szCs w:val="24"/>
        </w:rPr>
        <w:t xml:space="preserve"> </w:t>
      </w:r>
      <w:r w:rsidR="004C5982" w:rsidRPr="00923307">
        <w:rPr>
          <w:rFonts w:ascii="Book Antiqua" w:eastAsiaTheme="minorEastAsia" w:hAnsi="Book Antiqua"/>
          <w:kern w:val="2"/>
          <w:sz w:val="24"/>
          <w:szCs w:val="24"/>
        </w:rPr>
        <w:t xml:space="preserve">magnification </w:t>
      </w:r>
      <w:r w:rsidRPr="00923307">
        <w:rPr>
          <w:rFonts w:ascii="Book Antiqua" w:eastAsiaTheme="minorEastAsia" w:hAnsi="Book Antiqua"/>
          <w:kern w:val="2"/>
          <w:sz w:val="24"/>
          <w:szCs w:val="24"/>
        </w:rPr>
        <w:t>(G)</w:t>
      </w:r>
      <w:r w:rsidR="004C5982" w:rsidRPr="00923307">
        <w:rPr>
          <w:rFonts w:ascii="Book Antiqua" w:eastAsiaTheme="minorEastAsia" w:hAnsi="Book Antiqua"/>
          <w:kern w:val="2"/>
          <w:sz w:val="24"/>
          <w:szCs w:val="24"/>
        </w:rPr>
        <w:t xml:space="preserve">. Prominent </w:t>
      </w:r>
      <w:r w:rsidRPr="00923307">
        <w:rPr>
          <w:rFonts w:ascii="Book Antiqua" w:eastAsiaTheme="minorEastAsia" w:hAnsi="Book Antiqua"/>
          <w:kern w:val="2"/>
          <w:sz w:val="24"/>
          <w:szCs w:val="24"/>
        </w:rPr>
        <w:t xml:space="preserve">microvascular invasion </w:t>
      </w:r>
      <w:r w:rsidR="004C5982" w:rsidRPr="00923307">
        <w:rPr>
          <w:rFonts w:ascii="Book Antiqua" w:eastAsiaTheme="minorEastAsia" w:hAnsi="Book Antiqua"/>
          <w:kern w:val="2"/>
          <w:sz w:val="24"/>
          <w:szCs w:val="24"/>
        </w:rPr>
        <w:t>was detected at 200</w:t>
      </w:r>
      <w:r w:rsidR="00ED3F94">
        <w:rPr>
          <w:rFonts w:ascii="Book Antiqua" w:eastAsiaTheme="minorEastAsia" w:hAnsi="Book Antiqua" w:hint="eastAsia"/>
          <w:kern w:val="2"/>
          <w:sz w:val="24"/>
          <w:szCs w:val="24"/>
        </w:rPr>
        <w:t xml:space="preserve"> </w:t>
      </w:r>
      <w:r w:rsidR="004C5982" w:rsidRPr="00923307">
        <w:rPr>
          <w:rFonts w:ascii="Book Antiqua" w:eastAsiaTheme="minorEastAsia" w:hAnsi="Book Antiqua"/>
          <w:kern w:val="2"/>
          <w:sz w:val="24"/>
          <w:szCs w:val="24"/>
        </w:rPr>
        <w:t>×</w:t>
      </w:r>
      <w:r w:rsidR="00ED3F94">
        <w:rPr>
          <w:rFonts w:ascii="Book Antiqua" w:eastAsiaTheme="minorEastAsia" w:hAnsi="Book Antiqua" w:hint="eastAsia"/>
          <w:kern w:val="2"/>
          <w:sz w:val="24"/>
          <w:szCs w:val="24"/>
        </w:rPr>
        <w:t xml:space="preserve"> </w:t>
      </w:r>
      <w:r w:rsidR="004C5982" w:rsidRPr="00923307">
        <w:rPr>
          <w:rFonts w:ascii="Book Antiqua" w:eastAsiaTheme="minorEastAsia" w:hAnsi="Book Antiqua"/>
          <w:kern w:val="2"/>
          <w:sz w:val="24"/>
          <w:szCs w:val="24"/>
        </w:rPr>
        <w:t xml:space="preserve">magnification with CD31 immunohistochemical staining </w:t>
      </w:r>
      <w:r w:rsidRPr="00923307">
        <w:rPr>
          <w:rFonts w:ascii="Book Antiqua" w:eastAsiaTheme="minorEastAsia" w:hAnsi="Book Antiqua"/>
          <w:kern w:val="2"/>
          <w:sz w:val="24"/>
          <w:szCs w:val="24"/>
        </w:rPr>
        <w:t>(H).</w:t>
      </w:r>
    </w:p>
    <w:bookmarkEnd w:id="210"/>
    <w:p w14:paraId="59BBF791" w14:textId="77777777" w:rsidR="0088310E" w:rsidRPr="003210FB" w:rsidRDefault="0088310E" w:rsidP="00327F62">
      <w:pPr>
        <w:suppressAutoHyphens w:val="0"/>
        <w:autoSpaceDN/>
        <w:snapToGrid w:val="0"/>
        <w:spacing w:line="360" w:lineRule="auto"/>
        <w:textAlignment w:val="auto"/>
        <w:rPr>
          <w:rFonts w:ascii="Book Antiqua" w:eastAsiaTheme="minorEastAsia" w:hAnsi="Book Antiqua"/>
          <w:b/>
          <w:kern w:val="2"/>
          <w:sz w:val="24"/>
          <w:szCs w:val="24"/>
        </w:rPr>
      </w:pPr>
    </w:p>
    <w:sectPr w:rsidR="0088310E" w:rsidRPr="003210FB" w:rsidSect="005F1131">
      <w:endnotePr>
        <w:numFmt w:val="decimal"/>
      </w:endnotePr>
      <w:pgSz w:w="14742" w:h="16840"/>
      <w:pgMar w:top="1440" w:right="1797" w:bottom="1440" w:left="1797" w:header="851" w:footer="992" w:gutter="0"/>
      <w:cols w:space="720"/>
      <w:docGrid w:type="linesAndChars"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95E07A" w14:textId="77777777" w:rsidR="00F33E9F" w:rsidRDefault="00F33E9F">
      <w:r>
        <w:separator/>
      </w:r>
    </w:p>
  </w:endnote>
  <w:endnote w:type="continuationSeparator" w:id="0">
    <w:p w14:paraId="7F21920B" w14:textId="77777777" w:rsidR="00F33E9F" w:rsidRDefault="00F33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dvPTimes">
    <w:charset w:val="00"/>
    <w:family w:val="roman"/>
    <w:pitch w:val="default"/>
  </w:font>
  <w:font w:name="DengXian">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DengXian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57185A" w14:textId="77777777" w:rsidR="00F33E9F" w:rsidRDefault="00F33E9F">
      <w:r>
        <w:rPr>
          <w:color w:val="000000"/>
        </w:rPr>
        <w:separator/>
      </w:r>
    </w:p>
  </w:footnote>
  <w:footnote w:type="continuationSeparator" w:id="0">
    <w:p w14:paraId="4E238B60" w14:textId="77777777" w:rsidR="00F33E9F" w:rsidRDefault="00F33E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C868F" w14:textId="77777777" w:rsidR="0081216A" w:rsidRDefault="0081216A">
    <w:pPr>
      <w:pStyle w:val="Header"/>
    </w:pPr>
    <w:r>
      <w:rPr>
        <w:lang w:val="zh-CN"/>
      </w:rPr>
      <w:fldChar w:fldCharType="begin"/>
    </w:r>
    <w:r>
      <w:rPr>
        <w:lang w:val="zh-CN"/>
      </w:rPr>
      <w:instrText xml:space="preserve"> PAGE </w:instrText>
    </w:r>
    <w:r>
      <w:rPr>
        <w:lang w:val="zh-CN"/>
      </w:rPr>
      <w:fldChar w:fldCharType="separate"/>
    </w:r>
    <w:r w:rsidR="00DF6D7D">
      <w:rPr>
        <w:noProof/>
        <w:lang w:val="zh-CN"/>
      </w:rPr>
      <w:t>49</w:t>
    </w:r>
    <w:r>
      <w:rPr>
        <w:lang w:val="zh-C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54F1C"/>
    <w:multiLevelType w:val="multilevel"/>
    <w:tmpl w:val="19EE3E44"/>
    <w:lvl w:ilvl="0">
      <w:start w:val="1"/>
      <w:numFmt w:val="decimal"/>
      <w:lvlText w:val="%1."/>
      <w:lvlJc w:val="left"/>
      <w:pPr>
        <w:ind w:left="360" w:hanging="36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E5A5CAE"/>
    <w:multiLevelType w:val="hybridMultilevel"/>
    <w:tmpl w:val="F86847A0"/>
    <w:lvl w:ilvl="0" w:tplc="64882D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C42607B"/>
    <w:multiLevelType w:val="hybridMultilevel"/>
    <w:tmpl w:val="58D8E854"/>
    <w:lvl w:ilvl="0" w:tplc="2538284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D970B13"/>
    <w:multiLevelType w:val="hybridMultilevel"/>
    <w:tmpl w:val="11F42CE8"/>
    <w:lvl w:ilvl="0" w:tplc="2538284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33D4D5C"/>
    <w:multiLevelType w:val="multilevel"/>
    <w:tmpl w:val="19EE3E44"/>
    <w:lvl w:ilvl="0">
      <w:start w:val="1"/>
      <w:numFmt w:val="decimal"/>
      <w:lvlText w:val="%1."/>
      <w:lvlJc w:val="left"/>
      <w:pPr>
        <w:ind w:left="360" w:hanging="36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autoHyphenation/>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10&lt;/FontSize&gt;&lt;ReflistTitle&gt;&lt;/ReflistTitle&gt;&lt;StartingRefnum&gt;2&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sfp2t2vxrv9smer0t3ps9aivarpvz2zpp0f&quot;&gt;My EndNote Library&lt;record-ids&gt;&lt;item&gt;77&lt;/item&gt;&lt;/record-ids&gt;&lt;/item&gt;&lt;/Libraries&gt;"/>
  </w:docVars>
  <w:rsids>
    <w:rsidRoot w:val="005B5EE9"/>
    <w:rsid w:val="00015F9A"/>
    <w:rsid w:val="000548FC"/>
    <w:rsid w:val="00077C3F"/>
    <w:rsid w:val="00085198"/>
    <w:rsid w:val="000A2653"/>
    <w:rsid w:val="000D36D9"/>
    <w:rsid w:val="00105D04"/>
    <w:rsid w:val="00113C54"/>
    <w:rsid w:val="00161B27"/>
    <w:rsid w:val="00183C84"/>
    <w:rsid w:val="001F4529"/>
    <w:rsid w:val="00202732"/>
    <w:rsid w:val="002767A1"/>
    <w:rsid w:val="0028132A"/>
    <w:rsid w:val="00282AF6"/>
    <w:rsid w:val="002B41F6"/>
    <w:rsid w:val="002C0ED3"/>
    <w:rsid w:val="002D773F"/>
    <w:rsid w:val="003210FB"/>
    <w:rsid w:val="003214C0"/>
    <w:rsid w:val="00327F62"/>
    <w:rsid w:val="00331111"/>
    <w:rsid w:val="00335CA4"/>
    <w:rsid w:val="003379E7"/>
    <w:rsid w:val="0034053A"/>
    <w:rsid w:val="003450DF"/>
    <w:rsid w:val="00346BD6"/>
    <w:rsid w:val="00383A66"/>
    <w:rsid w:val="00390AF2"/>
    <w:rsid w:val="00391BC5"/>
    <w:rsid w:val="003B0553"/>
    <w:rsid w:val="003B279A"/>
    <w:rsid w:val="003B6366"/>
    <w:rsid w:val="003D3A90"/>
    <w:rsid w:val="003F12E7"/>
    <w:rsid w:val="004134B2"/>
    <w:rsid w:val="004279D8"/>
    <w:rsid w:val="0043776E"/>
    <w:rsid w:val="004842C7"/>
    <w:rsid w:val="004A0B49"/>
    <w:rsid w:val="004A400A"/>
    <w:rsid w:val="004C0EFC"/>
    <w:rsid w:val="004C5982"/>
    <w:rsid w:val="004D0C0C"/>
    <w:rsid w:val="004E6A92"/>
    <w:rsid w:val="004F3808"/>
    <w:rsid w:val="004F7937"/>
    <w:rsid w:val="00510209"/>
    <w:rsid w:val="00536A5E"/>
    <w:rsid w:val="0056397A"/>
    <w:rsid w:val="00571EF0"/>
    <w:rsid w:val="0058022F"/>
    <w:rsid w:val="00580CE9"/>
    <w:rsid w:val="005830CD"/>
    <w:rsid w:val="00595B32"/>
    <w:rsid w:val="00597596"/>
    <w:rsid w:val="005B0730"/>
    <w:rsid w:val="005B5EE9"/>
    <w:rsid w:val="005C2EAD"/>
    <w:rsid w:val="005D70B9"/>
    <w:rsid w:val="005F1131"/>
    <w:rsid w:val="006154E4"/>
    <w:rsid w:val="006279B9"/>
    <w:rsid w:val="0065280D"/>
    <w:rsid w:val="0066658F"/>
    <w:rsid w:val="0068721F"/>
    <w:rsid w:val="006964A6"/>
    <w:rsid w:val="006A528C"/>
    <w:rsid w:val="006A5BF2"/>
    <w:rsid w:val="006B7197"/>
    <w:rsid w:val="006C266D"/>
    <w:rsid w:val="006E4E5E"/>
    <w:rsid w:val="006E74B8"/>
    <w:rsid w:val="006F39FD"/>
    <w:rsid w:val="007074C0"/>
    <w:rsid w:val="00711540"/>
    <w:rsid w:val="00743462"/>
    <w:rsid w:val="00777166"/>
    <w:rsid w:val="007921EB"/>
    <w:rsid w:val="00794E94"/>
    <w:rsid w:val="007D5E80"/>
    <w:rsid w:val="007F29CC"/>
    <w:rsid w:val="00800016"/>
    <w:rsid w:val="0081216A"/>
    <w:rsid w:val="00821C99"/>
    <w:rsid w:val="008259FA"/>
    <w:rsid w:val="0084227B"/>
    <w:rsid w:val="00846D8F"/>
    <w:rsid w:val="00865DED"/>
    <w:rsid w:val="00875481"/>
    <w:rsid w:val="0088310E"/>
    <w:rsid w:val="00891360"/>
    <w:rsid w:val="008B1154"/>
    <w:rsid w:val="008B2FDB"/>
    <w:rsid w:val="008B309E"/>
    <w:rsid w:val="008C502C"/>
    <w:rsid w:val="008E1177"/>
    <w:rsid w:val="00923307"/>
    <w:rsid w:val="009306AB"/>
    <w:rsid w:val="00954431"/>
    <w:rsid w:val="009B5CC0"/>
    <w:rsid w:val="009C2D9A"/>
    <w:rsid w:val="009D2076"/>
    <w:rsid w:val="009D5636"/>
    <w:rsid w:val="009F0DEB"/>
    <w:rsid w:val="00A00506"/>
    <w:rsid w:val="00A078E4"/>
    <w:rsid w:val="00A11A89"/>
    <w:rsid w:val="00A12905"/>
    <w:rsid w:val="00A166B8"/>
    <w:rsid w:val="00A21B39"/>
    <w:rsid w:val="00A4533A"/>
    <w:rsid w:val="00A534F9"/>
    <w:rsid w:val="00A57C96"/>
    <w:rsid w:val="00A93509"/>
    <w:rsid w:val="00AB3B95"/>
    <w:rsid w:val="00AB6EB3"/>
    <w:rsid w:val="00AE2807"/>
    <w:rsid w:val="00AF4B98"/>
    <w:rsid w:val="00AF57A7"/>
    <w:rsid w:val="00B0089A"/>
    <w:rsid w:val="00B02959"/>
    <w:rsid w:val="00B478D4"/>
    <w:rsid w:val="00B57E9C"/>
    <w:rsid w:val="00B81A8A"/>
    <w:rsid w:val="00BD46C5"/>
    <w:rsid w:val="00BD58E1"/>
    <w:rsid w:val="00BE5A7E"/>
    <w:rsid w:val="00BE7041"/>
    <w:rsid w:val="00C06F68"/>
    <w:rsid w:val="00C169D9"/>
    <w:rsid w:val="00C16A0F"/>
    <w:rsid w:val="00C25D22"/>
    <w:rsid w:val="00C73EA2"/>
    <w:rsid w:val="00C75D1C"/>
    <w:rsid w:val="00C825F5"/>
    <w:rsid w:val="00C85303"/>
    <w:rsid w:val="00CA768B"/>
    <w:rsid w:val="00CA7B43"/>
    <w:rsid w:val="00CB31CC"/>
    <w:rsid w:val="00CD7EE8"/>
    <w:rsid w:val="00CF19A2"/>
    <w:rsid w:val="00D043C5"/>
    <w:rsid w:val="00D04AF9"/>
    <w:rsid w:val="00D36F06"/>
    <w:rsid w:val="00D83FFA"/>
    <w:rsid w:val="00D949EC"/>
    <w:rsid w:val="00DE2061"/>
    <w:rsid w:val="00DF6D7D"/>
    <w:rsid w:val="00E23750"/>
    <w:rsid w:val="00E45E9D"/>
    <w:rsid w:val="00E5064C"/>
    <w:rsid w:val="00E6022C"/>
    <w:rsid w:val="00E62615"/>
    <w:rsid w:val="00E93030"/>
    <w:rsid w:val="00E95330"/>
    <w:rsid w:val="00ED2FA0"/>
    <w:rsid w:val="00ED3F94"/>
    <w:rsid w:val="00F1484C"/>
    <w:rsid w:val="00F20B3A"/>
    <w:rsid w:val="00F32820"/>
    <w:rsid w:val="00F328D8"/>
    <w:rsid w:val="00F33E9F"/>
    <w:rsid w:val="00F758F9"/>
    <w:rsid w:val="00F849F5"/>
    <w:rsid w:val="00F96707"/>
    <w:rsid w:val="00F967F1"/>
    <w:rsid w:val="00FA5655"/>
    <w:rsid w:val="00FA7C2B"/>
    <w:rsid w:val="00FC74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E6437D"/>
  <w15:docId w15:val="{DF956ED6-0934-453A-B26F-2EA7E7D69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kern w:val="3"/>
        <w:sz w:val="21"/>
        <w:szCs w:val="22"/>
        <w:lang w:val="en-US" w:eastAsia="zh-CN"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firstLine="420"/>
    </w:pPr>
  </w:style>
  <w:style w:type="paragraph" w:styleId="EndnoteText">
    <w:name w:val="endnote text"/>
    <w:basedOn w:val="Normal"/>
    <w:pPr>
      <w:snapToGrid w:val="0"/>
      <w:jc w:val="left"/>
    </w:pPr>
  </w:style>
  <w:style w:type="character" w:customStyle="1" w:styleId="a">
    <w:name w:val="尾注文本 字符"/>
    <w:basedOn w:val="DefaultParagraphFont"/>
  </w:style>
  <w:style w:type="character" w:styleId="EndnoteReference">
    <w:name w:val="endnote reference"/>
    <w:basedOn w:val="DefaultParagraphFont"/>
    <w:rPr>
      <w:position w:val="0"/>
      <w:vertAlign w:val="superscript"/>
    </w:rPr>
  </w:style>
  <w:style w:type="paragraph" w:styleId="Header">
    <w:name w:val="header"/>
    <w:basedOn w:val="Normal"/>
    <w:pPr>
      <w:pBdr>
        <w:bottom w:val="single" w:sz="6" w:space="1" w:color="000000"/>
      </w:pBdr>
      <w:tabs>
        <w:tab w:val="center" w:pos="4153"/>
        <w:tab w:val="right" w:pos="8306"/>
      </w:tabs>
      <w:snapToGrid w:val="0"/>
      <w:jc w:val="center"/>
    </w:pPr>
    <w:rPr>
      <w:sz w:val="18"/>
      <w:szCs w:val="18"/>
    </w:rPr>
  </w:style>
  <w:style w:type="character" w:customStyle="1" w:styleId="a0">
    <w:name w:val="页眉 字符"/>
    <w:basedOn w:val="DefaultParagraphFont"/>
    <w:rPr>
      <w:sz w:val="18"/>
      <w:szCs w:val="18"/>
    </w:rPr>
  </w:style>
  <w:style w:type="paragraph" w:styleId="Footer">
    <w:name w:val="footer"/>
    <w:basedOn w:val="Normal"/>
    <w:pPr>
      <w:tabs>
        <w:tab w:val="center" w:pos="4153"/>
        <w:tab w:val="right" w:pos="8306"/>
      </w:tabs>
      <w:snapToGrid w:val="0"/>
      <w:jc w:val="left"/>
    </w:pPr>
    <w:rPr>
      <w:sz w:val="18"/>
      <w:szCs w:val="18"/>
    </w:rPr>
  </w:style>
  <w:style w:type="character" w:customStyle="1" w:styleId="a1">
    <w:name w:val="页脚 字符"/>
    <w:basedOn w:val="DefaultParagraphFont"/>
    <w:rPr>
      <w:sz w:val="18"/>
      <w:szCs w:val="18"/>
    </w:rPr>
  </w:style>
  <w:style w:type="paragraph" w:customStyle="1" w:styleId="EndNoteBibliographyTitle">
    <w:name w:val="EndNote Bibliography Title"/>
    <w:basedOn w:val="Normal"/>
    <w:pPr>
      <w:jc w:val="center"/>
    </w:pPr>
    <w:rPr>
      <w:rFonts w:ascii="Times New Roman" w:hAnsi="Times New Roman"/>
      <w:sz w:val="20"/>
    </w:rPr>
  </w:style>
  <w:style w:type="character" w:customStyle="1" w:styleId="a2">
    <w:name w:val="列出段落 字符"/>
    <w:basedOn w:val="DefaultParagraphFont"/>
  </w:style>
  <w:style w:type="character" w:customStyle="1" w:styleId="EndNoteBibliographyTitle0">
    <w:name w:val="EndNote Bibliography Title 字符"/>
    <w:basedOn w:val="a2"/>
    <w:rPr>
      <w:rFonts w:ascii="Calibri" w:hAnsi="Calibri" w:cs="Calibri"/>
      <w:sz w:val="20"/>
    </w:rPr>
  </w:style>
  <w:style w:type="paragraph" w:customStyle="1" w:styleId="EndNoteBibliography">
    <w:name w:val="EndNote Bibliography"/>
    <w:basedOn w:val="Normal"/>
    <w:rPr>
      <w:rFonts w:ascii="Times New Roman" w:hAnsi="Times New Roman"/>
      <w:sz w:val="20"/>
    </w:rPr>
  </w:style>
  <w:style w:type="character" w:customStyle="1" w:styleId="EndNoteBibliography0">
    <w:name w:val="EndNote Bibliography 字符"/>
    <w:basedOn w:val="a2"/>
    <w:rPr>
      <w:rFonts w:ascii="Calibri" w:hAnsi="Calibri" w:cs="Calibri"/>
      <w:sz w:val="20"/>
    </w:rPr>
  </w:style>
  <w:style w:type="character" w:customStyle="1" w:styleId="jrnl">
    <w:name w:val="jrnl"/>
    <w:basedOn w:val="DefaultParagraphFont"/>
  </w:style>
  <w:style w:type="character" w:styleId="Hyperlink">
    <w:name w:val="Hyperlink"/>
    <w:basedOn w:val="DefaultParagraphFont"/>
    <w:rPr>
      <w:color w:val="0000FF"/>
      <w:u w:val="single"/>
    </w:rPr>
  </w:style>
  <w:style w:type="character" w:customStyle="1" w:styleId="1">
    <w:name w:val="未处理的提及1"/>
    <w:basedOn w:val="DefaultParagraphFont"/>
    <w:rPr>
      <w:color w:val="808080"/>
      <w:shd w:val="clear" w:color="auto" w:fill="E6E6E6"/>
    </w:rPr>
  </w:style>
  <w:style w:type="character" w:customStyle="1" w:styleId="fontstyle01">
    <w:name w:val="fontstyle01"/>
    <w:basedOn w:val="DefaultParagraphFont"/>
    <w:rPr>
      <w:rFonts w:ascii="AdvPTimes" w:hAnsi="AdvPTimes"/>
      <w:b w:val="0"/>
      <w:bCs w:val="0"/>
      <w:i w:val="0"/>
      <w:iCs w:val="0"/>
      <w:color w:val="000000"/>
      <w:sz w:val="18"/>
      <w:szCs w:val="18"/>
    </w:rPr>
  </w:style>
  <w:style w:type="table" w:styleId="TableGrid">
    <w:name w:val="Table Grid"/>
    <w:basedOn w:val="TableNormal"/>
    <w:uiPriority w:val="39"/>
    <w:rsid w:val="00A11A89"/>
    <w:pPr>
      <w:autoSpaceDN/>
      <w:textAlignment w:val="auto"/>
    </w:pPr>
    <w:rPr>
      <w:rFonts w:asciiTheme="minorHAnsi" w:eastAsiaTheme="minorEastAsia" w:hAnsiTheme="minorHAnsi" w:cstheme="minorBid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无列表1"/>
    <w:next w:val="NoList"/>
    <w:uiPriority w:val="99"/>
    <w:semiHidden/>
    <w:unhideWhenUsed/>
    <w:rsid w:val="000548FC"/>
  </w:style>
  <w:style w:type="numbering" w:customStyle="1" w:styleId="11">
    <w:name w:val="无列表11"/>
    <w:next w:val="NoList"/>
    <w:uiPriority w:val="99"/>
    <w:semiHidden/>
    <w:unhideWhenUsed/>
    <w:rsid w:val="000548FC"/>
  </w:style>
  <w:style w:type="table" w:customStyle="1" w:styleId="12">
    <w:name w:val="网格型1"/>
    <w:basedOn w:val="TableNormal"/>
    <w:next w:val="TableGrid"/>
    <w:uiPriority w:val="39"/>
    <w:rsid w:val="000548FC"/>
    <w:pPr>
      <w:autoSpaceDN/>
      <w:textAlignment w:val="auto"/>
    </w:pPr>
    <w:rPr>
      <w:rFonts w:asciiTheme="minorHAnsi" w:eastAsiaTheme="minorEastAsia" w:hAnsiTheme="minorHAnsi" w:cstheme="minorBid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4227B"/>
    <w:rPr>
      <w:sz w:val="18"/>
      <w:szCs w:val="18"/>
    </w:rPr>
  </w:style>
  <w:style w:type="character" w:customStyle="1" w:styleId="BalloonTextChar">
    <w:name w:val="Balloon Text Char"/>
    <w:basedOn w:val="DefaultParagraphFont"/>
    <w:link w:val="BalloonText"/>
    <w:uiPriority w:val="99"/>
    <w:semiHidden/>
    <w:rsid w:val="0084227B"/>
    <w:rPr>
      <w:sz w:val="18"/>
      <w:szCs w:val="18"/>
    </w:rPr>
  </w:style>
  <w:style w:type="character" w:styleId="CommentReference">
    <w:name w:val="annotation reference"/>
    <w:basedOn w:val="DefaultParagraphFont"/>
    <w:uiPriority w:val="99"/>
    <w:semiHidden/>
    <w:unhideWhenUsed/>
    <w:rsid w:val="0084227B"/>
    <w:rPr>
      <w:sz w:val="21"/>
      <w:szCs w:val="21"/>
    </w:rPr>
  </w:style>
  <w:style w:type="paragraph" w:styleId="CommentText">
    <w:name w:val="annotation text"/>
    <w:basedOn w:val="Normal"/>
    <w:link w:val="CommentTextChar"/>
    <w:uiPriority w:val="99"/>
    <w:semiHidden/>
    <w:unhideWhenUsed/>
    <w:rsid w:val="0084227B"/>
    <w:pPr>
      <w:jc w:val="left"/>
    </w:pPr>
  </w:style>
  <w:style w:type="character" w:customStyle="1" w:styleId="CommentTextChar">
    <w:name w:val="Comment Text Char"/>
    <w:basedOn w:val="DefaultParagraphFont"/>
    <w:link w:val="CommentText"/>
    <w:uiPriority w:val="99"/>
    <w:semiHidden/>
    <w:rsid w:val="0084227B"/>
  </w:style>
  <w:style w:type="paragraph" w:styleId="CommentSubject">
    <w:name w:val="annotation subject"/>
    <w:basedOn w:val="CommentText"/>
    <w:next w:val="CommentText"/>
    <w:link w:val="CommentSubjectChar"/>
    <w:uiPriority w:val="99"/>
    <w:semiHidden/>
    <w:unhideWhenUsed/>
    <w:rsid w:val="0084227B"/>
    <w:rPr>
      <w:b/>
      <w:bCs/>
    </w:rPr>
  </w:style>
  <w:style w:type="character" w:customStyle="1" w:styleId="CommentSubjectChar">
    <w:name w:val="Comment Subject Char"/>
    <w:basedOn w:val="CommentTextChar"/>
    <w:link w:val="CommentSubject"/>
    <w:uiPriority w:val="99"/>
    <w:semiHidden/>
    <w:rsid w:val="0084227B"/>
    <w:rPr>
      <w:b/>
      <w:bCs/>
    </w:rPr>
  </w:style>
  <w:style w:type="paragraph" w:customStyle="1" w:styleId="13">
    <w:name w:val="正文1"/>
    <w:uiPriority w:val="99"/>
    <w:rsid w:val="0084227B"/>
    <w:pPr>
      <w:autoSpaceDN/>
      <w:spacing w:line="276" w:lineRule="auto"/>
      <w:textAlignment w:val="auto"/>
    </w:pPr>
    <w:rPr>
      <w:rFonts w:ascii="Arial" w:hAnsi="Arial" w:cs="Arial"/>
      <w:color w:val="000000"/>
      <w:kern w:val="0"/>
      <w:sz w:val="22"/>
      <w:szCs w:val="20"/>
      <w:lang w:val="pl-PL" w:eastAsia="pl-PL"/>
    </w:rPr>
  </w:style>
  <w:style w:type="character" w:customStyle="1" w:styleId="UnresolvedMention">
    <w:name w:val="Unresolved Mention"/>
    <w:basedOn w:val="DefaultParagraphFont"/>
    <w:uiPriority w:val="99"/>
    <w:semiHidden/>
    <w:unhideWhenUsed/>
    <w:rsid w:val="00E6022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49519">
      <w:bodyDiv w:val="1"/>
      <w:marLeft w:val="0"/>
      <w:marRight w:val="0"/>
      <w:marTop w:val="0"/>
      <w:marBottom w:val="0"/>
      <w:divBdr>
        <w:top w:val="none" w:sz="0" w:space="0" w:color="auto"/>
        <w:left w:val="none" w:sz="0" w:space="0" w:color="auto"/>
        <w:bottom w:val="none" w:sz="0" w:space="0" w:color="auto"/>
        <w:right w:val="none" w:sz="0" w:space="0" w:color="auto"/>
      </w:divBdr>
    </w:div>
    <w:div w:id="63841310">
      <w:bodyDiv w:val="1"/>
      <w:marLeft w:val="0"/>
      <w:marRight w:val="0"/>
      <w:marTop w:val="0"/>
      <w:marBottom w:val="0"/>
      <w:divBdr>
        <w:top w:val="none" w:sz="0" w:space="0" w:color="auto"/>
        <w:left w:val="none" w:sz="0" w:space="0" w:color="auto"/>
        <w:bottom w:val="none" w:sz="0" w:space="0" w:color="auto"/>
        <w:right w:val="none" w:sz="0" w:space="0" w:color="auto"/>
      </w:divBdr>
    </w:div>
    <w:div w:id="66921260">
      <w:bodyDiv w:val="1"/>
      <w:marLeft w:val="0"/>
      <w:marRight w:val="0"/>
      <w:marTop w:val="0"/>
      <w:marBottom w:val="0"/>
      <w:divBdr>
        <w:top w:val="none" w:sz="0" w:space="0" w:color="auto"/>
        <w:left w:val="none" w:sz="0" w:space="0" w:color="auto"/>
        <w:bottom w:val="none" w:sz="0" w:space="0" w:color="auto"/>
        <w:right w:val="none" w:sz="0" w:space="0" w:color="auto"/>
      </w:divBdr>
    </w:div>
    <w:div w:id="107553115">
      <w:bodyDiv w:val="1"/>
      <w:marLeft w:val="0"/>
      <w:marRight w:val="0"/>
      <w:marTop w:val="0"/>
      <w:marBottom w:val="0"/>
      <w:divBdr>
        <w:top w:val="none" w:sz="0" w:space="0" w:color="auto"/>
        <w:left w:val="none" w:sz="0" w:space="0" w:color="auto"/>
        <w:bottom w:val="none" w:sz="0" w:space="0" w:color="auto"/>
        <w:right w:val="none" w:sz="0" w:space="0" w:color="auto"/>
      </w:divBdr>
    </w:div>
    <w:div w:id="110055927">
      <w:bodyDiv w:val="1"/>
      <w:marLeft w:val="0"/>
      <w:marRight w:val="0"/>
      <w:marTop w:val="0"/>
      <w:marBottom w:val="0"/>
      <w:divBdr>
        <w:top w:val="none" w:sz="0" w:space="0" w:color="auto"/>
        <w:left w:val="none" w:sz="0" w:space="0" w:color="auto"/>
        <w:bottom w:val="none" w:sz="0" w:space="0" w:color="auto"/>
        <w:right w:val="none" w:sz="0" w:space="0" w:color="auto"/>
      </w:divBdr>
    </w:div>
    <w:div w:id="134299939">
      <w:bodyDiv w:val="1"/>
      <w:marLeft w:val="0"/>
      <w:marRight w:val="0"/>
      <w:marTop w:val="0"/>
      <w:marBottom w:val="0"/>
      <w:divBdr>
        <w:top w:val="none" w:sz="0" w:space="0" w:color="auto"/>
        <w:left w:val="none" w:sz="0" w:space="0" w:color="auto"/>
        <w:bottom w:val="none" w:sz="0" w:space="0" w:color="auto"/>
        <w:right w:val="none" w:sz="0" w:space="0" w:color="auto"/>
      </w:divBdr>
    </w:div>
    <w:div w:id="249433649">
      <w:bodyDiv w:val="1"/>
      <w:marLeft w:val="0"/>
      <w:marRight w:val="0"/>
      <w:marTop w:val="0"/>
      <w:marBottom w:val="0"/>
      <w:divBdr>
        <w:top w:val="none" w:sz="0" w:space="0" w:color="auto"/>
        <w:left w:val="none" w:sz="0" w:space="0" w:color="auto"/>
        <w:bottom w:val="none" w:sz="0" w:space="0" w:color="auto"/>
        <w:right w:val="none" w:sz="0" w:space="0" w:color="auto"/>
      </w:divBdr>
    </w:div>
    <w:div w:id="265045676">
      <w:bodyDiv w:val="1"/>
      <w:marLeft w:val="0"/>
      <w:marRight w:val="0"/>
      <w:marTop w:val="0"/>
      <w:marBottom w:val="0"/>
      <w:divBdr>
        <w:top w:val="none" w:sz="0" w:space="0" w:color="auto"/>
        <w:left w:val="none" w:sz="0" w:space="0" w:color="auto"/>
        <w:bottom w:val="none" w:sz="0" w:space="0" w:color="auto"/>
        <w:right w:val="none" w:sz="0" w:space="0" w:color="auto"/>
      </w:divBdr>
    </w:div>
    <w:div w:id="294258469">
      <w:bodyDiv w:val="1"/>
      <w:marLeft w:val="0"/>
      <w:marRight w:val="0"/>
      <w:marTop w:val="0"/>
      <w:marBottom w:val="0"/>
      <w:divBdr>
        <w:top w:val="none" w:sz="0" w:space="0" w:color="auto"/>
        <w:left w:val="none" w:sz="0" w:space="0" w:color="auto"/>
        <w:bottom w:val="none" w:sz="0" w:space="0" w:color="auto"/>
        <w:right w:val="none" w:sz="0" w:space="0" w:color="auto"/>
      </w:divBdr>
    </w:div>
    <w:div w:id="309099988">
      <w:bodyDiv w:val="1"/>
      <w:marLeft w:val="0"/>
      <w:marRight w:val="0"/>
      <w:marTop w:val="0"/>
      <w:marBottom w:val="0"/>
      <w:divBdr>
        <w:top w:val="none" w:sz="0" w:space="0" w:color="auto"/>
        <w:left w:val="none" w:sz="0" w:space="0" w:color="auto"/>
        <w:bottom w:val="none" w:sz="0" w:space="0" w:color="auto"/>
        <w:right w:val="none" w:sz="0" w:space="0" w:color="auto"/>
      </w:divBdr>
    </w:div>
    <w:div w:id="335303110">
      <w:bodyDiv w:val="1"/>
      <w:marLeft w:val="0"/>
      <w:marRight w:val="0"/>
      <w:marTop w:val="0"/>
      <w:marBottom w:val="0"/>
      <w:divBdr>
        <w:top w:val="none" w:sz="0" w:space="0" w:color="auto"/>
        <w:left w:val="none" w:sz="0" w:space="0" w:color="auto"/>
        <w:bottom w:val="none" w:sz="0" w:space="0" w:color="auto"/>
        <w:right w:val="none" w:sz="0" w:space="0" w:color="auto"/>
      </w:divBdr>
    </w:div>
    <w:div w:id="353045015">
      <w:bodyDiv w:val="1"/>
      <w:marLeft w:val="0"/>
      <w:marRight w:val="0"/>
      <w:marTop w:val="0"/>
      <w:marBottom w:val="0"/>
      <w:divBdr>
        <w:top w:val="none" w:sz="0" w:space="0" w:color="auto"/>
        <w:left w:val="none" w:sz="0" w:space="0" w:color="auto"/>
        <w:bottom w:val="none" w:sz="0" w:space="0" w:color="auto"/>
        <w:right w:val="none" w:sz="0" w:space="0" w:color="auto"/>
      </w:divBdr>
    </w:div>
    <w:div w:id="353457242">
      <w:bodyDiv w:val="1"/>
      <w:marLeft w:val="0"/>
      <w:marRight w:val="0"/>
      <w:marTop w:val="0"/>
      <w:marBottom w:val="0"/>
      <w:divBdr>
        <w:top w:val="none" w:sz="0" w:space="0" w:color="auto"/>
        <w:left w:val="none" w:sz="0" w:space="0" w:color="auto"/>
        <w:bottom w:val="none" w:sz="0" w:space="0" w:color="auto"/>
        <w:right w:val="none" w:sz="0" w:space="0" w:color="auto"/>
      </w:divBdr>
    </w:div>
    <w:div w:id="358942365">
      <w:bodyDiv w:val="1"/>
      <w:marLeft w:val="0"/>
      <w:marRight w:val="0"/>
      <w:marTop w:val="0"/>
      <w:marBottom w:val="0"/>
      <w:divBdr>
        <w:top w:val="none" w:sz="0" w:space="0" w:color="auto"/>
        <w:left w:val="none" w:sz="0" w:space="0" w:color="auto"/>
        <w:bottom w:val="none" w:sz="0" w:space="0" w:color="auto"/>
        <w:right w:val="none" w:sz="0" w:space="0" w:color="auto"/>
      </w:divBdr>
    </w:div>
    <w:div w:id="494303314">
      <w:bodyDiv w:val="1"/>
      <w:marLeft w:val="0"/>
      <w:marRight w:val="0"/>
      <w:marTop w:val="0"/>
      <w:marBottom w:val="0"/>
      <w:divBdr>
        <w:top w:val="none" w:sz="0" w:space="0" w:color="auto"/>
        <w:left w:val="none" w:sz="0" w:space="0" w:color="auto"/>
        <w:bottom w:val="none" w:sz="0" w:space="0" w:color="auto"/>
        <w:right w:val="none" w:sz="0" w:space="0" w:color="auto"/>
      </w:divBdr>
    </w:div>
    <w:div w:id="502816013">
      <w:bodyDiv w:val="1"/>
      <w:marLeft w:val="0"/>
      <w:marRight w:val="0"/>
      <w:marTop w:val="0"/>
      <w:marBottom w:val="0"/>
      <w:divBdr>
        <w:top w:val="none" w:sz="0" w:space="0" w:color="auto"/>
        <w:left w:val="none" w:sz="0" w:space="0" w:color="auto"/>
        <w:bottom w:val="none" w:sz="0" w:space="0" w:color="auto"/>
        <w:right w:val="none" w:sz="0" w:space="0" w:color="auto"/>
      </w:divBdr>
      <w:divsChild>
        <w:div w:id="875431808">
          <w:marLeft w:val="0"/>
          <w:marRight w:val="0"/>
          <w:marTop w:val="27"/>
          <w:marBottom w:val="27"/>
          <w:divBdr>
            <w:top w:val="none" w:sz="0" w:space="0" w:color="auto"/>
            <w:left w:val="none" w:sz="0" w:space="0" w:color="auto"/>
            <w:bottom w:val="none" w:sz="0" w:space="0" w:color="auto"/>
            <w:right w:val="none" w:sz="0" w:space="0" w:color="auto"/>
          </w:divBdr>
        </w:div>
        <w:div w:id="1312633493">
          <w:marLeft w:val="0"/>
          <w:marRight w:val="0"/>
          <w:marTop w:val="0"/>
          <w:marBottom w:val="0"/>
          <w:divBdr>
            <w:top w:val="none" w:sz="0" w:space="0" w:color="auto"/>
            <w:left w:val="none" w:sz="0" w:space="0" w:color="auto"/>
            <w:bottom w:val="none" w:sz="0" w:space="0" w:color="auto"/>
            <w:right w:val="none" w:sz="0" w:space="0" w:color="auto"/>
          </w:divBdr>
        </w:div>
      </w:divsChild>
    </w:div>
    <w:div w:id="508563715">
      <w:bodyDiv w:val="1"/>
      <w:marLeft w:val="0"/>
      <w:marRight w:val="0"/>
      <w:marTop w:val="0"/>
      <w:marBottom w:val="0"/>
      <w:divBdr>
        <w:top w:val="none" w:sz="0" w:space="0" w:color="auto"/>
        <w:left w:val="none" w:sz="0" w:space="0" w:color="auto"/>
        <w:bottom w:val="none" w:sz="0" w:space="0" w:color="auto"/>
        <w:right w:val="none" w:sz="0" w:space="0" w:color="auto"/>
      </w:divBdr>
    </w:div>
    <w:div w:id="515920894">
      <w:bodyDiv w:val="1"/>
      <w:marLeft w:val="0"/>
      <w:marRight w:val="0"/>
      <w:marTop w:val="0"/>
      <w:marBottom w:val="0"/>
      <w:divBdr>
        <w:top w:val="none" w:sz="0" w:space="0" w:color="auto"/>
        <w:left w:val="none" w:sz="0" w:space="0" w:color="auto"/>
        <w:bottom w:val="none" w:sz="0" w:space="0" w:color="auto"/>
        <w:right w:val="none" w:sz="0" w:space="0" w:color="auto"/>
      </w:divBdr>
    </w:div>
    <w:div w:id="525291519">
      <w:bodyDiv w:val="1"/>
      <w:marLeft w:val="0"/>
      <w:marRight w:val="0"/>
      <w:marTop w:val="0"/>
      <w:marBottom w:val="0"/>
      <w:divBdr>
        <w:top w:val="none" w:sz="0" w:space="0" w:color="auto"/>
        <w:left w:val="none" w:sz="0" w:space="0" w:color="auto"/>
        <w:bottom w:val="none" w:sz="0" w:space="0" w:color="auto"/>
        <w:right w:val="none" w:sz="0" w:space="0" w:color="auto"/>
      </w:divBdr>
    </w:div>
    <w:div w:id="597638260">
      <w:bodyDiv w:val="1"/>
      <w:marLeft w:val="0"/>
      <w:marRight w:val="0"/>
      <w:marTop w:val="0"/>
      <w:marBottom w:val="0"/>
      <w:divBdr>
        <w:top w:val="none" w:sz="0" w:space="0" w:color="auto"/>
        <w:left w:val="none" w:sz="0" w:space="0" w:color="auto"/>
        <w:bottom w:val="none" w:sz="0" w:space="0" w:color="auto"/>
        <w:right w:val="none" w:sz="0" w:space="0" w:color="auto"/>
      </w:divBdr>
    </w:div>
    <w:div w:id="607197188">
      <w:bodyDiv w:val="1"/>
      <w:marLeft w:val="0"/>
      <w:marRight w:val="0"/>
      <w:marTop w:val="0"/>
      <w:marBottom w:val="0"/>
      <w:divBdr>
        <w:top w:val="none" w:sz="0" w:space="0" w:color="auto"/>
        <w:left w:val="none" w:sz="0" w:space="0" w:color="auto"/>
        <w:bottom w:val="none" w:sz="0" w:space="0" w:color="auto"/>
        <w:right w:val="none" w:sz="0" w:space="0" w:color="auto"/>
      </w:divBdr>
    </w:div>
    <w:div w:id="662700561">
      <w:bodyDiv w:val="1"/>
      <w:marLeft w:val="0"/>
      <w:marRight w:val="0"/>
      <w:marTop w:val="0"/>
      <w:marBottom w:val="0"/>
      <w:divBdr>
        <w:top w:val="none" w:sz="0" w:space="0" w:color="auto"/>
        <w:left w:val="none" w:sz="0" w:space="0" w:color="auto"/>
        <w:bottom w:val="none" w:sz="0" w:space="0" w:color="auto"/>
        <w:right w:val="none" w:sz="0" w:space="0" w:color="auto"/>
      </w:divBdr>
    </w:div>
    <w:div w:id="685983286">
      <w:bodyDiv w:val="1"/>
      <w:marLeft w:val="0"/>
      <w:marRight w:val="0"/>
      <w:marTop w:val="0"/>
      <w:marBottom w:val="0"/>
      <w:divBdr>
        <w:top w:val="none" w:sz="0" w:space="0" w:color="auto"/>
        <w:left w:val="none" w:sz="0" w:space="0" w:color="auto"/>
        <w:bottom w:val="none" w:sz="0" w:space="0" w:color="auto"/>
        <w:right w:val="none" w:sz="0" w:space="0" w:color="auto"/>
      </w:divBdr>
    </w:div>
    <w:div w:id="783958002">
      <w:bodyDiv w:val="1"/>
      <w:marLeft w:val="0"/>
      <w:marRight w:val="0"/>
      <w:marTop w:val="0"/>
      <w:marBottom w:val="0"/>
      <w:divBdr>
        <w:top w:val="none" w:sz="0" w:space="0" w:color="auto"/>
        <w:left w:val="none" w:sz="0" w:space="0" w:color="auto"/>
        <w:bottom w:val="none" w:sz="0" w:space="0" w:color="auto"/>
        <w:right w:val="none" w:sz="0" w:space="0" w:color="auto"/>
      </w:divBdr>
    </w:div>
    <w:div w:id="847790723">
      <w:bodyDiv w:val="1"/>
      <w:marLeft w:val="0"/>
      <w:marRight w:val="0"/>
      <w:marTop w:val="0"/>
      <w:marBottom w:val="0"/>
      <w:divBdr>
        <w:top w:val="none" w:sz="0" w:space="0" w:color="auto"/>
        <w:left w:val="none" w:sz="0" w:space="0" w:color="auto"/>
        <w:bottom w:val="none" w:sz="0" w:space="0" w:color="auto"/>
        <w:right w:val="none" w:sz="0" w:space="0" w:color="auto"/>
      </w:divBdr>
    </w:div>
    <w:div w:id="869685496">
      <w:bodyDiv w:val="1"/>
      <w:marLeft w:val="0"/>
      <w:marRight w:val="0"/>
      <w:marTop w:val="0"/>
      <w:marBottom w:val="0"/>
      <w:divBdr>
        <w:top w:val="none" w:sz="0" w:space="0" w:color="auto"/>
        <w:left w:val="none" w:sz="0" w:space="0" w:color="auto"/>
        <w:bottom w:val="none" w:sz="0" w:space="0" w:color="auto"/>
        <w:right w:val="none" w:sz="0" w:space="0" w:color="auto"/>
      </w:divBdr>
    </w:div>
    <w:div w:id="890075786">
      <w:bodyDiv w:val="1"/>
      <w:marLeft w:val="0"/>
      <w:marRight w:val="0"/>
      <w:marTop w:val="0"/>
      <w:marBottom w:val="0"/>
      <w:divBdr>
        <w:top w:val="none" w:sz="0" w:space="0" w:color="auto"/>
        <w:left w:val="none" w:sz="0" w:space="0" w:color="auto"/>
        <w:bottom w:val="none" w:sz="0" w:space="0" w:color="auto"/>
        <w:right w:val="none" w:sz="0" w:space="0" w:color="auto"/>
      </w:divBdr>
    </w:div>
    <w:div w:id="912010846">
      <w:bodyDiv w:val="1"/>
      <w:marLeft w:val="0"/>
      <w:marRight w:val="0"/>
      <w:marTop w:val="0"/>
      <w:marBottom w:val="0"/>
      <w:divBdr>
        <w:top w:val="none" w:sz="0" w:space="0" w:color="auto"/>
        <w:left w:val="none" w:sz="0" w:space="0" w:color="auto"/>
        <w:bottom w:val="none" w:sz="0" w:space="0" w:color="auto"/>
        <w:right w:val="none" w:sz="0" w:space="0" w:color="auto"/>
      </w:divBdr>
    </w:div>
    <w:div w:id="914627084">
      <w:bodyDiv w:val="1"/>
      <w:marLeft w:val="0"/>
      <w:marRight w:val="0"/>
      <w:marTop w:val="0"/>
      <w:marBottom w:val="0"/>
      <w:divBdr>
        <w:top w:val="none" w:sz="0" w:space="0" w:color="auto"/>
        <w:left w:val="none" w:sz="0" w:space="0" w:color="auto"/>
        <w:bottom w:val="none" w:sz="0" w:space="0" w:color="auto"/>
        <w:right w:val="none" w:sz="0" w:space="0" w:color="auto"/>
      </w:divBdr>
    </w:div>
    <w:div w:id="918246941">
      <w:bodyDiv w:val="1"/>
      <w:marLeft w:val="0"/>
      <w:marRight w:val="0"/>
      <w:marTop w:val="0"/>
      <w:marBottom w:val="0"/>
      <w:divBdr>
        <w:top w:val="none" w:sz="0" w:space="0" w:color="auto"/>
        <w:left w:val="none" w:sz="0" w:space="0" w:color="auto"/>
        <w:bottom w:val="none" w:sz="0" w:space="0" w:color="auto"/>
        <w:right w:val="none" w:sz="0" w:space="0" w:color="auto"/>
      </w:divBdr>
    </w:div>
    <w:div w:id="922107527">
      <w:bodyDiv w:val="1"/>
      <w:marLeft w:val="0"/>
      <w:marRight w:val="0"/>
      <w:marTop w:val="0"/>
      <w:marBottom w:val="0"/>
      <w:divBdr>
        <w:top w:val="none" w:sz="0" w:space="0" w:color="auto"/>
        <w:left w:val="none" w:sz="0" w:space="0" w:color="auto"/>
        <w:bottom w:val="none" w:sz="0" w:space="0" w:color="auto"/>
        <w:right w:val="none" w:sz="0" w:space="0" w:color="auto"/>
      </w:divBdr>
    </w:div>
    <w:div w:id="976884091">
      <w:bodyDiv w:val="1"/>
      <w:marLeft w:val="0"/>
      <w:marRight w:val="0"/>
      <w:marTop w:val="0"/>
      <w:marBottom w:val="0"/>
      <w:divBdr>
        <w:top w:val="none" w:sz="0" w:space="0" w:color="auto"/>
        <w:left w:val="none" w:sz="0" w:space="0" w:color="auto"/>
        <w:bottom w:val="none" w:sz="0" w:space="0" w:color="auto"/>
        <w:right w:val="none" w:sz="0" w:space="0" w:color="auto"/>
      </w:divBdr>
    </w:div>
    <w:div w:id="992879288">
      <w:bodyDiv w:val="1"/>
      <w:marLeft w:val="0"/>
      <w:marRight w:val="0"/>
      <w:marTop w:val="0"/>
      <w:marBottom w:val="0"/>
      <w:divBdr>
        <w:top w:val="none" w:sz="0" w:space="0" w:color="auto"/>
        <w:left w:val="none" w:sz="0" w:space="0" w:color="auto"/>
        <w:bottom w:val="none" w:sz="0" w:space="0" w:color="auto"/>
        <w:right w:val="none" w:sz="0" w:space="0" w:color="auto"/>
      </w:divBdr>
    </w:div>
    <w:div w:id="995181694">
      <w:bodyDiv w:val="1"/>
      <w:marLeft w:val="0"/>
      <w:marRight w:val="0"/>
      <w:marTop w:val="0"/>
      <w:marBottom w:val="0"/>
      <w:divBdr>
        <w:top w:val="none" w:sz="0" w:space="0" w:color="auto"/>
        <w:left w:val="none" w:sz="0" w:space="0" w:color="auto"/>
        <w:bottom w:val="none" w:sz="0" w:space="0" w:color="auto"/>
        <w:right w:val="none" w:sz="0" w:space="0" w:color="auto"/>
      </w:divBdr>
    </w:div>
    <w:div w:id="1010958548">
      <w:bodyDiv w:val="1"/>
      <w:marLeft w:val="0"/>
      <w:marRight w:val="0"/>
      <w:marTop w:val="0"/>
      <w:marBottom w:val="0"/>
      <w:divBdr>
        <w:top w:val="none" w:sz="0" w:space="0" w:color="auto"/>
        <w:left w:val="none" w:sz="0" w:space="0" w:color="auto"/>
        <w:bottom w:val="none" w:sz="0" w:space="0" w:color="auto"/>
        <w:right w:val="none" w:sz="0" w:space="0" w:color="auto"/>
      </w:divBdr>
    </w:div>
    <w:div w:id="1021005364">
      <w:bodyDiv w:val="1"/>
      <w:marLeft w:val="0"/>
      <w:marRight w:val="0"/>
      <w:marTop w:val="0"/>
      <w:marBottom w:val="0"/>
      <w:divBdr>
        <w:top w:val="none" w:sz="0" w:space="0" w:color="auto"/>
        <w:left w:val="none" w:sz="0" w:space="0" w:color="auto"/>
        <w:bottom w:val="none" w:sz="0" w:space="0" w:color="auto"/>
        <w:right w:val="none" w:sz="0" w:space="0" w:color="auto"/>
      </w:divBdr>
    </w:div>
    <w:div w:id="1049452581">
      <w:bodyDiv w:val="1"/>
      <w:marLeft w:val="0"/>
      <w:marRight w:val="0"/>
      <w:marTop w:val="0"/>
      <w:marBottom w:val="0"/>
      <w:divBdr>
        <w:top w:val="none" w:sz="0" w:space="0" w:color="auto"/>
        <w:left w:val="none" w:sz="0" w:space="0" w:color="auto"/>
        <w:bottom w:val="none" w:sz="0" w:space="0" w:color="auto"/>
        <w:right w:val="none" w:sz="0" w:space="0" w:color="auto"/>
      </w:divBdr>
    </w:div>
    <w:div w:id="1088576792">
      <w:bodyDiv w:val="1"/>
      <w:marLeft w:val="0"/>
      <w:marRight w:val="0"/>
      <w:marTop w:val="0"/>
      <w:marBottom w:val="0"/>
      <w:divBdr>
        <w:top w:val="none" w:sz="0" w:space="0" w:color="auto"/>
        <w:left w:val="none" w:sz="0" w:space="0" w:color="auto"/>
        <w:bottom w:val="none" w:sz="0" w:space="0" w:color="auto"/>
        <w:right w:val="none" w:sz="0" w:space="0" w:color="auto"/>
      </w:divBdr>
    </w:div>
    <w:div w:id="1151140790">
      <w:bodyDiv w:val="1"/>
      <w:marLeft w:val="0"/>
      <w:marRight w:val="0"/>
      <w:marTop w:val="0"/>
      <w:marBottom w:val="0"/>
      <w:divBdr>
        <w:top w:val="none" w:sz="0" w:space="0" w:color="auto"/>
        <w:left w:val="none" w:sz="0" w:space="0" w:color="auto"/>
        <w:bottom w:val="none" w:sz="0" w:space="0" w:color="auto"/>
        <w:right w:val="none" w:sz="0" w:space="0" w:color="auto"/>
      </w:divBdr>
    </w:div>
    <w:div w:id="1177115590">
      <w:bodyDiv w:val="1"/>
      <w:marLeft w:val="0"/>
      <w:marRight w:val="0"/>
      <w:marTop w:val="0"/>
      <w:marBottom w:val="0"/>
      <w:divBdr>
        <w:top w:val="none" w:sz="0" w:space="0" w:color="auto"/>
        <w:left w:val="none" w:sz="0" w:space="0" w:color="auto"/>
        <w:bottom w:val="none" w:sz="0" w:space="0" w:color="auto"/>
        <w:right w:val="none" w:sz="0" w:space="0" w:color="auto"/>
      </w:divBdr>
    </w:div>
    <w:div w:id="1223103283">
      <w:bodyDiv w:val="1"/>
      <w:marLeft w:val="0"/>
      <w:marRight w:val="0"/>
      <w:marTop w:val="0"/>
      <w:marBottom w:val="0"/>
      <w:divBdr>
        <w:top w:val="none" w:sz="0" w:space="0" w:color="auto"/>
        <w:left w:val="none" w:sz="0" w:space="0" w:color="auto"/>
        <w:bottom w:val="none" w:sz="0" w:space="0" w:color="auto"/>
        <w:right w:val="none" w:sz="0" w:space="0" w:color="auto"/>
      </w:divBdr>
    </w:div>
    <w:div w:id="1250042629">
      <w:bodyDiv w:val="1"/>
      <w:marLeft w:val="0"/>
      <w:marRight w:val="0"/>
      <w:marTop w:val="0"/>
      <w:marBottom w:val="0"/>
      <w:divBdr>
        <w:top w:val="none" w:sz="0" w:space="0" w:color="auto"/>
        <w:left w:val="none" w:sz="0" w:space="0" w:color="auto"/>
        <w:bottom w:val="none" w:sz="0" w:space="0" w:color="auto"/>
        <w:right w:val="none" w:sz="0" w:space="0" w:color="auto"/>
      </w:divBdr>
    </w:div>
    <w:div w:id="1263951170">
      <w:bodyDiv w:val="1"/>
      <w:marLeft w:val="0"/>
      <w:marRight w:val="0"/>
      <w:marTop w:val="0"/>
      <w:marBottom w:val="0"/>
      <w:divBdr>
        <w:top w:val="none" w:sz="0" w:space="0" w:color="auto"/>
        <w:left w:val="none" w:sz="0" w:space="0" w:color="auto"/>
        <w:bottom w:val="none" w:sz="0" w:space="0" w:color="auto"/>
        <w:right w:val="none" w:sz="0" w:space="0" w:color="auto"/>
      </w:divBdr>
    </w:div>
    <w:div w:id="1314721798">
      <w:bodyDiv w:val="1"/>
      <w:marLeft w:val="0"/>
      <w:marRight w:val="0"/>
      <w:marTop w:val="0"/>
      <w:marBottom w:val="0"/>
      <w:divBdr>
        <w:top w:val="none" w:sz="0" w:space="0" w:color="auto"/>
        <w:left w:val="none" w:sz="0" w:space="0" w:color="auto"/>
        <w:bottom w:val="none" w:sz="0" w:space="0" w:color="auto"/>
        <w:right w:val="none" w:sz="0" w:space="0" w:color="auto"/>
      </w:divBdr>
    </w:div>
    <w:div w:id="1372342654">
      <w:bodyDiv w:val="1"/>
      <w:marLeft w:val="0"/>
      <w:marRight w:val="0"/>
      <w:marTop w:val="0"/>
      <w:marBottom w:val="0"/>
      <w:divBdr>
        <w:top w:val="none" w:sz="0" w:space="0" w:color="auto"/>
        <w:left w:val="none" w:sz="0" w:space="0" w:color="auto"/>
        <w:bottom w:val="none" w:sz="0" w:space="0" w:color="auto"/>
        <w:right w:val="none" w:sz="0" w:space="0" w:color="auto"/>
      </w:divBdr>
    </w:div>
    <w:div w:id="1409886879">
      <w:bodyDiv w:val="1"/>
      <w:marLeft w:val="0"/>
      <w:marRight w:val="0"/>
      <w:marTop w:val="0"/>
      <w:marBottom w:val="0"/>
      <w:divBdr>
        <w:top w:val="none" w:sz="0" w:space="0" w:color="auto"/>
        <w:left w:val="none" w:sz="0" w:space="0" w:color="auto"/>
        <w:bottom w:val="none" w:sz="0" w:space="0" w:color="auto"/>
        <w:right w:val="none" w:sz="0" w:space="0" w:color="auto"/>
      </w:divBdr>
    </w:div>
    <w:div w:id="1480728770">
      <w:bodyDiv w:val="1"/>
      <w:marLeft w:val="0"/>
      <w:marRight w:val="0"/>
      <w:marTop w:val="0"/>
      <w:marBottom w:val="0"/>
      <w:divBdr>
        <w:top w:val="none" w:sz="0" w:space="0" w:color="auto"/>
        <w:left w:val="none" w:sz="0" w:space="0" w:color="auto"/>
        <w:bottom w:val="none" w:sz="0" w:space="0" w:color="auto"/>
        <w:right w:val="none" w:sz="0" w:space="0" w:color="auto"/>
      </w:divBdr>
      <w:divsChild>
        <w:div w:id="2118327000">
          <w:marLeft w:val="0"/>
          <w:marRight w:val="0"/>
          <w:marTop w:val="215"/>
          <w:marBottom w:val="0"/>
          <w:divBdr>
            <w:top w:val="none" w:sz="0" w:space="0" w:color="auto"/>
            <w:left w:val="none" w:sz="0" w:space="0" w:color="auto"/>
            <w:bottom w:val="none" w:sz="0" w:space="0" w:color="auto"/>
            <w:right w:val="none" w:sz="0" w:space="0" w:color="auto"/>
          </w:divBdr>
        </w:div>
        <w:div w:id="785540429">
          <w:marLeft w:val="0"/>
          <w:marRight w:val="0"/>
          <w:marTop w:val="234"/>
          <w:marBottom w:val="0"/>
          <w:divBdr>
            <w:top w:val="none" w:sz="0" w:space="0" w:color="auto"/>
            <w:left w:val="none" w:sz="0" w:space="0" w:color="auto"/>
            <w:bottom w:val="none" w:sz="0" w:space="0" w:color="auto"/>
            <w:right w:val="none" w:sz="0" w:space="0" w:color="auto"/>
          </w:divBdr>
          <w:divsChild>
            <w:div w:id="133244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7013">
      <w:bodyDiv w:val="1"/>
      <w:marLeft w:val="0"/>
      <w:marRight w:val="0"/>
      <w:marTop w:val="0"/>
      <w:marBottom w:val="0"/>
      <w:divBdr>
        <w:top w:val="none" w:sz="0" w:space="0" w:color="auto"/>
        <w:left w:val="none" w:sz="0" w:space="0" w:color="auto"/>
        <w:bottom w:val="none" w:sz="0" w:space="0" w:color="auto"/>
        <w:right w:val="none" w:sz="0" w:space="0" w:color="auto"/>
      </w:divBdr>
    </w:div>
    <w:div w:id="1540124102">
      <w:bodyDiv w:val="1"/>
      <w:marLeft w:val="0"/>
      <w:marRight w:val="0"/>
      <w:marTop w:val="0"/>
      <w:marBottom w:val="0"/>
      <w:divBdr>
        <w:top w:val="none" w:sz="0" w:space="0" w:color="auto"/>
        <w:left w:val="none" w:sz="0" w:space="0" w:color="auto"/>
        <w:bottom w:val="none" w:sz="0" w:space="0" w:color="auto"/>
        <w:right w:val="none" w:sz="0" w:space="0" w:color="auto"/>
      </w:divBdr>
    </w:div>
    <w:div w:id="1568686121">
      <w:bodyDiv w:val="1"/>
      <w:marLeft w:val="0"/>
      <w:marRight w:val="0"/>
      <w:marTop w:val="0"/>
      <w:marBottom w:val="0"/>
      <w:divBdr>
        <w:top w:val="none" w:sz="0" w:space="0" w:color="auto"/>
        <w:left w:val="none" w:sz="0" w:space="0" w:color="auto"/>
        <w:bottom w:val="none" w:sz="0" w:space="0" w:color="auto"/>
        <w:right w:val="none" w:sz="0" w:space="0" w:color="auto"/>
      </w:divBdr>
    </w:div>
    <w:div w:id="1590578676">
      <w:bodyDiv w:val="1"/>
      <w:marLeft w:val="0"/>
      <w:marRight w:val="0"/>
      <w:marTop w:val="0"/>
      <w:marBottom w:val="0"/>
      <w:divBdr>
        <w:top w:val="none" w:sz="0" w:space="0" w:color="auto"/>
        <w:left w:val="none" w:sz="0" w:space="0" w:color="auto"/>
        <w:bottom w:val="none" w:sz="0" w:space="0" w:color="auto"/>
        <w:right w:val="none" w:sz="0" w:space="0" w:color="auto"/>
      </w:divBdr>
    </w:div>
    <w:div w:id="1594047315">
      <w:bodyDiv w:val="1"/>
      <w:marLeft w:val="0"/>
      <w:marRight w:val="0"/>
      <w:marTop w:val="0"/>
      <w:marBottom w:val="0"/>
      <w:divBdr>
        <w:top w:val="none" w:sz="0" w:space="0" w:color="auto"/>
        <w:left w:val="none" w:sz="0" w:space="0" w:color="auto"/>
        <w:bottom w:val="none" w:sz="0" w:space="0" w:color="auto"/>
        <w:right w:val="none" w:sz="0" w:space="0" w:color="auto"/>
      </w:divBdr>
    </w:div>
    <w:div w:id="1602106345">
      <w:bodyDiv w:val="1"/>
      <w:marLeft w:val="0"/>
      <w:marRight w:val="0"/>
      <w:marTop w:val="0"/>
      <w:marBottom w:val="0"/>
      <w:divBdr>
        <w:top w:val="none" w:sz="0" w:space="0" w:color="auto"/>
        <w:left w:val="none" w:sz="0" w:space="0" w:color="auto"/>
        <w:bottom w:val="none" w:sz="0" w:space="0" w:color="auto"/>
        <w:right w:val="none" w:sz="0" w:space="0" w:color="auto"/>
      </w:divBdr>
    </w:div>
    <w:div w:id="1654941284">
      <w:bodyDiv w:val="1"/>
      <w:marLeft w:val="0"/>
      <w:marRight w:val="0"/>
      <w:marTop w:val="0"/>
      <w:marBottom w:val="0"/>
      <w:divBdr>
        <w:top w:val="none" w:sz="0" w:space="0" w:color="auto"/>
        <w:left w:val="none" w:sz="0" w:space="0" w:color="auto"/>
        <w:bottom w:val="none" w:sz="0" w:space="0" w:color="auto"/>
        <w:right w:val="none" w:sz="0" w:space="0" w:color="auto"/>
      </w:divBdr>
    </w:div>
    <w:div w:id="1696076565">
      <w:bodyDiv w:val="1"/>
      <w:marLeft w:val="0"/>
      <w:marRight w:val="0"/>
      <w:marTop w:val="0"/>
      <w:marBottom w:val="0"/>
      <w:divBdr>
        <w:top w:val="none" w:sz="0" w:space="0" w:color="auto"/>
        <w:left w:val="none" w:sz="0" w:space="0" w:color="auto"/>
        <w:bottom w:val="none" w:sz="0" w:space="0" w:color="auto"/>
        <w:right w:val="none" w:sz="0" w:space="0" w:color="auto"/>
      </w:divBdr>
    </w:div>
    <w:div w:id="1711145422">
      <w:bodyDiv w:val="1"/>
      <w:marLeft w:val="0"/>
      <w:marRight w:val="0"/>
      <w:marTop w:val="0"/>
      <w:marBottom w:val="0"/>
      <w:divBdr>
        <w:top w:val="none" w:sz="0" w:space="0" w:color="auto"/>
        <w:left w:val="none" w:sz="0" w:space="0" w:color="auto"/>
        <w:bottom w:val="none" w:sz="0" w:space="0" w:color="auto"/>
        <w:right w:val="none" w:sz="0" w:space="0" w:color="auto"/>
      </w:divBdr>
    </w:div>
    <w:div w:id="1727609221">
      <w:bodyDiv w:val="1"/>
      <w:marLeft w:val="0"/>
      <w:marRight w:val="0"/>
      <w:marTop w:val="0"/>
      <w:marBottom w:val="0"/>
      <w:divBdr>
        <w:top w:val="none" w:sz="0" w:space="0" w:color="auto"/>
        <w:left w:val="none" w:sz="0" w:space="0" w:color="auto"/>
        <w:bottom w:val="none" w:sz="0" w:space="0" w:color="auto"/>
        <w:right w:val="none" w:sz="0" w:space="0" w:color="auto"/>
      </w:divBdr>
    </w:div>
    <w:div w:id="1759326558">
      <w:bodyDiv w:val="1"/>
      <w:marLeft w:val="0"/>
      <w:marRight w:val="0"/>
      <w:marTop w:val="0"/>
      <w:marBottom w:val="0"/>
      <w:divBdr>
        <w:top w:val="none" w:sz="0" w:space="0" w:color="auto"/>
        <w:left w:val="none" w:sz="0" w:space="0" w:color="auto"/>
        <w:bottom w:val="none" w:sz="0" w:space="0" w:color="auto"/>
        <w:right w:val="none" w:sz="0" w:space="0" w:color="auto"/>
      </w:divBdr>
    </w:div>
    <w:div w:id="1777169516">
      <w:bodyDiv w:val="1"/>
      <w:marLeft w:val="0"/>
      <w:marRight w:val="0"/>
      <w:marTop w:val="0"/>
      <w:marBottom w:val="0"/>
      <w:divBdr>
        <w:top w:val="none" w:sz="0" w:space="0" w:color="auto"/>
        <w:left w:val="none" w:sz="0" w:space="0" w:color="auto"/>
        <w:bottom w:val="none" w:sz="0" w:space="0" w:color="auto"/>
        <w:right w:val="none" w:sz="0" w:space="0" w:color="auto"/>
      </w:divBdr>
    </w:div>
    <w:div w:id="1805805689">
      <w:bodyDiv w:val="1"/>
      <w:marLeft w:val="0"/>
      <w:marRight w:val="0"/>
      <w:marTop w:val="0"/>
      <w:marBottom w:val="0"/>
      <w:divBdr>
        <w:top w:val="none" w:sz="0" w:space="0" w:color="auto"/>
        <w:left w:val="none" w:sz="0" w:space="0" w:color="auto"/>
        <w:bottom w:val="none" w:sz="0" w:space="0" w:color="auto"/>
        <w:right w:val="none" w:sz="0" w:space="0" w:color="auto"/>
      </w:divBdr>
    </w:div>
    <w:div w:id="1819876801">
      <w:bodyDiv w:val="1"/>
      <w:marLeft w:val="0"/>
      <w:marRight w:val="0"/>
      <w:marTop w:val="0"/>
      <w:marBottom w:val="0"/>
      <w:divBdr>
        <w:top w:val="none" w:sz="0" w:space="0" w:color="auto"/>
        <w:left w:val="none" w:sz="0" w:space="0" w:color="auto"/>
        <w:bottom w:val="none" w:sz="0" w:space="0" w:color="auto"/>
        <w:right w:val="none" w:sz="0" w:space="0" w:color="auto"/>
      </w:divBdr>
    </w:div>
    <w:div w:id="1876888682">
      <w:bodyDiv w:val="1"/>
      <w:marLeft w:val="0"/>
      <w:marRight w:val="0"/>
      <w:marTop w:val="0"/>
      <w:marBottom w:val="0"/>
      <w:divBdr>
        <w:top w:val="none" w:sz="0" w:space="0" w:color="auto"/>
        <w:left w:val="none" w:sz="0" w:space="0" w:color="auto"/>
        <w:bottom w:val="none" w:sz="0" w:space="0" w:color="auto"/>
        <w:right w:val="none" w:sz="0" w:space="0" w:color="auto"/>
      </w:divBdr>
    </w:div>
    <w:div w:id="1913664041">
      <w:bodyDiv w:val="1"/>
      <w:marLeft w:val="0"/>
      <w:marRight w:val="0"/>
      <w:marTop w:val="0"/>
      <w:marBottom w:val="0"/>
      <w:divBdr>
        <w:top w:val="none" w:sz="0" w:space="0" w:color="auto"/>
        <w:left w:val="none" w:sz="0" w:space="0" w:color="auto"/>
        <w:bottom w:val="none" w:sz="0" w:space="0" w:color="auto"/>
        <w:right w:val="none" w:sz="0" w:space="0" w:color="auto"/>
      </w:divBdr>
    </w:div>
    <w:div w:id="1944485329">
      <w:bodyDiv w:val="1"/>
      <w:marLeft w:val="0"/>
      <w:marRight w:val="0"/>
      <w:marTop w:val="0"/>
      <w:marBottom w:val="0"/>
      <w:divBdr>
        <w:top w:val="none" w:sz="0" w:space="0" w:color="auto"/>
        <w:left w:val="none" w:sz="0" w:space="0" w:color="auto"/>
        <w:bottom w:val="none" w:sz="0" w:space="0" w:color="auto"/>
        <w:right w:val="none" w:sz="0" w:space="0" w:color="auto"/>
      </w:divBdr>
    </w:div>
    <w:div w:id="1955407652">
      <w:bodyDiv w:val="1"/>
      <w:marLeft w:val="0"/>
      <w:marRight w:val="0"/>
      <w:marTop w:val="0"/>
      <w:marBottom w:val="0"/>
      <w:divBdr>
        <w:top w:val="none" w:sz="0" w:space="0" w:color="auto"/>
        <w:left w:val="none" w:sz="0" w:space="0" w:color="auto"/>
        <w:bottom w:val="none" w:sz="0" w:space="0" w:color="auto"/>
        <w:right w:val="none" w:sz="0" w:space="0" w:color="auto"/>
      </w:divBdr>
    </w:div>
    <w:div w:id="2025663459">
      <w:bodyDiv w:val="1"/>
      <w:marLeft w:val="0"/>
      <w:marRight w:val="0"/>
      <w:marTop w:val="0"/>
      <w:marBottom w:val="0"/>
      <w:divBdr>
        <w:top w:val="none" w:sz="0" w:space="0" w:color="auto"/>
        <w:left w:val="none" w:sz="0" w:space="0" w:color="auto"/>
        <w:bottom w:val="none" w:sz="0" w:space="0" w:color="auto"/>
        <w:right w:val="none" w:sz="0" w:space="0" w:color="auto"/>
      </w:divBdr>
    </w:div>
    <w:div w:id="2027246861">
      <w:bodyDiv w:val="1"/>
      <w:marLeft w:val="0"/>
      <w:marRight w:val="0"/>
      <w:marTop w:val="0"/>
      <w:marBottom w:val="0"/>
      <w:divBdr>
        <w:top w:val="none" w:sz="0" w:space="0" w:color="auto"/>
        <w:left w:val="none" w:sz="0" w:space="0" w:color="auto"/>
        <w:bottom w:val="none" w:sz="0" w:space="0" w:color="auto"/>
        <w:right w:val="none" w:sz="0" w:space="0" w:color="auto"/>
      </w:divBdr>
      <w:divsChild>
        <w:div w:id="1628197880">
          <w:marLeft w:val="0"/>
          <w:marRight w:val="0"/>
          <w:marTop w:val="234"/>
          <w:marBottom w:val="0"/>
          <w:divBdr>
            <w:top w:val="none" w:sz="0" w:space="0" w:color="auto"/>
            <w:left w:val="none" w:sz="0" w:space="0" w:color="auto"/>
            <w:bottom w:val="none" w:sz="0" w:space="0" w:color="auto"/>
            <w:right w:val="none" w:sz="0" w:space="0" w:color="auto"/>
          </w:divBdr>
          <w:divsChild>
            <w:div w:id="211956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04054">
      <w:bodyDiv w:val="1"/>
      <w:marLeft w:val="0"/>
      <w:marRight w:val="0"/>
      <w:marTop w:val="0"/>
      <w:marBottom w:val="0"/>
      <w:divBdr>
        <w:top w:val="none" w:sz="0" w:space="0" w:color="auto"/>
        <w:left w:val="none" w:sz="0" w:space="0" w:color="auto"/>
        <w:bottom w:val="none" w:sz="0" w:space="0" w:color="auto"/>
        <w:right w:val="none" w:sz="0" w:space="0" w:color="auto"/>
      </w:divBdr>
    </w:div>
    <w:div w:id="2089692048">
      <w:bodyDiv w:val="1"/>
      <w:marLeft w:val="0"/>
      <w:marRight w:val="0"/>
      <w:marTop w:val="0"/>
      <w:marBottom w:val="0"/>
      <w:divBdr>
        <w:top w:val="none" w:sz="0" w:space="0" w:color="auto"/>
        <w:left w:val="none" w:sz="0" w:space="0" w:color="auto"/>
        <w:bottom w:val="none" w:sz="0" w:space="0" w:color="auto"/>
        <w:right w:val="none" w:sz="0" w:space="0" w:color="auto"/>
      </w:divBdr>
    </w:div>
    <w:div w:id="2109348452">
      <w:bodyDiv w:val="1"/>
      <w:marLeft w:val="0"/>
      <w:marRight w:val="0"/>
      <w:marTop w:val="0"/>
      <w:marBottom w:val="0"/>
      <w:divBdr>
        <w:top w:val="none" w:sz="0" w:space="0" w:color="auto"/>
        <w:left w:val="none" w:sz="0" w:space="0" w:color="auto"/>
        <w:bottom w:val="none" w:sz="0" w:space="0" w:color="auto"/>
        <w:right w:val="none" w:sz="0" w:space="0" w:color="auto"/>
      </w:divBdr>
    </w:div>
    <w:div w:id="2136635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3DFBB-9874-40CF-B3DD-136D992AE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12083</Words>
  <Characters>68876</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PBC .</dc:creator>
  <dc:description/>
  <cp:lastModifiedBy>Na Ma</cp:lastModifiedBy>
  <cp:revision>3</cp:revision>
  <cp:lastPrinted>2017-10-27T07:10:00Z</cp:lastPrinted>
  <dcterms:created xsi:type="dcterms:W3CDTF">2018-04-23T15:55:00Z</dcterms:created>
  <dcterms:modified xsi:type="dcterms:W3CDTF">2018-04-23T15:55:00Z</dcterms:modified>
</cp:coreProperties>
</file>