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9D53E" w14:textId="77777777" w:rsidR="00044F9C" w:rsidRPr="00DD6459" w:rsidRDefault="00044F9C" w:rsidP="00F65D45">
      <w:pPr>
        <w:widowControl w:val="0"/>
        <w:snapToGrid w:val="0"/>
        <w:spacing w:line="360" w:lineRule="auto"/>
        <w:jc w:val="both"/>
        <w:rPr>
          <w:rFonts w:ascii="Book Antiqua" w:eastAsia="SimSun" w:hAnsi="Book Antiqua"/>
          <w:b/>
          <w:color w:val="000000" w:themeColor="text1"/>
          <w:lang w:eastAsia="zh-CN"/>
        </w:rPr>
      </w:pPr>
      <w:r w:rsidRPr="00DD6459">
        <w:rPr>
          <w:rFonts w:ascii="Book Antiqua" w:hAnsi="Book Antiqua"/>
          <w:b/>
          <w:color w:val="000000" w:themeColor="text1"/>
        </w:rPr>
        <w:t xml:space="preserve">Name of Journal: </w:t>
      </w:r>
      <w:r w:rsidRPr="00DD6459">
        <w:rPr>
          <w:rFonts w:ascii="Book Antiqua" w:hAnsi="Book Antiqua"/>
          <w:b/>
          <w:i/>
          <w:color w:val="000000" w:themeColor="text1"/>
        </w:rPr>
        <w:t>World Journal of Gastroenterology</w:t>
      </w:r>
    </w:p>
    <w:p w14:paraId="1A38B393" w14:textId="5CD1FB99" w:rsidR="0014056B" w:rsidRPr="00DD6459" w:rsidRDefault="0014056B" w:rsidP="00F65D45">
      <w:pPr>
        <w:widowControl w:val="0"/>
        <w:snapToGrid w:val="0"/>
        <w:spacing w:line="360" w:lineRule="auto"/>
        <w:jc w:val="both"/>
        <w:rPr>
          <w:rFonts w:ascii="Book Antiqua" w:eastAsia="SimSun" w:hAnsi="Book Antiqua"/>
          <w:b/>
          <w:color w:val="000000" w:themeColor="text1"/>
        </w:rPr>
      </w:pPr>
      <w:bookmarkStart w:id="0" w:name="OLE_LINK485"/>
      <w:bookmarkStart w:id="1" w:name="OLE_LINK486"/>
      <w:bookmarkStart w:id="2" w:name="OLE_LINK661"/>
      <w:bookmarkStart w:id="3" w:name="OLE_LINK768"/>
      <w:r w:rsidRPr="00DD6459">
        <w:rPr>
          <w:rFonts w:ascii="Book Antiqua" w:hAnsi="Book Antiqua"/>
          <w:b/>
          <w:color w:val="000000" w:themeColor="text1"/>
          <w:highlight w:val="white"/>
          <w:lang w:eastAsia="zh-CN"/>
        </w:rPr>
        <w:t>Manuscript NO:</w:t>
      </w:r>
      <w:bookmarkEnd w:id="0"/>
      <w:bookmarkEnd w:id="1"/>
      <w:bookmarkEnd w:id="2"/>
      <w:bookmarkEnd w:id="3"/>
      <w:r w:rsidR="00316450" w:rsidRPr="00DD6459">
        <w:rPr>
          <w:rFonts w:ascii="Book Antiqua" w:hAnsi="Book Antiqua"/>
          <w:b/>
          <w:color w:val="000000" w:themeColor="text1"/>
        </w:rPr>
        <w:t xml:space="preserve"> </w:t>
      </w:r>
      <w:r w:rsidR="00102A4F" w:rsidRPr="00DD6459">
        <w:rPr>
          <w:rFonts w:ascii="Book Antiqua" w:hAnsi="Book Antiqua"/>
          <w:b/>
          <w:color w:val="000000" w:themeColor="text1"/>
        </w:rPr>
        <w:t>39047</w:t>
      </w:r>
    </w:p>
    <w:p w14:paraId="2BF65AF4" w14:textId="5C85228B" w:rsidR="00044F9C" w:rsidRPr="00DD6459" w:rsidRDefault="00044F9C" w:rsidP="00F65D45">
      <w:pPr>
        <w:widowControl w:val="0"/>
        <w:snapToGrid w:val="0"/>
        <w:spacing w:line="360" w:lineRule="auto"/>
        <w:jc w:val="both"/>
        <w:rPr>
          <w:rFonts w:ascii="Book Antiqua" w:eastAsia="SimSun" w:hAnsi="Book Antiqua"/>
          <w:b/>
          <w:color w:val="000000" w:themeColor="text1"/>
          <w:lang w:eastAsia="zh-CN"/>
        </w:rPr>
      </w:pPr>
      <w:r w:rsidRPr="00DD6459">
        <w:rPr>
          <w:rFonts w:ascii="Book Antiqua" w:hAnsi="Book Antiqua"/>
          <w:b/>
          <w:color w:val="000000" w:themeColor="text1"/>
        </w:rPr>
        <w:t xml:space="preserve">Manuscript Type: </w:t>
      </w:r>
      <w:r w:rsidRPr="00DD6459">
        <w:rPr>
          <w:rFonts w:ascii="Book Antiqua" w:hAnsi="Book Antiqua"/>
          <w:b/>
          <w:caps/>
          <w:color w:val="000000" w:themeColor="text1"/>
        </w:rPr>
        <w:t>Review</w:t>
      </w:r>
      <w:r w:rsidR="0038742B" w:rsidRPr="00DD6459">
        <w:rPr>
          <w:rFonts w:ascii="Book Antiqua" w:eastAsia="SimSun" w:hAnsi="Book Antiqua"/>
          <w:b/>
          <w:color w:val="000000" w:themeColor="text1"/>
          <w:lang w:eastAsia="zh-CN"/>
        </w:rPr>
        <w:t xml:space="preserve"> </w:t>
      </w:r>
    </w:p>
    <w:p w14:paraId="6BFB2A6B" w14:textId="77777777" w:rsidR="008B71C9" w:rsidRPr="00F65D45" w:rsidRDefault="008B71C9" w:rsidP="00F65D45">
      <w:pPr>
        <w:widowControl w:val="0"/>
        <w:snapToGrid w:val="0"/>
        <w:spacing w:line="360" w:lineRule="auto"/>
        <w:jc w:val="both"/>
        <w:rPr>
          <w:rFonts w:ascii="Book Antiqua" w:eastAsia="SimSun" w:hAnsi="Book Antiqua"/>
          <w:b/>
          <w:color w:val="000000" w:themeColor="text1"/>
          <w:lang w:eastAsia="zh-CN"/>
        </w:rPr>
      </w:pPr>
    </w:p>
    <w:p w14:paraId="250C1BA8" w14:textId="4559D6DE" w:rsidR="00044F9C" w:rsidRPr="00F65D45" w:rsidRDefault="00044F9C" w:rsidP="00F65D45">
      <w:pPr>
        <w:widowControl w:val="0"/>
        <w:snapToGrid w:val="0"/>
        <w:spacing w:line="360" w:lineRule="auto"/>
        <w:jc w:val="both"/>
        <w:rPr>
          <w:rFonts w:ascii="Book Antiqua" w:eastAsia="SimSun" w:hAnsi="Book Antiqua"/>
          <w:b/>
          <w:color w:val="000000" w:themeColor="text1"/>
          <w:lang w:eastAsia="zh-CN"/>
        </w:rPr>
      </w:pPr>
      <w:r w:rsidRPr="00F65D45">
        <w:rPr>
          <w:rFonts w:ascii="Book Antiqua" w:hAnsi="Book Antiqua"/>
          <w:b/>
          <w:color w:val="000000" w:themeColor="text1"/>
        </w:rPr>
        <w:t xml:space="preserve">Proton </w:t>
      </w:r>
      <w:r w:rsidR="005C0CE4" w:rsidRPr="00F65D45">
        <w:rPr>
          <w:rFonts w:ascii="Book Antiqua" w:hAnsi="Book Antiqua"/>
          <w:b/>
          <w:color w:val="000000" w:themeColor="text1"/>
        </w:rPr>
        <w:t>therapy for hepatocellular carcinoma</w:t>
      </w:r>
      <w:r w:rsidRPr="00F65D45">
        <w:rPr>
          <w:rFonts w:ascii="Book Antiqua" w:hAnsi="Book Antiqua"/>
          <w:b/>
          <w:color w:val="000000" w:themeColor="text1"/>
        </w:rPr>
        <w:t xml:space="preserve">: Current </w:t>
      </w:r>
      <w:r w:rsidR="005C0CE4" w:rsidRPr="00F65D45">
        <w:rPr>
          <w:rFonts w:ascii="Book Antiqua" w:hAnsi="Book Antiqua"/>
          <w:b/>
          <w:color w:val="000000" w:themeColor="text1"/>
        </w:rPr>
        <w:t>knowledge and future perspectives</w:t>
      </w:r>
    </w:p>
    <w:p w14:paraId="5C8DCDC7" w14:textId="77777777" w:rsidR="00044F9C" w:rsidRPr="00F65D45" w:rsidRDefault="00044F9C" w:rsidP="00F65D45">
      <w:pPr>
        <w:widowControl w:val="0"/>
        <w:snapToGrid w:val="0"/>
        <w:spacing w:line="360" w:lineRule="auto"/>
        <w:jc w:val="both"/>
        <w:rPr>
          <w:rFonts w:ascii="Book Antiqua" w:eastAsia="SimSun" w:hAnsi="Book Antiqua"/>
          <w:color w:val="000000" w:themeColor="text1"/>
          <w:lang w:eastAsia="zh-CN"/>
        </w:rPr>
      </w:pPr>
    </w:p>
    <w:p w14:paraId="78FD29A6" w14:textId="3F414A8A" w:rsidR="00740AC8" w:rsidRPr="00F65D45" w:rsidRDefault="005C0CE4" w:rsidP="00F65D45">
      <w:pPr>
        <w:pStyle w:val="1"/>
        <w:snapToGrid w:val="0"/>
        <w:spacing w:line="360" w:lineRule="auto"/>
        <w:jc w:val="both"/>
        <w:rPr>
          <w:rFonts w:ascii="Book Antiqua" w:hAnsi="Book Antiqua" w:cs="Times New Roman"/>
          <w:color w:val="000000" w:themeColor="text1"/>
          <w:sz w:val="24"/>
          <w:szCs w:val="24"/>
          <w:highlight w:val="white"/>
          <w:lang w:val="en-US" w:eastAsia="zh-CN"/>
        </w:rPr>
      </w:pPr>
      <w:bookmarkStart w:id="4" w:name="OLE_LINK122"/>
      <w:bookmarkStart w:id="5" w:name="OLE_LINK123"/>
      <w:bookmarkStart w:id="6" w:name="OLE_LINK221"/>
      <w:bookmarkStart w:id="7" w:name="OLE_LINK230"/>
      <w:bookmarkStart w:id="8" w:name="OLE_LINK342"/>
      <w:bookmarkStart w:id="9" w:name="OLE_LINK401"/>
      <w:bookmarkStart w:id="10" w:name="OLE_LINK576"/>
      <w:bookmarkStart w:id="11" w:name="OLE_LINK605"/>
      <w:bookmarkStart w:id="12" w:name="OLE_LINK638"/>
      <w:bookmarkStart w:id="13" w:name="OLE_LINK732"/>
      <w:bookmarkStart w:id="14" w:name="OLE_LINK850"/>
      <w:bookmarkStart w:id="15" w:name="OLE_LINK868"/>
      <w:bookmarkStart w:id="16" w:name="OLE_LINK901"/>
      <w:bookmarkStart w:id="17" w:name="OLE_LINK931"/>
      <w:bookmarkStart w:id="18" w:name="OLE_LINK972"/>
      <w:bookmarkStart w:id="19" w:name="OLE_LINK1002"/>
      <w:bookmarkStart w:id="20" w:name="OLE_LINK1025"/>
      <w:bookmarkStart w:id="21" w:name="OLE_LINK1090"/>
      <w:r w:rsidRPr="00F65D45">
        <w:rPr>
          <w:rFonts w:ascii="Book Antiqua" w:hAnsi="Book Antiqua"/>
          <w:color w:val="000000" w:themeColor="text1"/>
          <w:sz w:val="24"/>
          <w:szCs w:val="24"/>
        </w:rPr>
        <w:t>Yoo</w:t>
      </w:r>
      <w:r w:rsidRPr="00F65D45">
        <w:rPr>
          <w:rFonts w:ascii="Book Antiqua" w:hAnsi="Book Antiqua" w:cs="Times New Roman"/>
          <w:color w:val="000000" w:themeColor="text1"/>
          <w:sz w:val="24"/>
          <w:szCs w:val="24"/>
          <w:highlight w:val="white"/>
          <w:lang w:val="en-US" w:eastAsia="zh-CN"/>
        </w:rPr>
        <w:t xml:space="preserve"> GS </w:t>
      </w:r>
      <w:r w:rsidRPr="00F65D45">
        <w:rPr>
          <w:rFonts w:ascii="Book Antiqua" w:hAnsi="Book Antiqua" w:cs="Times New Roman"/>
          <w:i/>
          <w:color w:val="000000" w:themeColor="text1"/>
          <w:sz w:val="24"/>
          <w:szCs w:val="24"/>
          <w:highlight w:val="white"/>
          <w:lang w:val="en-US" w:eastAsia="zh-CN"/>
        </w:rPr>
        <w:t>et al</w:t>
      </w:r>
      <w:r w:rsidRPr="00F65D45">
        <w:rPr>
          <w:rFonts w:ascii="Book Antiqua" w:hAnsi="Book Antiqua" w:cs="Times New Roman"/>
          <w:color w:val="000000" w:themeColor="text1"/>
          <w:sz w:val="24"/>
          <w:szCs w:val="24"/>
          <w:highlight w:val="white"/>
          <w:lang w:val="en-US" w:eastAsia="zh-CN"/>
        </w:rPr>
        <w:t>. Proton therapy for HCC</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05F016ED" w14:textId="77777777" w:rsidR="00740AC8" w:rsidRPr="00F65D45" w:rsidRDefault="00740AC8" w:rsidP="00F65D45">
      <w:pPr>
        <w:widowControl w:val="0"/>
        <w:snapToGrid w:val="0"/>
        <w:spacing w:line="360" w:lineRule="auto"/>
        <w:jc w:val="both"/>
        <w:rPr>
          <w:rFonts w:ascii="Book Antiqua" w:eastAsia="SimSun" w:hAnsi="Book Antiqua"/>
          <w:color w:val="000000" w:themeColor="text1"/>
          <w:lang w:eastAsia="zh-CN"/>
        </w:rPr>
      </w:pPr>
    </w:p>
    <w:p w14:paraId="471C2BA7" w14:textId="51CD341B" w:rsidR="00044F9C" w:rsidRPr="00F65D45" w:rsidRDefault="00F36E85"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color w:val="000000" w:themeColor="text1"/>
        </w:rPr>
        <w:t>Gyu Sang Yoo</w:t>
      </w:r>
      <w:r w:rsidR="00044F9C" w:rsidRPr="00F65D45">
        <w:rPr>
          <w:rFonts w:ascii="Book Antiqua" w:hAnsi="Book Antiqua"/>
          <w:color w:val="000000" w:themeColor="text1"/>
        </w:rPr>
        <w:t xml:space="preserve">, Jeong Il Yu, </w:t>
      </w:r>
      <w:r w:rsidRPr="00F65D45">
        <w:rPr>
          <w:rFonts w:ascii="Book Antiqua" w:hAnsi="Book Antiqua"/>
          <w:color w:val="000000" w:themeColor="text1"/>
        </w:rPr>
        <w:t>Hee Chul Park</w:t>
      </w:r>
    </w:p>
    <w:p w14:paraId="1EC36FC6"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4AA3CB0E" w14:textId="76C2C1F0" w:rsidR="00044F9C" w:rsidRPr="00F65D45" w:rsidRDefault="001958AF"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b/>
          <w:color w:val="000000" w:themeColor="text1"/>
        </w:rPr>
        <w:t>Gyu Sang Yoo, Jeong Il Yu, Hee Chul Park</w:t>
      </w:r>
      <w:r w:rsidRPr="00F65D45">
        <w:rPr>
          <w:rFonts w:ascii="Book Antiqua" w:eastAsia="SimSun" w:hAnsi="Book Antiqua"/>
          <w:b/>
          <w:color w:val="000000" w:themeColor="text1"/>
          <w:lang w:eastAsia="zh-CN"/>
        </w:rPr>
        <w:t>,</w:t>
      </w:r>
      <w:r w:rsidRPr="00F65D45">
        <w:rPr>
          <w:rFonts w:ascii="Book Antiqua" w:eastAsia="SimSun" w:hAnsi="Book Antiqua"/>
          <w:color w:val="000000" w:themeColor="text1"/>
          <w:lang w:eastAsia="zh-CN"/>
        </w:rPr>
        <w:t xml:space="preserve"> </w:t>
      </w:r>
      <w:r w:rsidR="00044F9C" w:rsidRPr="00F65D45">
        <w:rPr>
          <w:rFonts w:ascii="Book Antiqua" w:hAnsi="Book Antiqua"/>
          <w:color w:val="000000" w:themeColor="text1"/>
        </w:rPr>
        <w:t>Department of Radiation Oncology, Samsung Medical Center, Sungkyunkwan University School of Medicine, Seoul</w:t>
      </w:r>
      <w:r w:rsidR="00E23071" w:rsidRPr="00F65D45">
        <w:rPr>
          <w:rFonts w:ascii="Book Antiqua" w:hAnsi="Book Antiqua"/>
          <w:color w:val="000000" w:themeColor="text1"/>
        </w:rPr>
        <w:t xml:space="preserve"> 06355</w:t>
      </w:r>
      <w:r w:rsidR="00044F9C" w:rsidRPr="00F65D45">
        <w:rPr>
          <w:rFonts w:ascii="Book Antiqua" w:hAnsi="Book Antiqua"/>
          <w:color w:val="000000" w:themeColor="text1"/>
        </w:rPr>
        <w:t>, South Korea</w:t>
      </w:r>
    </w:p>
    <w:p w14:paraId="0C584BF6" w14:textId="77777777" w:rsidR="00F207C7" w:rsidRPr="00F65D45" w:rsidRDefault="00F207C7" w:rsidP="00F65D45">
      <w:pPr>
        <w:widowControl w:val="0"/>
        <w:snapToGrid w:val="0"/>
        <w:spacing w:line="360" w:lineRule="auto"/>
        <w:jc w:val="both"/>
        <w:rPr>
          <w:rFonts w:ascii="Book Antiqua" w:eastAsia="SimSun" w:hAnsi="Book Antiqua"/>
          <w:color w:val="000000" w:themeColor="text1"/>
          <w:lang w:eastAsia="zh-CN"/>
        </w:rPr>
      </w:pPr>
    </w:p>
    <w:p w14:paraId="08B1C6E9" w14:textId="37B501CB" w:rsidR="00044F9C" w:rsidRPr="00F65D45" w:rsidRDefault="00F207C7"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b/>
          <w:color w:val="000000" w:themeColor="text1"/>
        </w:rPr>
        <w:t>Hee Chul Park</w:t>
      </w:r>
      <w:r w:rsidRPr="00F65D45">
        <w:rPr>
          <w:rFonts w:ascii="Book Antiqua" w:eastAsia="SimSun" w:hAnsi="Book Antiqua"/>
          <w:b/>
          <w:color w:val="000000" w:themeColor="text1"/>
          <w:lang w:eastAsia="zh-CN"/>
        </w:rPr>
        <w:t>,</w:t>
      </w:r>
      <w:r w:rsidRPr="00F65D45">
        <w:rPr>
          <w:rFonts w:ascii="Book Antiqua" w:eastAsia="SimSun" w:hAnsi="Book Antiqua"/>
          <w:color w:val="000000" w:themeColor="text1"/>
          <w:lang w:eastAsia="zh-CN"/>
        </w:rPr>
        <w:t xml:space="preserve"> </w:t>
      </w:r>
      <w:r w:rsidRPr="00F65D45">
        <w:rPr>
          <w:rFonts w:ascii="Book Antiqua" w:hAnsi="Book Antiqua"/>
          <w:color w:val="000000" w:themeColor="text1"/>
        </w:rPr>
        <w:t xml:space="preserve">Department of Medical Device Management and Research, Samsung Advanced Institute for Health Sciences and Technology, </w:t>
      </w:r>
      <w:r w:rsidR="00C657CB" w:rsidRPr="00F65D45">
        <w:rPr>
          <w:rFonts w:ascii="Book Antiqua" w:hAnsi="Book Antiqua"/>
          <w:color w:val="000000" w:themeColor="text1"/>
        </w:rPr>
        <w:t>Sungkyunkwan University,</w:t>
      </w:r>
      <w:r w:rsidR="00C657CB" w:rsidRPr="00F65D45">
        <w:rPr>
          <w:rFonts w:ascii="Book Antiqua" w:eastAsia="SimSun" w:hAnsi="Book Antiqua"/>
          <w:color w:val="000000" w:themeColor="text1"/>
          <w:lang w:eastAsia="zh-CN"/>
        </w:rPr>
        <w:t xml:space="preserve"> </w:t>
      </w:r>
      <w:r w:rsidRPr="00F65D45">
        <w:rPr>
          <w:rFonts w:ascii="Book Antiqua" w:hAnsi="Book Antiqua"/>
          <w:color w:val="000000" w:themeColor="text1"/>
        </w:rPr>
        <w:t>Seoul 06355, South Korea</w:t>
      </w:r>
    </w:p>
    <w:p w14:paraId="3266C940" w14:textId="77777777" w:rsidR="00F207C7" w:rsidRPr="00F65D45" w:rsidRDefault="00F207C7" w:rsidP="00F65D45">
      <w:pPr>
        <w:widowControl w:val="0"/>
        <w:snapToGrid w:val="0"/>
        <w:spacing w:line="360" w:lineRule="auto"/>
        <w:jc w:val="both"/>
        <w:rPr>
          <w:rFonts w:ascii="Book Antiqua" w:eastAsia="SimSun" w:hAnsi="Book Antiqua"/>
          <w:b/>
          <w:color w:val="000000" w:themeColor="text1"/>
          <w:lang w:eastAsia="zh-CN"/>
        </w:rPr>
      </w:pPr>
    </w:p>
    <w:p w14:paraId="27287E8F" w14:textId="78CDEEAE" w:rsidR="00044F9C" w:rsidRPr="00F65D45" w:rsidRDefault="00044F9C"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b/>
          <w:color w:val="000000" w:themeColor="text1"/>
        </w:rPr>
        <w:t>ORCID number:</w:t>
      </w:r>
      <w:r w:rsidRPr="00F65D45">
        <w:rPr>
          <w:rFonts w:ascii="Book Antiqua" w:hAnsi="Book Antiqua"/>
          <w:color w:val="000000" w:themeColor="text1"/>
        </w:rPr>
        <w:t xml:space="preserve"> Gyu Sang Yoo (0000-0002-5542-5263)</w:t>
      </w:r>
      <w:r w:rsidR="00C3722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Jeong Il Yu (</w:t>
      </w:r>
      <w:r w:rsidR="00C41520" w:rsidRPr="00F65D45">
        <w:rPr>
          <w:rFonts w:ascii="Book Antiqua" w:hAnsi="Book Antiqua"/>
          <w:color w:val="000000" w:themeColor="text1"/>
        </w:rPr>
        <w:t>0000-0002-2009-7263</w:t>
      </w:r>
      <w:r w:rsidRPr="00F65D45">
        <w:rPr>
          <w:rFonts w:ascii="Book Antiqua" w:hAnsi="Book Antiqua"/>
          <w:color w:val="000000" w:themeColor="text1"/>
        </w:rPr>
        <w:t>)</w:t>
      </w:r>
      <w:r w:rsidR="00C3722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Hee Chul Park (0000-0003-0385-9681)</w:t>
      </w:r>
      <w:r w:rsidR="00FA7BE8" w:rsidRPr="00F65D45">
        <w:rPr>
          <w:rFonts w:ascii="Book Antiqua" w:eastAsia="SimSun" w:hAnsi="Book Antiqua"/>
          <w:color w:val="000000" w:themeColor="text1"/>
          <w:lang w:eastAsia="zh-CN"/>
        </w:rPr>
        <w:t>.</w:t>
      </w:r>
    </w:p>
    <w:p w14:paraId="094A283A" w14:textId="77777777" w:rsidR="008B71C9" w:rsidRPr="00F65D45" w:rsidRDefault="008B71C9" w:rsidP="00F65D45">
      <w:pPr>
        <w:widowControl w:val="0"/>
        <w:snapToGrid w:val="0"/>
        <w:spacing w:line="360" w:lineRule="auto"/>
        <w:jc w:val="both"/>
        <w:rPr>
          <w:rFonts w:ascii="Book Antiqua" w:eastAsia="SimSun" w:hAnsi="Book Antiqua"/>
          <w:color w:val="000000" w:themeColor="text1"/>
          <w:lang w:eastAsia="zh-CN"/>
        </w:rPr>
      </w:pPr>
    </w:p>
    <w:p w14:paraId="578C0A57" w14:textId="3F2F0A2C"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b/>
          <w:color w:val="000000" w:themeColor="text1"/>
        </w:rPr>
        <w:t>Author contributions:</w:t>
      </w:r>
      <w:r w:rsidRPr="00F65D45">
        <w:rPr>
          <w:rFonts w:ascii="Book Antiqua" w:hAnsi="Book Antiqua"/>
          <w:color w:val="000000" w:themeColor="text1"/>
        </w:rPr>
        <w:t xml:space="preserve"> Yoo</w:t>
      </w:r>
      <w:r w:rsidR="004E2399" w:rsidRPr="00F65D45">
        <w:rPr>
          <w:rFonts w:ascii="Book Antiqua" w:eastAsia="SimSun" w:hAnsi="Book Antiqua"/>
          <w:color w:val="000000" w:themeColor="text1"/>
          <w:lang w:eastAsia="zh-CN"/>
        </w:rPr>
        <w:t xml:space="preserve"> GS</w:t>
      </w:r>
      <w:r w:rsidRPr="00F65D45">
        <w:rPr>
          <w:rFonts w:ascii="Book Antiqua" w:hAnsi="Book Antiqua"/>
          <w:color w:val="000000" w:themeColor="text1"/>
        </w:rPr>
        <w:t>, Yu</w:t>
      </w:r>
      <w:r w:rsidR="004E2399" w:rsidRPr="00F65D45">
        <w:rPr>
          <w:rFonts w:ascii="Book Antiqua" w:eastAsia="SimSun" w:hAnsi="Book Antiqua"/>
          <w:color w:val="000000" w:themeColor="text1"/>
          <w:lang w:eastAsia="zh-CN"/>
        </w:rPr>
        <w:t xml:space="preserve"> JI</w:t>
      </w:r>
      <w:r w:rsidRPr="00F65D45">
        <w:rPr>
          <w:rFonts w:ascii="Book Antiqua" w:hAnsi="Book Antiqua"/>
          <w:color w:val="000000" w:themeColor="text1"/>
        </w:rPr>
        <w:t xml:space="preserve"> and Park </w:t>
      </w:r>
      <w:r w:rsidR="004E2399" w:rsidRPr="00F65D45">
        <w:rPr>
          <w:rFonts w:ascii="Book Antiqua" w:eastAsia="SimSun" w:hAnsi="Book Antiqua"/>
          <w:color w:val="000000" w:themeColor="text1"/>
          <w:lang w:eastAsia="zh-CN"/>
        </w:rPr>
        <w:t xml:space="preserve">HC </w:t>
      </w:r>
      <w:r w:rsidR="004E2399" w:rsidRPr="00F65D45">
        <w:rPr>
          <w:rFonts w:ascii="Book Antiqua" w:hAnsi="Book Antiqua"/>
          <w:color w:val="000000" w:themeColor="text1"/>
        </w:rPr>
        <w:t xml:space="preserve">contributed </w:t>
      </w:r>
      <w:r w:rsidRPr="00F65D45">
        <w:rPr>
          <w:rFonts w:ascii="Book Antiqua" w:hAnsi="Book Antiqua"/>
          <w:color w:val="000000" w:themeColor="text1"/>
        </w:rPr>
        <w:t xml:space="preserve">equally to this manuscript, including design of </w:t>
      </w:r>
      <w:r w:rsidR="004E2399" w:rsidRPr="00F65D45">
        <w:rPr>
          <w:rFonts w:ascii="Book Antiqua" w:hAnsi="Book Antiqua"/>
          <w:color w:val="000000" w:themeColor="text1"/>
        </w:rPr>
        <w:t>the study and literature review</w:t>
      </w:r>
      <w:r w:rsidR="004E2399"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Park HC supervised the project.</w:t>
      </w:r>
    </w:p>
    <w:p w14:paraId="208A37BF" w14:textId="77777777" w:rsidR="00385E51" w:rsidRPr="00F65D45" w:rsidRDefault="00385E51" w:rsidP="00F65D45">
      <w:pPr>
        <w:widowControl w:val="0"/>
        <w:snapToGrid w:val="0"/>
        <w:spacing w:line="360" w:lineRule="auto"/>
        <w:jc w:val="both"/>
        <w:rPr>
          <w:rFonts w:ascii="Book Antiqua" w:hAnsi="Book Antiqua"/>
          <w:color w:val="000000" w:themeColor="text1"/>
        </w:rPr>
      </w:pPr>
    </w:p>
    <w:p w14:paraId="72D6E575" w14:textId="67277404" w:rsidR="00385E51" w:rsidRPr="00F65D45" w:rsidRDefault="00385E51" w:rsidP="00F65D45">
      <w:pPr>
        <w:widowControl w:val="0"/>
        <w:snapToGrid w:val="0"/>
        <w:spacing w:line="360" w:lineRule="auto"/>
        <w:jc w:val="both"/>
        <w:rPr>
          <w:rFonts w:ascii="Book Antiqua" w:hAnsi="Book Antiqua"/>
          <w:color w:val="000000" w:themeColor="text1"/>
        </w:rPr>
      </w:pPr>
      <w:r w:rsidRPr="00F65D45">
        <w:rPr>
          <w:rFonts w:ascii="Book Antiqua" w:hAnsi="Book Antiqua"/>
          <w:b/>
          <w:color w:val="000000" w:themeColor="text1"/>
        </w:rPr>
        <w:t>Supported by</w:t>
      </w:r>
      <w:r w:rsidRPr="00F65D45">
        <w:rPr>
          <w:rFonts w:ascii="Book Antiqua" w:hAnsi="Book Antiqua"/>
          <w:color w:val="000000" w:themeColor="text1"/>
        </w:rPr>
        <w:t xml:space="preserve"> a </w:t>
      </w:r>
      <w:r w:rsidR="00F207C7" w:rsidRPr="00F65D45">
        <w:rPr>
          <w:rFonts w:ascii="Book Antiqua" w:hAnsi="Book Antiqua"/>
          <w:color w:val="000000" w:themeColor="text1"/>
        </w:rPr>
        <w:t xml:space="preserve">Grant </w:t>
      </w:r>
      <w:r w:rsidRPr="00F65D45">
        <w:rPr>
          <w:rFonts w:ascii="Book Antiqua" w:hAnsi="Book Antiqua"/>
          <w:color w:val="000000" w:themeColor="text1"/>
        </w:rPr>
        <w:t xml:space="preserve">from the Marine Biotechnology Program funded by the Ministry of Oceans and Fisheries, </w:t>
      </w:r>
      <w:r w:rsidR="00F207C7" w:rsidRPr="00F65D45">
        <w:rPr>
          <w:rFonts w:ascii="Book Antiqua" w:eastAsia="SimSun" w:hAnsi="Book Antiqua"/>
          <w:color w:val="000000" w:themeColor="text1"/>
          <w:lang w:eastAsia="zh-CN"/>
        </w:rPr>
        <w:t xml:space="preserve">South </w:t>
      </w:r>
      <w:r w:rsidRPr="00F65D45">
        <w:rPr>
          <w:rFonts w:ascii="Book Antiqua" w:hAnsi="Book Antiqua"/>
          <w:color w:val="000000" w:themeColor="text1"/>
        </w:rPr>
        <w:t>Korea</w:t>
      </w:r>
      <w:r w:rsidR="00F207C7" w:rsidRPr="00F65D45">
        <w:rPr>
          <w:rFonts w:ascii="Book Antiqua" w:eastAsia="SimSun" w:hAnsi="Book Antiqua"/>
          <w:color w:val="000000" w:themeColor="text1"/>
          <w:lang w:eastAsia="zh-CN"/>
        </w:rPr>
        <w:t xml:space="preserve">, No. </w:t>
      </w:r>
      <w:r w:rsidR="00F207C7" w:rsidRPr="00F65D45">
        <w:rPr>
          <w:rFonts w:ascii="Book Antiqua" w:hAnsi="Book Antiqua"/>
          <w:color w:val="000000" w:themeColor="text1"/>
        </w:rPr>
        <w:t>20150220</w:t>
      </w:r>
      <w:r w:rsidRPr="00F65D45">
        <w:rPr>
          <w:rFonts w:ascii="Book Antiqua" w:hAnsi="Book Antiqua"/>
          <w:color w:val="000000" w:themeColor="text1"/>
        </w:rPr>
        <w:t>.</w:t>
      </w:r>
    </w:p>
    <w:p w14:paraId="3DFB0C3F" w14:textId="77777777" w:rsidR="00385E51" w:rsidRPr="00F65D45" w:rsidRDefault="00385E51" w:rsidP="00F65D45">
      <w:pPr>
        <w:widowControl w:val="0"/>
        <w:snapToGrid w:val="0"/>
        <w:spacing w:line="360" w:lineRule="auto"/>
        <w:jc w:val="both"/>
        <w:rPr>
          <w:rFonts w:ascii="Book Antiqua" w:hAnsi="Book Antiqua"/>
          <w:color w:val="000000" w:themeColor="text1"/>
        </w:rPr>
      </w:pPr>
    </w:p>
    <w:p w14:paraId="64087B81" w14:textId="77777777" w:rsidR="00044F9C" w:rsidRPr="00F65D45" w:rsidRDefault="00044F9C"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b/>
          <w:color w:val="000000" w:themeColor="text1"/>
        </w:rPr>
        <w:t xml:space="preserve">Conflict-of-interest statement: </w:t>
      </w:r>
      <w:r w:rsidRPr="00F65D45">
        <w:rPr>
          <w:rFonts w:ascii="Book Antiqua" w:hAnsi="Book Antiqua"/>
          <w:color w:val="000000" w:themeColor="text1"/>
        </w:rPr>
        <w:t>No potential conflicts of interest.</w:t>
      </w:r>
    </w:p>
    <w:p w14:paraId="6F216407" w14:textId="77777777" w:rsidR="00F207C7" w:rsidRPr="00F65D45" w:rsidRDefault="00F207C7" w:rsidP="00F65D45">
      <w:pPr>
        <w:spacing w:line="360" w:lineRule="auto"/>
        <w:jc w:val="both"/>
        <w:rPr>
          <w:rFonts w:ascii="Book Antiqua" w:eastAsia="SimSun" w:hAnsi="Book Antiqua"/>
          <w:color w:val="000000" w:themeColor="text1"/>
          <w:highlight w:val="yellow"/>
          <w:lang w:eastAsia="zh-CN"/>
        </w:rPr>
      </w:pPr>
    </w:p>
    <w:p w14:paraId="6F075FB2" w14:textId="0F4A8E83" w:rsidR="00F207C7" w:rsidRPr="00F65D45" w:rsidRDefault="00F207C7" w:rsidP="00F65D45">
      <w:pPr>
        <w:spacing w:line="360" w:lineRule="auto"/>
        <w:jc w:val="both"/>
        <w:rPr>
          <w:rFonts w:ascii="Book Antiqua" w:hAnsi="Book Antiqua"/>
          <w:color w:val="000000" w:themeColor="text1"/>
        </w:rPr>
      </w:pPr>
      <w:bookmarkStart w:id="22" w:name="OLE_LINK507"/>
      <w:bookmarkStart w:id="23" w:name="OLE_LINK506"/>
      <w:bookmarkStart w:id="24" w:name="OLE_LINK496"/>
      <w:bookmarkStart w:id="25" w:name="OLE_LINK479"/>
      <w:r w:rsidRPr="00F65D45">
        <w:rPr>
          <w:rFonts w:ascii="Book Antiqua" w:hAnsi="Book Antiqua"/>
          <w:b/>
          <w:color w:val="000000" w:themeColor="text1"/>
        </w:rPr>
        <w:lastRenderedPageBreak/>
        <w:t xml:space="preserve">Open-Access: </w:t>
      </w:r>
      <w:r w:rsidRPr="00F65D45">
        <w:rPr>
          <w:rFonts w:ascii="Book Antiqua" w:hAnsi="Book Antiqua"/>
          <w:color w:val="000000" w:themeColor="text1"/>
        </w:rPr>
        <w:t>This article is an open-access article which was selected by</w:t>
      </w:r>
      <w:r w:rsidR="00C3722F" w:rsidRPr="00F65D45">
        <w:rPr>
          <w:rFonts w:ascii="Book Antiqua" w:eastAsia="SimSun" w:hAnsi="Book Antiqua"/>
          <w:color w:val="000000" w:themeColor="text1"/>
          <w:lang w:eastAsia="zh-CN"/>
        </w:rPr>
        <w:t xml:space="preserve"> </w:t>
      </w:r>
      <w:r w:rsidRPr="00F65D45">
        <w:rPr>
          <w:rFonts w:ascii="Book Antiqua" w:hAnsi="Book Antiqua"/>
          <w:color w:val="000000" w:themeColor="text1"/>
        </w:rPr>
        <w:t>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bookmarkEnd w:id="23"/>
      <w:bookmarkEnd w:id="24"/>
      <w:bookmarkEnd w:id="25"/>
    </w:p>
    <w:p w14:paraId="08EF12F3" w14:textId="77777777" w:rsidR="00F207C7" w:rsidRPr="00F65D45" w:rsidRDefault="00F207C7" w:rsidP="00F65D45">
      <w:pPr>
        <w:spacing w:line="360" w:lineRule="auto"/>
        <w:jc w:val="both"/>
        <w:rPr>
          <w:rFonts w:ascii="Book Antiqua" w:hAnsi="Book Antiqua"/>
          <w:b/>
          <w:color w:val="000000" w:themeColor="text1"/>
          <w:lang w:eastAsia="zh-CN"/>
        </w:rPr>
      </w:pPr>
    </w:p>
    <w:p w14:paraId="56B69B50" w14:textId="77777777" w:rsidR="00F207C7" w:rsidRPr="00F65D45" w:rsidRDefault="00F207C7" w:rsidP="00F65D45">
      <w:pPr>
        <w:spacing w:line="360" w:lineRule="auto"/>
        <w:jc w:val="both"/>
        <w:rPr>
          <w:rFonts w:ascii="Book Antiqua" w:hAnsi="Book Antiqua"/>
          <w:b/>
          <w:color w:val="000000" w:themeColor="text1"/>
          <w:lang w:eastAsia="zh-CN"/>
        </w:rPr>
      </w:pPr>
      <w:r w:rsidRPr="00F65D45">
        <w:rPr>
          <w:rFonts w:ascii="Book Antiqua" w:hAnsi="Book Antiqua"/>
          <w:b/>
          <w:color w:val="000000" w:themeColor="text1"/>
        </w:rPr>
        <w:t>Manuscript source:</w:t>
      </w:r>
      <w:r w:rsidRPr="00F65D45">
        <w:rPr>
          <w:rFonts w:ascii="Book Antiqua" w:hAnsi="Book Antiqua"/>
          <w:color w:val="000000" w:themeColor="text1"/>
        </w:rPr>
        <w:t xml:space="preserve"> Invited manuscript</w:t>
      </w:r>
    </w:p>
    <w:p w14:paraId="3A49F076" w14:textId="77777777" w:rsidR="00C3722F" w:rsidRPr="00F65D45" w:rsidRDefault="00C3722F" w:rsidP="00F65D45">
      <w:pPr>
        <w:widowControl w:val="0"/>
        <w:snapToGrid w:val="0"/>
        <w:spacing w:line="360" w:lineRule="auto"/>
        <w:jc w:val="both"/>
        <w:rPr>
          <w:rFonts w:ascii="Book Antiqua" w:eastAsia="SimSun" w:hAnsi="Book Antiqua"/>
          <w:color w:val="000000" w:themeColor="text1"/>
          <w:lang w:eastAsia="zh-CN"/>
        </w:rPr>
      </w:pPr>
    </w:p>
    <w:p w14:paraId="509123A3" w14:textId="4843ACF9" w:rsidR="00044F9C" w:rsidRPr="00F65D45" w:rsidRDefault="00044F9C"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b/>
          <w:color w:val="000000" w:themeColor="text1"/>
        </w:rPr>
        <w:t>Correspondence to:</w:t>
      </w:r>
      <w:r w:rsidRPr="00F65D45">
        <w:rPr>
          <w:rFonts w:ascii="Book Antiqua" w:hAnsi="Book Antiqua"/>
          <w:color w:val="000000" w:themeColor="text1"/>
        </w:rPr>
        <w:t xml:space="preserve"> </w:t>
      </w:r>
      <w:r w:rsidRPr="00F65D45">
        <w:rPr>
          <w:rFonts w:ascii="Book Antiqua" w:hAnsi="Book Antiqua"/>
          <w:b/>
          <w:color w:val="000000" w:themeColor="text1"/>
        </w:rPr>
        <w:t>Hee Chul Park, MD, PhD,</w:t>
      </w:r>
      <w:r w:rsidRPr="00F65D45">
        <w:rPr>
          <w:rFonts w:ascii="Book Antiqua" w:hAnsi="Book Antiqua"/>
          <w:color w:val="000000" w:themeColor="text1"/>
        </w:rPr>
        <w:t xml:space="preserve"> </w:t>
      </w:r>
      <w:r w:rsidR="00F207C7" w:rsidRPr="00F65D45">
        <w:rPr>
          <w:rFonts w:ascii="Book Antiqua" w:hAnsi="Book Antiqua"/>
          <w:b/>
          <w:color w:val="000000" w:themeColor="text1"/>
        </w:rPr>
        <w:t>Professor,</w:t>
      </w:r>
      <w:r w:rsidR="00F207C7" w:rsidRPr="00F65D45">
        <w:rPr>
          <w:rFonts w:ascii="Book Antiqua" w:eastAsia="SimSun" w:hAnsi="Book Antiqua"/>
          <w:b/>
          <w:color w:val="000000" w:themeColor="text1"/>
          <w:lang w:eastAsia="zh-CN"/>
        </w:rPr>
        <w:t xml:space="preserve"> </w:t>
      </w:r>
      <w:r w:rsidRPr="00F65D45">
        <w:rPr>
          <w:rFonts w:ascii="Book Antiqua" w:hAnsi="Book Antiqua"/>
          <w:color w:val="000000" w:themeColor="text1"/>
        </w:rPr>
        <w:t xml:space="preserve">Department of Radiation Oncology, Samsung Medical Center, </w:t>
      </w:r>
      <w:r w:rsidR="00F207C7" w:rsidRPr="00F65D45">
        <w:rPr>
          <w:rFonts w:ascii="Book Antiqua" w:hAnsi="Book Antiqua"/>
          <w:color w:val="000000" w:themeColor="text1"/>
        </w:rPr>
        <w:t>Sungkyunkwan University School of Medicine</w:t>
      </w:r>
      <w:r w:rsidRPr="00F65D45">
        <w:rPr>
          <w:rFonts w:ascii="Book Antiqua" w:hAnsi="Book Antiqua"/>
          <w:color w:val="000000" w:themeColor="text1"/>
        </w:rPr>
        <w:t xml:space="preserve">, 81 Irwon-ro, Gangnam-gu, Seoul 06351, </w:t>
      </w:r>
      <w:r w:rsidR="00F207C7" w:rsidRPr="00F65D45">
        <w:rPr>
          <w:rFonts w:ascii="Book Antiqua" w:eastAsia="SimSun" w:hAnsi="Book Antiqua"/>
          <w:color w:val="000000" w:themeColor="text1"/>
          <w:lang w:eastAsia="zh-CN"/>
        </w:rPr>
        <w:t xml:space="preserve">South </w:t>
      </w:r>
      <w:r w:rsidRPr="00F65D45">
        <w:rPr>
          <w:rFonts w:ascii="Book Antiqua" w:hAnsi="Book Antiqua"/>
          <w:color w:val="000000" w:themeColor="text1"/>
        </w:rPr>
        <w:t xml:space="preserve">Korea. </w:t>
      </w:r>
      <w:hyperlink r:id="rId7" w:history="1">
        <w:r w:rsidR="00C3722F" w:rsidRPr="00F65D45">
          <w:rPr>
            <w:rStyle w:val="Hyperlink"/>
            <w:rFonts w:ascii="Book Antiqua" w:hAnsi="Book Antiqua"/>
            <w:color w:val="000000" w:themeColor="text1"/>
          </w:rPr>
          <w:t>hee.ro.park@samsung.com</w:t>
        </w:r>
      </w:hyperlink>
    </w:p>
    <w:p w14:paraId="72065E00" w14:textId="6CC138F1" w:rsidR="00F207C7" w:rsidRPr="00F65D45" w:rsidRDefault="00F207C7"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b/>
          <w:color w:val="000000" w:themeColor="text1"/>
        </w:rPr>
        <w:t>Telephone:</w:t>
      </w:r>
      <w:r w:rsidRPr="00F65D45">
        <w:rPr>
          <w:rFonts w:ascii="Book Antiqua" w:hAnsi="Book Antiqua"/>
          <w:color w:val="000000" w:themeColor="text1"/>
        </w:rPr>
        <w:t xml:space="preserve"> +82-2-34102612</w:t>
      </w:r>
    </w:p>
    <w:p w14:paraId="66C22E2B" w14:textId="79511A5C" w:rsidR="00385E51"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b/>
          <w:color w:val="000000" w:themeColor="text1"/>
        </w:rPr>
        <w:t xml:space="preserve">Fax: </w:t>
      </w:r>
      <w:r w:rsidRPr="00F65D45">
        <w:rPr>
          <w:rFonts w:ascii="Book Antiqua" w:hAnsi="Book Antiqua"/>
          <w:color w:val="000000" w:themeColor="text1"/>
        </w:rPr>
        <w:t xml:space="preserve">+82-2-34102619 </w:t>
      </w:r>
    </w:p>
    <w:p w14:paraId="42721FF5" w14:textId="77777777" w:rsidR="00385E51" w:rsidRPr="00F65D45" w:rsidRDefault="00385E51" w:rsidP="00F65D45">
      <w:pPr>
        <w:widowControl w:val="0"/>
        <w:snapToGrid w:val="0"/>
        <w:spacing w:line="360" w:lineRule="auto"/>
        <w:jc w:val="both"/>
        <w:rPr>
          <w:rFonts w:ascii="Book Antiqua" w:eastAsia="SimSun" w:hAnsi="Book Antiqua"/>
          <w:color w:val="000000" w:themeColor="text1"/>
          <w:lang w:eastAsia="zh-CN"/>
        </w:rPr>
      </w:pPr>
    </w:p>
    <w:p w14:paraId="0269E8CF" w14:textId="487842E7" w:rsidR="00F207C7" w:rsidRPr="00F65D45" w:rsidRDefault="00F207C7" w:rsidP="00F65D45">
      <w:pPr>
        <w:spacing w:line="360" w:lineRule="auto"/>
        <w:jc w:val="both"/>
        <w:rPr>
          <w:rFonts w:ascii="Book Antiqua" w:hAnsi="Book Antiqua"/>
          <w:b/>
          <w:color w:val="000000" w:themeColor="text1"/>
        </w:rPr>
      </w:pPr>
      <w:r w:rsidRPr="00F65D45">
        <w:rPr>
          <w:rFonts w:ascii="Book Antiqua" w:hAnsi="Book Antiqua"/>
          <w:b/>
          <w:color w:val="000000" w:themeColor="text1"/>
        </w:rPr>
        <w:t>Received:</w:t>
      </w:r>
      <w:r w:rsidRPr="00F65D45">
        <w:rPr>
          <w:rFonts w:ascii="Book Antiqua" w:hAnsi="Book Antiqua"/>
          <w:b/>
          <w:color w:val="000000" w:themeColor="text1"/>
          <w:lang w:eastAsia="zh-CN"/>
        </w:rPr>
        <w:t xml:space="preserve"> </w:t>
      </w:r>
      <w:r w:rsidRPr="00F65D45">
        <w:rPr>
          <w:rFonts w:ascii="Book Antiqua" w:hAnsi="Book Antiqua"/>
          <w:color w:val="000000" w:themeColor="text1"/>
          <w:lang w:eastAsia="zh-CN"/>
        </w:rPr>
        <w:t xml:space="preserve">March </w:t>
      </w:r>
      <w:r w:rsidR="00731085" w:rsidRPr="00F65D45">
        <w:rPr>
          <w:rFonts w:ascii="Book Antiqua" w:eastAsia="SimSun" w:hAnsi="Book Antiqua"/>
          <w:color w:val="000000" w:themeColor="text1"/>
          <w:lang w:eastAsia="zh-CN"/>
        </w:rPr>
        <w:t>28</w:t>
      </w:r>
      <w:r w:rsidRPr="00F65D45">
        <w:rPr>
          <w:rFonts w:ascii="Book Antiqua" w:hAnsi="Book Antiqua"/>
          <w:color w:val="000000" w:themeColor="text1"/>
          <w:lang w:eastAsia="zh-CN"/>
        </w:rPr>
        <w:t>, 2018</w:t>
      </w:r>
      <w:r w:rsidRPr="00F65D45">
        <w:rPr>
          <w:rFonts w:ascii="Book Antiqua" w:hAnsi="Book Antiqua"/>
          <w:b/>
          <w:color w:val="000000" w:themeColor="text1"/>
        </w:rPr>
        <w:t xml:space="preserve"> </w:t>
      </w:r>
    </w:p>
    <w:p w14:paraId="3414EC8F" w14:textId="7A0940F4" w:rsidR="00F207C7" w:rsidRPr="00F65D45" w:rsidRDefault="00F207C7" w:rsidP="00F65D45">
      <w:pPr>
        <w:spacing w:line="360" w:lineRule="auto"/>
        <w:jc w:val="both"/>
        <w:rPr>
          <w:rFonts w:ascii="Book Antiqua" w:hAnsi="Book Antiqua"/>
          <w:b/>
          <w:color w:val="000000" w:themeColor="text1"/>
          <w:lang w:eastAsia="zh-CN"/>
        </w:rPr>
      </w:pPr>
      <w:r w:rsidRPr="00F65D45">
        <w:rPr>
          <w:rFonts w:ascii="Book Antiqua" w:hAnsi="Book Antiqua"/>
          <w:b/>
          <w:color w:val="000000" w:themeColor="text1"/>
        </w:rPr>
        <w:t>Peer-review started:</w:t>
      </w:r>
      <w:r w:rsidRPr="00F65D45">
        <w:rPr>
          <w:rFonts w:ascii="Book Antiqua" w:hAnsi="Book Antiqua"/>
          <w:b/>
          <w:color w:val="000000" w:themeColor="text1"/>
          <w:lang w:eastAsia="zh-CN"/>
        </w:rPr>
        <w:t xml:space="preserve"> </w:t>
      </w:r>
      <w:r w:rsidRPr="00F65D45">
        <w:rPr>
          <w:rFonts w:ascii="Book Antiqua" w:hAnsi="Book Antiqua"/>
          <w:color w:val="000000" w:themeColor="text1"/>
          <w:lang w:eastAsia="zh-CN"/>
        </w:rPr>
        <w:t xml:space="preserve">March </w:t>
      </w:r>
      <w:r w:rsidR="00731085" w:rsidRPr="00F65D45">
        <w:rPr>
          <w:rFonts w:ascii="Book Antiqua" w:eastAsia="SimSun" w:hAnsi="Book Antiqua"/>
          <w:color w:val="000000" w:themeColor="text1"/>
          <w:lang w:eastAsia="zh-CN"/>
        </w:rPr>
        <w:t>28</w:t>
      </w:r>
      <w:r w:rsidRPr="00F65D45">
        <w:rPr>
          <w:rFonts w:ascii="Book Antiqua" w:hAnsi="Book Antiqua"/>
          <w:color w:val="000000" w:themeColor="text1"/>
          <w:lang w:eastAsia="zh-CN"/>
        </w:rPr>
        <w:t>, 2018</w:t>
      </w:r>
    </w:p>
    <w:p w14:paraId="21C3F13F" w14:textId="01F187F8" w:rsidR="00F207C7" w:rsidRPr="00F65D45" w:rsidRDefault="00F207C7" w:rsidP="00F65D45">
      <w:pPr>
        <w:spacing w:line="360" w:lineRule="auto"/>
        <w:jc w:val="both"/>
        <w:rPr>
          <w:rFonts w:ascii="Book Antiqua" w:hAnsi="Book Antiqua"/>
          <w:b/>
          <w:color w:val="000000" w:themeColor="text1"/>
          <w:lang w:eastAsia="zh-CN"/>
        </w:rPr>
      </w:pPr>
      <w:r w:rsidRPr="00F65D45">
        <w:rPr>
          <w:rFonts w:ascii="Book Antiqua" w:hAnsi="Book Antiqua"/>
          <w:b/>
          <w:color w:val="000000" w:themeColor="text1"/>
        </w:rPr>
        <w:t>First decision:</w:t>
      </w:r>
      <w:r w:rsidRPr="00F65D45">
        <w:rPr>
          <w:rFonts w:ascii="Book Antiqua" w:hAnsi="Book Antiqua"/>
          <w:b/>
          <w:color w:val="000000" w:themeColor="text1"/>
          <w:lang w:eastAsia="zh-CN"/>
        </w:rPr>
        <w:t xml:space="preserve"> </w:t>
      </w:r>
      <w:r w:rsidR="00731085" w:rsidRPr="00F65D45">
        <w:rPr>
          <w:rFonts w:ascii="Book Antiqua" w:eastAsia="SimSun" w:hAnsi="Book Antiqua"/>
          <w:color w:val="000000" w:themeColor="text1"/>
          <w:lang w:eastAsia="zh-CN"/>
        </w:rPr>
        <w:t>May 9</w:t>
      </w:r>
      <w:r w:rsidRPr="00F65D45">
        <w:rPr>
          <w:rFonts w:ascii="Book Antiqua" w:hAnsi="Book Antiqua"/>
          <w:color w:val="000000" w:themeColor="text1"/>
          <w:lang w:eastAsia="zh-CN"/>
        </w:rPr>
        <w:t>, 2018</w:t>
      </w:r>
    </w:p>
    <w:p w14:paraId="750AD510" w14:textId="405483DB" w:rsidR="00F207C7" w:rsidRPr="00F65D45" w:rsidRDefault="00F207C7" w:rsidP="00F65D45">
      <w:pPr>
        <w:spacing w:line="360" w:lineRule="auto"/>
        <w:jc w:val="both"/>
        <w:rPr>
          <w:rFonts w:ascii="Book Antiqua" w:hAnsi="Book Antiqua"/>
          <w:b/>
          <w:color w:val="000000" w:themeColor="text1"/>
          <w:lang w:eastAsia="zh-CN"/>
        </w:rPr>
      </w:pPr>
      <w:r w:rsidRPr="00F65D45">
        <w:rPr>
          <w:rFonts w:ascii="Book Antiqua" w:hAnsi="Book Antiqua"/>
          <w:b/>
          <w:color w:val="000000" w:themeColor="text1"/>
        </w:rPr>
        <w:t xml:space="preserve">Revised: </w:t>
      </w:r>
      <w:r w:rsidRPr="00F65D45">
        <w:rPr>
          <w:rFonts w:ascii="Book Antiqua" w:hAnsi="Book Antiqua"/>
          <w:color w:val="000000" w:themeColor="text1"/>
          <w:lang w:eastAsia="zh-CN"/>
        </w:rPr>
        <w:t xml:space="preserve">May </w:t>
      </w:r>
      <w:r w:rsidR="00731085" w:rsidRPr="00F65D45">
        <w:rPr>
          <w:rFonts w:ascii="Book Antiqua" w:eastAsia="SimSun" w:hAnsi="Book Antiqua"/>
          <w:color w:val="000000" w:themeColor="text1"/>
          <w:lang w:eastAsia="zh-CN"/>
        </w:rPr>
        <w:t>28</w:t>
      </w:r>
      <w:r w:rsidRPr="00F65D45">
        <w:rPr>
          <w:rFonts w:ascii="Book Antiqua" w:hAnsi="Book Antiqua"/>
          <w:color w:val="000000" w:themeColor="text1"/>
          <w:lang w:eastAsia="zh-CN"/>
        </w:rPr>
        <w:t>, 2018</w:t>
      </w:r>
    </w:p>
    <w:p w14:paraId="3B9CC0D5" w14:textId="7A24A04E" w:rsidR="00F207C7" w:rsidRPr="00F65D45" w:rsidRDefault="00F207C7" w:rsidP="00F65D45">
      <w:pPr>
        <w:spacing w:line="360" w:lineRule="auto"/>
        <w:jc w:val="both"/>
        <w:rPr>
          <w:rFonts w:ascii="Book Antiqua" w:hAnsi="Book Antiqua"/>
          <w:color w:val="000000" w:themeColor="text1"/>
        </w:rPr>
      </w:pPr>
      <w:r w:rsidRPr="00F65D45">
        <w:rPr>
          <w:rFonts w:ascii="Book Antiqua" w:hAnsi="Book Antiqua"/>
          <w:b/>
          <w:color w:val="000000" w:themeColor="text1"/>
        </w:rPr>
        <w:t>Accepted:</w:t>
      </w:r>
      <w:bookmarkStart w:id="26" w:name="OLE_LINK98"/>
      <w:bookmarkStart w:id="27" w:name="OLE_LINK99"/>
      <w:bookmarkStart w:id="28" w:name="OLE_LINK104"/>
      <w:bookmarkStart w:id="29" w:name="OLE_LINK110"/>
      <w:bookmarkStart w:id="30" w:name="OLE_LINK111"/>
      <w:bookmarkStart w:id="31" w:name="OLE_LINK115"/>
      <w:bookmarkStart w:id="32" w:name="OLE_LINK116"/>
      <w:r w:rsidR="00425ED6" w:rsidRPr="00425ED6">
        <w:t xml:space="preserve"> </w:t>
      </w:r>
      <w:r w:rsidR="00425ED6" w:rsidRPr="00425ED6">
        <w:rPr>
          <w:rFonts w:ascii="Book Antiqua" w:hAnsi="Book Antiqua"/>
          <w:color w:val="000000" w:themeColor="text1"/>
        </w:rPr>
        <w:t>June 25, 2018</w:t>
      </w:r>
      <w:r w:rsidRPr="00F65D45">
        <w:rPr>
          <w:rFonts w:ascii="Book Antiqua" w:hAnsi="Book Antiqua"/>
          <w:color w:val="000000" w:themeColor="text1"/>
        </w:rPr>
        <w:t xml:space="preserve"> </w:t>
      </w:r>
      <w:bookmarkEnd w:id="26"/>
      <w:bookmarkEnd w:id="27"/>
      <w:bookmarkEnd w:id="28"/>
      <w:bookmarkEnd w:id="29"/>
      <w:bookmarkEnd w:id="30"/>
      <w:bookmarkEnd w:id="31"/>
      <w:bookmarkEnd w:id="32"/>
    </w:p>
    <w:p w14:paraId="079E90C3" w14:textId="77777777" w:rsidR="00F207C7" w:rsidRPr="00F65D45" w:rsidRDefault="00F207C7" w:rsidP="00F65D45">
      <w:pPr>
        <w:spacing w:line="360" w:lineRule="auto"/>
        <w:jc w:val="both"/>
        <w:rPr>
          <w:rFonts w:ascii="Book Antiqua" w:hAnsi="Book Antiqua"/>
          <w:b/>
          <w:color w:val="000000" w:themeColor="text1"/>
        </w:rPr>
      </w:pPr>
      <w:r w:rsidRPr="00F65D45">
        <w:rPr>
          <w:rFonts w:ascii="Book Antiqua" w:hAnsi="Book Antiqua"/>
          <w:b/>
          <w:color w:val="000000" w:themeColor="text1"/>
        </w:rPr>
        <w:t>Article in press:</w:t>
      </w:r>
    </w:p>
    <w:p w14:paraId="69243319" w14:textId="77777777" w:rsidR="00F207C7" w:rsidRPr="00F65D45" w:rsidRDefault="00F207C7" w:rsidP="00F65D45">
      <w:pPr>
        <w:spacing w:line="360" w:lineRule="auto"/>
        <w:jc w:val="both"/>
        <w:rPr>
          <w:rFonts w:ascii="Book Antiqua" w:hAnsi="Book Antiqua"/>
          <w:b/>
          <w:color w:val="000000" w:themeColor="text1"/>
        </w:rPr>
      </w:pPr>
      <w:r w:rsidRPr="00F65D45">
        <w:rPr>
          <w:rFonts w:ascii="Book Antiqua" w:hAnsi="Book Antiqua"/>
          <w:b/>
          <w:color w:val="000000" w:themeColor="text1"/>
        </w:rPr>
        <w:t xml:space="preserve">Published online: </w:t>
      </w:r>
    </w:p>
    <w:p w14:paraId="2CC93102" w14:textId="77777777" w:rsidR="00F207C7" w:rsidRPr="00F65D45" w:rsidRDefault="00F207C7" w:rsidP="00F65D45">
      <w:pPr>
        <w:spacing w:line="360" w:lineRule="auto"/>
        <w:jc w:val="both"/>
        <w:rPr>
          <w:rFonts w:ascii="Book Antiqua" w:hAnsi="Book Antiqua"/>
          <w:color w:val="000000" w:themeColor="text1"/>
          <w:lang w:eastAsia="zh-CN"/>
        </w:rPr>
      </w:pPr>
    </w:p>
    <w:p w14:paraId="156FF07F" w14:textId="77777777" w:rsidR="00F207C7" w:rsidRPr="00F65D45" w:rsidRDefault="00F207C7" w:rsidP="00F65D45">
      <w:pPr>
        <w:widowControl w:val="0"/>
        <w:snapToGrid w:val="0"/>
        <w:spacing w:line="360" w:lineRule="auto"/>
        <w:jc w:val="both"/>
        <w:rPr>
          <w:rFonts w:ascii="Book Antiqua" w:eastAsia="SimSun" w:hAnsi="Book Antiqua"/>
          <w:color w:val="000000" w:themeColor="text1"/>
          <w:lang w:eastAsia="zh-CN"/>
        </w:rPr>
      </w:pPr>
    </w:p>
    <w:p w14:paraId="7F168455" w14:textId="77777777" w:rsidR="008B71C9" w:rsidRPr="00F65D45" w:rsidRDefault="008B71C9" w:rsidP="00F65D45">
      <w:pPr>
        <w:spacing w:line="360" w:lineRule="auto"/>
        <w:jc w:val="both"/>
        <w:rPr>
          <w:rFonts w:ascii="Book Antiqua" w:hAnsi="Book Antiqua"/>
          <w:b/>
          <w:color w:val="000000" w:themeColor="text1"/>
        </w:rPr>
      </w:pPr>
      <w:r w:rsidRPr="00F65D45">
        <w:rPr>
          <w:rFonts w:ascii="Book Antiqua" w:hAnsi="Book Antiqua"/>
          <w:b/>
          <w:color w:val="000000" w:themeColor="text1"/>
        </w:rPr>
        <w:br w:type="page"/>
      </w:r>
    </w:p>
    <w:p w14:paraId="02DD9298" w14:textId="7CF5DC6F"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lastRenderedPageBreak/>
        <w:t>Abstract</w:t>
      </w:r>
    </w:p>
    <w:p w14:paraId="094D75A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Hepatocellular carcinoma (HCC) is the second leading cause of cancer-related death, as few patients can be treated with currently available curative local modalities. In patients with HCC where curative modalities are not feasible, radiation therapy (RT) has emerged as an alternative or combination therapy. With the development of various technologies, RT has been increasingly used for the management of HCC. Among these advances, proton beam therapy (PBT) has several unique physical properties that give it a finite range in a distal direction, and thus no exit dose along the beam path. Therefore, PBT has dosimetric advantages compared with X-ray therapy for the treatment of HCC. Indeed, various reports in the literature have described the favorable clinical outcomes and improved safety of PBT for HCC patients compared with X-ray therapy. However, there are some technical issues regarding the use of PBT in HCC, including uncertainty of organ motion and inaccuracy during calculation of tissue density and beam range, all of which may reduce the robustness of a PBT treatment plan. In this review, we discuss the physical properties, current clinical data, technical issues, and future perspectives on PBT for the treatment of HCC.</w:t>
      </w:r>
    </w:p>
    <w:p w14:paraId="7BA6AC54"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442E199A" w14:textId="21578A94"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b/>
          <w:color w:val="000000" w:themeColor="text1"/>
        </w:rPr>
        <w:t>Key words:</w:t>
      </w:r>
      <w:r w:rsidRPr="00F65D45">
        <w:rPr>
          <w:rFonts w:ascii="Book Antiqua" w:hAnsi="Book Antiqua"/>
          <w:color w:val="000000" w:themeColor="text1"/>
        </w:rPr>
        <w:t xml:space="preserve"> </w:t>
      </w:r>
      <w:r w:rsidRPr="00F65D45">
        <w:rPr>
          <w:rFonts w:ascii="Book Antiqua" w:hAnsi="Book Antiqua"/>
          <w:caps/>
          <w:color w:val="000000" w:themeColor="text1"/>
        </w:rPr>
        <w:t>r</w:t>
      </w:r>
      <w:r w:rsidRPr="00F65D45">
        <w:rPr>
          <w:rFonts w:ascii="Book Antiqua" w:hAnsi="Book Antiqua"/>
          <w:color w:val="000000" w:themeColor="text1"/>
        </w:rPr>
        <w:t xml:space="preserve">adiation therapy; </w:t>
      </w:r>
      <w:r w:rsidRPr="00F65D45">
        <w:rPr>
          <w:rFonts w:ascii="Book Antiqua" w:hAnsi="Book Antiqua"/>
          <w:caps/>
          <w:color w:val="000000" w:themeColor="text1"/>
        </w:rPr>
        <w:t>p</w:t>
      </w:r>
      <w:r w:rsidRPr="00F65D45">
        <w:rPr>
          <w:rFonts w:ascii="Book Antiqua" w:hAnsi="Book Antiqua"/>
          <w:color w:val="000000" w:themeColor="text1"/>
        </w:rPr>
        <w:t xml:space="preserve">roton beam therapy; </w:t>
      </w:r>
      <w:r w:rsidRPr="00F65D45">
        <w:rPr>
          <w:rFonts w:ascii="Book Antiqua" w:hAnsi="Book Antiqua"/>
          <w:caps/>
          <w:color w:val="000000" w:themeColor="text1"/>
        </w:rPr>
        <w:t>h</w:t>
      </w:r>
      <w:r w:rsidRPr="00F65D45">
        <w:rPr>
          <w:rFonts w:ascii="Book Antiqua" w:hAnsi="Book Antiqua"/>
          <w:color w:val="000000" w:themeColor="text1"/>
        </w:rPr>
        <w:t>epatocellular carcinoma;</w:t>
      </w:r>
      <w:r w:rsidR="00090089" w:rsidRPr="00F65D45">
        <w:rPr>
          <w:rFonts w:ascii="Book Antiqua" w:hAnsi="Book Antiqua"/>
          <w:color w:val="000000" w:themeColor="text1"/>
        </w:rPr>
        <w:t xml:space="preserve"> X-ray therapy</w:t>
      </w:r>
    </w:p>
    <w:p w14:paraId="2E498BC0" w14:textId="77777777" w:rsidR="007A2BC3" w:rsidRPr="00F65D45" w:rsidRDefault="007A2BC3" w:rsidP="00F65D45">
      <w:pPr>
        <w:snapToGrid w:val="0"/>
        <w:spacing w:line="360" w:lineRule="auto"/>
        <w:jc w:val="both"/>
        <w:rPr>
          <w:rFonts w:ascii="Book Antiqua" w:eastAsia="SimSun" w:hAnsi="Book Antiqua"/>
          <w:color w:val="000000" w:themeColor="text1"/>
          <w:lang w:eastAsia="zh-CN"/>
        </w:rPr>
      </w:pPr>
      <w:bookmarkStart w:id="33" w:name="OLE_LINK13"/>
      <w:bookmarkStart w:id="34" w:name="OLE_LINK14"/>
    </w:p>
    <w:p w14:paraId="3411E9F8" w14:textId="77777777" w:rsidR="007A2BC3" w:rsidRPr="00F65D45" w:rsidRDefault="007A2BC3" w:rsidP="00F65D45">
      <w:pPr>
        <w:snapToGrid w:val="0"/>
        <w:spacing w:line="360" w:lineRule="auto"/>
        <w:jc w:val="both"/>
        <w:rPr>
          <w:rFonts w:ascii="Book Antiqua" w:hAnsi="Book Antiqua"/>
          <w:color w:val="000000" w:themeColor="text1"/>
        </w:rPr>
      </w:pPr>
      <w:r w:rsidRPr="00F65D45">
        <w:rPr>
          <w:rFonts w:ascii="Book Antiqua" w:hAnsi="Book Antiqua"/>
          <w:color w:val="000000" w:themeColor="text1"/>
        </w:rPr>
        <w:t xml:space="preserve">© </w:t>
      </w:r>
      <w:bookmarkStart w:id="35" w:name="OLE_LINK6"/>
      <w:bookmarkStart w:id="36" w:name="OLE_LINK7"/>
      <w:bookmarkStart w:id="37" w:name="OLE_LINK8"/>
      <w:r w:rsidRPr="00F65D45">
        <w:rPr>
          <w:rFonts w:ascii="Book Antiqua" w:hAnsi="Book Antiqua"/>
          <w:b/>
          <w:color w:val="000000" w:themeColor="text1"/>
        </w:rPr>
        <w:t xml:space="preserve">The Author(s) </w:t>
      </w:r>
      <w:r w:rsidRPr="00F65D45">
        <w:rPr>
          <w:rFonts w:ascii="Book Antiqua" w:hAnsi="Book Antiqua"/>
          <w:b/>
          <w:color w:val="000000" w:themeColor="text1"/>
          <w:lang w:eastAsia="zh-CN"/>
        </w:rPr>
        <w:t>2018</w:t>
      </w:r>
      <w:r w:rsidRPr="00F65D45">
        <w:rPr>
          <w:rFonts w:ascii="Book Antiqua" w:hAnsi="Book Antiqua"/>
          <w:color w:val="000000" w:themeColor="text1"/>
        </w:rPr>
        <w:t>. Published by Baishideng Publishing Group Inc. All rights reserved.</w:t>
      </w:r>
    </w:p>
    <w:bookmarkEnd w:id="33"/>
    <w:bookmarkEnd w:id="34"/>
    <w:bookmarkEnd w:id="35"/>
    <w:bookmarkEnd w:id="36"/>
    <w:bookmarkEnd w:id="37"/>
    <w:p w14:paraId="379906AE"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246496C0" w14:textId="75DEE30D" w:rsidR="00830BF9" w:rsidRPr="00F65D45" w:rsidRDefault="00044F9C"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b/>
          <w:color w:val="000000" w:themeColor="text1"/>
        </w:rPr>
        <w:t xml:space="preserve">Core tips: </w:t>
      </w:r>
      <w:r w:rsidRPr="00F65D45">
        <w:rPr>
          <w:rFonts w:ascii="Book Antiqua" w:hAnsi="Book Antiqua"/>
          <w:color w:val="000000" w:themeColor="text1"/>
        </w:rPr>
        <w:t xml:space="preserve">Radiation therapy (RT) is being increasingly utilized for the treatment of hepatocellular carcinoma (HCC). As RT technology develops, proton beam therapy (PBT) has emerged as a method that affords dosimetric advantages compared with X-ray therapy due to its physical properties, including lack of an exit dose along the beam path. Clinical experience with PBT for HCC is accumulating rapidly, and the effectiveness and safety of PBT has been validated. In this review, we discuss the </w:t>
      </w:r>
      <w:r w:rsidRPr="00F65D45">
        <w:rPr>
          <w:rFonts w:ascii="Book Antiqua" w:hAnsi="Book Antiqua"/>
          <w:color w:val="000000" w:themeColor="text1"/>
        </w:rPr>
        <w:lastRenderedPageBreak/>
        <w:t>physical properties, current clinical data, technical issues, and future perspectives on PBT for the treatment of HCC.</w:t>
      </w:r>
    </w:p>
    <w:p w14:paraId="59DD2984" w14:textId="77777777" w:rsidR="00630266" w:rsidRPr="00F65D45" w:rsidRDefault="00630266" w:rsidP="00F65D45">
      <w:pPr>
        <w:widowControl w:val="0"/>
        <w:snapToGrid w:val="0"/>
        <w:spacing w:line="360" w:lineRule="auto"/>
        <w:jc w:val="both"/>
        <w:rPr>
          <w:rFonts w:ascii="Book Antiqua" w:eastAsia="SimSun" w:hAnsi="Book Antiqua"/>
          <w:color w:val="000000" w:themeColor="text1"/>
          <w:lang w:eastAsia="zh-CN"/>
        </w:rPr>
      </w:pPr>
    </w:p>
    <w:p w14:paraId="5B4AA401" w14:textId="63CB4C7E" w:rsidR="00044F9C" w:rsidRDefault="00102A4F" w:rsidP="00F65D45">
      <w:pPr>
        <w:widowControl w:val="0"/>
        <w:snapToGrid w:val="0"/>
        <w:spacing w:line="360" w:lineRule="auto"/>
        <w:jc w:val="both"/>
        <w:rPr>
          <w:rFonts w:ascii="Book Antiqua" w:eastAsia="SimSun" w:hAnsi="Book Antiqua"/>
          <w:color w:val="000000" w:themeColor="text1"/>
          <w:lang w:eastAsia="zh-CN"/>
        </w:rPr>
      </w:pPr>
      <w:bookmarkStart w:id="38" w:name="OLE_LINK47"/>
      <w:bookmarkStart w:id="39" w:name="OLE_LINK48"/>
      <w:bookmarkStart w:id="40" w:name="OLE_LINK3"/>
      <w:bookmarkStart w:id="41" w:name="OLE_LINK4"/>
      <w:bookmarkStart w:id="42" w:name="OLE_LINK70"/>
      <w:bookmarkStart w:id="43" w:name="OLE_LINK118"/>
      <w:bookmarkStart w:id="44" w:name="OLE_LINK145"/>
      <w:bookmarkStart w:id="45" w:name="OLE_LINK218"/>
      <w:bookmarkStart w:id="46" w:name="OLE_LINK520"/>
      <w:bookmarkStart w:id="47" w:name="OLE_LINK537"/>
      <w:bookmarkStart w:id="48" w:name="OLE_LINK598"/>
      <w:bookmarkStart w:id="49" w:name="OLE_LINK728"/>
      <w:bookmarkStart w:id="50" w:name="OLE_LINK745"/>
      <w:r w:rsidRPr="00F65D45">
        <w:rPr>
          <w:rFonts w:ascii="Book Antiqua" w:hAnsi="Book Antiqua"/>
          <w:color w:val="000000" w:themeColor="text1"/>
        </w:rPr>
        <w:t>Yoo GS, Yu JI, Park HC</w:t>
      </w:r>
      <w:r w:rsidR="007A2BC3"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Proton </w:t>
      </w:r>
      <w:r w:rsidR="002072D6" w:rsidRPr="00F65D45">
        <w:rPr>
          <w:rFonts w:ascii="Book Antiqua" w:hAnsi="Book Antiqua"/>
          <w:color w:val="000000" w:themeColor="text1"/>
        </w:rPr>
        <w:t>Proton therapy for hepatocellular carcinoma: Current knowledge and future perspectives</w:t>
      </w:r>
      <w:r w:rsidR="00830BF9" w:rsidRPr="00F65D45">
        <w:rPr>
          <w:rFonts w:ascii="Book Antiqua" w:hAnsi="Book Antiqua"/>
          <w:color w:val="000000" w:themeColor="text1"/>
        </w:rPr>
        <w:t xml:space="preserve">, </w:t>
      </w:r>
      <w:bookmarkStart w:id="51" w:name="OLE_LINK200"/>
      <w:bookmarkStart w:id="52" w:name="OLE_LINK196"/>
      <w:bookmarkStart w:id="53" w:name="OLE_LINK341"/>
      <w:bookmarkStart w:id="54" w:name="OLE_LINK377"/>
      <w:bookmarkStart w:id="55" w:name="OLE_LINK366"/>
      <w:bookmarkStart w:id="56" w:name="OLE_LINK1038"/>
      <w:bookmarkStart w:id="57" w:name="OLE_LINK1166"/>
      <w:bookmarkStart w:id="58" w:name="OLE_LINK1105"/>
      <w:bookmarkStart w:id="59" w:name="OLE_LINK1107"/>
      <w:r w:rsidR="00630266" w:rsidRPr="00F65D45">
        <w:rPr>
          <w:rFonts w:ascii="Book Antiqua" w:hAnsi="Book Antiqua"/>
          <w:i/>
          <w:color w:val="000000" w:themeColor="text1"/>
        </w:rPr>
        <w:t xml:space="preserve">World J Gastroenterol </w:t>
      </w:r>
      <w:r w:rsidR="00630266" w:rsidRPr="00F65D45">
        <w:rPr>
          <w:rFonts w:ascii="Book Antiqua" w:hAnsi="Book Antiqua"/>
          <w:color w:val="000000" w:themeColor="text1"/>
        </w:rPr>
        <w:t>2018; In press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94270CB" w14:textId="77777777" w:rsidR="00EF5D5D" w:rsidRPr="00EF5D5D" w:rsidRDefault="00EF5D5D" w:rsidP="00F65D45">
      <w:pPr>
        <w:widowControl w:val="0"/>
        <w:snapToGrid w:val="0"/>
        <w:spacing w:line="360" w:lineRule="auto"/>
        <w:jc w:val="both"/>
        <w:rPr>
          <w:rFonts w:ascii="Book Antiqua" w:eastAsia="SimSun" w:hAnsi="Book Antiqua"/>
          <w:color w:val="000000" w:themeColor="text1"/>
          <w:lang w:eastAsia="zh-CN"/>
        </w:rPr>
      </w:pPr>
    </w:p>
    <w:p w14:paraId="41283B68" w14:textId="77777777" w:rsidR="00EF5D5D" w:rsidRDefault="00EF5D5D">
      <w:pPr>
        <w:spacing w:after="200" w:line="276" w:lineRule="auto"/>
        <w:jc w:val="both"/>
        <w:rPr>
          <w:rFonts w:ascii="Book Antiqua" w:hAnsi="Book Antiqua"/>
          <w:b/>
          <w:color w:val="000000" w:themeColor="text1"/>
        </w:rPr>
      </w:pPr>
      <w:r>
        <w:rPr>
          <w:rFonts w:ascii="Book Antiqua" w:hAnsi="Book Antiqua"/>
          <w:b/>
          <w:color w:val="000000" w:themeColor="text1"/>
        </w:rPr>
        <w:br w:type="page"/>
      </w:r>
    </w:p>
    <w:p w14:paraId="59829C12" w14:textId="54EDC841"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lastRenderedPageBreak/>
        <w:t>INTRODUCTION</w:t>
      </w:r>
    </w:p>
    <w:p w14:paraId="02AA32FD"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Hepatocellular carcinoma (HCC) is the most common primary cancer of the liver, accounting for 90% of all liver cancers</w:t>
      </w:r>
      <w:r w:rsidRPr="00F65D45">
        <w:rPr>
          <w:rFonts w:ascii="Book Antiqua" w:hAnsi="Book Antiqua"/>
          <w:noProof/>
          <w:color w:val="000000" w:themeColor="text1"/>
          <w:vertAlign w:val="superscript"/>
        </w:rPr>
        <w:t>[1]</w:t>
      </w:r>
      <w:r w:rsidRPr="00F65D45">
        <w:rPr>
          <w:rFonts w:ascii="Book Antiqua" w:hAnsi="Book Antiqua"/>
          <w:color w:val="000000" w:themeColor="text1"/>
        </w:rPr>
        <w:t>. HCC is the fifth most common cancer worldwide and the second leading cause of cancer-related death</w:t>
      </w:r>
      <w:r w:rsidRPr="00F65D45">
        <w:rPr>
          <w:rFonts w:ascii="Book Antiqua" w:hAnsi="Book Antiqua"/>
          <w:noProof/>
          <w:color w:val="000000" w:themeColor="text1"/>
          <w:vertAlign w:val="superscript"/>
        </w:rPr>
        <w:t>[2]</w:t>
      </w:r>
      <w:r w:rsidRPr="00F65D45">
        <w:rPr>
          <w:rFonts w:ascii="Book Antiqua" w:hAnsi="Book Antiqua"/>
          <w:color w:val="000000" w:themeColor="text1"/>
        </w:rPr>
        <w:t>. Although there is a relatively high incidence of HCC in South-East Asia, rates have also been increasing in North America and Western Europe</w:t>
      </w:r>
      <w:r w:rsidRPr="00F65D45">
        <w:rPr>
          <w:rFonts w:ascii="Book Antiqua" w:hAnsi="Book Antiqua"/>
          <w:noProof/>
          <w:color w:val="000000" w:themeColor="text1"/>
          <w:vertAlign w:val="superscript"/>
        </w:rPr>
        <w:t>[3]</w:t>
      </w:r>
      <w:r w:rsidRPr="00F65D45">
        <w:rPr>
          <w:rFonts w:ascii="Book Antiqua" w:hAnsi="Book Antiqua"/>
          <w:color w:val="000000" w:themeColor="text1"/>
        </w:rPr>
        <w:t>. HCC has various etiological factors including hepatitis B and C infection, alcohol consumption, liver cirrhosis, non-alcoholic fatty liver disease, obesity, diabetes, aflatoxin exposure, and hereditary disorders such as hemochromatosis and alpha-1-antitrypsin deficiency</w:t>
      </w:r>
      <w:r w:rsidRPr="00F65D45">
        <w:rPr>
          <w:rFonts w:ascii="Book Antiqua" w:hAnsi="Book Antiqua"/>
          <w:noProof/>
          <w:color w:val="000000" w:themeColor="text1"/>
          <w:vertAlign w:val="superscript"/>
        </w:rPr>
        <w:t>[4-6]</w:t>
      </w:r>
      <w:r w:rsidRPr="00F65D45">
        <w:rPr>
          <w:rFonts w:ascii="Book Antiqua" w:hAnsi="Book Antiqua"/>
          <w:color w:val="000000" w:themeColor="text1"/>
        </w:rPr>
        <w:t>.</w:t>
      </w:r>
    </w:p>
    <w:p w14:paraId="5672BC38" w14:textId="25FD244C" w:rsidR="00044F9C" w:rsidRPr="00F65D45" w:rsidRDefault="00044F9C" w:rsidP="00F65D45">
      <w:pPr>
        <w:widowControl w:val="0"/>
        <w:snapToGrid w:val="0"/>
        <w:spacing w:line="360" w:lineRule="auto"/>
        <w:ind w:firstLine="360"/>
        <w:jc w:val="both"/>
        <w:rPr>
          <w:rFonts w:ascii="Book Antiqua" w:hAnsi="Book Antiqua"/>
          <w:color w:val="000000" w:themeColor="text1"/>
        </w:rPr>
      </w:pPr>
      <w:r w:rsidRPr="00F65D45">
        <w:rPr>
          <w:rFonts w:ascii="Book Antiqua" w:hAnsi="Book Antiqua"/>
          <w:color w:val="000000" w:themeColor="text1"/>
        </w:rPr>
        <w:t>Although there have been improvements in the management of HCC</w:t>
      </w:r>
      <w:r w:rsidRPr="00F65D45">
        <w:rPr>
          <w:rFonts w:ascii="Book Antiqua" w:hAnsi="Book Antiqua"/>
          <w:noProof/>
          <w:color w:val="000000" w:themeColor="text1"/>
          <w:vertAlign w:val="superscript"/>
        </w:rPr>
        <w:t>[7,8]</w:t>
      </w:r>
      <w:r w:rsidRPr="00F65D45">
        <w:rPr>
          <w:rFonts w:ascii="Book Antiqua" w:hAnsi="Book Antiqua"/>
          <w:color w:val="000000" w:themeColor="text1"/>
        </w:rPr>
        <w:t>, application of curative local modalities such as surgical resection, transplantation, and radiofrequency ablation are often limited due to tumor extent, tumor location, or other patient-related factors</w:t>
      </w:r>
      <w:r w:rsidRPr="00F65D45">
        <w:rPr>
          <w:rFonts w:ascii="Book Antiqua" w:hAnsi="Book Antiqua"/>
          <w:noProof/>
          <w:color w:val="000000" w:themeColor="text1"/>
          <w:vertAlign w:val="superscript"/>
        </w:rPr>
        <w:t>[9-11]</w:t>
      </w:r>
      <w:r w:rsidRPr="00F65D45">
        <w:rPr>
          <w:rFonts w:ascii="Book Antiqua" w:hAnsi="Book Antiqua"/>
          <w:color w:val="000000" w:themeColor="text1"/>
        </w:rPr>
        <w:t>. Therefore, the prognosis of HCC continues to be unsatisfactory, with a five-year survival of less than 20%, despite improvement in overall survival (OS) by non</w:t>
      </w:r>
      <w:r w:rsidR="00102A4F" w:rsidRPr="00F65D45">
        <w:rPr>
          <w:rFonts w:ascii="Book Antiqua" w:hAnsi="Book Antiqua"/>
          <w:color w:val="000000" w:themeColor="text1"/>
        </w:rPr>
        <w:t>-</w:t>
      </w:r>
      <w:r w:rsidRPr="00F65D45">
        <w:rPr>
          <w:rFonts w:ascii="Book Antiqua" w:hAnsi="Book Antiqua"/>
          <w:color w:val="000000" w:themeColor="text1"/>
        </w:rPr>
        <w:t>curative modalities including chemoembolization and sorafenib</w:t>
      </w:r>
      <w:r w:rsidRPr="00F65D45">
        <w:rPr>
          <w:rFonts w:ascii="Book Antiqua" w:hAnsi="Book Antiqua"/>
          <w:noProof/>
          <w:color w:val="000000" w:themeColor="text1"/>
          <w:vertAlign w:val="superscript"/>
        </w:rPr>
        <w:t>[12]</w:t>
      </w:r>
      <w:r w:rsidRPr="00F65D45">
        <w:rPr>
          <w:rFonts w:ascii="Book Antiqua" w:hAnsi="Book Antiqua"/>
          <w:color w:val="000000" w:themeColor="text1"/>
        </w:rPr>
        <w:t>. For this reason, radiation therapy (RT) as a local modality has emerged as an alternative/combination treatment approach</w:t>
      </w:r>
      <w:r w:rsidRPr="00F65D45">
        <w:rPr>
          <w:rFonts w:ascii="Book Antiqua" w:hAnsi="Book Antiqua"/>
          <w:noProof/>
          <w:color w:val="000000" w:themeColor="text1"/>
          <w:vertAlign w:val="superscript"/>
        </w:rPr>
        <w:t>[13-15]</w:t>
      </w:r>
      <w:r w:rsidRPr="00F65D45">
        <w:rPr>
          <w:rFonts w:ascii="Book Antiqua" w:hAnsi="Book Antiqua"/>
          <w:color w:val="000000" w:themeColor="text1"/>
        </w:rPr>
        <w:t>. As the prognosis of HCC depends on sustained control of tumor size</w:t>
      </w:r>
      <w:r w:rsidRPr="00F65D45">
        <w:rPr>
          <w:rFonts w:ascii="Book Antiqua" w:hAnsi="Book Antiqua"/>
          <w:noProof/>
          <w:color w:val="000000" w:themeColor="text1"/>
          <w:vertAlign w:val="superscript"/>
        </w:rPr>
        <w:t>[16]</w:t>
      </w:r>
      <w:r w:rsidRPr="00F65D45">
        <w:rPr>
          <w:rFonts w:ascii="Book Antiqua" w:hAnsi="Book Antiqua"/>
          <w:color w:val="000000" w:themeColor="text1"/>
        </w:rPr>
        <w:t>, there has been growing interest in use of external beam RT</w:t>
      </w:r>
      <w:r w:rsidRPr="00F65D45">
        <w:rPr>
          <w:rFonts w:ascii="Book Antiqua" w:hAnsi="Book Antiqua"/>
          <w:noProof/>
          <w:color w:val="000000" w:themeColor="text1"/>
          <w:vertAlign w:val="superscript"/>
        </w:rPr>
        <w:t>[13,14,17,18]</w:t>
      </w:r>
      <w:r w:rsidRPr="00F65D45">
        <w:rPr>
          <w:rFonts w:ascii="Book Antiqua" w:hAnsi="Book Antiqua"/>
          <w:color w:val="000000" w:themeColor="text1"/>
        </w:rPr>
        <w:t>. More specifically, advances in proton beam therapy (PBT) have brought additional innovation to the field of RT for the treatment of HCC</w:t>
      </w:r>
      <w:r w:rsidRPr="00F65D45">
        <w:rPr>
          <w:rFonts w:ascii="Book Antiqua" w:hAnsi="Book Antiqua"/>
          <w:noProof/>
          <w:color w:val="000000" w:themeColor="text1"/>
          <w:vertAlign w:val="superscript"/>
        </w:rPr>
        <w:t>[12,19,20]</w:t>
      </w:r>
      <w:r w:rsidRPr="00F65D45">
        <w:rPr>
          <w:rFonts w:ascii="Book Antiqua" w:hAnsi="Book Antiqua"/>
          <w:color w:val="000000" w:themeColor="text1"/>
        </w:rPr>
        <w:t>.</w:t>
      </w:r>
    </w:p>
    <w:p w14:paraId="0AABA5EA" w14:textId="77777777" w:rsidR="00044F9C" w:rsidRPr="00F65D45" w:rsidRDefault="00044F9C" w:rsidP="00F65D45">
      <w:pPr>
        <w:widowControl w:val="0"/>
        <w:snapToGrid w:val="0"/>
        <w:spacing w:line="360" w:lineRule="auto"/>
        <w:ind w:firstLine="360"/>
        <w:jc w:val="both"/>
        <w:rPr>
          <w:rFonts w:ascii="Book Antiqua" w:hAnsi="Book Antiqua"/>
          <w:color w:val="000000" w:themeColor="text1"/>
        </w:rPr>
      </w:pPr>
      <w:r w:rsidRPr="00F65D45">
        <w:rPr>
          <w:rFonts w:ascii="Book Antiqua" w:hAnsi="Book Antiqua"/>
          <w:color w:val="000000" w:themeColor="text1"/>
        </w:rPr>
        <w:t>PBT has a dosimetric advantage compared to X-ray therapy due to the physical properties of the technique</w:t>
      </w:r>
      <w:r w:rsidRPr="00F65D45">
        <w:rPr>
          <w:rFonts w:ascii="Book Antiqua" w:hAnsi="Book Antiqua"/>
          <w:noProof/>
          <w:color w:val="000000" w:themeColor="text1"/>
          <w:vertAlign w:val="superscript"/>
        </w:rPr>
        <w:t>[21,22]</w:t>
      </w:r>
      <w:r w:rsidRPr="00F65D45">
        <w:rPr>
          <w:rFonts w:ascii="Book Antiqua" w:hAnsi="Book Antiqua"/>
          <w:color w:val="000000" w:themeColor="text1"/>
        </w:rPr>
        <w:t>. Therefore, PBT is potentially more beneficial in sparing organs-at risk (OARs), especially for cases where the tumor is proximal to OARs. For liver tumors, the tolerance of surrounding normal liver, biliary tracts, and gastrointestinal (GI) structures is the main limiting factor for dose escalation</w:t>
      </w:r>
      <w:r w:rsidRPr="00F65D45">
        <w:rPr>
          <w:rFonts w:ascii="Book Antiqua" w:hAnsi="Book Antiqua"/>
          <w:noProof/>
          <w:color w:val="000000" w:themeColor="text1"/>
          <w:vertAlign w:val="superscript"/>
        </w:rPr>
        <w:t>[23,24]</w:t>
      </w:r>
      <w:r w:rsidRPr="00F65D45">
        <w:rPr>
          <w:rFonts w:ascii="Book Antiqua" w:hAnsi="Book Antiqua"/>
          <w:color w:val="000000" w:themeColor="text1"/>
        </w:rPr>
        <w:t>. For these reasons, there has been increasing interest in the use of PBT for treating liver tumors, and clinical experiences and evidence regarding the advantages of PBT for treating liver cancer continue to accumulate</w:t>
      </w:r>
      <w:r w:rsidRPr="00F65D45">
        <w:rPr>
          <w:rFonts w:ascii="Book Antiqua" w:hAnsi="Book Antiqua"/>
          <w:noProof/>
          <w:color w:val="000000" w:themeColor="text1"/>
          <w:vertAlign w:val="superscript"/>
        </w:rPr>
        <w:t>[12,20,25,26]</w:t>
      </w:r>
      <w:r w:rsidRPr="00F65D45">
        <w:rPr>
          <w:rFonts w:ascii="Book Antiqua" w:hAnsi="Book Antiqua"/>
          <w:color w:val="000000" w:themeColor="text1"/>
        </w:rPr>
        <w:t>. Here, we review the current knowledge and future perspectives on PBT for HCC.</w:t>
      </w:r>
    </w:p>
    <w:p w14:paraId="7608A5E5" w14:textId="77777777" w:rsidR="00044F9C" w:rsidRPr="00F65D45" w:rsidRDefault="00044F9C" w:rsidP="00F65D45">
      <w:pPr>
        <w:widowControl w:val="0"/>
        <w:snapToGrid w:val="0"/>
        <w:spacing w:line="360" w:lineRule="auto"/>
        <w:ind w:firstLine="800"/>
        <w:jc w:val="both"/>
        <w:rPr>
          <w:rFonts w:ascii="Book Antiqua" w:hAnsi="Book Antiqua"/>
          <w:b/>
          <w:color w:val="000000" w:themeColor="text1"/>
        </w:rPr>
      </w:pPr>
    </w:p>
    <w:p w14:paraId="44D1429E"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lastRenderedPageBreak/>
        <w:t>PHYSICAL CHARACTERISTICS AND DOSIMETRIC ADVANTAGES OF PBT FOR HCC</w:t>
      </w:r>
    </w:p>
    <w:p w14:paraId="2AF58E2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The deposition of X-ray dose decreases gradually along the beam path with increasing beam depth</w:t>
      </w:r>
      <w:r w:rsidRPr="00F65D45">
        <w:rPr>
          <w:rFonts w:ascii="Book Antiqua" w:hAnsi="Book Antiqua"/>
          <w:noProof/>
          <w:color w:val="000000" w:themeColor="text1"/>
          <w:vertAlign w:val="superscript"/>
        </w:rPr>
        <w:t>[27]</w:t>
      </w:r>
      <w:r w:rsidRPr="00F65D45">
        <w:rPr>
          <w:rFonts w:ascii="Book Antiqua" w:hAnsi="Book Antiqua"/>
          <w:color w:val="000000" w:themeColor="text1"/>
        </w:rPr>
        <w:t>. As a result, an exit dose is inevitably deposited in adjacent normal tissues. Intensity-modulated RT (IMRT) or volumetric-modulated arc therapy (VMAT) techniques can be used to obtain more conformal dose distributions; however, these methods are still unable to avoid low-dose deposition at the distal area of the beam path. Because of these unfavorable characteristics, RT has had a very limited role in the treatment of HCC in patients whose livers are mostly cirrhotic or poorly functioning, as these patients are most vulnerable to radiation-induced liver disease (RILD)</w:t>
      </w:r>
      <w:r w:rsidRPr="00F65D45">
        <w:rPr>
          <w:rFonts w:ascii="Book Antiqua" w:hAnsi="Book Antiqua"/>
          <w:noProof/>
          <w:color w:val="000000" w:themeColor="text1"/>
          <w:vertAlign w:val="superscript"/>
        </w:rPr>
        <w:t>[28,29]</w:t>
      </w:r>
      <w:r w:rsidRPr="00F65D45">
        <w:rPr>
          <w:rFonts w:ascii="Book Antiqua" w:hAnsi="Book Antiqua"/>
          <w:color w:val="000000" w:themeColor="text1"/>
        </w:rPr>
        <w:t xml:space="preserve">. </w:t>
      </w:r>
    </w:p>
    <w:p w14:paraId="295A3C97" w14:textId="573D9611"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Compared to X-ray beams, a proton beam has a finite range of energy deposition and loses most of its energy within a very short distanc</w:t>
      </w:r>
      <w:r w:rsidR="00AB129A" w:rsidRPr="00F65D45">
        <w:rPr>
          <w:rFonts w:ascii="Book Antiqua" w:hAnsi="Book Antiqua"/>
          <w:color w:val="000000" w:themeColor="text1"/>
        </w:rPr>
        <w:t>e at the end of the beam range</w:t>
      </w:r>
      <w:r w:rsidR="00AB129A" w:rsidRPr="00F65D45">
        <w:rPr>
          <w:rFonts w:ascii="Book Antiqua" w:eastAsia="SimSun" w:hAnsi="Book Antiqua"/>
          <w:color w:val="000000" w:themeColor="text1"/>
          <w:lang w:eastAsia="zh-CN"/>
        </w:rPr>
        <w:t xml:space="preserve"> (Figure 1).</w:t>
      </w:r>
      <w:r w:rsidRPr="00F65D45">
        <w:rPr>
          <w:rFonts w:ascii="Book Antiqua" w:hAnsi="Book Antiqua"/>
          <w:color w:val="000000" w:themeColor="text1"/>
        </w:rPr>
        <w:t xml:space="preserve"> </w:t>
      </w:r>
      <w:r w:rsidR="004737FD" w:rsidRPr="00F65D45">
        <w:rPr>
          <w:rFonts w:ascii="Book Antiqua" w:hAnsi="Book Antiqua"/>
          <w:color w:val="000000" w:themeColor="text1"/>
        </w:rPr>
        <w:t>These results</w:t>
      </w:r>
      <w:r w:rsidRPr="00F65D45">
        <w:rPr>
          <w:rFonts w:ascii="Book Antiqua" w:hAnsi="Book Antiqua"/>
          <w:color w:val="000000" w:themeColor="text1"/>
        </w:rPr>
        <w:t xml:space="preserve"> in a sharp rise and fall in energy absorption, known as the Bragg peak. Bragg peaks can be superposed to provide wider depth coverage, so-called “spread-out Bragg peak beams (SOBP)”</w:t>
      </w:r>
      <w:r w:rsidRPr="00F65D45">
        <w:rPr>
          <w:rFonts w:ascii="Book Antiqua" w:hAnsi="Book Antiqua"/>
          <w:noProof/>
          <w:color w:val="000000" w:themeColor="text1"/>
          <w:vertAlign w:val="superscript"/>
        </w:rPr>
        <w:t>[27]</w:t>
      </w:r>
      <w:r w:rsidRPr="00F65D45">
        <w:rPr>
          <w:rFonts w:ascii="Book Antiqua" w:hAnsi="Book Antiqua"/>
          <w:color w:val="000000" w:themeColor="text1"/>
        </w:rPr>
        <w:t>. Furthermore, due to the absence of an exit dose, PBT has dosimetric advantages compared with 3-dimentional conformal RT or even IMRT or VMAT</w:t>
      </w:r>
      <w:r w:rsidRPr="00F65D45">
        <w:rPr>
          <w:rFonts w:ascii="Book Antiqua" w:hAnsi="Book Antiqua"/>
          <w:noProof/>
          <w:color w:val="000000" w:themeColor="text1"/>
          <w:vertAlign w:val="superscript"/>
        </w:rPr>
        <w:t>[21,22]</w:t>
      </w:r>
      <w:r w:rsidRPr="00F65D45">
        <w:rPr>
          <w:rFonts w:ascii="Book Antiqua" w:hAnsi="Book Antiqua"/>
          <w:color w:val="000000" w:themeColor="text1"/>
        </w:rPr>
        <w:t>. Therefore, PBT has the potential to both decrease the risk of RILD and allow for safer escalation of radiation dose</w:t>
      </w:r>
      <w:r w:rsidRPr="00F65D45">
        <w:rPr>
          <w:rFonts w:ascii="Book Antiqua" w:hAnsi="Book Antiqua"/>
          <w:noProof/>
          <w:color w:val="000000" w:themeColor="text1"/>
          <w:vertAlign w:val="superscript"/>
        </w:rPr>
        <w:t>[30]</w:t>
      </w:r>
      <w:r w:rsidRPr="00F65D45">
        <w:rPr>
          <w:rFonts w:ascii="Book Antiqua" w:hAnsi="Book Antiqua"/>
          <w:color w:val="000000" w:themeColor="text1"/>
        </w:rPr>
        <w:t xml:space="preserve">. </w:t>
      </w:r>
    </w:p>
    <w:p w14:paraId="05D333F7"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127D4CAC"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BIOLOGICAL CHARACTERISTICS OF PBT FOR</w:t>
      </w:r>
    </w:p>
    <w:p w14:paraId="6BF30FF7"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The proton beams cause deoxyribose-nucleotide acid (DNA) damage and cytotoxicity by direct collisions with DNA molecules and by the generation of radical oxygen specimen (ROS) causing indirect DNA damage</w:t>
      </w:r>
      <w:r w:rsidRPr="00F65D45">
        <w:rPr>
          <w:rFonts w:ascii="Book Antiqua" w:hAnsi="Book Antiqua"/>
          <w:noProof/>
          <w:color w:val="000000" w:themeColor="text1"/>
          <w:vertAlign w:val="superscript"/>
        </w:rPr>
        <w:t>[31]</w:t>
      </w:r>
      <w:r w:rsidRPr="00F65D45">
        <w:rPr>
          <w:rFonts w:ascii="Book Antiqua" w:hAnsi="Book Antiqua"/>
          <w:color w:val="000000" w:themeColor="text1"/>
        </w:rPr>
        <w:t>. The efficiency of DNA damage is better for PBT than X-ray therapy due to relatively high energies of PBT used for RT</w:t>
      </w:r>
      <w:r w:rsidRPr="00F65D45">
        <w:rPr>
          <w:rFonts w:ascii="Book Antiqua" w:hAnsi="Book Antiqua"/>
          <w:noProof/>
          <w:color w:val="000000" w:themeColor="text1"/>
          <w:vertAlign w:val="superscript"/>
        </w:rPr>
        <w:t>[32]</w:t>
      </w:r>
      <w:r w:rsidRPr="00F65D45">
        <w:rPr>
          <w:rFonts w:ascii="Book Antiqua" w:hAnsi="Book Antiqua"/>
          <w:color w:val="000000" w:themeColor="text1"/>
        </w:rPr>
        <w:t>. Therefore, the PBT is more effect for a given prescription dose than X-rays</w:t>
      </w:r>
      <w:r w:rsidRPr="00F65D45">
        <w:rPr>
          <w:rFonts w:ascii="Book Antiqua" w:hAnsi="Book Antiqua"/>
          <w:noProof/>
          <w:color w:val="000000" w:themeColor="text1"/>
          <w:vertAlign w:val="superscript"/>
        </w:rPr>
        <w:t>[33]</w:t>
      </w:r>
      <w:r w:rsidRPr="00F65D45">
        <w:rPr>
          <w:rFonts w:ascii="Book Antiqua" w:hAnsi="Book Antiqua"/>
          <w:color w:val="000000" w:themeColor="text1"/>
        </w:rPr>
        <w:t xml:space="preserve">. The concept of the relative biological effectiveness (RBE) is useful to consider this issue. The definition of RBE is the ratio of the proton dose to the photon dose for a given level of effect, and proton has higher value of RBE than X-ray. The RBE of the proton beams depends on various parameters such as dose, considered </w:t>
      </w:r>
      <w:r w:rsidRPr="00F65D45">
        <w:rPr>
          <w:rFonts w:ascii="Book Antiqua" w:hAnsi="Book Antiqua"/>
          <w:color w:val="000000" w:themeColor="text1"/>
        </w:rPr>
        <w:lastRenderedPageBreak/>
        <w:t>endpoint, linear energy transfer, α/β of the tumor or tissue, and the positions of the SOBP</w:t>
      </w:r>
      <w:r w:rsidRPr="00F65D45">
        <w:rPr>
          <w:rFonts w:ascii="Book Antiqua" w:hAnsi="Book Antiqua"/>
          <w:noProof/>
          <w:color w:val="000000" w:themeColor="text1"/>
          <w:vertAlign w:val="superscript"/>
        </w:rPr>
        <w:t>[34]</w:t>
      </w:r>
      <w:r w:rsidRPr="00F65D45">
        <w:rPr>
          <w:rFonts w:ascii="Book Antiqua" w:hAnsi="Book Antiqua"/>
          <w:color w:val="000000" w:themeColor="text1"/>
        </w:rPr>
        <w:t>. There is trends that the RBE increases as decreasing α/β, decreasing dose, increasing LET, and approaching the distal edge and distal fall-off of the SOBP</w:t>
      </w:r>
      <w:r w:rsidRPr="00F65D45">
        <w:rPr>
          <w:rFonts w:ascii="Book Antiqua" w:hAnsi="Book Antiqua"/>
          <w:noProof/>
          <w:color w:val="000000" w:themeColor="text1"/>
          <w:vertAlign w:val="superscript"/>
        </w:rPr>
        <w:t>[35-37]</w:t>
      </w:r>
      <w:r w:rsidRPr="00F65D45">
        <w:rPr>
          <w:rFonts w:ascii="Book Antiqua" w:hAnsi="Book Antiqua"/>
          <w:color w:val="000000" w:themeColor="text1"/>
        </w:rPr>
        <w:t>. Because these dependencies are considered negligible compared with the uncertainties for tissue density</w:t>
      </w:r>
      <w:r w:rsidRPr="00F65D45">
        <w:rPr>
          <w:rFonts w:ascii="Book Antiqua" w:hAnsi="Book Antiqua"/>
          <w:noProof/>
          <w:color w:val="000000" w:themeColor="text1"/>
          <w:vertAlign w:val="superscript"/>
        </w:rPr>
        <w:t>[33]</w:t>
      </w:r>
      <w:r w:rsidRPr="00F65D45">
        <w:rPr>
          <w:rFonts w:ascii="Book Antiqua" w:hAnsi="Book Antiqua"/>
          <w:color w:val="000000" w:themeColor="text1"/>
        </w:rPr>
        <w:t xml:space="preserve">, beam ranges, and patients, up to date, fixed value of 1.1 which is based on various </w:t>
      </w:r>
      <w:r w:rsidRPr="00F65D45">
        <w:rPr>
          <w:rFonts w:ascii="Book Antiqua" w:hAnsi="Book Antiqua"/>
          <w:i/>
          <w:color w:val="000000" w:themeColor="text1"/>
        </w:rPr>
        <w:t>in vivo</w:t>
      </w:r>
      <w:r w:rsidRPr="00F65D45">
        <w:rPr>
          <w:rFonts w:ascii="Book Antiqua" w:hAnsi="Book Antiqua"/>
          <w:color w:val="000000" w:themeColor="text1"/>
        </w:rPr>
        <w:t xml:space="preserve"> and </w:t>
      </w:r>
      <w:r w:rsidRPr="00F65D45">
        <w:rPr>
          <w:rFonts w:ascii="Book Antiqua" w:hAnsi="Book Antiqua"/>
          <w:i/>
          <w:color w:val="000000" w:themeColor="text1"/>
        </w:rPr>
        <w:t>in vitro</w:t>
      </w:r>
      <w:r w:rsidRPr="00F65D45">
        <w:rPr>
          <w:rFonts w:ascii="Book Antiqua" w:hAnsi="Book Antiqua"/>
          <w:color w:val="000000" w:themeColor="text1"/>
        </w:rPr>
        <w:t xml:space="preserve"> data has been commonly used as universal value of RBE for proton beam</w:t>
      </w:r>
      <w:r w:rsidRPr="00F65D45">
        <w:rPr>
          <w:rFonts w:ascii="Book Antiqua" w:hAnsi="Book Antiqua"/>
          <w:noProof/>
          <w:color w:val="000000" w:themeColor="text1"/>
          <w:vertAlign w:val="superscript"/>
        </w:rPr>
        <w:t>[38]</w:t>
      </w:r>
      <w:r w:rsidRPr="00F65D45">
        <w:rPr>
          <w:rFonts w:ascii="Book Antiqua" w:hAnsi="Book Antiqua"/>
          <w:color w:val="000000" w:themeColor="text1"/>
        </w:rPr>
        <w:t>. However, the clinical impact of variability in RBE has been being investigated and with precise modeling variable RBE can be used for further optimization of PBT plan</w:t>
      </w:r>
      <w:r w:rsidRPr="00F65D45">
        <w:rPr>
          <w:rFonts w:ascii="Book Antiqua" w:hAnsi="Book Antiqua"/>
          <w:noProof/>
          <w:color w:val="000000" w:themeColor="text1"/>
          <w:vertAlign w:val="superscript"/>
        </w:rPr>
        <w:t>[33]</w:t>
      </w:r>
      <w:r w:rsidRPr="00F65D45">
        <w:rPr>
          <w:rFonts w:ascii="Book Antiqua" w:hAnsi="Book Antiqua"/>
          <w:color w:val="000000" w:themeColor="text1"/>
        </w:rPr>
        <w:t xml:space="preserve">. </w:t>
      </w:r>
    </w:p>
    <w:p w14:paraId="66B85A62"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497051EB"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CLINICAL OUTCOMES OF PBT FOR HCC</w:t>
      </w:r>
    </w:p>
    <w:p w14:paraId="750388EC" w14:textId="7F6B3A8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 xml:space="preserve">The majority of clinical outcomes regarding PBT for HCC have been reported from Eastern Asia and the United States (US) due to the high incidence of HCC and long-term experience in the clinical use of proton beam therapy </w:t>
      </w:r>
      <w:r w:rsidRPr="00F65D45">
        <w:rPr>
          <w:rFonts w:ascii="Book Antiqua" w:hAnsi="Book Antiqua"/>
          <w:noProof/>
          <w:color w:val="000000" w:themeColor="text1"/>
          <w:vertAlign w:val="superscript"/>
        </w:rPr>
        <w:t>[19,20]</w:t>
      </w:r>
      <w:r w:rsidRPr="00F65D45">
        <w:rPr>
          <w:rFonts w:ascii="Book Antiqua" w:hAnsi="Book Antiqua"/>
          <w:color w:val="000000" w:themeColor="text1"/>
        </w:rPr>
        <w:t>. An overview of the published studies of PBT</w:t>
      </w:r>
      <w:r w:rsidR="00D05FB9" w:rsidRPr="00F65D45">
        <w:rPr>
          <w:rFonts w:ascii="Book Antiqua" w:hAnsi="Book Antiqua"/>
          <w:color w:val="000000" w:themeColor="text1"/>
        </w:rPr>
        <w:t xml:space="preserve"> for HCC is summarized in Table</w:t>
      </w:r>
      <w:r w:rsidRPr="00F65D45">
        <w:rPr>
          <w:rFonts w:ascii="Book Antiqua" w:hAnsi="Book Antiqua"/>
          <w:color w:val="000000" w:themeColor="text1"/>
        </w:rPr>
        <w:t xml:space="preserve"> 1. The Proton Medical Research Center (PMRC) of the University of Tsukuba, Japan, developed three PBT protocols according to tumor location with respect to the porta hepatis and GI OARs</w:t>
      </w:r>
      <w:r w:rsidRPr="00F65D45">
        <w:rPr>
          <w:rFonts w:ascii="Book Antiqua" w:hAnsi="Book Antiqua"/>
          <w:noProof/>
          <w:color w:val="000000" w:themeColor="text1"/>
          <w:vertAlign w:val="superscript"/>
        </w:rPr>
        <w:t>[30,39-42]</w:t>
      </w:r>
      <w:r w:rsidRPr="00F65D45">
        <w:rPr>
          <w:rFonts w:ascii="Book Antiqua" w:hAnsi="Book Antiqua"/>
          <w:color w:val="000000" w:themeColor="text1"/>
        </w:rPr>
        <w:t>. Specifically, for peripheral tumors &gt; 2 cm from both GI tract and the porta hepatis, a 66-Gy relative biologic equivalent (GyE) in 10 fractions is delivered. Likewise, tumors within 2 cm of the GI tract can be treated with 77.0 GyE in 35 fractions, while those within 2 cm of the porta hepatis are treated with 72.6 GyE in 22 fractions. In those studies, the authors reported local control (LC) in the range of 88</w:t>
      </w:r>
      <w:r w:rsidR="003A219A"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to 95%, which was similar among various dose and fractionations. In addition, the authors reported three-year OS rates ranging from 45</w:t>
      </w:r>
      <w:r w:rsidR="00E914F4" w:rsidRPr="00F65D45">
        <w:rPr>
          <w:rFonts w:ascii="Book Antiqua" w:eastAsia="SimSun" w:hAnsi="Book Antiqua"/>
          <w:color w:val="000000" w:themeColor="text1"/>
          <w:lang w:eastAsia="zh-CN"/>
        </w:rPr>
        <w:t>%</w:t>
      </w:r>
      <w:r w:rsidR="00952FC1" w:rsidRPr="00F65D45">
        <w:rPr>
          <w:rFonts w:ascii="Book Antiqua" w:hAnsi="Book Antiqua"/>
          <w:color w:val="000000" w:themeColor="text1"/>
        </w:rPr>
        <w:t xml:space="preserve"> to 65%</w:t>
      </w:r>
      <w:r w:rsidRPr="00F65D45">
        <w:rPr>
          <w:rFonts w:ascii="Book Antiqua" w:hAnsi="Book Antiqua"/>
          <w:noProof/>
          <w:color w:val="000000" w:themeColor="text1"/>
          <w:vertAlign w:val="superscript"/>
        </w:rPr>
        <w:t>[30,39-42]</w:t>
      </w:r>
      <w:r w:rsidRPr="00F65D45">
        <w:rPr>
          <w:rFonts w:ascii="Book Antiqua" w:hAnsi="Book Antiqua"/>
          <w:color w:val="000000" w:themeColor="text1"/>
        </w:rPr>
        <w:t>. They also found that liver function was a significant prognostic factor associated with OS rates, and that OS was better in patients with a Child-Pugh (CP) A score compared with CP B.</w:t>
      </w:r>
    </w:p>
    <w:p w14:paraId="23A8BCCC" w14:textId="77777777"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In the US, researchers at Loma Linda University performed a phase II trial of PBT in 76 patients with HCC and liver cirrhosis</w:t>
      </w:r>
      <w:r w:rsidRPr="00F65D45">
        <w:rPr>
          <w:rFonts w:ascii="Book Antiqua" w:hAnsi="Book Antiqua"/>
          <w:noProof/>
          <w:color w:val="000000" w:themeColor="text1"/>
          <w:vertAlign w:val="superscript"/>
        </w:rPr>
        <w:t>[43]</w:t>
      </w:r>
      <w:r w:rsidRPr="00F65D45">
        <w:rPr>
          <w:rFonts w:ascii="Book Antiqua" w:hAnsi="Book Antiqua"/>
          <w:color w:val="000000" w:themeColor="text1"/>
        </w:rPr>
        <w:t xml:space="preserve">. Patients with extrahepatic metastases, tense ascites, or more than three tumors were excluded. The progression-free </w:t>
      </w:r>
      <w:r w:rsidRPr="00F65D45">
        <w:rPr>
          <w:rFonts w:ascii="Book Antiqua" w:hAnsi="Book Antiqua"/>
          <w:color w:val="000000" w:themeColor="text1"/>
        </w:rPr>
        <w:lastRenderedPageBreak/>
        <w:t xml:space="preserve">survival (PFS) at 3 years for patients meeting the Milan criteria was 60%. Liver transplantation was performed in 18 patients whose eventual 3-year OS rate was 70%; however, the OS rate of patients who did not undergo liver transplantation was 10%. In these patients, multivariate analysis identified the Milan criteria as the only independent factor associated with OS. </w:t>
      </w:r>
    </w:p>
    <w:p w14:paraId="1B5FA9B7" w14:textId="4C312154"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Researchers from Loma Linda University also recently reported a preliminary analysis of a randomized trial of TACE versus PBT</w:t>
      </w:r>
      <w:r w:rsidRPr="00F65D45">
        <w:rPr>
          <w:rFonts w:ascii="Book Antiqua" w:hAnsi="Book Antiqua"/>
          <w:noProof/>
          <w:color w:val="000000" w:themeColor="text1"/>
          <w:vertAlign w:val="superscript"/>
        </w:rPr>
        <w:t>[44]</w:t>
      </w:r>
      <w:r w:rsidRPr="00F65D45">
        <w:rPr>
          <w:rFonts w:ascii="Book Antiqua" w:hAnsi="Book Antiqua"/>
          <w:color w:val="000000" w:themeColor="text1"/>
        </w:rPr>
        <w:t>. In that study, a total of 69 patients who were diagnosed of HCC and met the Milan or San Francisco transplant criteria were enrolled and randomized to either TACE (</w:t>
      </w:r>
      <w:r w:rsidRPr="00F65D45">
        <w:rPr>
          <w:rFonts w:ascii="Book Antiqua" w:hAnsi="Book Antiqua"/>
          <w:i/>
          <w:color w:val="000000" w:themeColor="text1"/>
        </w:rPr>
        <w:t>n</w:t>
      </w:r>
      <w:r w:rsidRPr="00F65D45">
        <w:rPr>
          <w:rFonts w:ascii="Book Antiqua" w:hAnsi="Book Antiqua"/>
          <w:color w:val="000000" w:themeColor="text1"/>
        </w:rPr>
        <w:t xml:space="preserve"> = 36) or PBT (</w:t>
      </w:r>
      <w:r w:rsidRPr="00F65D45">
        <w:rPr>
          <w:rFonts w:ascii="Book Antiqua" w:hAnsi="Book Antiqua"/>
          <w:i/>
          <w:color w:val="000000" w:themeColor="text1"/>
        </w:rPr>
        <w:t>n</w:t>
      </w:r>
      <w:r w:rsidRPr="00F65D45">
        <w:rPr>
          <w:rFonts w:ascii="Book Antiqua" w:hAnsi="Book Antiqua"/>
          <w:color w:val="000000" w:themeColor="text1"/>
        </w:rPr>
        <w:t xml:space="preserve"> = 33). The dose fractionation regimen of PBT was 70.2 GyE in 15 fractions. An interim analysis showed a trend to</w:t>
      </w:r>
      <w:r w:rsidR="00523064" w:rsidRPr="00F65D45">
        <w:rPr>
          <w:rFonts w:ascii="Book Antiqua" w:hAnsi="Book Antiqua"/>
          <w:color w:val="000000" w:themeColor="text1"/>
        </w:rPr>
        <w:t xml:space="preserve">ward improved 2-year LC (88% </w:t>
      </w:r>
      <w:r w:rsidR="00523064" w:rsidRPr="00F65D45">
        <w:rPr>
          <w:rFonts w:ascii="Book Antiqua" w:hAnsi="Book Antiqua"/>
          <w:i/>
          <w:color w:val="000000" w:themeColor="text1"/>
        </w:rPr>
        <w:t>vs</w:t>
      </w:r>
      <w:r w:rsidRPr="00F65D45">
        <w:rPr>
          <w:rFonts w:ascii="Book Antiqua" w:hAnsi="Book Antiqua"/>
          <w:color w:val="000000" w:themeColor="text1"/>
        </w:rPr>
        <w:t xml:space="preserve"> 45%) and PFS (48% </w:t>
      </w:r>
      <w:r w:rsidR="00523064" w:rsidRPr="00F65D45">
        <w:rPr>
          <w:rFonts w:ascii="Book Antiqua" w:hAnsi="Book Antiqua"/>
          <w:i/>
          <w:color w:val="000000" w:themeColor="text1"/>
        </w:rPr>
        <w:t>vs</w:t>
      </w:r>
      <w:r w:rsidRPr="00F65D45">
        <w:rPr>
          <w:rFonts w:ascii="Book Antiqua" w:hAnsi="Book Antiqua"/>
          <w:color w:val="000000" w:themeColor="text1"/>
        </w:rPr>
        <w:t xml:space="preserve"> 31%) favoring PBT, although the difference between the two methods was not statistically significant. Another phase II trial of PBT for HCC (</w:t>
      </w:r>
      <w:r w:rsidRPr="00F65D45">
        <w:rPr>
          <w:rFonts w:ascii="Book Antiqua" w:hAnsi="Book Antiqua"/>
          <w:i/>
          <w:color w:val="000000" w:themeColor="text1"/>
        </w:rPr>
        <w:t>n</w:t>
      </w:r>
      <w:r w:rsidRPr="00F65D45">
        <w:rPr>
          <w:rFonts w:ascii="Book Antiqua" w:hAnsi="Book Antiqua"/>
          <w:color w:val="000000" w:themeColor="text1"/>
        </w:rPr>
        <w:t xml:space="preserve"> = 44) and intrahepatic cholangiocarcinoma (</w:t>
      </w:r>
      <w:r w:rsidRPr="00F65D45">
        <w:rPr>
          <w:rFonts w:ascii="Book Antiqua" w:hAnsi="Book Antiqua"/>
          <w:i/>
          <w:color w:val="000000" w:themeColor="text1"/>
        </w:rPr>
        <w:t>n</w:t>
      </w:r>
      <w:r w:rsidRPr="00F65D45">
        <w:rPr>
          <w:rFonts w:ascii="Book Antiqua" w:hAnsi="Book Antiqua"/>
          <w:color w:val="000000" w:themeColor="text1"/>
        </w:rPr>
        <w:t xml:space="preserve"> = 37) performed as a multi-center trial in the US</w:t>
      </w:r>
      <w:r w:rsidRPr="00F65D45">
        <w:rPr>
          <w:rFonts w:ascii="Book Antiqua" w:hAnsi="Book Antiqua"/>
          <w:noProof/>
          <w:color w:val="000000" w:themeColor="text1"/>
          <w:vertAlign w:val="superscript"/>
        </w:rPr>
        <w:t>[25]</w:t>
      </w:r>
      <w:r w:rsidRPr="00F65D45">
        <w:rPr>
          <w:rFonts w:ascii="Book Antiqua" w:hAnsi="Book Antiqua"/>
          <w:color w:val="000000" w:themeColor="text1"/>
        </w:rPr>
        <w:t xml:space="preserve"> reported the use of dose fractionation regimens of intention of 67.6 GyE in 15 fractions for tumors &gt; 2 cm from the porta hepatis and 58.05 GyE in 15 fractions for those within 2 cm of porta hepatis. In that study, the median dose actually delivered was 58.05 GyE (range, 15.1 to 67.5 GyE) in 15 fractions. For patients with HCC, the LC and OS rates at 2 years for patients with HCC were 95% and 63%, respectively, supporting ongoing phase III trials of RBT in HCC.</w:t>
      </w:r>
    </w:p>
    <w:p w14:paraId="3FFE8F85" w14:textId="1804D27B"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In Korea, the National Cancer Center performed a phase I dose-escalation study for PBT in HCC comprising 60 GyE in 20 fractions, 66 GyE in 22 fractions, or 72 GyE in 24 fractions</w:t>
      </w:r>
      <w:r w:rsidRPr="00F65D45">
        <w:rPr>
          <w:rFonts w:ascii="Book Antiqua" w:hAnsi="Book Antiqua"/>
          <w:noProof/>
          <w:color w:val="000000" w:themeColor="text1"/>
          <w:vertAlign w:val="superscript"/>
        </w:rPr>
        <w:t>[45]</w:t>
      </w:r>
      <w:r w:rsidRPr="00F65D45">
        <w:rPr>
          <w:rFonts w:ascii="Book Antiqua" w:hAnsi="Book Antiqua"/>
          <w:color w:val="000000" w:themeColor="text1"/>
        </w:rPr>
        <w:t>. The complete response (CR) rates of PBT were 62.5%, 57.1%, and 100% according to increasing dose level, respectively. In addition, the 3-year LC rate was 79.9%, which was significantly higher in patients with CR th</w:t>
      </w:r>
      <w:r w:rsidR="00523064" w:rsidRPr="00F65D45">
        <w:rPr>
          <w:rFonts w:ascii="Book Antiqua" w:hAnsi="Book Antiqua"/>
          <w:color w:val="000000" w:themeColor="text1"/>
        </w:rPr>
        <w:t xml:space="preserve">an in those with non-CR (90% </w:t>
      </w:r>
      <w:r w:rsidR="00523064" w:rsidRPr="00F65D45">
        <w:rPr>
          <w:rFonts w:ascii="Book Antiqua" w:hAnsi="Book Antiqua"/>
          <w:i/>
          <w:color w:val="000000" w:themeColor="text1"/>
        </w:rPr>
        <w:t>vs</w:t>
      </w:r>
      <w:r w:rsidRPr="00F65D45">
        <w:rPr>
          <w:rFonts w:ascii="Book Antiqua" w:hAnsi="Book Antiqua"/>
          <w:color w:val="000000" w:themeColor="text1"/>
        </w:rPr>
        <w:t xml:space="preserve"> 40%, </w:t>
      </w:r>
      <w:r w:rsidR="00523064" w:rsidRPr="00F65D45">
        <w:rPr>
          <w:rFonts w:ascii="Book Antiqua" w:hAnsi="Book Antiqua"/>
          <w:i/>
          <w:color w:val="000000" w:themeColor="text1"/>
        </w:rPr>
        <w:t>P</w:t>
      </w:r>
      <w:r w:rsidR="00523064" w:rsidRPr="00F65D45">
        <w:rPr>
          <w:rFonts w:ascii="Book Antiqua" w:hAnsi="Book Antiqua"/>
          <w:color w:val="000000" w:themeColor="text1"/>
        </w:rPr>
        <w:t xml:space="preserve"> </w:t>
      </w:r>
      <w:r w:rsidRPr="00F65D45">
        <w:rPr>
          <w:rFonts w:ascii="Book Antiqua" w:hAnsi="Book Antiqua"/>
          <w:color w:val="000000" w:themeColor="text1"/>
        </w:rPr>
        <w:t xml:space="preserve">= 0.003). None of the patients experienced liver toxicities greater than grade 2. </w:t>
      </w:r>
    </w:p>
    <w:p w14:paraId="23D4CA71"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356724D2"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PBT FOR HCC IN SPECIAL SITUATIONS</w:t>
      </w:r>
    </w:p>
    <w:p w14:paraId="50FC68FA"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 xml:space="preserve">Although various clinical studies have demonstrated the effectiveness and safety of </w:t>
      </w:r>
      <w:r w:rsidRPr="00F65D45">
        <w:rPr>
          <w:rFonts w:ascii="Book Antiqua" w:hAnsi="Book Antiqua"/>
          <w:color w:val="000000" w:themeColor="text1"/>
        </w:rPr>
        <w:lastRenderedPageBreak/>
        <w:t>PBT in the treatment for HCC, the indications for PBT have not yet been determined and continue to evolve. Because of dosimetric advantages, PBT has the potential to be applicable to more complicated cases ineligible for X-ray therapy, such as those with a history of hepatic RT, vascular invasion of the tumor, extremely large tumor burden, and/or poor liver function.</w:t>
      </w:r>
    </w:p>
    <w:p w14:paraId="7E540CBE"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7979D1A0"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RE-IRRADIATION WITH PBT FOR HCC</w:t>
      </w:r>
    </w:p>
    <w:p w14:paraId="516BEA06" w14:textId="55B2104C"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RT has played a role as a salvage treatment for recurrent HCC refractory or ineligible for other modalities</w:t>
      </w:r>
      <w:r w:rsidRPr="00F65D45">
        <w:rPr>
          <w:rFonts w:ascii="Book Antiqua" w:hAnsi="Book Antiqua"/>
          <w:noProof/>
          <w:color w:val="000000" w:themeColor="text1"/>
          <w:vertAlign w:val="superscript"/>
        </w:rPr>
        <w:t>[46-48]</w:t>
      </w:r>
      <w:r w:rsidRPr="00F65D45">
        <w:rPr>
          <w:rFonts w:ascii="Book Antiqua" w:hAnsi="Book Antiqua"/>
          <w:color w:val="000000" w:themeColor="text1"/>
        </w:rPr>
        <w:t>. RT can also be applied to recurrent HCC previously irradiated when there is no appropriate local salvage modality. However, despite the development of modern RT techniques, re-irradiation in HCC remains a challenging issue due to the risk of RILD and GI toxicity</w:t>
      </w:r>
      <w:r w:rsidRPr="00F65D45">
        <w:rPr>
          <w:rFonts w:ascii="Book Antiqua" w:hAnsi="Book Antiqua"/>
          <w:noProof/>
          <w:color w:val="000000" w:themeColor="text1"/>
          <w:vertAlign w:val="superscript"/>
        </w:rPr>
        <w:t>[49-51]</w:t>
      </w:r>
      <w:r w:rsidRPr="00F65D45">
        <w:rPr>
          <w:rFonts w:ascii="Book Antiqua" w:hAnsi="Book Antiqua"/>
          <w:color w:val="000000" w:themeColor="text1"/>
        </w:rPr>
        <w:t>. Therefore, very few studies have evaluated the feasibility and effectiveness of hepatic re-irradiation for HCC</w:t>
      </w:r>
      <w:r w:rsidRPr="00F65D45">
        <w:rPr>
          <w:rFonts w:ascii="Book Antiqua" w:hAnsi="Book Antiqua"/>
          <w:noProof/>
          <w:color w:val="000000" w:themeColor="text1"/>
          <w:vertAlign w:val="superscript"/>
        </w:rPr>
        <w:t>[51]</w:t>
      </w:r>
      <w:r w:rsidRPr="00F65D45">
        <w:rPr>
          <w:rFonts w:ascii="Book Antiqua" w:hAnsi="Book Antiqua"/>
          <w:color w:val="000000" w:themeColor="text1"/>
        </w:rPr>
        <w:t>. Nevertheless, PBT has been investigated as a salvage modality for previously irradiated HCC. Scientists at PMRC reported on the outcomes of repeated PBT for HCC</w:t>
      </w:r>
      <w:r w:rsidRPr="00F65D45">
        <w:rPr>
          <w:rFonts w:ascii="Book Antiqua" w:hAnsi="Book Antiqua"/>
          <w:noProof/>
          <w:color w:val="000000" w:themeColor="text1"/>
          <w:vertAlign w:val="superscript"/>
        </w:rPr>
        <w:t>[52]</w:t>
      </w:r>
      <w:r w:rsidRPr="00F65D45">
        <w:rPr>
          <w:rFonts w:ascii="Book Antiqua" w:hAnsi="Book Antiqua"/>
          <w:color w:val="000000" w:themeColor="text1"/>
        </w:rPr>
        <w:t xml:space="preserve">. In that study, 27 patients with 68 lesions received 2 or more courses of PBT, and the median interval between the first and second courses was 24.5 </w:t>
      </w:r>
      <w:r w:rsidR="00281555" w:rsidRPr="00F65D45">
        <w:rPr>
          <w:rFonts w:ascii="Book Antiqua" w:eastAsia="SimSun" w:hAnsi="Book Antiqua"/>
          <w:color w:val="000000" w:themeColor="text1"/>
          <w:lang w:eastAsia="zh-CN"/>
        </w:rPr>
        <w:t>mo</w:t>
      </w:r>
      <w:r w:rsidRPr="00F65D45">
        <w:rPr>
          <w:rFonts w:ascii="Book Antiqua" w:hAnsi="Book Antiqua"/>
          <w:color w:val="000000" w:themeColor="text1"/>
        </w:rPr>
        <w:t xml:space="preserve"> (range, 3.3 to 79.8 </w:t>
      </w:r>
      <w:r w:rsidR="006E09BD" w:rsidRPr="00F65D45">
        <w:rPr>
          <w:rFonts w:ascii="Book Antiqua" w:eastAsia="SimSun" w:hAnsi="Book Antiqua"/>
          <w:color w:val="000000" w:themeColor="text1"/>
          <w:lang w:eastAsia="zh-CN"/>
        </w:rPr>
        <w:t>mo</w:t>
      </w:r>
      <w:r w:rsidRPr="00F65D45">
        <w:rPr>
          <w:rFonts w:ascii="Book Antiqua" w:hAnsi="Book Antiqua"/>
          <w:color w:val="000000" w:themeColor="text1"/>
        </w:rPr>
        <w:t>). Likewise, the median dose was 72 Gy in 16 fractions and 66 Gy in 16 fractions for the first and subsequent courses, respectively. In the same study, the LC and OS rates were 87.8% and 55.6%, respectively. Based on these data, the authors concluded that for patients with peripheral tumors and CP A liver function, repeated PBT is safe. More recently, researchers at PMRC reported the results of repeated PBT for 83 patients with HCC, specifically including patients who received 3 (</w:t>
      </w:r>
      <w:r w:rsidRPr="00F65D45">
        <w:rPr>
          <w:rFonts w:ascii="Book Antiqua" w:hAnsi="Book Antiqua"/>
          <w:i/>
          <w:color w:val="000000" w:themeColor="text1"/>
        </w:rPr>
        <w:t>n</w:t>
      </w:r>
      <w:r w:rsidRPr="00F65D45">
        <w:rPr>
          <w:rFonts w:ascii="Book Antiqua" w:hAnsi="Book Antiqua"/>
          <w:color w:val="000000" w:themeColor="text1"/>
        </w:rPr>
        <w:t xml:space="preserve"> = 12) or 4 (</w:t>
      </w:r>
      <w:r w:rsidRPr="00F65D45">
        <w:rPr>
          <w:rFonts w:ascii="Book Antiqua" w:hAnsi="Book Antiqua"/>
          <w:i/>
          <w:color w:val="000000" w:themeColor="text1"/>
        </w:rPr>
        <w:t>n</w:t>
      </w:r>
      <w:r w:rsidRPr="00F65D45">
        <w:rPr>
          <w:rFonts w:ascii="Book Antiqua" w:hAnsi="Book Antiqua"/>
          <w:color w:val="000000" w:themeColor="text1"/>
        </w:rPr>
        <w:t xml:space="preserve"> = 3) courses of PBT</w:t>
      </w:r>
      <w:r w:rsidRPr="00F65D45">
        <w:rPr>
          <w:rFonts w:ascii="Book Antiqua" w:hAnsi="Book Antiqua"/>
          <w:noProof/>
          <w:color w:val="000000" w:themeColor="text1"/>
          <w:vertAlign w:val="superscript"/>
        </w:rPr>
        <w:t>[53]</w:t>
      </w:r>
      <w:r w:rsidRPr="00F65D45">
        <w:rPr>
          <w:rFonts w:ascii="Book Antiqua" w:hAnsi="Book Antiqua"/>
          <w:color w:val="000000" w:themeColor="text1"/>
        </w:rPr>
        <w:t xml:space="preserve">. The median doses for the first, second, third, and fourth courses were 71.0, 70.0, 70.0, and 69.3 GyE, respectively, and the 5-year OS rate was 49.4%. Neither severe acute toxicity nor RILD was observed during the study period. </w:t>
      </w:r>
    </w:p>
    <w:p w14:paraId="33FDCE9C"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2AEBF5C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b/>
          <w:color w:val="000000" w:themeColor="text1"/>
        </w:rPr>
        <w:t>PBT FOR HCC WITH PORTAL VEIN TUMOR THROMBOSIS</w:t>
      </w:r>
    </w:p>
    <w:p w14:paraId="3940116F" w14:textId="1D5F2CE0"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Portal vain tumor thrombosis (PVTT) at the time of diagnosis is present in 30</w:t>
      </w:r>
      <w:r w:rsidR="0028608C" w:rsidRPr="00F65D45">
        <w:rPr>
          <w:rFonts w:ascii="Book Antiqua" w:eastAsia="SimSun" w:hAnsi="Book Antiqua"/>
          <w:color w:val="000000" w:themeColor="text1"/>
          <w:lang w:eastAsia="zh-CN"/>
        </w:rPr>
        <w:t>%-</w:t>
      </w:r>
      <w:r w:rsidRPr="00F65D45">
        <w:rPr>
          <w:rFonts w:ascii="Book Antiqua" w:hAnsi="Book Antiqua"/>
          <w:color w:val="000000" w:themeColor="text1"/>
        </w:rPr>
        <w:t>40% of all patients with advanced HCC</w:t>
      </w:r>
      <w:r w:rsidRPr="00F65D45">
        <w:rPr>
          <w:rFonts w:ascii="Book Antiqua" w:hAnsi="Book Antiqua"/>
          <w:noProof/>
          <w:color w:val="000000" w:themeColor="text1"/>
          <w:vertAlign w:val="superscript"/>
        </w:rPr>
        <w:t>[11]</w:t>
      </w:r>
      <w:r w:rsidRPr="00F65D45">
        <w:rPr>
          <w:rFonts w:ascii="Book Antiqua" w:hAnsi="Book Antiqua"/>
          <w:color w:val="000000" w:themeColor="text1"/>
        </w:rPr>
        <w:t xml:space="preserve">, and PVTT is a poor prognostic factor with a median survival of 2.7 to 4.0 </w:t>
      </w:r>
      <w:r w:rsidR="00592E19" w:rsidRPr="00F65D45">
        <w:rPr>
          <w:rFonts w:ascii="Book Antiqua" w:eastAsia="SimSun" w:hAnsi="Book Antiqua"/>
          <w:color w:val="000000" w:themeColor="text1"/>
          <w:lang w:eastAsia="zh-CN"/>
        </w:rPr>
        <w:t>mo</w:t>
      </w:r>
      <w:r w:rsidRPr="00F65D45">
        <w:rPr>
          <w:rFonts w:ascii="Book Antiqua" w:hAnsi="Book Antiqua"/>
          <w:noProof/>
          <w:color w:val="000000" w:themeColor="text1"/>
          <w:vertAlign w:val="superscript"/>
        </w:rPr>
        <w:t>[54,55]</w:t>
      </w:r>
      <w:r w:rsidRPr="00F65D45">
        <w:rPr>
          <w:rFonts w:ascii="Book Antiqua" w:hAnsi="Book Antiqua"/>
          <w:color w:val="000000" w:themeColor="text1"/>
        </w:rPr>
        <w:t xml:space="preserve">. Currently, the Barcelona-Clinic Liver Cancer </w:t>
      </w:r>
      <w:r w:rsidRPr="00F65D45">
        <w:rPr>
          <w:rFonts w:ascii="Book Antiqua" w:hAnsi="Book Antiqua"/>
          <w:color w:val="000000" w:themeColor="text1"/>
        </w:rPr>
        <w:lastRenderedPageBreak/>
        <w:t>(BCLC) system recommends sorafenib as the only standard treatment in such patients</w:t>
      </w:r>
      <w:r w:rsidRPr="00F65D45">
        <w:rPr>
          <w:rFonts w:ascii="Book Antiqua" w:hAnsi="Book Antiqua"/>
          <w:noProof/>
          <w:color w:val="000000" w:themeColor="text1"/>
          <w:vertAlign w:val="superscript"/>
        </w:rPr>
        <w:t>[9]</w:t>
      </w:r>
      <w:r w:rsidRPr="00F65D45">
        <w:rPr>
          <w:rFonts w:ascii="Book Antiqua" w:hAnsi="Book Antiqua"/>
          <w:color w:val="000000" w:themeColor="text1"/>
        </w:rPr>
        <w:t>. However, the response rate to sorafenib ranges from 2</w:t>
      </w:r>
      <w:r w:rsidR="00CB31D0"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to 5%, and the median time to progression is only 2.8 </w:t>
      </w:r>
      <w:r w:rsidR="00D37796" w:rsidRPr="00F65D45">
        <w:rPr>
          <w:rFonts w:ascii="Book Antiqua" w:eastAsia="SimSun" w:hAnsi="Book Antiqua"/>
          <w:color w:val="000000" w:themeColor="text1"/>
          <w:lang w:eastAsia="zh-CN"/>
        </w:rPr>
        <w:t>mo</w:t>
      </w:r>
      <w:r w:rsidRPr="00F65D45">
        <w:rPr>
          <w:rFonts w:ascii="Book Antiqua" w:hAnsi="Book Antiqua"/>
          <w:noProof/>
          <w:color w:val="000000" w:themeColor="text1"/>
          <w:vertAlign w:val="superscript"/>
        </w:rPr>
        <w:t>[56]</w:t>
      </w:r>
      <w:r w:rsidRPr="00F65D45">
        <w:rPr>
          <w:rFonts w:ascii="Book Antiqua" w:hAnsi="Book Antiqua"/>
          <w:color w:val="000000" w:themeColor="text1"/>
        </w:rPr>
        <w:t>. Therefore, efficient local modalities leading to improve clinical outcomes are required. Unfortunately, no local modalities have been proven to be efficient for HCC with PVTT. Surgery and TACE alone are not typically feasible because most cases of HCC with PVTT are unresectable, and the efficacy of TACE is limited due to the aortoportal shunt</w:t>
      </w:r>
      <w:r w:rsidRPr="00F65D45">
        <w:rPr>
          <w:rFonts w:ascii="Book Antiqua" w:hAnsi="Book Antiqua"/>
          <w:noProof/>
          <w:color w:val="000000" w:themeColor="text1"/>
          <w:vertAlign w:val="superscript"/>
        </w:rPr>
        <w:t>[57]</w:t>
      </w:r>
      <w:r w:rsidRPr="00F65D45">
        <w:rPr>
          <w:rFonts w:ascii="Book Antiqua" w:hAnsi="Book Antiqua"/>
          <w:color w:val="000000" w:themeColor="text1"/>
        </w:rPr>
        <w:t xml:space="preserve">. However, various studies have reported the outcomes of RT with or without TACE, with an objective response rate ranging from 40 to 60%. Furthermore, among responders, the median PS is reported to be 15 to 20 </w:t>
      </w:r>
      <w:r w:rsidR="006A6F00" w:rsidRPr="00F65D45">
        <w:rPr>
          <w:rFonts w:ascii="Book Antiqua" w:eastAsia="SimSun" w:hAnsi="Book Antiqua"/>
          <w:color w:val="000000" w:themeColor="text1"/>
          <w:lang w:eastAsia="zh-CN"/>
        </w:rPr>
        <w:t>mo</w:t>
      </w:r>
      <w:r w:rsidRPr="00F65D45">
        <w:rPr>
          <w:rFonts w:ascii="Book Antiqua" w:hAnsi="Book Antiqua"/>
          <w:noProof/>
          <w:color w:val="000000" w:themeColor="text1"/>
          <w:vertAlign w:val="superscript"/>
        </w:rPr>
        <w:t>[58-61]</w:t>
      </w:r>
      <w:r w:rsidRPr="00F65D45">
        <w:rPr>
          <w:rFonts w:ascii="Book Antiqua" w:hAnsi="Book Antiqua"/>
          <w:color w:val="000000" w:themeColor="text1"/>
        </w:rPr>
        <w:t xml:space="preserve">. </w:t>
      </w:r>
    </w:p>
    <w:p w14:paraId="69E98FC3" w14:textId="77777777"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 xml:space="preserve">The outcomes of PBT for HCC with PVTT have also been evaluated by PMRC. That study analyzed 12 HCC patients with PVTT in which a median dose regimen of 55 GyE in 10-22 fractions was used (range of 50 to 72 GyE in 10-22 fractions). Radiographic CR was achieved in 6 patients, and there was recanalization of the portal vein in 5 patients. Furthermore, the 2- and 5-year OS rates were 88% and 58%, respectively. </w:t>
      </w:r>
    </w:p>
    <w:p w14:paraId="403D0DC5" w14:textId="77777777"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Lastly, the National Cancer Center of Korea reported on the outcomes of PBT using a simultaneous integrated boost technique for HCC with PVTT</w:t>
      </w:r>
      <w:r w:rsidRPr="00F65D45">
        <w:rPr>
          <w:rFonts w:ascii="Book Antiqua" w:hAnsi="Book Antiqua"/>
          <w:noProof/>
          <w:color w:val="000000" w:themeColor="text1"/>
          <w:vertAlign w:val="superscript"/>
        </w:rPr>
        <w:t>[62]</w:t>
      </w:r>
      <w:r w:rsidRPr="00F65D45">
        <w:rPr>
          <w:rFonts w:ascii="Book Antiqua" w:hAnsi="Book Antiqua"/>
          <w:color w:val="000000" w:themeColor="text1"/>
        </w:rPr>
        <w:t>. The dose regimens were determined depending on the distance of the tumor from GI OARs, and most tumors were treated with 50-66 GyE in 10 fractions while areas closer to an OAR were treated with 30 GyE in 10 fractions. The LC and OS rates reported in that study at 2 years were 88.1% and 51.1%, respectively. In addition, patients treated with equivalent dose of 2 Gy fractions for α/β = 10 Gy (EQD2</w:t>
      </w:r>
      <w:r w:rsidRPr="00F65D45">
        <w:rPr>
          <w:rFonts w:ascii="Book Antiqua" w:hAnsi="Book Antiqua"/>
          <w:color w:val="000000" w:themeColor="text1"/>
          <w:vertAlign w:val="subscript"/>
        </w:rPr>
        <w:t>10</w:t>
      </w:r>
      <w:r w:rsidRPr="00F65D45">
        <w:rPr>
          <w:rFonts w:ascii="Book Antiqua" w:hAnsi="Book Antiqua"/>
          <w:color w:val="000000" w:themeColor="text1"/>
        </w:rPr>
        <w:t xml:space="preserve">) of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80 GyE, tended to show better tumor vascular thrombosis response, LC, and OS.</w:t>
      </w:r>
    </w:p>
    <w:p w14:paraId="014627EB"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7B7624AE"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PBT FOR LARGE HCCs</w:t>
      </w:r>
    </w:p>
    <w:p w14:paraId="7E6A1DE5" w14:textId="696C3543"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Tumor size is critical in determining treatment modalities in HCC</w:t>
      </w:r>
      <w:r w:rsidRPr="00F65D45">
        <w:rPr>
          <w:rFonts w:ascii="Book Antiqua" w:hAnsi="Book Antiqua"/>
          <w:noProof/>
          <w:color w:val="000000" w:themeColor="text1"/>
          <w:vertAlign w:val="superscript"/>
        </w:rPr>
        <w:t>[63]</w:t>
      </w:r>
      <w:r w:rsidRPr="00F65D45">
        <w:rPr>
          <w:rFonts w:ascii="Book Antiqua" w:hAnsi="Book Antiqua"/>
          <w:color w:val="000000" w:themeColor="text1"/>
        </w:rPr>
        <w:t>. Patients with large tumors are not candidates for ablation therapies or liver transplantation</w:t>
      </w:r>
      <w:r w:rsidRPr="00F65D45">
        <w:rPr>
          <w:rFonts w:ascii="Book Antiqua" w:hAnsi="Book Antiqua"/>
          <w:noProof/>
          <w:color w:val="000000" w:themeColor="text1"/>
          <w:vertAlign w:val="superscript"/>
        </w:rPr>
        <w:t>[64-66]</w:t>
      </w:r>
      <w:r w:rsidRPr="00F65D45">
        <w:rPr>
          <w:rFonts w:ascii="Book Antiqua" w:hAnsi="Book Antiqua"/>
          <w:color w:val="000000" w:themeColor="text1"/>
        </w:rPr>
        <w:t>. Although surgery seems to have role in the treatment of HCCs larger than 10 cm, few of these tumors are actual candidates for resection</w:t>
      </w:r>
      <w:r w:rsidRPr="00F65D45">
        <w:rPr>
          <w:rFonts w:ascii="Book Antiqua" w:hAnsi="Book Antiqua"/>
          <w:noProof/>
          <w:color w:val="000000" w:themeColor="text1"/>
          <w:vertAlign w:val="superscript"/>
        </w:rPr>
        <w:t>[67-69]</w:t>
      </w:r>
      <w:r w:rsidRPr="00F65D45">
        <w:rPr>
          <w:rFonts w:ascii="Book Antiqua" w:hAnsi="Book Antiqua"/>
          <w:color w:val="000000" w:themeColor="text1"/>
        </w:rPr>
        <w:t xml:space="preserve">. In such cases, RT </w:t>
      </w:r>
      <w:r w:rsidRPr="00F65D45">
        <w:rPr>
          <w:rFonts w:ascii="Book Antiqua" w:hAnsi="Book Antiqua"/>
          <w:color w:val="000000" w:themeColor="text1"/>
        </w:rPr>
        <w:lastRenderedPageBreak/>
        <w:t>represents an alternative modality for large tumors; however, it is not possible to avoid irradiating large volumes of normal liver tissues, which in turn limits sufficient dose escalation</w:t>
      </w:r>
      <w:r w:rsidRPr="00F65D45">
        <w:rPr>
          <w:rFonts w:ascii="Book Antiqua" w:hAnsi="Book Antiqua"/>
          <w:noProof/>
          <w:color w:val="000000" w:themeColor="text1"/>
          <w:vertAlign w:val="superscript"/>
        </w:rPr>
        <w:t>[70,71]</w:t>
      </w:r>
      <w:r w:rsidRPr="00F65D45">
        <w:rPr>
          <w:rFonts w:ascii="Book Antiqua" w:hAnsi="Book Antiqua"/>
          <w:color w:val="000000" w:themeColor="text1"/>
        </w:rPr>
        <w:t>. Importantly, PBT has the potential to overcome this limitation. Researchers at the University of Hokkaido performed dosimetric com</w:t>
      </w:r>
      <w:r w:rsidR="004510B9" w:rsidRPr="00F65D45">
        <w:rPr>
          <w:rFonts w:ascii="Book Antiqua" w:hAnsi="Book Antiqua"/>
          <w:color w:val="000000" w:themeColor="text1"/>
        </w:rPr>
        <w:t xml:space="preserve">parison of spot-scanning PBT </w:t>
      </w:r>
      <w:r w:rsidR="004510B9" w:rsidRPr="00F65D45">
        <w:rPr>
          <w:rFonts w:ascii="Book Antiqua" w:hAnsi="Book Antiqua"/>
          <w:i/>
          <w:color w:val="000000" w:themeColor="text1"/>
        </w:rPr>
        <w:t>vs</w:t>
      </w:r>
      <w:r w:rsidRPr="00F65D45">
        <w:rPr>
          <w:rFonts w:ascii="Book Antiqua" w:hAnsi="Book Antiqua"/>
          <w:color w:val="000000" w:themeColor="text1"/>
        </w:rPr>
        <w:t xml:space="preserve"> IMRT for HCC</w:t>
      </w:r>
      <w:r w:rsidRPr="00F65D45">
        <w:rPr>
          <w:rFonts w:ascii="Book Antiqua" w:hAnsi="Book Antiqua"/>
          <w:noProof/>
          <w:color w:val="000000" w:themeColor="text1"/>
          <w:vertAlign w:val="superscript"/>
        </w:rPr>
        <w:t>[72]</w:t>
      </w:r>
      <w:r w:rsidRPr="00F65D45">
        <w:rPr>
          <w:rFonts w:ascii="Book Antiqua" w:hAnsi="Book Antiqua"/>
          <w:color w:val="000000" w:themeColor="text1"/>
        </w:rPr>
        <w:t>. For gross tumors of a nominal diameter more than 6.3 cm, the average risk of RILD according to the Lyman-normal-tissue complication probability model was estimated as 94.5% for IMRT compared to 6.2% for PBT. PMRC also reported the clinical result of PBT for 22 patients with HCC of size &gt; 10 cm</w:t>
      </w:r>
      <w:r w:rsidRPr="00F65D45">
        <w:rPr>
          <w:rFonts w:ascii="Book Antiqua" w:hAnsi="Book Antiqua"/>
          <w:noProof/>
          <w:color w:val="000000" w:themeColor="text1"/>
          <w:vertAlign w:val="superscript"/>
        </w:rPr>
        <w:t>[73]</w:t>
      </w:r>
      <w:r w:rsidRPr="00F65D45">
        <w:rPr>
          <w:rFonts w:ascii="Book Antiqua" w:hAnsi="Book Antiqua"/>
          <w:color w:val="000000" w:themeColor="text1"/>
        </w:rPr>
        <w:t>. In that study, which employed a median dose regimen of 72.6 GyE in 22 fractions (range, 47.3 to 89.1 GyE in 10-35 fractions), the median tumor size was 11 cm (range, 10 to 14 cm). The LC and OS at 2 years were 87% and 36%, respectively. RILD occurred in 5 of 22 patients, 3 of whom showed CR.</w:t>
      </w:r>
    </w:p>
    <w:p w14:paraId="4809DB25" w14:textId="77777777" w:rsidR="00044F9C" w:rsidRPr="00F65D45" w:rsidRDefault="00044F9C" w:rsidP="00F65D45">
      <w:pPr>
        <w:widowControl w:val="0"/>
        <w:snapToGrid w:val="0"/>
        <w:spacing w:line="360" w:lineRule="auto"/>
        <w:ind w:firstLine="800"/>
        <w:jc w:val="both"/>
        <w:rPr>
          <w:rFonts w:ascii="Book Antiqua" w:hAnsi="Book Antiqua"/>
          <w:color w:val="000000" w:themeColor="text1"/>
        </w:rPr>
      </w:pPr>
    </w:p>
    <w:p w14:paraId="3D28E525"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PBT FOR HCC PATIENTS WITH POOR LIVER FUNCTION</w:t>
      </w:r>
    </w:p>
    <w:p w14:paraId="64EB99F3" w14:textId="108A8D0D"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 xml:space="preserve">HCC patients with cirrhotic livers or poor liver function have a dismal prognosis with a median survival time of 3 to 9 </w:t>
      </w:r>
      <w:r w:rsidR="00974A66" w:rsidRPr="00F65D45">
        <w:rPr>
          <w:rFonts w:ascii="Book Antiqua" w:eastAsia="SimSun" w:hAnsi="Book Antiqua"/>
          <w:color w:val="000000" w:themeColor="text1"/>
          <w:lang w:eastAsia="zh-CN"/>
        </w:rPr>
        <w:t>mo</w:t>
      </w:r>
      <w:r w:rsidRPr="00F65D45">
        <w:rPr>
          <w:rFonts w:ascii="Book Antiqua" w:hAnsi="Book Antiqua"/>
          <w:noProof/>
          <w:color w:val="000000" w:themeColor="text1"/>
          <w:vertAlign w:val="superscript"/>
        </w:rPr>
        <w:t>[55]</w:t>
      </w:r>
      <w:r w:rsidRPr="00F65D45">
        <w:rPr>
          <w:rFonts w:ascii="Book Antiqua" w:hAnsi="Book Antiqua"/>
          <w:color w:val="000000" w:themeColor="text1"/>
        </w:rPr>
        <w:t>. Although poor liver function itself is a poor prognostic factor, there are limitations in applying local modalities to those patients because it is difficult to preserve the function of the residual untreated liver</w:t>
      </w:r>
      <w:r w:rsidRPr="00F65D45">
        <w:rPr>
          <w:rFonts w:ascii="Book Antiqua" w:hAnsi="Book Antiqua"/>
          <w:noProof/>
          <w:color w:val="000000" w:themeColor="text1"/>
          <w:vertAlign w:val="superscript"/>
        </w:rPr>
        <w:t>[74]</w:t>
      </w:r>
      <w:r w:rsidRPr="00F65D45">
        <w:rPr>
          <w:rFonts w:ascii="Book Antiqua" w:hAnsi="Book Antiqua"/>
          <w:color w:val="000000" w:themeColor="text1"/>
        </w:rPr>
        <w:t>. Researchers at PMRC reported on the clinical outcomes of PBT for 19 patients with HCC and CP C</w:t>
      </w:r>
      <w:r w:rsidRPr="00F65D45">
        <w:rPr>
          <w:rFonts w:ascii="Book Antiqua" w:hAnsi="Book Antiqua"/>
          <w:noProof/>
          <w:color w:val="000000" w:themeColor="text1"/>
          <w:vertAlign w:val="superscript"/>
        </w:rPr>
        <w:t>[75]</w:t>
      </w:r>
      <w:r w:rsidRPr="00F65D45">
        <w:rPr>
          <w:rFonts w:ascii="Book Antiqua" w:hAnsi="Book Antiqua"/>
          <w:color w:val="000000" w:themeColor="text1"/>
        </w:rPr>
        <w:t xml:space="preserve">. The median RT dose was 72 GyE in 16 fractions (range, 50 to 84 GyE in 10 to 24 fractions). The crude LC rate was 95% over a median follow-up of 17 </w:t>
      </w:r>
      <w:r w:rsidR="00974A66" w:rsidRPr="00F65D45">
        <w:rPr>
          <w:rFonts w:ascii="Book Antiqua" w:eastAsia="SimSun" w:hAnsi="Book Antiqua"/>
          <w:color w:val="000000" w:themeColor="text1"/>
          <w:lang w:eastAsia="zh-CN"/>
        </w:rPr>
        <w:t>mo</w:t>
      </w:r>
      <w:r w:rsidRPr="00F65D45">
        <w:rPr>
          <w:rFonts w:ascii="Book Antiqua" w:hAnsi="Book Antiqua"/>
          <w:color w:val="000000" w:themeColor="text1"/>
        </w:rPr>
        <w:t xml:space="preserve">, and the OS at 2 years was 42%. In addition, there were no therapy-related toxicities of grade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3 or deterioration of CP score. Among the total cohort, 14 patients exhibited an improved CP score. Researchers at PMRC also reported on the feasibility of PBT for HCC patients with uncontrollable ascites</w:t>
      </w:r>
      <w:r w:rsidRPr="00F65D45">
        <w:rPr>
          <w:rFonts w:ascii="Book Antiqua" w:hAnsi="Book Antiqua"/>
          <w:noProof/>
          <w:color w:val="000000" w:themeColor="text1"/>
          <w:vertAlign w:val="superscript"/>
        </w:rPr>
        <w:t>[76]</w:t>
      </w:r>
      <w:r w:rsidRPr="00F65D45">
        <w:rPr>
          <w:rFonts w:ascii="Book Antiqua" w:hAnsi="Book Antiqua"/>
          <w:color w:val="000000" w:themeColor="text1"/>
        </w:rPr>
        <w:t xml:space="preserve">. Specifically, they used PBT of 24 GyE in a single fraction, and performed precise adjustment of PBT immediately before irradiation. Although their study only included three patients, objective responses were achieved for all the irradiated tumors, and there were no therapy-related toxicities higher than grade 3. </w:t>
      </w:r>
    </w:p>
    <w:p w14:paraId="3D7DF37E" w14:textId="76CBF4C5" w:rsidR="00044F9C" w:rsidRPr="00AC4777" w:rsidRDefault="00044F9C" w:rsidP="00AC4777">
      <w:pPr>
        <w:widowControl w:val="0"/>
        <w:snapToGrid w:val="0"/>
        <w:spacing w:line="360" w:lineRule="auto"/>
        <w:jc w:val="both"/>
        <w:rPr>
          <w:rFonts w:ascii="Book Antiqua" w:eastAsia="SimSun" w:hAnsi="Book Antiqua"/>
          <w:color w:val="000000" w:themeColor="text1"/>
          <w:lang w:eastAsia="zh-CN"/>
        </w:rPr>
      </w:pPr>
    </w:p>
    <w:p w14:paraId="3B22C4F1" w14:textId="6B0A5342"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TOXICITY AFTER PBT</w:t>
      </w:r>
      <w:r w:rsidR="00425ED6">
        <w:rPr>
          <w:rFonts w:ascii="Book Antiqua" w:hAnsi="Book Antiqua"/>
          <w:b/>
          <w:color w:val="000000" w:themeColor="text1"/>
        </w:rPr>
        <w:t xml:space="preserve"> </w:t>
      </w:r>
      <w:r w:rsidRPr="00F65D45">
        <w:rPr>
          <w:rFonts w:ascii="Book Antiqua" w:hAnsi="Book Antiqua"/>
          <w:b/>
          <w:color w:val="000000" w:themeColor="text1"/>
        </w:rPr>
        <w:t>HEPATIC TOXICITY</w:t>
      </w:r>
      <w:bookmarkStart w:id="60" w:name="_GoBack"/>
      <w:bookmarkEnd w:id="60"/>
    </w:p>
    <w:p w14:paraId="3FEA308F" w14:textId="097A2128"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RILD is seldom observed in the era of PBT for HCC, and there is very limited literature on PBT-related RILD. Researchers at PMRC evaluated 60 HCC patients treated with PBT consisting of 76 GyE in 20 fractions</w:t>
      </w:r>
      <w:r w:rsidRPr="00F65D45">
        <w:rPr>
          <w:rFonts w:ascii="Book Antiqua" w:hAnsi="Book Antiqua"/>
          <w:noProof/>
          <w:color w:val="000000" w:themeColor="text1"/>
          <w:vertAlign w:val="superscript"/>
        </w:rPr>
        <w:t>[77]</w:t>
      </w:r>
      <w:r w:rsidRPr="00F65D45">
        <w:rPr>
          <w:rFonts w:ascii="Book Antiqua" w:hAnsi="Book Antiqua"/>
          <w:color w:val="000000" w:themeColor="text1"/>
        </w:rPr>
        <w:t>. Seventy-eight percent of the patients had CP-A liver function, and 82% had liver cirrhosis; prior liver directed therapy had been performed in 60% of the patients. In that study, RILD was defined as anicteric ascites or asterixis. A total of 11 patients exhibited RILD, and seven patients died due to RILD. In addition, they reported that there were no cases of PBT-related RILD for patients with pretreatment indocyanine green retention at 15 minute (ICG R15) less than 20%. On the other hand, RILD-related mortality of patients with a pretreatment ICG R15 over 50% was 75%. For patients with pretreatment ICG R15 of 20</w:t>
      </w:r>
      <w:r w:rsidR="006A6F00" w:rsidRPr="00F65D45">
        <w:rPr>
          <w:rFonts w:ascii="Book Antiqua" w:eastAsia="SimSun" w:hAnsi="Book Antiqua"/>
          <w:color w:val="000000" w:themeColor="text1"/>
          <w:lang w:eastAsia="zh-CN"/>
        </w:rPr>
        <w:t>%</w:t>
      </w:r>
      <w:r w:rsidRPr="00F65D45">
        <w:rPr>
          <w:rFonts w:ascii="Book Antiqua" w:hAnsi="Book Antiqua"/>
          <w:color w:val="000000" w:themeColor="text1"/>
        </w:rPr>
        <w:t>-49%, V</w:t>
      </w:r>
      <w:r w:rsidRPr="00F65D45">
        <w:rPr>
          <w:rFonts w:ascii="Book Antiqua" w:hAnsi="Book Antiqua"/>
          <w:color w:val="000000" w:themeColor="text1"/>
          <w:vertAlign w:val="subscript"/>
        </w:rPr>
        <w:t>30GyE</w:t>
      </w:r>
      <w:r w:rsidRPr="00F65D45">
        <w:rPr>
          <w:rFonts w:ascii="Book Antiqua" w:hAnsi="Book Antiqua"/>
          <w:color w:val="000000" w:themeColor="text1"/>
        </w:rPr>
        <w:t xml:space="preserve"> &lt; 25% was identified as a predictor for PBT-related RILD. In some more recent studies, changes in CP score were reported. Specifically, PMRC evaluated CP scores before and after PBT for 259 HCC patients</w:t>
      </w:r>
      <w:r w:rsidRPr="00F65D45">
        <w:rPr>
          <w:rFonts w:ascii="Book Antiqua" w:hAnsi="Book Antiqua"/>
          <w:noProof/>
          <w:color w:val="000000" w:themeColor="text1"/>
          <w:vertAlign w:val="superscript"/>
        </w:rPr>
        <w:t>[24]</w:t>
      </w:r>
      <w:r w:rsidRPr="00F65D45">
        <w:rPr>
          <w:rFonts w:ascii="Book Antiqua" w:hAnsi="Book Antiqua"/>
          <w:color w:val="000000" w:themeColor="text1"/>
        </w:rPr>
        <w:t xml:space="preserve">, and found that among the 76% of patients with CP-A, 73% had cirrhosis of the liver and 63% had previously received liver directed treatment. In addition, the rates in the increase in point 1 CP score compared to baseline were 16% and 8% at 1 and 2 years, respectively. Likewise, the rates of point 2 from baseline CP sore were 11% and 22% at 1 and 2 years, respectively. On the other hand, literature from the US and </w:t>
      </w:r>
      <w:r w:rsidR="00AC4777">
        <w:rPr>
          <w:rFonts w:ascii="Book Antiqua" w:eastAsia="SimSun" w:hAnsi="Book Antiqua" w:hint="eastAsia"/>
          <w:color w:val="000000" w:themeColor="text1"/>
          <w:lang w:eastAsia="zh-CN"/>
        </w:rPr>
        <w:t xml:space="preserve">South </w:t>
      </w:r>
      <w:r w:rsidRPr="00F65D45">
        <w:rPr>
          <w:rFonts w:ascii="Book Antiqua" w:hAnsi="Book Antiqua"/>
          <w:color w:val="000000" w:themeColor="text1"/>
        </w:rPr>
        <w:t>Korea indicate that only 4% of study patients have an increased CP score after PBT</w:t>
      </w:r>
      <w:r w:rsidRPr="00F65D45">
        <w:rPr>
          <w:rFonts w:ascii="Book Antiqua" w:hAnsi="Book Antiqua"/>
          <w:noProof/>
          <w:color w:val="000000" w:themeColor="text1"/>
          <w:vertAlign w:val="superscript"/>
        </w:rPr>
        <w:t>[25,43,78]</w:t>
      </w:r>
      <w:r w:rsidRPr="00F65D45">
        <w:rPr>
          <w:rFonts w:ascii="Book Antiqua" w:hAnsi="Book Antiqua"/>
          <w:color w:val="000000" w:themeColor="text1"/>
        </w:rPr>
        <w:t>.</w:t>
      </w:r>
    </w:p>
    <w:p w14:paraId="1655C414" w14:textId="77777777" w:rsidR="00044F9C" w:rsidRPr="00AC4777" w:rsidRDefault="00044F9C" w:rsidP="00F65D45">
      <w:pPr>
        <w:widowControl w:val="0"/>
        <w:snapToGrid w:val="0"/>
        <w:spacing w:line="360" w:lineRule="auto"/>
        <w:jc w:val="both"/>
        <w:rPr>
          <w:rFonts w:ascii="Book Antiqua" w:hAnsi="Book Antiqua"/>
          <w:color w:val="000000" w:themeColor="text1"/>
        </w:rPr>
      </w:pPr>
    </w:p>
    <w:p w14:paraId="734FFCD8"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GI TRACT</w:t>
      </w:r>
    </w:p>
    <w:p w14:paraId="5EA3D28B" w14:textId="22D16CF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The stomach, duodenum, and bowel are critical OARs because of their proximity to HCC tumors and the vulnerability of patients to radiation toxicity due to portal hypertension-induced gastroduodenopathy</w:t>
      </w:r>
      <w:r w:rsidRPr="00F65D45">
        <w:rPr>
          <w:rFonts w:ascii="Book Antiqua" w:hAnsi="Book Antiqua"/>
          <w:noProof/>
          <w:color w:val="000000" w:themeColor="text1"/>
          <w:vertAlign w:val="superscript"/>
        </w:rPr>
        <w:t>[79,80]</w:t>
      </w:r>
      <w:r w:rsidRPr="00F65D45">
        <w:rPr>
          <w:rFonts w:ascii="Book Antiqua" w:hAnsi="Book Antiqua"/>
          <w:color w:val="000000" w:themeColor="text1"/>
        </w:rPr>
        <w:t xml:space="preserve">. A group of researchers from Loma Linda University reported that the incidence of GI toxicities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grade 2 is 7% following RT</w:t>
      </w:r>
      <w:r w:rsidRPr="00F65D45">
        <w:rPr>
          <w:rFonts w:ascii="Book Antiqua" w:hAnsi="Book Antiqua"/>
          <w:noProof/>
          <w:color w:val="000000" w:themeColor="text1"/>
          <w:vertAlign w:val="superscript"/>
        </w:rPr>
        <w:t>[43]</w:t>
      </w:r>
      <w:r w:rsidRPr="00F65D45">
        <w:rPr>
          <w:rFonts w:ascii="Book Antiqua" w:hAnsi="Book Antiqua"/>
          <w:color w:val="000000" w:themeColor="text1"/>
        </w:rPr>
        <w:t xml:space="preserve">. Similarly, researchers at PMRC reported an incidence of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grade 2 GI toxicities of 1</w:t>
      </w:r>
      <w:r w:rsidR="006A6F00" w:rsidRPr="00F65D45">
        <w:rPr>
          <w:rFonts w:ascii="Book Antiqua" w:eastAsia="SimSun" w:hAnsi="Book Antiqua"/>
          <w:color w:val="000000" w:themeColor="text1"/>
          <w:lang w:eastAsia="zh-CN"/>
        </w:rPr>
        <w:t>%</w:t>
      </w:r>
      <w:r w:rsidRPr="00F65D45">
        <w:rPr>
          <w:rFonts w:ascii="Book Antiqua" w:hAnsi="Book Antiqua"/>
          <w:color w:val="000000" w:themeColor="text1"/>
        </w:rPr>
        <w:t>-2% in various populations</w:t>
      </w:r>
      <w:r w:rsidRPr="00F65D45">
        <w:rPr>
          <w:rFonts w:ascii="Book Antiqua" w:hAnsi="Book Antiqua"/>
          <w:noProof/>
          <w:color w:val="000000" w:themeColor="text1"/>
          <w:vertAlign w:val="superscript"/>
        </w:rPr>
        <w:t>[39,41,81]</w:t>
      </w:r>
      <w:r w:rsidRPr="00F65D45">
        <w:rPr>
          <w:rFonts w:ascii="Book Antiqua" w:hAnsi="Book Antiqua"/>
          <w:color w:val="000000" w:themeColor="text1"/>
        </w:rPr>
        <w:t xml:space="preserve">. For central tumors abutting the </w:t>
      </w:r>
      <w:r w:rsidRPr="00F65D45">
        <w:rPr>
          <w:rFonts w:ascii="Book Antiqua" w:hAnsi="Book Antiqua"/>
          <w:color w:val="000000" w:themeColor="text1"/>
        </w:rPr>
        <w:lastRenderedPageBreak/>
        <w:t xml:space="preserve">GI tract, however, the incidence of GI toxicities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grade 2 increases to 8.5%, with all of the reported forms of GI toxicity involving hemorrhage</w:t>
      </w:r>
      <w:r w:rsidRPr="00F65D45">
        <w:rPr>
          <w:rFonts w:ascii="Book Antiqua" w:hAnsi="Book Antiqua"/>
          <w:noProof/>
          <w:color w:val="000000" w:themeColor="text1"/>
          <w:vertAlign w:val="superscript"/>
        </w:rPr>
        <w:t>[42]</w:t>
      </w:r>
      <w:r w:rsidRPr="00F65D45">
        <w:rPr>
          <w:rFonts w:ascii="Book Antiqua" w:hAnsi="Book Antiqua"/>
          <w:color w:val="000000" w:themeColor="text1"/>
        </w:rPr>
        <w:t>. Usually, PBT for HCC proximal to GI tract is prone to GI toxicity. Especially, GI tract located near the distal edge of SOBP is potentially vulnerable to severe toxicity because of the uncertainty of the proton beam range and the high RBE value at the distal edge and the fall off of the SOBP. Although there is no specific report regarding of the relation between the variation of RBE and the GI toxicities, several literatures reported the distal edge effects of PBT on toxicities of brain stem</w:t>
      </w:r>
      <w:r w:rsidRPr="00F65D45">
        <w:rPr>
          <w:rFonts w:ascii="Book Antiqua" w:hAnsi="Book Antiqua"/>
          <w:noProof/>
          <w:color w:val="000000" w:themeColor="text1"/>
          <w:vertAlign w:val="superscript"/>
        </w:rPr>
        <w:t>[82,83]</w:t>
      </w:r>
      <w:r w:rsidRPr="00F65D45">
        <w:rPr>
          <w:rFonts w:ascii="Book Antiqua" w:hAnsi="Book Antiqua"/>
          <w:color w:val="000000" w:themeColor="text1"/>
        </w:rPr>
        <w:t>. Therefore, special caution is necessary when the location of GI tract is near the distal edge of SOBP. Surgical insertion of tissue expander to displace GI tract away from target is considerable in that situation</w:t>
      </w:r>
      <w:r w:rsidRPr="00F65D45">
        <w:rPr>
          <w:rFonts w:ascii="Book Antiqua" w:hAnsi="Book Antiqua"/>
          <w:noProof/>
          <w:color w:val="000000" w:themeColor="text1"/>
          <w:vertAlign w:val="superscript"/>
        </w:rPr>
        <w:t>[84]</w:t>
      </w:r>
      <w:r w:rsidRPr="00F65D45">
        <w:rPr>
          <w:rFonts w:ascii="Book Antiqua" w:hAnsi="Book Antiqua"/>
          <w:color w:val="000000" w:themeColor="text1"/>
        </w:rPr>
        <w:t>.</w:t>
      </w:r>
    </w:p>
    <w:p w14:paraId="4DD103E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ab/>
      </w:r>
    </w:p>
    <w:p w14:paraId="668E78FF"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BILIARY AND OTHER GI TRACT STRUCTURES</w:t>
      </w:r>
    </w:p>
    <w:p w14:paraId="02C4B990" w14:textId="6AAA5024"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The biliary tract is an OAR that must be protected during liver RT. Indeed, several studies have reported symptomatic biliary inflammation with or without stricture in tumors related to the biliary system</w:t>
      </w:r>
      <w:r w:rsidRPr="00F65D45">
        <w:rPr>
          <w:rFonts w:ascii="Book Antiqua" w:hAnsi="Book Antiqua"/>
          <w:noProof/>
          <w:color w:val="000000" w:themeColor="text1"/>
          <w:vertAlign w:val="superscript"/>
        </w:rPr>
        <w:t>[85,86]</w:t>
      </w:r>
      <w:r w:rsidRPr="00F65D45">
        <w:rPr>
          <w:rFonts w:ascii="Book Antiqua" w:hAnsi="Book Antiqua"/>
          <w:color w:val="000000" w:themeColor="text1"/>
        </w:rPr>
        <w:t>. However, some studies have reported that RT for HCC can be safe with respect to biliary toxicity, even in tumors adjacen</w:t>
      </w:r>
      <w:r w:rsidR="006A6F00" w:rsidRPr="00F65D45">
        <w:rPr>
          <w:rFonts w:ascii="Book Antiqua" w:hAnsi="Book Antiqua"/>
          <w:color w:val="000000" w:themeColor="text1"/>
        </w:rPr>
        <w:t>t to the central biliary system</w:t>
      </w:r>
      <w:r w:rsidRPr="00F65D45">
        <w:rPr>
          <w:rFonts w:ascii="Book Antiqua" w:hAnsi="Book Antiqua"/>
          <w:noProof/>
          <w:color w:val="000000" w:themeColor="text1"/>
          <w:vertAlign w:val="superscript"/>
        </w:rPr>
        <w:t>[87,88]</w:t>
      </w:r>
      <w:r w:rsidRPr="00F65D45">
        <w:rPr>
          <w:rFonts w:ascii="Book Antiqua" w:hAnsi="Book Antiqua"/>
          <w:color w:val="000000" w:themeColor="text1"/>
        </w:rPr>
        <w:t>. For PBT in HCC, data on biliary complications is limited. Researchers at PMRC reviewed 162 patients who underwent PBT for HCC with a median RT dose of 72 GyE in 16 fractions</w:t>
      </w:r>
      <w:r w:rsidRPr="00F65D45">
        <w:rPr>
          <w:rFonts w:ascii="Book Antiqua" w:hAnsi="Book Antiqua"/>
          <w:noProof/>
          <w:color w:val="000000" w:themeColor="text1"/>
          <w:vertAlign w:val="superscript"/>
        </w:rPr>
        <w:t>[81]</w:t>
      </w:r>
      <w:r w:rsidRPr="00F65D45">
        <w:rPr>
          <w:rFonts w:ascii="Book Antiqua" w:hAnsi="Book Antiqua"/>
          <w:color w:val="000000" w:themeColor="text1"/>
        </w:rPr>
        <w:t>. Among the total cohort, three patients exhibited signs of biliary toxicity such as stenosis of the common bile duct (</w:t>
      </w:r>
      <w:r w:rsidR="00D36DBC" w:rsidRPr="00F65D45">
        <w:rPr>
          <w:rFonts w:ascii="Book Antiqua" w:hAnsi="Book Antiqua"/>
          <w:i/>
          <w:color w:val="000000" w:themeColor="text1"/>
        </w:rPr>
        <w:t>n</w:t>
      </w:r>
      <w:r w:rsidR="00D36DBC" w:rsidRPr="00F65D45">
        <w:rPr>
          <w:rFonts w:ascii="Book Antiqua" w:hAnsi="Book Antiqua"/>
          <w:color w:val="000000" w:themeColor="text1"/>
        </w:rPr>
        <w:t xml:space="preserve"> </w:t>
      </w:r>
      <w:r w:rsidRPr="00F65D45">
        <w:rPr>
          <w:rFonts w:ascii="Book Antiqua" w:hAnsi="Book Antiqua"/>
          <w:color w:val="000000" w:themeColor="text1"/>
        </w:rPr>
        <w:t>= 1), and biloma with infection adjacent to the irradiated volume (</w:t>
      </w:r>
      <w:r w:rsidR="006D097A" w:rsidRPr="00F65D45">
        <w:rPr>
          <w:rFonts w:ascii="Book Antiqua" w:hAnsi="Book Antiqua"/>
          <w:i/>
          <w:color w:val="000000" w:themeColor="text1"/>
        </w:rPr>
        <w:t>n</w:t>
      </w:r>
      <w:r w:rsidR="006D097A" w:rsidRPr="00F65D45">
        <w:rPr>
          <w:rFonts w:ascii="Book Antiqua" w:hAnsi="Book Antiqua"/>
          <w:color w:val="000000" w:themeColor="text1"/>
        </w:rPr>
        <w:t xml:space="preserve"> </w:t>
      </w:r>
      <w:r w:rsidRPr="00F65D45">
        <w:rPr>
          <w:rFonts w:ascii="Book Antiqua" w:hAnsi="Book Antiqua"/>
          <w:color w:val="000000" w:themeColor="text1"/>
        </w:rPr>
        <w:t xml:space="preserve">= 2). </w:t>
      </w:r>
    </w:p>
    <w:p w14:paraId="500F8481"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7E5B35BC"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CHEST WALL TOXICITY</w:t>
      </w:r>
    </w:p>
    <w:p w14:paraId="0C295B38" w14:textId="290AEF5D"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As PBT allows for dose escalation in the treatment of HCC, the chest wall is frequently irradiated with increasing high doses. In tumors proximal to the chest wall, there is potential risk of chest wall-related toxicities</w:t>
      </w:r>
      <w:r w:rsidRPr="00F65D45">
        <w:rPr>
          <w:rFonts w:ascii="Book Antiqua" w:hAnsi="Book Antiqua"/>
          <w:noProof/>
          <w:color w:val="000000" w:themeColor="text1"/>
          <w:vertAlign w:val="superscript"/>
        </w:rPr>
        <w:t>[19]</w:t>
      </w:r>
      <w:r w:rsidRPr="00F65D45">
        <w:rPr>
          <w:rFonts w:ascii="Book Antiqua" w:hAnsi="Book Antiqua"/>
          <w:color w:val="000000" w:themeColor="text1"/>
        </w:rPr>
        <w:t>. Although PBT-related chest wall toxicity data are limited, there have been some published studies. Researchers at PMRC reported that the incidence of rib fracture is 16% after PBT of 66 GyE in 10 fractions in 67 HCC patients</w:t>
      </w:r>
      <w:r w:rsidRPr="00F65D45">
        <w:rPr>
          <w:rFonts w:ascii="Book Antiqua" w:hAnsi="Book Antiqua"/>
          <w:noProof/>
          <w:color w:val="000000" w:themeColor="text1"/>
          <w:vertAlign w:val="superscript"/>
        </w:rPr>
        <w:t>[89]</w:t>
      </w:r>
      <w:r w:rsidRPr="00F65D45">
        <w:rPr>
          <w:rFonts w:ascii="Book Antiqua" w:hAnsi="Book Antiqua"/>
          <w:color w:val="000000" w:themeColor="text1"/>
        </w:rPr>
        <w:t xml:space="preserve">. Specifically, the authors found that V60 </w:t>
      </w:r>
      <w:r w:rsidRPr="00F65D45">
        <w:rPr>
          <w:rFonts w:ascii="Book Antiqua" w:hAnsi="Book Antiqua"/>
          <w:color w:val="000000" w:themeColor="text1"/>
        </w:rPr>
        <w:lastRenderedPageBreak/>
        <w:t>at a biolo</w:t>
      </w:r>
      <w:r w:rsidR="006E6F3D" w:rsidRPr="00F65D45">
        <w:rPr>
          <w:rFonts w:ascii="Book Antiqua" w:hAnsi="Book Antiqua"/>
          <w:color w:val="000000" w:themeColor="text1"/>
        </w:rPr>
        <w:t>gically effective dose with α/</w:t>
      </w:r>
      <w:r w:rsidRPr="00F65D45">
        <w:rPr>
          <w:rFonts w:ascii="Book Antiqua" w:hAnsi="Book Antiqua"/>
          <w:color w:val="000000" w:themeColor="text1"/>
        </w:rPr>
        <w:t xml:space="preserve">β = 3 is the most statistically significant parameter for estimating the risk of rib fracture after hypofractionated PBT. In addition, researchers at the MD Anderson Cancer Center reported the chest wall toxicities of 135 patients with lung or hepatobiliary cancer who were treated with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52.5 GyE in 15 fractions of photon therapy or PBT</w:t>
      </w:r>
      <w:r w:rsidRPr="00F65D45">
        <w:rPr>
          <w:rFonts w:ascii="Book Antiqua" w:hAnsi="Book Antiqua"/>
          <w:noProof/>
          <w:color w:val="000000" w:themeColor="text1"/>
          <w:vertAlign w:val="superscript"/>
        </w:rPr>
        <w:t>[90]</w:t>
      </w:r>
      <w:r w:rsidRPr="00F65D45">
        <w:rPr>
          <w:rFonts w:ascii="Book Antiqua" w:hAnsi="Book Antiqua"/>
          <w:color w:val="000000" w:themeColor="text1"/>
        </w:rPr>
        <w:t xml:space="preserve">. Among the total cohort, 49 patients received PBT. During the median follow-up of 9 </w:t>
      </w:r>
      <w:r w:rsidR="006E6F3D" w:rsidRPr="00F65D45">
        <w:rPr>
          <w:rFonts w:ascii="Book Antiqua" w:eastAsia="SimSun" w:hAnsi="Book Antiqua"/>
          <w:color w:val="000000" w:themeColor="text1"/>
          <w:lang w:eastAsia="zh-CN"/>
        </w:rPr>
        <w:t>mo</w:t>
      </w:r>
      <w:r w:rsidRPr="00F65D45">
        <w:rPr>
          <w:rFonts w:ascii="Book Antiqua" w:hAnsi="Book Antiqua"/>
          <w:color w:val="000000" w:themeColor="text1"/>
        </w:rPr>
        <w:t xml:space="preserve">, 20 patients had grade 1 chest wall pain, while one patient had grade 2 chest wall pain. Furthermore, a chest wall V40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150 cm</w:t>
      </w:r>
      <w:r w:rsidRPr="00F65D45">
        <w:rPr>
          <w:rFonts w:ascii="Book Antiqua" w:hAnsi="Book Antiqua"/>
          <w:color w:val="000000" w:themeColor="text1"/>
          <w:vertAlign w:val="superscript"/>
        </w:rPr>
        <w:t>3</w:t>
      </w:r>
      <w:r w:rsidRPr="00F65D45">
        <w:rPr>
          <w:rFonts w:ascii="Book Antiqua" w:hAnsi="Book Antiqua"/>
          <w:color w:val="000000" w:themeColor="text1"/>
        </w:rPr>
        <w:t xml:space="preserve"> was identified as an independent predictor for chest wall toxicity. Researchers at the University of Washington and other institutions reported another set of data for chest wall toxicity, comprising 37 patients who underwent PBT with a median dose of 60 GyE (range, 35 to 67.5 GyE) in 15 fractions (range, 13 to 20 fractions)</w:t>
      </w:r>
      <w:r w:rsidRPr="00F65D45">
        <w:rPr>
          <w:rFonts w:ascii="Book Antiqua" w:hAnsi="Book Antiqua"/>
          <w:noProof/>
          <w:color w:val="000000" w:themeColor="text1"/>
          <w:vertAlign w:val="superscript"/>
        </w:rPr>
        <w:t>[91]</w:t>
      </w:r>
      <w:r w:rsidRPr="00F65D45">
        <w:rPr>
          <w:rFonts w:ascii="Book Antiqua" w:hAnsi="Book Antiqua"/>
          <w:color w:val="000000" w:themeColor="text1"/>
        </w:rPr>
        <w:t xml:space="preserve">. During a median follow-up of 11 </w:t>
      </w:r>
      <w:r w:rsidR="003A25AC" w:rsidRPr="00F65D45">
        <w:rPr>
          <w:rFonts w:ascii="Book Antiqua" w:eastAsia="SimSun" w:hAnsi="Book Antiqua"/>
          <w:color w:val="000000" w:themeColor="text1"/>
          <w:lang w:eastAsia="zh-CN"/>
        </w:rPr>
        <w:t>mo</w:t>
      </w:r>
      <w:r w:rsidRPr="00F65D45">
        <w:rPr>
          <w:rFonts w:ascii="Book Antiqua" w:hAnsi="Book Antiqua"/>
          <w:color w:val="000000" w:themeColor="text1"/>
        </w:rPr>
        <w:t xml:space="preserve">, chest wall pain of grade </w:t>
      </w:r>
      <w:r w:rsidRPr="00F65D45">
        <w:rPr>
          <w:rFonts w:ascii="SimSun" w:eastAsia="SimSun" w:hAnsi="SimSun" w:cs="SimSun" w:hint="eastAsia"/>
          <w:color w:val="000000" w:themeColor="text1"/>
        </w:rPr>
        <w:t>≧</w:t>
      </w:r>
      <w:r w:rsidRPr="00F65D45">
        <w:rPr>
          <w:rFonts w:ascii="Book Antiqua" w:hAnsi="Book Antiqua"/>
          <w:color w:val="000000" w:themeColor="text1"/>
        </w:rPr>
        <w:t xml:space="preserve"> 2 occurred in 30% of patients, with none of the patients exhibiting radiographic evidence of rib fracture. For a 15-fraction regimen, a V47 &gt; 20 cm</w:t>
      </w:r>
      <w:r w:rsidRPr="00F65D45">
        <w:rPr>
          <w:rFonts w:ascii="Book Antiqua" w:hAnsi="Book Antiqua"/>
          <w:color w:val="000000" w:themeColor="text1"/>
          <w:vertAlign w:val="superscript"/>
        </w:rPr>
        <w:t>3</w:t>
      </w:r>
      <w:r w:rsidRPr="00F65D45">
        <w:rPr>
          <w:rFonts w:ascii="Book Antiqua" w:hAnsi="Book Antiqua"/>
          <w:color w:val="000000" w:themeColor="text1"/>
        </w:rPr>
        <w:t>, V50 &gt; 17 cm</w:t>
      </w:r>
      <w:r w:rsidRPr="00F65D45">
        <w:rPr>
          <w:rFonts w:ascii="Book Antiqua" w:hAnsi="Book Antiqua"/>
          <w:color w:val="000000" w:themeColor="text1"/>
          <w:vertAlign w:val="superscript"/>
        </w:rPr>
        <w:t>3</w:t>
      </w:r>
      <w:r w:rsidRPr="00F65D45">
        <w:rPr>
          <w:rFonts w:ascii="Book Antiqua" w:hAnsi="Book Antiqua"/>
          <w:color w:val="000000" w:themeColor="text1"/>
        </w:rPr>
        <w:t>, and V58 &gt; 8 cm</w:t>
      </w:r>
      <w:r w:rsidRPr="00F65D45">
        <w:rPr>
          <w:rFonts w:ascii="Book Antiqua" w:hAnsi="Book Antiqua"/>
          <w:color w:val="000000" w:themeColor="text1"/>
          <w:vertAlign w:val="superscript"/>
        </w:rPr>
        <w:t>3</w:t>
      </w:r>
      <w:r w:rsidRPr="00F65D45">
        <w:rPr>
          <w:rFonts w:ascii="Book Antiqua" w:hAnsi="Book Antiqua"/>
          <w:color w:val="000000" w:themeColor="text1"/>
        </w:rPr>
        <w:t xml:space="preserve"> were associated with higher rates of chest wall toxicity. Although there is no consensus regarding dose constraints for chest wall toxicities, efforts should be made to reduce chest wall toxicities based on the reported various dose-volumetric parameters in PBT for HCC. </w:t>
      </w:r>
    </w:p>
    <w:p w14:paraId="299D38CE"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0F98F8ED"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TECHNICAL ISSUES</w:t>
      </w:r>
    </w:p>
    <w:p w14:paraId="7A92578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Proton beams have unique physical properties including a finite range in the distal direction. This range is determined by the density of material in the beam path, and any perturbation in the densities can change the dosimetry of PBT more significantly than compared to traditional photon therapy</w:t>
      </w:r>
      <w:r w:rsidRPr="00F65D45">
        <w:rPr>
          <w:rFonts w:ascii="Book Antiqua" w:hAnsi="Book Antiqua"/>
          <w:noProof/>
          <w:color w:val="000000" w:themeColor="text1"/>
          <w:vertAlign w:val="superscript"/>
        </w:rPr>
        <w:t>[92]</w:t>
      </w:r>
      <w:r w:rsidRPr="00F65D45">
        <w:rPr>
          <w:rFonts w:ascii="Book Antiqua" w:hAnsi="Book Antiqua"/>
          <w:color w:val="000000" w:themeColor="text1"/>
        </w:rPr>
        <w:t>. This perturbation can be induced by internal organ motion, daily variation in body shape, uncertainties in machine settings, tissue inhomogeneity, and inaccuracies in dosing, ranges, and density calculations</w:t>
      </w:r>
      <w:r w:rsidRPr="00F65D45">
        <w:rPr>
          <w:rFonts w:ascii="Book Antiqua" w:hAnsi="Book Antiqua"/>
          <w:noProof/>
          <w:color w:val="000000" w:themeColor="text1"/>
          <w:vertAlign w:val="superscript"/>
        </w:rPr>
        <w:t>[93]</w:t>
      </w:r>
      <w:r w:rsidRPr="00F65D45">
        <w:rPr>
          <w:rFonts w:ascii="Book Antiqua" w:hAnsi="Book Antiqua"/>
          <w:color w:val="000000" w:themeColor="text1"/>
        </w:rPr>
        <w:t>. More specifically, the liver is vulnerable to uncertainties of PBT due to organ motion, the interface of air and soft tissue near the diaphragmatic dome, and variations in body shape due to ascites</w:t>
      </w:r>
      <w:r w:rsidRPr="00F65D45">
        <w:rPr>
          <w:rFonts w:ascii="Book Antiqua" w:hAnsi="Book Antiqua"/>
          <w:noProof/>
          <w:color w:val="000000" w:themeColor="text1"/>
          <w:vertAlign w:val="superscript"/>
        </w:rPr>
        <w:t>[76]</w:t>
      </w:r>
      <w:r w:rsidRPr="00F65D45">
        <w:rPr>
          <w:rFonts w:ascii="Book Antiqua" w:hAnsi="Book Antiqua"/>
          <w:color w:val="000000" w:themeColor="text1"/>
        </w:rPr>
        <w:t xml:space="preserve">. </w:t>
      </w:r>
    </w:p>
    <w:p w14:paraId="5B343E5D" w14:textId="77777777"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 xml:space="preserve">Various techniques have been investigated to manage the liver-specific problems </w:t>
      </w:r>
      <w:r w:rsidRPr="00F65D45">
        <w:rPr>
          <w:rFonts w:ascii="Book Antiqua" w:hAnsi="Book Antiqua"/>
          <w:color w:val="000000" w:themeColor="text1"/>
        </w:rPr>
        <w:lastRenderedPageBreak/>
        <w:t>associated with PBT. In order to overcome uncertainty due to organ motion, the PBT field should ideally encompass the entire range of motion of the tumor; however, this usually results in additional irradiation of normal tissues. Therefore, respiratory gating methods, abdominal compression, or breath hold techniques can be used to reduce the field such that OARs can be protected from unnecessary irradiation</w:t>
      </w:r>
      <w:r w:rsidRPr="00F65D45">
        <w:rPr>
          <w:rFonts w:ascii="Book Antiqua" w:hAnsi="Book Antiqua"/>
          <w:noProof/>
          <w:color w:val="000000" w:themeColor="text1"/>
          <w:vertAlign w:val="superscript"/>
        </w:rPr>
        <w:t>[94,95]</w:t>
      </w:r>
      <w:r w:rsidRPr="00F65D45">
        <w:rPr>
          <w:rFonts w:ascii="Book Antiqua" w:hAnsi="Book Antiqua"/>
          <w:color w:val="000000" w:themeColor="text1"/>
        </w:rPr>
        <w:t xml:space="preserve">. Because of the requirement for patient cooperation, identifying patients who are eligible for these techniques remains an important issue. </w:t>
      </w:r>
    </w:p>
    <w:p w14:paraId="7E4966B3" w14:textId="22CB3DB5"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Techniques for motion control require fine image guidance. However, tumor and surrounding normal liver tissue are often undistinguishable on typical imaging studies such as orthogonal KV X-ray images o</w:t>
      </w:r>
      <w:r w:rsidR="002F7CC8" w:rsidRPr="00F65D45">
        <w:rPr>
          <w:rFonts w:ascii="Book Antiqua" w:hAnsi="Book Antiqua"/>
          <w:color w:val="000000" w:themeColor="text1"/>
        </w:rPr>
        <w:t>r cone beam computed tomography</w:t>
      </w:r>
      <w:r w:rsidRPr="00F65D45">
        <w:rPr>
          <w:rFonts w:ascii="Book Antiqua" w:hAnsi="Book Antiqua"/>
          <w:noProof/>
          <w:color w:val="000000" w:themeColor="text1"/>
          <w:vertAlign w:val="superscript"/>
        </w:rPr>
        <w:t>[19]</w:t>
      </w:r>
      <w:r w:rsidRPr="00F65D45">
        <w:rPr>
          <w:rFonts w:ascii="Book Antiqua" w:hAnsi="Book Antiqua"/>
          <w:color w:val="000000" w:themeColor="text1"/>
        </w:rPr>
        <w:t>. To set a reference location for setup, radio-opaque fiducial markers are often utilized for more reliable and accurate image guidance</w:t>
      </w:r>
      <w:r w:rsidRPr="00F65D45">
        <w:rPr>
          <w:rFonts w:ascii="Book Antiqua" w:hAnsi="Book Antiqua"/>
          <w:noProof/>
          <w:color w:val="000000" w:themeColor="text1"/>
          <w:vertAlign w:val="superscript"/>
        </w:rPr>
        <w:t>[96]</w:t>
      </w:r>
      <w:r w:rsidRPr="00F65D45">
        <w:rPr>
          <w:rFonts w:ascii="Book Antiqua" w:hAnsi="Book Antiqua"/>
          <w:color w:val="000000" w:themeColor="text1"/>
        </w:rPr>
        <w:t>. Robust optimization is another method for managing imaging uncertainties. One reported algorithm incorporates the uncertainty directly into PBT optimization</w:t>
      </w:r>
      <w:r w:rsidRPr="00F65D45">
        <w:rPr>
          <w:rFonts w:ascii="Book Antiqua" w:hAnsi="Book Antiqua"/>
          <w:noProof/>
          <w:color w:val="000000" w:themeColor="text1"/>
          <w:vertAlign w:val="superscript"/>
        </w:rPr>
        <w:t>[97]</w:t>
      </w:r>
      <w:r w:rsidRPr="00F65D45">
        <w:rPr>
          <w:rFonts w:ascii="Book Antiqua" w:hAnsi="Book Antiqua"/>
          <w:color w:val="000000" w:themeColor="text1"/>
        </w:rPr>
        <w:t>. Using this algorithm, it is possible to quantify the quality of the treatment plan under certain geometric uncertainties, as well as those from inaccurate calculations of range and tissue density.</w:t>
      </w:r>
    </w:p>
    <w:p w14:paraId="60F5D6F6" w14:textId="77777777" w:rsidR="00044F9C" w:rsidRPr="00F65D45" w:rsidRDefault="00044F9C" w:rsidP="00F65D45">
      <w:pPr>
        <w:widowControl w:val="0"/>
        <w:snapToGrid w:val="0"/>
        <w:spacing w:line="360" w:lineRule="auto"/>
        <w:ind w:firstLine="800"/>
        <w:jc w:val="both"/>
        <w:rPr>
          <w:rFonts w:ascii="Book Antiqua" w:hAnsi="Book Antiqua"/>
          <w:color w:val="000000" w:themeColor="text1"/>
        </w:rPr>
      </w:pPr>
    </w:p>
    <w:p w14:paraId="524497F9"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FUTURE PERSPECTIVES</w:t>
      </w:r>
    </w:p>
    <w:p w14:paraId="2C8707EC"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Several studies evaluating the role of PT for HCC are ongoing. These studies are aimed at comparing PBT with radiofrequency ablation, transarterial chemoembolization, or sorafenib, which are the current standard treatments recommended according to BCLC staging. The interim results of a randomized trial comparing PBT with transarterial chemoembolization were reported as discussed above</w:t>
      </w:r>
      <w:r w:rsidRPr="00F65D45">
        <w:rPr>
          <w:rFonts w:ascii="Book Antiqua" w:hAnsi="Book Antiqua"/>
          <w:noProof/>
          <w:color w:val="000000" w:themeColor="text1"/>
          <w:vertAlign w:val="superscript"/>
        </w:rPr>
        <w:t>[44]</w:t>
      </w:r>
      <w:r w:rsidRPr="00F65D45">
        <w:rPr>
          <w:rFonts w:ascii="Book Antiqua" w:hAnsi="Book Antiqua"/>
          <w:color w:val="000000" w:themeColor="text1"/>
        </w:rPr>
        <w:t>. In addition, various single-arm phase II studies of PBT for HCC in specific clinical situations such as portal vein tumor thrombosis and inoperable disease are ongoing. The results of these studies will provide many answers to ongoing questions and increase the level of evidence in the field of PBT for HCC.</w:t>
      </w:r>
    </w:p>
    <w:p w14:paraId="5347A1C1" w14:textId="77777777"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Technologies related to PBT are also under development. Almost all of the clinical data from PBT for HCC have relied on the passive scattering technique</w:t>
      </w:r>
      <w:r w:rsidRPr="00F65D45">
        <w:rPr>
          <w:rFonts w:ascii="Book Antiqua" w:hAnsi="Book Antiqua"/>
          <w:noProof/>
          <w:color w:val="000000" w:themeColor="text1"/>
          <w:vertAlign w:val="superscript"/>
        </w:rPr>
        <w:t>[20]</w:t>
      </w:r>
      <w:r w:rsidRPr="00F65D45">
        <w:rPr>
          <w:rFonts w:ascii="Book Antiqua" w:hAnsi="Book Antiqua"/>
          <w:color w:val="000000" w:themeColor="text1"/>
        </w:rPr>
        <w:t xml:space="preserve">. However, recently constructed PBT centers are now utilizing pencil beam scanning </w:t>
      </w:r>
      <w:r w:rsidRPr="00F65D45">
        <w:rPr>
          <w:rFonts w:ascii="Book Antiqua" w:hAnsi="Book Antiqua"/>
          <w:color w:val="000000" w:themeColor="text1"/>
        </w:rPr>
        <w:lastRenderedPageBreak/>
        <w:t>nozzles, which allow for manipulation of the intensity of proton therapy</w:t>
      </w:r>
      <w:r w:rsidRPr="00F65D45">
        <w:rPr>
          <w:rFonts w:ascii="Book Antiqua" w:hAnsi="Book Antiqua"/>
          <w:noProof/>
          <w:color w:val="000000" w:themeColor="text1"/>
          <w:vertAlign w:val="superscript"/>
        </w:rPr>
        <w:t>[98-100]</w:t>
      </w:r>
      <w:r w:rsidRPr="00F65D45">
        <w:rPr>
          <w:rFonts w:ascii="Book Antiqua" w:hAnsi="Book Antiqua"/>
          <w:color w:val="000000" w:themeColor="text1"/>
        </w:rPr>
        <w:t>. Pencil beam scanning shows better dose optimization and proximal edge conformity compared with passive scattering</w:t>
      </w:r>
      <w:r w:rsidRPr="00F65D45">
        <w:rPr>
          <w:rFonts w:ascii="Book Antiqua" w:hAnsi="Book Antiqua"/>
          <w:noProof/>
          <w:color w:val="000000" w:themeColor="text1"/>
          <w:vertAlign w:val="superscript"/>
        </w:rPr>
        <w:t>[101,102]</w:t>
      </w:r>
      <w:r w:rsidRPr="00F65D45">
        <w:rPr>
          <w:rFonts w:ascii="Book Antiqua" w:hAnsi="Book Antiqua"/>
          <w:color w:val="000000" w:themeColor="text1"/>
        </w:rPr>
        <w:t>. On the other hand, pencil beam scanning takes more time to deliver the proton beam, involves a broader lateral penumbra, and is more sensitive to organ motion</w:t>
      </w:r>
      <w:r w:rsidRPr="00F65D45">
        <w:rPr>
          <w:rFonts w:ascii="Book Antiqua" w:hAnsi="Book Antiqua"/>
          <w:noProof/>
          <w:color w:val="000000" w:themeColor="text1"/>
          <w:vertAlign w:val="superscript"/>
        </w:rPr>
        <w:t>[103-105]</w:t>
      </w:r>
      <w:r w:rsidRPr="00F65D45">
        <w:rPr>
          <w:rFonts w:ascii="Book Antiqua" w:hAnsi="Book Antiqua"/>
          <w:color w:val="000000" w:themeColor="text1"/>
        </w:rPr>
        <w:t>. Therefore, robustness optimization and evaluation tools, respiration management such as repainting, and fine image guidance are required for the use of pencil beam scanning in the treatment of HCC</w:t>
      </w:r>
      <w:r w:rsidRPr="00F65D45">
        <w:rPr>
          <w:rFonts w:ascii="Book Antiqua" w:hAnsi="Book Antiqua"/>
          <w:noProof/>
          <w:color w:val="000000" w:themeColor="text1"/>
          <w:vertAlign w:val="superscript"/>
        </w:rPr>
        <w:t>[106,107]</w:t>
      </w:r>
      <w:r w:rsidRPr="00F65D45">
        <w:rPr>
          <w:rFonts w:ascii="Book Antiqua" w:hAnsi="Book Antiqua"/>
          <w:color w:val="000000" w:themeColor="text1"/>
        </w:rPr>
        <w:t>. Although these issues continue to be investigated and studied, the pencil beam scanning method with simultaneous intensity boost technique is now being tried in HCC</w:t>
      </w:r>
      <w:r w:rsidRPr="00F65D45">
        <w:rPr>
          <w:rFonts w:ascii="Book Antiqua" w:hAnsi="Book Antiqua"/>
          <w:noProof/>
          <w:color w:val="000000" w:themeColor="text1"/>
          <w:vertAlign w:val="superscript"/>
        </w:rPr>
        <w:t>[108]</w:t>
      </w:r>
      <w:r w:rsidRPr="00F65D45">
        <w:rPr>
          <w:rFonts w:ascii="Book Antiqua" w:hAnsi="Book Antiqua"/>
          <w:color w:val="000000" w:themeColor="text1"/>
        </w:rPr>
        <w:t>. Nevertheless, in order to validate the effectiveness and safety of the pencil beam scanning PBT for HCC, large scale prospective trials will be necessary.</w:t>
      </w:r>
    </w:p>
    <w:p w14:paraId="7E154BB7" w14:textId="70CC7270" w:rsidR="00044F9C" w:rsidRPr="00F65D45" w:rsidRDefault="00044F9C" w:rsidP="00F65D45">
      <w:pPr>
        <w:widowControl w:val="0"/>
        <w:snapToGrid w:val="0"/>
        <w:spacing w:line="360" w:lineRule="auto"/>
        <w:ind w:firstLineChars="150" w:firstLine="360"/>
        <w:jc w:val="both"/>
        <w:rPr>
          <w:rFonts w:ascii="Book Antiqua" w:hAnsi="Book Antiqua"/>
          <w:color w:val="000000" w:themeColor="text1"/>
        </w:rPr>
      </w:pPr>
      <w:r w:rsidRPr="00F65D45">
        <w:rPr>
          <w:rFonts w:ascii="Book Antiqua" w:hAnsi="Book Antiqua"/>
          <w:color w:val="000000" w:themeColor="text1"/>
        </w:rPr>
        <w:t>Biological issues are another field which can be more advanced in the future. If the RBE variation can be utilized in the optimization of treatment planning, the therapeutic window would be increased</w:t>
      </w:r>
      <w:r w:rsidRPr="00F65D45">
        <w:rPr>
          <w:rFonts w:ascii="Book Antiqua" w:hAnsi="Book Antiqua"/>
          <w:noProof/>
          <w:color w:val="000000" w:themeColor="text1"/>
          <w:vertAlign w:val="superscript"/>
        </w:rPr>
        <w:t>[33]</w:t>
      </w:r>
      <w:r w:rsidRPr="00F65D45">
        <w:rPr>
          <w:rFonts w:ascii="Book Antiqua" w:hAnsi="Book Antiqua"/>
          <w:color w:val="000000" w:themeColor="text1"/>
        </w:rPr>
        <w:t>. The variability of RBE is actively being investigated regarding the relevance of not only dose range but various value of α/β’s from different tissues</w:t>
      </w:r>
      <w:r w:rsidRPr="00F65D45">
        <w:rPr>
          <w:rFonts w:ascii="Book Antiqua" w:hAnsi="Book Antiqua"/>
          <w:noProof/>
          <w:color w:val="000000" w:themeColor="text1"/>
          <w:vertAlign w:val="superscript"/>
        </w:rPr>
        <w:t>[109,110]</w:t>
      </w:r>
      <w:r w:rsidRPr="00F65D45">
        <w:rPr>
          <w:rFonts w:ascii="Book Antiqua" w:hAnsi="Book Antiqua"/>
          <w:color w:val="000000" w:themeColor="text1"/>
        </w:rPr>
        <w:t>. The biology of HCC is diverse according to the various genomic abe</w:t>
      </w:r>
      <w:r w:rsidR="00AE2714" w:rsidRPr="00F65D45">
        <w:rPr>
          <w:rFonts w:ascii="Book Antiqua" w:hAnsi="Book Antiqua"/>
          <w:color w:val="000000" w:themeColor="text1"/>
        </w:rPr>
        <w:t>r</w:t>
      </w:r>
      <w:r w:rsidRPr="00F65D45">
        <w:rPr>
          <w:rFonts w:ascii="Book Antiqua" w:hAnsi="Book Antiqua"/>
          <w:color w:val="000000" w:themeColor="text1"/>
        </w:rPr>
        <w:t xml:space="preserve">rations and the genetic association with radiosensitivity of HCC has been also investigated in </w:t>
      </w:r>
      <w:r w:rsidRPr="00F65D45">
        <w:rPr>
          <w:rFonts w:ascii="Book Antiqua" w:hAnsi="Book Antiqua"/>
          <w:i/>
          <w:color w:val="000000" w:themeColor="text1"/>
        </w:rPr>
        <w:t xml:space="preserve">in vitro </w:t>
      </w:r>
      <w:r w:rsidRPr="00F65D45">
        <w:rPr>
          <w:rFonts w:ascii="Book Antiqua" w:hAnsi="Book Antiqua"/>
          <w:color w:val="000000" w:themeColor="text1"/>
        </w:rPr>
        <w:t>and</w:t>
      </w:r>
      <w:r w:rsidRPr="00F65D45">
        <w:rPr>
          <w:rFonts w:ascii="Book Antiqua" w:hAnsi="Book Antiqua"/>
          <w:i/>
          <w:color w:val="000000" w:themeColor="text1"/>
        </w:rPr>
        <w:t xml:space="preserve"> in vivo</w:t>
      </w:r>
      <w:r w:rsidRPr="00F65D45">
        <w:rPr>
          <w:rFonts w:ascii="Book Antiqua" w:hAnsi="Book Antiqua"/>
          <w:noProof/>
          <w:color w:val="000000" w:themeColor="text1"/>
          <w:vertAlign w:val="superscript"/>
        </w:rPr>
        <w:t>[111-113]</w:t>
      </w:r>
      <w:r w:rsidRPr="00F65D45">
        <w:rPr>
          <w:rFonts w:ascii="Book Antiqua" w:hAnsi="Book Antiqua"/>
          <w:color w:val="000000" w:themeColor="text1"/>
        </w:rPr>
        <w:t>. Although there is no current data for radiaosensitivity of HCC for PBT specifically, the investigations about the tissue specific radiosensitivity which can be represented with RBE will give the opportunity to provide the optimal strategy of tissue-specific PBT. This is the direction of the approach for PBT to be developed as precision medicine for HCC patients.</w:t>
      </w:r>
    </w:p>
    <w:p w14:paraId="1206AD2F"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252EA7BD" w14:textId="67165160" w:rsidR="00044F9C" w:rsidRPr="00F65D45" w:rsidRDefault="002F7CC8" w:rsidP="00F65D45">
      <w:pPr>
        <w:widowControl w:val="0"/>
        <w:snapToGrid w:val="0"/>
        <w:spacing w:line="360" w:lineRule="auto"/>
        <w:jc w:val="both"/>
        <w:rPr>
          <w:rFonts w:ascii="Book Antiqua" w:eastAsia="SimSun" w:hAnsi="Book Antiqua"/>
          <w:b/>
          <w:color w:val="000000" w:themeColor="text1"/>
          <w:lang w:eastAsia="zh-CN"/>
        </w:rPr>
      </w:pPr>
      <w:r w:rsidRPr="00F65D45">
        <w:rPr>
          <w:rFonts w:ascii="Book Antiqua" w:hAnsi="Book Antiqua"/>
          <w:b/>
          <w:color w:val="000000" w:themeColor="text1"/>
        </w:rPr>
        <w:t>CONCLUSION</w:t>
      </w:r>
    </w:p>
    <w:p w14:paraId="09E5B1F7" w14:textId="77777777" w:rsidR="00044F9C" w:rsidRPr="00F65D45" w:rsidRDefault="00044F9C"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color w:val="000000" w:themeColor="text1"/>
        </w:rPr>
        <w:t>PBT has significant dosimetric advantages compared with X-ray therapy, which has translated to significant differences in clinical outcomes for the treatment for HCC</w:t>
      </w:r>
      <w:r w:rsidRPr="00F65D45">
        <w:rPr>
          <w:rFonts w:ascii="Book Antiqua" w:hAnsi="Book Antiqua"/>
          <w:noProof/>
          <w:color w:val="000000" w:themeColor="text1"/>
          <w:vertAlign w:val="superscript"/>
        </w:rPr>
        <w:t>[20]</w:t>
      </w:r>
      <w:r w:rsidRPr="00F65D45">
        <w:rPr>
          <w:rFonts w:ascii="Book Antiqua" w:hAnsi="Book Antiqua"/>
          <w:color w:val="000000" w:themeColor="text1"/>
        </w:rPr>
        <w:t xml:space="preserve">. The American Society for Radiation Oncology includes HCC in the “group I” indications for PBT, meaning that PBT is recognized as an effective and safe local </w:t>
      </w:r>
      <w:r w:rsidRPr="00F65D45">
        <w:rPr>
          <w:rFonts w:ascii="Book Antiqua" w:hAnsi="Book Antiqua"/>
          <w:color w:val="000000" w:themeColor="text1"/>
        </w:rPr>
        <w:lastRenderedPageBreak/>
        <w:t xml:space="preserve">modality for the treatment of HCC. Various studies comparing with other local modalities are ongoing, and we expect that PBT will become a mainstay of local treatment of HCC in the near future.  </w:t>
      </w:r>
    </w:p>
    <w:p w14:paraId="65398A10" w14:textId="77777777" w:rsidR="00C132BC" w:rsidRPr="00F65D45" w:rsidRDefault="00C132BC" w:rsidP="00F65D45">
      <w:pPr>
        <w:widowControl w:val="0"/>
        <w:snapToGrid w:val="0"/>
        <w:spacing w:line="360" w:lineRule="auto"/>
        <w:jc w:val="both"/>
        <w:rPr>
          <w:rFonts w:ascii="Book Antiqua" w:eastAsia="SimSun" w:hAnsi="Book Antiqua"/>
          <w:color w:val="000000" w:themeColor="text1"/>
          <w:lang w:eastAsia="zh-CN"/>
        </w:rPr>
      </w:pPr>
    </w:p>
    <w:p w14:paraId="1E387422" w14:textId="77777777" w:rsidR="00AC4777" w:rsidRDefault="00AC4777">
      <w:pPr>
        <w:spacing w:after="200" w:line="276" w:lineRule="auto"/>
        <w:jc w:val="both"/>
        <w:rPr>
          <w:rFonts w:ascii="Book Antiqua" w:hAnsi="Book Antiqua"/>
          <w:b/>
          <w:color w:val="000000" w:themeColor="text1"/>
        </w:rPr>
      </w:pPr>
      <w:r>
        <w:rPr>
          <w:rFonts w:ascii="Book Antiqua" w:hAnsi="Book Antiqua"/>
          <w:b/>
          <w:color w:val="000000" w:themeColor="text1"/>
        </w:rPr>
        <w:br w:type="page"/>
      </w:r>
    </w:p>
    <w:p w14:paraId="5350A023" w14:textId="4FA23E2F" w:rsidR="00814530" w:rsidRPr="00F65D45" w:rsidRDefault="00814530"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lastRenderedPageBreak/>
        <w:t>REFERENCES</w:t>
      </w:r>
    </w:p>
    <w:p w14:paraId="00A0DB9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 </w:t>
      </w:r>
      <w:r w:rsidRPr="00F65D45">
        <w:rPr>
          <w:rFonts w:ascii="Book Antiqua" w:hAnsi="Book Antiqua"/>
          <w:b/>
        </w:rPr>
        <w:t>Ghouri YA</w:t>
      </w:r>
      <w:r w:rsidRPr="00F65D45">
        <w:rPr>
          <w:rFonts w:ascii="Book Antiqua" w:hAnsi="Book Antiqua"/>
        </w:rPr>
        <w:t xml:space="preserve">, Mian I, Rowe JH. Review of hepatocellular carcinoma: Epidemiology, etiology, and carcinogenesis. </w:t>
      </w:r>
      <w:r w:rsidRPr="00F65D45">
        <w:rPr>
          <w:rFonts w:ascii="Book Antiqua" w:hAnsi="Book Antiqua"/>
          <w:i/>
        </w:rPr>
        <w:t>J Carcinog</w:t>
      </w:r>
      <w:r w:rsidRPr="00F65D45">
        <w:rPr>
          <w:rFonts w:ascii="Book Antiqua" w:hAnsi="Book Antiqua"/>
        </w:rPr>
        <w:t xml:space="preserve"> 2017; </w:t>
      </w:r>
      <w:r w:rsidRPr="00F65D45">
        <w:rPr>
          <w:rFonts w:ascii="Book Antiqua" w:hAnsi="Book Antiqua"/>
          <w:b/>
        </w:rPr>
        <w:t>16</w:t>
      </w:r>
      <w:r w:rsidRPr="00F65D45">
        <w:rPr>
          <w:rFonts w:ascii="Book Antiqua" w:hAnsi="Book Antiqua"/>
        </w:rPr>
        <w:t>: 1 [PMID: 28694740 DOI: 10.4103/jcar.JCar_9_16]</w:t>
      </w:r>
    </w:p>
    <w:p w14:paraId="36155AD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 </w:t>
      </w:r>
      <w:r w:rsidRPr="00F65D45">
        <w:rPr>
          <w:rFonts w:ascii="Book Antiqua" w:hAnsi="Book Antiqua"/>
          <w:b/>
        </w:rPr>
        <w:t>Lafaro KJ</w:t>
      </w:r>
      <w:r w:rsidRPr="00F65D45">
        <w:rPr>
          <w:rFonts w:ascii="Book Antiqua" w:hAnsi="Book Antiqua"/>
        </w:rPr>
        <w:t xml:space="preserve">, Demirjian AN, Pawlik TM. Epidemiology of hepatocellular carcinoma. </w:t>
      </w:r>
      <w:r w:rsidRPr="00F65D45">
        <w:rPr>
          <w:rFonts w:ascii="Book Antiqua" w:hAnsi="Book Antiqua"/>
          <w:i/>
        </w:rPr>
        <w:t>Surg Oncol Clin N Am</w:t>
      </w:r>
      <w:r w:rsidRPr="00F65D45">
        <w:rPr>
          <w:rFonts w:ascii="Book Antiqua" w:hAnsi="Book Antiqua"/>
        </w:rPr>
        <w:t xml:space="preserve"> 2015; </w:t>
      </w:r>
      <w:r w:rsidRPr="00F65D45">
        <w:rPr>
          <w:rFonts w:ascii="Book Antiqua" w:hAnsi="Book Antiqua"/>
          <w:b/>
        </w:rPr>
        <w:t>24</w:t>
      </w:r>
      <w:r w:rsidRPr="00F65D45">
        <w:rPr>
          <w:rFonts w:ascii="Book Antiqua" w:hAnsi="Book Antiqua"/>
        </w:rPr>
        <w:t>: 1-17 [PMID: 25444466 DOI: 10.1016/j.soc.2014.09.001]</w:t>
      </w:r>
    </w:p>
    <w:p w14:paraId="6C4AE2C6"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 </w:t>
      </w:r>
      <w:r w:rsidRPr="00F65D45">
        <w:rPr>
          <w:rFonts w:ascii="Book Antiqua" w:hAnsi="Book Antiqua"/>
          <w:b/>
        </w:rPr>
        <w:t>Mittal S</w:t>
      </w:r>
      <w:r w:rsidRPr="00F65D45">
        <w:rPr>
          <w:rFonts w:ascii="Book Antiqua" w:hAnsi="Book Antiqua"/>
        </w:rPr>
        <w:t xml:space="preserve">, El-Serag HB. Epidemiology of hepatocellular carcinoma: consider the population. </w:t>
      </w:r>
      <w:r w:rsidRPr="00F65D45">
        <w:rPr>
          <w:rFonts w:ascii="Book Antiqua" w:hAnsi="Book Antiqua"/>
          <w:i/>
        </w:rPr>
        <w:t>J Clin Gastroenterol</w:t>
      </w:r>
      <w:r w:rsidRPr="00F65D45">
        <w:rPr>
          <w:rFonts w:ascii="Book Antiqua" w:hAnsi="Book Antiqua"/>
        </w:rPr>
        <w:t xml:space="preserve"> 2013; </w:t>
      </w:r>
      <w:r w:rsidRPr="00F65D45">
        <w:rPr>
          <w:rFonts w:ascii="Book Antiqua" w:hAnsi="Book Antiqua"/>
          <w:b/>
        </w:rPr>
        <w:t>47 Suppl</w:t>
      </w:r>
      <w:r w:rsidRPr="00F65D45">
        <w:rPr>
          <w:rFonts w:ascii="Book Antiqua" w:hAnsi="Book Antiqua"/>
        </w:rPr>
        <w:t>: S2-S6 [PMID: 23632345 DOI: 10.1097/MCG.0b013e3182872f29]</w:t>
      </w:r>
    </w:p>
    <w:p w14:paraId="0FEAB068" w14:textId="37E799D6" w:rsidR="00F65D45" w:rsidRPr="00F65D45" w:rsidRDefault="00F65D45" w:rsidP="00F65D45">
      <w:pPr>
        <w:spacing w:line="360" w:lineRule="auto"/>
        <w:jc w:val="both"/>
        <w:rPr>
          <w:rFonts w:ascii="Book Antiqua" w:hAnsi="Book Antiqua"/>
        </w:rPr>
      </w:pPr>
      <w:r w:rsidRPr="00F65D45">
        <w:rPr>
          <w:rFonts w:ascii="Book Antiqua" w:hAnsi="Book Antiqua"/>
        </w:rPr>
        <w:t xml:space="preserve">4 </w:t>
      </w:r>
      <w:r w:rsidRPr="00F65D45">
        <w:rPr>
          <w:rFonts w:ascii="Book Antiqua" w:hAnsi="Book Antiqua"/>
          <w:b/>
        </w:rPr>
        <w:t>Fattovich G</w:t>
      </w:r>
      <w:r w:rsidRPr="00F65D45">
        <w:rPr>
          <w:rFonts w:ascii="Book Antiqua" w:hAnsi="Book Antiqua"/>
        </w:rPr>
        <w:t xml:space="preserve">, Stroffolini T, Zagni I, Donato F. Hepatocellular carcinoma in cirrhosis: incidence and risk factors. </w:t>
      </w:r>
      <w:r w:rsidRPr="00F65D45">
        <w:rPr>
          <w:rFonts w:ascii="Book Antiqua" w:hAnsi="Book Antiqua"/>
          <w:i/>
        </w:rPr>
        <w:t>Gastroenterology</w:t>
      </w:r>
      <w:r w:rsidRPr="00F65D45">
        <w:rPr>
          <w:rFonts w:ascii="Book Antiqua" w:hAnsi="Book Antiqua"/>
        </w:rPr>
        <w:t xml:space="preserve"> 2004; </w:t>
      </w:r>
      <w:r w:rsidRPr="00F65D45">
        <w:rPr>
          <w:rFonts w:ascii="Book Antiqua" w:hAnsi="Book Antiqua"/>
          <w:b/>
        </w:rPr>
        <w:t>127</w:t>
      </w:r>
      <w:r w:rsidRPr="00F65D45">
        <w:rPr>
          <w:rFonts w:ascii="Book Antiqua" w:hAnsi="Book Antiqua"/>
        </w:rPr>
        <w:t>: S35-S50 [PMID: 15508101</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10.1053/j.gastro.2004.09.014</w:t>
      </w:r>
      <w:r w:rsidRPr="00F65D45">
        <w:rPr>
          <w:rFonts w:ascii="Book Antiqua" w:hAnsi="Book Antiqua"/>
        </w:rPr>
        <w:t>]</w:t>
      </w:r>
    </w:p>
    <w:p w14:paraId="397E3D9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 </w:t>
      </w:r>
      <w:r w:rsidRPr="00F65D45">
        <w:rPr>
          <w:rFonts w:ascii="Book Antiqua" w:hAnsi="Book Antiqua"/>
          <w:b/>
        </w:rPr>
        <w:t>El-Serag HB</w:t>
      </w:r>
      <w:r w:rsidRPr="00F65D45">
        <w:rPr>
          <w:rFonts w:ascii="Book Antiqua" w:hAnsi="Book Antiqua"/>
        </w:rPr>
        <w:t xml:space="preserve">. Hepatocellular carcinoma. </w:t>
      </w:r>
      <w:r w:rsidRPr="00F65D45">
        <w:rPr>
          <w:rFonts w:ascii="Book Antiqua" w:hAnsi="Book Antiqua"/>
          <w:i/>
        </w:rPr>
        <w:t>N Engl J Med</w:t>
      </w:r>
      <w:r w:rsidRPr="00F65D45">
        <w:rPr>
          <w:rFonts w:ascii="Book Antiqua" w:hAnsi="Book Antiqua"/>
        </w:rPr>
        <w:t xml:space="preserve"> 2011; </w:t>
      </w:r>
      <w:r w:rsidRPr="00F65D45">
        <w:rPr>
          <w:rFonts w:ascii="Book Antiqua" w:hAnsi="Book Antiqua"/>
          <w:b/>
        </w:rPr>
        <w:t>365</w:t>
      </w:r>
      <w:r w:rsidRPr="00F65D45">
        <w:rPr>
          <w:rFonts w:ascii="Book Antiqua" w:hAnsi="Book Antiqua"/>
        </w:rPr>
        <w:t>: 1118-1127 [PMID: 21992124 DOI: 10.1056/NEJMra1001683]</w:t>
      </w:r>
    </w:p>
    <w:p w14:paraId="3B0E2326"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 </w:t>
      </w:r>
      <w:r w:rsidRPr="00F65D45">
        <w:rPr>
          <w:rFonts w:ascii="Book Antiqua" w:hAnsi="Book Antiqua"/>
          <w:b/>
        </w:rPr>
        <w:t>Zhang DY</w:t>
      </w:r>
      <w:r w:rsidRPr="00F65D45">
        <w:rPr>
          <w:rFonts w:ascii="Book Antiqua" w:hAnsi="Book Antiqua"/>
        </w:rPr>
        <w:t xml:space="preserve">, Friedman SL. Fibrosis-dependent mechanisms of hepatocarcinogenesis. </w:t>
      </w:r>
      <w:r w:rsidRPr="00F65D45">
        <w:rPr>
          <w:rFonts w:ascii="Book Antiqua" w:hAnsi="Book Antiqua"/>
          <w:i/>
        </w:rPr>
        <w:t>Hepatology</w:t>
      </w:r>
      <w:r w:rsidRPr="00F65D45">
        <w:rPr>
          <w:rFonts w:ascii="Book Antiqua" w:hAnsi="Book Antiqua"/>
        </w:rPr>
        <w:t xml:space="preserve"> 2012; </w:t>
      </w:r>
      <w:r w:rsidRPr="00F65D45">
        <w:rPr>
          <w:rFonts w:ascii="Book Antiqua" w:hAnsi="Book Antiqua"/>
          <w:b/>
        </w:rPr>
        <w:t>56</w:t>
      </w:r>
      <w:r w:rsidRPr="00F65D45">
        <w:rPr>
          <w:rFonts w:ascii="Book Antiqua" w:hAnsi="Book Antiqua"/>
        </w:rPr>
        <w:t>: 769-775 [PMID: 22378017 DOI: 10.1002/hep.25670]</w:t>
      </w:r>
    </w:p>
    <w:p w14:paraId="2867395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7 </w:t>
      </w:r>
      <w:r w:rsidRPr="00F65D45">
        <w:rPr>
          <w:rFonts w:ascii="Book Antiqua" w:hAnsi="Book Antiqua"/>
          <w:b/>
        </w:rPr>
        <w:t>Toshikuni N</w:t>
      </w:r>
      <w:r w:rsidRPr="00F65D45">
        <w:rPr>
          <w:rFonts w:ascii="Book Antiqua" w:hAnsi="Book Antiqua"/>
        </w:rPr>
        <w:t xml:space="preserve">, Takuma Y, Tomokuni J, Yamamoto H. Planning Sonography Using Real-time Virtual Sonography and Contrast-enhanced Sonography for Radiofrequency Ablation of Inconspicuous Hepatocellular Carcinoma Nodules. </w:t>
      </w:r>
      <w:r w:rsidRPr="00F65D45">
        <w:rPr>
          <w:rFonts w:ascii="Book Antiqua" w:hAnsi="Book Antiqua"/>
          <w:i/>
        </w:rPr>
        <w:t>Hepatogastroenterology</w:t>
      </w:r>
      <w:r w:rsidRPr="00F65D45">
        <w:rPr>
          <w:rFonts w:ascii="Book Antiqua" w:hAnsi="Book Antiqua"/>
        </w:rPr>
        <w:t xml:space="preserve"> 2015; </w:t>
      </w:r>
      <w:r w:rsidRPr="00F65D45">
        <w:rPr>
          <w:rFonts w:ascii="Book Antiqua" w:hAnsi="Book Antiqua"/>
          <w:b/>
        </w:rPr>
        <w:t>62</w:t>
      </w:r>
      <w:r w:rsidRPr="00F65D45">
        <w:rPr>
          <w:rFonts w:ascii="Book Antiqua" w:hAnsi="Book Antiqua"/>
        </w:rPr>
        <w:t>: 661-666 [PMID: 26897949]</w:t>
      </w:r>
    </w:p>
    <w:p w14:paraId="1B1015A7"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8 </w:t>
      </w:r>
      <w:r w:rsidRPr="00F65D45">
        <w:rPr>
          <w:rFonts w:ascii="Book Antiqua" w:hAnsi="Book Antiqua"/>
          <w:b/>
        </w:rPr>
        <w:t>Zou Q</w:t>
      </w:r>
      <w:r w:rsidRPr="00F65D45">
        <w:rPr>
          <w:rFonts w:ascii="Book Antiqua" w:hAnsi="Book Antiqua"/>
        </w:rPr>
        <w:t xml:space="preserve">, Li J, Wu D, Yan Z, Wan X, Wang K, Shi L, Lau WY, Wu M, Shen F. Nomograms for Pre-operative and Post-operative Prediction of Long-Term Survival of Patients Who Underwent Repeat Hepatectomy for Recurrent Hepatocellular Carcinoma. </w:t>
      </w:r>
      <w:r w:rsidRPr="00F65D45">
        <w:rPr>
          <w:rFonts w:ascii="Book Antiqua" w:hAnsi="Book Antiqua"/>
          <w:i/>
        </w:rPr>
        <w:t>Ann Surg Oncol</w:t>
      </w:r>
      <w:r w:rsidRPr="00F65D45">
        <w:rPr>
          <w:rFonts w:ascii="Book Antiqua" w:hAnsi="Book Antiqua"/>
        </w:rPr>
        <w:t xml:space="preserve"> 2016; </w:t>
      </w:r>
      <w:r w:rsidRPr="00F65D45">
        <w:rPr>
          <w:rFonts w:ascii="Book Antiqua" w:hAnsi="Book Antiqua"/>
          <w:b/>
        </w:rPr>
        <w:t>23</w:t>
      </w:r>
      <w:r w:rsidRPr="00F65D45">
        <w:rPr>
          <w:rFonts w:ascii="Book Antiqua" w:hAnsi="Book Antiqua"/>
        </w:rPr>
        <w:t>: 2618-2626 [PMID: 26903045 DOI: 10.1245/s10434-016-5136-0]</w:t>
      </w:r>
    </w:p>
    <w:p w14:paraId="531B66F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 </w:t>
      </w:r>
      <w:r w:rsidRPr="00F65D45">
        <w:rPr>
          <w:rFonts w:ascii="Book Antiqua" w:hAnsi="Book Antiqua"/>
          <w:b/>
        </w:rPr>
        <w:t>Forner A</w:t>
      </w:r>
      <w:r w:rsidRPr="00F65D45">
        <w:rPr>
          <w:rFonts w:ascii="Book Antiqua" w:hAnsi="Book Antiqua"/>
        </w:rPr>
        <w:t xml:space="preserve">, Llovet JM, Bruix J. Hepatocellular carcinoma. </w:t>
      </w:r>
      <w:r w:rsidRPr="00F65D45">
        <w:rPr>
          <w:rFonts w:ascii="Book Antiqua" w:hAnsi="Book Antiqua"/>
          <w:i/>
        </w:rPr>
        <w:t>Lancet</w:t>
      </w:r>
      <w:r w:rsidRPr="00F65D45">
        <w:rPr>
          <w:rFonts w:ascii="Book Antiqua" w:hAnsi="Book Antiqua"/>
        </w:rPr>
        <w:t xml:space="preserve"> 2012; </w:t>
      </w:r>
      <w:r w:rsidRPr="00F65D45">
        <w:rPr>
          <w:rFonts w:ascii="Book Antiqua" w:hAnsi="Book Antiqua"/>
          <w:b/>
        </w:rPr>
        <w:t>379</w:t>
      </w:r>
      <w:r w:rsidRPr="00F65D45">
        <w:rPr>
          <w:rFonts w:ascii="Book Antiqua" w:hAnsi="Book Antiqua"/>
        </w:rPr>
        <w:t>: 1245-1255 [PMID: 22353262 DOI: 10.1016/S0140-6736(11)61347-0]</w:t>
      </w:r>
    </w:p>
    <w:p w14:paraId="5D4A97AE"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 </w:t>
      </w:r>
      <w:r w:rsidRPr="00F65D45">
        <w:rPr>
          <w:rFonts w:ascii="Book Antiqua" w:hAnsi="Book Antiqua"/>
          <w:b/>
        </w:rPr>
        <w:t>Sinn DH</w:t>
      </w:r>
      <w:r w:rsidRPr="00F65D45">
        <w:rPr>
          <w:rFonts w:ascii="Book Antiqua" w:hAnsi="Book Antiqua"/>
        </w:rPr>
        <w:t>, Gwak GY, Cho J, Paik SW, Yoo BC. Comparison of clinical manifestations and outcomes between hepatitis B virus- and hepatitis C virus-</w:t>
      </w:r>
      <w:r w:rsidRPr="00F65D45">
        <w:rPr>
          <w:rFonts w:ascii="Book Antiqua" w:hAnsi="Book Antiqua"/>
        </w:rPr>
        <w:lastRenderedPageBreak/>
        <w:t xml:space="preserve">related hepatocellular carcinoma: analysis of a nationwide cohort. </w:t>
      </w:r>
      <w:r w:rsidRPr="00F65D45">
        <w:rPr>
          <w:rFonts w:ascii="Book Antiqua" w:hAnsi="Book Antiqua"/>
          <w:i/>
        </w:rPr>
        <w:t>PLoS One</w:t>
      </w:r>
      <w:r w:rsidRPr="00F65D45">
        <w:rPr>
          <w:rFonts w:ascii="Book Antiqua" w:hAnsi="Book Antiqua"/>
        </w:rPr>
        <w:t xml:space="preserve"> 2014; </w:t>
      </w:r>
      <w:r w:rsidRPr="00F65D45">
        <w:rPr>
          <w:rFonts w:ascii="Book Antiqua" w:hAnsi="Book Antiqua"/>
          <w:b/>
        </w:rPr>
        <w:t>9</w:t>
      </w:r>
      <w:r w:rsidRPr="00F65D45">
        <w:rPr>
          <w:rFonts w:ascii="Book Antiqua" w:hAnsi="Book Antiqua"/>
        </w:rPr>
        <w:t>: e112184 [PMID: 25372403 DOI: 10.1371/journal.pone.0112184]</w:t>
      </w:r>
    </w:p>
    <w:p w14:paraId="11A9C8A7"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11 </w:t>
      </w:r>
      <w:r w:rsidRPr="00F65D45">
        <w:rPr>
          <w:rFonts w:ascii="Book Antiqua" w:hAnsi="Book Antiqua"/>
          <w:b/>
        </w:rPr>
        <w:t>Yu JI</w:t>
      </w:r>
      <w:r w:rsidRPr="00F65D45">
        <w:rPr>
          <w:rFonts w:ascii="Book Antiqua" w:hAnsi="Book Antiqua"/>
        </w:rPr>
        <w:t xml:space="preserve">, Park HC. Radiotherapy as valid modality for hepatocellular carcinoma with portal vein tumor thrombosis. </w:t>
      </w:r>
      <w:r w:rsidRPr="00F65D45">
        <w:rPr>
          <w:rFonts w:ascii="Book Antiqua" w:hAnsi="Book Antiqua"/>
          <w:i/>
        </w:rPr>
        <w:t>World J Gastroenterol</w:t>
      </w:r>
      <w:r w:rsidRPr="00F65D45">
        <w:rPr>
          <w:rFonts w:ascii="Book Antiqua" w:hAnsi="Book Antiqua"/>
        </w:rPr>
        <w:t xml:space="preserve"> 2016; </w:t>
      </w:r>
      <w:r w:rsidRPr="00F65D45">
        <w:rPr>
          <w:rFonts w:ascii="Book Antiqua" w:hAnsi="Book Antiqua"/>
          <w:b/>
        </w:rPr>
        <w:t>22</w:t>
      </w:r>
      <w:r w:rsidRPr="00F65D45">
        <w:rPr>
          <w:rFonts w:ascii="Book Antiqua" w:hAnsi="Book Antiqua"/>
        </w:rPr>
        <w:t>: 6851-6863 [PMID: 27570422 DOI: 10.3748/wjg.v22.i30.6851]</w:t>
      </w:r>
    </w:p>
    <w:p w14:paraId="39836B5C"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12 </w:t>
      </w:r>
      <w:r w:rsidRPr="00F65D45">
        <w:rPr>
          <w:rFonts w:ascii="Book Antiqua" w:hAnsi="Book Antiqua"/>
          <w:b/>
        </w:rPr>
        <w:t>Dionisi F</w:t>
      </w:r>
      <w:r w:rsidRPr="00F65D45">
        <w:rPr>
          <w:rFonts w:ascii="Book Antiqua" w:hAnsi="Book Antiqua"/>
        </w:rPr>
        <w:t xml:space="preserve">, Ben-Josef E. The use of proton therapy in the treatment of gastrointestinal cancers: liver. </w:t>
      </w:r>
      <w:r w:rsidRPr="00F65D45">
        <w:rPr>
          <w:rFonts w:ascii="Book Antiqua" w:hAnsi="Book Antiqua"/>
          <w:i/>
        </w:rPr>
        <w:t>Cancer J</w:t>
      </w:r>
      <w:r w:rsidRPr="00F65D45">
        <w:rPr>
          <w:rFonts w:ascii="Book Antiqua" w:hAnsi="Book Antiqua"/>
        </w:rPr>
        <w:t xml:space="preserve"> 2014; </w:t>
      </w:r>
      <w:r w:rsidRPr="00F65D45">
        <w:rPr>
          <w:rFonts w:ascii="Book Antiqua" w:hAnsi="Book Antiqua"/>
          <w:b/>
        </w:rPr>
        <w:t>20</w:t>
      </w:r>
      <w:r w:rsidRPr="00F65D45">
        <w:rPr>
          <w:rFonts w:ascii="Book Antiqua" w:hAnsi="Book Antiqua"/>
        </w:rPr>
        <w:t>: 371-377 [PMID: 25415681 DOI: 10.1097/PPO.0000000000000082]</w:t>
      </w:r>
    </w:p>
    <w:p w14:paraId="01BA8736"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13 </w:t>
      </w:r>
      <w:r w:rsidRPr="00F65D45">
        <w:rPr>
          <w:rFonts w:ascii="Book Antiqua" w:hAnsi="Book Antiqua"/>
          <w:b/>
        </w:rPr>
        <w:t>Kalogeridi MA</w:t>
      </w:r>
      <w:r w:rsidRPr="00F65D45">
        <w:rPr>
          <w:rFonts w:ascii="Book Antiqua" w:hAnsi="Book Antiqua"/>
        </w:rPr>
        <w:t xml:space="preserve">, Zygogianni A, Kyrgias G, Kouvaris J, Chatziioannou S, Kelekis N, Kouloulias V. Role of radiotherapy in the management of hepatocellular carcinoma: A systematic review. </w:t>
      </w:r>
      <w:r w:rsidRPr="00F65D45">
        <w:rPr>
          <w:rFonts w:ascii="Book Antiqua" w:hAnsi="Book Antiqua"/>
          <w:i/>
        </w:rPr>
        <w:t>World J Hepatol</w:t>
      </w:r>
      <w:r w:rsidRPr="00F65D45">
        <w:rPr>
          <w:rFonts w:ascii="Book Antiqua" w:hAnsi="Book Antiqua"/>
        </w:rPr>
        <w:t xml:space="preserve"> 2015; </w:t>
      </w:r>
      <w:r w:rsidRPr="00F65D45">
        <w:rPr>
          <w:rFonts w:ascii="Book Antiqua" w:hAnsi="Book Antiqua"/>
          <w:b/>
        </w:rPr>
        <w:t>7</w:t>
      </w:r>
      <w:r w:rsidRPr="00F65D45">
        <w:rPr>
          <w:rFonts w:ascii="Book Antiqua" w:hAnsi="Book Antiqua"/>
        </w:rPr>
        <w:t>: 101-112 [PMID: 25625001 DOI: 10.4254/wjh.v7.i1.101]</w:t>
      </w:r>
    </w:p>
    <w:p w14:paraId="6BE1CD79"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14 </w:t>
      </w:r>
      <w:r w:rsidRPr="00F65D45">
        <w:rPr>
          <w:rFonts w:ascii="Book Antiqua" w:hAnsi="Book Antiqua"/>
          <w:b/>
        </w:rPr>
        <w:t>Klein J</w:t>
      </w:r>
      <w:r w:rsidRPr="00F65D45">
        <w:rPr>
          <w:rFonts w:ascii="Book Antiqua" w:hAnsi="Book Antiqua"/>
        </w:rPr>
        <w:t xml:space="preserve">, Dawson LA. Hepatocellular carcinoma radiation therapy: review of evidence and future opportunities. </w:t>
      </w:r>
      <w:r w:rsidRPr="00F65D45">
        <w:rPr>
          <w:rFonts w:ascii="Book Antiqua" w:hAnsi="Book Antiqua"/>
          <w:i/>
        </w:rPr>
        <w:t>Int J Radiat Oncol Biol Phys</w:t>
      </w:r>
      <w:r w:rsidRPr="00F65D45">
        <w:rPr>
          <w:rFonts w:ascii="Book Antiqua" w:hAnsi="Book Antiqua"/>
        </w:rPr>
        <w:t xml:space="preserve"> 2013; </w:t>
      </w:r>
      <w:r w:rsidRPr="00F65D45">
        <w:rPr>
          <w:rFonts w:ascii="Book Antiqua" w:hAnsi="Book Antiqua"/>
          <w:b/>
        </w:rPr>
        <w:t>87</w:t>
      </w:r>
      <w:r w:rsidRPr="00F65D45">
        <w:rPr>
          <w:rFonts w:ascii="Book Antiqua" w:hAnsi="Book Antiqua"/>
        </w:rPr>
        <w:t>: 22-32 [PMID: 23219567 DOI: 10.1016/j.ijrobp.2012.08.043]</w:t>
      </w:r>
    </w:p>
    <w:p w14:paraId="50949744"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15 </w:t>
      </w:r>
      <w:r w:rsidRPr="00F65D45">
        <w:rPr>
          <w:rFonts w:ascii="Book Antiqua" w:hAnsi="Book Antiqua"/>
          <w:b/>
        </w:rPr>
        <w:t>Cho JY</w:t>
      </w:r>
      <w:r w:rsidRPr="00F65D45">
        <w:rPr>
          <w:rFonts w:ascii="Book Antiqua" w:hAnsi="Book Antiqua"/>
        </w:rPr>
        <w:t xml:space="preserve">, Paik YH, Park HC, Yu JI, Sohn W, Gwak GY, Choi MS, Lee JH, Koh KC, Paik SW, Yoo BC. The feasibility of combined transcatheter arterial chemoembolization and radiotherapy for advanced hepatocellular carcinoma. </w:t>
      </w:r>
      <w:r w:rsidRPr="00F65D45">
        <w:rPr>
          <w:rFonts w:ascii="Book Antiqua" w:hAnsi="Book Antiqua"/>
          <w:i/>
        </w:rPr>
        <w:t>Liver Int</w:t>
      </w:r>
      <w:r w:rsidRPr="00F65D45">
        <w:rPr>
          <w:rFonts w:ascii="Book Antiqua" w:hAnsi="Book Antiqua"/>
        </w:rPr>
        <w:t xml:space="preserve"> 2014; </w:t>
      </w:r>
      <w:r w:rsidRPr="00F65D45">
        <w:rPr>
          <w:rFonts w:ascii="Book Antiqua" w:hAnsi="Book Antiqua"/>
          <w:b/>
        </w:rPr>
        <w:t>34</w:t>
      </w:r>
      <w:r w:rsidRPr="00F65D45">
        <w:rPr>
          <w:rFonts w:ascii="Book Antiqua" w:hAnsi="Book Antiqua"/>
        </w:rPr>
        <w:t>: 795-801 [PMID: 24350564 DOI: 10.1111/liv.12445]</w:t>
      </w:r>
    </w:p>
    <w:p w14:paraId="6F7BE34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16 </w:t>
      </w:r>
      <w:r w:rsidRPr="00F65D45">
        <w:rPr>
          <w:rFonts w:ascii="Book Antiqua" w:hAnsi="Book Antiqua"/>
          <w:b/>
        </w:rPr>
        <w:t>Kudo M</w:t>
      </w:r>
      <w:r w:rsidRPr="00F65D45">
        <w:rPr>
          <w:rFonts w:ascii="Book Antiqua" w:hAnsi="Book Antiqua"/>
        </w:rPr>
        <w:t xml:space="preserve">, Chung H, Osaki Y. Prognostic staging system for hepatocellular carcinoma (CLIP score): its value and limitations, and a proposal for a new staging system, the Japan Integrated Staging Score (JIS score). </w:t>
      </w:r>
      <w:r w:rsidRPr="00F65D45">
        <w:rPr>
          <w:rFonts w:ascii="Book Antiqua" w:hAnsi="Book Antiqua"/>
          <w:i/>
        </w:rPr>
        <w:t>J Gastroenterol</w:t>
      </w:r>
      <w:r w:rsidRPr="00F65D45">
        <w:rPr>
          <w:rFonts w:ascii="Book Antiqua" w:hAnsi="Book Antiqua"/>
        </w:rPr>
        <w:t xml:space="preserve"> 2003; </w:t>
      </w:r>
      <w:r w:rsidRPr="00F65D45">
        <w:rPr>
          <w:rFonts w:ascii="Book Antiqua" w:hAnsi="Book Antiqua"/>
          <w:b/>
        </w:rPr>
        <w:t>38</w:t>
      </w:r>
      <w:r w:rsidRPr="00F65D45">
        <w:rPr>
          <w:rFonts w:ascii="Book Antiqua" w:hAnsi="Book Antiqua"/>
        </w:rPr>
        <w:t>: 207-215 [PMID: 12673442 DOI: 10.1007/s005350300038]</w:t>
      </w:r>
    </w:p>
    <w:p w14:paraId="7ECB9B0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17 </w:t>
      </w:r>
      <w:r w:rsidRPr="00F65D45">
        <w:rPr>
          <w:rFonts w:ascii="Book Antiqua" w:hAnsi="Book Antiqua"/>
          <w:b/>
        </w:rPr>
        <w:t>Corbin KS</w:t>
      </w:r>
      <w:r w:rsidRPr="00F65D45">
        <w:rPr>
          <w:rFonts w:ascii="Book Antiqua" w:hAnsi="Book Antiqua"/>
        </w:rPr>
        <w:t xml:space="preserve">, Hellman S, Weichselbaum RR. Extracranial oligometastases: a subset of metastases curable with stereotactic radiotherapy. </w:t>
      </w:r>
      <w:r w:rsidRPr="00F65D45">
        <w:rPr>
          <w:rFonts w:ascii="Book Antiqua" w:hAnsi="Book Antiqua"/>
          <w:i/>
        </w:rPr>
        <w:t>J Clin Oncol</w:t>
      </w:r>
      <w:r w:rsidRPr="00F65D45">
        <w:rPr>
          <w:rFonts w:ascii="Book Antiqua" w:hAnsi="Book Antiqua"/>
        </w:rPr>
        <w:t xml:space="preserve"> 2013; </w:t>
      </w:r>
      <w:r w:rsidRPr="00F65D45">
        <w:rPr>
          <w:rFonts w:ascii="Book Antiqua" w:hAnsi="Book Antiqua"/>
          <w:b/>
        </w:rPr>
        <w:t>31</w:t>
      </w:r>
      <w:r w:rsidRPr="00F65D45">
        <w:rPr>
          <w:rFonts w:ascii="Book Antiqua" w:hAnsi="Book Antiqua"/>
        </w:rPr>
        <w:t>: 1384-1390 [PMID: 23460715 DOI: 10.1200/JCO.2012.45.9651]</w:t>
      </w:r>
    </w:p>
    <w:p w14:paraId="6407FD4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18 </w:t>
      </w:r>
      <w:r w:rsidRPr="00F65D45">
        <w:rPr>
          <w:rFonts w:ascii="Book Antiqua" w:hAnsi="Book Antiqua"/>
          <w:b/>
        </w:rPr>
        <w:t>Kim SW</w:t>
      </w:r>
      <w:r w:rsidRPr="00F65D45">
        <w:rPr>
          <w:rFonts w:ascii="Book Antiqua" w:hAnsi="Book Antiqua"/>
        </w:rPr>
        <w:t xml:space="preserve">, Oh D, Park HC, Lim DH, Shin SW, Cho SK, Gwak GY, Choi MS, Paik YH, Paik SW. Transcatheter arterial chemoembolization and radiation therapy for treatment-naïve patients with locally advanced hepatocellular carcinoma. </w:t>
      </w:r>
      <w:r w:rsidRPr="00F65D45">
        <w:rPr>
          <w:rFonts w:ascii="Book Antiqua" w:hAnsi="Book Antiqua"/>
          <w:i/>
        </w:rPr>
        <w:t>Radiat Oncol J</w:t>
      </w:r>
      <w:r w:rsidRPr="00F65D45">
        <w:rPr>
          <w:rFonts w:ascii="Book Antiqua" w:hAnsi="Book Antiqua"/>
        </w:rPr>
        <w:t xml:space="preserve"> 2014; </w:t>
      </w:r>
      <w:r w:rsidRPr="00F65D45">
        <w:rPr>
          <w:rFonts w:ascii="Book Antiqua" w:hAnsi="Book Antiqua"/>
          <w:b/>
        </w:rPr>
        <w:t>32</w:t>
      </w:r>
      <w:r w:rsidRPr="00F65D45">
        <w:rPr>
          <w:rFonts w:ascii="Book Antiqua" w:hAnsi="Book Antiqua"/>
        </w:rPr>
        <w:t>: 14-22 [PMID: 24724047 DOI: 10.3857/roj.2014.32.1.14]</w:t>
      </w:r>
    </w:p>
    <w:p w14:paraId="218CE94F"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19 </w:t>
      </w:r>
      <w:r w:rsidRPr="00F65D45">
        <w:rPr>
          <w:rFonts w:ascii="Book Antiqua" w:hAnsi="Book Antiqua"/>
          <w:b/>
        </w:rPr>
        <w:t>Yeung RH</w:t>
      </w:r>
      <w:r w:rsidRPr="00F65D45">
        <w:rPr>
          <w:rFonts w:ascii="Book Antiqua" w:hAnsi="Book Antiqua"/>
        </w:rPr>
        <w:t xml:space="preserve">, Chapman TR, Bowen SR, Apisarnthanarax S. Proton beam therapy for hepatocellular carcinoma. </w:t>
      </w:r>
      <w:r w:rsidRPr="00F65D45">
        <w:rPr>
          <w:rFonts w:ascii="Book Antiqua" w:hAnsi="Book Antiqua"/>
          <w:i/>
        </w:rPr>
        <w:t>Expert Rev Anticancer Ther</w:t>
      </w:r>
      <w:r w:rsidRPr="00F65D45">
        <w:rPr>
          <w:rFonts w:ascii="Book Antiqua" w:hAnsi="Book Antiqua"/>
        </w:rPr>
        <w:t xml:space="preserve"> 2017; </w:t>
      </w:r>
      <w:r w:rsidRPr="00F65D45">
        <w:rPr>
          <w:rFonts w:ascii="Book Antiqua" w:hAnsi="Book Antiqua"/>
          <w:b/>
        </w:rPr>
        <w:t>17</w:t>
      </w:r>
      <w:r w:rsidRPr="00F65D45">
        <w:rPr>
          <w:rFonts w:ascii="Book Antiqua" w:hAnsi="Book Antiqua"/>
        </w:rPr>
        <w:t>: 911-924 [PMID: 28825506 DOI: 10.1080/14737140.2017.1368392]</w:t>
      </w:r>
    </w:p>
    <w:p w14:paraId="35DF44F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20 </w:t>
      </w:r>
      <w:r w:rsidRPr="00F65D45">
        <w:rPr>
          <w:rFonts w:ascii="Book Antiqua" w:hAnsi="Book Antiqua"/>
          <w:b/>
        </w:rPr>
        <w:t>Dionisi F</w:t>
      </w:r>
      <w:r w:rsidRPr="00F65D45">
        <w:rPr>
          <w:rFonts w:ascii="Book Antiqua" w:hAnsi="Book Antiqua"/>
        </w:rPr>
        <w:t xml:space="preserve">, Widesott L, Lorentini S, Amichetti M. Is there a role for proton therapy in the treatment of hepatocellular carcinoma? A systematic review. </w:t>
      </w:r>
      <w:r w:rsidRPr="00F65D45">
        <w:rPr>
          <w:rFonts w:ascii="Book Antiqua" w:hAnsi="Book Antiqua"/>
          <w:i/>
        </w:rPr>
        <w:t>Radiother Oncol</w:t>
      </w:r>
      <w:r w:rsidRPr="00F65D45">
        <w:rPr>
          <w:rFonts w:ascii="Book Antiqua" w:hAnsi="Book Antiqua"/>
        </w:rPr>
        <w:t xml:space="preserve"> 2014; </w:t>
      </w:r>
      <w:r w:rsidRPr="00F65D45">
        <w:rPr>
          <w:rFonts w:ascii="Book Antiqua" w:hAnsi="Book Antiqua"/>
          <w:b/>
        </w:rPr>
        <w:t>111</w:t>
      </w:r>
      <w:r w:rsidRPr="00F65D45">
        <w:rPr>
          <w:rFonts w:ascii="Book Antiqua" w:hAnsi="Book Antiqua"/>
        </w:rPr>
        <w:t>: 1-10 [PMID: 24560761 DOI: 10.1016/j.radonc.2014.02.001]</w:t>
      </w:r>
    </w:p>
    <w:p w14:paraId="51661D63"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21 </w:t>
      </w:r>
      <w:r w:rsidRPr="00F65D45">
        <w:rPr>
          <w:rFonts w:ascii="Book Antiqua" w:hAnsi="Book Antiqua"/>
          <w:b/>
        </w:rPr>
        <w:t>Wang X</w:t>
      </w:r>
      <w:r w:rsidRPr="00F65D45">
        <w:rPr>
          <w:rFonts w:ascii="Book Antiqua" w:hAnsi="Book Antiqua"/>
        </w:rPr>
        <w:t xml:space="preserve">, Krishnan S, Zhang X, Dong L, Briere T, Crane CH, Martel M, Gillin M, Mohan R, Beddar S. Proton radiotherapy for liver tumors: dosimetric advantages over photon plans. </w:t>
      </w:r>
      <w:r w:rsidRPr="00F65D45">
        <w:rPr>
          <w:rFonts w:ascii="Book Antiqua" w:hAnsi="Book Antiqua"/>
          <w:i/>
        </w:rPr>
        <w:t>Med Dosim</w:t>
      </w:r>
      <w:r w:rsidRPr="00F65D45">
        <w:rPr>
          <w:rFonts w:ascii="Book Antiqua" w:hAnsi="Book Antiqua"/>
        </w:rPr>
        <w:t xml:space="preserve"> 2008; </w:t>
      </w:r>
      <w:r w:rsidRPr="00F65D45">
        <w:rPr>
          <w:rFonts w:ascii="Book Antiqua" w:hAnsi="Book Antiqua"/>
          <w:b/>
        </w:rPr>
        <w:t>33</w:t>
      </w:r>
      <w:r w:rsidRPr="00F65D45">
        <w:rPr>
          <w:rFonts w:ascii="Book Antiqua" w:hAnsi="Book Antiqua"/>
        </w:rPr>
        <w:t>: 259-267 [PMID: 18973852 DOI: 10.1016/j.meddos.2007.04.008]</w:t>
      </w:r>
    </w:p>
    <w:p w14:paraId="55822E63"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22 </w:t>
      </w:r>
      <w:r w:rsidRPr="00F65D45">
        <w:rPr>
          <w:rFonts w:ascii="Book Antiqua" w:hAnsi="Book Antiqua"/>
          <w:b/>
        </w:rPr>
        <w:t>Gandhi SJ</w:t>
      </w:r>
      <w:r w:rsidRPr="00F65D45">
        <w:rPr>
          <w:rFonts w:ascii="Book Antiqua" w:hAnsi="Book Antiqua"/>
        </w:rPr>
        <w:t xml:space="preserve">, Liang X, Ding X, Zhu TC, Ben-Josef E, Plastaras JP, Metz JM, Both S, Apisarnthanarax S. Clinical decision tool for optimal delivery of liver stereotactic body radiation therapy: Photons versus protons. </w:t>
      </w:r>
      <w:r w:rsidRPr="00F65D45">
        <w:rPr>
          <w:rFonts w:ascii="Book Antiqua" w:hAnsi="Book Antiqua"/>
          <w:i/>
        </w:rPr>
        <w:t>Pract Radiat Oncol</w:t>
      </w:r>
      <w:r w:rsidRPr="00F65D45">
        <w:rPr>
          <w:rFonts w:ascii="Book Antiqua" w:hAnsi="Book Antiqua"/>
        </w:rPr>
        <w:t xml:space="preserve"> 2015; </w:t>
      </w:r>
      <w:r w:rsidRPr="00F65D45">
        <w:rPr>
          <w:rFonts w:ascii="Book Antiqua" w:hAnsi="Book Antiqua"/>
          <w:b/>
        </w:rPr>
        <w:t>5</w:t>
      </w:r>
      <w:r w:rsidRPr="00F65D45">
        <w:rPr>
          <w:rFonts w:ascii="Book Antiqua" w:hAnsi="Book Antiqua"/>
        </w:rPr>
        <w:t>: 209-218 [PMID: 25703530 DOI: 10.1016/j.prro.2015.01.004]</w:t>
      </w:r>
    </w:p>
    <w:p w14:paraId="7E3A7A7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23 </w:t>
      </w:r>
      <w:r w:rsidRPr="00F65D45">
        <w:rPr>
          <w:rFonts w:ascii="Book Antiqua" w:hAnsi="Book Antiqua"/>
          <w:b/>
        </w:rPr>
        <w:t>Lasley FD</w:t>
      </w:r>
      <w:r w:rsidRPr="00F65D45">
        <w:rPr>
          <w:rFonts w:ascii="Book Antiqua" w:hAnsi="Book Antiqua"/>
        </w:rPr>
        <w:t xml:space="preserve">, Mannina EM, Johnson CS, Perkins SM, Althouse S, Maluccio M, Kwo P, Cárdenes H. Treatment variables related to liver toxicity in patients with hepatocellular carcinoma, Child-Pugh class A and B enrolled in a phase 1-2 trial of stereotactic body radiation therapy. </w:t>
      </w:r>
      <w:r w:rsidRPr="00F65D45">
        <w:rPr>
          <w:rFonts w:ascii="Book Antiqua" w:hAnsi="Book Antiqua"/>
          <w:i/>
        </w:rPr>
        <w:t>Pract Radiat Oncol</w:t>
      </w:r>
      <w:r w:rsidRPr="00F65D45">
        <w:rPr>
          <w:rFonts w:ascii="Book Antiqua" w:hAnsi="Book Antiqua"/>
        </w:rPr>
        <w:t xml:space="preserve"> 2015; </w:t>
      </w:r>
      <w:r w:rsidRPr="00F65D45">
        <w:rPr>
          <w:rFonts w:ascii="Book Antiqua" w:hAnsi="Book Antiqua"/>
          <w:b/>
        </w:rPr>
        <w:t>5</w:t>
      </w:r>
      <w:r w:rsidRPr="00F65D45">
        <w:rPr>
          <w:rFonts w:ascii="Book Antiqua" w:hAnsi="Book Antiqua"/>
        </w:rPr>
        <w:t>: e443-e449 [PMID: 25899219 DOI: 10.1016/j.prro.2015.02.007]</w:t>
      </w:r>
    </w:p>
    <w:p w14:paraId="2479BDD1"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24 </w:t>
      </w:r>
      <w:r w:rsidRPr="00F65D45">
        <w:rPr>
          <w:rFonts w:ascii="Book Antiqua" w:hAnsi="Book Antiqua"/>
          <w:b/>
        </w:rPr>
        <w:t>Mizumoto M</w:t>
      </w:r>
      <w:r w:rsidRPr="00F65D45">
        <w:rPr>
          <w:rFonts w:ascii="Book Antiqua" w:hAnsi="Book Antiqua"/>
        </w:rPr>
        <w:t xml:space="preserve">, Okumura T, Hashimoto T, Fukuda K, Oshiro Y, Fukumitsu N, Abei M, Kawaguchi A, Hayashi Y, Ohkawa A, Hashii H, Kanemoto A, Moritake T, Tohno E, Tsuboi K, Sakae T, Sakurai H. Evaluation of liver function after proton beam therapy for hepatocellular carcinoma. </w:t>
      </w:r>
      <w:r w:rsidRPr="00F65D45">
        <w:rPr>
          <w:rFonts w:ascii="Book Antiqua" w:hAnsi="Book Antiqua"/>
          <w:i/>
        </w:rPr>
        <w:t>Int J Radiat Oncol Biol Phys</w:t>
      </w:r>
      <w:r w:rsidRPr="00F65D45">
        <w:rPr>
          <w:rFonts w:ascii="Book Antiqua" w:hAnsi="Book Antiqua"/>
        </w:rPr>
        <w:t xml:space="preserve"> 2012; </w:t>
      </w:r>
      <w:r w:rsidRPr="00F65D45">
        <w:rPr>
          <w:rFonts w:ascii="Book Antiqua" w:hAnsi="Book Antiqua"/>
          <w:b/>
        </w:rPr>
        <w:t>82</w:t>
      </w:r>
      <w:r w:rsidRPr="00F65D45">
        <w:rPr>
          <w:rFonts w:ascii="Book Antiqua" w:hAnsi="Book Antiqua"/>
        </w:rPr>
        <w:t>: e529-e535 [PMID: 22284041 DOI: 10.1016/j.ijrobp.2011.05.056]</w:t>
      </w:r>
    </w:p>
    <w:p w14:paraId="6D73BB70"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25 </w:t>
      </w:r>
      <w:r w:rsidRPr="00F65D45">
        <w:rPr>
          <w:rFonts w:ascii="Book Antiqua" w:hAnsi="Book Antiqua"/>
          <w:b/>
        </w:rPr>
        <w:t>Hong TS</w:t>
      </w:r>
      <w:r w:rsidRPr="00F65D45">
        <w:rPr>
          <w:rFonts w:ascii="Book Antiqua" w:hAnsi="Book Antiqua"/>
        </w:rPr>
        <w:t xml:space="preserve">, Wo JY, Yeap BY, Ben-Josef E, McDonnell EI, Blaszkowsky LS, Kwak EL, Allen JN, Clark JW, Goyal L, Murphy JE, Javle MM, Wolfgang JA, Drapek LC, Arellano RS, Mamon HJ, Mullen JT, Yoon SS, Tanabe KK, Ferrone CR, Ryan DP, DeLaney TF, Crane CH, Zhu AX. Multi-Institutional Phase II Study of High-Dose Hypofractionated Proton Beam Therapy in Patients With Localized, Unresectable </w:t>
      </w:r>
      <w:r w:rsidRPr="00F65D45">
        <w:rPr>
          <w:rFonts w:ascii="Book Antiqua" w:hAnsi="Book Antiqua"/>
        </w:rPr>
        <w:lastRenderedPageBreak/>
        <w:t xml:space="preserve">Hepatocellular Carcinoma and Intrahepatic Cholangiocarcinoma. </w:t>
      </w:r>
      <w:r w:rsidRPr="00F65D45">
        <w:rPr>
          <w:rFonts w:ascii="Book Antiqua" w:hAnsi="Book Antiqua"/>
          <w:i/>
        </w:rPr>
        <w:t>J Clin Oncol</w:t>
      </w:r>
      <w:r w:rsidRPr="00F65D45">
        <w:rPr>
          <w:rFonts w:ascii="Book Antiqua" w:hAnsi="Book Antiqua"/>
        </w:rPr>
        <w:t xml:space="preserve"> 2016; </w:t>
      </w:r>
      <w:r w:rsidRPr="00F65D45">
        <w:rPr>
          <w:rFonts w:ascii="Book Antiqua" w:hAnsi="Book Antiqua"/>
          <w:b/>
        </w:rPr>
        <w:t>34</w:t>
      </w:r>
      <w:r w:rsidRPr="00F65D45">
        <w:rPr>
          <w:rFonts w:ascii="Book Antiqua" w:hAnsi="Book Antiqua"/>
        </w:rPr>
        <w:t>: 460-468 [PMID: 26668346 DOI: 10.1200/JCO.2015.64.2710]</w:t>
      </w:r>
    </w:p>
    <w:p w14:paraId="0BEAA097"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26 </w:t>
      </w:r>
      <w:r w:rsidRPr="00F65D45">
        <w:rPr>
          <w:rFonts w:ascii="Book Antiqua" w:hAnsi="Book Antiqua"/>
          <w:b/>
        </w:rPr>
        <w:t>Fukumitsu N</w:t>
      </w:r>
      <w:r w:rsidRPr="00F65D45">
        <w:rPr>
          <w:rFonts w:ascii="Book Antiqua" w:hAnsi="Book Antiqua"/>
        </w:rPr>
        <w:t xml:space="preserve">, Okumura T, Takizawa D, Makishima H, Numajiri H, Murofushi K, Ohnishi K, Mizumoto M, Aihara T, Ishikawa H, Tsuboi K, Sakurai H. Proton beam therapy for metastatic liver tumors. </w:t>
      </w:r>
      <w:r w:rsidRPr="00F65D45">
        <w:rPr>
          <w:rFonts w:ascii="Book Antiqua" w:hAnsi="Book Antiqua"/>
          <w:i/>
        </w:rPr>
        <w:t>Radiother Oncol</w:t>
      </w:r>
      <w:r w:rsidRPr="00F65D45">
        <w:rPr>
          <w:rFonts w:ascii="Book Antiqua" w:hAnsi="Book Antiqua"/>
        </w:rPr>
        <w:t xml:space="preserve"> 2015; </w:t>
      </w:r>
      <w:r w:rsidRPr="00F65D45">
        <w:rPr>
          <w:rFonts w:ascii="Book Antiqua" w:hAnsi="Book Antiqua"/>
          <w:b/>
        </w:rPr>
        <w:t>117</w:t>
      </w:r>
      <w:r w:rsidRPr="00F65D45">
        <w:rPr>
          <w:rFonts w:ascii="Book Antiqua" w:hAnsi="Book Antiqua"/>
        </w:rPr>
        <w:t>: 322-327 [PMID: 26385268 DOI: 10.1016/j.radonc.2015.09.011]</w:t>
      </w:r>
    </w:p>
    <w:p w14:paraId="431F7FB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27 </w:t>
      </w:r>
      <w:r w:rsidRPr="00F65D45">
        <w:rPr>
          <w:rFonts w:ascii="Book Antiqua" w:hAnsi="Book Antiqua"/>
          <w:b/>
        </w:rPr>
        <w:t>Engelsman M</w:t>
      </w:r>
      <w:r w:rsidRPr="00F65D45">
        <w:rPr>
          <w:rFonts w:ascii="Book Antiqua" w:hAnsi="Book Antiqua"/>
        </w:rPr>
        <w:t xml:space="preserve">, Schwarz M, Dong L. Physics controversies in proton therapy. </w:t>
      </w:r>
      <w:r w:rsidRPr="00F65D45">
        <w:rPr>
          <w:rFonts w:ascii="Book Antiqua" w:hAnsi="Book Antiqua"/>
          <w:i/>
        </w:rPr>
        <w:t>Semin Radiat Oncol</w:t>
      </w:r>
      <w:r w:rsidRPr="00F65D45">
        <w:rPr>
          <w:rFonts w:ascii="Book Antiqua" w:hAnsi="Book Antiqua"/>
        </w:rPr>
        <w:t xml:space="preserve"> 2013; </w:t>
      </w:r>
      <w:r w:rsidRPr="00F65D45">
        <w:rPr>
          <w:rFonts w:ascii="Book Antiqua" w:hAnsi="Book Antiqua"/>
          <w:b/>
        </w:rPr>
        <w:t>23</w:t>
      </w:r>
      <w:r w:rsidRPr="00F65D45">
        <w:rPr>
          <w:rFonts w:ascii="Book Antiqua" w:hAnsi="Book Antiqua"/>
        </w:rPr>
        <w:t>: 88-96 [PMID: 23473685 DOI: 10.1016/j.semradonc.2012.11.003]</w:t>
      </w:r>
    </w:p>
    <w:p w14:paraId="2A739EE5" w14:textId="7171AC34" w:rsidR="00F65D45" w:rsidRPr="00F65D45" w:rsidRDefault="00F65D45" w:rsidP="00F65D45">
      <w:pPr>
        <w:spacing w:line="360" w:lineRule="auto"/>
        <w:jc w:val="both"/>
        <w:rPr>
          <w:rFonts w:ascii="Book Antiqua" w:hAnsi="Book Antiqua"/>
        </w:rPr>
      </w:pPr>
      <w:r w:rsidRPr="00F65D45">
        <w:rPr>
          <w:rFonts w:ascii="Book Antiqua" w:hAnsi="Book Antiqua"/>
        </w:rPr>
        <w:t xml:space="preserve">28 </w:t>
      </w:r>
      <w:r w:rsidRPr="00F65D45">
        <w:rPr>
          <w:rFonts w:ascii="Book Antiqua" w:hAnsi="Book Antiqua"/>
          <w:b/>
        </w:rPr>
        <w:t>Dawson LA</w:t>
      </w:r>
      <w:r w:rsidRPr="00F65D45">
        <w:rPr>
          <w:rFonts w:ascii="Book Antiqua" w:hAnsi="Book Antiqua"/>
        </w:rPr>
        <w:t xml:space="preserve">, Normolle D, Balter JM, McGinn CJ, Lawrence TS, Ten Haken RK. Analysis of radiation-induced liver disease using the Lyman NTCP model. </w:t>
      </w:r>
      <w:r w:rsidRPr="00F65D45">
        <w:rPr>
          <w:rFonts w:ascii="Book Antiqua" w:hAnsi="Book Antiqua"/>
          <w:i/>
        </w:rPr>
        <w:t>Int J Radiat Oncol Biol Phys</w:t>
      </w:r>
      <w:r w:rsidRPr="00F65D45">
        <w:rPr>
          <w:rFonts w:ascii="Book Antiqua" w:hAnsi="Book Antiqua"/>
        </w:rPr>
        <w:t xml:space="preserve"> 2002; </w:t>
      </w:r>
      <w:r w:rsidRPr="00F65D45">
        <w:rPr>
          <w:rFonts w:ascii="Book Antiqua" w:hAnsi="Book Antiqua"/>
          <w:b/>
        </w:rPr>
        <w:t>53</w:t>
      </w:r>
      <w:r w:rsidRPr="00F65D45">
        <w:rPr>
          <w:rFonts w:ascii="Book Antiqua" w:hAnsi="Book Antiqua"/>
        </w:rPr>
        <w:t>: 810-821 [PMID: 12095546</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10.1016/S0360-3016(02)02846-8</w:t>
      </w:r>
      <w:r w:rsidRPr="00F65D45">
        <w:rPr>
          <w:rFonts w:ascii="Book Antiqua" w:hAnsi="Book Antiqua"/>
        </w:rPr>
        <w:t>]</w:t>
      </w:r>
    </w:p>
    <w:p w14:paraId="30A383FF"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29 </w:t>
      </w:r>
      <w:r w:rsidRPr="00F65D45">
        <w:rPr>
          <w:rFonts w:ascii="Book Antiqua" w:hAnsi="Book Antiqua"/>
          <w:b/>
        </w:rPr>
        <w:t>Lawrence TS</w:t>
      </w:r>
      <w:r w:rsidRPr="00F65D45">
        <w:rPr>
          <w:rFonts w:ascii="Book Antiqua" w:hAnsi="Book Antiqua"/>
        </w:rPr>
        <w:t xml:space="preserve">, Robertson JM, Anscher MS, Jirtle RL, Ensminger WD, Fajardo LF. Hepatic toxicity resulting from cancer treatment. </w:t>
      </w:r>
      <w:r w:rsidRPr="00F65D45">
        <w:rPr>
          <w:rFonts w:ascii="Book Antiqua" w:hAnsi="Book Antiqua"/>
          <w:i/>
        </w:rPr>
        <w:t>Int J Radiat Oncol Biol Phys</w:t>
      </w:r>
      <w:r w:rsidRPr="00F65D45">
        <w:rPr>
          <w:rFonts w:ascii="Book Antiqua" w:hAnsi="Book Antiqua"/>
        </w:rPr>
        <w:t xml:space="preserve"> 1995; </w:t>
      </w:r>
      <w:r w:rsidRPr="00F65D45">
        <w:rPr>
          <w:rFonts w:ascii="Book Antiqua" w:hAnsi="Book Antiqua"/>
          <w:b/>
        </w:rPr>
        <w:t>31</w:t>
      </w:r>
      <w:r w:rsidRPr="00F65D45">
        <w:rPr>
          <w:rFonts w:ascii="Book Antiqua" w:hAnsi="Book Antiqua"/>
        </w:rPr>
        <w:t>: 1237-1248 [PMID: 7713785 DOI: 10.1016/0360-3016(94)00418-K]</w:t>
      </w:r>
    </w:p>
    <w:p w14:paraId="0C0B8816"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30 </w:t>
      </w:r>
      <w:r w:rsidRPr="00F65D45">
        <w:rPr>
          <w:rFonts w:ascii="Book Antiqua" w:hAnsi="Book Antiqua"/>
          <w:b/>
        </w:rPr>
        <w:t>Mizumoto M</w:t>
      </w:r>
      <w:r w:rsidRPr="00F65D45">
        <w:rPr>
          <w:rFonts w:ascii="Book Antiqua" w:hAnsi="Book Antiqua"/>
        </w:rPr>
        <w:t xml:space="preserve">, Okumura T, Hashimoto T, Fukuda K, Oshiro Y, Fukumitsu N, Abei M, Kawaguchi A, Hayashi Y, Ookawa A, Hashii H, Kanemoto A, Moritake T, Tohno E, Tsuboi K, Sakae T, Sakurai H. Proton beam therapy for hepatocellular carcinoma: a comparison of three treatment protocols. </w:t>
      </w:r>
      <w:r w:rsidRPr="00F65D45">
        <w:rPr>
          <w:rFonts w:ascii="Book Antiqua" w:hAnsi="Book Antiqua"/>
          <w:i/>
        </w:rPr>
        <w:t>Int J Radiat Oncol Biol Phys</w:t>
      </w:r>
      <w:r w:rsidRPr="00F65D45">
        <w:rPr>
          <w:rFonts w:ascii="Book Antiqua" w:hAnsi="Book Antiqua"/>
        </w:rPr>
        <w:t xml:space="preserve"> 2011; </w:t>
      </w:r>
      <w:r w:rsidRPr="00F65D45">
        <w:rPr>
          <w:rFonts w:ascii="Book Antiqua" w:hAnsi="Book Antiqua"/>
          <w:b/>
        </w:rPr>
        <w:t>81</w:t>
      </w:r>
      <w:r w:rsidRPr="00F65D45">
        <w:rPr>
          <w:rFonts w:ascii="Book Antiqua" w:hAnsi="Book Antiqua"/>
        </w:rPr>
        <w:t>: 1039-1045 [PMID: 20888707 DOI: 10.1016/j.ijrobp.2010.07.015]</w:t>
      </w:r>
    </w:p>
    <w:p w14:paraId="31705B2E"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31 </w:t>
      </w:r>
      <w:r w:rsidRPr="00F65D45">
        <w:rPr>
          <w:rFonts w:ascii="Book Antiqua" w:hAnsi="Book Antiqua"/>
          <w:b/>
        </w:rPr>
        <w:t>Alan Mitteer R</w:t>
      </w:r>
      <w:r w:rsidRPr="00F65D45">
        <w:rPr>
          <w:rFonts w:ascii="Book Antiqua" w:hAnsi="Book Antiqua"/>
        </w:rPr>
        <w:t xml:space="preserve">, Wang Y, Shah J, Gordon S, Fager M, Butter PP, Jun Kim H, Guardiola-Salmeron C, Carabe-Fernandez A, Fan Y. Proton beam radiation induces DNA damage and cell apoptosis in glioma stem cells through reactive oxygen species. </w:t>
      </w:r>
      <w:r w:rsidRPr="00F65D45">
        <w:rPr>
          <w:rFonts w:ascii="Book Antiqua" w:hAnsi="Book Antiqua"/>
          <w:i/>
        </w:rPr>
        <w:t>Sci Rep</w:t>
      </w:r>
      <w:r w:rsidRPr="00F65D45">
        <w:rPr>
          <w:rFonts w:ascii="Book Antiqua" w:hAnsi="Book Antiqua"/>
        </w:rPr>
        <w:t xml:space="preserve"> 2015; </w:t>
      </w:r>
      <w:r w:rsidRPr="00F65D45">
        <w:rPr>
          <w:rFonts w:ascii="Book Antiqua" w:hAnsi="Book Antiqua"/>
          <w:b/>
        </w:rPr>
        <w:t>5</w:t>
      </w:r>
      <w:r w:rsidRPr="00F65D45">
        <w:rPr>
          <w:rFonts w:ascii="Book Antiqua" w:hAnsi="Book Antiqua"/>
        </w:rPr>
        <w:t>: 13961 [PMID: 26354413 DOI: 10.1038/srep13961]</w:t>
      </w:r>
    </w:p>
    <w:p w14:paraId="3E66CD7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32 </w:t>
      </w:r>
      <w:r w:rsidRPr="00F65D45">
        <w:rPr>
          <w:rFonts w:ascii="Book Antiqua" w:hAnsi="Book Antiqua"/>
          <w:b/>
        </w:rPr>
        <w:t>Durante M</w:t>
      </w:r>
      <w:r w:rsidRPr="00F65D45">
        <w:rPr>
          <w:rFonts w:ascii="Book Antiqua" w:hAnsi="Book Antiqua"/>
        </w:rPr>
        <w:t xml:space="preserve">, Loeffler JS. Charged particles in radiation oncology. </w:t>
      </w:r>
      <w:r w:rsidRPr="00F65D45">
        <w:rPr>
          <w:rFonts w:ascii="Book Antiqua" w:hAnsi="Book Antiqua"/>
          <w:i/>
        </w:rPr>
        <w:t>Nat Rev Clin Oncol</w:t>
      </w:r>
      <w:r w:rsidRPr="00F65D45">
        <w:rPr>
          <w:rFonts w:ascii="Book Antiqua" w:hAnsi="Book Antiqua"/>
        </w:rPr>
        <w:t xml:space="preserve"> 2010; </w:t>
      </w:r>
      <w:r w:rsidRPr="00F65D45">
        <w:rPr>
          <w:rFonts w:ascii="Book Antiqua" w:hAnsi="Book Antiqua"/>
          <w:b/>
        </w:rPr>
        <w:t>7</w:t>
      </w:r>
      <w:r w:rsidRPr="00F65D45">
        <w:rPr>
          <w:rFonts w:ascii="Book Antiqua" w:hAnsi="Book Antiqua"/>
        </w:rPr>
        <w:t>: 37-43 [PMID: 19949433 DOI: 10.1038/nrclinonc.2009.183]</w:t>
      </w:r>
    </w:p>
    <w:p w14:paraId="08E58C07"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33 </w:t>
      </w:r>
      <w:r w:rsidRPr="00F65D45">
        <w:rPr>
          <w:rFonts w:ascii="Book Antiqua" w:hAnsi="Book Antiqua"/>
          <w:b/>
        </w:rPr>
        <w:t>Paganetti H</w:t>
      </w:r>
      <w:r w:rsidRPr="00F65D45">
        <w:rPr>
          <w:rFonts w:ascii="Book Antiqua" w:hAnsi="Book Antiqua"/>
        </w:rPr>
        <w:t xml:space="preserve">. Relating proton treatments to photon treatments via the relative biological effectiveness-should we revise current clinical practice? </w:t>
      </w:r>
      <w:r w:rsidRPr="00F65D45">
        <w:rPr>
          <w:rFonts w:ascii="Book Antiqua" w:hAnsi="Book Antiqua"/>
          <w:i/>
        </w:rPr>
        <w:t>Int J Radiat Oncol Biol Phys</w:t>
      </w:r>
      <w:r w:rsidRPr="00F65D45">
        <w:rPr>
          <w:rFonts w:ascii="Book Antiqua" w:hAnsi="Book Antiqua"/>
        </w:rPr>
        <w:t xml:space="preserve"> 2015; </w:t>
      </w:r>
      <w:r w:rsidRPr="00F65D45">
        <w:rPr>
          <w:rFonts w:ascii="Book Antiqua" w:hAnsi="Book Antiqua"/>
          <w:b/>
        </w:rPr>
        <w:t>91</w:t>
      </w:r>
      <w:r w:rsidRPr="00F65D45">
        <w:rPr>
          <w:rFonts w:ascii="Book Antiqua" w:hAnsi="Book Antiqua"/>
        </w:rPr>
        <w:t>: 892-894 [PMID: 25832682 DOI: 10.1016/j.ijrobp.2014.11.021]</w:t>
      </w:r>
    </w:p>
    <w:p w14:paraId="69399FB0"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34 </w:t>
      </w:r>
      <w:r w:rsidRPr="00F65D45">
        <w:rPr>
          <w:rFonts w:ascii="Book Antiqua" w:hAnsi="Book Antiqua"/>
          <w:b/>
        </w:rPr>
        <w:t>Matsumoto Y</w:t>
      </w:r>
      <w:r w:rsidRPr="00F65D45">
        <w:rPr>
          <w:rFonts w:ascii="Book Antiqua" w:hAnsi="Book Antiqua"/>
        </w:rPr>
        <w:t xml:space="preserve">, Matsuura T, Wada M, Egashira Y, Nishio T, Furusawa Y. Enhanced radiobiological effects at the distal end of a clinical proton beam: in vitro study. </w:t>
      </w:r>
      <w:r w:rsidRPr="00F65D45">
        <w:rPr>
          <w:rFonts w:ascii="Book Antiqua" w:hAnsi="Book Antiqua"/>
          <w:i/>
        </w:rPr>
        <w:t>J Radiat Res</w:t>
      </w:r>
      <w:r w:rsidRPr="00F65D45">
        <w:rPr>
          <w:rFonts w:ascii="Book Antiqua" w:hAnsi="Book Antiqua"/>
        </w:rPr>
        <w:t xml:space="preserve"> 2014; </w:t>
      </w:r>
      <w:r w:rsidRPr="00F65D45">
        <w:rPr>
          <w:rFonts w:ascii="Book Antiqua" w:hAnsi="Book Antiqua"/>
          <w:b/>
        </w:rPr>
        <w:t>55</w:t>
      </w:r>
      <w:r w:rsidRPr="00F65D45">
        <w:rPr>
          <w:rFonts w:ascii="Book Antiqua" w:hAnsi="Book Antiqua"/>
        </w:rPr>
        <w:t>: 816-822 [PMID: 24824674 DOI: 10.1093/jrr/rrt230]</w:t>
      </w:r>
    </w:p>
    <w:p w14:paraId="62B01726"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35 </w:t>
      </w:r>
      <w:r w:rsidRPr="00F65D45">
        <w:rPr>
          <w:rFonts w:ascii="Book Antiqua" w:hAnsi="Book Antiqua"/>
          <w:b/>
        </w:rPr>
        <w:t>Paganetti H</w:t>
      </w:r>
      <w:r w:rsidRPr="00F65D45">
        <w:rPr>
          <w:rFonts w:ascii="Book Antiqua" w:hAnsi="Book Antiqua"/>
        </w:rPr>
        <w:t xml:space="preserve">. Relative biological effectiveness (RBE) values for proton beam therapy. Variations as a function of biological endpoint, dose, and linear energy transfer. </w:t>
      </w:r>
      <w:r w:rsidRPr="00F65D45">
        <w:rPr>
          <w:rFonts w:ascii="Book Antiqua" w:hAnsi="Book Antiqua"/>
          <w:i/>
        </w:rPr>
        <w:t>Phys Med Biol</w:t>
      </w:r>
      <w:r w:rsidRPr="00F65D45">
        <w:rPr>
          <w:rFonts w:ascii="Book Antiqua" w:hAnsi="Book Antiqua"/>
        </w:rPr>
        <w:t xml:space="preserve"> 2014; </w:t>
      </w:r>
      <w:r w:rsidRPr="00F65D45">
        <w:rPr>
          <w:rFonts w:ascii="Book Antiqua" w:hAnsi="Book Antiqua"/>
          <w:b/>
        </w:rPr>
        <w:t>59</w:t>
      </w:r>
      <w:r w:rsidRPr="00F65D45">
        <w:rPr>
          <w:rFonts w:ascii="Book Antiqua" w:hAnsi="Book Antiqua"/>
        </w:rPr>
        <w:t>: R419-R472 [PMID: 25361443 DOI: 10.1088/0031-9155/59/22/R419]</w:t>
      </w:r>
    </w:p>
    <w:p w14:paraId="18750272" w14:textId="3B1EFB67" w:rsidR="00F65D45" w:rsidRPr="00F65D45" w:rsidRDefault="00F65D45" w:rsidP="00F65D45">
      <w:pPr>
        <w:spacing w:line="360" w:lineRule="auto"/>
        <w:jc w:val="both"/>
        <w:rPr>
          <w:rFonts w:ascii="Book Antiqua" w:hAnsi="Book Antiqua"/>
        </w:rPr>
      </w:pPr>
      <w:r w:rsidRPr="00F65D45">
        <w:rPr>
          <w:rFonts w:ascii="Book Antiqua" w:hAnsi="Book Antiqua"/>
        </w:rPr>
        <w:t xml:space="preserve">36 </w:t>
      </w:r>
      <w:r w:rsidRPr="00F65D45">
        <w:rPr>
          <w:rFonts w:ascii="Book Antiqua" w:hAnsi="Book Antiqua"/>
          <w:b/>
        </w:rPr>
        <w:t>Wouters BG</w:t>
      </w:r>
      <w:r w:rsidRPr="00F65D45">
        <w:rPr>
          <w:rFonts w:ascii="Book Antiqua" w:hAnsi="Book Antiqua"/>
        </w:rPr>
        <w:t xml:space="preserve">, Lam GK, Oelfke U, Gardey K, Durand RE, Skarsgard LD. Measurements of relative biological effectiveness of the 70 MeV proton beam at TRIUMF using Chinese hamster V79 cells and the high-precision cell sorter assay. </w:t>
      </w:r>
      <w:r w:rsidRPr="00F65D45">
        <w:rPr>
          <w:rFonts w:ascii="Book Antiqua" w:hAnsi="Book Antiqua"/>
          <w:i/>
        </w:rPr>
        <w:t>Radiat Res</w:t>
      </w:r>
      <w:r w:rsidRPr="00F65D45">
        <w:rPr>
          <w:rFonts w:ascii="Book Antiqua" w:hAnsi="Book Antiqua"/>
        </w:rPr>
        <w:t xml:space="preserve"> 1996; </w:t>
      </w:r>
      <w:r w:rsidRPr="00F65D45">
        <w:rPr>
          <w:rFonts w:ascii="Book Antiqua" w:hAnsi="Book Antiqua"/>
          <w:b/>
        </w:rPr>
        <w:t>146</w:t>
      </w:r>
      <w:r w:rsidRPr="00F65D45">
        <w:rPr>
          <w:rFonts w:ascii="Book Antiqua" w:hAnsi="Book Antiqua"/>
        </w:rPr>
        <w:t>: 159-170 [PMID: 8693066</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10.2307/3579588</w:t>
      </w:r>
      <w:r w:rsidRPr="00F65D45">
        <w:rPr>
          <w:rFonts w:ascii="Book Antiqua" w:hAnsi="Book Antiqua"/>
        </w:rPr>
        <w:t>]</w:t>
      </w:r>
    </w:p>
    <w:p w14:paraId="5BEB89A2"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37 </w:t>
      </w:r>
      <w:r w:rsidRPr="00F65D45">
        <w:rPr>
          <w:rFonts w:ascii="Book Antiqua" w:hAnsi="Book Antiqua"/>
          <w:b/>
        </w:rPr>
        <w:t>Carabe A</w:t>
      </w:r>
      <w:r w:rsidRPr="00F65D45">
        <w:rPr>
          <w:rFonts w:ascii="Book Antiqua" w:hAnsi="Book Antiqua"/>
        </w:rPr>
        <w:t xml:space="preserve">, Moteabbed M, Depauw N, Schuemann J, Paganetti H. Range uncertainty in proton therapy due to variable biological effectiveness. </w:t>
      </w:r>
      <w:r w:rsidRPr="00F65D45">
        <w:rPr>
          <w:rFonts w:ascii="Book Antiqua" w:hAnsi="Book Antiqua"/>
          <w:i/>
        </w:rPr>
        <w:t>Phys Med Biol</w:t>
      </w:r>
      <w:r w:rsidRPr="00F65D45">
        <w:rPr>
          <w:rFonts w:ascii="Book Antiqua" w:hAnsi="Book Antiqua"/>
        </w:rPr>
        <w:t xml:space="preserve"> 2012; </w:t>
      </w:r>
      <w:r w:rsidRPr="00F65D45">
        <w:rPr>
          <w:rFonts w:ascii="Book Antiqua" w:hAnsi="Book Antiqua"/>
          <w:b/>
        </w:rPr>
        <w:t>57</w:t>
      </w:r>
      <w:r w:rsidRPr="00F65D45">
        <w:rPr>
          <w:rFonts w:ascii="Book Antiqua" w:hAnsi="Book Antiqua"/>
        </w:rPr>
        <w:t>: 1159-1172 [PMID: 22330133 DOI: 10.1088/0031-9155/57/5/1159]</w:t>
      </w:r>
    </w:p>
    <w:p w14:paraId="760BEADC" w14:textId="014A350A" w:rsidR="00F65D45" w:rsidRPr="00F65D45" w:rsidRDefault="00F65D45" w:rsidP="00F65D45">
      <w:pPr>
        <w:spacing w:line="360" w:lineRule="auto"/>
        <w:jc w:val="both"/>
        <w:rPr>
          <w:rFonts w:ascii="Book Antiqua" w:hAnsi="Book Antiqua"/>
        </w:rPr>
      </w:pPr>
      <w:r w:rsidRPr="00F65D45">
        <w:rPr>
          <w:rFonts w:ascii="Book Antiqua" w:hAnsi="Book Antiqua"/>
        </w:rPr>
        <w:t xml:space="preserve">38 </w:t>
      </w:r>
      <w:r w:rsidRPr="00F65D45">
        <w:rPr>
          <w:rFonts w:ascii="Book Antiqua" w:hAnsi="Book Antiqua"/>
          <w:b/>
        </w:rPr>
        <w:t>Paganetti H</w:t>
      </w:r>
      <w:r w:rsidRPr="00F65D45">
        <w:rPr>
          <w:rFonts w:ascii="Book Antiqua" w:hAnsi="Book Antiqua"/>
        </w:rPr>
        <w:t xml:space="preserve">, Niemierko A, Ancukiewicz M, Gerweck LE, Goitein M, Loeffler JS, Suit HD. Relative biological effectiveness (RBE) values for proton beam therapy. </w:t>
      </w:r>
      <w:r w:rsidRPr="00F65D45">
        <w:rPr>
          <w:rFonts w:ascii="Book Antiqua" w:hAnsi="Book Antiqua"/>
          <w:i/>
        </w:rPr>
        <w:t>Int J Radiat Oncol Biol Phys</w:t>
      </w:r>
      <w:r w:rsidRPr="00F65D45">
        <w:rPr>
          <w:rFonts w:ascii="Book Antiqua" w:hAnsi="Book Antiqua"/>
        </w:rPr>
        <w:t xml:space="preserve"> 2002; </w:t>
      </w:r>
      <w:r w:rsidRPr="00F65D45">
        <w:rPr>
          <w:rFonts w:ascii="Book Antiqua" w:hAnsi="Book Antiqua"/>
          <w:b/>
        </w:rPr>
        <w:t>53</w:t>
      </w:r>
      <w:r w:rsidRPr="00F65D45">
        <w:rPr>
          <w:rFonts w:ascii="Book Antiqua" w:hAnsi="Book Antiqua"/>
        </w:rPr>
        <w:t>: 407-421 [PMID: 12023146</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10.1016/S0360-3016(02)02754-2</w:t>
      </w:r>
      <w:r w:rsidRPr="00F65D45">
        <w:rPr>
          <w:rFonts w:ascii="Book Antiqua" w:hAnsi="Book Antiqua"/>
        </w:rPr>
        <w:t>]</w:t>
      </w:r>
    </w:p>
    <w:p w14:paraId="423DE00D"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39 </w:t>
      </w:r>
      <w:r w:rsidRPr="00F65D45">
        <w:rPr>
          <w:rFonts w:ascii="Book Antiqua" w:hAnsi="Book Antiqua"/>
          <w:b/>
        </w:rPr>
        <w:t>Mizumoto M</w:t>
      </w:r>
      <w:r w:rsidRPr="00F65D45">
        <w:rPr>
          <w:rFonts w:ascii="Book Antiqua" w:hAnsi="Book Antiqua"/>
        </w:rPr>
        <w:t xml:space="preserve">, Tokuuye K, Sugahara S, Nakayama H, Fukumitsu N, Ohara K, Abei M, Shoda J, Tohno E, Minami M. Proton beam therapy for hepatocellular carcinoma adjacent to the porta hepatis. </w:t>
      </w:r>
      <w:r w:rsidRPr="00F65D45">
        <w:rPr>
          <w:rFonts w:ascii="Book Antiqua" w:hAnsi="Book Antiqua"/>
          <w:i/>
        </w:rPr>
        <w:t>Int J Radiat Oncol Biol Phys</w:t>
      </w:r>
      <w:r w:rsidRPr="00F65D45">
        <w:rPr>
          <w:rFonts w:ascii="Book Antiqua" w:hAnsi="Book Antiqua"/>
        </w:rPr>
        <w:t xml:space="preserve"> 2008; </w:t>
      </w:r>
      <w:r w:rsidRPr="00F65D45">
        <w:rPr>
          <w:rFonts w:ascii="Book Antiqua" w:hAnsi="Book Antiqua"/>
          <w:b/>
        </w:rPr>
        <w:t>71</w:t>
      </w:r>
      <w:r w:rsidRPr="00F65D45">
        <w:rPr>
          <w:rFonts w:ascii="Book Antiqua" w:hAnsi="Book Antiqua"/>
        </w:rPr>
        <w:t>: 462-467 [PMID: 18243571 DOI: 10.1016/j.ijrobp.2007.09.056]</w:t>
      </w:r>
    </w:p>
    <w:p w14:paraId="5AC91C60"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40 </w:t>
      </w:r>
      <w:r w:rsidRPr="00F65D45">
        <w:rPr>
          <w:rFonts w:ascii="Book Antiqua" w:hAnsi="Book Antiqua"/>
          <w:b/>
        </w:rPr>
        <w:t>Fukumitsu N</w:t>
      </w:r>
      <w:r w:rsidRPr="00F65D45">
        <w:rPr>
          <w:rFonts w:ascii="Book Antiqua" w:hAnsi="Book Antiqua"/>
        </w:rPr>
        <w:t xml:space="preserve">, Sugahara S, Nakayama H, Fukuda K, Mizumoto M, Abei M, Shoda J, Thono E, Tsuboi K, Tokuuye K. A prospective study of hypofractionated proton beam therapy for patients with hepatocellular carcinoma. </w:t>
      </w:r>
      <w:r w:rsidRPr="00F65D45">
        <w:rPr>
          <w:rFonts w:ascii="Book Antiqua" w:hAnsi="Book Antiqua"/>
          <w:i/>
        </w:rPr>
        <w:t>Int J Radiat Oncol Biol Phys</w:t>
      </w:r>
      <w:r w:rsidRPr="00F65D45">
        <w:rPr>
          <w:rFonts w:ascii="Book Antiqua" w:hAnsi="Book Antiqua"/>
        </w:rPr>
        <w:t xml:space="preserve"> 2009; </w:t>
      </w:r>
      <w:r w:rsidRPr="00F65D45">
        <w:rPr>
          <w:rFonts w:ascii="Book Antiqua" w:hAnsi="Book Antiqua"/>
          <w:b/>
        </w:rPr>
        <w:t>74</w:t>
      </w:r>
      <w:r w:rsidRPr="00F65D45">
        <w:rPr>
          <w:rFonts w:ascii="Book Antiqua" w:hAnsi="Book Antiqua"/>
        </w:rPr>
        <w:t>: 831-836 [PMID: 19304408 DOI: 10.1016/j.ijrobp.2008.10.073]</w:t>
      </w:r>
    </w:p>
    <w:p w14:paraId="70527DE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41 </w:t>
      </w:r>
      <w:r w:rsidRPr="00F65D45">
        <w:rPr>
          <w:rFonts w:ascii="Book Antiqua" w:hAnsi="Book Antiqua"/>
          <w:b/>
        </w:rPr>
        <w:t>Nakayama H</w:t>
      </w:r>
      <w:r w:rsidRPr="00F65D45">
        <w:rPr>
          <w:rFonts w:ascii="Book Antiqua" w:hAnsi="Book Antiqua"/>
        </w:rPr>
        <w:t xml:space="preserve">, Sugahara S, Tokita M, Fukuda K, Mizumoto M, Abei M, Shoda J, Sakurai H, Tsuboi K, Tokuuye K. Proton beam therapy for hepatocellular carcinoma: the University of Tsukuba experience. </w:t>
      </w:r>
      <w:r w:rsidRPr="00F65D45">
        <w:rPr>
          <w:rFonts w:ascii="Book Antiqua" w:hAnsi="Book Antiqua"/>
          <w:i/>
        </w:rPr>
        <w:t>Cancer</w:t>
      </w:r>
      <w:r w:rsidRPr="00F65D45">
        <w:rPr>
          <w:rFonts w:ascii="Book Antiqua" w:hAnsi="Book Antiqua"/>
        </w:rPr>
        <w:t xml:space="preserve"> 2009; </w:t>
      </w:r>
      <w:r w:rsidRPr="00F65D45">
        <w:rPr>
          <w:rFonts w:ascii="Book Antiqua" w:hAnsi="Book Antiqua"/>
          <w:b/>
        </w:rPr>
        <w:t>115</w:t>
      </w:r>
      <w:r w:rsidRPr="00F65D45">
        <w:rPr>
          <w:rFonts w:ascii="Book Antiqua" w:hAnsi="Book Antiqua"/>
        </w:rPr>
        <w:t>: 5499-5506 [PMID: 19645024 DOI: 10.1002/cncr.24619]</w:t>
      </w:r>
    </w:p>
    <w:p w14:paraId="27B5818E"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42 </w:t>
      </w:r>
      <w:r w:rsidRPr="00F65D45">
        <w:rPr>
          <w:rFonts w:ascii="Book Antiqua" w:hAnsi="Book Antiqua"/>
          <w:b/>
        </w:rPr>
        <w:t>Nakayama H</w:t>
      </w:r>
      <w:r w:rsidRPr="00F65D45">
        <w:rPr>
          <w:rFonts w:ascii="Book Antiqua" w:hAnsi="Book Antiqua"/>
        </w:rPr>
        <w:t xml:space="preserve">, Sugahara S, Fukuda K, Abei M, Shoda J, Sakurai H, Tsuboi K, Matsuzaki Y, Tokuuye K. Proton beam therapy for hepatocellular carcinoma located adjacent to the alimentary tract. </w:t>
      </w:r>
      <w:r w:rsidRPr="00F65D45">
        <w:rPr>
          <w:rFonts w:ascii="Book Antiqua" w:hAnsi="Book Antiqua"/>
          <w:i/>
        </w:rPr>
        <w:t>Int J Radiat Oncol Biol Phys</w:t>
      </w:r>
      <w:r w:rsidRPr="00F65D45">
        <w:rPr>
          <w:rFonts w:ascii="Book Antiqua" w:hAnsi="Book Antiqua"/>
        </w:rPr>
        <w:t xml:space="preserve"> 2011; </w:t>
      </w:r>
      <w:r w:rsidRPr="00F65D45">
        <w:rPr>
          <w:rFonts w:ascii="Book Antiqua" w:hAnsi="Book Antiqua"/>
          <w:b/>
        </w:rPr>
        <w:t>80</w:t>
      </w:r>
      <w:r w:rsidRPr="00F65D45">
        <w:rPr>
          <w:rFonts w:ascii="Book Antiqua" w:hAnsi="Book Antiqua"/>
        </w:rPr>
        <w:t>: 992-995 [PMID: 21543162 DOI: 10.1016/j.ijrobp.2010.03.015]</w:t>
      </w:r>
    </w:p>
    <w:p w14:paraId="7937EEB0"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43 </w:t>
      </w:r>
      <w:r w:rsidRPr="00F65D45">
        <w:rPr>
          <w:rFonts w:ascii="Book Antiqua" w:hAnsi="Book Antiqua"/>
          <w:b/>
        </w:rPr>
        <w:t>Bush DA</w:t>
      </w:r>
      <w:r w:rsidRPr="00F65D45">
        <w:rPr>
          <w:rFonts w:ascii="Book Antiqua" w:hAnsi="Book Antiqua"/>
        </w:rPr>
        <w:t xml:space="preserve">, Kayali Z, Grove R, Slater JD. The safety and efficacy of high-dose proton beam radiotherapy for hepatocellular carcinoma: a phase 2 prospective trial. </w:t>
      </w:r>
      <w:r w:rsidRPr="00F65D45">
        <w:rPr>
          <w:rFonts w:ascii="Book Antiqua" w:hAnsi="Book Antiqua"/>
          <w:i/>
        </w:rPr>
        <w:t>Cancer</w:t>
      </w:r>
      <w:r w:rsidRPr="00F65D45">
        <w:rPr>
          <w:rFonts w:ascii="Book Antiqua" w:hAnsi="Book Antiqua"/>
        </w:rPr>
        <w:t xml:space="preserve"> 2011; </w:t>
      </w:r>
      <w:r w:rsidRPr="00F65D45">
        <w:rPr>
          <w:rFonts w:ascii="Book Antiqua" w:hAnsi="Book Antiqua"/>
          <w:b/>
        </w:rPr>
        <w:t>117</w:t>
      </w:r>
      <w:r w:rsidRPr="00F65D45">
        <w:rPr>
          <w:rFonts w:ascii="Book Antiqua" w:hAnsi="Book Antiqua"/>
        </w:rPr>
        <w:t>: 3053-3059 [PMID: 21264826 DOI: 10.1002/cncr.25809]</w:t>
      </w:r>
    </w:p>
    <w:p w14:paraId="71CCC86D"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44 </w:t>
      </w:r>
      <w:r w:rsidRPr="00F65D45">
        <w:rPr>
          <w:rFonts w:ascii="Book Antiqua" w:hAnsi="Book Antiqua"/>
          <w:b/>
        </w:rPr>
        <w:t>Bush DA</w:t>
      </w:r>
      <w:r w:rsidRPr="00F65D45">
        <w:rPr>
          <w:rFonts w:ascii="Book Antiqua" w:hAnsi="Book Antiqua"/>
        </w:rPr>
        <w:t xml:space="preserve">, Smith JC, Slater JD, Volk ML, Reeves ME, Cheng J, Grove R, de Vera ME. Randomized Clinical Trial Comparing Proton Beam Radiation Therapy with Transarterial Chemoembolization for Hepatocellular Carcinoma: Results of an Interim Analysis. </w:t>
      </w:r>
      <w:r w:rsidRPr="00F65D45">
        <w:rPr>
          <w:rFonts w:ascii="Book Antiqua" w:hAnsi="Book Antiqua"/>
          <w:i/>
        </w:rPr>
        <w:t>Int J Radiat Oncol Biol Phys</w:t>
      </w:r>
      <w:r w:rsidRPr="00F65D45">
        <w:rPr>
          <w:rFonts w:ascii="Book Antiqua" w:hAnsi="Book Antiqua"/>
        </w:rPr>
        <w:t xml:space="preserve"> 2016; </w:t>
      </w:r>
      <w:r w:rsidRPr="00F65D45">
        <w:rPr>
          <w:rFonts w:ascii="Book Antiqua" w:hAnsi="Book Antiqua"/>
          <w:b/>
        </w:rPr>
        <w:t>95</w:t>
      </w:r>
      <w:r w:rsidRPr="00F65D45">
        <w:rPr>
          <w:rFonts w:ascii="Book Antiqua" w:hAnsi="Book Antiqua"/>
        </w:rPr>
        <w:t>: 477-482 [PMID: 27084661 DOI: 10.1016/j.ijrobp.2016.02.027]</w:t>
      </w:r>
    </w:p>
    <w:p w14:paraId="5831EC6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45 </w:t>
      </w:r>
      <w:r w:rsidRPr="00F65D45">
        <w:rPr>
          <w:rFonts w:ascii="Book Antiqua" w:hAnsi="Book Antiqua"/>
          <w:b/>
        </w:rPr>
        <w:t>Kim TH</w:t>
      </w:r>
      <w:r w:rsidRPr="00F65D45">
        <w:rPr>
          <w:rFonts w:ascii="Book Antiqua" w:hAnsi="Book Antiqua"/>
        </w:rPr>
        <w:t xml:space="preserve">, Park JW, Kim YJ, Kim BH, Woo SM, Moon SH, Kim SS, Koh YH, Lee WJ, Park SJ, Kim JY, Kim DY, Kim CM. Phase I dose-escalation study of proton beam therapy for inoperable hepatocellular carcinoma. </w:t>
      </w:r>
      <w:r w:rsidRPr="00F65D45">
        <w:rPr>
          <w:rFonts w:ascii="Book Antiqua" w:hAnsi="Book Antiqua"/>
          <w:i/>
        </w:rPr>
        <w:t>Cancer Res Treat</w:t>
      </w:r>
      <w:r w:rsidRPr="00F65D45">
        <w:rPr>
          <w:rFonts w:ascii="Book Antiqua" w:hAnsi="Book Antiqua"/>
        </w:rPr>
        <w:t xml:space="preserve"> 2015; </w:t>
      </w:r>
      <w:r w:rsidRPr="00F65D45">
        <w:rPr>
          <w:rFonts w:ascii="Book Antiqua" w:hAnsi="Book Antiqua"/>
          <w:b/>
        </w:rPr>
        <w:t>47</w:t>
      </w:r>
      <w:r w:rsidRPr="00F65D45">
        <w:rPr>
          <w:rFonts w:ascii="Book Antiqua" w:hAnsi="Book Antiqua"/>
        </w:rPr>
        <w:t>: 34-45 [PMID: 25381830 DOI: 10.4143/crt.2013.218]</w:t>
      </w:r>
    </w:p>
    <w:p w14:paraId="0E47913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46 </w:t>
      </w:r>
      <w:r w:rsidRPr="00F65D45">
        <w:rPr>
          <w:rFonts w:ascii="Book Antiqua" w:hAnsi="Book Antiqua"/>
          <w:b/>
        </w:rPr>
        <w:t>Bae SH</w:t>
      </w:r>
      <w:r w:rsidRPr="00F65D45">
        <w:rPr>
          <w:rFonts w:ascii="Book Antiqua" w:hAnsi="Book Antiqua"/>
        </w:rPr>
        <w:t xml:space="preserve">, Park HC, Lim DH, Lee JA, Gwak GY, Choi MS, Lee JH, Koh KC, Paik SW, Yoo BC. Salvage treatment with hypofractionated radiotherapy in patients with recurrent small hepatocellular carcinoma. </w:t>
      </w:r>
      <w:r w:rsidRPr="00F65D45">
        <w:rPr>
          <w:rFonts w:ascii="Book Antiqua" w:hAnsi="Book Antiqua"/>
          <w:i/>
        </w:rPr>
        <w:t>Int J Radiat Oncol Biol Phys</w:t>
      </w:r>
      <w:r w:rsidRPr="00F65D45">
        <w:rPr>
          <w:rFonts w:ascii="Book Antiqua" w:hAnsi="Book Antiqua"/>
        </w:rPr>
        <w:t xml:space="preserve"> 2012; </w:t>
      </w:r>
      <w:r w:rsidRPr="00F65D45">
        <w:rPr>
          <w:rFonts w:ascii="Book Antiqua" w:hAnsi="Book Antiqua"/>
          <w:b/>
        </w:rPr>
        <w:t>82</w:t>
      </w:r>
      <w:r w:rsidRPr="00F65D45">
        <w:rPr>
          <w:rFonts w:ascii="Book Antiqua" w:hAnsi="Book Antiqua"/>
        </w:rPr>
        <w:t>: e603-e607 [PMID: 22208963 DOI: 10.1016/j.ijrobp.2011.09.053]</w:t>
      </w:r>
    </w:p>
    <w:p w14:paraId="6A9B1511"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47 </w:t>
      </w:r>
      <w:r w:rsidRPr="00F65D45">
        <w:rPr>
          <w:rFonts w:ascii="Book Antiqua" w:hAnsi="Book Antiqua"/>
          <w:b/>
        </w:rPr>
        <w:t>Park JH</w:t>
      </w:r>
      <w:r w:rsidRPr="00F65D45">
        <w:rPr>
          <w:rFonts w:ascii="Book Antiqua" w:hAnsi="Book Antiqua"/>
        </w:rPr>
        <w:t xml:space="preserve">, Yoon SM, Lim YS, Kim SY, Shim JH, Kim KM, Lee HC, Cho B, Park G, Kim JH. Two-week schedule of hypofractionated radiotherapy as a local salvage treatment for small hepatocellular carcinoma. </w:t>
      </w:r>
      <w:r w:rsidRPr="00F65D45">
        <w:rPr>
          <w:rFonts w:ascii="Book Antiqua" w:hAnsi="Book Antiqua"/>
          <w:i/>
        </w:rPr>
        <w:t>J Gastroenterol Hepatol</w:t>
      </w:r>
      <w:r w:rsidRPr="00F65D45">
        <w:rPr>
          <w:rFonts w:ascii="Book Antiqua" w:hAnsi="Book Antiqua"/>
        </w:rPr>
        <w:t xml:space="preserve"> 2013; </w:t>
      </w:r>
      <w:r w:rsidRPr="00F65D45">
        <w:rPr>
          <w:rFonts w:ascii="Book Antiqua" w:hAnsi="Book Antiqua"/>
          <w:b/>
        </w:rPr>
        <w:t>28</w:t>
      </w:r>
      <w:r w:rsidRPr="00F65D45">
        <w:rPr>
          <w:rFonts w:ascii="Book Antiqua" w:hAnsi="Book Antiqua"/>
        </w:rPr>
        <w:t>: 1638-1642 [PMID: 23621519 DOI: 10.1111/jgh.12249]</w:t>
      </w:r>
    </w:p>
    <w:p w14:paraId="5A841374"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48 </w:t>
      </w:r>
      <w:r w:rsidRPr="00F65D45">
        <w:rPr>
          <w:rFonts w:ascii="Book Antiqua" w:hAnsi="Book Antiqua"/>
          <w:b/>
        </w:rPr>
        <w:t>Lim DH</w:t>
      </w:r>
      <w:r w:rsidRPr="00F65D45">
        <w:rPr>
          <w:rFonts w:ascii="Book Antiqua" w:hAnsi="Book Antiqua"/>
        </w:rPr>
        <w:t xml:space="preserve">, Lee H, Park HC, Lee JA, Kim SW, Yoo BC, Koh KC, Lee JH, Choi MS, Gwak GY, Paik SW. The efficacy of high-dose 3-dimensional conformal radiation therapy in patients with small hepatocellular carcinoma not eligible for other local modalities. </w:t>
      </w:r>
      <w:r w:rsidRPr="00F65D45">
        <w:rPr>
          <w:rFonts w:ascii="Book Antiqua" w:hAnsi="Book Antiqua"/>
          <w:i/>
        </w:rPr>
        <w:t>Am J Clin Oncol</w:t>
      </w:r>
      <w:r w:rsidRPr="00F65D45">
        <w:rPr>
          <w:rFonts w:ascii="Book Antiqua" w:hAnsi="Book Antiqua"/>
        </w:rPr>
        <w:t xml:space="preserve"> 2013; </w:t>
      </w:r>
      <w:r w:rsidRPr="00F65D45">
        <w:rPr>
          <w:rFonts w:ascii="Book Antiqua" w:hAnsi="Book Antiqua"/>
          <w:b/>
        </w:rPr>
        <w:t>36</w:t>
      </w:r>
      <w:r w:rsidRPr="00F65D45">
        <w:rPr>
          <w:rFonts w:ascii="Book Antiqua" w:hAnsi="Book Antiqua"/>
        </w:rPr>
        <w:t>: 162-166 [PMID: 22391433 DOI: 10.1097/COC.0b013e3182438dae]</w:t>
      </w:r>
    </w:p>
    <w:p w14:paraId="17EB20A9"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49 </w:t>
      </w:r>
      <w:r w:rsidRPr="00F65D45">
        <w:rPr>
          <w:rFonts w:ascii="Book Antiqua" w:hAnsi="Book Antiqua"/>
          <w:b/>
        </w:rPr>
        <w:t>Abusaris H</w:t>
      </w:r>
      <w:r w:rsidRPr="00F65D45">
        <w:rPr>
          <w:rFonts w:ascii="Book Antiqua" w:hAnsi="Book Antiqua"/>
        </w:rPr>
        <w:t xml:space="preserve">, Hoogeman M, Nuyttens JJ. Re-irradiation: outcome, cumulative dose and toxicity in patients retreated with stereotactic radiotherapy in the abdominal or pelvic region. </w:t>
      </w:r>
      <w:r w:rsidRPr="00F65D45">
        <w:rPr>
          <w:rFonts w:ascii="Book Antiqua" w:hAnsi="Book Antiqua"/>
          <w:i/>
        </w:rPr>
        <w:t>Technol Cancer Res Treat</w:t>
      </w:r>
      <w:r w:rsidRPr="00F65D45">
        <w:rPr>
          <w:rFonts w:ascii="Book Antiqua" w:hAnsi="Book Antiqua"/>
        </w:rPr>
        <w:t xml:space="preserve"> 2012; </w:t>
      </w:r>
      <w:r w:rsidRPr="00F65D45">
        <w:rPr>
          <w:rFonts w:ascii="Book Antiqua" w:hAnsi="Book Antiqua"/>
          <w:b/>
        </w:rPr>
        <w:t>11</w:t>
      </w:r>
      <w:r w:rsidRPr="00F65D45">
        <w:rPr>
          <w:rFonts w:ascii="Book Antiqua" w:hAnsi="Book Antiqua"/>
        </w:rPr>
        <w:t>: 591-597 [PMID: 22568625 DOI: 10.7785/tcrt.2012.500261]</w:t>
      </w:r>
    </w:p>
    <w:p w14:paraId="3250ACDE"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50 </w:t>
      </w:r>
      <w:r w:rsidRPr="00F65D45">
        <w:rPr>
          <w:rFonts w:ascii="Book Antiqua" w:hAnsi="Book Antiqua"/>
          <w:b/>
        </w:rPr>
        <w:t>Lee DS</w:t>
      </w:r>
      <w:r w:rsidRPr="00F65D45">
        <w:rPr>
          <w:rFonts w:ascii="Book Antiqua" w:hAnsi="Book Antiqua"/>
        </w:rPr>
        <w:t xml:space="preserve">, Woo JY, Kim JW, Seong J. Re-Irradiation of Hepatocellular Carcinoma: Clinical Applicability of Deformable Image Registration. </w:t>
      </w:r>
      <w:r w:rsidRPr="00F65D45">
        <w:rPr>
          <w:rFonts w:ascii="Book Antiqua" w:hAnsi="Book Antiqua"/>
          <w:i/>
        </w:rPr>
        <w:t>Yonsei Med J</w:t>
      </w:r>
      <w:r w:rsidRPr="00F65D45">
        <w:rPr>
          <w:rFonts w:ascii="Book Antiqua" w:hAnsi="Book Antiqua"/>
        </w:rPr>
        <w:t xml:space="preserve"> 2016; </w:t>
      </w:r>
      <w:r w:rsidRPr="00F65D45">
        <w:rPr>
          <w:rFonts w:ascii="Book Antiqua" w:hAnsi="Book Antiqua"/>
          <w:b/>
        </w:rPr>
        <w:t>57</w:t>
      </w:r>
      <w:r w:rsidRPr="00F65D45">
        <w:rPr>
          <w:rFonts w:ascii="Book Antiqua" w:hAnsi="Book Antiqua"/>
        </w:rPr>
        <w:t>: 41-49 [PMID: 26632381 DOI: 10.3349/ymj.2016.57.1.41]</w:t>
      </w:r>
    </w:p>
    <w:p w14:paraId="5C048056"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51 </w:t>
      </w:r>
      <w:r w:rsidRPr="00F65D45">
        <w:rPr>
          <w:rFonts w:ascii="Book Antiqua" w:hAnsi="Book Antiqua"/>
          <w:b/>
        </w:rPr>
        <w:t>Seol SW</w:t>
      </w:r>
      <w:r w:rsidRPr="00F65D45">
        <w:rPr>
          <w:rFonts w:ascii="Book Antiqua" w:hAnsi="Book Antiqua"/>
        </w:rPr>
        <w:t xml:space="preserve">, Yu JI, Park HC, Lim DH, Oh D, Noh JM, Cho WK, Paik SW. Treatment outcome of hepatic re-irradiation in patients with hepatocellular carcinoma. </w:t>
      </w:r>
      <w:r w:rsidRPr="00F65D45">
        <w:rPr>
          <w:rFonts w:ascii="Book Antiqua" w:hAnsi="Book Antiqua"/>
          <w:i/>
        </w:rPr>
        <w:t>Radiat Oncol J</w:t>
      </w:r>
      <w:r w:rsidRPr="00F65D45">
        <w:rPr>
          <w:rFonts w:ascii="Book Antiqua" w:hAnsi="Book Antiqua"/>
        </w:rPr>
        <w:t xml:space="preserve"> 2015; </w:t>
      </w:r>
      <w:r w:rsidRPr="00F65D45">
        <w:rPr>
          <w:rFonts w:ascii="Book Antiqua" w:hAnsi="Book Antiqua"/>
          <w:b/>
        </w:rPr>
        <w:t>33</w:t>
      </w:r>
      <w:r w:rsidRPr="00F65D45">
        <w:rPr>
          <w:rFonts w:ascii="Book Antiqua" w:hAnsi="Book Antiqua"/>
        </w:rPr>
        <w:t>: 276-283 [PMID: 26756027 DOI: 10.3857/roj.2015.33.4.276]</w:t>
      </w:r>
    </w:p>
    <w:p w14:paraId="33BC4C3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52 </w:t>
      </w:r>
      <w:r w:rsidRPr="00F65D45">
        <w:rPr>
          <w:rFonts w:ascii="Book Antiqua" w:hAnsi="Book Antiqua"/>
          <w:b/>
        </w:rPr>
        <w:t>Hashimoto T</w:t>
      </w:r>
      <w:r w:rsidRPr="00F65D45">
        <w:rPr>
          <w:rFonts w:ascii="Book Antiqua" w:hAnsi="Book Antiqua"/>
        </w:rPr>
        <w:t xml:space="preserve">, Tokuuye K, Fukumitsu N, Igaki H, Hata M, Kagei K, Sugahara S, Ohara K, Matsuzaki Y, Akine Y. Repeated proton beam therapy for hepatocellular carcinoma. </w:t>
      </w:r>
      <w:r w:rsidRPr="00F65D45">
        <w:rPr>
          <w:rFonts w:ascii="Book Antiqua" w:hAnsi="Book Antiqua"/>
          <w:i/>
        </w:rPr>
        <w:t>Int J Radiat Oncol Biol Phys</w:t>
      </w:r>
      <w:r w:rsidRPr="00F65D45">
        <w:rPr>
          <w:rFonts w:ascii="Book Antiqua" w:hAnsi="Book Antiqua"/>
        </w:rPr>
        <w:t xml:space="preserve"> 2006; </w:t>
      </w:r>
      <w:r w:rsidRPr="00F65D45">
        <w:rPr>
          <w:rFonts w:ascii="Book Antiqua" w:hAnsi="Book Antiqua"/>
          <w:b/>
        </w:rPr>
        <w:t>65</w:t>
      </w:r>
      <w:r w:rsidRPr="00F65D45">
        <w:rPr>
          <w:rFonts w:ascii="Book Antiqua" w:hAnsi="Book Antiqua"/>
        </w:rPr>
        <w:t>: 196-202 [PMID: 16563656 DOI: 10.1016/j.ijrobp.2005.11.043]</w:t>
      </w:r>
    </w:p>
    <w:p w14:paraId="59C4C62D"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53 </w:t>
      </w:r>
      <w:r w:rsidRPr="00F65D45">
        <w:rPr>
          <w:rFonts w:ascii="Book Antiqua" w:hAnsi="Book Antiqua"/>
          <w:b/>
        </w:rPr>
        <w:t>Oshiro Y</w:t>
      </w:r>
      <w:r w:rsidRPr="00F65D45">
        <w:rPr>
          <w:rFonts w:ascii="Book Antiqua" w:hAnsi="Book Antiqua"/>
        </w:rPr>
        <w:t xml:space="preserve">, Mizumoto M, Okumura T, Fukuda K, Fukumitsu N, Abei M, Ishikawa H, Takizawa D, Sakurai H. Analysis of repeated proton beam therapy for patients with hepatocellular carcinoma. </w:t>
      </w:r>
      <w:r w:rsidRPr="00F65D45">
        <w:rPr>
          <w:rFonts w:ascii="Book Antiqua" w:hAnsi="Book Antiqua"/>
          <w:i/>
        </w:rPr>
        <w:t>Radiother Oncol</w:t>
      </w:r>
      <w:r w:rsidRPr="00F65D45">
        <w:rPr>
          <w:rFonts w:ascii="Book Antiqua" w:hAnsi="Book Antiqua"/>
        </w:rPr>
        <w:t xml:space="preserve"> 2017; </w:t>
      </w:r>
      <w:r w:rsidRPr="00F65D45">
        <w:rPr>
          <w:rFonts w:ascii="Book Antiqua" w:hAnsi="Book Antiqua"/>
          <w:b/>
        </w:rPr>
        <w:t>123</w:t>
      </w:r>
      <w:r w:rsidRPr="00F65D45">
        <w:rPr>
          <w:rFonts w:ascii="Book Antiqua" w:hAnsi="Book Antiqua"/>
        </w:rPr>
        <w:t>: 240-245 [PMID: 28366501 DOI: 10.1016/j.radonc.2017.03.004]</w:t>
      </w:r>
    </w:p>
    <w:p w14:paraId="6CF39146" w14:textId="65673B27" w:rsidR="00F65D45" w:rsidRPr="00F65D45" w:rsidRDefault="00F65D45" w:rsidP="00F65D45">
      <w:pPr>
        <w:spacing w:line="360" w:lineRule="auto"/>
        <w:jc w:val="both"/>
        <w:rPr>
          <w:rFonts w:ascii="Book Antiqua" w:hAnsi="Book Antiqua"/>
        </w:rPr>
      </w:pPr>
      <w:r w:rsidRPr="00F65D45">
        <w:rPr>
          <w:rFonts w:ascii="Book Antiqua" w:hAnsi="Book Antiqua"/>
        </w:rPr>
        <w:t xml:space="preserve">54 </w:t>
      </w:r>
      <w:r w:rsidRPr="00F65D45">
        <w:rPr>
          <w:rFonts w:ascii="Book Antiqua" w:hAnsi="Book Antiqua"/>
          <w:b/>
        </w:rPr>
        <w:t>Schöniger-Hekele M</w:t>
      </w:r>
      <w:r w:rsidRPr="00F65D45">
        <w:rPr>
          <w:rFonts w:ascii="Book Antiqua" w:hAnsi="Book Antiqua"/>
        </w:rPr>
        <w:t xml:space="preserve">, Müller C, Kutilek M, Oesterreicher C, Ferenci P, Gangl A. Hepatocellular carcinoma in Central Europe: prognostic features and survival. </w:t>
      </w:r>
      <w:r w:rsidRPr="00F65D45">
        <w:rPr>
          <w:rFonts w:ascii="Book Antiqua" w:hAnsi="Book Antiqua"/>
          <w:i/>
        </w:rPr>
        <w:t>Gut</w:t>
      </w:r>
      <w:r w:rsidRPr="00F65D45">
        <w:rPr>
          <w:rFonts w:ascii="Book Antiqua" w:hAnsi="Book Antiqua"/>
        </w:rPr>
        <w:t xml:space="preserve"> 2001; </w:t>
      </w:r>
      <w:r w:rsidRPr="00F65D45">
        <w:rPr>
          <w:rFonts w:ascii="Book Antiqua" w:hAnsi="Book Antiqua"/>
          <w:b/>
        </w:rPr>
        <w:t>48</w:t>
      </w:r>
      <w:r w:rsidRPr="00F65D45">
        <w:rPr>
          <w:rFonts w:ascii="Book Antiqua" w:hAnsi="Book Antiqua"/>
        </w:rPr>
        <w:t>: 103-109 [PMID: 11115830</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10.1136/gut.48.1.103</w:t>
      </w:r>
      <w:r w:rsidRPr="00F65D45">
        <w:rPr>
          <w:rFonts w:ascii="Book Antiqua" w:hAnsi="Book Antiqua"/>
        </w:rPr>
        <w:t>]</w:t>
      </w:r>
    </w:p>
    <w:p w14:paraId="57191DF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55 </w:t>
      </w:r>
      <w:r w:rsidRPr="00F65D45">
        <w:rPr>
          <w:rFonts w:ascii="Book Antiqua" w:hAnsi="Book Antiqua"/>
          <w:b/>
        </w:rPr>
        <w:t>Llovet JM</w:t>
      </w:r>
      <w:r w:rsidRPr="00F65D45">
        <w:rPr>
          <w:rFonts w:ascii="Book Antiqua" w:hAnsi="Book Antiqua"/>
        </w:rPr>
        <w:t xml:space="preserve">, Bustamante J, Castells A, Vilana R, Ayuso Mdel C, Sala M, Brú C, Rodés J, Bruix J. Natural history of untreated nonsurgical hepatocellular carcinoma: rationale for the design and evaluation of therapeutic trials. </w:t>
      </w:r>
      <w:r w:rsidRPr="00F65D45">
        <w:rPr>
          <w:rFonts w:ascii="Book Antiqua" w:hAnsi="Book Antiqua"/>
          <w:i/>
        </w:rPr>
        <w:t>Hepatology</w:t>
      </w:r>
      <w:r w:rsidRPr="00F65D45">
        <w:rPr>
          <w:rFonts w:ascii="Book Antiqua" w:hAnsi="Book Antiqua"/>
        </w:rPr>
        <w:t xml:space="preserve"> 1999; </w:t>
      </w:r>
      <w:r w:rsidRPr="00F65D45">
        <w:rPr>
          <w:rFonts w:ascii="Book Antiqua" w:hAnsi="Book Antiqua"/>
          <w:b/>
        </w:rPr>
        <w:t>29</w:t>
      </w:r>
      <w:r w:rsidRPr="00F65D45">
        <w:rPr>
          <w:rFonts w:ascii="Book Antiqua" w:hAnsi="Book Antiqua"/>
        </w:rPr>
        <w:t>: 62-67 [PMID: 9862851 DOI: 10.1002/hep.510290145]</w:t>
      </w:r>
    </w:p>
    <w:p w14:paraId="799F9060"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56 </w:t>
      </w:r>
      <w:r w:rsidRPr="00F65D45">
        <w:rPr>
          <w:rFonts w:ascii="Book Antiqua" w:hAnsi="Book Antiqua"/>
          <w:b/>
        </w:rPr>
        <w:t>Bruix J</w:t>
      </w:r>
      <w:r w:rsidRPr="00F65D45">
        <w:rPr>
          <w:rFonts w:ascii="Book Antiqua" w:hAnsi="Book Antiqua"/>
        </w:rPr>
        <w:t xml:space="preserve">, Raoul JL, Sherman M, Mazzaferro V, Bolondi L, Craxi A, Galle PR, Santoro A, Beaugrand M, Sangiovanni A, Porta C, Gerken G, Marrero JA, Nadel A, Shan M, Moscovici M, Voliotis D, Llovet JM. Efficacy and safety of sorafenib in patients with advanced hepatocellular carcinoma: subanalyses of a phase III trial. </w:t>
      </w:r>
      <w:r w:rsidRPr="00F65D45">
        <w:rPr>
          <w:rFonts w:ascii="Book Antiqua" w:hAnsi="Book Antiqua"/>
          <w:i/>
        </w:rPr>
        <w:t>J Hepatol</w:t>
      </w:r>
      <w:r w:rsidRPr="00F65D45">
        <w:rPr>
          <w:rFonts w:ascii="Book Antiqua" w:hAnsi="Book Antiqua"/>
        </w:rPr>
        <w:t xml:space="preserve"> 2012; </w:t>
      </w:r>
      <w:r w:rsidRPr="00F65D45">
        <w:rPr>
          <w:rFonts w:ascii="Book Antiqua" w:hAnsi="Book Antiqua"/>
          <w:b/>
        </w:rPr>
        <w:t>57</w:t>
      </w:r>
      <w:r w:rsidRPr="00F65D45">
        <w:rPr>
          <w:rFonts w:ascii="Book Antiqua" w:hAnsi="Book Antiqua"/>
        </w:rPr>
        <w:t>: 821-829 [PMID: 22727733 DOI: 10.1016/j.jhep.2012.06.014]</w:t>
      </w:r>
    </w:p>
    <w:p w14:paraId="7972B88B" w14:textId="55338DD6"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57 </w:t>
      </w:r>
      <w:r w:rsidRPr="00F65D45">
        <w:rPr>
          <w:rFonts w:ascii="Book Antiqua" w:hAnsi="Book Antiqua"/>
          <w:b/>
        </w:rPr>
        <w:t>Lee HS</w:t>
      </w:r>
      <w:r w:rsidRPr="00F65D45">
        <w:rPr>
          <w:rFonts w:ascii="Book Antiqua" w:hAnsi="Book Antiqua"/>
        </w:rPr>
        <w:t xml:space="preserve">, Kim JS, Choi IJ, Chung JW, Park JH, Kim CY. The safety and efficacy of transcatheter arterial chemoembolization in the treatment of patients with hepatocellular carcinoma and main portal vein obstruction. A prospective controlled study. </w:t>
      </w:r>
      <w:r w:rsidRPr="00F65D45">
        <w:rPr>
          <w:rFonts w:ascii="Book Antiqua" w:hAnsi="Book Antiqua"/>
          <w:i/>
        </w:rPr>
        <w:t>Cancer</w:t>
      </w:r>
      <w:r w:rsidRPr="00F65D45">
        <w:rPr>
          <w:rFonts w:ascii="Book Antiqua" w:hAnsi="Book Antiqua"/>
        </w:rPr>
        <w:t xml:space="preserve"> 1997; </w:t>
      </w:r>
      <w:r w:rsidRPr="00F65D45">
        <w:rPr>
          <w:rFonts w:ascii="Book Antiqua" w:hAnsi="Book Antiqua"/>
          <w:b/>
        </w:rPr>
        <w:t>79</w:t>
      </w:r>
      <w:r w:rsidRPr="00F65D45">
        <w:rPr>
          <w:rFonts w:ascii="Book Antiqua" w:hAnsi="Book Antiqua"/>
        </w:rPr>
        <w:t>: 2087-2094 [PMID: 9179054</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10.1002/(SICI)1097-0142(19970601)79:11&lt;2087::AID-CNCR5&gt;3.0.CO;2-M</w:t>
      </w:r>
      <w:r w:rsidRPr="00F65D45">
        <w:rPr>
          <w:rFonts w:ascii="Book Antiqua" w:hAnsi="Book Antiqua"/>
        </w:rPr>
        <w:t>]</w:t>
      </w:r>
    </w:p>
    <w:p w14:paraId="411EAE7F"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58 </w:t>
      </w:r>
      <w:r w:rsidRPr="00F65D45">
        <w:rPr>
          <w:rFonts w:ascii="Book Antiqua" w:hAnsi="Book Antiqua"/>
          <w:b/>
        </w:rPr>
        <w:t>Kim DY</w:t>
      </w:r>
      <w:r w:rsidRPr="00F65D45">
        <w:rPr>
          <w:rFonts w:ascii="Book Antiqua" w:hAnsi="Book Antiqua"/>
        </w:rPr>
        <w:t xml:space="preserve">, Park W, Lim DH, Lee JH, Yoo BC, Paik SW, Kho KC, Kim TH, Ahn YC, Huh SJ. Three-dimensional conformal radiotherapy for portal vein thrombosis of hepatocellular carcinoma. </w:t>
      </w:r>
      <w:r w:rsidRPr="00F65D45">
        <w:rPr>
          <w:rFonts w:ascii="Book Antiqua" w:hAnsi="Book Antiqua"/>
          <w:i/>
        </w:rPr>
        <w:t>Cancer</w:t>
      </w:r>
      <w:r w:rsidRPr="00F65D45">
        <w:rPr>
          <w:rFonts w:ascii="Book Antiqua" w:hAnsi="Book Antiqua"/>
        </w:rPr>
        <w:t xml:space="preserve"> 2005; </w:t>
      </w:r>
      <w:r w:rsidRPr="00F65D45">
        <w:rPr>
          <w:rFonts w:ascii="Book Antiqua" w:hAnsi="Book Antiqua"/>
          <w:b/>
        </w:rPr>
        <w:t>103</w:t>
      </w:r>
      <w:r w:rsidRPr="00F65D45">
        <w:rPr>
          <w:rFonts w:ascii="Book Antiqua" w:hAnsi="Book Antiqua"/>
        </w:rPr>
        <w:t>: 2419-2426 [PMID: 15822130 DOI: 10.1002/cncr.21043]</w:t>
      </w:r>
    </w:p>
    <w:p w14:paraId="51191DA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59 </w:t>
      </w:r>
      <w:r w:rsidRPr="00F65D45">
        <w:rPr>
          <w:rFonts w:ascii="Book Antiqua" w:hAnsi="Book Antiqua"/>
          <w:b/>
        </w:rPr>
        <w:t>Yu JI</w:t>
      </w:r>
      <w:r w:rsidRPr="00F65D45">
        <w:rPr>
          <w:rFonts w:ascii="Book Antiqua" w:hAnsi="Book Antiqua"/>
        </w:rPr>
        <w:t xml:space="preserve">, Park HC, Lim DH, Park W, Yoo BC, Paik SW, Koh KC, Lee JH. Prognostic index for portal vein tumor thrombosis in patients with hepatocellular carcinoma treated with radiation therapy. </w:t>
      </w:r>
      <w:r w:rsidRPr="00F65D45">
        <w:rPr>
          <w:rFonts w:ascii="Book Antiqua" w:hAnsi="Book Antiqua"/>
          <w:i/>
        </w:rPr>
        <w:t>J Korean Med Sci</w:t>
      </w:r>
      <w:r w:rsidRPr="00F65D45">
        <w:rPr>
          <w:rFonts w:ascii="Book Antiqua" w:hAnsi="Book Antiqua"/>
        </w:rPr>
        <w:t xml:space="preserve"> 2011; </w:t>
      </w:r>
      <w:r w:rsidRPr="00F65D45">
        <w:rPr>
          <w:rFonts w:ascii="Book Antiqua" w:hAnsi="Book Antiqua"/>
          <w:b/>
        </w:rPr>
        <w:t>26</w:t>
      </w:r>
      <w:r w:rsidRPr="00F65D45">
        <w:rPr>
          <w:rFonts w:ascii="Book Antiqua" w:hAnsi="Book Antiqua"/>
        </w:rPr>
        <w:t>: 1014-1022 [PMID: 21860551 DOI: 10.3346/jkms.2011.26.8.1014]</w:t>
      </w:r>
    </w:p>
    <w:p w14:paraId="4B9419A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60 </w:t>
      </w:r>
      <w:r w:rsidRPr="00F65D45">
        <w:rPr>
          <w:rFonts w:ascii="Book Antiqua" w:hAnsi="Book Antiqua"/>
          <w:b/>
        </w:rPr>
        <w:t>Yu JI</w:t>
      </w:r>
      <w:r w:rsidRPr="00F65D45">
        <w:rPr>
          <w:rFonts w:ascii="Book Antiqua" w:hAnsi="Book Antiqua"/>
        </w:rPr>
        <w:t xml:space="preserve">, Yoon SM, Park HC, Kim JH, Kim TH, Park JW, Seong J, Lee IJ, Jang HS, Kay CS, Kim CY, Chie EK, Kim JH, Kim MS, Choi YM. Multicenter validation study of a prognostic index for portal vein tumor thrombosis in hepatocellular carcinoma. </w:t>
      </w:r>
      <w:r w:rsidRPr="00F65D45">
        <w:rPr>
          <w:rFonts w:ascii="Book Antiqua" w:hAnsi="Book Antiqua"/>
          <w:i/>
        </w:rPr>
        <w:t>Cancer Res Treat</w:t>
      </w:r>
      <w:r w:rsidRPr="00F65D45">
        <w:rPr>
          <w:rFonts w:ascii="Book Antiqua" w:hAnsi="Book Antiqua"/>
        </w:rPr>
        <w:t xml:space="preserve"> 2014; </w:t>
      </w:r>
      <w:r w:rsidRPr="00F65D45">
        <w:rPr>
          <w:rFonts w:ascii="Book Antiqua" w:hAnsi="Book Antiqua"/>
          <w:b/>
        </w:rPr>
        <w:t>46</w:t>
      </w:r>
      <w:r w:rsidRPr="00F65D45">
        <w:rPr>
          <w:rFonts w:ascii="Book Antiqua" w:hAnsi="Book Antiqua"/>
        </w:rPr>
        <w:t>: 348-357 [PMID: 25036573 DOI: 10.4143/crt.2013.142]</w:t>
      </w:r>
    </w:p>
    <w:p w14:paraId="0BA961DB"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61 </w:t>
      </w:r>
      <w:r w:rsidRPr="00F65D45">
        <w:rPr>
          <w:rFonts w:ascii="Book Antiqua" w:hAnsi="Book Antiqua"/>
          <w:b/>
        </w:rPr>
        <w:t>Yoon SM</w:t>
      </w:r>
      <w:r w:rsidRPr="00F65D45">
        <w:rPr>
          <w:rFonts w:ascii="Book Antiqua" w:hAnsi="Book Antiqua"/>
        </w:rPr>
        <w:t xml:space="preserve">, Lim YS, Won HJ, Kim JH, Kim KM, Lee HC, Chung YH, Lee YS, Lee SG, Park JH, Suh DJ. Radiotherapy plus transarterial chemoembolization for hepatocellular carcinoma invading the portal vein: long-term patient outcomes. </w:t>
      </w:r>
      <w:r w:rsidRPr="00F65D45">
        <w:rPr>
          <w:rFonts w:ascii="Book Antiqua" w:hAnsi="Book Antiqua"/>
          <w:i/>
        </w:rPr>
        <w:t>Int J Radiat Oncol Biol Phys</w:t>
      </w:r>
      <w:r w:rsidRPr="00F65D45">
        <w:rPr>
          <w:rFonts w:ascii="Book Antiqua" w:hAnsi="Book Antiqua"/>
        </w:rPr>
        <w:t xml:space="preserve"> 2012; </w:t>
      </w:r>
      <w:r w:rsidRPr="00F65D45">
        <w:rPr>
          <w:rFonts w:ascii="Book Antiqua" w:hAnsi="Book Antiqua"/>
          <w:b/>
        </w:rPr>
        <w:t>82</w:t>
      </w:r>
      <w:r w:rsidRPr="00F65D45">
        <w:rPr>
          <w:rFonts w:ascii="Book Antiqua" w:hAnsi="Book Antiqua"/>
        </w:rPr>
        <w:t>: 2004-2011 [PMID: 21621346 DOI: 10.1016/j.ijrobp.2011.03.019]</w:t>
      </w:r>
    </w:p>
    <w:p w14:paraId="7C1BD2E4"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62 </w:t>
      </w:r>
      <w:r w:rsidRPr="00F65D45">
        <w:rPr>
          <w:rFonts w:ascii="Book Antiqua" w:hAnsi="Book Antiqua"/>
          <w:b/>
        </w:rPr>
        <w:t>Kim DY</w:t>
      </w:r>
      <w:r w:rsidRPr="00F65D45">
        <w:rPr>
          <w:rFonts w:ascii="Book Antiqua" w:hAnsi="Book Antiqua"/>
        </w:rPr>
        <w:t xml:space="preserve">, Park JW, Kim TH, Kim BH, Moon SH, Kim SS, Woo SM, Koh YH, Lee WJ, Kim CM. Risk-adapted simultaneous integrated boost-proton beam therapy (SIB-PBT) for advanced hepatocellular carcinoma with tumour vascular thrombosis. </w:t>
      </w:r>
      <w:r w:rsidRPr="00F65D45">
        <w:rPr>
          <w:rFonts w:ascii="Book Antiqua" w:hAnsi="Book Antiqua"/>
          <w:i/>
        </w:rPr>
        <w:t>Radiother Oncol</w:t>
      </w:r>
      <w:r w:rsidRPr="00F65D45">
        <w:rPr>
          <w:rFonts w:ascii="Book Antiqua" w:hAnsi="Book Antiqua"/>
        </w:rPr>
        <w:t xml:space="preserve"> 2017; </w:t>
      </w:r>
      <w:r w:rsidRPr="00F65D45">
        <w:rPr>
          <w:rFonts w:ascii="Book Antiqua" w:hAnsi="Book Antiqua"/>
          <w:b/>
        </w:rPr>
        <w:t>122</w:t>
      </w:r>
      <w:r w:rsidRPr="00F65D45">
        <w:rPr>
          <w:rFonts w:ascii="Book Antiqua" w:hAnsi="Book Antiqua"/>
        </w:rPr>
        <w:t>: 122-129 [PMID: 28034460 DOI: 10.1016/j.radonc.2016.12.014]</w:t>
      </w:r>
    </w:p>
    <w:p w14:paraId="527667D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63 </w:t>
      </w:r>
      <w:r w:rsidRPr="00F65D45">
        <w:rPr>
          <w:rFonts w:ascii="Book Antiqua" w:hAnsi="Book Antiqua"/>
          <w:b/>
        </w:rPr>
        <w:t>Bruix J</w:t>
      </w:r>
      <w:r w:rsidRPr="00F65D45">
        <w:rPr>
          <w:rFonts w:ascii="Book Antiqua" w:hAnsi="Book Antiqua"/>
        </w:rPr>
        <w:t xml:space="preserve">, Sherman M; Practice Guidelines Committee, American Association for the Study of Liver Diseases. Management of hepatocellular carcinoma. </w:t>
      </w:r>
      <w:r w:rsidRPr="00F65D45">
        <w:rPr>
          <w:rFonts w:ascii="Book Antiqua" w:hAnsi="Book Antiqua"/>
          <w:i/>
        </w:rPr>
        <w:t>Hepatology</w:t>
      </w:r>
      <w:r w:rsidRPr="00F65D45">
        <w:rPr>
          <w:rFonts w:ascii="Book Antiqua" w:hAnsi="Book Antiqua"/>
        </w:rPr>
        <w:t xml:space="preserve"> 2005; </w:t>
      </w:r>
      <w:r w:rsidRPr="00F65D45">
        <w:rPr>
          <w:rFonts w:ascii="Book Antiqua" w:hAnsi="Book Antiqua"/>
          <w:b/>
        </w:rPr>
        <w:t>42</w:t>
      </w:r>
      <w:r w:rsidRPr="00F65D45">
        <w:rPr>
          <w:rFonts w:ascii="Book Antiqua" w:hAnsi="Book Antiqua"/>
        </w:rPr>
        <w:t>: 1208-1236 [PMID: 16250051 DOI: 10.1002/hep.20933]</w:t>
      </w:r>
    </w:p>
    <w:p w14:paraId="237A9C6B" w14:textId="45ECC57F"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64 </w:t>
      </w:r>
      <w:r w:rsidRPr="00F65D45">
        <w:rPr>
          <w:rFonts w:ascii="Book Antiqua" w:hAnsi="Book Antiqua"/>
          <w:b/>
        </w:rPr>
        <w:t>Vilana R</w:t>
      </w:r>
      <w:r w:rsidRPr="00F65D45">
        <w:rPr>
          <w:rFonts w:ascii="Book Antiqua" w:hAnsi="Book Antiqua"/>
        </w:rPr>
        <w:t xml:space="preserve">, Bruix J, Bru C, Ayuso C, Solé M, Rodés J. Tumor size determines the efficacy of percutaneous ethanol injection for the treatment of small hepatocellular carcinoma. </w:t>
      </w:r>
      <w:r w:rsidRPr="00F65D45">
        <w:rPr>
          <w:rFonts w:ascii="Book Antiqua" w:hAnsi="Book Antiqua"/>
          <w:i/>
        </w:rPr>
        <w:t>Hepatology</w:t>
      </w:r>
      <w:r w:rsidRPr="00F65D45">
        <w:rPr>
          <w:rFonts w:ascii="Book Antiqua" w:hAnsi="Book Antiqua"/>
        </w:rPr>
        <w:t xml:space="preserve"> 1992; </w:t>
      </w:r>
      <w:r w:rsidRPr="00F65D45">
        <w:rPr>
          <w:rFonts w:ascii="Book Antiqua" w:hAnsi="Book Antiqua"/>
          <w:b/>
        </w:rPr>
        <w:t>16</w:t>
      </w:r>
      <w:r w:rsidRPr="00F65D45">
        <w:rPr>
          <w:rFonts w:ascii="Book Antiqua" w:hAnsi="Book Antiqua"/>
        </w:rPr>
        <w:t>: 353-357 [PMID: 1322349</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10.1002/hep.1840160212</w:t>
      </w:r>
      <w:r w:rsidRPr="00F65D45">
        <w:rPr>
          <w:rFonts w:ascii="Book Antiqua" w:hAnsi="Book Antiqua"/>
        </w:rPr>
        <w:t>]</w:t>
      </w:r>
    </w:p>
    <w:p w14:paraId="31CF6B45"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65 </w:t>
      </w:r>
      <w:r w:rsidRPr="00F65D45">
        <w:rPr>
          <w:rFonts w:ascii="Book Antiqua" w:hAnsi="Book Antiqua"/>
          <w:b/>
        </w:rPr>
        <w:t>Livraghi T</w:t>
      </w:r>
      <w:r w:rsidRPr="00F65D45">
        <w:rPr>
          <w:rFonts w:ascii="Book Antiqua" w:hAnsi="Book Antiqua"/>
        </w:rPr>
        <w:t xml:space="preserve">, Goldberg SN, Lazzaroni S, Meloni F, Ierace T, Solbiati L, Gazelle GS. Hepatocellular carcinoma: radio-frequency ablation of medium and large lesions. </w:t>
      </w:r>
      <w:r w:rsidRPr="00F65D45">
        <w:rPr>
          <w:rFonts w:ascii="Book Antiqua" w:hAnsi="Book Antiqua"/>
          <w:i/>
        </w:rPr>
        <w:t>Radiology</w:t>
      </w:r>
      <w:r w:rsidRPr="00F65D45">
        <w:rPr>
          <w:rFonts w:ascii="Book Antiqua" w:hAnsi="Book Antiqua"/>
        </w:rPr>
        <w:t xml:space="preserve"> 2000; </w:t>
      </w:r>
      <w:r w:rsidRPr="00F65D45">
        <w:rPr>
          <w:rFonts w:ascii="Book Antiqua" w:hAnsi="Book Antiqua"/>
          <w:b/>
        </w:rPr>
        <w:t>214</w:t>
      </w:r>
      <w:r w:rsidRPr="00F65D45">
        <w:rPr>
          <w:rFonts w:ascii="Book Antiqua" w:hAnsi="Book Antiqua"/>
        </w:rPr>
        <w:t>: 761-768 [PMID: 10715043 DOI: 10.1148/radiology.214.3.r00mr02761]</w:t>
      </w:r>
    </w:p>
    <w:p w14:paraId="7D530AF5" w14:textId="5B315C53" w:rsidR="00F65D45" w:rsidRPr="00F65D45" w:rsidRDefault="00F65D45" w:rsidP="00F65D45">
      <w:pPr>
        <w:spacing w:line="360" w:lineRule="auto"/>
        <w:jc w:val="both"/>
        <w:rPr>
          <w:rFonts w:ascii="Book Antiqua" w:hAnsi="Book Antiqua"/>
        </w:rPr>
      </w:pPr>
      <w:r w:rsidRPr="00F65D45">
        <w:rPr>
          <w:rFonts w:ascii="Book Antiqua" w:hAnsi="Book Antiqua"/>
        </w:rPr>
        <w:t xml:space="preserve">66 </w:t>
      </w:r>
      <w:r w:rsidRPr="00F65D45">
        <w:rPr>
          <w:rFonts w:ascii="Book Antiqua" w:hAnsi="Book Antiqua"/>
          <w:b/>
        </w:rPr>
        <w:t>Haug CE</w:t>
      </w:r>
      <w:r w:rsidRPr="00F65D45">
        <w:rPr>
          <w:rFonts w:ascii="Book Antiqua" w:hAnsi="Book Antiqua"/>
        </w:rPr>
        <w:t xml:space="preserve">, Jenkins RL, Rohrer RJ, Auchincloss H, Delmonico FL, Freeman RB, Lewis WD, Cosimi AB. Liver transplantation for primary hepatic cancer. </w:t>
      </w:r>
      <w:r w:rsidRPr="00F65D45">
        <w:rPr>
          <w:rFonts w:ascii="Book Antiqua" w:hAnsi="Book Antiqua"/>
          <w:i/>
        </w:rPr>
        <w:t>Transplantation</w:t>
      </w:r>
      <w:r w:rsidRPr="00F65D45">
        <w:rPr>
          <w:rFonts w:ascii="Book Antiqua" w:hAnsi="Book Antiqua"/>
        </w:rPr>
        <w:t xml:space="preserve"> 1992; </w:t>
      </w:r>
      <w:r w:rsidRPr="00F65D45">
        <w:rPr>
          <w:rFonts w:ascii="Book Antiqua" w:hAnsi="Book Antiqua"/>
          <w:b/>
        </w:rPr>
        <w:t>53</w:t>
      </w:r>
      <w:r w:rsidRPr="00F65D45">
        <w:rPr>
          <w:rFonts w:ascii="Book Antiqua" w:hAnsi="Book Antiqua"/>
        </w:rPr>
        <w:t>: 376-382 [PMID: 1310823</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10.1097/00007890-199202010-00021</w:t>
      </w:r>
      <w:r w:rsidRPr="00F65D45">
        <w:rPr>
          <w:rFonts w:ascii="Book Antiqua" w:hAnsi="Book Antiqua"/>
        </w:rPr>
        <w:t>]</w:t>
      </w:r>
    </w:p>
    <w:p w14:paraId="75D8517C"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67 </w:t>
      </w:r>
      <w:r w:rsidRPr="00F65D45">
        <w:rPr>
          <w:rFonts w:ascii="Book Antiqua" w:hAnsi="Book Antiqua"/>
          <w:b/>
        </w:rPr>
        <w:t>Noguchi T</w:t>
      </w:r>
      <w:r w:rsidRPr="00F65D45">
        <w:rPr>
          <w:rFonts w:ascii="Book Antiqua" w:hAnsi="Book Antiqua"/>
        </w:rPr>
        <w:t xml:space="preserve">, Kawarada Y, Kitagawa M, Ito F, Sakurai H, Machishi H, Yamagiwa K, Yokoi H, Mizumoto R. Clinicopathologic factors influencing the long-term prognosis following hepatic resection for large hepatocellular carcinoma more than 10 cm in diameter. </w:t>
      </w:r>
      <w:r w:rsidRPr="00F65D45">
        <w:rPr>
          <w:rFonts w:ascii="Book Antiqua" w:hAnsi="Book Antiqua"/>
          <w:i/>
        </w:rPr>
        <w:t>Semin Oncol</w:t>
      </w:r>
      <w:r w:rsidRPr="00F65D45">
        <w:rPr>
          <w:rFonts w:ascii="Book Antiqua" w:hAnsi="Book Antiqua"/>
        </w:rPr>
        <w:t xml:space="preserve"> 1997; </w:t>
      </w:r>
      <w:r w:rsidRPr="00F65D45">
        <w:rPr>
          <w:rFonts w:ascii="Book Antiqua" w:hAnsi="Book Antiqua"/>
          <w:b/>
        </w:rPr>
        <w:t>24</w:t>
      </w:r>
      <w:r w:rsidRPr="00F65D45">
        <w:rPr>
          <w:rFonts w:ascii="Book Antiqua" w:hAnsi="Book Antiqua"/>
        </w:rPr>
        <w:t>: S6-7-S6-13 [PMID: 9151910]</w:t>
      </w:r>
    </w:p>
    <w:p w14:paraId="06BB0540" w14:textId="7BCD3325" w:rsidR="00F65D45" w:rsidRPr="00F65D45" w:rsidRDefault="00F65D45" w:rsidP="00F65D45">
      <w:pPr>
        <w:spacing w:line="360" w:lineRule="auto"/>
        <w:jc w:val="both"/>
        <w:rPr>
          <w:rFonts w:ascii="Book Antiqua" w:hAnsi="Book Antiqua"/>
        </w:rPr>
      </w:pPr>
      <w:r w:rsidRPr="00F65D45">
        <w:rPr>
          <w:rFonts w:ascii="Book Antiqua" w:hAnsi="Book Antiqua"/>
        </w:rPr>
        <w:t xml:space="preserve">68 </w:t>
      </w:r>
      <w:r w:rsidRPr="00F65D45">
        <w:rPr>
          <w:rFonts w:ascii="Book Antiqua" w:hAnsi="Book Antiqua"/>
          <w:b/>
        </w:rPr>
        <w:t>Poon RT</w:t>
      </w:r>
      <w:r w:rsidRPr="00F65D45">
        <w:rPr>
          <w:rFonts w:ascii="Book Antiqua" w:hAnsi="Book Antiqua"/>
        </w:rPr>
        <w:t xml:space="preserve">, Fan ST, Wong J. Selection criteria for hepatic resection in patients with large hepatocellular carcinoma larger than 10 cm in diameter. </w:t>
      </w:r>
      <w:r w:rsidRPr="00F65D45">
        <w:rPr>
          <w:rFonts w:ascii="Book Antiqua" w:hAnsi="Book Antiqua"/>
          <w:i/>
        </w:rPr>
        <w:t>J Am Coll Surg</w:t>
      </w:r>
      <w:r w:rsidRPr="00F65D45">
        <w:rPr>
          <w:rFonts w:ascii="Book Antiqua" w:hAnsi="Book Antiqua"/>
        </w:rPr>
        <w:t xml:space="preserve"> 2002; </w:t>
      </w:r>
      <w:r w:rsidRPr="00F65D45">
        <w:rPr>
          <w:rFonts w:ascii="Book Antiqua" w:hAnsi="Book Antiqua"/>
          <w:b/>
        </w:rPr>
        <w:t>194</w:t>
      </w:r>
      <w:r w:rsidRPr="00F65D45">
        <w:rPr>
          <w:rFonts w:ascii="Book Antiqua" w:hAnsi="Book Antiqua"/>
        </w:rPr>
        <w:t>: 592-602 [PMID: 12022599</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10.1016/S1072-7515(02)01163-8</w:t>
      </w:r>
      <w:r w:rsidRPr="00F65D45">
        <w:rPr>
          <w:rFonts w:ascii="Book Antiqua" w:hAnsi="Book Antiqua"/>
        </w:rPr>
        <w:t>]</w:t>
      </w:r>
    </w:p>
    <w:p w14:paraId="4FC51DD3"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69 </w:t>
      </w:r>
      <w:r w:rsidRPr="00F65D45">
        <w:rPr>
          <w:rFonts w:ascii="Book Antiqua" w:hAnsi="Book Antiqua"/>
          <w:b/>
        </w:rPr>
        <w:t>Pandey D</w:t>
      </w:r>
      <w:r w:rsidRPr="00F65D45">
        <w:rPr>
          <w:rFonts w:ascii="Book Antiqua" w:hAnsi="Book Antiqua"/>
        </w:rPr>
        <w:t xml:space="preserve">, Lee KH, Wai CT, Wagholikar G, Tan KC. Long term outcome and prognostic factors for large hepatocellular carcinoma (10 cm or more) after surgical resection. </w:t>
      </w:r>
      <w:r w:rsidRPr="00F65D45">
        <w:rPr>
          <w:rFonts w:ascii="Book Antiqua" w:hAnsi="Book Antiqua"/>
          <w:i/>
        </w:rPr>
        <w:t>Ann Surg Oncol</w:t>
      </w:r>
      <w:r w:rsidRPr="00F65D45">
        <w:rPr>
          <w:rFonts w:ascii="Book Antiqua" w:hAnsi="Book Antiqua"/>
        </w:rPr>
        <w:t xml:space="preserve"> 2007; </w:t>
      </w:r>
      <w:r w:rsidRPr="00F65D45">
        <w:rPr>
          <w:rFonts w:ascii="Book Antiqua" w:hAnsi="Book Antiqua"/>
          <w:b/>
        </w:rPr>
        <w:t>14</w:t>
      </w:r>
      <w:r w:rsidRPr="00F65D45">
        <w:rPr>
          <w:rFonts w:ascii="Book Antiqua" w:hAnsi="Book Antiqua"/>
        </w:rPr>
        <w:t>: 2817-2823 [PMID: 17690940 DOI: 10.1245/s10434-007-9518-1]</w:t>
      </w:r>
    </w:p>
    <w:p w14:paraId="5815FC9F"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70 </w:t>
      </w:r>
      <w:r w:rsidRPr="00F65D45">
        <w:rPr>
          <w:rFonts w:ascii="Book Antiqua" w:hAnsi="Book Antiqua"/>
          <w:b/>
        </w:rPr>
        <w:t>McGinn CJ</w:t>
      </w:r>
      <w:r w:rsidRPr="00F65D45">
        <w:rPr>
          <w:rFonts w:ascii="Book Antiqua" w:hAnsi="Book Antiqua"/>
        </w:rPr>
        <w:t xml:space="preserve">, Ten Haken RK, Ensminger WD, Walker S, Wang S, Lawrence TS. Treatment of intrahepatic cancers with radiation doses based on a normal tissue complication probability model. </w:t>
      </w:r>
      <w:r w:rsidRPr="00F65D45">
        <w:rPr>
          <w:rFonts w:ascii="Book Antiqua" w:hAnsi="Book Antiqua"/>
          <w:i/>
        </w:rPr>
        <w:t>J Clin Oncol</w:t>
      </w:r>
      <w:r w:rsidRPr="00F65D45">
        <w:rPr>
          <w:rFonts w:ascii="Book Antiqua" w:hAnsi="Book Antiqua"/>
        </w:rPr>
        <w:t xml:space="preserve"> 1998; </w:t>
      </w:r>
      <w:r w:rsidRPr="00F65D45">
        <w:rPr>
          <w:rFonts w:ascii="Book Antiqua" w:hAnsi="Book Antiqua"/>
          <w:b/>
        </w:rPr>
        <w:t>16</w:t>
      </w:r>
      <w:r w:rsidRPr="00F65D45">
        <w:rPr>
          <w:rFonts w:ascii="Book Antiqua" w:hAnsi="Book Antiqua"/>
        </w:rPr>
        <w:t>: 2246-2252 [PMID: 9626227 DOI: 10.1200/JCO.1998.16.6.2246]</w:t>
      </w:r>
    </w:p>
    <w:p w14:paraId="5E8938D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71 </w:t>
      </w:r>
      <w:r w:rsidRPr="00F65D45">
        <w:rPr>
          <w:rFonts w:ascii="Book Antiqua" w:hAnsi="Book Antiqua"/>
          <w:b/>
        </w:rPr>
        <w:t>Hawkins MA</w:t>
      </w:r>
      <w:r w:rsidRPr="00F65D45">
        <w:rPr>
          <w:rFonts w:ascii="Book Antiqua" w:hAnsi="Book Antiqua"/>
        </w:rPr>
        <w:t xml:space="preserve">, Dawson LA. Radiation therapy for hepatocellular carcinoma: from palliation to cure. </w:t>
      </w:r>
      <w:r w:rsidRPr="00F65D45">
        <w:rPr>
          <w:rFonts w:ascii="Book Antiqua" w:hAnsi="Book Antiqua"/>
          <w:i/>
        </w:rPr>
        <w:t>Cancer</w:t>
      </w:r>
      <w:r w:rsidRPr="00F65D45">
        <w:rPr>
          <w:rFonts w:ascii="Book Antiqua" w:hAnsi="Book Antiqua"/>
        </w:rPr>
        <w:t xml:space="preserve"> 2006; </w:t>
      </w:r>
      <w:r w:rsidRPr="00F65D45">
        <w:rPr>
          <w:rFonts w:ascii="Book Antiqua" w:hAnsi="Book Antiqua"/>
          <w:b/>
        </w:rPr>
        <w:t>106</w:t>
      </w:r>
      <w:r w:rsidRPr="00F65D45">
        <w:rPr>
          <w:rFonts w:ascii="Book Antiqua" w:hAnsi="Book Antiqua"/>
        </w:rPr>
        <w:t>: 1653-1663 [PMID: 16541431 DOI: 10.1002/cncr.21811]</w:t>
      </w:r>
    </w:p>
    <w:p w14:paraId="5156DBE9"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72 </w:t>
      </w:r>
      <w:r w:rsidRPr="00F65D45">
        <w:rPr>
          <w:rFonts w:ascii="Book Antiqua" w:hAnsi="Book Antiqua"/>
          <w:b/>
        </w:rPr>
        <w:t>Toramatsu C</w:t>
      </w:r>
      <w:r w:rsidRPr="00F65D45">
        <w:rPr>
          <w:rFonts w:ascii="Book Antiqua" w:hAnsi="Book Antiqua"/>
        </w:rPr>
        <w:t xml:space="preserve">, Katoh N, Shimizu S, Nihongi H, Matsuura T, Takao S, Miyamoto N, Suzuki R, Sutherland K, Kinoshita R, Onimaru R, Ishikawa M, Umegaki K, Shirato H. What is the appropriate size criterion for proton radiotherapy for hepatocellular carcinoma? A dosimetric comparison of spot-scanning proton therapy versus intensity-modulated radiation therapy. </w:t>
      </w:r>
      <w:r w:rsidRPr="00F65D45">
        <w:rPr>
          <w:rFonts w:ascii="Book Antiqua" w:hAnsi="Book Antiqua"/>
          <w:i/>
        </w:rPr>
        <w:t>Radiat Oncol</w:t>
      </w:r>
      <w:r w:rsidRPr="00F65D45">
        <w:rPr>
          <w:rFonts w:ascii="Book Antiqua" w:hAnsi="Book Antiqua"/>
        </w:rPr>
        <w:t xml:space="preserve"> 2013; </w:t>
      </w:r>
      <w:r w:rsidRPr="00F65D45">
        <w:rPr>
          <w:rFonts w:ascii="Book Antiqua" w:hAnsi="Book Antiqua"/>
          <w:b/>
        </w:rPr>
        <w:t>8</w:t>
      </w:r>
      <w:r w:rsidRPr="00F65D45">
        <w:rPr>
          <w:rFonts w:ascii="Book Antiqua" w:hAnsi="Book Antiqua"/>
        </w:rPr>
        <w:t>: 48 [PMID: 23497543 DOI: 10.1186/1748-717X-8-48]</w:t>
      </w:r>
    </w:p>
    <w:p w14:paraId="0C3F55E2"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73 </w:t>
      </w:r>
      <w:r w:rsidRPr="00F65D45">
        <w:rPr>
          <w:rFonts w:ascii="Book Antiqua" w:hAnsi="Book Antiqua"/>
          <w:b/>
        </w:rPr>
        <w:t>Sugahara S</w:t>
      </w:r>
      <w:r w:rsidRPr="00F65D45">
        <w:rPr>
          <w:rFonts w:ascii="Book Antiqua" w:hAnsi="Book Antiqua"/>
        </w:rPr>
        <w:t xml:space="preserve">, Oshiro Y, Nakayama H, Fukuda K, Mizumoto M, Abei M, Shoda J, Matsuzaki Y, Thono E, Tokita M, Tsuboi K, Tokuuye K. Proton beam therapy for large hepatocellular carcinoma. </w:t>
      </w:r>
      <w:r w:rsidRPr="00F65D45">
        <w:rPr>
          <w:rFonts w:ascii="Book Antiqua" w:hAnsi="Book Antiqua"/>
          <w:i/>
        </w:rPr>
        <w:t>Int J Radiat Oncol Biol Phys</w:t>
      </w:r>
      <w:r w:rsidRPr="00F65D45">
        <w:rPr>
          <w:rFonts w:ascii="Book Antiqua" w:hAnsi="Book Antiqua"/>
        </w:rPr>
        <w:t xml:space="preserve"> 2010; </w:t>
      </w:r>
      <w:r w:rsidRPr="00F65D45">
        <w:rPr>
          <w:rFonts w:ascii="Book Antiqua" w:hAnsi="Book Antiqua"/>
          <w:b/>
        </w:rPr>
        <w:t>76</w:t>
      </w:r>
      <w:r w:rsidRPr="00F65D45">
        <w:rPr>
          <w:rFonts w:ascii="Book Antiqua" w:hAnsi="Book Antiqua"/>
        </w:rPr>
        <w:t>: 460-466 [PMID: 19427743 DOI: 10.1016/j.ijrobp.2009.02.030]</w:t>
      </w:r>
    </w:p>
    <w:p w14:paraId="74CE8994" w14:textId="3D2DBD4B" w:rsidR="00F65D45" w:rsidRPr="00F65D45" w:rsidRDefault="00F65D45" w:rsidP="00F65D45">
      <w:pPr>
        <w:spacing w:line="360" w:lineRule="auto"/>
        <w:jc w:val="both"/>
        <w:rPr>
          <w:rFonts w:ascii="Book Antiqua" w:hAnsi="Book Antiqua"/>
        </w:rPr>
      </w:pPr>
      <w:r w:rsidRPr="00F65D45">
        <w:rPr>
          <w:rFonts w:ascii="Book Antiqua" w:hAnsi="Book Antiqua"/>
        </w:rPr>
        <w:t xml:space="preserve">74 </w:t>
      </w:r>
      <w:r w:rsidRPr="00F65D45">
        <w:rPr>
          <w:rFonts w:ascii="Book Antiqua" w:hAnsi="Book Antiqua"/>
          <w:b/>
        </w:rPr>
        <w:t>Ohara K</w:t>
      </w:r>
      <w:r w:rsidRPr="00F65D45">
        <w:rPr>
          <w:rFonts w:ascii="Book Antiqua" w:hAnsi="Book Antiqua"/>
        </w:rPr>
        <w:t xml:space="preserve">, Okumura T, Tsuji H, Chiba T, Min M, Tatsuzaki H, Tsujii H, Akine Y, Itai Y. Radiation tolerance of cirrhotic livers in relation to the preserved functional capacity: analysis of patients with hepatocellular carcinoma treated by focused proton beam radiotherapy. </w:t>
      </w:r>
      <w:r w:rsidRPr="00F65D45">
        <w:rPr>
          <w:rFonts w:ascii="Book Antiqua" w:hAnsi="Book Antiqua"/>
          <w:i/>
        </w:rPr>
        <w:t>Int J Radiat Oncol Biol Phys</w:t>
      </w:r>
      <w:r w:rsidRPr="00F65D45">
        <w:rPr>
          <w:rFonts w:ascii="Book Antiqua" w:hAnsi="Book Antiqua"/>
        </w:rPr>
        <w:t xml:space="preserve"> 1997; </w:t>
      </w:r>
      <w:r w:rsidRPr="00F65D45">
        <w:rPr>
          <w:rFonts w:ascii="Book Antiqua" w:hAnsi="Book Antiqua"/>
          <w:b/>
        </w:rPr>
        <w:t>38</w:t>
      </w:r>
      <w:r w:rsidRPr="00F65D45">
        <w:rPr>
          <w:rFonts w:ascii="Book Antiqua" w:hAnsi="Book Antiqua"/>
        </w:rPr>
        <w:t>: 367-372 [PMID: 9226325</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10.1016/S0360-3016(96)00587-1</w:t>
      </w:r>
      <w:r w:rsidRPr="00F65D45">
        <w:rPr>
          <w:rFonts w:ascii="Book Antiqua" w:hAnsi="Book Antiqua"/>
        </w:rPr>
        <w:t>]</w:t>
      </w:r>
    </w:p>
    <w:p w14:paraId="3280E1BC"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75 </w:t>
      </w:r>
      <w:r w:rsidRPr="00F65D45">
        <w:rPr>
          <w:rFonts w:ascii="Book Antiqua" w:hAnsi="Book Antiqua"/>
          <w:b/>
        </w:rPr>
        <w:t>Hata M</w:t>
      </w:r>
      <w:r w:rsidRPr="00F65D45">
        <w:rPr>
          <w:rFonts w:ascii="Book Antiqua" w:hAnsi="Book Antiqua"/>
        </w:rPr>
        <w:t xml:space="preserve">, Tokuuye K, Sugahara S, Fukumitsu N, Hashimoto T, Ohnishi K, Nemoto K, Ohara K, Matsuzaki Y, Akine Y. Proton beam therapy for hepatocellular carcinoma patients with severe cirrhosis. </w:t>
      </w:r>
      <w:r w:rsidRPr="00F65D45">
        <w:rPr>
          <w:rFonts w:ascii="Book Antiqua" w:hAnsi="Book Antiqua"/>
          <w:i/>
        </w:rPr>
        <w:t>Strahlenther Onkol</w:t>
      </w:r>
      <w:r w:rsidRPr="00F65D45">
        <w:rPr>
          <w:rFonts w:ascii="Book Antiqua" w:hAnsi="Book Antiqua"/>
        </w:rPr>
        <w:t xml:space="preserve"> 2006; </w:t>
      </w:r>
      <w:r w:rsidRPr="00F65D45">
        <w:rPr>
          <w:rFonts w:ascii="Book Antiqua" w:hAnsi="Book Antiqua"/>
          <w:b/>
        </w:rPr>
        <w:t>182</w:t>
      </w:r>
      <w:r w:rsidRPr="00F65D45">
        <w:rPr>
          <w:rFonts w:ascii="Book Antiqua" w:hAnsi="Book Antiqua"/>
        </w:rPr>
        <w:t>: 713-720 [PMID: 17149578 DOI: 10.1007/s00066-006-1564-2]</w:t>
      </w:r>
    </w:p>
    <w:p w14:paraId="1560C397"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76 </w:t>
      </w:r>
      <w:r w:rsidRPr="00F65D45">
        <w:rPr>
          <w:rFonts w:ascii="Book Antiqua" w:hAnsi="Book Antiqua"/>
          <w:b/>
        </w:rPr>
        <w:t>Hata M</w:t>
      </w:r>
      <w:r w:rsidRPr="00F65D45">
        <w:rPr>
          <w:rFonts w:ascii="Book Antiqua" w:hAnsi="Book Antiqua"/>
        </w:rPr>
        <w:t xml:space="preserve">, Tokuuye K, Sugahara S, Tohno E, Fukumitsu N, Hashimoto T, Ohnishi K, Nemoto K, Ohara K, Sakae T, Akine Y. Proton irradiation in a single fraction for hepatocellular carcinoma patients with uncontrollable ascites. Technical considerations and results. </w:t>
      </w:r>
      <w:r w:rsidRPr="00F65D45">
        <w:rPr>
          <w:rFonts w:ascii="Book Antiqua" w:hAnsi="Book Antiqua"/>
          <w:i/>
        </w:rPr>
        <w:t>Strahlenther Onkol</w:t>
      </w:r>
      <w:r w:rsidRPr="00F65D45">
        <w:rPr>
          <w:rFonts w:ascii="Book Antiqua" w:hAnsi="Book Antiqua"/>
        </w:rPr>
        <w:t xml:space="preserve"> 2007; </w:t>
      </w:r>
      <w:r w:rsidRPr="00F65D45">
        <w:rPr>
          <w:rFonts w:ascii="Book Antiqua" w:hAnsi="Book Antiqua"/>
          <w:b/>
        </w:rPr>
        <w:t>183</w:t>
      </w:r>
      <w:r w:rsidRPr="00F65D45">
        <w:rPr>
          <w:rFonts w:ascii="Book Antiqua" w:hAnsi="Book Antiqua"/>
        </w:rPr>
        <w:t>: 411-416 [PMID: 17680219 DOI: 10.1007/s00066-007-1640-2]</w:t>
      </w:r>
    </w:p>
    <w:p w14:paraId="3C3C269C"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77 </w:t>
      </w:r>
      <w:r w:rsidRPr="00F65D45">
        <w:rPr>
          <w:rFonts w:ascii="Book Antiqua" w:hAnsi="Book Antiqua"/>
          <w:b/>
        </w:rPr>
        <w:t>Kawashima M</w:t>
      </w:r>
      <w:r w:rsidRPr="00F65D45">
        <w:rPr>
          <w:rFonts w:ascii="Book Antiqua" w:hAnsi="Book Antiqua"/>
        </w:rPr>
        <w:t xml:space="preserve">, Kohno R, Nakachi K, Nishio T, Mitsunaga S, Ikeda M, Konishi M, Takahashi S, Gotohda N, Arahira S, Zenda S, Ogino T, Kinoshita T. Dose-volume histogram analysis of the safety of proton beam therapy for unresectable hepatocellular carcinoma. </w:t>
      </w:r>
      <w:r w:rsidRPr="00F65D45">
        <w:rPr>
          <w:rFonts w:ascii="Book Antiqua" w:hAnsi="Book Antiqua"/>
          <w:i/>
        </w:rPr>
        <w:t>Int J Radiat Oncol Biol Phys</w:t>
      </w:r>
      <w:r w:rsidRPr="00F65D45">
        <w:rPr>
          <w:rFonts w:ascii="Book Antiqua" w:hAnsi="Book Antiqua"/>
        </w:rPr>
        <w:t xml:space="preserve"> 2011; </w:t>
      </w:r>
      <w:r w:rsidRPr="00F65D45">
        <w:rPr>
          <w:rFonts w:ascii="Book Antiqua" w:hAnsi="Book Antiqua"/>
          <w:b/>
        </w:rPr>
        <w:t>79</w:t>
      </w:r>
      <w:r w:rsidRPr="00F65D45">
        <w:rPr>
          <w:rFonts w:ascii="Book Antiqua" w:hAnsi="Book Antiqua"/>
        </w:rPr>
        <w:t>: 1479-1486 [PMID: 20605350 DOI: 10.1016/j.ijrobp.2009.12.048]</w:t>
      </w:r>
    </w:p>
    <w:p w14:paraId="6AA215B2"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78 </w:t>
      </w:r>
      <w:r w:rsidRPr="00F65D45">
        <w:rPr>
          <w:rFonts w:ascii="Book Antiqua" w:hAnsi="Book Antiqua"/>
          <w:b/>
        </w:rPr>
        <w:t>Kim JW</w:t>
      </w:r>
      <w:r w:rsidRPr="00F65D45">
        <w:rPr>
          <w:rFonts w:ascii="Book Antiqua" w:hAnsi="Book Antiqua"/>
        </w:rPr>
        <w:t xml:space="preserve">, Seong J, Lee IJ, Woo JY, Han KH. Phase I dose escalation study of helical intensity-modulated radiotherapy-based stereotactic body radiotherapy for hepatocellular carcinoma. </w:t>
      </w:r>
      <w:r w:rsidRPr="00F65D45">
        <w:rPr>
          <w:rFonts w:ascii="Book Antiqua" w:hAnsi="Book Antiqua"/>
          <w:i/>
        </w:rPr>
        <w:t>Oncotarget</w:t>
      </w:r>
      <w:r w:rsidRPr="00F65D45">
        <w:rPr>
          <w:rFonts w:ascii="Book Antiqua" w:hAnsi="Book Antiqua"/>
        </w:rPr>
        <w:t xml:space="preserve"> 2016; </w:t>
      </w:r>
      <w:r w:rsidRPr="00F65D45">
        <w:rPr>
          <w:rFonts w:ascii="Book Antiqua" w:hAnsi="Book Antiqua"/>
          <w:b/>
        </w:rPr>
        <w:t>7</w:t>
      </w:r>
      <w:r w:rsidRPr="00F65D45">
        <w:rPr>
          <w:rFonts w:ascii="Book Antiqua" w:hAnsi="Book Antiqua"/>
        </w:rPr>
        <w:t>: 40756-40766 [PMID: 27213593 DOI: 10.18632/oncotarget.9450]</w:t>
      </w:r>
    </w:p>
    <w:p w14:paraId="67274480" w14:textId="15CC6187" w:rsidR="00F65D45" w:rsidRPr="00F65D45" w:rsidRDefault="00F65D45" w:rsidP="00F65D45">
      <w:pPr>
        <w:spacing w:line="360" w:lineRule="auto"/>
        <w:jc w:val="both"/>
        <w:rPr>
          <w:rFonts w:ascii="Book Antiqua" w:hAnsi="Book Antiqua"/>
        </w:rPr>
      </w:pPr>
      <w:r w:rsidRPr="00F65D45">
        <w:rPr>
          <w:rFonts w:ascii="Book Antiqua" w:hAnsi="Book Antiqua"/>
        </w:rPr>
        <w:t xml:space="preserve">79 </w:t>
      </w:r>
      <w:r w:rsidRPr="00F65D45">
        <w:rPr>
          <w:rFonts w:ascii="Book Antiqua" w:hAnsi="Book Antiqua"/>
          <w:b/>
        </w:rPr>
        <w:t>Chen LS</w:t>
      </w:r>
      <w:r w:rsidRPr="00F65D45">
        <w:rPr>
          <w:rFonts w:ascii="Book Antiqua" w:hAnsi="Book Antiqua"/>
        </w:rPr>
        <w:t xml:space="preserve">, Lin HC, Hwang SJ, Lee FY, Hou MC, Lee SD. Prevalence of gastric ulcer in cirrhotic patients and its relation to portal hypertension. </w:t>
      </w:r>
      <w:r w:rsidRPr="00F65D45">
        <w:rPr>
          <w:rFonts w:ascii="Book Antiqua" w:hAnsi="Book Antiqua"/>
          <w:i/>
        </w:rPr>
        <w:t>J Gastroenterol Hepatol</w:t>
      </w:r>
      <w:r w:rsidRPr="00F65D45">
        <w:rPr>
          <w:rFonts w:ascii="Book Antiqua" w:hAnsi="Book Antiqua"/>
        </w:rPr>
        <w:t xml:space="preserve"> 1996; </w:t>
      </w:r>
      <w:r w:rsidRPr="00F65D45">
        <w:rPr>
          <w:rFonts w:ascii="Book Antiqua" w:hAnsi="Book Antiqua"/>
          <w:b/>
        </w:rPr>
        <w:t>11</w:t>
      </w:r>
      <w:r w:rsidRPr="00F65D45">
        <w:rPr>
          <w:rFonts w:ascii="Book Antiqua" w:hAnsi="Book Antiqua"/>
        </w:rPr>
        <w:t>: 59-64 [PMID: 8672743</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10.1111/j.1440-1746.1996.tb00011.x</w:t>
      </w:r>
      <w:r w:rsidRPr="00F65D45">
        <w:rPr>
          <w:rFonts w:ascii="Book Antiqua" w:hAnsi="Book Antiqua"/>
        </w:rPr>
        <w:t>]</w:t>
      </w:r>
    </w:p>
    <w:p w14:paraId="687BBF7C" w14:textId="6DC3530F" w:rsidR="00F65D45" w:rsidRPr="00F65D45" w:rsidRDefault="00F65D45" w:rsidP="00F65D45">
      <w:pPr>
        <w:spacing w:line="360" w:lineRule="auto"/>
        <w:jc w:val="both"/>
        <w:rPr>
          <w:rFonts w:ascii="Book Antiqua" w:hAnsi="Book Antiqua"/>
        </w:rPr>
      </w:pPr>
      <w:r w:rsidRPr="00F65D45">
        <w:rPr>
          <w:rFonts w:ascii="Book Antiqua" w:hAnsi="Book Antiqua"/>
        </w:rPr>
        <w:t xml:space="preserve">80 </w:t>
      </w:r>
      <w:r w:rsidRPr="00F65D45">
        <w:rPr>
          <w:rFonts w:ascii="Book Antiqua" w:hAnsi="Book Antiqua"/>
          <w:b/>
        </w:rPr>
        <w:t>Kitano S</w:t>
      </w:r>
      <w:r w:rsidRPr="00F65D45">
        <w:rPr>
          <w:rFonts w:ascii="Book Antiqua" w:hAnsi="Book Antiqua"/>
        </w:rPr>
        <w:t xml:space="preserve">, Dolgor B. Does portal hypertension contribute to the pathogenesis of gastric ulcer associated with liver cirrhosis? </w:t>
      </w:r>
      <w:r w:rsidRPr="00F65D45">
        <w:rPr>
          <w:rFonts w:ascii="Book Antiqua" w:hAnsi="Book Antiqua"/>
          <w:i/>
        </w:rPr>
        <w:t>J Gastroenterol</w:t>
      </w:r>
      <w:r w:rsidRPr="00F65D45">
        <w:rPr>
          <w:rFonts w:ascii="Book Antiqua" w:hAnsi="Book Antiqua"/>
        </w:rPr>
        <w:t xml:space="preserve"> 2000; </w:t>
      </w:r>
      <w:r w:rsidRPr="00F65D45">
        <w:rPr>
          <w:rFonts w:ascii="Book Antiqua" w:hAnsi="Book Antiqua"/>
          <w:b/>
        </w:rPr>
        <w:t>35</w:t>
      </w:r>
      <w:r w:rsidRPr="00F65D45">
        <w:rPr>
          <w:rFonts w:ascii="Book Antiqua" w:hAnsi="Book Antiqua"/>
        </w:rPr>
        <w:t>: 79-86 [PMID: 10680661</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10.1007/s005350050018</w:t>
      </w:r>
      <w:r w:rsidRPr="00F65D45">
        <w:rPr>
          <w:rFonts w:ascii="Book Antiqua" w:hAnsi="Book Antiqua"/>
        </w:rPr>
        <w:t>]</w:t>
      </w:r>
    </w:p>
    <w:p w14:paraId="6E6DE1D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81 </w:t>
      </w:r>
      <w:r w:rsidRPr="00F65D45">
        <w:rPr>
          <w:rFonts w:ascii="Book Antiqua" w:hAnsi="Book Antiqua"/>
          <w:b/>
        </w:rPr>
        <w:t>Chiba T</w:t>
      </w:r>
      <w:r w:rsidRPr="00F65D45">
        <w:rPr>
          <w:rFonts w:ascii="Book Antiqua" w:hAnsi="Book Antiqua"/>
        </w:rPr>
        <w:t xml:space="preserve">, Tokuuye K, Matsuzaki Y, Sugahara S, Chuganji Y, Kagei K, Shoda J, Hata M, Abei M, Igaki H, Tanaka N, Akine Y. Proton beam therapy for hepatocellular carcinoma: a retrospective review of 162 patients. </w:t>
      </w:r>
      <w:r w:rsidRPr="00F65D45">
        <w:rPr>
          <w:rFonts w:ascii="Book Antiqua" w:hAnsi="Book Antiqua"/>
          <w:i/>
        </w:rPr>
        <w:t>Clin Cancer Res</w:t>
      </w:r>
      <w:r w:rsidRPr="00F65D45">
        <w:rPr>
          <w:rFonts w:ascii="Book Antiqua" w:hAnsi="Book Antiqua"/>
        </w:rPr>
        <w:t xml:space="preserve"> 2005; </w:t>
      </w:r>
      <w:r w:rsidRPr="00F65D45">
        <w:rPr>
          <w:rFonts w:ascii="Book Antiqua" w:hAnsi="Book Antiqua"/>
          <w:b/>
        </w:rPr>
        <w:t>11</w:t>
      </w:r>
      <w:r w:rsidRPr="00F65D45">
        <w:rPr>
          <w:rFonts w:ascii="Book Antiqua" w:hAnsi="Book Antiqua"/>
        </w:rPr>
        <w:t>: 3799-3805 [PMID: 15897579 DOI: 10.1158/1078-0432.CCR-04-1350]</w:t>
      </w:r>
    </w:p>
    <w:p w14:paraId="087E079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82 </w:t>
      </w:r>
      <w:r w:rsidRPr="00F65D45">
        <w:rPr>
          <w:rFonts w:ascii="Book Antiqua" w:hAnsi="Book Antiqua"/>
          <w:b/>
        </w:rPr>
        <w:t>Indelicato DJ</w:t>
      </w:r>
      <w:r w:rsidRPr="00F65D45">
        <w:rPr>
          <w:rFonts w:ascii="Book Antiqua" w:hAnsi="Book Antiqua"/>
        </w:rPr>
        <w:t xml:space="preserve">, Flampouri S, Rotondo RL, Bradley JA, Morris CG, Aldana PR, Sandler E, Mendenhall NP. Incidence and dosimetric parameters of pediatric brainstem toxicity following proton therapy. </w:t>
      </w:r>
      <w:r w:rsidRPr="00F65D45">
        <w:rPr>
          <w:rFonts w:ascii="Book Antiqua" w:hAnsi="Book Antiqua"/>
          <w:i/>
        </w:rPr>
        <w:t>Acta Oncol</w:t>
      </w:r>
      <w:r w:rsidRPr="00F65D45">
        <w:rPr>
          <w:rFonts w:ascii="Book Antiqua" w:hAnsi="Book Antiqua"/>
        </w:rPr>
        <w:t xml:space="preserve"> 2014; </w:t>
      </w:r>
      <w:r w:rsidRPr="00F65D45">
        <w:rPr>
          <w:rFonts w:ascii="Book Antiqua" w:hAnsi="Book Antiqua"/>
          <w:b/>
        </w:rPr>
        <w:t>53</w:t>
      </w:r>
      <w:r w:rsidRPr="00F65D45">
        <w:rPr>
          <w:rFonts w:ascii="Book Antiqua" w:hAnsi="Book Antiqua"/>
        </w:rPr>
        <w:t>: 1298-1304 [PMID: 25279957 DOI: 10.3109/0284186X.2014.957414]</w:t>
      </w:r>
    </w:p>
    <w:p w14:paraId="65F609E3"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83 </w:t>
      </w:r>
      <w:r w:rsidRPr="00F65D45">
        <w:rPr>
          <w:rFonts w:ascii="Book Antiqua" w:hAnsi="Book Antiqua"/>
          <w:b/>
        </w:rPr>
        <w:t>Giantsoudi D</w:t>
      </w:r>
      <w:r w:rsidRPr="00F65D45">
        <w:rPr>
          <w:rFonts w:ascii="Book Antiqua" w:hAnsi="Book Antiqua"/>
        </w:rPr>
        <w:t xml:space="preserve">, Sethi RV, Yeap BY, Eaton BR, Ebb DH, Caruso PA, Rapalino O, Chen YL, Adams JA, Yock TI, Tarbell NJ, Paganetti H, MacDonald SM. Incidence of CNS Injury for a Cohort of 111 Patients Treated With Proton Therapy for Medulloblastoma: LET and RBE Associations for Areas of Injury. </w:t>
      </w:r>
      <w:r w:rsidRPr="00F65D45">
        <w:rPr>
          <w:rFonts w:ascii="Book Antiqua" w:hAnsi="Book Antiqua"/>
          <w:i/>
        </w:rPr>
        <w:t>Int J Radiat Oncol Biol Phys</w:t>
      </w:r>
      <w:r w:rsidRPr="00F65D45">
        <w:rPr>
          <w:rFonts w:ascii="Book Antiqua" w:hAnsi="Book Antiqua"/>
        </w:rPr>
        <w:t xml:space="preserve"> 2016; </w:t>
      </w:r>
      <w:r w:rsidRPr="00F65D45">
        <w:rPr>
          <w:rFonts w:ascii="Book Antiqua" w:hAnsi="Book Antiqua"/>
          <w:b/>
        </w:rPr>
        <w:t>95</w:t>
      </w:r>
      <w:r w:rsidRPr="00F65D45">
        <w:rPr>
          <w:rFonts w:ascii="Book Antiqua" w:hAnsi="Book Antiqua"/>
        </w:rPr>
        <w:t>: 287-296 [PMID: 26691786 DOI: 10.1016/j.ijrobp.2015.09.015]</w:t>
      </w:r>
    </w:p>
    <w:p w14:paraId="2AE64818" w14:textId="4283E08A" w:rsidR="00F65D45" w:rsidRPr="00F65D45" w:rsidRDefault="00F65D45" w:rsidP="00F65D45">
      <w:pPr>
        <w:spacing w:line="360" w:lineRule="auto"/>
        <w:jc w:val="both"/>
        <w:rPr>
          <w:rFonts w:ascii="Book Antiqua" w:hAnsi="Book Antiqua"/>
        </w:rPr>
      </w:pPr>
      <w:r w:rsidRPr="00F65D45">
        <w:rPr>
          <w:rFonts w:ascii="Book Antiqua" w:hAnsi="Book Antiqua"/>
        </w:rPr>
        <w:t xml:space="preserve">84 </w:t>
      </w:r>
      <w:r w:rsidRPr="00F65D45">
        <w:rPr>
          <w:rFonts w:ascii="Book Antiqua" w:hAnsi="Book Antiqua"/>
          <w:b/>
        </w:rPr>
        <w:t>Komatsu S</w:t>
      </w:r>
      <w:r w:rsidRPr="00F65D45">
        <w:rPr>
          <w:rFonts w:ascii="Book Antiqua" w:hAnsi="Book Antiqua"/>
        </w:rPr>
        <w:t xml:space="preserve">, Hori Y, Fukumoto T, Murakami M, Hishikawa Y, Ku Y. Surgical spacer placement and proton radiotherapy for unresectable hepatocellular carcinoma. </w:t>
      </w:r>
      <w:r w:rsidRPr="00F65D45">
        <w:rPr>
          <w:rFonts w:ascii="Book Antiqua" w:hAnsi="Book Antiqua"/>
          <w:i/>
        </w:rPr>
        <w:t>World J Gastroenterol</w:t>
      </w:r>
      <w:r w:rsidRPr="00F65D45">
        <w:rPr>
          <w:rFonts w:ascii="Book Antiqua" w:hAnsi="Book Antiqua"/>
        </w:rPr>
        <w:t xml:space="preserve"> 2010; </w:t>
      </w:r>
      <w:r w:rsidRPr="00F65D45">
        <w:rPr>
          <w:rFonts w:ascii="Book Antiqua" w:hAnsi="Book Antiqua"/>
          <w:b/>
        </w:rPr>
        <w:t>16</w:t>
      </w:r>
      <w:r w:rsidRPr="00F65D45">
        <w:rPr>
          <w:rFonts w:ascii="Book Antiqua" w:hAnsi="Book Antiqua"/>
        </w:rPr>
        <w:t>: 1800-1803 [PMID: 20380016</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10.3748/wjg.v16.i14.1800</w:t>
      </w:r>
      <w:r w:rsidRPr="00F65D45">
        <w:rPr>
          <w:rFonts w:ascii="Book Antiqua" w:hAnsi="Book Antiqua"/>
        </w:rPr>
        <w:t>]</w:t>
      </w:r>
    </w:p>
    <w:p w14:paraId="5F689982" w14:textId="40BED467" w:rsidR="00F65D45" w:rsidRPr="00F65D45" w:rsidRDefault="00F65D45" w:rsidP="00F65D45">
      <w:pPr>
        <w:spacing w:line="360" w:lineRule="auto"/>
        <w:jc w:val="both"/>
        <w:rPr>
          <w:rFonts w:ascii="Book Antiqua" w:hAnsi="Book Antiqua"/>
        </w:rPr>
      </w:pPr>
      <w:r w:rsidRPr="00F65D45">
        <w:rPr>
          <w:rFonts w:ascii="Book Antiqua" w:hAnsi="Book Antiqua"/>
        </w:rPr>
        <w:t xml:space="preserve">85 </w:t>
      </w:r>
      <w:r w:rsidRPr="00F65D45">
        <w:rPr>
          <w:rFonts w:ascii="Book Antiqua" w:hAnsi="Book Antiqua"/>
          <w:b/>
        </w:rPr>
        <w:t>Cherqui D</w:t>
      </w:r>
      <w:r w:rsidRPr="00F65D45">
        <w:rPr>
          <w:rFonts w:ascii="Book Antiqua" w:hAnsi="Book Antiqua"/>
        </w:rPr>
        <w:t xml:space="preserve">, Palazzo L, Piedbois P, Charlotte F, Duvoux C, Duron JJ, Fagniez PL, Valla D. Common bile duct stricture as a late complication of upper abdominal </w:t>
      </w:r>
      <w:r w:rsidRPr="00F65D45">
        <w:rPr>
          <w:rFonts w:ascii="Book Antiqua" w:hAnsi="Book Antiqua"/>
        </w:rPr>
        <w:lastRenderedPageBreak/>
        <w:t xml:space="preserve">radiotherapy. </w:t>
      </w:r>
      <w:r w:rsidRPr="00F65D45">
        <w:rPr>
          <w:rFonts w:ascii="Book Antiqua" w:hAnsi="Book Antiqua"/>
          <w:i/>
        </w:rPr>
        <w:t>J Hepatol</w:t>
      </w:r>
      <w:r w:rsidRPr="00F65D45">
        <w:rPr>
          <w:rFonts w:ascii="Book Antiqua" w:hAnsi="Book Antiqua"/>
        </w:rPr>
        <w:t xml:space="preserve"> 1994; </w:t>
      </w:r>
      <w:r w:rsidRPr="00F65D45">
        <w:rPr>
          <w:rFonts w:ascii="Book Antiqua" w:hAnsi="Book Antiqua"/>
          <w:b/>
        </w:rPr>
        <w:t>20</w:t>
      </w:r>
      <w:r w:rsidRPr="00F65D45">
        <w:rPr>
          <w:rFonts w:ascii="Book Antiqua" w:hAnsi="Book Antiqua"/>
        </w:rPr>
        <w:t>: 693-697 [PMID: 7930466</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10.1016/S0168-8278(05)80136-9</w:t>
      </w:r>
      <w:r w:rsidRPr="00F65D45">
        <w:rPr>
          <w:rFonts w:ascii="Book Antiqua" w:hAnsi="Book Antiqua"/>
        </w:rPr>
        <w:t>]</w:t>
      </w:r>
    </w:p>
    <w:p w14:paraId="4AD5F36E" w14:textId="54A1013E" w:rsidR="00F65D45" w:rsidRPr="00F65D45" w:rsidRDefault="00F65D45" w:rsidP="00F65D45">
      <w:pPr>
        <w:spacing w:line="360" w:lineRule="auto"/>
        <w:jc w:val="both"/>
        <w:rPr>
          <w:rFonts w:ascii="Book Antiqua" w:hAnsi="Book Antiqua"/>
        </w:rPr>
      </w:pPr>
      <w:r w:rsidRPr="00F65D45">
        <w:rPr>
          <w:rFonts w:ascii="Book Antiqua" w:hAnsi="Book Antiqua"/>
        </w:rPr>
        <w:t xml:space="preserve">86 </w:t>
      </w:r>
      <w:r w:rsidRPr="00F65D45">
        <w:rPr>
          <w:rFonts w:ascii="Book Antiqua" w:hAnsi="Book Antiqua"/>
          <w:b/>
        </w:rPr>
        <w:t>Halevy A</w:t>
      </w:r>
      <w:r w:rsidRPr="00F65D45">
        <w:rPr>
          <w:rFonts w:ascii="Book Antiqua" w:hAnsi="Book Antiqua"/>
        </w:rPr>
        <w:t xml:space="preserve">, Adam A, Stamp G, Benjamin IS, Blumgart LH. Radiation stricture of the biliary ducts: an emerging new entity? </w:t>
      </w:r>
      <w:r w:rsidRPr="00F65D45">
        <w:rPr>
          <w:rFonts w:ascii="Book Antiqua" w:hAnsi="Book Antiqua"/>
          <w:i/>
        </w:rPr>
        <w:t>HPB Surg</w:t>
      </w:r>
      <w:r w:rsidRPr="00F65D45">
        <w:rPr>
          <w:rFonts w:ascii="Book Antiqua" w:hAnsi="Book Antiqua"/>
        </w:rPr>
        <w:t xml:space="preserve"> 1992; </w:t>
      </w:r>
      <w:r w:rsidRPr="00F65D45">
        <w:rPr>
          <w:rFonts w:ascii="Book Antiqua" w:hAnsi="Book Antiqua"/>
          <w:b/>
        </w:rPr>
        <w:t>5</w:t>
      </w:r>
      <w:r w:rsidRPr="00F65D45">
        <w:rPr>
          <w:rFonts w:ascii="Book Antiqua" w:hAnsi="Book Antiqua"/>
        </w:rPr>
        <w:t>: 267-270 [PMID: 1390364</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10.1155/1992/52618</w:t>
      </w:r>
      <w:r w:rsidRPr="00F65D45">
        <w:rPr>
          <w:rFonts w:ascii="Book Antiqua" w:hAnsi="Book Antiqua"/>
        </w:rPr>
        <w:t>]</w:t>
      </w:r>
    </w:p>
    <w:p w14:paraId="0CE8AFAF"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87 </w:t>
      </w:r>
      <w:r w:rsidRPr="00F65D45">
        <w:rPr>
          <w:rFonts w:ascii="Book Antiqua" w:hAnsi="Book Antiqua"/>
          <w:b/>
        </w:rPr>
        <w:t>Eriguchi T</w:t>
      </w:r>
      <w:r w:rsidRPr="00F65D45">
        <w:rPr>
          <w:rFonts w:ascii="Book Antiqua" w:hAnsi="Book Antiqua"/>
        </w:rPr>
        <w:t xml:space="preserve">, Takeda A, Sanuki N, Oku Y, Aoki Y, Shigematsu N, Kunieda E. Acceptable toxicity after stereotactic body radiation therapy for liver tumors adjacent to the central biliary system. </w:t>
      </w:r>
      <w:r w:rsidRPr="00F65D45">
        <w:rPr>
          <w:rFonts w:ascii="Book Antiqua" w:hAnsi="Book Antiqua"/>
          <w:i/>
        </w:rPr>
        <w:t>Int J Radiat Oncol Biol Phys</w:t>
      </w:r>
      <w:r w:rsidRPr="00F65D45">
        <w:rPr>
          <w:rFonts w:ascii="Book Antiqua" w:hAnsi="Book Antiqua"/>
        </w:rPr>
        <w:t xml:space="preserve"> 2013; </w:t>
      </w:r>
      <w:r w:rsidRPr="00F65D45">
        <w:rPr>
          <w:rFonts w:ascii="Book Antiqua" w:hAnsi="Book Antiqua"/>
          <w:b/>
        </w:rPr>
        <w:t>85</w:t>
      </w:r>
      <w:r w:rsidRPr="00F65D45">
        <w:rPr>
          <w:rFonts w:ascii="Book Antiqua" w:hAnsi="Book Antiqua"/>
        </w:rPr>
        <w:t>: 1006-1011 [PMID: 23102838 DOI: 10.1016/j.ijrobp.2012.09.012]</w:t>
      </w:r>
    </w:p>
    <w:p w14:paraId="55A8958E"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88 </w:t>
      </w:r>
      <w:r w:rsidRPr="00F65D45">
        <w:rPr>
          <w:rFonts w:ascii="Book Antiqua" w:hAnsi="Book Antiqua"/>
          <w:b/>
        </w:rPr>
        <w:t>Yu JI</w:t>
      </w:r>
      <w:r w:rsidRPr="00F65D45">
        <w:rPr>
          <w:rFonts w:ascii="Book Antiqua" w:hAnsi="Book Antiqua"/>
        </w:rPr>
        <w:t xml:space="preserve">, Park HC, Lim DH, Paik SW. Do Biliary Complications after Hypofractionated Radiation Therapy in Hepatocellular Carcinoma Matter? </w:t>
      </w:r>
      <w:r w:rsidRPr="00F65D45">
        <w:rPr>
          <w:rFonts w:ascii="Book Antiqua" w:hAnsi="Book Antiqua"/>
          <w:i/>
        </w:rPr>
        <w:t>Cancer Res Treat</w:t>
      </w:r>
      <w:r w:rsidRPr="00F65D45">
        <w:rPr>
          <w:rFonts w:ascii="Book Antiqua" w:hAnsi="Book Antiqua"/>
        </w:rPr>
        <w:t xml:space="preserve"> 2016; </w:t>
      </w:r>
      <w:r w:rsidRPr="00F65D45">
        <w:rPr>
          <w:rFonts w:ascii="Book Antiqua" w:hAnsi="Book Antiqua"/>
          <w:b/>
        </w:rPr>
        <w:t>48</w:t>
      </w:r>
      <w:r w:rsidRPr="00F65D45">
        <w:rPr>
          <w:rFonts w:ascii="Book Antiqua" w:hAnsi="Book Antiqua"/>
        </w:rPr>
        <w:t>: 574-582 [PMID: 26194367 DOI: 10.4143/crt.2015.076]</w:t>
      </w:r>
    </w:p>
    <w:p w14:paraId="3F7E3F47"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89 </w:t>
      </w:r>
      <w:r w:rsidRPr="00F65D45">
        <w:rPr>
          <w:rFonts w:ascii="Book Antiqua" w:hAnsi="Book Antiqua"/>
          <w:b/>
        </w:rPr>
        <w:t>Kanemoto A</w:t>
      </w:r>
      <w:r w:rsidRPr="00F65D45">
        <w:rPr>
          <w:rFonts w:ascii="Book Antiqua" w:hAnsi="Book Antiqua"/>
        </w:rPr>
        <w:t xml:space="preserve">, Mizumoto M, Okumura T, Takahashi H, Hashimoto T, Oshiro Y, Fukumitsu N, Moritake T, Tsuboi K, Sakae T, Sakurai H. Dose-volume histogram analysis for risk factors of radiation-induced rib fracture after hypofractionated proton beam therapy for hepatocellular carcinoma. </w:t>
      </w:r>
      <w:r w:rsidRPr="00F65D45">
        <w:rPr>
          <w:rFonts w:ascii="Book Antiqua" w:hAnsi="Book Antiqua"/>
          <w:i/>
        </w:rPr>
        <w:t>Acta Oncol</w:t>
      </w:r>
      <w:r w:rsidRPr="00F65D45">
        <w:rPr>
          <w:rFonts w:ascii="Book Antiqua" w:hAnsi="Book Antiqua"/>
        </w:rPr>
        <w:t xml:space="preserve"> 2013; </w:t>
      </w:r>
      <w:r w:rsidRPr="00F65D45">
        <w:rPr>
          <w:rFonts w:ascii="Book Antiqua" w:hAnsi="Book Antiqua"/>
          <w:b/>
        </w:rPr>
        <w:t>52</w:t>
      </w:r>
      <w:r w:rsidRPr="00F65D45">
        <w:rPr>
          <w:rFonts w:ascii="Book Antiqua" w:hAnsi="Book Antiqua"/>
        </w:rPr>
        <w:t>: 538-544 [PMID: 22950386 DOI: 10.3109/0284186X.2012.718094]</w:t>
      </w:r>
    </w:p>
    <w:p w14:paraId="694E66B3"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90 </w:t>
      </w:r>
      <w:r w:rsidRPr="00F65D45">
        <w:rPr>
          <w:rFonts w:ascii="Book Antiqua" w:hAnsi="Book Antiqua"/>
          <w:b/>
        </w:rPr>
        <w:t>Swanick CW</w:t>
      </w:r>
      <w:r w:rsidRPr="00F65D45">
        <w:rPr>
          <w:rFonts w:ascii="Book Antiqua" w:hAnsi="Book Antiqua"/>
        </w:rPr>
        <w:t xml:space="preserve">, Allen PK, Tao R, Olanrewaju AM, Sutton JR, Lin SH, Welsh J, Das P, Chang JY, Crane CH, Gomez DR. Incidence and predictors of chest wall toxicity after high-dose radiation therapy in 15 fractions. </w:t>
      </w:r>
      <w:r w:rsidRPr="00F65D45">
        <w:rPr>
          <w:rFonts w:ascii="Book Antiqua" w:hAnsi="Book Antiqua"/>
          <w:i/>
        </w:rPr>
        <w:t>Pract Radiat Oncol</w:t>
      </w:r>
      <w:r w:rsidRPr="00F65D45">
        <w:rPr>
          <w:rFonts w:ascii="Book Antiqua" w:hAnsi="Book Antiqua"/>
        </w:rPr>
        <w:t xml:space="preserve"> 2017; </w:t>
      </w:r>
      <w:r w:rsidRPr="00F65D45">
        <w:rPr>
          <w:rFonts w:ascii="Book Antiqua" w:hAnsi="Book Antiqua"/>
          <w:b/>
        </w:rPr>
        <w:t>7</w:t>
      </w:r>
      <w:r w:rsidRPr="00F65D45">
        <w:rPr>
          <w:rFonts w:ascii="Book Antiqua" w:hAnsi="Book Antiqua"/>
        </w:rPr>
        <w:t>: 63-71 [PMID: 27637136 DOI: 10.1016/j.prro.2016.05.009]</w:t>
      </w:r>
    </w:p>
    <w:p w14:paraId="7FC6CE0B" w14:textId="5F5BE776" w:rsidR="00F65D45" w:rsidRPr="00F65D45" w:rsidRDefault="00F65D45" w:rsidP="00F65D45">
      <w:pPr>
        <w:spacing w:line="360" w:lineRule="auto"/>
        <w:jc w:val="both"/>
        <w:rPr>
          <w:rFonts w:ascii="Book Antiqua" w:hAnsi="Book Antiqua"/>
        </w:rPr>
      </w:pPr>
      <w:r w:rsidRPr="00F65D45">
        <w:rPr>
          <w:rFonts w:ascii="Book Antiqua" w:hAnsi="Book Antiqua"/>
        </w:rPr>
        <w:t xml:space="preserve">91 </w:t>
      </w:r>
      <w:r w:rsidRPr="00F65D45">
        <w:rPr>
          <w:rFonts w:ascii="Book Antiqua" w:hAnsi="Book Antiqua"/>
          <w:b/>
        </w:rPr>
        <w:t>Yeung R</w:t>
      </w:r>
      <w:r w:rsidRPr="00F65D45">
        <w:rPr>
          <w:rFonts w:ascii="Book Antiqua" w:hAnsi="Book Antiqua"/>
        </w:rPr>
        <w:t xml:space="preserve">, Bowen SR, Chapman TR, MacLennan GT, Apisarnthanarax S. Chest wall toxicity after hypofractionated proton beam therapy for liver malignancies. </w:t>
      </w:r>
      <w:r w:rsidRPr="00F65D45">
        <w:rPr>
          <w:rFonts w:ascii="Book Antiqua" w:hAnsi="Book Antiqua"/>
          <w:i/>
        </w:rPr>
        <w:t>Pract Radiat Oncol</w:t>
      </w:r>
      <w:r w:rsidRPr="00F65D45">
        <w:rPr>
          <w:rFonts w:ascii="Book Antiqua" w:hAnsi="Book Antiqua"/>
        </w:rPr>
        <w:t xml:space="preserve"> 2017; </w:t>
      </w:r>
      <w:r w:rsidR="00503852" w:rsidRPr="00503852">
        <w:rPr>
          <w:rFonts w:ascii="Book Antiqua" w:hAnsi="Book Antiqua"/>
        </w:rPr>
        <w:t>Epub ahead of print</w:t>
      </w:r>
      <w:r w:rsidRPr="00F65D45">
        <w:rPr>
          <w:rFonts w:ascii="Book Antiqua" w:hAnsi="Book Antiqua"/>
        </w:rPr>
        <w:t xml:space="preserve"> [PMID: 29452863 DOI: 10.1016/j.prro.2017.12.007]</w:t>
      </w:r>
    </w:p>
    <w:p w14:paraId="08DB8737"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92 </w:t>
      </w:r>
      <w:r w:rsidRPr="00F65D45">
        <w:rPr>
          <w:rFonts w:ascii="Book Antiqua" w:hAnsi="Book Antiqua"/>
          <w:b/>
        </w:rPr>
        <w:t>Fukumitsu N</w:t>
      </w:r>
      <w:r w:rsidRPr="00F65D45">
        <w:rPr>
          <w:rFonts w:ascii="Book Antiqua" w:hAnsi="Book Antiqua"/>
        </w:rPr>
        <w:t xml:space="preserve">, Hashimoto T, Okumura T, Mizumoto M, Tohno E, Fukuda K, Abei M, Sakae T, Sakurai H. Investigation of the geometric accuracy of proton beam irradiation in the liver. </w:t>
      </w:r>
      <w:r w:rsidRPr="00F65D45">
        <w:rPr>
          <w:rFonts w:ascii="Book Antiqua" w:hAnsi="Book Antiqua"/>
          <w:i/>
        </w:rPr>
        <w:t>Int J Radiat Oncol Biol Phys</w:t>
      </w:r>
      <w:r w:rsidRPr="00F65D45">
        <w:rPr>
          <w:rFonts w:ascii="Book Antiqua" w:hAnsi="Book Antiqua"/>
        </w:rPr>
        <w:t xml:space="preserve"> 2012; </w:t>
      </w:r>
      <w:r w:rsidRPr="00F65D45">
        <w:rPr>
          <w:rFonts w:ascii="Book Antiqua" w:hAnsi="Book Antiqua"/>
          <w:b/>
        </w:rPr>
        <w:t>82</w:t>
      </w:r>
      <w:r w:rsidRPr="00F65D45">
        <w:rPr>
          <w:rFonts w:ascii="Book Antiqua" w:hAnsi="Book Antiqua"/>
        </w:rPr>
        <w:t>: 826-833 [PMID: 21236603 DOI: 10.1016/j.ijrobp.2010.10.028]</w:t>
      </w:r>
    </w:p>
    <w:p w14:paraId="68DF0F30" w14:textId="57D6F60A"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93 </w:t>
      </w:r>
      <w:r w:rsidRPr="00F65D45">
        <w:rPr>
          <w:rFonts w:ascii="Book Antiqua" w:hAnsi="Book Antiqua"/>
          <w:b/>
        </w:rPr>
        <w:t>Zhang Y</w:t>
      </w:r>
      <w:r w:rsidRPr="00F65D45">
        <w:rPr>
          <w:rFonts w:ascii="Book Antiqua" w:hAnsi="Book Antiqua"/>
        </w:rPr>
        <w:t xml:space="preserve">, Huth I, Weber DC, Lomax AJ. A statistical comparison of motion mitigation performances and robustness of various pencil beam scanned proton systems for liver tumour treatments. </w:t>
      </w:r>
      <w:r w:rsidRPr="00F65D45">
        <w:rPr>
          <w:rFonts w:ascii="Book Antiqua" w:hAnsi="Book Antiqua"/>
          <w:i/>
        </w:rPr>
        <w:t>Radiother Oncol</w:t>
      </w:r>
      <w:r w:rsidRPr="00F65D45">
        <w:rPr>
          <w:rFonts w:ascii="Book Antiqua" w:hAnsi="Book Antiqua"/>
        </w:rPr>
        <w:t xml:space="preserve"> 2018;</w:t>
      </w:r>
      <w:r w:rsidR="003830F4" w:rsidRPr="003830F4">
        <w:rPr>
          <w:rFonts w:ascii="Book Antiqua" w:hAnsi="Book Antiqua"/>
        </w:rPr>
        <w:t xml:space="preserve"> </w:t>
      </w:r>
      <w:r w:rsidR="003830F4" w:rsidRPr="00503852">
        <w:rPr>
          <w:rFonts w:ascii="Book Antiqua" w:hAnsi="Book Antiqua"/>
        </w:rPr>
        <w:t>Epub ahead of print</w:t>
      </w:r>
      <w:r w:rsidR="003830F4">
        <w:rPr>
          <w:rFonts w:ascii="Book Antiqua" w:eastAsia="SimSun" w:hAnsi="Book Antiqua" w:hint="eastAsia"/>
          <w:lang w:eastAsia="zh-CN"/>
        </w:rPr>
        <w:t xml:space="preserve"> </w:t>
      </w:r>
      <w:r w:rsidRPr="00F65D45">
        <w:rPr>
          <w:rFonts w:ascii="Book Antiqua" w:hAnsi="Book Antiqua"/>
        </w:rPr>
        <w:t>[PMID: 29459153 DOI: 10.1016/j.radonc.2018.01.019]</w:t>
      </w:r>
    </w:p>
    <w:p w14:paraId="505685D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94 </w:t>
      </w:r>
      <w:r w:rsidRPr="00F65D45">
        <w:rPr>
          <w:rFonts w:ascii="Book Antiqua" w:hAnsi="Book Antiqua"/>
          <w:b/>
        </w:rPr>
        <w:t>Hong TS</w:t>
      </w:r>
      <w:r w:rsidRPr="00F65D45">
        <w:rPr>
          <w:rFonts w:ascii="Book Antiqua" w:hAnsi="Book Antiqua"/>
        </w:rPr>
        <w:t xml:space="preserve">, DeLaney TF, Mamon HJ, Willett CG, Yeap BY, Niemierko A, Wolfgang JA, Lu HM, Adams J, Weyman EA, Arellano RS, Blaszkowsky LS, Allen JN, Tanabe KK, Ryan DP, Zhu AX. A prospective feasibility study of respiratory-gated proton beam therapy for liver tumors. </w:t>
      </w:r>
      <w:r w:rsidRPr="00F65D45">
        <w:rPr>
          <w:rFonts w:ascii="Book Antiqua" w:hAnsi="Book Antiqua"/>
          <w:i/>
        </w:rPr>
        <w:t>Pract Radiat Oncol</w:t>
      </w:r>
      <w:r w:rsidRPr="00F65D45">
        <w:rPr>
          <w:rFonts w:ascii="Book Antiqua" w:hAnsi="Book Antiqua"/>
        </w:rPr>
        <w:t xml:space="preserve"> 2014; </w:t>
      </w:r>
      <w:r w:rsidRPr="00F65D45">
        <w:rPr>
          <w:rFonts w:ascii="Book Antiqua" w:hAnsi="Book Antiqua"/>
          <w:b/>
        </w:rPr>
        <w:t>4</w:t>
      </w:r>
      <w:r w:rsidRPr="00F65D45">
        <w:rPr>
          <w:rFonts w:ascii="Book Antiqua" w:hAnsi="Book Antiqua"/>
        </w:rPr>
        <w:t>: 316-322 [PMID: 25194100 DOI: 10.1016/j.prro.2013.10.002]</w:t>
      </w:r>
    </w:p>
    <w:p w14:paraId="22598E6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95 </w:t>
      </w:r>
      <w:r w:rsidRPr="00F65D45">
        <w:rPr>
          <w:rFonts w:ascii="Book Antiqua" w:hAnsi="Book Antiqua"/>
          <w:b/>
        </w:rPr>
        <w:t>Yu JI</w:t>
      </w:r>
      <w:r w:rsidRPr="00F65D45">
        <w:rPr>
          <w:rFonts w:ascii="Book Antiqua" w:hAnsi="Book Antiqua"/>
        </w:rPr>
        <w:t xml:space="preserve">, Yoo GS, Cho S, Jung SH, Han Y, Park S, Lee B, Kang W, Sinn DH, Paik YH, Gwak GY, Choi MS, Lee JH, Koh KC, Paik SW, Park HC. Initial clinical outcomes of proton beam radiotherapy for hepatocellular carcinoma. </w:t>
      </w:r>
      <w:r w:rsidRPr="00F65D45">
        <w:rPr>
          <w:rFonts w:ascii="Book Antiqua" w:hAnsi="Book Antiqua"/>
          <w:i/>
        </w:rPr>
        <w:t>Radiat Oncol J</w:t>
      </w:r>
      <w:r w:rsidRPr="00F65D45">
        <w:rPr>
          <w:rFonts w:ascii="Book Antiqua" w:hAnsi="Book Antiqua"/>
        </w:rPr>
        <w:t xml:space="preserve"> 2018; </w:t>
      </w:r>
      <w:r w:rsidRPr="00F65D45">
        <w:rPr>
          <w:rFonts w:ascii="Book Antiqua" w:hAnsi="Book Antiqua"/>
          <w:b/>
        </w:rPr>
        <w:t>36</w:t>
      </w:r>
      <w:r w:rsidRPr="00F65D45">
        <w:rPr>
          <w:rFonts w:ascii="Book Antiqua" w:hAnsi="Book Antiqua"/>
        </w:rPr>
        <w:t>: 25-34 [PMID: 29580046 DOI: 10.3857/roj.2017.00409]</w:t>
      </w:r>
    </w:p>
    <w:p w14:paraId="60B8E493"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96 </w:t>
      </w:r>
      <w:r w:rsidRPr="00F65D45">
        <w:rPr>
          <w:rFonts w:ascii="Book Antiqua" w:hAnsi="Book Antiqua"/>
          <w:b/>
        </w:rPr>
        <w:t>Habermehl D</w:t>
      </w:r>
      <w:r w:rsidRPr="00F65D45">
        <w:rPr>
          <w:rFonts w:ascii="Book Antiqua" w:hAnsi="Book Antiqua"/>
        </w:rPr>
        <w:t xml:space="preserve">, Henkner K, Ecker S, Jäkel O, Debus J, Combs SE. Evaluation of different fiducial markers for image-guided radiotherapy and particle therapy. </w:t>
      </w:r>
      <w:r w:rsidRPr="00F65D45">
        <w:rPr>
          <w:rFonts w:ascii="Book Antiqua" w:hAnsi="Book Antiqua"/>
          <w:i/>
        </w:rPr>
        <w:t>J Radiat Res</w:t>
      </w:r>
      <w:r w:rsidRPr="00F65D45">
        <w:rPr>
          <w:rFonts w:ascii="Book Antiqua" w:hAnsi="Book Antiqua"/>
        </w:rPr>
        <w:t xml:space="preserve"> 2013; </w:t>
      </w:r>
      <w:r w:rsidRPr="00F65D45">
        <w:rPr>
          <w:rFonts w:ascii="Book Antiqua" w:hAnsi="Book Antiqua"/>
          <w:b/>
        </w:rPr>
        <w:t>54 Suppl 1</w:t>
      </w:r>
      <w:r w:rsidRPr="00F65D45">
        <w:rPr>
          <w:rFonts w:ascii="Book Antiqua" w:hAnsi="Book Antiqua"/>
        </w:rPr>
        <w:t>: i61-i68 [PMID: 23824129 DOI: 10.1093/jrr/rrt071]</w:t>
      </w:r>
    </w:p>
    <w:p w14:paraId="3025CF78" w14:textId="4F461238" w:rsidR="00F65D45" w:rsidRPr="00F65D45" w:rsidRDefault="00F65D45" w:rsidP="00F65D45">
      <w:pPr>
        <w:spacing w:line="360" w:lineRule="auto"/>
        <w:jc w:val="both"/>
        <w:rPr>
          <w:rFonts w:ascii="Book Antiqua" w:hAnsi="Book Antiqua"/>
        </w:rPr>
      </w:pPr>
      <w:r w:rsidRPr="00F65D45">
        <w:rPr>
          <w:rFonts w:ascii="Book Antiqua" w:hAnsi="Book Antiqua"/>
        </w:rPr>
        <w:t xml:space="preserve">97 </w:t>
      </w:r>
      <w:r w:rsidRPr="00F65D45">
        <w:rPr>
          <w:rFonts w:ascii="Book Antiqua" w:hAnsi="Book Antiqua"/>
          <w:b/>
        </w:rPr>
        <w:t>McGowan SE</w:t>
      </w:r>
      <w:r w:rsidRPr="00F65D45">
        <w:rPr>
          <w:rFonts w:ascii="Book Antiqua" w:hAnsi="Book Antiqua"/>
        </w:rPr>
        <w:t xml:space="preserve">, Burnet NG, Lomax AJ. Treatment planning optimisation in proton therapy. </w:t>
      </w:r>
      <w:r w:rsidRPr="00F65D45">
        <w:rPr>
          <w:rFonts w:ascii="Book Antiqua" w:hAnsi="Book Antiqua"/>
          <w:i/>
        </w:rPr>
        <w:t>Br J Radiol</w:t>
      </w:r>
      <w:r w:rsidRPr="00F65D45">
        <w:rPr>
          <w:rFonts w:ascii="Book Antiqua" w:hAnsi="Book Antiqua"/>
        </w:rPr>
        <w:t xml:space="preserve"> 2013; </w:t>
      </w:r>
      <w:r w:rsidRPr="00F65D45">
        <w:rPr>
          <w:rFonts w:ascii="Book Antiqua" w:hAnsi="Book Antiqua"/>
          <w:b/>
        </w:rPr>
        <w:t>86</w:t>
      </w:r>
      <w:r w:rsidRPr="00F65D45">
        <w:rPr>
          <w:rFonts w:ascii="Book Antiqua" w:hAnsi="Book Antiqua"/>
        </w:rPr>
        <w:t xml:space="preserve">: 20120288 [PMID: 23255545 DOI: </w:t>
      </w:r>
      <w:r w:rsidR="000B3FCE" w:rsidRPr="000B3FCE">
        <w:rPr>
          <w:rFonts w:ascii="Book Antiqua" w:hAnsi="Book Antiqua"/>
        </w:rPr>
        <w:t>10.1259/bjr.20120288</w:t>
      </w:r>
      <w:r w:rsidRPr="00F65D45">
        <w:rPr>
          <w:rFonts w:ascii="Book Antiqua" w:hAnsi="Book Antiqua"/>
        </w:rPr>
        <w:t>]</w:t>
      </w:r>
    </w:p>
    <w:p w14:paraId="3594EFEF"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98 </w:t>
      </w:r>
      <w:r w:rsidRPr="00F65D45">
        <w:rPr>
          <w:rFonts w:ascii="Book Antiqua" w:hAnsi="Book Antiqua"/>
          <w:b/>
        </w:rPr>
        <w:t>Lomax AJ</w:t>
      </w:r>
      <w:r w:rsidRPr="00F65D45">
        <w:rPr>
          <w:rFonts w:ascii="Book Antiqua" w:hAnsi="Book Antiqua"/>
        </w:rPr>
        <w:t xml:space="preserve">, Boehringer T, Coray A, Egger E, Goitein G, Grossmann M, Juelke P, Lin S, Pedroni E, Rohrer B, Roser W, Rossi B, Siegenthaler B, Stadelmann O, Stauble H, Vetter C, Wisser L. Intensity modulated proton therapy: a clinical example. </w:t>
      </w:r>
      <w:r w:rsidRPr="00F65D45">
        <w:rPr>
          <w:rFonts w:ascii="Book Antiqua" w:hAnsi="Book Antiqua"/>
          <w:i/>
        </w:rPr>
        <w:t>Med Phys</w:t>
      </w:r>
      <w:r w:rsidRPr="00F65D45">
        <w:rPr>
          <w:rFonts w:ascii="Book Antiqua" w:hAnsi="Book Antiqua"/>
        </w:rPr>
        <w:t xml:space="preserve"> 2001; </w:t>
      </w:r>
      <w:r w:rsidRPr="00F65D45">
        <w:rPr>
          <w:rFonts w:ascii="Book Antiqua" w:hAnsi="Book Antiqua"/>
          <w:b/>
        </w:rPr>
        <w:t>28</w:t>
      </w:r>
      <w:r w:rsidRPr="00F65D45">
        <w:rPr>
          <w:rFonts w:ascii="Book Antiqua" w:hAnsi="Book Antiqua"/>
        </w:rPr>
        <w:t>: 317-324 [PMID: 11318312 DOI: 10.1118/1.1350587]</w:t>
      </w:r>
    </w:p>
    <w:p w14:paraId="2DC56649"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99 </w:t>
      </w:r>
      <w:r w:rsidRPr="00F65D45">
        <w:rPr>
          <w:rFonts w:ascii="Book Antiqua" w:hAnsi="Book Antiqua"/>
          <w:b/>
        </w:rPr>
        <w:t>Chung K</w:t>
      </w:r>
      <w:r w:rsidRPr="00F65D45">
        <w:rPr>
          <w:rFonts w:ascii="Book Antiqua" w:hAnsi="Book Antiqua"/>
        </w:rPr>
        <w:t xml:space="preserve">, Han Y, Kim J, Ahn SH, Ju SG, Jung SH, Chung Y, Cho S, Jo K, Shin EH, Hong CS, Shin JS, Park S, Kim DH, Kim HY, Lee B, Shibagaki G, Nonaka H, Sasai K, Koyabu Y, Choi C, Huh SJ, Ahn YC, Pyo HR, Lim DH, Park HC, Park W, Oh DR, Noh JM, Yu JI, Song S, Lee JE, Lee B, Choi DH. The first private-hospital based proton therapy center in Korea; status of the Proton Therapy Center at Samsung Medical Center. </w:t>
      </w:r>
      <w:r w:rsidRPr="00F65D45">
        <w:rPr>
          <w:rFonts w:ascii="Book Antiqua" w:hAnsi="Book Antiqua"/>
          <w:i/>
        </w:rPr>
        <w:t>Radiat Oncol J</w:t>
      </w:r>
      <w:r w:rsidRPr="00F65D45">
        <w:rPr>
          <w:rFonts w:ascii="Book Antiqua" w:hAnsi="Book Antiqua"/>
        </w:rPr>
        <w:t xml:space="preserve"> 2015; </w:t>
      </w:r>
      <w:r w:rsidRPr="00F65D45">
        <w:rPr>
          <w:rFonts w:ascii="Book Antiqua" w:hAnsi="Book Antiqua"/>
          <w:b/>
        </w:rPr>
        <w:t>33</w:t>
      </w:r>
      <w:r w:rsidRPr="00F65D45">
        <w:rPr>
          <w:rFonts w:ascii="Book Antiqua" w:hAnsi="Book Antiqua"/>
        </w:rPr>
        <w:t>: 337-343 [PMID: 26756034 DOI: 10.3857/roj.2015.33.4.337]</w:t>
      </w:r>
    </w:p>
    <w:p w14:paraId="08F1DCC8"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100 </w:t>
      </w:r>
      <w:r w:rsidRPr="00F65D45">
        <w:rPr>
          <w:rFonts w:ascii="Book Antiqua" w:hAnsi="Book Antiqua"/>
          <w:b/>
        </w:rPr>
        <w:t>Smith A</w:t>
      </w:r>
      <w:r w:rsidRPr="00F65D45">
        <w:rPr>
          <w:rFonts w:ascii="Book Antiqua" w:hAnsi="Book Antiqua"/>
        </w:rPr>
        <w:t xml:space="preserve">, Gillin M, Bues M, Zhu XR, Suzuki K, Mohan R, Woo S, Lee A, Komaki R, Cox J, Hiramoto K, Akiyama H, Ishida T, Sasaki T, Matsuda K. The M. D. Anderson proton therapy system. </w:t>
      </w:r>
      <w:r w:rsidRPr="00F65D45">
        <w:rPr>
          <w:rFonts w:ascii="Book Antiqua" w:hAnsi="Book Antiqua"/>
          <w:i/>
        </w:rPr>
        <w:t>Med Phys</w:t>
      </w:r>
      <w:r w:rsidRPr="00F65D45">
        <w:rPr>
          <w:rFonts w:ascii="Book Antiqua" w:hAnsi="Book Antiqua"/>
        </w:rPr>
        <w:t xml:space="preserve"> 2009; </w:t>
      </w:r>
      <w:r w:rsidRPr="00F65D45">
        <w:rPr>
          <w:rFonts w:ascii="Book Antiqua" w:hAnsi="Book Antiqua"/>
          <w:b/>
        </w:rPr>
        <w:t>36</w:t>
      </w:r>
      <w:r w:rsidRPr="00F65D45">
        <w:rPr>
          <w:rFonts w:ascii="Book Antiqua" w:hAnsi="Book Antiqua"/>
        </w:rPr>
        <w:t>: 4068-4083 [PMID: 19810479 DOI: 10.1118/1.3187229]</w:t>
      </w:r>
    </w:p>
    <w:p w14:paraId="41AFAB77" w14:textId="07DE5A46" w:rsidR="00F65D45" w:rsidRPr="00F65D45" w:rsidRDefault="00F65D45" w:rsidP="00F65D45">
      <w:pPr>
        <w:spacing w:line="360" w:lineRule="auto"/>
        <w:jc w:val="both"/>
        <w:rPr>
          <w:rFonts w:ascii="Book Antiqua" w:hAnsi="Book Antiqua"/>
        </w:rPr>
      </w:pPr>
      <w:r w:rsidRPr="00F65D45">
        <w:rPr>
          <w:rFonts w:ascii="Book Antiqua" w:hAnsi="Book Antiqua"/>
        </w:rPr>
        <w:t xml:space="preserve">101 </w:t>
      </w:r>
      <w:r w:rsidRPr="00F65D45">
        <w:rPr>
          <w:rFonts w:ascii="Book Antiqua" w:hAnsi="Book Antiqua"/>
          <w:b/>
        </w:rPr>
        <w:t>Lomax AJ</w:t>
      </w:r>
      <w:r w:rsidRPr="00F65D45">
        <w:rPr>
          <w:rFonts w:ascii="Book Antiqua" w:hAnsi="Book Antiqua"/>
        </w:rPr>
        <w:t xml:space="preserve">, Pedroni E, Rutz H, Goitein G. The clinical potential of intensity modulated proton therapy. </w:t>
      </w:r>
      <w:r w:rsidRPr="00F65D45">
        <w:rPr>
          <w:rFonts w:ascii="Book Antiqua" w:hAnsi="Book Antiqua"/>
          <w:i/>
        </w:rPr>
        <w:t>Z Med Phys</w:t>
      </w:r>
      <w:r w:rsidRPr="00F65D45">
        <w:rPr>
          <w:rFonts w:ascii="Book Antiqua" w:hAnsi="Book Antiqua"/>
        </w:rPr>
        <w:t xml:space="preserve"> 2004; </w:t>
      </w:r>
      <w:r w:rsidRPr="00F65D45">
        <w:rPr>
          <w:rFonts w:ascii="Book Antiqua" w:hAnsi="Book Antiqua"/>
          <w:b/>
        </w:rPr>
        <w:t>14</w:t>
      </w:r>
      <w:r w:rsidRPr="00F65D45">
        <w:rPr>
          <w:rFonts w:ascii="Book Antiqua" w:hAnsi="Book Antiqua"/>
        </w:rPr>
        <w:t>: 147-152 [PMID: 15462415</w:t>
      </w:r>
      <w:r w:rsidR="00A764F3">
        <w:rPr>
          <w:rFonts w:ascii="Book Antiqua" w:eastAsia="SimSun" w:hAnsi="Book Antiqua" w:hint="eastAsia"/>
          <w:lang w:eastAsia="zh-CN"/>
        </w:rPr>
        <w:t xml:space="preserve"> DOI: </w:t>
      </w:r>
      <w:r w:rsidR="00A764F3" w:rsidRPr="00A764F3">
        <w:rPr>
          <w:rFonts w:ascii="Book Antiqua" w:eastAsia="SimSun" w:hAnsi="Book Antiqua"/>
          <w:lang w:eastAsia="zh-CN"/>
        </w:rPr>
        <w:t>10.1078/0939-3889-00217</w:t>
      </w:r>
      <w:r w:rsidRPr="00F65D45">
        <w:rPr>
          <w:rFonts w:ascii="Book Antiqua" w:hAnsi="Book Antiqua"/>
        </w:rPr>
        <w:t>]</w:t>
      </w:r>
    </w:p>
    <w:p w14:paraId="0B51C0A9"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102 </w:t>
      </w:r>
      <w:r w:rsidRPr="00F65D45">
        <w:rPr>
          <w:rFonts w:ascii="Book Antiqua" w:hAnsi="Book Antiqua"/>
          <w:b/>
        </w:rPr>
        <w:t>Giantsoudi D</w:t>
      </w:r>
      <w:r w:rsidRPr="00F65D45">
        <w:rPr>
          <w:rFonts w:ascii="Book Antiqua" w:hAnsi="Book Antiqua"/>
        </w:rPr>
        <w:t xml:space="preserve">, Grassberger C, Craft D, Niemierko A, Trofimov A, Paganetti H. Linear energy transfer-guided optimization in intensity modulated proton therapy: feasibility study and clinical potential. </w:t>
      </w:r>
      <w:r w:rsidRPr="00F65D45">
        <w:rPr>
          <w:rFonts w:ascii="Book Antiqua" w:hAnsi="Book Antiqua"/>
          <w:i/>
        </w:rPr>
        <w:t>Int J Radiat Oncol Biol Phys</w:t>
      </w:r>
      <w:r w:rsidRPr="00F65D45">
        <w:rPr>
          <w:rFonts w:ascii="Book Antiqua" w:hAnsi="Book Antiqua"/>
        </w:rPr>
        <w:t xml:space="preserve"> 2013; </w:t>
      </w:r>
      <w:r w:rsidRPr="00F65D45">
        <w:rPr>
          <w:rFonts w:ascii="Book Antiqua" w:hAnsi="Book Antiqua"/>
          <w:b/>
        </w:rPr>
        <w:t>87</w:t>
      </w:r>
      <w:r w:rsidRPr="00F65D45">
        <w:rPr>
          <w:rFonts w:ascii="Book Antiqua" w:hAnsi="Book Antiqua"/>
        </w:rPr>
        <w:t>: 216-222 [PMID: 23790771 DOI: 10.1016/j.ijrobp.2013.05.013]</w:t>
      </w:r>
    </w:p>
    <w:p w14:paraId="5A58D15C"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103 </w:t>
      </w:r>
      <w:r w:rsidRPr="00F65D45">
        <w:rPr>
          <w:rFonts w:ascii="Book Antiqua" w:hAnsi="Book Antiqua"/>
          <w:b/>
        </w:rPr>
        <w:t>Kaderka R</w:t>
      </w:r>
      <w:r w:rsidRPr="00F65D45">
        <w:rPr>
          <w:rFonts w:ascii="Book Antiqua" w:hAnsi="Book Antiqua"/>
        </w:rPr>
        <w:t xml:space="preserve">, Schardt D, Durante M, Berger T, Ramm U, Licher J, La Tessa C. Out-of-field dose measurements in a water phantom using different radiotherapy modalities. </w:t>
      </w:r>
      <w:r w:rsidRPr="00F65D45">
        <w:rPr>
          <w:rFonts w:ascii="Book Antiqua" w:hAnsi="Book Antiqua"/>
          <w:i/>
        </w:rPr>
        <w:t>Phys Med Biol</w:t>
      </w:r>
      <w:r w:rsidRPr="00F65D45">
        <w:rPr>
          <w:rFonts w:ascii="Book Antiqua" w:hAnsi="Book Antiqua"/>
        </w:rPr>
        <w:t xml:space="preserve"> 2012; </w:t>
      </w:r>
      <w:r w:rsidRPr="00F65D45">
        <w:rPr>
          <w:rFonts w:ascii="Book Antiqua" w:hAnsi="Book Antiqua"/>
          <w:b/>
        </w:rPr>
        <w:t>57</w:t>
      </w:r>
      <w:r w:rsidRPr="00F65D45">
        <w:rPr>
          <w:rFonts w:ascii="Book Antiqua" w:hAnsi="Book Antiqua"/>
        </w:rPr>
        <w:t>: 5059-5074 [PMID: 22836598 DOI: 10.1088/0031-9155/57/16/5059]</w:t>
      </w:r>
    </w:p>
    <w:p w14:paraId="1C649895"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104 </w:t>
      </w:r>
      <w:r w:rsidRPr="00F65D45">
        <w:rPr>
          <w:rFonts w:ascii="Book Antiqua" w:hAnsi="Book Antiqua"/>
          <w:b/>
        </w:rPr>
        <w:t>Fava G</w:t>
      </w:r>
      <w:r w:rsidRPr="00F65D45">
        <w:rPr>
          <w:rFonts w:ascii="Book Antiqua" w:hAnsi="Book Antiqua"/>
        </w:rPr>
        <w:t xml:space="preserve">, Widesott L, Fellin F, Amichetti M, Viesi V, Lomax AJ, Lederer L, Hug EB, Fiorino C, Salvadori G, Di Muzio N, Schwarz M. In-gantry or remote patient positioning? Monte Carlo simulations for proton therapy centers of different sizes. </w:t>
      </w:r>
      <w:r w:rsidRPr="00F65D45">
        <w:rPr>
          <w:rFonts w:ascii="Book Antiqua" w:hAnsi="Book Antiqua"/>
          <w:i/>
        </w:rPr>
        <w:t>Radiother Oncol</w:t>
      </w:r>
      <w:r w:rsidRPr="00F65D45">
        <w:rPr>
          <w:rFonts w:ascii="Book Antiqua" w:hAnsi="Book Antiqua"/>
        </w:rPr>
        <w:t xml:space="preserve"> 2012; </w:t>
      </w:r>
      <w:r w:rsidRPr="00F65D45">
        <w:rPr>
          <w:rFonts w:ascii="Book Antiqua" w:hAnsi="Book Antiqua"/>
          <w:b/>
        </w:rPr>
        <w:t>103</w:t>
      </w:r>
      <w:r w:rsidRPr="00F65D45">
        <w:rPr>
          <w:rFonts w:ascii="Book Antiqua" w:hAnsi="Book Antiqua"/>
        </w:rPr>
        <w:t>: 18-24 [PMID: 22119372 DOI: 10.1016/j.radonc.2011.11.004]</w:t>
      </w:r>
    </w:p>
    <w:p w14:paraId="5A3E3DA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105 </w:t>
      </w:r>
      <w:r w:rsidRPr="00F65D45">
        <w:rPr>
          <w:rFonts w:ascii="Book Antiqua" w:hAnsi="Book Antiqua"/>
          <w:b/>
        </w:rPr>
        <w:t>Park PC</w:t>
      </w:r>
      <w:r w:rsidRPr="00F65D45">
        <w:rPr>
          <w:rFonts w:ascii="Book Antiqua" w:hAnsi="Book Antiqua"/>
        </w:rPr>
        <w:t xml:space="preserve">, Zhu XR, Lee AK, Sahoo N, Melancon AD, Zhang L, Dong L. A beam-specific planning target volume (PTV) design for proton therapy to account for setup and range uncertainties. </w:t>
      </w:r>
      <w:r w:rsidRPr="00F65D45">
        <w:rPr>
          <w:rFonts w:ascii="Book Antiqua" w:hAnsi="Book Antiqua"/>
          <w:i/>
        </w:rPr>
        <w:t>Int J Radiat Oncol Biol Phys</w:t>
      </w:r>
      <w:r w:rsidRPr="00F65D45">
        <w:rPr>
          <w:rFonts w:ascii="Book Antiqua" w:hAnsi="Book Antiqua"/>
        </w:rPr>
        <w:t xml:space="preserve"> 2012; </w:t>
      </w:r>
      <w:r w:rsidRPr="00F65D45">
        <w:rPr>
          <w:rFonts w:ascii="Book Antiqua" w:hAnsi="Book Antiqua"/>
          <w:b/>
        </w:rPr>
        <w:t>82</w:t>
      </w:r>
      <w:r w:rsidRPr="00F65D45">
        <w:rPr>
          <w:rFonts w:ascii="Book Antiqua" w:hAnsi="Book Antiqua"/>
        </w:rPr>
        <w:t>: e329-e336 [PMID: 21703781 DOI: 10.1016/j.ijrobp.2011.05.011]</w:t>
      </w:r>
    </w:p>
    <w:p w14:paraId="20D03258"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106 </w:t>
      </w:r>
      <w:r w:rsidRPr="00F65D45">
        <w:rPr>
          <w:rFonts w:ascii="Book Antiqua" w:hAnsi="Book Antiqua"/>
          <w:b/>
        </w:rPr>
        <w:t>Unkelbach J</w:t>
      </w:r>
      <w:r w:rsidRPr="00F65D45">
        <w:rPr>
          <w:rFonts w:ascii="Book Antiqua" w:hAnsi="Book Antiqua"/>
        </w:rPr>
        <w:t xml:space="preserve">, Chan TC, Bortfeld T. Accounting for range uncertainties in the optimization of intensity modulated proton therapy. </w:t>
      </w:r>
      <w:r w:rsidRPr="00F65D45">
        <w:rPr>
          <w:rFonts w:ascii="Book Antiqua" w:hAnsi="Book Antiqua"/>
          <w:i/>
        </w:rPr>
        <w:t>Phys Med Biol</w:t>
      </w:r>
      <w:r w:rsidRPr="00F65D45">
        <w:rPr>
          <w:rFonts w:ascii="Book Antiqua" w:hAnsi="Book Antiqua"/>
        </w:rPr>
        <w:t xml:space="preserve"> 2007; </w:t>
      </w:r>
      <w:r w:rsidRPr="00F65D45">
        <w:rPr>
          <w:rFonts w:ascii="Book Antiqua" w:hAnsi="Book Antiqua"/>
          <w:b/>
        </w:rPr>
        <w:t>52</w:t>
      </w:r>
      <w:r w:rsidRPr="00F65D45">
        <w:rPr>
          <w:rFonts w:ascii="Book Antiqua" w:hAnsi="Book Antiqua"/>
        </w:rPr>
        <w:t>: 2755-2773 [PMID: 17473350 DOI: 10.1088/0031-9155/52/10/009]</w:t>
      </w:r>
    </w:p>
    <w:p w14:paraId="6E282B6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107 </w:t>
      </w:r>
      <w:r w:rsidRPr="00F65D45">
        <w:rPr>
          <w:rFonts w:ascii="Book Antiqua" w:hAnsi="Book Antiqua"/>
          <w:b/>
        </w:rPr>
        <w:t>Knopf AC</w:t>
      </w:r>
      <w:r w:rsidRPr="00F65D45">
        <w:rPr>
          <w:rFonts w:ascii="Book Antiqua" w:hAnsi="Book Antiqua"/>
        </w:rPr>
        <w:t xml:space="preserve">, Hong TS, Lomax A. Scanned proton radiotherapy for mobile targets-the effectiveness of re-scanning in the context of different treatment planning approaches and for different motion characteristics. </w:t>
      </w:r>
      <w:r w:rsidRPr="00F65D45">
        <w:rPr>
          <w:rFonts w:ascii="Book Antiqua" w:hAnsi="Book Antiqua"/>
          <w:i/>
        </w:rPr>
        <w:t>Phys Med Biol</w:t>
      </w:r>
      <w:r w:rsidRPr="00F65D45">
        <w:rPr>
          <w:rFonts w:ascii="Book Antiqua" w:hAnsi="Book Antiqua"/>
        </w:rPr>
        <w:t xml:space="preserve"> 2011; </w:t>
      </w:r>
      <w:r w:rsidRPr="00F65D45">
        <w:rPr>
          <w:rFonts w:ascii="Book Antiqua" w:hAnsi="Book Antiqua"/>
          <w:b/>
        </w:rPr>
        <w:t>56</w:t>
      </w:r>
      <w:r w:rsidRPr="00F65D45">
        <w:rPr>
          <w:rFonts w:ascii="Book Antiqua" w:hAnsi="Book Antiqua"/>
        </w:rPr>
        <w:t>: 7257-7271 [PMID: 22037710 DOI: 10.1088/0031-9155/56/22/016]</w:t>
      </w:r>
    </w:p>
    <w:p w14:paraId="16166C5C" w14:textId="77777777" w:rsidR="00F65D45" w:rsidRPr="00F65D45" w:rsidRDefault="00F65D45" w:rsidP="00F65D45">
      <w:pPr>
        <w:spacing w:line="360" w:lineRule="auto"/>
        <w:jc w:val="both"/>
        <w:rPr>
          <w:rFonts w:ascii="Book Antiqua" w:hAnsi="Book Antiqua"/>
        </w:rPr>
      </w:pPr>
      <w:r w:rsidRPr="00F65D45">
        <w:rPr>
          <w:rFonts w:ascii="Book Antiqua" w:hAnsi="Book Antiqua"/>
        </w:rPr>
        <w:lastRenderedPageBreak/>
        <w:t xml:space="preserve">108 </w:t>
      </w:r>
      <w:r w:rsidRPr="00F65D45">
        <w:rPr>
          <w:rFonts w:ascii="Book Antiqua" w:hAnsi="Book Antiqua"/>
          <w:b/>
        </w:rPr>
        <w:t>Apisarnthanarax S</w:t>
      </w:r>
      <w:r w:rsidRPr="00F65D45">
        <w:rPr>
          <w:rFonts w:ascii="Book Antiqua" w:hAnsi="Book Antiqua"/>
        </w:rPr>
        <w:t xml:space="preserve">, Saini J, O'Ryan-Blair A, Castro J, Bowen SR. Intensity Modulated Proton Therapy with Advanced Planning Techniques in a Challenging Hepatocellular Carcinoma Patient. </w:t>
      </w:r>
      <w:r w:rsidRPr="00F65D45">
        <w:rPr>
          <w:rFonts w:ascii="Book Antiqua" w:hAnsi="Book Antiqua"/>
          <w:i/>
        </w:rPr>
        <w:t>Cureus</w:t>
      </w:r>
      <w:r w:rsidRPr="00F65D45">
        <w:rPr>
          <w:rFonts w:ascii="Book Antiqua" w:hAnsi="Book Antiqua"/>
        </w:rPr>
        <w:t xml:space="preserve"> 2017; </w:t>
      </w:r>
      <w:r w:rsidRPr="00F65D45">
        <w:rPr>
          <w:rFonts w:ascii="Book Antiqua" w:hAnsi="Book Antiqua"/>
          <w:b/>
        </w:rPr>
        <w:t>9</w:t>
      </w:r>
      <w:r w:rsidRPr="00F65D45">
        <w:rPr>
          <w:rFonts w:ascii="Book Antiqua" w:hAnsi="Book Antiqua"/>
        </w:rPr>
        <w:t>: e1674 [PMID: 29152431 DOI: 10.7759/cureus.1674]</w:t>
      </w:r>
    </w:p>
    <w:p w14:paraId="7547B9A5"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109 </w:t>
      </w:r>
      <w:r w:rsidRPr="00F65D45">
        <w:rPr>
          <w:rFonts w:ascii="Book Antiqua" w:hAnsi="Book Antiqua"/>
          <w:b/>
        </w:rPr>
        <w:t>Hojo H</w:t>
      </w:r>
      <w:r w:rsidRPr="00F65D45">
        <w:rPr>
          <w:rFonts w:ascii="Book Antiqua" w:hAnsi="Book Antiqua"/>
        </w:rPr>
        <w:t xml:space="preserve">, Dohmae T, Hotta K, Kohno R, Motegi A, Yagishita A, Makinoshima H, Tsuchihara K, Akimoto T. Difference in the relative biological effectiveness and DNA damage repair processes in response to proton beam therapy according to the positions of the spread out Bragg peak. </w:t>
      </w:r>
      <w:r w:rsidRPr="00F65D45">
        <w:rPr>
          <w:rFonts w:ascii="Book Antiqua" w:hAnsi="Book Antiqua"/>
          <w:i/>
        </w:rPr>
        <w:t>Radiat Oncol</w:t>
      </w:r>
      <w:r w:rsidRPr="00F65D45">
        <w:rPr>
          <w:rFonts w:ascii="Book Antiqua" w:hAnsi="Book Antiqua"/>
        </w:rPr>
        <w:t xml:space="preserve"> 2017; </w:t>
      </w:r>
      <w:r w:rsidRPr="00F65D45">
        <w:rPr>
          <w:rFonts w:ascii="Book Antiqua" w:hAnsi="Book Antiqua"/>
          <w:b/>
        </w:rPr>
        <w:t>12</w:t>
      </w:r>
      <w:r w:rsidRPr="00F65D45">
        <w:rPr>
          <w:rFonts w:ascii="Book Antiqua" w:hAnsi="Book Antiqua"/>
        </w:rPr>
        <w:t>: 111 [PMID: 28673358 DOI: 10.1186/s13014-017-0849-1]</w:t>
      </w:r>
    </w:p>
    <w:p w14:paraId="5BA9DFEF"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110 </w:t>
      </w:r>
      <w:r w:rsidRPr="00F65D45">
        <w:rPr>
          <w:rFonts w:ascii="Book Antiqua" w:hAnsi="Book Antiqua"/>
          <w:b/>
        </w:rPr>
        <w:t>Ilicic K</w:t>
      </w:r>
      <w:r w:rsidRPr="00F65D45">
        <w:rPr>
          <w:rFonts w:ascii="Book Antiqua" w:hAnsi="Book Antiqua"/>
        </w:rPr>
        <w:t xml:space="preserve">, Combs SE, Schmid TE. New insights in the relative radiobiological effectiveness of proton irradiation. </w:t>
      </w:r>
      <w:r w:rsidRPr="00F65D45">
        <w:rPr>
          <w:rFonts w:ascii="Book Antiqua" w:hAnsi="Book Antiqua"/>
          <w:i/>
        </w:rPr>
        <w:t>Radiat Oncol</w:t>
      </w:r>
      <w:r w:rsidRPr="00F65D45">
        <w:rPr>
          <w:rFonts w:ascii="Book Antiqua" w:hAnsi="Book Antiqua"/>
        </w:rPr>
        <w:t xml:space="preserve"> 2018; </w:t>
      </w:r>
      <w:r w:rsidRPr="00F65D45">
        <w:rPr>
          <w:rFonts w:ascii="Book Antiqua" w:hAnsi="Book Antiqua"/>
          <w:b/>
        </w:rPr>
        <w:t>13</w:t>
      </w:r>
      <w:r w:rsidRPr="00F65D45">
        <w:rPr>
          <w:rFonts w:ascii="Book Antiqua" w:hAnsi="Book Antiqua"/>
        </w:rPr>
        <w:t>: 6 [PMID: 29338744 DOI: 10.1186/s13014-018-0954-9]</w:t>
      </w:r>
    </w:p>
    <w:p w14:paraId="1F00AA5E"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111 </w:t>
      </w:r>
      <w:r w:rsidRPr="00F65D45">
        <w:rPr>
          <w:rFonts w:ascii="Book Antiqua" w:hAnsi="Book Antiqua"/>
          <w:b/>
        </w:rPr>
        <w:t>Khemlina G</w:t>
      </w:r>
      <w:r w:rsidRPr="00F65D45">
        <w:rPr>
          <w:rFonts w:ascii="Book Antiqua" w:hAnsi="Book Antiqua"/>
        </w:rPr>
        <w:t xml:space="preserve">, Ikeda S, Kurzrock R. The biology of Hepatocellular carcinoma: implications for genomic and immune therapies. </w:t>
      </w:r>
      <w:r w:rsidRPr="00F65D45">
        <w:rPr>
          <w:rFonts w:ascii="Book Antiqua" w:hAnsi="Book Antiqua"/>
          <w:i/>
        </w:rPr>
        <w:t>Mol Cancer</w:t>
      </w:r>
      <w:r w:rsidRPr="00F65D45">
        <w:rPr>
          <w:rFonts w:ascii="Book Antiqua" w:hAnsi="Book Antiqua"/>
        </w:rPr>
        <w:t xml:space="preserve"> 2017; </w:t>
      </w:r>
      <w:r w:rsidRPr="00F65D45">
        <w:rPr>
          <w:rFonts w:ascii="Book Antiqua" w:hAnsi="Book Antiqua"/>
          <w:b/>
        </w:rPr>
        <w:t>16</w:t>
      </w:r>
      <w:r w:rsidRPr="00F65D45">
        <w:rPr>
          <w:rFonts w:ascii="Book Antiqua" w:hAnsi="Book Antiqua"/>
        </w:rPr>
        <w:t>: 149 [PMID: 28854942 DOI: 10.1186/s12943-017-0712-x]</w:t>
      </w:r>
    </w:p>
    <w:p w14:paraId="7794AA1E"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112 </w:t>
      </w:r>
      <w:r w:rsidRPr="00F65D45">
        <w:rPr>
          <w:rFonts w:ascii="Book Antiqua" w:hAnsi="Book Antiqua"/>
          <w:b/>
        </w:rPr>
        <w:t>Jin Q</w:t>
      </w:r>
      <w:r w:rsidRPr="00F65D45">
        <w:rPr>
          <w:rFonts w:ascii="Book Antiqua" w:hAnsi="Book Antiqua"/>
        </w:rPr>
        <w:t xml:space="preserve">, Li XJ, Cao PG. miR-26b enhances radiosensitivity of hepatocellular carcinoma cells by targeting EphA2. </w:t>
      </w:r>
      <w:r w:rsidRPr="00F65D45">
        <w:rPr>
          <w:rFonts w:ascii="Book Antiqua" w:hAnsi="Book Antiqua"/>
          <w:i/>
        </w:rPr>
        <w:t>Iran J Basic Med Sci</w:t>
      </w:r>
      <w:r w:rsidRPr="00F65D45">
        <w:rPr>
          <w:rFonts w:ascii="Book Antiqua" w:hAnsi="Book Antiqua"/>
        </w:rPr>
        <w:t xml:space="preserve"> 2016; </w:t>
      </w:r>
      <w:r w:rsidRPr="00F65D45">
        <w:rPr>
          <w:rFonts w:ascii="Book Antiqua" w:hAnsi="Book Antiqua"/>
          <w:b/>
        </w:rPr>
        <w:t>19</w:t>
      </w:r>
      <w:r w:rsidRPr="00F65D45">
        <w:rPr>
          <w:rFonts w:ascii="Book Antiqua" w:hAnsi="Book Antiqua"/>
        </w:rPr>
        <w:t>: 851-857 [PMID: 27746866]</w:t>
      </w:r>
    </w:p>
    <w:p w14:paraId="1D4F362A" w14:textId="77777777" w:rsidR="00F65D45" w:rsidRPr="00F65D45" w:rsidRDefault="00F65D45" w:rsidP="00F65D45">
      <w:pPr>
        <w:spacing w:line="360" w:lineRule="auto"/>
        <w:jc w:val="both"/>
        <w:rPr>
          <w:rFonts w:ascii="Book Antiqua" w:hAnsi="Book Antiqua"/>
        </w:rPr>
      </w:pPr>
      <w:r w:rsidRPr="00F65D45">
        <w:rPr>
          <w:rFonts w:ascii="Book Antiqua" w:hAnsi="Book Antiqua"/>
        </w:rPr>
        <w:t xml:space="preserve">113 </w:t>
      </w:r>
      <w:r w:rsidRPr="00F65D45">
        <w:rPr>
          <w:rFonts w:ascii="Book Antiqua" w:hAnsi="Book Antiqua"/>
          <w:b/>
        </w:rPr>
        <w:t>Yu L</w:t>
      </w:r>
      <w:r w:rsidRPr="00F65D45">
        <w:rPr>
          <w:rFonts w:ascii="Book Antiqua" w:hAnsi="Book Antiqua"/>
        </w:rPr>
        <w:t xml:space="preserve">, Sun Y, Li J, Wang Y, Zhu Y, Shi Y, Fan X, Zhou J, Bao Y, Xiao J, Cao K, Cao P. Silencing the Girdin gene enhances radio-sensitivity of hepatocellular carcinoma via suppression of glycolytic metabolism. </w:t>
      </w:r>
      <w:r w:rsidRPr="00F65D45">
        <w:rPr>
          <w:rFonts w:ascii="Book Antiqua" w:hAnsi="Book Antiqua"/>
          <w:i/>
        </w:rPr>
        <w:t>J Exp Clin Cancer Res</w:t>
      </w:r>
      <w:r w:rsidRPr="00F65D45">
        <w:rPr>
          <w:rFonts w:ascii="Book Antiqua" w:hAnsi="Book Antiqua"/>
        </w:rPr>
        <w:t xml:space="preserve"> 2017; </w:t>
      </w:r>
      <w:r w:rsidRPr="00F65D45">
        <w:rPr>
          <w:rFonts w:ascii="Book Antiqua" w:hAnsi="Book Antiqua"/>
          <w:b/>
        </w:rPr>
        <w:t>36</w:t>
      </w:r>
      <w:r w:rsidRPr="00F65D45">
        <w:rPr>
          <w:rFonts w:ascii="Book Antiqua" w:hAnsi="Book Antiqua"/>
        </w:rPr>
        <w:t>: 110 [PMID: 28810896 DOI: 10.1186/s13046-017-0580-7]</w:t>
      </w:r>
    </w:p>
    <w:p w14:paraId="6B464D2F" w14:textId="0FB10482" w:rsidR="00814530" w:rsidRPr="00F65D45" w:rsidRDefault="00814530" w:rsidP="000F56A3">
      <w:pPr>
        <w:adjustRightInd w:val="0"/>
        <w:snapToGrid w:val="0"/>
        <w:spacing w:line="360" w:lineRule="auto"/>
        <w:jc w:val="right"/>
        <w:rPr>
          <w:rFonts w:ascii="Book Antiqua" w:eastAsia="SimSun" w:hAnsi="Book Antiqua"/>
          <w:b/>
          <w:color w:val="000000" w:themeColor="text1"/>
          <w:lang w:eastAsia="zh-CN"/>
        </w:rPr>
      </w:pPr>
      <w:r w:rsidRPr="00F65D45">
        <w:rPr>
          <w:rFonts w:ascii="Book Antiqua" w:hAnsi="Book Antiqua"/>
          <w:b/>
          <w:color w:val="000000" w:themeColor="text1"/>
        </w:rPr>
        <w:t>P-Reviewer:</w:t>
      </w:r>
      <w:r w:rsidRPr="00F65D45">
        <w:rPr>
          <w:rFonts w:ascii="Book Antiqua" w:hAnsi="Book Antiqua"/>
          <w:color w:val="000000" w:themeColor="text1"/>
          <w:shd w:val="clear" w:color="auto" w:fill="FFFFFF"/>
        </w:rPr>
        <w:t xml:space="preserve"> </w:t>
      </w:r>
      <w:r w:rsidRPr="00F65D45">
        <w:rPr>
          <w:rFonts w:ascii="Book Antiqua" w:eastAsia="SimSun" w:hAnsi="Book Antiqua"/>
          <w:color w:val="000000" w:themeColor="text1"/>
          <w:shd w:val="clear" w:color="auto" w:fill="FFFFFF"/>
          <w:lang w:eastAsia="zh-CN"/>
        </w:rPr>
        <w:t xml:space="preserve">Zhao HT </w:t>
      </w:r>
      <w:r w:rsidRPr="00F65D45">
        <w:rPr>
          <w:rFonts w:ascii="Book Antiqua" w:hAnsi="Book Antiqua"/>
          <w:b/>
          <w:color w:val="000000" w:themeColor="text1"/>
        </w:rPr>
        <w:t>S-Editor:</w:t>
      </w:r>
      <w:r w:rsidRPr="00F65D45">
        <w:rPr>
          <w:rFonts w:ascii="Book Antiqua" w:hAnsi="Book Antiqua"/>
          <w:color w:val="000000" w:themeColor="text1"/>
        </w:rPr>
        <w:t xml:space="preserve"> Wang JL</w:t>
      </w:r>
      <w:r w:rsidR="00DD6459">
        <w:rPr>
          <w:rFonts w:ascii="Book Antiqua" w:eastAsia="SimSun" w:hAnsi="Book Antiqua" w:hint="eastAsia"/>
          <w:color w:val="000000" w:themeColor="text1"/>
          <w:lang w:eastAsia="zh-CN"/>
        </w:rPr>
        <w:t xml:space="preserve"> </w:t>
      </w:r>
      <w:r w:rsidRPr="00F65D45">
        <w:rPr>
          <w:rFonts w:ascii="Book Antiqua" w:hAnsi="Book Antiqua"/>
          <w:b/>
          <w:color w:val="000000" w:themeColor="text1"/>
        </w:rPr>
        <w:t>L-Editor: E-Editor:</w:t>
      </w:r>
    </w:p>
    <w:p w14:paraId="030BFD16" w14:textId="77777777" w:rsidR="00814530" w:rsidRPr="00F65D45" w:rsidRDefault="00814530" w:rsidP="00F65D45">
      <w:pPr>
        <w:adjustRightInd w:val="0"/>
        <w:snapToGrid w:val="0"/>
        <w:spacing w:line="360" w:lineRule="auto"/>
        <w:jc w:val="both"/>
        <w:rPr>
          <w:rFonts w:ascii="Book Antiqua" w:eastAsia="SimSun" w:hAnsi="Book Antiqua"/>
          <w:b/>
          <w:color w:val="000000" w:themeColor="text1"/>
          <w:lang w:eastAsia="zh-CN"/>
        </w:rPr>
      </w:pPr>
    </w:p>
    <w:p w14:paraId="7DF8F5F4" w14:textId="77777777" w:rsidR="00814530" w:rsidRPr="00F65D45" w:rsidRDefault="00814530" w:rsidP="00F65D45">
      <w:pPr>
        <w:adjustRightInd w:val="0"/>
        <w:snapToGrid w:val="0"/>
        <w:spacing w:line="360" w:lineRule="auto"/>
        <w:jc w:val="both"/>
        <w:rPr>
          <w:rFonts w:ascii="Book Antiqua" w:hAnsi="Book Antiqua"/>
          <w:color w:val="000000" w:themeColor="text1"/>
        </w:rPr>
      </w:pPr>
      <w:r w:rsidRPr="00F65D45">
        <w:rPr>
          <w:rFonts w:ascii="Book Antiqua" w:hAnsi="Book Antiqua"/>
          <w:b/>
          <w:color w:val="000000" w:themeColor="text1"/>
        </w:rPr>
        <w:t>Specialty type:</w:t>
      </w:r>
      <w:r w:rsidRPr="00F65D45">
        <w:rPr>
          <w:rFonts w:ascii="Book Antiqua" w:hAnsi="Book Antiqua"/>
          <w:color w:val="000000" w:themeColor="text1"/>
        </w:rPr>
        <w:t xml:space="preserve"> Gastroenterology and hepatology</w:t>
      </w:r>
    </w:p>
    <w:p w14:paraId="53007DFD" w14:textId="77777777" w:rsidR="00814530" w:rsidRPr="00F65D45" w:rsidRDefault="00814530" w:rsidP="00F65D45">
      <w:pPr>
        <w:tabs>
          <w:tab w:val="left" w:pos="6317"/>
        </w:tabs>
        <w:adjustRightInd w:val="0"/>
        <w:snapToGrid w:val="0"/>
        <w:spacing w:line="360" w:lineRule="auto"/>
        <w:jc w:val="both"/>
        <w:rPr>
          <w:rFonts w:ascii="Book Antiqua" w:hAnsi="Book Antiqua"/>
          <w:color w:val="000000" w:themeColor="text1"/>
        </w:rPr>
      </w:pPr>
      <w:r w:rsidRPr="00F65D45">
        <w:rPr>
          <w:rFonts w:ascii="Book Antiqua" w:hAnsi="Book Antiqua"/>
          <w:b/>
          <w:color w:val="000000" w:themeColor="text1"/>
        </w:rPr>
        <w:t>Country of origin:</w:t>
      </w:r>
      <w:r w:rsidRPr="00F65D45">
        <w:rPr>
          <w:rFonts w:ascii="Book Antiqua" w:hAnsi="Book Antiqua"/>
          <w:color w:val="000000" w:themeColor="text1"/>
        </w:rPr>
        <w:t xml:space="preserve"> </w:t>
      </w:r>
      <w:r w:rsidRPr="00F65D45">
        <w:rPr>
          <w:rFonts w:ascii="Book Antiqua" w:eastAsia="SimSun" w:hAnsi="Book Antiqua"/>
          <w:color w:val="000000" w:themeColor="text1"/>
          <w:lang w:eastAsia="zh-CN"/>
        </w:rPr>
        <w:t>South Korea</w:t>
      </w:r>
    </w:p>
    <w:p w14:paraId="54EE3657" w14:textId="77777777" w:rsidR="00814530" w:rsidRPr="00F65D45" w:rsidRDefault="00814530" w:rsidP="00F65D45">
      <w:pPr>
        <w:adjustRightInd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Peer-review report classification</w:t>
      </w:r>
    </w:p>
    <w:p w14:paraId="51A782DE" w14:textId="77777777" w:rsidR="00814530" w:rsidRPr="00F65D45" w:rsidRDefault="00814530" w:rsidP="00F65D45">
      <w:pPr>
        <w:adjustRightInd w:val="0"/>
        <w:snapToGrid w:val="0"/>
        <w:spacing w:line="360" w:lineRule="auto"/>
        <w:jc w:val="both"/>
        <w:rPr>
          <w:rFonts w:ascii="Book Antiqua" w:hAnsi="Book Antiqua"/>
          <w:color w:val="000000" w:themeColor="text1"/>
        </w:rPr>
      </w:pPr>
      <w:r w:rsidRPr="00F65D45">
        <w:rPr>
          <w:rFonts w:ascii="Book Antiqua" w:hAnsi="Book Antiqua"/>
          <w:color w:val="000000" w:themeColor="text1"/>
        </w:rPr>
        <w:t>Grade A (Excellent): 0</w:t>
      </w:r>
    </w:p>
    <w:p w14:paraId="225461A1" w14:textId="77777777" w:rsidR="00814530" w:rsidRPr="00F65D45" w:rsidRDefault="00814530" w:rsidP="00F65D45">
      <w:pPr>
        <w:adjustRightInd w:val="0"/>
        <w:snapToGrid w:val="0"/>
        <w:spacing w:line="360" w:lineRule="auto"/>
        <w:jc w:val="both"/>
        <w:rPr>
          <w:rFonts w:ascii="Book Antiqua" w:eastAsia="SimSun" w:hAnsi="Book Antiqua"/>
          <w:color w:val="000000" w:themeColor="text1"/>
          <w:lang w:eastAsia="zh-CN"/>
        </w:rPr>
      </w:pPr>
      <w:r w:rsidRPr="00F65D45">
        <w:rPr>
          <w:rFonts w:ascii="Book Antiqua" w:hAnsi="Book Antiqua"/>
          <w:color w:val="000000" w:themeColor="text1"/>
        </w:rPr>
        <w:t>Grade B (Very good): B</w:t>
      </w:r>
    </w:p>
    <w:p w14:paraId="1A32354F" w14:textId="77777777" w:rsidR="00814530" w:rsidRPr="00F65D45" w:rsidRDefault="00814530" w:rsidP="00F65D45">
      <w:pPr>
        <w:adjustRightInd w:val="0"/>
        <w:snapToGrid w:val="0"/>
        <w:spacing w:line="360" w:lineRule="auto"/>
        <w:jc w:val="both"/>
        <w:rPr>
          <w:rFonts w:ascii="Book Antiqua" w:eastAsia="SimSun" w:hAnsi="Book Antiqua"/>
          <w:color w:val="000000" w:themeColor="text1"/>
          <w:lang w:eastAsia="zh-CN"/>
        </w:rPr>
      </w:pPr>
      <w:r w:rsidRPr="00F65D45">
        <w:rPr>
          <w:rFonts w:ascii="Book Antiqua" w:hAnsi="Book Antiqua"/>
          <w:color w:val="000000" w:themeColor="text1"/>
        </w:rPr>
        <w:t xml:space="preserve">Grade C (Good): </w:t>
      </w:r>
      <w:r w:rsidRPr="00F65D45">
        <w:rPr>
          <w:rFonts w:ascii="Book Antiqua" w:eastAsia="SimSun" w:hAnsi="Book Antiqua"/>
          <w:color w:val="000000" w:themeColor="text1"/>
          <w:lang w:eastAsia="zh-CN"/>
        </w:rPr>
        <w:t>0</w:t>
      </w:r>
    </w:p>
    <w:p w14:paraId="1333C6AF" w14:textId="77777777" w:rsidR="00814530" w:rsidRPr="00F65D45" w:rsidRDefault="00814530" w:rsidP="00F65D45">
      <w:pPr>
        <w:adjustRightInd w:val="0"/>
        <w:snapToGrid w:val="0"/>
        <w:spacing w:line="360" w:lineRule="auto"/>
        <w:jc w:val="both"/>
        <w:rPr>
          <w:rFonts w:ascii="Book Antiqua" w:hAnsi="Book Antiqua"/>
          <w:color w:val="000000" w:themeColor="text1"/>
        </w:rPr>
      </w:pPr>
      <w:r w:rsidRPr="00F65D45">
        <w:rPr>
          <w:rFonts w:ascii="Book Antiqua" w:hAnsi="Book Antiqua"/>
          <w:color w:val="000000" w:themeColor="text1"/>
        </w:rPr>
        <w:t>Grade D (Fair): 0</w:t>
      </w:r>
    </w:p>
    <w:p w14:paraId="4459D6C7" w14:textId="77777777" w:rsidR="00814530" w:rsidRPr="00F65D45" w:rsidRDefault="00814530" w:rsidP="00F65D45">
      <w:pPr>
        <w:adjustRightInd w:val="0"/>
        <w:snapToGrid w:val="0"/>
        <w:spacing w:line="360" w:lineRule="auto"/>
        <w:jc w:val="both"/>
        <w:rPr>
          <w:rFonts w:ascii="Book Antiqua" w:eastAsia="Times New Roman" w:hAnsi="Book Antiqua"/>
          <w:color w:val="000000" w:themeColor="text1"/>
          <w:lang w:eastAsia="en-GB"/>
        </w:rPr>
      </w:pPr>
      <w:r w:rsidRPr="00F65D45">
        <w:rPr>
          <w:rFonts w:ascii="Book Antiqua" w:hAnsi="Book Antiqua"/>
          <w:color w:val="000000" w:themeColor="text1"/>
        </w:rPr>
        <w:lastRenderedPageBreak/>
        <w:t>Grade E (Poor): 0</w:t>
      </w:r>
    </w:p>
    <w:p w14:paraId="45917AC4" w14:textId="77777777" w:rsidR="00814530" w:rsidRPr="00F65D45" w:rsidRDefault="00814530" w:rsidP="00F65D45">
      <w:pPr>
        <w:spacing w:line="360" w:lineRule="auto"/>
        <w:jc w:val="both"/>
        <w:rPr>
          <w:rFonts w:ascii="Book Antiqua" w:hAnsi="Book Antiqua"/>
          <w:color w:val="000000" w:themeColor="text1"/>
        </w:rPr>
      </w:pPr>
      <w:r w:rsidRPr="00F65D45">
        <w:rPr>
          <w:rFonts w:ascii="Book Antiqua" w:hAnsi="Book Antiqua"/>
          <w:color w:val="000000" w:themeColor="text1"/>
        </w:rPr>
        <w:br w:type="page"/>
      </w:r>
    </w:p>
    <w:p w14:paraId="47224C1F" w14:textId="77777777" w:rsidR="00C132BC" w:rsidRPr="00F65D45" w:rsidRDefault="00C132BC" w:rsidP="00F65D45">
      <w:pPr>
        <w:widowControl w:val="0"/>
        <w:snapToGrid w:val="0"/>
        <w:spacing w:line="360" w:lineRule="auto"/>
        <w:jc w:val="both"/>
        <w:rPr>
          <w:rFonts w:ascii="Book Antiqua" w:eastAsia="SimSun" w:hAnsi="Book Antiqua"/>
          <w:color w:val="000000" w:themeColor="text1"/>
          <w:lang w:eastAsia="zh-CN"/>
        </w:rPr>
        <w:sectPr w:rsidR="00C132BC" w:rsidRPr="00F65D45" w:rsidSect="00DD0292">
          <w:footerReference w:type="default" r:id="rId8"/>
          <w:pgSz w:w="11906" w:h="16838"/>
          <w:pgMar w:top="1701" w:right="1440" w:bottom="1440" w:left="1440" w:header="851" w:footer="992" w:gutter="0"/>
          <w:cols w:space="425"/>
          <w:docGrid w:linePitch="360"/>
        </w:sectPr>
      </w:pPr>
    </w:p>
    <w:p w14:paraId="4BE8FBF7"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lastRenderedPageBreak/>
        <w:t>Table 1 Studies of proton beam therapy for hepatocellular carcinoma</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1268"/>
        <w:gridCol w:w="1083"/>
        <w:gridCol w:w="1888"/>
        <w:gridCol w:w="870"/>
        <w:gridCol w:w="2684"/>
        <w:gridCol w:w="1283"/>
        <w:gridCol w:w="1188"/>
        <w:gridCol w:w="1035"/>
      </w:tblGrid>
      <w:tr w:rsidR="00C54395" w:rsidRPr="00F65D45" w14:paraId="2A2ECEFF" w14:textId="77777777" w:rsidTr="006E4D8B">
        <w:tc>
          <w:tcPr>
            <w:tcW w:w="2086" w:type="dxa"/>
            <w:tcBorders>
              <w:top w:val="single" w:sz="4" w:space="0" w:color="auto"/>
              <w:bottom w:val="single" w:sz="4" w:space="0" w:color="auto"/>
            </w:tcBorders>
            <w:vAlign w:val="center"/>
          </w:tcPr>
          <w:p w14:paraId="44170527"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Study</w:t>
            </w:r>
          </w:p>
        </w:tc>
        <w:tc>
          <w:tcPr>
            <w:tcW w:w="1272" w:type="dxa"/>
            <w:tcBorders>
              <w:top w:val="single" w:sz="4" w:space="0" w:color="auto"/>
              <w:bottom w:val="single" w:sz="4" w:space="0" w:color="auto"/>
            </w:tcBorders>
            <w:vAlign w:val="center"/>
          </w:tcPr>
          <w:p w14:paraId="422D7B84"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Patients (</w:t>
            </w:r>
            <w:r w:rsidRPr="00A764F3">
              <w:rPr>
                <w:rFonts w:ascii="Book Antiqua" w:hAnsi="Book Antiqua"/>
                <w:b/>
                <w:i/>
                <w:color w:val="000000" w:themeColor="text1"/>
              </w:rPr>
              <w:t>n</w:t>
            </w:r>
            <w:r w:rsidRPr="00F65D45">
              <w:rPr>
                <w:rFonts w:ascii="Book Antiqua" w:hAnsi="Book Antiqua"/>
                <w:b/>
                <w:color w:val="000000" w:themeColor="text1"/>
              </w:rPr>
              <w:t>)</w:t>
            </w:r>
          </w:p>
        </w:tc>
        <w:tc>
          <w:tcPr>
            <w:tcW w:w="1090" w:type="dxa"/>
            <w:tcBorders>
              <w:top w:val="single" w:sz="4" w:space="0" w:color="auto"/>
              <w:bottom w:val="single" w:sz="4" w:space="0" w:color="auto"/>
            </w:tcBorders>
            <w:vAlign w:val="center"/>
          </w:tcPr>
          <w:p w14:paraId="65E84254"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CTP score</w:t>
            </w:r>
          </w:p>
        </w:tc>
        <w:tc>
          <w:tcPr>
            <w:tcW w:w="1907" w:type="dxa"/>
            <w:tcBorders>
              <w:top w:val="single" w:sz="4" w:space="0" w:color="auto"/>
              <w:bottom w:val="single" w:sz="4" w:space="0" w:color="auto"/>
            </w:tcBorders>
            <w:vAlign w:val="center"/>
          </w:tcPr>
          <w:p w14:paraId="1A458661"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Tumor size (cm)</w:t>
            </w:r>
          </w:p>
        </w:tc>
        <w:tc>
          <w:tcPr>
            <w:tcW w:w="716" w:type="dxa"/>
            <w:tcBorders>
              <w:top w:val="single" w:sz="4" w:space="0" w:color="auto"/>
              <w:bottom w:val="single" w:sz="4" w:space="0" w:color="auto"/>
            </w:tcBorders>
            <w:vAlign w:val="center"/>
          </w:tcPr>
          <w:p w14:paraId="7841065C"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PVTT</w:t>
            </w:r>
          </w:p>
        </w:tc>
        <w:tc>
          <w:tcPr>
            <w:tcW w:w="2702" w:type="dxa"/>
            <w:tcBorders>
              <w:top w:val="single" w:sz="4" w:space="0" w:color="auto"/>
              <w:bottom w:val="single" w:sz="4" w:space="0" w:color="auto"/>
            </w:tcBorders>
            <w:vAlign w:val="center"/>
          </w:tcPr>
          <w:p w14:paraId="719DF06E"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RT regimen (GyE/fractions)</w:t>
            </w:r>
          </w:p>
        </w:tc>
        <w:tc>
          <w:tcPr>
            <w:tcW w:w="1297" w:type="dxa"/>
            <w:tcBorders>
              <w:top w:val="single" w:sz="4" w:space="0" w:color="auto"/>
              <w:bottom w:val="single" w:sz="4" w:space="0" w:color="auto"/>
            </w:tcBorders>
            <w:vAlign w:val="center"/>
          </w:tcPr>
          <w:p w14:paraId="531D9349"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LC</w:t>
            </w:r>
          </w:p>
        </w:tc>
        <w:tc>
          <w:tcPr>
            <w:tcW w:w="1194" w:type="dxa"/>
            <w:tcBorders>
              <w:top w:val="single" w:sz="4" w:space="0" w:color="auto"/>
              <w:bottom w:val="single" w:sz="4" w:space="0" w:color="auto"/>
            </w:tcBorders>
            <w:vAlign w:val="center"/>
          </w:tcPr>
          <w:p w14:paraId="30A843F1"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PFS</w:t>
            </w:r>
          </w:p>
        </w:tc>
        <w:tc>
          <w:tcPr>
            <w:tcW w:w="1012" w:type="dxa"/>
            <w:tcBorders>
              <w:top w:val="single" w:sz="4" w:space="0" w:color="auto"/>
              <w:bottom w:val="single" w:sz="4" w:space="0" w:color="auto"/>
            </w:tcBorders>
            <w:vAlign w:val="center"/>
          </w:tcPr>
          <w:p w14:paraId="42434805" w14:textId="77777777" w:rsidR="00044F9C" w:rsidRPr="00F65D45" w:rsidRDefault="00044F9C" w:rsidP="00F65D45">
            <w:pPr>
              <w:widowControl w:val="0"/>
              <w:snapToGrid w:val="0"/>
              <w:spacing w:line="360" w:lineRule="auto"/>
              <w:jc w:val="both"/>
              <w:rPr>
                <w:rFonts w:ascii="Book Antiqua" w:hAnsi="Book Antiqua"/>
                <w:b/>
                <w:color w:val="000000" w:themeColor="text1"/>
              </w:rPr>
            </w:pPr>
            <w:r w:rsidRPr="00F65D45">
              <w:rPr>
                <w:rFonts w:ascii="Book Antiqua" w:hAnsi="Book Antiqua"/>
                <w:b/>
                <w:color w:val="000000" w:themeColor="text1"/>
              </w:rPr>
              <w:t>OS</w:t>
            </w:r>
          </w:p>
        </w:tc>
      </w:tr>
      <w:tr w:rsidR="00C54395" w:rsidRPr="00F65D45" w14:paraId="20BD38F0" w14:textId="77777777" w:rsidTr="006E4D8B">
        <w:tc>
          <w:tcPr>
            <w:tcW w:w="2086" w:type="dxa"/>
            <w:tcBorders>
              <w:top w:val="single" w:sz="4" w:space="0" w:color="auto"/>
            </w:tcBorders>
            <w:vAlign w:val="center"/>
          </w:tcPr>
          <w:p w14:paraId="60C7C4A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Tsukuba (2008)</w:t>
            </w:r>
            <w:r w:rsidRPr="00F65D45">
              <w:rPr>
                <w:rFonts w:ascii="Book Antiqua" w:hAnsi="Book Antiqua"/>
                <w:noProof/>
                <w:color w:val="000000" w:themeColor="text1"/>
                <w:vertAlign w:val="superscript"/>
              </w:rPr>
              <w:t>[39]</w:t>
            </w:r>
          </w:p>
        </w:tc>
        <w:tc>
          <w:tcPr>
            <w:tcW w:w="1272" w:type="dxa"/>
            <w:tcBorders>
              <w:top w:val="single" w:sz="4" w:space="0" w:color="auto"/>
            </w:tcBorders>
            <w:vAlign w:val="center"/>
          </w:tcPr>
          <w:p w14:paraId="6AD14251"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53</w:t>
            </w:r>
          </w:p>
        </w:tc>
        <w:tc>
          <w:tcPr>
            <w:tcW w:w="1090" w:type="dxa"/>
            <w:tcBorders>
              <w:top w:val="single" w:sz="4" w:space="0" w:color="auto"/>
            </w:tcBorders>
            <w:vAlign w:val="center"/>
          </w:tcPr>
          <w:p w14:paraId="78EA07F8"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A: 87%</w:t>
            </w:r>
          </w:p>
          <w:p w14:paraId="4540C0AF"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B: 11%</w:t>
            </w:r>
          </w:p>
          <w:p w14:paraId="602CE2B2"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eastAsia="Malgun Gothic" w:hAnsi="Book Antiqua"/>
                <w:color w:val="000000" w:themeColor="text1"/>
              </w:rPr>
              <w:t>C: 2%</w:t>
            </w:r>
          </w:p>
        </w:tc>
        <w:tc>
          <w:tcPr>
            <w:tcW w:w="1907" w:type="dxa"/>
            <w:tcBorders>
              <w:top w:val="single" w:sz="4" w:space="0" w:color="auto"/>
            </w:tcBorders>
            <w:vAlign w:val="center"/>
          </w:tcPr>
          <w:p w14:paraId="3501C0CC" w14:textId="145D0568" w:rsidR="00044F9C" w:rsidRPr="00F65D45" w:rsidRDefault="00B25099" w:rsidP="00F65D45">
            <w:pPr>
              <w:widowControl w:val="0"/>
              <w:snapToGrid w:val="0"/>
              <w:spacing w:line="360" w:lineRule="auto"/>
              <w:jc w:val="both"/>
              <w:rPr>
                <w:rFonts w:ascii="Book Antiqua" w:eastAsia="Malgun Gothic" w:hAnsi="Book Antiqua"/>
                <w:color w:val="000000" w:themeColor="text1"/>
              </w:rPr>
            </w:pPr>
            <w:r>
              <w:rPr>
                <w:rFonts w:ascii="Book Antiqua" w:eastAsia="SimSun" w:hAnsi="Book Antiqua" w:cs="SimSun"/>
                <w:color w:val="000000" w:themeColor="text1"/>
              </w:rPr>
              <w:t>≤</w:t>
            </w:r>
            <w:r w:rsidR="00044F9C" w:rsidRPr="00F65D45">
              <w:rPr>
                <w:rFonts w:ascii="Book Antiqua" w:eastAsia="Malgun Gothic" w:hAnsi="Book Antiqua"/>
                <w:color w:val="000000" w:themeColor="text1"/>
              </w:rPr>
              <w:t xml:space="preserve"> 3: 25%</w:t>
            </w:r>
          </w:p>
          <w:p w14:paraId="1F4E2ECC"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&gt; 3 - &lt; 5: 34%</w:t>
            </w:r>
          </w:p>
          <w:p w14:paraId="1566160A" w14:textId="7A157520" w:rsidR="00044F9C" w:rsidRPr="00F65D45" w:rsidRDefault="00B25099" w:rsidP="00F65D45">
            <w:pPr>
              <w:widowControl w:val="0"/>
              <w:snapToGrid w:val="0"/>
              <w:spacing w:line="360" w:lineRule="auto"/>
              <w:jc w:val="both"/>
              <w:rPr>
                <w:rFonts w:ascii="Book Antiqua" w:eastAsia="Malgun Gothic" w:hAnsi="Book Antiqua"/>
                <w:color w:val="000000" w:themeColor="text1"/>
              </w:rPr>
            </w:pPr>
            <w:r>
              <w:rPr>
                <w:rFonts w:ascii="Book Antiqua" w:eastAsia="SimSun" w:hAnsi="Book Antiqua" w:cs="SimSun"/>
                <w:color w:val="000000" w:themeColor="text1"/>
              </w:rPr>
              <w:t>≥</w:t>
            </w:r>
            <w:r w:rsidR="00044F9C" w:rsidRPr="00F65D45">
              <w:rPr>
                <w:rFonts w:ascii="Book Antiqua" w:eastAsia="Malgun Gothic" w:hAnsi="Book Antiqua"/>
                <w:color w:val="000000" w:themeColor="text1"/>
              </w:rPr>
              <w:t xml:space="preserve"> 5 - &lt;10: 34%</w:t>
            </w:r>
          </w:p>
          <w:p w14:paraId="08682D84" w14:textId="13160625" w:rsidR="00044F9C" w:rsidRPr="00F65D45" w:rsidRDefault="00B25099" w:rsidP="00F65D45">
            <w:pPr>
              <w:widowControl w:val="0"/>
              <w:snapToGrid w:val="0"/>
              <w:spacing w:line="360" w:lineRule="auto"/>
              <w:jc w:val="both"/>
              <w:rPr>
                <w:rFonts w:ascii="Book Antiqua" w:hAnsi="Book Antiqua"/>
                <w:color w:val="000000" w:themeColor="text1"/>
              </w:rPr>
            </w:pPr>
            <w:r>
              <w:rPr>
                <w:rFonts w:ascii="Book Antiqua" w:eastAsia="SimSun" w:hAnsi="Book Antiqua" w:cs="SimSun"/>
                <w:color w:val="000000" w:themeColor="text1"/>
              </w:rPr>
              <w:t>≥</w:t>
            </w:r>
            <w:r w:rsidR="00044F9C" w:rsidRPr="00F65D45">
              <w:rPr>
                <w:rFonts w:ascii="Book Antiqua" w:eastAsia="Malgun Gothic" w:hAnsi="Book Antiqua"/>
                <w:color w:val="000000" w:themeColor="text1"/>
              </w:rPr>
              <w:t xml:space="preserve"> 10: 8%</w:t>
            </w:r>
          </w:p>
        </w:tc>
        <w:tc>
          <w:tcPr>
            <w:tcW w:w="716" w:type="dxa"/>
            <w:tcBorders>
              <w:top w:val="single" w:sz="4" w:space="0" w:color="auto"/>
            </w:tcBorders>
            <w:vAlign w:val="center"/>
          </w:tcPr>
          <w:p w14:paraId="1FA6D70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28%</w:t>
            </w:r>
          </w:p>
        </w:tc>
        <w:tc>
          <w:tcPr>
            <w:tcW w:w="2702" w:type="dxa"/>
            <w:tcBorders>
              <w:top w:val="single" w:sz="4" w:space="0" w:color="auto"/>
            </w:tcBorders>
            <w:vAlign w:val="center"/>
          </w:tcPr>
          <w:p w14:paraId="5E94ED1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72.6 / 22 (80.5 Gy EQD2)</w:t>
            </w:r>
          </w:p>
        </w:tc>
        <w:tc>
          <w:tcPr>
            <w:tcW w:w="1297" w:type="dxa"/>
            <w:tcBorders>
              <w:top w:val="single" w:sz="4" w:space="0" w:color="auto"/>
            </w:tcBorders>
            <w:vAlign w:val="center"/>
          </w:tcPr>
          <w:p w14:paraId="1259076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94% at 2 yr</w:t>
            </w:r>
          </w:p>
          <w:p w14:paraId="7C7E48D8"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86% at 3 yr</w:t>
            </w:r>
          </w:p>
        </w:tc>
        <w:tc>
          <w:tcPr>
            <w:tcW w:w="1194" w:type="dxa"/>
            <w:tcBorders>
              <w:top w:val="single" w:sz="4" w:space="0" w:color="auto"/>
            </w:tcBorders>
            <w:vAlign w:val="center"/>
          </w:tcPr>
          <w:p w14:paraId="13BD706C"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38% at 2 yr</w:t>
            </w:r>
          </w:p>
          <w:p w14:paraId="658E8CB7"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25% at 3 yr</w:t>
            </w:r>
          </w:p>
        </w:tc>
        <w:tc>
          <w:tcPr>
            <w:tcW w:w="1012" w:type="dxa"/>
            <w:tcBorders>
              <w:top w:val="single" w:sz="4" w:space="0" w:color="auto"/>
            </w:tcBorders>
            <w:vAlign w:val="center"/>
          </w:tcPr>
          <w:p w14:paraId="28B92C2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2-yr 57%</w:t>
            </w:r>
          </w:p>
          <w:p w14:paraId="62DF0484"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3-yr 45%</w:t>
            </w:r>
          </w:p>
        </w:tc>
      </w:tr>
      <w:tr w:rsidR="00C54395" w:rsidRPr="00F65D45" w14:paraId="3C09E874" w14:textId="77777777" w:rsidTr="006E4D8B">
        <w:trPr>
          <w:trHeight w:val="465"/>
        </w:trPr>
        <w:tc>
          <w:tcPr>
            <w:tcW w:w="2086" w:type="dxa"/>
            <w:vAlign w:val="center"/>
          </w:tcPr>
          <w:p w14:paraId="163E01C4"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Tsukuba (2009)</w:t>
            </w:r>
            <w:r w:rsidRPr="00F65D45">
              <w:rPr>
                <w:rFonts w:ascii="Book Antiqua" w:hAnsi="Book Antiqua"/>
                <w:noProof/>
                <w:color w:val="000000" w:themeColor="text1"/>
                <w:vertAlign w:val="superscript"/>
              </w:rPr>
              <w:t>[40]</w:t>
            </w:r>
          </w:p>
        </w:tc>
        <w:tc>
          <w:tcPr>
            <w:tcW w:w="1272" w:type="dxa"/>
            <w:vAlign w:val="center"/>
          </w:tcPr>
          <w:p w14:paraId="63D686F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51</w:t>
            </w:r>
          </w:p>
        </w:tc>
        <w:tc>
          <w:tcPr>
            <w:tcW w:w="1090" w:type="dxa"/>
            <w:vAlign w:val="center"/>
          </w:tcPr>
          <w:p w14:paraId="38052FAA"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A: 80%</w:t>
            </w:r>
          </w:p>
          <w:p w14:paraId="3A02567D"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B: 20%</w:t>
            </w:r>
          </w:p>
        </w:tc>
        <w:tc>
          <w:tcPr>
            <w:tcW w:w="1907" w:type="dxa"/>
            <w:vAlign w:val="center"/>
          </w:tcPr>
          <w:p w14:paraId="06BCC91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Median 2.8</w:t>
            </w:r>
          </w:p>
          <w:p w14:paraId="137A218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(range, 0.8 to 9.3)</w:t>
            </w:r>
          </w:p>
          <w:p w14:paraId="4F6468FE" w14:textId="1862F31D" w:rsidR="00044F9C" w:rsidRPr="00F65D45" w:rsidRDefault="00B25099" w:rsidP="00F65D45">
            <w:pPr>
              <w:widowControl w:val="0"/>
              <w:snapToGrid w:val="0"/>
              <w:spacing w:line="360" w:lineRule="auto"/>
              <w:jc w:val="both"/>
              <w:rPr>
                <w:rFonts w:ascii="Book Antiqua" w:eastAsia="Malgun Gothic" w:hAnsi="Book Antiqua"/>
                <w:color w:val="000000" w:themeColor="text1"/>
              </w:rPr>
            </w:pPr>
            <w:r w:rsidRPr="00B25099">
              <w:rPr>
                <w:rFonts w:ascii="Book Antiqua" w:eastAsia="SimSun" w:hAnsi="Book Antiqua" w:cs="SimSun"/>
                <w:color w:val="000000" w:themeColor="text1"/>
              </w:rPr>
              <w:t>≤</w:t>
            </w:r>
            <w:r>
              <w:rPr>
                <w:rFonts w:ascii="SimSun" w:eastAsia="SimSun" w:hAnsi="SimSun" w:cs="SimSun" w:hint="eastAsia"/>
                <w:color w:val="000000" w:themeColor="text1"/>
                <w:lang w:eastAsia="zh-CN"/>
              </w:rPr>
              <w:t xml:space="preserve"> </w:t>
            </w:r>
            <w:r w:rsidR="00044F9C" w:rsidRPr="00F65D45">
              <w:rPr>
                <w:rFonts w:ascii="Book Antiqua" w:eastAsia="MS Mincho" w:hAnsi="Book Antiqua"/>
                <w:color w:val="000000" w:themeColor="text1"/>
              </w:rPr>
              <w:t>5</w:t>
            </w:r>
            <w:r w:rsidR="00044F9C" w:rsidRPr="00F65D45">
              <w:rPr>
                <w:rFonts w:ascii="Book Antiqua" w:eastAsia="Malgun Gothic" w:hAnsi="Book Antiqua"/>
                <w:color w:val="000000" w:themeColor="text1"/>
              </w:rPr>
              <w:t>: 88%</w:t>
            </w:r>
          </w:p>
          <w:p w14:paraId="5A1CC046" w14:textId="77777777" w:rsidR="00044F9C" w:rsidRPr="00F65D45" w:rsidRDefault="00044F9C" w:rsidP="00F65D45">
            <w:pPr>
              <w:widowControl w:val="0"/>
              <w:snapToGrid w:val="0"/>
              <w:spacing w:line="360" w:lineRule="auto"/>
              <w:jc w:val="both"/>
              <w:rPr>
                <w:rFonts w:ascii="Book Antiqua" w:eastAsia="Malgun Gothic" w:hAnsi="Book Antiqua" w:cs="Malgun Gothic"/>
                <w:color w:val="000000" w:themeColor="text1"/>
              </w:rPr>
            </w:pPr>
            <w:r w:rsidRPr="00F65D45">
              <w:rPr>
                <w:rFonts w:ascii="Book Antiqua" w:eastAsia="Malgun Gothic" w:hAnsi="Book Antiqua"/>
                <w:color w:val="000000" w:themeColor="text1"/>
              </w:rPr>
              <w:t>&gt; 5: 12%</w:t>
            </w:r>
          </w:p>
        </w:tc>
        <w:tc>
          <w:tcPr>
            <w:tcW w:w="716" w:type="dxa"/>
            <w:vAlign w:val="center"/>
          </w:tcPr>
          <w:p w14:paraId="1C091BC4"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NA</w:t>
            </w:r>
          </w:p>
        </w:tc>
        <w:tc>
          <w:tcPr>
            <w:tcW w:w="2702" w:type="dxa"/>
            <w:vAlign w:val="center"/>
          </w:tcPr>
          <w:p w14:paraId="247AFBF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66.0 / 10 (91.3 Gy EQD2)</w:t>
            </w:r>
          </w:p>
        </w:tc>
        <w:tc>
          <w:tcPr>
            <w:tcW w:w="1297" w:type="dxa"/>
            <w:vAlign w:val="center"/>
          </w:tcPr>
          <w:p w14:paraId="1D21947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95% at 3 yr</w:t>
            </w:r>
          </w:p>
          <w:p w14:paraId="2C4A641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88% at 5 yr</w:t>
            </w:r>
          </w:p>
        </w:tc>
        <w:tc>
          <w:tcPr>
            <w:tcW w:w="1194" w:type="dxa"/>
            <w:vAlign w:val="center"/>
          </w:tcPr>
          <w:p w14:paraId="3CEF8B2C"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NA</w:t>
            </w:r>
          </w:p>
        </w:tc>
        <w:tc>
          <w:tcPr>
            <w:tcW w:w="1012" w:type="dxa"/>
            <w:vAlign w:val="center"/>
          </w:tcPr>
          <w:p w14:paraId="4CBADA45"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3-yr 49%</w:t>
            </w:r>
          </w:p>
          <w:p w14:paraId="37546741"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5-yr 39%</w:t>
            </w:r>
          </w:p>
        </w:tc>
      </w:tr>
      <w:tr w:rsidR="00C54395" w:rsidRPr="00F65D45" w14:paraId="5E2653D5" w14:textId="77777777" w:rsidTr="006E4D8B">
        <w:tc>
          <w:tcPr>
            <w:tcW w:w="2086" w:type="dxa"/>
            <w:vAlign w:val="center"/>
          </w:tcPr>
          <w:p w14:paraId="63277AB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Tsukuba (2009)</w:t>
            </w:r>
            <w:r w:rsidRPr="00F65D45">
              <w:rPr>
                <w:rFonts w:ascii="Book Antiqua" w:hAnsi="Book Antiqua"/>
                <w:noProof/>
                <w:color w:val="000000" w:themeColor="text1"/>
                <w:vertAlign w:val="superscript"/>
              </w:rPr>
              <w:t>[41]</w:t>
            </w:r>
          </w:p>
        </w:tc>
        <w:tc>
          <w:tcPr>
            <w:tcW w:w="1272" w:type="dxa"/>
            <w:vAlign w:val="center"/>
          </w:tcPr>
          <w:p w14:paraId="7C9A95E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318</w:t>
            </w:r>
          </w:p>
        </w:tc>
        <w:tc>
          <w:tcPr>
            <w:tcW w:w="1090" w:type="dxa"/>
            <w:vAlign w:val="center"/>
          </w:tcPr>
          <w:p w14:paraId="51753181"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A: 74%</w:t>
            </w:r>
          </w:p>
          <w:p w14:paraId="17F90E70"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B: 24%</w:t>
            </w:r>
          </w:p>
          <w:p w14:paraId="48AB99BB"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C: 2%</w:t>
            </w:r>
          </w:p>
        </w:tc>
        <w:tc>
          <w:tcPr>
            <w:tcW w:w="1907" w:type="dxa"/>
            <w:vAlign w:val="center"/>
          </w:tcPr>
          <w:p w14:paraId="7A3579DD"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NA</w:t>
            </w:r>
          </w:p>
        </w:tc>
        <w:tc>
          <w:tcPr>
            <w:tcW w:w="716" w:type="dxa"/>
            <w:vAlign w:val="center"/>
          </w:tcPr>
          <w:p w14:paraId="709118C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14%</w:t>
            </w:r>
          </w:p>
        </w:tc>
        <w:tc>
          <w:tcPr>
            <w:tcW w:w="2702" w:type="dxa"/>
            <w:vAlign w:val="center"/>
          </w:tcPr>
          <w:p w14:paraId="09718B0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66.0 / 10 (91.3 Gy EQD2): 32.7%</w:t>
            </w:r>
          </w:p>
          <w:p w14:paraId="63F04112"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72.6 / 22 (80.5 Gy EQD2): 26.7%</w:t>
            </w:r>
          </w:p>
          <w:p w14:paraId="12FD3718"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77.0 / 35 (78.3 Gy EQD2): 20.8%</w:t>
            </w:r>
          </w:p>
        </w:tc>
        <w:tc>
          <w:tcPr>
            <w:tcW w:w="1297" w:type="dxa"/>
            <w:vAlign w:val="center"/>
          </w:tcPr>
          <w:p w14:paraId="1737483F"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NA</w:t>
            </w:r>
          </w:p>
        </w:tc>
        <w:tc>
          <w:tcPr>
            <w:tcW w:w="1194" w:type="dxa"/>
            <w:vAlign w:val="center"/>
          </w:tcPr>
          <w:p w14:paraId="3EDB5907"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NA</w:t>
            </w:r>
          </w:p>
        </w:tc>
        <w:tc>
          <w:tcPr>
            <w:tcW w:w="1012" w:type="dxa"/>
            <w:vAlign w:val="center"/>
          </w:tcPr>
          <w:p w14:paraId="7FF32799"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3-yr 65%</w:t>
            </w:r>
          </w:p>
          <w:p w14:paraId="2E43126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5-yr 45%</w:t>
            </w:r>
          </w:p>
        </w:tc>
      </w:tr>
      <w:tr w:rsidR="00C54395" w:rsidRPr="00F65D45" w14:paraId="434D3097" w14:textId="77777777" w:rsidTr="006E4D8B">
        <w:tc>
          <w:tcPr>
            <w:tcW w:w="2086" w:type="dxa"/>
            <w:vAlign w:val="center"/>
          </w:tcPr>
          <w:p w14:paraId="7F6AFEB9"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 xml:space="preserve">Tsukuba </w:t>
            </w:r>
            <w:r w:rsidRPr="00F65D45">
              <w:rPr>
                <w:rFonts w:ascii="Book Antiqua" w:hAnsi="Book Antiqua"/>
                <w:color w:val="000000" w:themeColor="text1"/>
              </w:rPr>
              <w:lastRenderedPageBreak/>
              <w:t>(2011)</w:t>
            </w:r>
            <w:r w:rsidRPr="00F65D45">
              <w:rPr>
                <w:rFonts w:ascii="Book Antiqua" w:hAnsi="Book Antiqua"/>
                <w:noProof/>
                <w:color w:val="000000" w:themeColor="text1"/>
                <w:vertAlign w:val="superscript"/>
              </w:rPr>
              <w:t>[42]</w:t>
            </w:r>
          </w:p>
          <w:p w14:paraId="46BAF212" w14:textId="77777777" w:rsidR="00044F9C" w:rsidRPr="00F65D45" w:rsidRDefault="00044F9C" w:rsidP="00F65D45">
            <w:pPr>
              <w:widowControl w:val="0"/>
              <w:snapToGrid w:val="0"/>
              <w:spacing w:line="360" w:lineRule="auto"/>
              <w:jc w:val="both"/>
              <w:rPr>
                <w:rFonts w:ascii="Book Antiqua" w:hAnsi="Book Antiqua"/>
                <w:color w:val="000000" w:themeColor="text1"/>
              </w:rPr>
            </w:pPr>
          </w:p>
        </w:tc>
        <w:tc>
          <w:tcPr>
            <w:tcW w:w="1272" w:type="dxa"/>
            <w:vAlign w:val="center"/>
          </w:tcPr>
          <w:p w14:paraId="0CE587EA"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47</w:t>
            </w:r>
          </w:p>
        </w:tc>
        <w:tc>
          <w:tcPr>
            <w:tcW w:w="1090" w:type="dxa"/>
            <w:vAlign w:val="center"/>
          </w:tcPr>
          <w:p w14:paraId="5C9BDAA5"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A: 75%</w:t>
            </w:r>
          </w:p>
          <w:p w14:paraId="621FE67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B: 19%</w:t>
            </w:r>
          </w:p>
          <w:p w14:paraId="7CD8A2F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C: 6%</w:t>
            </w:r>
          </w:p>
        </w:tc>
        <w:tc>
          <w:tcPr>
            <w:tcW w:w="1907" w:type="dxa"/>
            <w:vAlign w:val="center"/>
          </w:tcPr>
          <w:p w14:paraId="1DEFD73D"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NA</w:t>
            </w:r>
          </w:p>
        </w:tc>
        <w:tc>
          <w:tcPr>
            <w:tcW w:w="716" w:type="dxa"/>
            <w:vAlign w:val="center"/>
          </w:tcPr>
          <w:p w14:paraId="1520F0F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15%</w:t>
            </w:r>
          </w:p>
        </w:tc>
        <w:tc>
          <w:tcPr>
            <w:tcW w:w="2702" w:type="dxa"/>
            <w:vAlign w:val="center"/>
          </w:tcPr>
          <w:p w14:paraId="2BC9EBBC"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 xml:space="preserve">72.6 / 22 (80.5 Gy </w:t>
            </w:r>
            <w:r w:rsidRPr="00F65D45">
              <w:rPr>
                <w:rFonts w:ascii="Book Antiqua" w:hAnsi="Book Antiqua"/>
                <w:color w:val="000000" w:themeColor="text1"/>
              </w:rPr>
              <w:lastRenderedPageBreak/>
              <w:t>EQD2): 34.0%</w:t>
            </w:r>
          </w:p>
          <w:p w14:paraId="7C654C42"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77.0 / 35 (78.3 Gy EQD2): 27.7%</w:t>
            </w:r>
          </w:p>
        </w:tc>
        <w:tc>
          <w:tcPr>
            <w:tcW w:w="1297" w:type="dxa"/>
            <w:vAlign w:val="center"/>
          </w:tcPr>
          <w:p w14:paraId="552B6C52"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 xml:space="preserve">88% at 3 </w:t>
            </w:r>
            <w:r w:rsidRPr="00F65D45">
              <w:rPr>
                <w:rFonts w:ascii="Book Antiqua" w:hAnsi="Book Antiqua"/>
                <w:color w:val="000000" w:themeColor="text1"/>
              </w:rPr>
              <w:lastRenderedPageBreak/>
              <w:t>yr</w:t>
            </w:r>
          </w:p>
          <w:p w14:paraId="7DE778CD"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88% at 4 yr</w:t>
            </w:r>
          </w:p>
        </w:tc>
        <w:tc>
          <w:tcPr>
            <w:tcW w:w="1194" w:type="dxa"/>
            <w:vAlign w:val="center"/>
          </w:tcPr>
          <w:p w14:paraId="341249B5"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IHRFS</w:t>
            </w:r>
          </w:p>
          <w:p w14:paraId="3CA27AB2"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1-yr 66%</w:t>
            </w:r>
          </w:p>
          <w:p w14:paraId="4049E59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3-yr 40%</w:t>
            </w:r>
          </w:p>
          <w:p w14:paraId="6DFAA7E7"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4-yr 17%</w:t>
            </w:r>
          </w:p>
        </w:tc>
        <w:tc>
          <w:tcPr>
            <w:tcW w:w="1012" w:type="dxa"/>
            <w:vAlign w:val="center"/>
          </w:tcPr>
          <w:p w14:paraId="44082A06"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 xml:space="preserve">3-yr </w:t>
            </w:r>
            <w:r w:rsidRPr="00F65D45">
              <w:rPr>
                <w:rFonts w:ascii="Book Antiqua" w:hAnsi="Book Antiqua"/>
                <w:color w:val="000000" w:themeColor="text1"/>
              </w:rPr>
              <w:lastRenderedPageBreak/>
              <w:t>50%</w:t>
            </w:r>
          </w:p>
          <w:p w14:paraId="0841119C"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4-yr 34%</w:t>
            </w:r>
          </w:p>
        </w:tc>
      </w:tr>
      <w:tr w:rsidR="00C54395" w:rsidRPr="00F65D45" w14:paraId="02EABB1C" w14:textId="77777777" w:rsidTr="006E4D8B">
        <w:tc>
          <w:tcPr>
            <w:tcW w:w="2086" w:type="dxa"/>
            <w:vAlign w:val="center"/>
          </w:tcPr>
          <w:p w14:paraId="034DDD1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lastRenderedPageBreak/>
              <w:t>Loma Linda (2011)</w:t>
            </w:r>
            <w:r w:rsidRPr="00F65D45">
              <w:rPr>
                <w:rFonts w:ascii="Book Antiqua" w:hAnsi="Book Antiqua"/>
                <w:noProof/>
                <w:color w:val="000000" w:themeColor="text1"/>
                <w:vertAlign w:val="superscript"/>
              </w:rPr>
              <w:t>[43]</w:t>
            </w:r>
          </w:p>
        </w:tc>
        <w:tc>
          <w:tcPr>
            <w:tcW w:w="1272" w:type="dxa"/>
            <w:vAlign w:val="center"/>
          </w:tcPr>
          <w:p w14:paraId="5D2657DF"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76</w:t>
            </w:r>
          </w:p>
        </w:tc>
        <w:tc>
          <w:tcPr>
            <w:tcW w:w="1090" w:type="dxa"/>
            <w:vAlign w:val="center"/>
          </w:tcPr>
          <w:p w14:paraId="2305F489"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A: 29%</w:t>
            </w:r>
          </w:p>
          <w:p w14:paraId="3682F32D"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B: 47%</w:t>
            </w:r>
          </w:p>
          <w:p w14:paraId="58B7E328"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C: 24%</w:t>
            </w:r>
          </w:p>
        </w:tc>
        <w:tc>
          <w:tcPr>
            <w:tcW w:w="1907" w:type="dxa"/>
            <w:vAlign w:val="center"/>
          </w:tcPr>
          <w:p w14:paraId="21925F42"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Mean 5.5</w:t>
            </w:r>
          </w:p>
          <w:p w14:paraId="075D25C5" w14:textId="7C7ED13A" w:rsidR="00044F9C" w:rsidRPr="00F65D45" w:rsidRDefault="00B25099" w:rsidP="00F65D45">
            <w:pPr>
              <w:widowControl w:val="0"/>
              <w:snapToGrid w:val="0"/>
              <w:spacing w:line="360" w:lineRule="auto"/>
              <w:jc w:val="both"/>
              <w:rPr>
                <w:rFonts w:ascii="Book Antiqua" w:eastAsia="Malgun Gothic" w:hAnsi="Book Antiqua"/>
                <w:color w:val="000000" w:themeColor="text1"/>
              </w:rPr>
            </w:pPr>
            <w:r>
              <w:rPr>
                <w:rFonts w:ascii="Book Antiqua" w:eastAsia="SimSun" w:hAnsi="Book Antiqua" w:cs="SimSun"/>
                <w:color w:val="000000" w:themeColor="text1"/>
              </w:rPr>
              <w:t>≤</w:t>
            </w:r>
            <w:r w:rsidR="0026399E">
              <w:rPr>
                <w:rFonts w:ascii="SimSun" w:eastAsia="SimSun" w:hAnsi="SimSun" w:cs="SimSun" w:hint="eastAsia"/>
                <w:color w:val="000000" w:themeColor="text1"/>
                <w:lang w:eastAsia="zh-CN"/>
              </w:rPr>
              <w:t xml:space="preserve"> </w:t>
            </w:r>
            <w:r w:rsidR="00044F9C" w:rsidRPr="00F65D45">
              <w:rPr>
                <w:rFonts w:ascii="Book Antiqua" w:eastAsia="Malgun Gothic" w:hAnsi="Book Antiqua"/>
                <w:color w:val="000000" w:themeColor="text1"/>
              </w:rPr>
              <w:t>2: 7%</w:t>
            </w:r>
          </w:p>
          <w:p w14:paraId="1B7EB249" w14:textId="77777777" w:rsidR="00044F9C" w:rsidRPr="00F65D45" w:rsidRDefault="00044F9C" w:rsidP="00F65D45">
            <w:pPr>
              <w:widowControl w:val="0"/>
              <w:snapToGrid w:val="0"/>
              <w:spacing w:line="360" w:lineRule="auto"/>
              <w:jc w:val="both"/>
              <w:rPr>
                <w:rFonts w:ascii="Book Antiqua" w:eastAsia="Malgun Gothic" w:hAnsi="Book Antiqua"/>
                <w:color w:val="000000" w:themeColor="text1"/>
              </w:rPr>
            </w:pPr>
            <w:r w:rsidRPr="00F65D45">
              <w:rPr>
                <w:rFonts w:ascii="Book Antiqua" w:eastAsia="Malgun Gothic" w:hAnsi="Book Antiqua"/>
                <w:color w:val="000000" w:themeColor="text1"/>
              </w:rPr>
              <w:t>&gt; 2 - &lt; 5: 45%</w:t>
            </w:r>
          </w:p>
          <w:p w14:paraId="668A6B71" w14:textId="6F851F31" w:rsidR="00044F9C" w:rsidRPr="00F65D45" w:rsidRDefault="00B25099" w:rsidP="00F65D45">
            <w:pPr>
              <w:widowControl w:val="0"/>
              <w:snapToGrid w:val="0"/>
              <w:spacing w:line="360" w:lineRule="auto"/>
              <w:jc w:val="both"/>
              <w:rPr>
                <w:rFonts w:ascii="Book Antiqua" w:eastAsia="Malgun Gothic" w:hAnsi="Book Antiqua"/>
                <w:color w:val="000000" w:themeColor="text1"/>
              </w:rPr>
            </w:pPr>
            <w:r>
              <w:rPr>
                <w:rFonts w:ascii="Book Antiqua" w:eastAsia="SimSun" w:hAnsi="Book Antiqua" w:cs="SimSun"/>
                <w:color w:val="000000" w:themeColor="text1"/>
              </w:rPr>
              <w:t>≥</w:t>
            </w:r>
            <w:r w:rsidR="00044F9C" w:rsidRPr="00F65D45">
              <w:rPr>
                <w:rFonts w:ascii="Book Antiqua" w:eastAsia="Malgun Gothic" w:hAnsi="Book Antiqua"/>
                <w:color w:val="000000" w:themeColor="text1"/>
              </w:rPr>
              <w:t xml:space="preserve"> 5 - &lt;10: 43%</w:t>
            </w:r>
          </w:p>
          <w:p w14:paraId="6748AE7B" w14:textId="6E764C48" w:rsidR="00044F9C" w:rsidRPr="00F65D45" w:rsidRDefault="00B25099" w:rsidP="00F65D45">
            <w:pPr>
              <w:widowControl w:val="0"/>
              <w:snapToGrid w:val="0"/>
              <w:spacing w:line="360" w:lineRule="auto"/>
              <w:jc w:val="both"/>
              <w:rPr>
                <w:rFonts w:ascii="Book Antiqua" w:eastAsia="MS Mincho" w:hAnsi="Book Antiqua" w:cs="MS Mincho"/>
                <w:color w:val="000000" w:themeColor="text1"/>
              </w:rPr>
            </w:pPr>
            <w:r>
              <w:rPr>
                <w:rFonts w:ascii="Book Antiqua" w:eastAsia="SimSun" w:hAnsi="Book Antiqua" w:cs="SimSun"/>
                <w:color w:val="000000" w:themeColor="text1"/>
              </w:rPr>
              <w:t>≥</w:t>
            </w:r>
            <w:r w:rsidR="00044F9C" w:rsidRPr="00F65D45">
              <w:rPr>
                <w:rFonts w:ascii="Book Antiqua" w:eastAsia="Malgun Gothic" w:hAnsi="Book Antiqua"/>
                <w:color w:val="000000" w:themeColor="text1"/>
              </w:rPr>
              <w:t xml:space="preserve"> 10: 5%</w:t>
            </w:r>
          </w:p>
        </w:tc>
        <w:tc>
          <w:tcPr>
            <w:tcW w:w="716" w:type="dxa"/>
            <w:vAlign w:val="center"/>
          </w:tcPr>
          <w:p w14:paraId="6A5A9C1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5%</w:t>
            </w:r>
          </w:p>
        </w:tc>
        <w:tc>
          <w:tcPr>
            <w:tcW w:w="2702" w:type="dxa"/>
            <w:vAlign w:val="center"/>
          </w:tcPr>
          <w:p w14:paraId="31241945"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63.0 / 15 (74.6 Gy EQD2)</w:t>
            </w:r>
          </w:p>
        </w:tc>
        <w:tc>
          <w:tcPr>
            <w:tcW w:w="1297" w:type="dxa"/>
            <w:vAlign w:val="center"/>
          </w:tcPr>
          <w:p w14:paraId="50EA34E5"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70% at 3 yr</w:t>
            </w:r>
          </w:p>
        </w:tc>
        <w:tc>
          <w:tcPr>
            <w:tcW w:w="1194" w:type="dxa"/>
            <w:vAlign w:val="center"/>
          </w:tcPr>
          <w:p w14:paraId="43FC244F"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80%</w:t>
            </w:r>
          </w:p>
        </w:tc>
        <w:tc>
          <w:tcPr>
            <w:tcW w:w="1012" w:type="dxa"/>
            <w:vAlign w:val="center"/>
          </w:tcPr>
          <w:p w14:paraId="3B09D2DA" w14:textId="4FD908FB" w:rsidR="00044F9C" w:rsidRPr="00F65D45" w:rsidRDefault="00044F9C" w:rsidP="00F65D45">
            <w:pPr>
              <w:widowControl w:val="0"/>
              <w:snapToGrid w:val="0"/>
              <w:spacing w:line="360" w:lineRule="auto"/>
              <w:jc w:val="both"/>
              <w:rPr>
                <w:rFonts w:ascii="Book Antiqua" w:eastAsia="SimSun" w:hAnsi="Book Antiqua"/>
                <w:color w:val="000000" w:themeColor="text1"/>
                <w:lang w:eastAsia="zh-CN"/>
              </w:rPr>
            </w:pPr>
            <w:r w:rsidRPr="00F65D45">
              <w:rPr>
                <w:rFonts w:ascii="Book Antiqua" w:hAnsi="Book Antiqua"/>
                <w:color w:val="000000" w:themeColor="text1"/>
              </w:rPr>
              <w:t xml:space="preserve">Median 36 </w:t>
            </w:r>
            <w:r w:rsidR="00E515C4" w:rsidRPr="00F65D45">
              <w:rPr>
                <w:rFonts w:ascii="Book Antiqua" w:eastAsia="SimSun" w:hAnsi="Book Antiqua"/>
                <w:color w:val="000000" w:themeColor="text1"/>
                <w:lang w:eastAsia="zh-CN"/>
              </w:rPr>
              <w:t>mo</w:t>
            </w:r>
          </w:p>
        </w:tc>
      </w:tr>
      <w:tr w:rsidR="00C54395" w:rsidRPr="00F65D45" w14:paraId="04B360AE" w14:textId="77777777" w:rsidTr="006E4D8B">
        <w:tc>
          <w:tcPr>
            <w:tcW w:w="2086" w:type="dxa"/>
            <w:vAlign w:val="center"/>
          </w:tcPr>
          <w:p w14:paraId="0218C059"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NCC (2015)</w:t>
            </w:r>
            <w:r w:rsidRPr="00F65D45">
              <w:rPr>
                <w:rFonts w:ascii="Book Antiqua" w:hAnsi="Book Antiqua"/>
                <w:noProof/>
                <w:color w:val="000000" w:themeColor="text1"/>
                <w:vertAlign w:val="superscript"/>
              </w:rPr>
              <w:t>[45]</w:t>
            </w:r>
          </w:p>
        </w:tc>
        <w:tc>
          <w:tcPr>
            <w:tcW w:w="1272" w:type="dxa"/>
            <w:vAlign w:val="center"/>
          </w:tcPr>
          <w:p w14:paraId="0A97B908"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27</w:t>
            </w:r>
          </w:p>
        </w:tc>
        <w:tc>
          <w:tcPr>
            <w:tcW w:w="1090" w:type="dxa"/>
            <w:vAlign w:val="center"/>
          </w:tcPr>
          <w:p w14:paraId="79A20FD6"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A: 89%</w:t>
            </w:r>
          </w:p>
          <w:p w14:paraId="59467633"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B: 11%</w:t>
            </w:r>
          </w:p>
        </w:tc>
        <w:tc>
          <w:tcPr>
            <w:tcW w:w="1907" w:type="dxa"/>
            <w:vAlign w:val="center"/>
          </w:tcPr>
          <w:p w14:paraId="7F317B15" w14:textId="778B4747" w:rsidR="00044F9C" w:rsidRPr="00F65D45" w:rsidRDefault="008F21AC" w:rsidP="00F65D45">
            <w:pPr>
              <w:widowControl w:val="0"/>
              <w:snapToGrid w:val="0"/>
              <w:spacing w:line="360" w:lineRule="auto"/>
              <w:jc w:val="both"/>
              <w:rPr>
                <w:rFonts w:ascii="Book Antiqua" w:eastAsia="Malgun Gothic" w:hAnsi="Book Antiqua"/>
                <w:color w:val="000000" w:themeColor="text1"/>
              </w:rPr>
            </w:pPr>
            <w:r>
              <w:rPr>
                <w:rFonts w:ascii="Book Antiqua" w:eastAsia="SimSun" w:hAnsi="Book Antiqua" w:cs="SimSun"/>
                <w:color w:val="000000" w:themeColor="text1"/>
              </w:rPr>
              <w:t>≤</w:t>
            </w:r>
            <w:r w:rsidR="0026399E">
              <w:rPr>
                <w:rFonts w:ascii="SimSun" w:eastAsia="SimSun" w:hAnsi="SimSun" w:cs="SimSun" w:hint="eastAsia"/>
                <w:color w:val="000000" w:themeColor="text1"/>
                <w:lang w:eastAsia="zh-CN"/>
              </w:rPr>
              <w:t xml:space="preserve"> </w:t>
            </w:r>
            <w:r w:rsidR="00044F9C" w:rsidRPr="00F65D45">
              <w:rPr>
                <w:rFonts w:ascii="Book Antiqua" w:eastAsia="MS Mincho" w:hAnsi="Book Antiqua"/>
                <w:color w:val="000000" w:themeColor="text1"/>
              </w:rPr>
              <w:t>5</w:t>
            </w:r>
            <w:r w:rsidR="00044F9C" w:rsidRPr="00F65D45">
              <w:rPr>
                <w:rFonts w:ascii="Book Antiqua" w:eastAsia="Malgun Gothic" w:hAnsi="Book Antiqua"/>
                <w:color w:val="000000" w:themeColor="text1"/>
              </w:rPr>
              <w:t>: 81%</w:t>
            </w:r>
          </w:p>
          <w:p w14:paraId="284BDECC"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eastAsia="Malgun Gothic" w:hAnsi="Book Antiqua"/>
                <w:color w:val="000000" w:themeColor="text1"/>
              </w:rPr>
              <w:t>&gt; 5: 19%</w:t>
            </w:r>
          </w:p>
        </w:tc>
        <w:tc>
          <w:tcPr>
            <w:tcW w:w="716" w:type="dxa"/>
            <w:vAlign w:val="center"/>
          </w:tcPr>
          <w:p w14:paraId="01AF0FD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NA</w:t>
            </w:r>
          </w:p>
        </w:tc>
        <w:tc>
          <w:tcPr>
            <w:tcW w:w="2702" w:type="dxa"/>
            <w:vAlign w:val="center"/>
          </w:tcPr>
          <w:p w14:paraId="33FFEC92"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60.0 / 20 (65.0 Gy EQD2): 29.6%</w:t>
            </w:r>
          </w:p>
          <w:p w14:paraId="7C2376BA"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66.0 / 22 (71.5 Gy EQD2): 25.9%</w:t>
            </w:r>
          </w:p>
          <w:p w14:paraId="778EBEA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72.0 / 24 (78.0 Gy EQD2): 44.4%</w:t>
            </w:r>
          </w:p>
        </w:tc>
        <w:tc>
          <w:tcPr>
            <w:tcW w:w="1297" w:type="dxa"/>
            <w:vAlign w:val="center"/>
          </w:tcPr>
          <w:p w14:paraId="3A35A52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80% at 3 yr</w:t>
            </w:r>
          </w:p>
          <w:p w14:paraId="370C91F8"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64% at 5 yr</w:t>
            </w:r>
          </w:p>
        </w:tc>
        <w:tc>
          <w:tcPr>
            <w:tcW w:w="1194" w:type="dxa"/>
            <w:vAlign w:val="center"/>
          </w:tcPr>
          <w:p w14:paraId="7848ACA9"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3-yr 17%</w:t>
            </w:r>
          </w:p>
          <w:p w14:paraId="1714B9DF"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5-yr 0%</w:t>
            </w:r>
          </w:p>
        </w:tc>
        <w:tc>
          <w:tcPr>
            <w:tcW w:w="1012" w:type="dxa"/>
            <w:vAlign w:val="center"/>
          </w:tcPr>
          <w:p w14:paraId="112B57D6"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3-yr 56%</w:t>
            </w:r>
          </w:p>
          <w:p w14:paraId="46D56C95"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5-yr 42%</w:t>
            </w:r>
          </w:p>
        </w:tc>
      </w:tr>
      <w:tr w:rsidR="00C128AF" w:rsidRPr="00F65D45" w14:paraId="1B58B24D" w14:textId="77777777" w:rsidTr="006E4D8B">
        <w:tc>
          <w:tcPr>
            <w:tcW w:w="2086" w:type="dxa"/>
            <w:vAlign w:val="center"/>
          </w:tcPr>
          <w:p w14:paraId="7090B0CD"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Multiple US institutions (2016)</w:t>
            </w:r>
            <w:r w:rsidRPr="00F65D45">
              <w:rPr>
                <w:rFonts w:ascii="Book Antiqua" w:hAnsi="Book Antiqua"/>
                <w:noProof/>
                <w:color w:val="000000" w:themeColor="text1"/>
                <w:vertAlign w:val="superscript"/>
              </w:rPr>
              <w:t>[25]</w:t>
            </w:r>
            <w:r w:rsidRPr="00F65D45">
              <w:rPr>
                <w:rFonts w:ascii="Book Antiqua" w:hAnsi="Book Antiqua"/>
                <w:color w:val="000000" w:themeColor="text1"/>
              </w:rPr>
              <w:t xml:space="preserve"> </w:t>
            </w:r>
          </w:p>
        </w:tc>
        <w:tc>
          <w:tcPr>
            <w:tcW w:w="1272" w:type="dxa"/>
            <w:vAlign w:val="center"/>
          </w:tcPr>
          <w:p w14:paraId="79DB8E26"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44</w:t>
            </w:r>
          </w:p>
        </w:tc>
        <w:tc>
          <w:tcPr>
            <w:tcW w:w="1090" w:type="dxa"/>
            <w:vAlign w:val="center"/>
          </w:tcPr>
          <w:p w14:paraId="76E9345F"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A: 73%</w:t>
            </w:r>
          </w:p>
          <w:p w14:paraId="6B8B285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B: 20%</w:t>
            </w:r>
          </w:p>
          <w:p w14:paraId="54981109"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NA: 7%</w:t>
            </w:r>
          </w:p>
        </w:tc>
        <w:tc>
          <w:tcPr>
            <w:tcW w:w="1907" w:type="dxa"/>
            <w:vAlign w:val="center"/>
          </w:tcPr>
          <w:p w14:paraId="68D26859"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Median 5.0</w:t>
            </w:r>
          </w:p>
          <w:p w14:paraId="6AFA159E"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(range, 1.9 to 12.0)</w:t>
            </w:r>
          </w:p>
        </w:tc>
        <w:tc>
          <w:tcPr>
            <w:tcW w:w="716" w:type="dxa"/>
            <w:vAlign w:val="center"/>
          </w:tcPr>
          <w:p w14:paraId="171C2ED5"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30%</w:t>
            </w:r>
          </w:p>
        </w:tc>
        <w:tc>
          <w:tcPr>
            <w:tcW w:w="2702" w:type="dxa"/>
            <w:vAlign w:val="center"/>
          </w:tcPr>
          <w:p w14:paraId="2F3D7287"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Median 58.05 / 15</w:t>
            </w:r>
          </w:p>
          <w:p w14:paraId="635F7404"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(67.1 Gy EQD2)</w:t>
            </w:r>
          </w:p>
          <w:p w14:paraId="5FF2A886"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(range, 15.1-67.5 / 15)</w:t>
            </w:r>
          </w:p>
        </w:tc>
        <w:tc>
          <w:tcPr>
            <w:tcW w:w="1297" w:type="dxa"/>
            <w:vAlign w:val="center"/>
          </w:tcPr>
          <w:p w14:paraId="7B380C2B"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95% at 2 yr</w:t>
            </w:r>
          </w:p>
        </w:tc>
        <w:tc>
          <w:tcPr>
            <w:tcW w:w="1194" w:type="dxa"/>
            <w:vAlign w:val="center"/>
          </w:tcPr>
          <w:p w14:paraId="3037D89D"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1-yr 56%</w:t>
            </w:r>
          </w:p>
          <w:p w14:paraId="697DD6C6"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2-yr 40%</w:t>
            </w:r>
          </w:p>
        </w:tc>
        <w:tc>
          <w:tcPr>
            <w:tcW w:w="1012" w:type="dxa"/>
            <w:vAlign w:val="center"/>
          </w:tcPr>
          <w:p w14:paraId="1BA55EAC"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1-yr 77%</w:t>
            </w:r>
          </w:p>
          <w:p w14:paraId="322D9FD0" w14:textId="77777777" w:rsidR="00044F9C" w:rsidRPr="00F65D45" w:rsidRDefault="00044F9C" w:rsidP="00F65D45">
            <w:pPr>
              <w:widowControl w:val="0"/>
              <w:snapToGrid w:val="0"/>
              <w:spacing w:line="360" w:lineRule="auto"/>
              <w:jc w:val="both"/>
              <w:rPr>
                <w:rFonts w:ascii="Book Antiqua" w:hAnsi="Book Antiqua"/>
                <w:color w:val="000000" w:themeColor="text1"/>
              </w:rPr>
            </w:pPr>
            <w:r w:rsidRPr="00F65D45">
              <w:rPr>
                <w:rFonts w:ascii="Book Antiqua" w:hAnsi="Book Antiqua"/>
                <w:color w:val="000000" w:themeColor="text1"/>
              </w:rPr>
              <w:t>2-yr 63%</w:t>
            </w:r>
          </w:p>
        </w:tc>
      </w:tr>
    </w:tbl>
    <w:p w14:paraId="34BCEF3E" w14:textId="77777777" w:rsidR="00044F9C" w:rsidRPr="00F65D45" w:rsidRDefault="00044F9C" w:rsidP="00F65D45">
      <w:pPr>
        <w:widowControl w:val="0"/>
        <w:snapToGrid w:val="0"/>
        <w:spacing w:line="360" w:lineRule="auto"/>
        <w:jc w:val="both"/>
        <w:rPr>
          <w:rFonts w:ascii="Book Antiqua" w:hAnsi="Book Antiqua"/>
          <w:color w:val="000000" w:themeColor="text1"/>
        </w:rPr>
      </w:pPr>
    </w:p>
    <w:p w14:paraId="4F32EB00" w14:textId="53188D13" w:rsidR="00044F9C" w:rsidRPr="00F65D45" w:rsidRDefault="00044F9C" w:rsidP="00F65D45">
      <w:pPr>
        <w:widowControl w:val="0"/>
        <w:snapToGrid w:val="0"/>
        <w:spacing w:line="360" w:lineRule="auto"/>
        <w:jc w:val="both"/>
        <w:rPr>
          <w:rFonts w:ascii="Book Antiqua" w:eastAsia="SimSun" w:hAnsi="Book Antiqua"/>
          <w:color w:val="000000" w:themeColor="text1"/>
          <w:lang w:eastAsia="zh-CN"/>
        </w:rPr>
        <w:sectPr w:rsidR="00044F9C" w:rsidRPr="00F65D45" w:rsidSect="002840B1">
          <w:pgSz w:w="16840" w:h="11900" w:orient="landscape"/>
          <w:pgMar w:top="1701" w:right="1985" w:bottom="1701" w:left="1701" w:header="851" w:footer="992" w:gutter="0"/>
          <w:cols w:space="425"/>
          <w:docGrid w:linePitch="400"/>
        </w:sectPr>
      </w:pPr>
      <w:r w:rsidRPr="00F65D45">
        <w:rPr>
          <w:rFonts w:ascii="Book Antiqua" w:hAnsi="Book Antiqua"/>
          <w:color w:val="000000" w:themeColor="text1"/>
        </w:rPr>
        <w:lastRenderedPageBreak/>
        <w:t>CTP</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Child-Turcotte-Pugh; PVTT</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w:t>
      </w:r>
      <w:r w:rsidR="00C128AF" w:rsidRPr="00F65D45">
        <w:rPr>
          <w:rFonts w:ascii="Book Antiqua" w:hAnsi="Book Antiqua"/>
          <w:color w:val="000000" w:themeColor="text1"/>
        </w:rPr>
        <w:t xml:space="preserve">Portal </w:t>
      </w:r>
      <w:r w:rsidRPr="00F65D45">
        <w:rPr>
          <w:rFonts w:ascii="Book Antiqua" w:hAnsi="Book Antiqua"/>
          <w:color w:val="000000" w:themeColor="text1"/>
        </w:rPr>
        <w:t>vein tumor thrombosis; RT</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w:t>
      </w:r>
      <w:r w:rsidR="00C128AF" w:rsidRPr="00F65D45">
        <w:rPr>
          <w:rFonts w:ascii="Book Antiqua" w:hAnsi="Book Antiqua"/>
          <w:color w:val="000000" w:themeColor="text1"/>
        </w:rPr>
        <w:t xml:space="preserve">Radiation </w:t>
      </w:r>
      <w:r w:rsidRPr="00F65D45">
        <w:rPr>
          <w:rFonts w:ascii="Book Antiqua" w:hAnsi="Book Antiqua"/>
          <w:color w:val="000000" w:themeColor="text1"/>
        </w:rPr>
        <w:t>therapy; GyE</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Gy equivalent; LC</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w:t>
      </w:r>
      <w:r w:rsidR="00C128AF" w:rsidRPr="00F65D45">
        <w:rPr>
          <w:rFonts w:ascii="Book Antiqua" w:hAnsi="Book Antiqua"/>
          <w:color w:val="000000" w:themeColor="text1"/>
        </w:rPr>
        <w:t xml:space="preserve">Local </w:t>
      </w:r>
      <w:r w:rsidRPr="00F65D45">
        <w:rPr>
          <w:rFonts w:ascii="Book Antiqua" w:hAnsi="Book Antiqua"/>
          <w:color w:val="000000" w:themeColor="text1"/>
        </w:rPr>
        <w:t>control; PFS</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w:t>
      </w:r>
      <w:r w:rsidR="00C128AF" w:rsidRPr="00F65D45">
        <w:rPr>
          <w:rFonts w:ascii="Book Antiqua" w:hAnsi="Book Antiqua"/>
          <w:color w:val="000000" w:themeColor="text1"/>
        </w:rPr>
        <w:t xml:space="preserve">Progression </w:t>
      </w:r>
      <w:r w:rsidRPr="00F65D45">
        <w:rPr>
          <w:rFonts w:ascii="Book Antiqua" w:hAnsi="Book Antiqua"/>
          <w:color w:val="000000" w:themeColor="text1"/>
        </w:rPr>
        <w:t>free survival; OS</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w:t>
      </w:r>
      <w:r w:rsidR="00C128AF" w:rsidRPr="00F65D45">
        <w:rPr>
          <w:rFonts w:ascii="Book Antiqua" w:hAnsi="Book Antiqua"/>
          <w:color w:val="000000" w:themeColor="text1"/>
        </w:rPr>
        <w:t xml:space="preserve">Overall </w:t>
      </w:r>
      <w:r w:rsidRPr="00F65D45">
        <w:rPr>
          <w:rFonts w:ascii="Book Antiqua" w:hAnsi="Book Antiqua"/>
          <w:color w:val="000000" w:themeColor="text1"/>
        </w:rPr>
        <w:t>survival; EQD2</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w:t>
      </w:r>
      <w:r w:rsidR="00C128AF" w:rsidRPr="00F65D45">
        <w:rPr>
          <w:rFonts w:ascii="Book Antiqua" w:hAnsi="Book Antiqua"/>
          <w:color w:val="000000" w:themeColor="text1"/>
        </w:rPr>
        <w:t xml:space="preserve">Equivalent </w:t>
      </w:r>
      <w:r w:rsidRPr="00F65D45">
        <w:rPr>
          <w:rFonts w:ascii="Book Antiqua" w:hAnsi="Book Antiqua"/>
          <w:color w:val="000000" w:themeColor="text1"/>
        </w:rPr>
        <w:t>dose in 2 Gy; NA</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w:t>
      </w:r>
      <w:r w:rsidR="00C128AF" w:rsidRPr="00F65D45">
        <w:rPr>
          <w:rFonts w:ascii="Book Antiqua" w:hAnsi="Book Antiqua"/>
          <w:color w:val="000000" w:themeColor="text1"/>
        </w:rPr>
        <w:t xml:space="preserve">Not </w:t>
      </w:r>
      <w:r w:rsidRPr="00F65D45">
        <w:rPr>
          <w:rFonts w:ascii="Book Antiqua" w:hAnsi="Book Antiqua"/>
          <w:color w:val="000000" w:themeColor="text1"/>
        </w:rPr>
        <w:t>applicable; NCC</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National Cancer Center in South Korea; US</w:t>
      </w:r>
      <w:r w:rsidR="00C128AF" w:rsidRPr="00F65D45">
        <w:rPr>
          <w:rFonts w:ascii="Book Antiqua" w:eastAsia="SimSun" w:hAnsi="Book Antiqua"/>
          <w:color w:val="000000" w:themeColor="text1"/>
          <w:lang w:eastAsia="zh-CN"/>
        </w:rPr>
        <w:t>:</w:t>
      </w:r>
      <w:r w:rsidRPr="00F65D45">
        <w:rPr>
          <w:rFonts w:ascii="Book Antiqua" w:hAnsi="Book Antiqua"/>
          <w:color w:val="000000" w:themeColor="text1"/>
        </w:rPr>
        <w:t xml:space="preserve"> the United States</w:t>
      </w:r>
      <w:r w:rsidR="00C128AF" w:rsidRPr="00F65D45">
        <w:rPr>
          <w:rFonts w:ascii="Book Antiqua" w:eastAsia="SimSun" w:hAnsi="Book Antiqua"/>
          <w:color w:val="000000" w:themeColor="text1"/>
          <w:lang w:eastAsia="zh-CN"/>
        </w:rPr>
        <w:t>.</w:t>
      </w:r>
    </w:p>
    <w:p w14:paraId="403A1868" w14:textId="65959873" w:rsidR="00377549" w:rsidRPr="00F65D45" w:rsidRDefault="00377549" w:rsidP="00F65D45">
      <w:pPr>
        <w:pStyle w:val="EndNoteBibliography"/>
        <w:snapToGrid w:val="0"/>
        <w:spacing w:line="360" w:lineRule="auto"/>
        <w:ind w:left="560" w:hanging="560"/>
        <w:rPr>
          <w:rFonts w:ascii="Book Antiqua" w:hAnsi="Book Antiqua"/>
          <w:color w:val="000000" w:themeColor="text1"/>
        </w:rPr>
      </w:pPr>
      <w:r w:rsidRPr="00F65D45">
        <w:rPr>
          <w:rFonts w:ascii="Book Antiqua" w:hAnsi="Book Antiqua"/>
          <w:noProof/>
          <w:color w:val="000000" w:themeColor="text1"/>
          <w:lang w:eastAsia="zh-CN"/>
        </w:rPr>
        <w:lastRenderedPageBreak/>
        <w:drawing>
          <wp:inline distT="0" distB="0" distL="0" distR="0" wp14:anchorId="3706667E" wp14:editId="1242E0F1">
            <wp:extent cx="5396230" cy="189166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1891665"/>
                    </a:xfrm>
                    <a:prstGeom prst="rect">
                      <a:avLst/>
                    </a:prstGeom>
                  </pic:spPr>
                </pic:pic>
              </a:graphicData>
            </a:graphic>
          </wp:inline>
        </w:drawing>
      </w:r>
    </w:p>
    <w:p w14:paraId="7CBF27F3" w14:textId="78029813" w:rsidR="00044F9C" w:rsidRPr="00F65D45" w:rsidRDefault="00AA0112" w:rsidP="00F65D45">
      <w:pPr>
        <w:pStyle w:val="EndNoteBibliography"/>
        <w:snapToGrid w:val="0"/>
        <w:spacing w:line="360" w:lineRule="auto"/>
        <w:rPr>
          <w:rFonts w:ascii="Book Antiqua" w:hAnsi="Book Antiqua"/>
          <w:color w:val="000000" w:themeColor="text1"/>
        </w:rPr>
      </w:pPr>
      <w:r w:rsidRPr="00F65D45">
        <w:rPr>
          <w:rFonts w:ascii="Book Antiqua" w:hAnsi="Book Antiqua"/>
          <w:b/>
          <w:color w:val="000000" w:themeColor="text1"/>
        </w:rPr>
        <w:t>Figure 1</w:t>
      </w:r>
      <w:r w:rsidR="00044F9C" w:rsidRPr="00F65D45">
        <w:rPr>
          <w:rFonts w:ascii="Book Antiqua" w:hAnsi="Book Antiqua"/>
          <w:b/>
          <w:color w:val="000000" w:themeColor="text1"/>
        </w:rPr>
        <w:t xml:space="preserve"> Radiation dose distribution according to technique of radiation therapy.</w:t>
      </w:r>
      <w:r w:rsidR="00044F9C" w:rsidRPr="00F65D45">
        <w:rPr>
          <w:rFonts w:ascii="Book Antiqua" w:hAnsi="Book Antiqua"/>
          <w:color w:val="000000" w:themeColor="text1"/>
        </w:rPr>
        <w:t xml:space="preserve"> Axial views of A</w:t>
      </w:r>
      <w:r w:rsidR="00437C95" w:rsidRPr="00F65D45">
        <w:rPr>
          <w:rFonts w:ascii="Book Antiqua" w:eastAsia="SimSun" w:hAnsi="Book Antiqua"/>
          <w:color w:val="000000" w:themeColor="text1"/>
          <w:lang w:eastAsia="zh-CN"/>
        </w:rPr>
        <w:t>:</w:t>
      </w:r>
      <w:r w:rsidR="00044F9C" w:rsidRPr="00F65D45">
        <w:rPr>
          <w:rFonts w:ascii="Book Antiqua" w:hAnsi="Book Antiqua"/>
          <w:color w:val="000000" w:themeColor="text1"/>
        </w:rPr>
        <w:t xml:space="preserve"> 3-dimentional conformal </w:t>
      </w:r>
      <w:r w:rsidRPr="00F65D45">
        <w:rPr>
          <w:rFonts w:ascii="Book Antiqua" w:hAnsi="Book Antiqua"/>
          <w:color w:val="000000" w:themeColor="text1"/>
        </w:rPr>
        <w:t xml:space="preserve">radiation therapy </w:t>
      </w:r>
      <w:r w:rsidR="000177F4" w:rsidRPr="00F65D45">
        <w:rPr>
          <w:rFonts w:ascii="Book Antiqua" w:hAnsi="Book Antiqua"/>
          <w:color w:val="000000" w:themeColor="text1"/>
        </w:rPr>
        <w:t>(3D-CRT)</w:t>
      </w:r>
      <w:r w:rsidR="00044F9C" w:rsidRPr="00F65D45">
        <w:rPr>
          <w:rFonts w:ascii="Book Antiqua" w:hAnsi="Book Antiqua"/>
          <w:color w:val="000000" w:themeColor="text1"/>
        </w:rPr>
        <w:t>; B</w:t>
      </w:r>
      <w:r w:rsidR="00C9385D" w:rsidRPr="00F65D45">
        <w:rPr>
          <w:rFonts w:ascii="Book Antiqua" w:eastAsia="SimSun" w:hAnsi="Book Antiqua"/>
          <w:color w:val="000000" w:themeColor="text1"/>
          <w:lang w:eastAsia="zh-CN"/>
        </w:rPr>
        <w:t>:</w:t>
      </w:r>
      <w:r w:rsidR="00044F9C" w:rsidRPr="00F65D45">
        <w:rPr>
          <w:rFonts w:ascii="Book Antiqua" w:hAnsi="Book Antiqua"/>
          <w:color w:val="000000" w:themeColor="text1"/>
        </w:rPr>
        <w:t xml:space="preserve"> </w:t>
      </w:r>
      <w:r w:rsidR="00282251" w:rsidRPr="00F65D45">
        <w:rPr>
          <w:rFonts w:ascii="Book Antiqua" w:hAnsi="Book Antiqua"/>
          <w:color w:val="000000" w:themeColor="text1"/>
        </w:rPr>
        <w:t xml:space="preserve">Volumetric </w:t>
      </w:r>
      <w:r w:rsidR="00044F9C" w:rsidRPr="00F65D45">
        <w:rPr>
          <w:rFonts w:ascii="Book Antiqua" w:hAnsi="Book Antiqua"/>
          <w:color w:val="000000" w:themeColor="text1"/>
        </w:rPr>
        <w:t>arc therapy</w:t>
      </w:r>
      <w:r w:rsidR="000177F4" w:rsidRPr="00F65D45">
        <w:rPr>
          <w:rFonts w:ascii="Book Antiqua" w:hAnsi="Book Antiqua"/>
          <w:color w:val="000000" w:themeColor="text1"/>
        </w:rPr>
        <w:t xml:space="preserve"> (VMAT)</w:t>
      </w:r>
      <w:r w:rsidR="00044F9C" w:rsidRPr="00F65D45">
        <w:rPr>
          <w:rFonts w:ascii="Book Antiqua" w:hAnsi="Book Antiqua"/>
          <w:color w:val="000000" w:themeColor="text1"/>
        </w:rPr>
        <w:t>; C</w:t>
      </w:r>
      <w:r w:rsidR="00437C95" w:rsidRPr="00F65D45">
        <w:rPr>
          <w:rFonts w:ascii="Book Antiqua" w:eastAsia="SimSun" w:hAnsi="Book Antiqua"/>
          <w:color w:val="000000" w:themeColor="text1"/>
          <w:lang w:eastAsia="zh-CN"/>
        </w:rPr>
        <w:t>:</w:t>
      </w:r>
      <w:r w:rsidR="00044F9C" w:rsidRPr="00F65D45">
        <w:rPr>
          <w:rFonts w:ascii="Book Antiqua" w:hAnsi="Book Antiqua"/>
          <w:color w:val="000000" w:themeColor="text1"/>
        </w:rPr>
        <w:t xml:space="preserve"> </w:t>
      </w:r>
      <w:r w:rsidR="00282251" w:rsidRPr="00F65D45">
        <w:rPr>
          <w:rFonts w:ascii="Book Antiqua" w:hAnsi="Book Antiqua"/>
          <w:color w:val="000000" w:themeColor="text1"/>
        </w:rPr>
        <w:t xml:space="preserve">Passive </w:t>
      </w:r>
      <w:r w:rsidR="00377549" w:rsidRPr="00F65D45">
        <w:rPr>
          <w:rFonts w:ascii="Book Antiqua" w:hAnsi="Book Antiqua"/>
          <w:color w:val="000000" w:themeColor="text1"/>
        </w:rPr>
        <w:t xml:space="preserve">scattering </w:t>
      </w:r>
      <w:r w:rsidR="00044F9C" w:rsidRPr="00F65D45">
        <w:rPr>
          <w:rFonts w:ascii="Book Antiqua" w:hAnsi="Book Antiqua"/>
          <w:color w:val="000000" w:themeColor="text1"/>
        </w:rPr>
        <w:t>proton beam therapy (PBT); D</w:t>
      </w:r>
      <w:r w:rsidR="00437C95" w:rsidRPr="00F65D45">
        <w:rPr>
          <w:rFonts w:ascii="Book Antiqua" w:eastAsia="SimSun" w:hAnsi="Book Antiqua"/>
          <w:color w:val="000000" w:themeColor="text1"/>
          <w:lang w:eastAsia="zh-CN"/>
        </w:rPr>
        <w:t>:</w:t>
      </w:r>
      <w:r w:rsidR="00044F9C" w:rsidRPr="00F65D45">
        <w:rPr>
          <w:rFonts w:ascii="Book Antiqua" w:hAnsi="Book Antiqua"/>
          <w:color w:val="000000" w:themeColor="text1"/>
        </w:rPr>
        <w:t xml:space="preserve"> </w:t>
      </w:r>
      <w:r w:rsidR="00437C95" w:rsidRPr="00F65D45">
        <w:rPr>
          <w:rFonts w:ascii="Book Antiqua" w:hAnsi="Book Antiqua"/>
          <w:color w:val="000000" w:themeColor="text1"/>
        </w:rPr>
        <w:t xml:space="preserve">Pencil </w:t>
      </w:r>
      <w:r w:rsidR="00377549" w:rsidRPr="00F65D45">
        <w:rPr>
          <w:rFonts w:ascii="Book Antiqua" w:hAnsi="Book Antiqua"/>
          <w:color w:val="000000" w:themeColor="text1"/>
        </w:rPr>
        <w:t xml:space="preserve">beam scanning </w:t>
      </w:r>
      <w:r w:rsidR="00044F9C" w:rsidRPr="00F65D45">
        <w:rPr>
          <w:rFonts w:ascii="Book Antiqua" w:hAnsi="Book Antiqua"/>
          <w:color w:val="000000" w:themeColor="text1"/>
        </w:rPr>
        <w:t>PBT</w:t>
      </w:r>
      <w:r w:rsidR="00437C95" w:rsidRPr="00F65D45">
        <w:rPr>
          <w:rFonts w:ascii="Book Antiqua" w:eastAsia="SimSun" w:hAnsi="Book Antiqua"/>
          <w:color w:val="000000" w:themeColor="text1"/>
          <w:lang w:eastAsia="zh-CN"/>
        </w:rPr>
        <w:t>;</w:t>
      </w:r>
      <w:r w:rsidR="00377549" w:rsidRPr="00F65D45">
        <w:rPr>
          <w:rFonts w:ascii="Book Antiqua" w:hAnsi="Book Antiqua"/>
          <w:color w:val="000000" w:themeColor="text1"/>
        </w:rPr>
        <w:t xml:space="preserve"> Sa</w:t>
      </w:r>
      <w:r w:rsidR="00044F9C" w:rsidRPr="00F65D45">
        <w:rPr>
          <w:rFonts w:ascii="Book Antiqua" w:hAnsi="Book Antiqua"/>
          <w:color w:val="000000" w:themeColor="text1"/>
        </w:rPr>
        <w:t>gi</w:t>
      </w:r>
      <w:r w:rsidR="00377549" w:rsidRPr="00F65D45">
        <w:rPr>
          <w:rFonts w:ascii="Book Antiqua" w:hAnsi="Book Antiqua"/>
          <w:color w:val="000000" w:themeColor="text1"/>
        </w:rPr>
        <w:t>t</w:t>
      </w:r>
      <w:r w:rsidR="00044F9C" w:rsidRPr="00F65D45">
        <w:rPr>
          <w:rFonts w:ascii="Book Antiqua" w:hAnsi="Book Antiqua"/>
          <w:color w:val="000000" w:themeColor="text1"/>
        </w:rPr>
        <w:t>tal views of E</w:t>
      </w:r>
      <w:r w:rsidR="00437C95" w:rsidRPr="00F65D45">
        <w:rPr>
          <w:rFonts w:ascii="Book Antiqua" w:eastAsia="SimSun" w:hAnsi="Book Antiqua"/>
          <w:color w:val="000000" w:themeColor="text1"/>
          <w:lang w:eastAsia="zh-CN"/>
        </w:rPr>
        <w:t>:</w:t>
      </w:r>
      <w:r w:rsidR="00044F9C" w:rsidRPr="00F65D45">
        <w:rPr>
          <w:rFonts w:ascii="Book Antiqua" w:hAnsi="Book Antiqua"/>
          <w:color w:val="000000" w:themeColor="text1"/>
        </w:rPr>
        <w:t xml:space="preserve"> 3-dimentional conformal RT; F</w:t>
      </w:r>
      <w:r w:rsidR="00282251" w:rsidRPr="00F65D45">
        <w:rPr>
          <w:rFonts w:ascii="Book Antiqua" w:eastAsia="SimSun" w:hAnsi="Book Antiqua"/>
          <w:color w:val="000000" w:themeColor="text1"/>
          <w:lang w:eastAsia="zh-CN"/>
        </w:rPr>
        <w:t>:</w:t>
      </w:r>
      <w:r w:rsidR="00044F9C" w:rsidRPr="00F65D45">
        <w:rPr>
          <w:rFonts w:ascii="Book Antiqua" w:hAnsi="Book Antiqua"/>
          <w:color w:val="000000" w:themeColor="text1"/>
        </w:rPr>
        <w:t xml:space="preserve"> </w:t>
      </w:r>
      <w:r w:rsidR="00282251" w:rsidRPr="00F65D45">
        <w:rPr>
          <w:rFonts w:ascii="Book Antiqua" w:hAnsi="Book Antiqua"/>
          <w:color w:val="000000" w:themeColor="text1"/>
        </w:rPr>
        <w:t>Volumetric arc therapy; G</w:t>
      </w:r>
      <w:r w:rsidR="00282251" w:rsidRPr="00F65D45">
        <w:rPr>
          <w:rFonts w:ascii="Book Antiqua" w:eastAsia="SimSun" w:hAnsi="Book Antiqua"/>
          <w:color w:val="000000" w:themeColor="text1"/>
          <w:lang w:eastAsia="zh-CN"/>
        </w:rPr>
        <w:t xml:space="preserve">: </w:t>
      </w:r>
      <w:r w:rsidR="00282251" w:rsidRPr="00F65D45">
        <w:rPr>
          <w:rFonts w:ascii="Book Antiqua" w:hAnsi="Book Antiqua"/>
          <w:color w:val="000000" w:themeColor="text1"/>
        </w:rPr>
        <w:t>PBT</w:t>
      </w:r>
      <w:r w:rsidR="00044F9C" w:rsidRPr="00F65D45">
        <w:rPr>
          <w:rFonts w:ascii="Book Antiqua" w:hAnsi="Book Antiqua"/>
          <w:color w:val="000000" w:themeColor="text1"/>
        </w:rPr>
        <w:t xml:space="preserve"> with wobbling technique; H</w:t>
      </w:r>
      <w:r w:rsidR="00282251" w:rsidRPr="00F65D45">
        <w:rPr>
          <w:rFonts w:ascii="Book Antiqua" w:eastAsia="SimSun" w:hAnsi="Book Antiqua"/>
          <w:color w:val="000000" w:themeColor="text1"/>
          <w:lang w:eastAsia="zh-CN"/>
        </w:rPr>
        <w:t>:</w:t>
      </w:r>
      <w:r w:rsidR="00044F9C" w:rsidRPr="00F65D45">
        <w:rPr>
          <w:rFonts w:ascii="Book Antiqua" w:hAnsi="Book Antiqua"/>
          <w:color w:val="000000" w:themeColor="text1"/>
        </w:rPr>
        <w:t xml:space="preserve"> PBT with pencil beam scanning technique.</w:t>
      </w:r>
      <w:r w:rsidR="000177F4" w:rsidRPr="00F65D45">
        <w:rPr>
          <w:rFonts w:ascii="Book Antiqua" w:hAnsi="Book Antiqua"/>
          <w:color w:val="000000" w:themeColor="text1"/>
        </w:rPr>
        <w:t xml:space="preserve"> There are low dose distributions in 3D-CRT (A, E) and VMAT (B, F) due to the exit dose. </w:t>
      </w:r>
    </w:p>
    <w:sectPr w:rsidR="00044F9C" w:rsidRPr="00F65D45" w:rsidSect="006800C1">
      <w:pgSz w:w="11900" w:h="16840"/>
      <w:pgMar w:top="1985" w:right="1701" w:bottom="1701" w:left="1701" w:header="851" w:footer="992" w:gutter="0"/>
      <w:cols w:space="425"/>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1AC9F" w14:textId="77777777" w:rsidR="000B3787" w:rsidRDefault="000B3787">
      <w:r>
        <w:separator/>
      </w:r>
    </w:p>
  </w:endnote>
  <w:endnote w:type="continuationSeparator" w:id="0">
    <w:p w14:paraId="4E77F0D7" w14:textId="77777777" w:rsidR="000B3787" w:rsidRDefault="000B3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874558"/>
      <w:docPartObj>
        <w:docPartGallery w:val="Page Numbers (Bottom of Page)"/>
        <w:docPartUnique/>
      </w:docPartObj>
    </w:sdtPr>
    <w:sdtEndPr/>
    <w:sdtContent>
      <w:p w14:paraId="3BBEE946" w14:textId="77777777" w:rsidR="00274BDF" w:rsidRDefault="00044F9C" w:rsidP="00A778D9">
        <w:pPr>
          <w:pStyle w:val="Footer"/>
          <w:jc w:val="center"/>
        </w:pPr>
        <w:r>
          <w:fldChar w:fldCharType="begin"/>
        </w:r>
        <w:r>
          <w:instrText>PAGE   \* MERGEFORMAT</w:instrText>
        </w:r>
        <w:r>
          <w:fldChar w:fldCharType="separate"/>
        </w:r>
        <w:r w:rsidR="00E93FC6" w:rsidRPr="00E93FC6">
          <w:rPr>
            <w:noProof/>
            <w:lang w:val="ko-KR"/>
          </w:rPr>
          <w:t>37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55466" w14:textId="77777777" w:rsidR="000B3787" w:rsidRDefault="000B3787">
      <w:r>
        <w:separator/>
      </w:r>
    </w:p>
  </w:footnote>
  <w:footnote w:type="continuationSeparator" w:id="0">
    <w:p w14:paraId="243BAE14" w14:textId="77777777" w:rsidR="000B3787" w:rsidRDefault="000B3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D6C67"/>
    <w:multiLevelType w:val="hybridMultilevel"/>
    <w:tmpl w:val="12DE3374"/>
    <w:lvl w:ilvl="0" w:tplc="518835BE">
      <w:start w:val="1"/>
      <w:numFmt w:val="decimal"/>
      <w:lvlText w:val="%1-"/>
      <w:lvlJc w:val="left"/>
      <w:pPr>
        <w:ind w:left="840" w:hanging="360"/>
      </w:pPr>
      <w:rPr>
        <w:rFonts w:hint="default"/>
      </w:rPr>
    </w:lvl>
    <w:lvl w:ilvl="1" w:tplc="04090019" w:tentative="1">
      <w:start w:val="1"/>
      <w:numFmt w:val="upp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upp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upperLetter"/>
      <w:lvlText w:val="%8."/>
      <w:lvlJc w:val="left"/>
      <w:pPr>
        <w:ind w:left="4320" w:hanging="480"/>
      </w:pPr>
    </w:lvl>
    <w:lvl w:ilvl="8" w:tplc="0409001B" w:tentative="1">
      <w:start w:val="1"/>
      <w:numFmt w:val="lowerRoman"/>
      <w:lvlText w:val="%9."/>
      <w:lvlJc w:val="right"/>
      <w:pPr>
        <w:ind w:left="480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44F9C"/>
    <w:rsid w:val="000177F4"/>
    <w:rsid w:val="00044F9C"/>
    <w:rsid w:val="00062902"/>
    <w:rsid w:val="00065A3E"/>
    <w:rsid w:val="000746E5"/>
    <w:rsid w:val="00090089"/>
    <w:rsid w:val="000B21DC"/>
    <w:rsid w:val="000B3787"/>
    <w:rsid w:val="000B3FCE"/>
    <w:rsid w:val="000F56A3"/>
    <w:rsid w:val="00102A4F"/>
    <w:rsid w:val="0014056B"/>
    <w:rsid w:val="00192DFD"/>
    <w:rsid w:val="001958AF"/>
    <w:rsid w:val="001D4F2A"/>
    <w:rsid w:val="002072D6"/>
    <w:rsid w:val="002400D0"/>
    <w:rsid w:val="0026399E"/>
    <w:rsid w:val="00281555"/>
    <w:rsid w:val="00282251"/>
    <w:rsid w:val="0028608C"/>
    <w:rsid w:val="002959F3"/>
    <w:rsid w:val="002F7CC8"/>
    <w:rsid w:val="00316450"/>
    <w:rsid w:val="00341C7A"/>
    <w:rsid w:val="00377549"/>
    <w:rsid w:val="003830F4"/>
    <w:rsid w:val="00385E51"/>
    <w:rsid w:val="0038742B"/>
    <w:rsid w:val="003A219A"/>
    <w:rsid w:val="003A25AC"/>
    <w:rsid w:val="003D5DC8"/>
    <w:rsid w:val="00425ED6"/>
    <w:rsid w:val="00437C95"/>
    <w:rsid w:val="0044231F"/>
    <w:rsid w:val="004510B9"/>
    <w:rsid w:val="004737FD"/>
    <w:rsid w:val="004B57BD"/>
    <w:rsid w:val="004E2399"/>
    <w:rsid w:val="004E6C84"/>
    <w:rsid w:val="00503852"/>
    <w:rsid w:val="00523064"/>
    <w:rsid w:val="00592E19"/>
    <w:rsid w:val="005C0CE4"/>
    <w:rsid w:val="005E373B"/>
    <w:rsid w:val="00630266"/>
    <w:rsid w:val="006A6F00"/>
    <w:rsid w:val="006D097A"/>
    <w:rsid w:val="006E09BD"/>
    <w:rsid w:val="006E6F3D"/>
    <w:rsid w:val="00731085"/>
    <w:rsid w:val="00740AC8"/>
    <w:rsid w:val="00775388"/>
    <w:rsid w:val="007A2BC3"/>
    <w:rsid w:val="007A5631"/>
    <w:rsid w:val="007D2D32"/>
    <w:rsid w:val="007D6E9B"/>
    <w:rsid w:val="00814530"/>
    <w:rsid w:val="00830BF9"/>
    <w:rsid w:val="008B71C9"/>
    <w:rsid w:val="008E14A1"/>
    <w:rsid w:val="008F21AC"/>
    <w:rsid w:val="00906FE7"/>
    <w:rsid w:val="00952FC1"/>
    <w:rsid w:val="00974A66"/>
    <w:rsid w:val="00984328"/>
    <w:rsid w:val="00A27355"/>
    <w:rsid w:val="00A541B1"/>
    <w:rsid w:val="00A764F3"/>
    <w:rsid w:val="00AA0112"/>
    <w:rsid w:val="00AB129A"/>
    <w:rsid w:val="00AC4777"/>
    <w:rsid w:val="00AE2714"/>
    <w:rsid w:val="00B06B7D"/>
    <w:rsid w:val="00B165D0"/>
    <w:rsid w:val="00B25099"/>
    <w:rsid w:val="00B75D50"/>
    <w:rsid w:val="00C016CD"/>
    <w:rsid w:val="00C128AF"/>
    <w:rsid w:val="00C132BC"/>
    <w:rsid w:val="00C3722F"/>
    <w:rsid w:val="00C41520"/>
    <w:rsid w:val="00C54395"/>
    <w:rsid w:val="00C657CB"/>
    <w:rsid w:val="00C9385D"/>
    <w:rsid w:val="00CB31D0"/>
    <w:rsid w:val="00CD30D1"/>
    <w:rsid w:val="00CE50D9"/>
    <w:rsid w:val="00D05FB9"/>
    <w:rsid w:val="00D348E0"/>
    <w:rsid w:val="00D36DBC"/>
    <w:rsid w:val="00D37796"/>
    <w:rsid w:val="00D42A28"/>
    <w:rsid w:val="00DD6459"/>
    <w:rsid w:val="00E23071"/>
    <w:rsid w:val="00E35C56"/>
    <w:rsid w:val="00E515C4"/>
    <w:rsid w:val="00E914F4"/>
    <w:rsid w:val="00E93FC6"/>
    <w:rsid w:val="00EF5D5D"/>
    <w:rsid w:val="00F207C7"/>
    <w:rsid w:val="00F2344B"/>
    <w:rsid w:val="00F36E85"/>
    <w:rsid w:val="00F65D45"/>
    <w:rsid w:val="00F81BB9"/>
    <w:rsid w:val="00FA7B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D3A4C"/>
  <w15:docId w15:val="{68037775-23DA-41B3-8BE2-154DC546A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F9C"/>
    <w:pPr>
      <w:spacing w:after="0" w:line="240" w:lineRule="auto"/>
      <w:jc w:val="left"/>
    </w:pPr>
    <w:rPr>
      <w:rFonts w:ascii="Times New Roman" w:hAnsi="Times New Roman" w:cs="Times New Roma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4F9C"/>
    <w:rPr>
      <w:color w:val="0000FF" w:themeColor="hyperlink"/>
      <w:u w:val="single"/>
    </w:rPr>
  </w:style>
  <w:style w:type="paragraph" w:customStyle="1" w:styleId="EndNoteBibliographyTitle">
    <w:name w:val="EndNote Bibliography Title"/>
    <w:basedOn w:val="Normal"/>
    <w:rsid w:val="00044F9C"/>
    <w:pPr>
      <w:jc w:val="center"/>
    </w:pPr>
  </w:style>
  <w:style w:type="paragraph" w:customStyle="1" w:styleId="EndNoteBibliography">
    <w:name w:val="EndNote Bibliography"/>
    <w:basedOn w:val="Normal"/>
    <w:rsid w:val="00044F9C"/>
    <w:pPr>
      <w:spacing w:line="480" w:lineRule="auto"/>
      <w:jc w:val="both"/>
    </w:pPr>
  </w:style>
  <w:style w:type="table" w:styleId="TableGrid">
    <w:name w:val="Table Grid"/>
    <w:basedOn w:val="TableNormal"/>
    <w:uiPriority w:val="39"/>
    <w:rsid w:val="00044F9C"/>
    <w:pPr>
      <w:spacing w:after="0" w:line="240" w:lineRule="auto"/>
      <w:jc w:val="left"/>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F9C"/>
    <w:pPr>
      <w:ind w:leftChars="400" w:left="800"/>
    </w:pPr>
  </w:style>
  <w:style w:type="paragraph" w:styleId="Header">
    <w:name w:val="header"/>
    <w:basedOn w:val="Normal"/>
    <w:link w:val="HeaderChar"/>
    <w:uiPriority w:val="99"/>
    <w:unhideWhenUsed/>
    <w:rsid w:val="00044F9C"/>
    <w:pPr>
      <w:tabs>
        <w:tab w:val="center" w:pos="4513"/>
        <w:tab w:val="right" w:pos="9026"/>
      </w:tabs>
      <w:snapToGrid w:val="0"/>
    </w:pPr>
  </w:style>
  <w:style w:type="character" w:customStyle="1" w:styleId="HeaderChar">
    <w:name w:val="Header Char"/>
    <w:basedOn w:val="DefaultParagraphFont"/>
    <w:link w:val="Header"/>
    <w:uiPriority w:val="99"/>
    <w:rsid w:val="00044F9C"/>
    <w:rPr>
      <w:rFonts w:ascii="Times New Roman" w:hAnsi="Times New Roman" w:cs="Times New Roman"/>
      <w:kern w:val="0"/>
      <w:sz w:val="24"/>
      <w:szCs w:val="24"/>
    </w:rPr>
  </w:style>
  <w:style w:type="paragraph" w:styleId="Footer">
    <w:name w:val="footer"/>
    <w:basedOn w:val="Normal"/>
    <w:link w:val="FooterChar"/>
    <w:uiPriority w:val="99"/>
    <w:unhideWhenUsed/>
    <w:rsid w:val="00044F9C"/>
    <w:pPr>
      <w:tabs>
        <w:tab w:val="center" w:pos="4513"/>
        <w:tab w:val="right" w:pos="9026"/>
      </w:tabs>
      <w:snapToGrid w:val="0"/>
    </w:pPr>
  </w:style>
  <w:style w:type="character" w:customStyle="1" w:styleId="FooterChar">
    <w:name w:val="Footer Char"/>
    <w:basedOn w:val="DefaultParagraphFont"/>
    <w:link w:val="Footer"/>
    <w:uiPriority w:val="99"/>
    <w:rsid w:val="00044F9C"/>
    <w:rPr>
      <w:rFonts w:ascii="Times New Roman" w:hAnsi="Times New Roman" w:cs="Times New Roman"/>
      <w:kern w:val="0"/>
      <w:sz w:val="24"/>
      <w:szCs w:val="24"/>
    </w:rPr>
  </w:style>
  <w:style w:type="paragraph" w:styleId="BalloonText">
    <w:name w:val="Balloon Text"/>
    <w:basedOn w:val="Normal"/>
    <w:link w:val="BalloonTextChar"/>
    <w:uiPriority w:val="99"/>
    <w:semiHidden/>
    <w:unhideWhenUsed/>
    <w:rsid w:val="00044F9C"/>
    <w:rPr>
      <w:sz w:val="18"/>
      <w:szCs w:val="18"/>
    </w:rPr>
  </w:style>
  <w:style w:type="character" w:customStyle="1" w:styleId="BalloonTextChar">
    <w:name w:val="Balloon Text Char"/>
    <w:basedOn w:val="DefaultParagraphFont"/>
    <w:link w:val="BalloonText"/>
    <w:uiPriority w:val="99"/>
    <w:semiHidden/>
    <w:rsid w:val="00044F9C"/>
    <w:rPr>
      <w:rFonts w:ascii="Times New Roman" w:hAnsi="Times New Roman" w:cs="Times New Roman"/>
      <w:kern w:val="0"/>
      <w:sz w:val="18"/>
      <w:szCs w:val="18"/>
    </w:rPr>
  </w:style>
  <w:style w:type="character" w:styleId="CommentReference">
    <w:name w:val="annotation reference"/>
    <w:basedOn w:val="DefaultParagraphFont"/>
    <w:uiPriority w:val="99"/>
    <w:semiHidden/>
    <w:unhideWhenUsed/>
    <w:rsid w:val="00044F9C"/>
    <w:rPr>
      <w:sz w:val="18"/>
      <w:szCs w:val="18"/>
    </w:rPr>
  </w:style>
  <w:style w:type="paragraph" w:styleId="CommentText">
    <w:name w:val="annotation text"/>
    <w:basedOn w:val="Normal"/>
    <w:link w:val="CommentTextChar"/>
    <w:uiPriority w:val="99"/>
    <w:semiHidden/>
    <w:unhideWhenUsed/>
    <w:rsid w:val="00044F9C"/>
  </w:style>
  <w:style w:type="character" w:customStyle="1" w:styleId="CommentTextChar">
    <w:name w:val="Comment Text Char"/>
    <w:basedOn w:val="DefaultParagraphFont"/>
    <w:link w:val="CommentText"/>
    <w:uiPriority w:val="99"/>
    <w:semiHidden/>
    <w:rsid w:val="00044F9C"/>
    <w:rPr>
      <w:rFonts w:ascii="Times New Roman" w:hAnsi="Times New Roman" w:cs="Times New Roman"/>
      <w:kern w:val="0"/>
      <w:sz w:val="24"/>
      <w:szCs w:val="24"/>
    </w:rPr>
  </w:style>
  <w:style w:type="paragraph" w:styleId="CommentSubject">
    <w:name w:val="annotation subject"/>
    <w:basedOn w:val="CommentText"/>
    <w:next w:val="CommentText"/>
    <w:link w:val="CommentSubjectChar"/>
    <w:uiPriority w:val="99"/>
    <w:semiHidden/>
    <w:unhideWhenUsed/>
    <w:rsid w:val="00044F9C"/>
    <w:rPr>
      <w:b/>
      <w:bCs/>
      <w:szCs w:val="20"/>
    </w:rPr>
  </w:style>
  <w:style w:type="character" w:customStyle="1" w:styleId="CommentSubjectChar">
    <w:name w:val="Comment Subject Char"/>
    <w:basedOn w:val="CommentTextChar"/>
    <w:link w:val="CommentSubject"/>
    <w:uiPriority w:val="99"/>
    <w:semiHidden/>
    <w:rsid w:val="00044F9C"/>
    <w:rPr>
      <w:rFonts w:ascii="Times New Roman" w:hAnsi="Times New Roman" w:cs="Times New Roman"/>
      <w:b/>
      <w:bCs/>
      <w:kern w:val="0"/>
      <w:sz w:val="24"/>
      <w:szCs w:val="20"/>
    </w:rPr>
  </w:style>
  <w:style w:type="paragraph" w:styleId="Revision">
    <w:name w:val="Revision"/>
    <w:hidden/>
    <w:uiPriority w:val="99"/>
    <w:semiHidden/>
    <w:rsid w:val="00044F9C"/>
    <w:pPr>
      <w:spacing w:after="0" w:line="240" w:lineRule="auto"/>
      <w:jc w:val="left"/>
    </w:pPr>
    <w:rPr>
      <w:rFonts w:ascii="Times New Roman" w:hAnsi="Times New Roman" w:cs="Times New Roman"/>
      <w:kern w:val="0"/>
      <w:sz w:val="24"/>
      <w:szCs w:val="24"/>
    </w:rPr>
  </w:style>
  <w:style w:type="paragraph" w:customStyle="1" w:styleId="1">
    <w:name w:val="正文1"/>
    <w:uiPriority w:val="99"/>
    <w:rsid w:val="001D4F2A"/>
    <w:pPr>
      <w:spacing w:after="0"/>
      <w:jc w:val="left"/>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hee.ro.park@samsu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9586</Words>
  <Characters>54646</Characters>
  <Application>Microsoft Office Word</Application>
  <DocSecurity>0</DocSecurity>
  <Lines>455</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64104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Registered User</dc:creator>
  <cp:lastModifiedBy>Na Ma</cp:lastModifiedBy>
  <cp:revision>3</cp:revision>
  <dcterms:created xsi:type="dcterms:W3CDTF">2018-06-25T16:46:00Z</dcterms:created>
  <dcterms:modified xsi:type="dcterms:W3CDTF">2018-06-25T16:46:00Z</dcterms:modified>
</cp:coreProperties>
</file>