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79CD1" w14:textId="77777777" w:rsidR="00BC73F6" w:rsidRPr="008730C8" w:rsidRDefault="00BC73F6" w:rsidP="008730C8">
      <w:pPr>
        <w:widowControl w:val="0"/>
        <w:adjustRightInd w:val="0"/>
        <w:snapToGrid w:val="0"/>
        <w:spacing w:after="0" w:line="360" w:lineRule="auto"/>
        <w:jc w:val="both"/>
        <w:rPr>
          <w:rFonts w:ascii="Book Antiqua" w:hAnsi="Book Antiqua" w:cs="Arial"/>
          <w:b/>
          <w:i/>
          <w:iCs/>
          <w:sz w:val="24"/>
          <w:szCs w:val="24"/>
          <w:lang w:val="en-GB"/>
        </w:rPr>
      </w:pPr>
      <w:r w:rsidRPr="008730C8">
        <w:rPr>
          <w:rFonts w:ascii="Book Antiqua" w:hAnsi="Book Antiqua" w:cs="Arial"/>
          <w:b/>
          <w:bCs/>
          <w:sz w:val="24"/>
          <w:szCs w:val="24"/>
          <w:lang w:val="en-GB"/>
        </w:rPr>
        <w:t xml:space="preserve">Name of Journal: </w:t>
      </w:r>
      <w:r w:rsidRPr="008730C8">
        <w:rPr>
          <w:rFonts w:ascii="Book Antiqua" w:hAnsi="Book Antiqua" w:cs="Arial"/>
          <w:b/>
          <w:i/>
          <w:iCs/>
          <w:sz w:val="24"/>
          <w:szCs w:val="24"/>
          <w:lang w:val="en-GB"/>
        </w:rPr>
        <w:t>World Journal of Gastroenterology</w:t>
      </w:r>
    </w:p>
    <w:p w14:paraId="0AE7B7D9" w14:textId="7F7FD128" w:rsidR="00BC73F6" w:rsidRPr="008730C8" w:rsidRDefault="00BC73F6" w:rsidP="008730C8">
      <w:pPr>
        <w:widowControl w:val="0"/>
        <w:adjustRightInd w:val="0"/>
        <w:snapToGrid w:val="0"/>
        <w:spacing w:after="0" w:line="360" w:lineRule="auto"/>
        <w:jc w:val="both"/>
        <w:rPr>
          <w:rFonts w:ascii="Book Antiqua" w:hAnsi="Book Antiqua" w:cs="Times New Roman"/>
          <w:b/>
          <w:sz w:val="24"/>
          <w:szCs w:val="24"/>
          <w:lang w:val="en-GB" w:eastAsia="zh-CN"/>
        </w:rPr>
      </w:pPr>
      <w:r w:rsidRPr="008730C8">
        <w:rPr>
          <w:rFonts w:ascii="Book Antiqua" w:eastAsia="MS Mincho" w:hAnsi="Book Antiqua" w:cs="Times New Roman"/>
          <w:b/>
          <w:sz w:val="24"/>
          <w:szCs w:val="24"/>
          <w:lang w:val="en-GB"/>
        </w:rPr>
        <w:t xml:space="preserve">Manuscript NO: </w:t>
      </w:r>
      <w:r w:rsidR="00383CC7">
        <w:rPr>
          <w:rFonts w:ascii="Book Antiqua" w:eastAsia="MS Mincho" w:hAnsi="Book Antiqua" w:cs="Times New Roman" w:hint="eastAsia"/>
          <w:b/>
          <w:sz w:val="24"/>
          <w:szCs w:val="24"/>
          <w:lang w:val="en-GB" w:eastAsia="zh-CN"/>
        </w:rPr>
        <w:t>39076</w:t>
      </w:r>
    </w:p>
    <w:p w14:paraId="7684C2F7" w14:textId="4F10B797" w:rsidR="00BC73F6" w:rsidRPr="008730C8" w:rsidRDefault="00BC73F6" w:rsidP="008730C8">
      <w:pPr>
        <w:widowControl w:val="0"/>
        <w:adjustRightInd w:val="0"/>
        <w:snapToGrid w:val="0"/>
        <w:spacing w:after="0" w:line="360" w:lineRule="auto"/>
        <w:jc w:val="both"/>
        <w:rPr>
          <w:rFonts w:ascii="Book Antiqua" w:eastAsia="MS Mincho" w:hAnsi="Book Antiqua" w:cs="Times New Roman"/>
          <w:b/>
          <w:sz w:val="24"/>
          <w:szCs w:val="24"/>
          <w:lang w:val="en-GB"/>
        </w:rPr>
      </w:pPr>
      <w:bookmarkStart w:id="0" w:name="OLE_LINK3"/>
      <w:bookmarkStart w:id="1" w:name="OLE_LINK4"/>
      <w:r w:rsidRPr="008730C8">
        <w:rPr>
          <w:rFonts w:ascii="Book Antiqua" w:eastAsia="MS Mincho" w:hAnsi="Book Antiqua" w:cs="Times New Roman"/>
          <w:b/>
          <w:sz w:val="24"/>
          <w:szCs w:val="24"/>
          <w:shd w:val="clear" w:color="auto" w:fill="FFFFFF"/>
          <w:lang w:val="en-GB" w:eastAsia="ja-JP"/>
        </w:rPr>
        <w:t>Manuscript Type</w:t>
      </w:r>
      <w:bookmarkEnd w:id="0"/>
      <w:bookmarkEnd w:id="1"/>
      <w:r w:rsidRPr="008730C8">
        <w:rPr>
          <w:rFonts w:ascii="Book Antiqua" w:eastAsia="MS Mincho" w:hAnsi="Book Antiqua" w:cs="Times New Roman"/>
          <w:b/>
          <w:sz w:val="24"/>
          <w:szCs w:val="24"/>
          <w:lang w:val="en-GB"/>
        </w:rPr>
        <w:t>: MINIREVIEWS</w:t>
      </w:r>
    </w:p>
    <w:p w14:paraId="4B69A249" w14:textId="7CFD89C5" w:rsidR="00EB0814" w:rsidRPr="008730C8" w:rsidRDefault="00EB0814" w:rsidP="008730C8">
      <w:pPr>
        <w:adjustRightInd w:val="0"/>
        <w:snapToGrid w:val="0"/>
        <w:spacing w:after="0" w:line="360" w:lineRule="auto"/>
        <w:jc w:val="both"/>
        <w:rPr>
          <w:rFonts w:ascii="Book Antiqua" w:hAnsi="Book Antiqua" w:cs="Times New Roman"/>
          <w:sz w:val="24"/>
          <w:szCs w:val="24"/>
          <w:lang w:val="en-US" w:eastAsia="zh-CN"/>
        </w:rPr>
      </w:pPr>
    </w:p>
    <w:p w14:paraId="2E83A02A" w14:textId="3AB4D398" w:rsidR="00EB0814" w:rsidRPr="008730C8" w:rsidRDefault="00EB0814" w:rsidP="008730C8">
      <w:pPr>
        <w:adjustRightInd w:val="0"/>
        <w:snapToGrid w:val="0"/>
        <w:spacing w:after="0" w:line="360" w:lineRule="auto"/>
        <w:jc w:val="both"/>
        <w:rPr>
          <w:rFonts w:ascii="Book Antiqua" w:hAnsi="Book Antiqua" w:cs="Times New Roman"/>
          <w:b/>
          <w:sz w:val="24"/>
          <w:szCs w:val="24"/>
          <w:lang w:val="en-US" w:eastAsia="zh-CN"/>
        </w:rPr>
      </w:pPr>
      <w:bookmarkStart w:id="2" w:name="_Hlk509944825"/>
      <w:r w:rsidRPr="008730C8">
        <w:rPr>
          <w:rFonts w:ascii="Book Antiqua" w:hAnsi="Book Antiqua" w:cs="Times New Roman"/>
          <w:b/>
          <w:sz w:val="24"/>
          <w:szCs w:val="24"/>
          <w:lang w:val="en-US"/>
        </w:rPr>
        <w:t>N</w:t>
      </w:r>
      <w:r w:rsidR="00C80CF8" w:rsidRPr="008730C8">
        <w:rPr>
          <w:rFonts w:ascii="Book Antiqua" w:hAnsi="Book Antiqua" w:cs="Times New Roman"/>
          <w:b/>
          <w:sz w:val="24"/>
          <w:szCs w:val="24"/>
          <w:lang w:val="en-US"/>
        </w:rPr>
        <w:t xml:space="preserve">ew horizons in the </w:t>
      </w:r>
      <w:r w:rsidR="009B5625" w:rsidRPr="008730C8">
        <w:rPr>
          <w:rFonts w:ascii="Book Antiqua" w:hAnsi="Book Antiqua" w:cs="Times New Roman"/>
          <w:b/>
          <w:sz w:val="24"/>
          <w:szCs w:val="24"/>
          <w:lang w:val="en-GB" w:eastAsia="zh-CN"/>
        </w:rPr>
        <w:t>endoscopic ultrasonography</w:t>
      </w:r>
      <w:r w:rsidR="00C80CF8" w:rsidRPr="008730C8">
        <w:rPr>
          <w:rFonts w:ascii="Book Antiqua" w:hAnsi="Book Antiqua" w:cs="Times New Roman"/>
          <w:b/>
          <w:sz w:val="24"/>
          <w:szCs w:val="24"/>
          <w:lang w:val="en-US"/>
        </w:rPr>
        <w:t>-based diagnosis of pancreatic cystic lesions</w:t>
      </w:r>
    </w:p>
    <w:p w14:paraId="7F8C74A0" w14:textId="77777777" w:rsidR="00BC73F6" w:rsidRPr="008730C8" w:rsidRDefault="00BC73F6" w:rsidP="008730C8">
      <w:pPr>
        <w:adjustRightInd w:val="0"/>
        <w:snapToGrid w:val="0"/>
        <w:spacing w:after="0" w:line="360" w:lineRule="auto"/>
        <w:jc w:val="both"/>
        <w:rPr>
          <w:rFonts w:ascii="Book Antiqua" w:hAnsi="Book Antiqua" w:cs="Times New Roman"/>
          <w:b/>
          <w:sz w:val="24"/>
          <w:szCs w:val="24"/>
          <w:lang w:val="en-US" w:eastAsia="zh-CN"/>
        </w:rPr>
      </w:pPr>
    </w:p>
    <w:bookmarkEnd w:id="2"/>
    <w:p w14:paraId="0AA43657" w14:textId="285291FD" w:rsidR="00EB0814" w:rsidRPr="008730C8" w:rsidRDefault="00C80CF8" w:rsidP="008730C8">
      <w:pPr>
        <w:adjustRightInd w:val="0"/>
        <w:snapToGrid w:val="0"/>
        <w:spacing w:after="0" w:line="360" w:lineRule="auto"/>
        <w:jc w:val="both"/>
        <w:rPr>
          <w:rFonts w:ascii="Book Antiqua" w:hAnsi="Book Antiqua" w:cs="Times New Roman"/>
          <w:sz w:val="24"/>
          <w:szCs w:val="24"/>
          <w:lang w:val="en-GB"/>
        </w:rPr>
      </w:pPr>
      <w:r w:rsidRPr="008730C8">
        <w:rPr>
          <w:rFonts w:ascii="Book Antiqua" w:hAnsi="Book Antiqua" w:cs="Times New Roman"/>
          <w:sz w:val="24"/>
          <w:szCs w:val="24"/>
        </w:rPr>
        <w:t>Alvarez-Sánchez</w:t>
      </w:r>
      <w:r w:rsidRPr="008730C8">
        <w:rPr>
          <w:rFonts w:ascii="Book Antiqua" w:hAnsi="Book Antiqua" w:cs="Times New Roman"/>
          <w:sz w:val="24"/>
          <w:szCs w:val="24"/>
          <w:lang w:eastAsia="zh-CN"/>
        </w:rPr>
        <w:t xml:space="preserve"> MV </w:t>
      </w:r>
      <w:r w:rsidR="007337E2" w:rsidRPr="007337E2">
        <w:rPr>
          <w:rFonts w:ascii="Book Antiqua" w:hAnsi="Book Antiqua" w:cs="Times New Roman"/>
          <w:i/>
          <w:sz w:val="24"/>
          <w:szCs w:val="24"/>
          <w:lang w:eastAsia="zh-CN"/>
        </w:rPr>
        <w:t>et al</w:t>
      </w:r>
      <w:r w:rsidRPr="008730C8">
        <w:rPr>
          <w:rFonts w:ascii="Book Antiqua" w:hAnsi="Book Antiqua" w:cs="Times New Roman"/>
          <w:sz w:val="24"/>
          <w:szCs w:val="24"/>
          <w:lang w:eastAsia="zh-CN"/>
        </w:rPr>
        <w:t>.</w:t>
      </w:r>
      <w:r w:rsidR="00EB0814" w:rsidRPr="008730C8">
        <w:rPr>
          <w:rFonts w:ascii="Book Antiqua" w:hAnsi="Book Antiqua" w:cs="Times New Roman"/>
          <w:sz w:val="24"/>
          <w:szCs w:val="24"/>
          <w:lang w:val="en-GB"/>
        </w:rPr>
        <w:t xml:space="preserve"> EUS in pancreatic </w:t>
      </w:r>
      <w:r w:rsidR="003A039D" w:rsidRPr="008730C8">
        <w:rPr>
          <w:rFonts w:ascii="Book Antiqua" w:hAnsi="Book Antiqua" w:cs="Times New Roman"/>
          <w:sz w:val="24"/>
          <w:szCs w:val="24"/>
          <w:lang w:val="en-GB"/>
        </w:rPr>
        <w:t>cystic lesions</w:t>
      </w:r>
    </w:p>
    <w:p w14:paraId="58C55B3B"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GB"/>
        </w:rPr>
      </w:pPr>
    </w:p>
    <w:p w14:paraId="2649C60B" w14:textId="671EEDB6" w:rsidR="00EB0814" w:rsidRPr="008730C8" w:rsidRDefault="00EB0814" w:rsidP="008730C8">
      <w:pPr>
        <w:adjustRightInd w:val="0"/>
        <w:snapToGrid w:val="0"/>
        <w:spacing w:after="0" w:line="360" w:lineRule="auto"/>
        <w:jc w:val="both"/>
        <w:rPr>
          <w:rFonts w:ascii="Book Antiqua" w:hAnsi="Book Antiqua" w:cs="Times New Roman"/>
          <w:sz w:val="24"/>
          <w:szCs w:val="24"/>
          <w:lang w:eastAsia="zh-CN"/>
        </w:rPr>
      </w:pPr>
      <w:r w:rsidRPr="008730C8">
        <w:rPr>
          <w:rFonts w:ascii="Book Antiqua" w:hAnsi="Book Antiqua" w:cs="Times New Roman"/>
          <w:sz w:val="24"/>
          <w:szCs w:val="24"/>
        </w:rPr>
        <w:t>María-Victoria Alvarez-Sánchez</w:t>
      </w:r>
      <w:r w:rsidR="00C80CF8" w:rsidRPr="008730C8">
        <w:rPr>
          <w:rFonts w:ascii="Book Antiqua" w:hAnsi="Book Antiqua" w:cs="Times New Roman"/>
          <w:sz w:val="24"/>
          <w:szCs w:val="24"/>
          <w:lang w:eastAsia="zh-CN"/>
        </w:rPr>
        <w:t xml:space="preserve">, </w:t>
      </w:r>
      <w:r w:rsidRPr="008730C8">
        <w:rPr>
          <w:rFonts w:ascii="Book Antiqua" w:hAnsi="Book Antiqua" w:cs="Times New Roman"/>
          <w:sz w:val="24"/>
          <w:szCs w:val="24"/>
        </w:rPr>
        <w:t>Bertrand Napoléon</w:t>
      </w:r>
    </w:p>
    <w:p w14:paraId="2C67394C" w14:textId="77777777" w:rsidR="00BC73F6" w:rsidRPr="008730C8" w:rsidRDefault="00BC73F6" w:rsidP="008730C8">
      <w:pPr>
        <w:adjustRightInd w:val="0"/>
        <w:snapToGrid w:val="0"/>
        <w:spacing w:after="0" w:line="360" w:lineRule="auto"/>
        <w:jc w:val="both"/>
        <w:rPr>
          <w:rFonts w:ascii="Book Antiqua" w:hAnsi="Book Antiqua" w:cs="Times New Roman"/>
          <w:sz w:val="24"/>
          <w:szCs w:val="24"/>
          <w:lang w:eastAsia="zh-CN"/>
        </w:rPr>
      </w:pPr>
    </w:p>
    <w:p w14:paraId="773F6524" w14:textId="4093F0B3" w:rsidR="00EB0814" w:rsidRPr="008730C8" w:rsidRDefault="00EB0814" w:rsidP="008730C8">
      <w:pPr>
        <w:adjustRightInd w:val="0"/>
        <w:snapToGrid w:val="0"/>
        <w:spacing w:after="0" w:line="360" w:lineRule="auto"/>
        <w:jc w:val="both"/>
        <w:rPr>
          <w:rFonts w:ascii="Book Antiqua" w:hAnsi="Book Antiqua" w:cs="Times New Roman"/>
          <w:sz w:val="24"/>
          <w:szCs w:val="24"/>
          <w:lang w:eastAsia="zh-CN"/>
        </w:rPr>
      </w:pPr>
      <w:r w:rsidRPr="008730C8">
        <w:rPr>
          <w:rFonts w:ascii="Book Antiqua" w:hAnsi="Book Antiqua" w:cs="Times New Roman"/>
          <w:b/>
          <w:sz w:val="24"/>
          <w:szCs w:val="24"/>
        </w:rPr>
        <w:t>María</w:t>
      </w:r>
      <w:r w:rsidR="00C80CF8" w:rsidRPr="008730C8">
        <w:rPr>
          <w:rFonts w:ascii="Book Antiqua" w:hAnsi="Book Antiqua" w:cs="Times New Roman"/>
          <w:b/>
          <w:sz w:val="24"/>
          <w:szCs w:val="24"/>
          <w:lang w:eastAsia="zh-CN"/>
        </w:rPr>
        <w:t>-</w:t>
      </w:r>
      <w:r w:rsidRPr="008730C8">
        <w:rPr>
          <w:rFonts w:ascii="Book Antiqua" w:hAnsi="Book Antiqua" w:cs="Times New Roman"/>
          <w:b/>
          <w:sz w:val="24"/>
          <w:szCs w:val="24"/>
        </w:rPr>
        <w:t>Victoria Alvarez</w:t>
      </w:r>
      <w:r w:rsidR="00C80CF8" w:rsidRPr="008730C8">
        <w:rPr>
          <w:rFonts w:ascii="Book Antiqua" w:hAnsi="Book Antiqua" w:cs="Times New Roman"/>
          <w:b/>
          <w:sz w:val="24"/>
          <w:szCs w:val="24"/>
          <w:lang w:eastAsia="zh-CN"/>
        </w:rPr>
        <w:t>-</w:t>
      </w:r>
      <w:r w:rsidRPr="008730C8">
        <w:rPr>
          <w:rFonts w:ascii="Book Antiqua" w:hAnsi="Book Antiqua" w:cs="Times New Roman"/>
          <w:b/>
          <w:sz w:val="24"/>
          <w:szCs w:val="24"/>
        </w:rPr>
        <w:t>Sánchez</w:t>
      </w:r>
      <w:r w:rsidR="00C80CF8" w:rsidRPr="008730C8">
        <w:rPr>
          <w:rFonts w:ascii="Book Antiqua" w:hAnsi="Book Antiqua" w:cs="Times New Roman"/>
          <w:b/>
          <w:sz w:val="24"/>
          <w:szCs w:val="24"/>
          <w:lang w:eastAsia="zh-CN"/>
        </w:rPr>
        <w:t>,</w:t>
      </w:r>
      <w:r w:rsidRPr="008730C8">
        <w:rPr>
          <w:rFonts w:ascii="Book Antiqua" w:hAnsi="Book Antiqua" w:cs="Times New Roman"/>
          <w:b/>
          <w:sz w:val="24"/>
          <w:szCs w:val="24"/>
        </w:rPr>
        <w:t xml:space="preserve"> </w:t>
      </w:r>
      <w:r w:rsidR="00C80CF8" w:rsidRPr="008730C8">
        <w:rPr>
          <w:rFonts w:ascii="Book Antiqua" w:hAnsi="Book Antiqua" w:cs="Times New Roman"/>
          <w:sz w:val="24"/>
          <w:szCs w:val="24"/>
        </w:rPr>
        <w:t>Instituto de Investigación Sanitaria Galicia Sur</w:t>
      </w:r>
      <w:r w:rsidR="00C80CF8" w:rsidRPr="008730C8">
        <w:rPr>
          <w:rFonts w:ascii="Book Antiqua" w:hAnsi="Book Antiqua" w:cs="Times New Roman"/>
          <w:sz w:val="24"/>
          <w:szCs w:val="24"/>
          <w:lang w:eastAsia="zh-CN"/>
        </w:rPr>
        <w:t>,</w:t>
      </w:r>
      <w:r w:rsidR="00C80CF8" w:rsidRPr="008730C8">
        <w:rPr>
          <w:rFonts w:ascii="Book Antiqua" w:hAnsi="Book Antiqua" w:cs="Times New Roman"/>
          <w:sz w:val="24"/>
          <w:szCs w:val="24"/>
        </w:rPr>
        <w:t xml:space="preserve"> </w:t>
      </w:r>
      <w:r w:rsidRPr="008730C8">
        <w:rPr>
          <w:rFonts w:ascii="Book Antiqua" w:hAnsi="Book Antiqua" w:cs="Times New Roman"/>
          <w:sz w:val="24"/>
          <w:szCs w:val="24"/>
        </w:rPr>
        <w:t xml:space="preserve">Complejo Hospitalario Universitario de Pontevedra, </w:t>
      </w:r>
      <w:r w:rsidR="00C80CF8" w:rsidRPr="008730C8">
        <w:rPr>
          <w:rFonts w:ascii="Book Antiqua" w:hAnsi="Book Antiqua" w:cs="Times New Roman"/>
          <w:sz w:val="24"/>
          <w:szCs w:val="24"/>
        </w:rPr>
        <w:t>Pontevedra 36003, Spain</w:t>
      </w:r>
    </w:p>
    <w:p w14:paraId="0F0DF3CD" w14:textId="77777777" w:rsidR="00BC73F6" w:rsidRPr="008730C8" w:rsidRDefault="00BC73F6" w:rsidP="008730C8">
      <w:pPr>
        <w:adjustRightInd w:val="0"/>
        <w:snapToGrid w:val="0"/>
        <w:spacing w:after="0" w:line="360" w:lineRule="auto"/>
        <w:jc w:val="both"/>
        <w:rPr>
          <w:rFonts w:ascii="Book Antiqua" w:hAnsi="Book Antiqua" w:cs="Times New Roman"/>
          <w:sz w:val="24"/>
          <w:szCs w:val="24"/>
          <w:lang w:eastAsia="zh-CN"/>
        </w:rPr>
      </w:pPr>
    </w:p>
    <w:p w14:paraId="56180B6A" w14:textId="10828874" w:rsidR="00EB0814" w:rsidRDefault="00EB0814" w:rsidP="008730C8">
      <w:pPr>
        <w:adjustRightInd w:val="0"/>
        <w:snapToGrid w:val="0"/>
        <w:spacing w:after="0" w:line="360" w:lineRule="auto"/>
        <w:jc w:val="both"/>
        <w:rPr>
          <w:rFonts w:ascii="Book Antiqua" w:hAnsi="Book Antiqua" w:cs="Times New Roman"/>
          <w:sz w:val="24"/>
          <w:szCs w:val="24"/>
          <w:lang w:eastAsia="zh-CN"/>
        </w:rPr>
      </w:pPr>
      <w:r w:rsidRPr="008730C8">
        <w:rPr>
          <w:rFonts w:ascii="Book Antiqua" w:hAnsi="Book Antiqua" w:cs="Times New Roman"/>
          <w:b/>
          <w:sz w:val="24"/>
          <w:szCs w:val="24"/>
        </w:rPr>
        <w:t>Bertrand Napoléon</w:t>
      </w:r>
      <w:r w:rsidR="00C80CF8" w:rsidRPr="008730C8">
        <w:rPr>
          <w:rFonts w:ascii="Book Antiqua" w:hAnsi="Book Antiqua" w:cs="Times New Roman"/>
          <w:sz w:val="24"/>
          <w:szCs w:val="24"/>
          <w:lang w:eastAsia="zh-CN"/>
        </w:rPr>
        <w:t>,</w:t>
      </w:r>
      <w:r w:rsidRPr="008730C8">
        <w:rPr>
          <w:rFonts w:ascii="Book Antiqua" w:hAnsi="Book Antiqua" w:cs="Times New Roman"/>
          <w:sz w:val="24"/>
          <w:szCs w:val="24"/>
        </w:rPr>
        <w:t xml:space="preserve"> Department of Gastroenterology, Ramsay Générale de Santé Private Hospital J</w:t>
      </w:r>
      <w:r w:rsidR="00C80CF8" w:rsidRPr="008730C8">
        <w:rPr>
          <w:rFonts w:ascii="Book Antiqua" w:hAnsi="Book Antiqua" w:cs="Times New Roman"/>
          <w:sz w:val="24"/>
          <w:szCs w:val="24"/>
        </w:rPr>
        <w:t>ean Mermoz, Lyon 69008, France</w:t>
      </w:r>
    </w:p>
    <w:p w14:paraId="070ADA28" w14:textId="77777777" w:rsidR="005B0B1D" w:rsidRPr="008730C8" w:rsidRDefault="005B0B1D" w:rsidP="008730C8">
      <w:pPr>
        <w:adjustRightInd w:val="0"/>
        <w:snapToGrid w:val="0"/>
        <w:spacing w:after="0" w:line="360" w:lineRule="auto"/>
        <w:jc w:val="both"/>
        <w:rPr>
          <w:rFonts w:ascii="Book Antiqua" w:hAnsi="Book Antiqua" w:cs="Times New Roman"/>
          <w:sz w:val="24"/>
          <w:szCs w:val="24"/>
          <w:lang w:eastAsia="zh-CN"/>
        </w:rPr>
      </w:pPr>
    </w:p>
    <w:p w14:paraId="737ACCBA" w14:textId="42BEDAE6" w:rsidR="00EB0814" w:rsidRDefault="00BC73F6" w:rsidP="008730C8">
      <w:pPr>
        <w:adjustRightInd w:val="0"/>
        <w:snapToGrid w:val="0"/>
        <w:spacing w:after="0" w:line="360" w:lineRule="auto"/>
        <w:jc w:val="both"/>
        <w:rPr>
          <w:rStyle w:val="orcid-id-https"/>
          <w:rFonts w:ascii="Book Antiqua" w:hAnsi="Book Antiqua"/>
          <w:sz w:val="24"/>
          <w:szCs w:val="24"/>
          <w:lang w:val="en-GB" w:eastAsia="zh-CN"/>
        </w:rPr>
      </w:pPr>
      <w:r w:rsidRPr="008730C8">
        <w:rPr>
          <w:rFonts w:ascii="Book Antiqua" w:hAnsi="Book Antiqua"/>
          <w:b/>
          <w:bCs/>
          <w:sz w:val="24"/>
          <w:szCs w:val="24"/>
          <w:shd w:val="clear" w:color="auto" w:fill="FFFFFF"/>
          <w:lang w:val="en-GB"/>
        </w:rPr>
        <w:t>ORCID number</w:t>
      </w:r>
      <w:r w:rsidRPr="008730C8">
        <w:rPr>
          <w:rFonts w:ascii="Book Antiqua" w:hAnsi="Book Antiqua"/>
          <w:b/>
          <w:sz w:val="24"/>
          <w:szCs w:val="24"/>
          <w:lang w:val="en-GB"/>
        </w:rPr>
        <w:t>:</w:t>
      </w:r>
      <w:r w:rsidR="00F15A2E" w:rsidRPr="008730C8">
        <w:rPr>
          <w:rFonts w:ascii="Book Antiqua" w:hAnsi="Book Antiqua"/>
          <w:b/>
          <w:sz w:val="24"/>
          <w:szCs w:val="24"/>
          <w:lang w:val="en-GB"/>
        </w:rPr>
        <w:t xml:space="preserve"> </w:t>
      </w:r>
      <w:r w:rsidR="00F15A2E" w:rsidRPr="008730C8">
        <w:rPr>
          <w:rFonts w:ascii="Book Antiqua" w:hAnsi="Book Antiqua"/>
          <w:sz w:val="24"/>
          <w:szCs w:val="24"/>
          <w:lang w:val="en-GB"/>
        </w:rPr>
        <w:t>María Victoria Alvarez Sánchez (</w:t>
      </w:r>
      <w:hyperlink r:id="rId7" w:tgtFrame="_blank" w:history="1">
        <w:r w:rsidR="00F15A2E" w:rsidRPr="008730C8">
          <w:rPr>
            <w:rFonts w:ascii="Book Antiqua" w:hAnsi="Book Antiqua"/>
            <w:sz w:val="24"/>
            <w:szCs w:val="24"/>
            <w:lang w:val="en-GB"/>
          </w:rPr>
          <w:t>0000-0002-2640-2265</w:t>
        </w:r>
      </w:hyperlink>
      <w:r w:rsidR="00F15A2E" w:rsidRPr="008730C8">
        <w:rPr>
          <w:rFonts w:ascii="Book Antiqua" w:hAnsi="Book Antiqua"/>
          <w:sz w:val="24"/>
          <w:szCs w:val="24"/>
          <w:lang w:val="en-GB"/>
        </w:rPr>
        <w:t>)</w:t>
      </w:r>
      <w:r w:rsidR="00C80CF8" w:rsidRPr="008730C8">
        <w:rPr>
          <w:rFonts w:ascii="Book Antiqua" w:hAnsi="Book Antiqua"/>
          <w:sz w:val="24"/>
          <w:szCs w:val="24"/>
          <w:lang w:val="en-GB" w:eastAsia="zh-CN"/>
        </w:rPr>
        <w:t>;</w:t>
      </w:r>
      <w:r w:rsidR="00F15A2E" w:rsidRPr="008730C8">
        <w:rPr>
          <w:rFonts w:ascii="Book Antiqua" w:hAnsi="Book Antiqua"/>
          <w:sz w:val="24"/>
          <w:szCs w:val="24"/>
          <w:lang w:val="en-GB"/>
        </w:rPr>
        <w:t xml:space="preserve"> Bertrand Napolén (</w:t>
      </w:r>
      <w:r w:rsidR="00F15A2E" w:rsidRPr="008730C8">
        <w:rPr>
          <w:rStyle w:val="orcid-id-https"/>
          <w:rFonts w:ascii="Book Antiqua" w:hAnsi="Book Antiqua"/>
          <w:sz w:val="24"/>
          <w:szCs w:val="24"/>
          <w:lang w:val="en-GB"/>
        </w:rPr>
        <w:t>0000-0001-5866-8132)</w:t>
      </w:r>
      <w:r w:rsidR="00C80CF8" w:rsidRPr="008730C8">
        <w:rPr>
          <w:rStyle w:val="orcid-id-https"/>
          <w:rFonts w:ascii="Book Antiqua" w:hAnsi="Book Antiqua"/>
          <w:sz w:val="24"/>
          <w:szCs w:val="24"/>
          <w:lang w:val="en-GB" w:eastAsia="zh-CN"/>
        </w:rPr>
        <w:t>.</w:t>
      </w:r>
    </w:p>
    <w:p w14:paraId="465FED39" w14:textId="77777777" w:rsidR="005B0B1D" w:rsidRPr="008730C8" w:rsidRDefault="005B0B1D" w:rsidP="008730C8">
      <w:pPr>
        <w:adjustRightInd w:val="0"/>
        <w:snapToGrid w:val="0"/>
        <w:spacing w:after="0" w:line="360" w:lineRule="auto"/>
        <w:jc w:val="both"/>
        <w:rPr>
          <w:rFonts w:ascii="Book Antiqua" w:hAnsi="Book Antiqua" w:cs="Times New Roman"/>
          <w:sz w:val="24"/>
          <w:szCs w:val="24"/>
          <w:lang w:val="en-GB" w:eastAsia="zh-CN"/>
        </w:rPr>
      </w:pPr>
    </w:p>
    <w:p w14:paraId="490CF900"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b/>
          <w:sz w:val="24"/>
          <w:szCs w:val="24"/>
          <w:lang w:val="en-US"/>
        </w:rPr>
        <w:t>Author contributions</w:t>
      </w:r>
      <w:r w:rsidRPr="008730C8">
        <w:rPr>
          <w:rFonts w:ascii="Book Antiqua" w:hAnsi="Book Antiqua" w:cs="Times New Roman"/>
          <w:sz w:val="24"/>
          <w:szCs w:val="24"/>
          <w:lang w:val="en-US"/>
        </w:rPr>
        <w:t>: Alvarez-Sánchez MV and Napoléon B contributed equally to reviewing the literature, writing and drafting the article, critical revision and final approval.</w:t>
      </w:r>
    </w:p>
    <w:p w14:paraId="11B9518A"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p>
    <w:p w14:paraId="16D812C0" w14:textId="26D133C8" w:rsidR="00EB0814" w:rsidRPr="008730C8" w:rsidRDefault="00EB0814" w:rsidP="008730C8">
      <w:pPr>
        <w:adjustRightInd w:val="0"/>
        <w:snapToGrid w:val="0"/>
        <w:spacing w:after="0" w:line="360" w:lineRule="auto"/>
        <w:jc w:val="both"/>
        <w:rPr>
          <w:rFonts w:ascii="Book Antiqua" w:hAnsi="Book Antiqua" w:cs="Times New Roman"/>
          <w:sz w:val="24"/>
          <w:szCs w:val="24"/>
          <w:lang w:val="en-GB"/>
        </w:rPr>
      </w:pPr>
      <w:r w:rsidRPr="008730C8">
        <w:rPr>
          <w:rFonts w:ascii="Book Antiqua" w:hAnsi="Book Antiqua" w:cs="Times New Roman"/>
          <w:b/>
          <w:sz w:val="24"/>
          <w:szCs w:val="24"/>
          <w:lang w:val="en-US"/>
        </w:rPr>
        <w:t>Conflict-of-interest statement</w:t>
      </w:r>
      <w:r w:rsidRPr="008730C8">
        <w:rPr>
          <w:rFonts w:ascii="Book Antiqua" w:hAnsi="Book Antiqua" w:cs="Times New Roman"/>
          <w:sz w:val="24"/>
          <w:szCs w:val="24"/>
          <w:lang w:val="en-US"/>
        </w:rPr>
        <w:t xml:space="preserve">: </w:t>
      </w:r>
      <w:r w:rsidR="008B4523" w:rsidRPr="008730C8">
        <w:rPr>
          <w:rFonts w:ascii="Book Antiqua" w:hAnsi="Book Antiqua" w:cs="Times New Roman"/>
          <w:sz w:val="24"/>
          <w:szCs w:val="24"/>
          <w:lang w:val="en-US"/>
        </w:rPr>
        <w:t>María Victoria Alvarez Sánchez</w:t>
      </w:r>
      <w:r w:rsidRPr="008730C8">
        <w:rPr>
          <w:rFonts w:ascii="Book Antiqua" w:hAnsi="Book Antiqua" w:cs="Times New Roman"/>
          <w:sz w:val="24"/>
          <w:szCs w:val="24"/>
          <w:lang w:val="en-US"/>
        </w:rPr>
        <w:t xml:space="preserve"> ha</w:t>
      </w:r>
      <w:r w:rsidR="008B4523" w:rsidRPr="008730C8">
        <w:rPr>
          <w:rFonts w:ascii="Book Antiqua" w:hAnsi="Book Antiqua" w:cs="Times New Roman"/>
          <w:sz w:val="24"/>
          <w:szCs w:val="24"/>
          <w:lang w:val="en-US"/>
        </w:rPr>
        <w:t>s</w:t>
      </w:r>
      <w:r w:rsidRPr="008730C8">
        <w:rPr>
          <w:rFonts w:ascii="Book Antiqua" w:hAnsi="Book Antiqua" w:cs="Times New Roman"/>
          <w:sz w:val="24"/>
          <w:szCs w:val="24"/>
          <w:lang w:val="en-US"/>
        </w:rPr>
        <w:t xml:space="preserve"> no </w:t>
      </w:r>
      <w:r w:rsidR="008B4523" w:rsidRPr="008730C8">
        <w:rPr>
          <w:rFonts w:ascii="Book Antiqua" w:hAnsi="Book Antiqua" w:cs="Times New Roman"/>
          <w:sz w:val="24"/>
          <w:szCs w:val="24"/>
          <w:lang w:val="en-US"/>
        </w:rPr>
        <w:t xml:space="preserve">conflicts of interest or financial ties to disclose. Bertrand Napoléon received educational fees from Boston </w:t>
      </w:r>
      <w:r w:rsidR="00C80CF8" w:rsidRPr="008730C8">
        <w:rPr>
          <w:rFonts w:ascii="Book Antiqua" w:hAnsi="Book Antiqua" w:cs="Times New Roman"/>
          <w:sz w:val="24"/>
          <w:szCs w:val="24"/>
          <w:lang w:val="en-US"/>
        </w:rPr>
        <w:t>Scientific S</w:t>
      </w:r>
      <w:r w:rsidR="008B4523" w:rsidRPr="008730C8">
        <w:rPr>
          <w:rFonts w:ascii="Book Antiqua" w:hAnsi="Book Antiqua" w:cs="Times New Roman"/>
          <w:sz w:val="24"/>
          <w:szCs w:val="24"/>
          <w:lang w:val="en-US"/>
        </w:rPr>
        <w:t>A.</w:t>
      </w:r>
    </w:p>
    <w:p w14:paraId="7A540519"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GB" w:eastAsia="zh-CN"/>
        </w:rPr>
      </w:pPr>
    </w:p>
    <w:p w14:paraId="00AA4A77" w14:textId="77777777" w:rsidR="00C80CF8" w:rsidRPr="008730C8" w:rsidRDefault="00C80CF8" w:rsidP="008730C8">
      <w:pPr>
        <w:adjustRightInd w:val="0"/>
        <w:snapToGrid w:val="0"/>
        <w:spacing w:after="0" w:line="360" w:lineRule="auto"/>
        <w:jc w:val="both"/>
        <w:rPr>
          <w:rFonts w:ascii="Book Antiqua" w:eastAsia="MS Mincho" w:hAnsi="Book Antiqua" w:cs="Times New Roman"/>
          <w:b/>
          <w:sz w:val="24"/>
          <w:szCs w:val="24"/>
          <w:lang w:val="en-US" w:eastAsia="it-IT"/>
        </w:rPr>
      </w:pPr>
      <w:r w:rsidRPr="008730C8">
        <w:rPr>
          <w:rFonts w:ascii="Book Antiqua" w:eastAsia="MS Mincho" w:hAnsi="Book Antiqua" w:cs="Times New Roman"/>
          <w:b/>
          <w:sz w:val="24"/>
          <w:szCs w:val="24"/>
          <w:lang w:val="en-US" w:eastAsia="it-IT"/>
        </w:rPr>
        <w:t xml:space="preserve">Open-Access: </w:t>
      </w:r>
      <w:r w:rsidRPr="008730C8">
        <w:rPr>
          <w:rFonts w:ascii="Book Antiqua" w:eastAsia="MS Mincho" w:hAnsi="Book Antiqua" w:cs="Times New Roman"/>
          <w:sz w:val="24"/>
          <w:szCs w:val="24"/>
          <w:lang w:val="en-US" w:eastAsia="it-IT"/>
        </w:rPr>
        <w:t xml:space="preserve">This article is an open-access article which was selected by an in-house editor and fully peer-reviewed by external reviewers. It is distributed in </w:t>
      </w:r>
      <w:r w:rsidRPr="008730C8">
        <w:rPr>
          <w:rFonts w:ascii="Book Antiqua" w:eastAsia="MS Mincho" w:hAnsi="Book Antiqua" w:cs="Times New Roman"/>
          <w:sz w:val="24"/>
          <w:szCs w:val="24"/>
          <w:lang w:val="en-US" w:eastAsia="it-IT"/>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F75C79" w14:textId="77777777" w:rsidR="00C80CF8" w:rsidRPr="008730C8" w:rsidRDefault="00C80CF8"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p>
    <w:p w14:paraId="6FA34BFF" w14:textId="77777777" w:rsidR="00C80CF8" w:rsidRPr="008730C8" w:rsidRDefault="00C80CF8" w:rsidP="008730C8">
      <w:pPr>
        <w:widowControl w:val="0"/>
        <w:adjustRightInd w:val="0"/>
        <w:snapToGrid w:val="0"/>
        <w:spacing w:after="0" w:line="360" w:lineRule="auto"/>
        <w:jc w:val="both"/>
        <w:rPr>
          <w:rFonts w:ascii="Book Antiqua" w:hAnsi="Book Antiqua" w:cs="Arial Unicode MS"/>
          <w:kern w:val="2"/>
          <w:sz w:val="24"/>
          <w:szCs w:val="24"/>
          <w:lang w:val="en-US" w:eastAsia="zh-CN"/>
        </w:rPr>
      </w:pPr>
      <w:r w:rsidRPr="008730C8">
        <w:rPr>
          <w:rFonts w:ascii="Book Antiqua" w:hAnsi="Book Antiqua" w:cs="Arial Unicode MS"/>
          <w:b/>
          <w:kern w:val="2"/>
          <w:sz w:val="24"/>
          <w:szCs w:val="24"/>
          <w:lang w:val="en-US" w:eastAsia="zh-CN"/>
        </w:rPr>
        <w:t>Manuscript source:</w:t>
      </w:r>
      <w:r w:rsidRPr="008730C8">
        <w:rPr>
          <w:rFonts w:ascii="Book Antiqua" w:hAnsi="Book Antiqua" w:cs="Arial Unicode MS"/>
          <w:kern w:val="2"/>
          <w:sz w:val="24"/>
          <w:szCs w:val="24"/>
          <w:lang w:val="en-US" w:eastAsia="zh-CN"/>
        </w:rPr>
        <w:t xml:space="preserve"> Invited manuscript</w:t>
      </w:r>
    </w:p>
    <w:p w14:paraId="199C8F2F" w14:textId="77777777" w:rsidR="00C80CF8" w:rsidRPr="008730C8" w:rsidRDefault="00C80CF8" w:rsidP="008730C8">
      <w:pPr>
        <w:adjustRightInd w:val="0"/>
        <w:snapToGrid w:val="0"/>
        <w:spacing w:after="0" w:line="360" w:lineRule="auto"/>
        <w:jc w:val="both"/>
        <w:rPr>
          <w:rFonts w:ascii="Book Antiqua" w:hAnsi="Book Antiqua" w:cs="Times New Roman"/>
          <w:sz w:val="24"/>
          <w:szCs w:val="24"/>
          <w:lang w:val="en-US" w:eastAsia="zh-CN"/>
        </w:rPr>
      </w:pPr>
    </w:p>
    <w:p w14:paraId="04547683" w14:textId="1B586E88" w:rsidR="00EB0814" w:rsidRPr="008730C8" w:rsidRDefault="00EB0814" w:rsidP="008730C8">
      <w:pPr>
        <w:adjustRightInd w:val="0"/>
        <w:snapToGrid w:val="0"/>
        <w:spacing w:after="0" w:line="360" w:lineRule="auto"/>
        <w:jc w:val="both"/>
        <w:rPr>
          <w:rFonts w:ascii="Book Antiqua" w:hAnsi="Book Antiqua" w:cs="Times New Roman"/>
          <w:sz w:val="24"/>
          <w:szCs w:val="24"/>
          <w:lang w:eastAsia="zh-CN"/>
        </w:rPr>
      </w:pPr>
      <w:r w:rsidRPr="008730C8">
        <w:rPr>
          <w:rFonts w:ascii="Book Antiqua" w:hAnsi="Book Antiqua" w:cs="Times New Roman"/>
          <w:b/>
          <w:sz w:val="24"/>
          <w:szCs w:val="24"/>
        </w:rPr>
        <w:t xml:space="preserve">Correspondence to: María-Victoria Alvarez-Sánchez, MD, </w:t>
      </w:r>
      <w:r w:rsidR="00C80CF8" w:rsidRPr="008730C8">
        <w:rPr>
          <w:rFonts w:ascii="Book Antiqua" w:hAnsi="Book Antiqua" w:cs="Times New Roman"/>
          <w:b/>
          <w:sz w:val="24"/>
          <w:szCs w:val="24"/>
        </w:rPr>
        <w:t>Attending Doctor</w:t>
      </w:r>
      <w:r w:rsidR="00C80CF8" w:rsidRPr="008730C8">
        <w:rPr>
          <w:rFonts w:ascii="Book Antiqua" w:hAnsi="Book Antiqua" w:cs="Times New Roman"/>
          <w:b/>
          <w:sz w:val="24"/>
          <w:szCs w:val="24"/>
          <w:lang w:eastAsia="zh-CN"/>
        </w:rPr>
        <w:t xml:space="preserve">, </w:t>
      </w:r>
      <w:r w:rsidRPr="008730C8">
        <w:rPr>
          <w:rFonts w:ascii="Book Antiqua" w:hAnsi="Book Antiqua" w:cs="Times New Roman"/>
          <w:sz w:val="24"/>
          <w:szCs w:val="24"/>
        </w:rPr>
        <w:t>Department of Gastroenterology, Complejo Hospitalario Universitario de Pontevedra, Pontevedra, Instituto de Investigación Sanitaria Galicia Sur (IISGS)</w:t>
      </w:r>
      <w:r w:rsidR="00C80CF8" w:rsidRPr="008730C8">
        <w:rPr>
          <w:rFonts w:ascii="Book Antiqua" w:hAnsi="Book Antiqua" w:cs="Times New Roman"/>
          <w:sz w:val="24"/>
          <w:szCs w:val="24"/>
          <w:lang w:eastAsia="zh-CN"/>
        </w:rPr>
        <w:t>, Avenida de Mourente sn,</w:t>
      </w:r>
      <w:r w:rsidRPr="008730C8">
        <w:rPr>
          <w:rFonts w:ascii="Book Antiqua" w:hAnsi="Book Antiqua" w:cs="Times New Roman"/>
          <w:sz w:val="24"/>
          <w:szCs w:val="24"/>
        </w:rPr>
        <w:t xml:space="preserve"> Pontevedra 36003; Spain.</w:t>
      </w:r>
      <w:r w:rsidR="00C80CF8" w:rsidRPr="008730C8">
        <w:rPr>
          <w:rFonts w:ascii="Book Antiqua" w:hAnsi="Book Antiqua" w:cs="Times New Roman"/>
          <w:sz w:val="24"/>
          <w:szCs w:val="24"/>
          <w:lang w:eastAsia="zh-CN"/>
        </w:rPr>
        <w:t xml:space="preserve"> victoria.alvarez.sanchez@hotmail.com</w:t>
      </w:r>
    </w:p>
    <w:p w14:paraId="37533EC1" w14:textId="060E4F94"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b/>
          <w:sz w:val="24"/>
          <w:szCs w:val="24"/>
          <w:lang w:val="en-US"/>
        </w:rPr>
        <w:t xml:space="preserve">Telephone: </w:t>
      </w:r>
      <w:r w:rsidRPr="008730C8">
        <w:rPr>
          <w:rFonts w:ascii="Book Antiqua" w:hAnsi="Book Antiqua" w:cs="Times New Roman"/>
          <w:sz w:val="24"/>
          <w:szCs w:val="24"/>
          <w:lang w:val="en-US"/>
        </w:rPr>
        <w:t>+34-986</w:t>
      </w:r>
      <w:r w:rsidR="00C80CF8" w:rsidRPr="008730C8">
        <w:rPr>
          <w:rFonts w:ascii="Book Antiqua" w:hAnsi="Book Antiqua" w:cs="Times New Roman"/>
          <w:sz w:val="24"/>
          <w:szCs w:val="24"/>
          <w:lang w:val="en-US" w:eastAsia="zh-CN"/>
        </w:rPr>
        <w:t>-</w:t>
      </w:r>
      <w:r w:rsidRPr="008730C8">
        <w:rPr>
          <w:rFonts w:ascii="Book Antiqua" w:hAnsi="Book Antiqua" w:cs="Times New Roman"/>
          <w:sz w:val="24"/>
          <w:szCs w:val="24"/>
          <w:lang w:val="en-US"/>
        </w:rPr>
        <w:t>800907</w:t>
      </w:r>
    </w:p>
    <w:p w14:paraId="0F9B50AD" w14:textId="68D9079F"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b/>
          <w:sz w:val="24"/>
          <w:szCs w:val="24"/>
          <w:lang w:val="en-US"/>
        </w:rPr>
        <w:t>Fax:</w:t>
      </w:r>
      <w:r w:rsidRPr="008730C8">
        <w:rPr>
          <w:rFonts w:ascii="Book Antiqua" w:hAnsi="Book Antiqua" w:cs="Times New Roman"/>
          <w:sz w:val="24"/>
          <w:szCs w:val="24"/>
          <w:lang w:val="en-US"/>
        </w:rPr>
        <w:t xml:space="preserve"> +34</w:t>
      </w:r>
      <w:r w:rsidR="00C80CF8" w:rsidRPr="008730C8">
        <w:rPr>
          <w:rFonts w:ascii="Book Antiqua" w:hAnsi="Book Antiqua" w:cs="Times New Roman"/>
          <w:sz w:val="24"/>
          <w:szCs w:val="24"/>
          <w:lang w:val="en-US" w:eastAsia="zh-CN"/>
        </w:rPr>
        <w:t>-</w:t>
      </w:r>
      <w:r w:rsidRPr="008730C8">
        <w:rPr>
          <w:rFonts w:ascii="Book Antiqua" w:hAnsi="Book Antiqua" w:cs="Times New Roman"/>
          <w:sz w:val="24"/>
          <w:szCs w:val="24"/>
          <w:lang w:val="en-US"/>
        </w:rPr>
        <w:t>986</w:t>
      </w:r>
      <w:r w:rsidR="00C80CF8" w:rsidRPr="008730C8">
        <w:rPr>
          <w:rFonts w:ascii="Book Antiqua" w:hAnsi="Book Antiqua" w:cs="Times New Roman"/>
          <w:sz w:val="24"/>
          <w:szCs w:val="24"/>
          <w:lang w:val="en-US" w:eastAsia="zh-CN"/>
        </w:rPr>
        <w:t>-</w:t>
      </w:r>
      <w:r w:rsidRPr="008730C8">
        <w:rPr>
          <w:rFonts w:ascii="Book Antiqua" w:hAnsi="Book Antiqua" w:cs="Times New Roman"/>
          <w:sz w:val="24"/>
          <w:szCs w:val="24"/>
          <w:lang w:val="en-US"/>
        </w:rPr>
        <w:t>800309</w:t>
      </w:r>
    </w:p>
    <w:p w14:paraId="5472B92A"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p>
    <w:p w14:paraId="2233A699" w14:textId="341ABC99" w:rsidR="00C80CF8" w:rsidRPr="008730C8" w:rsidRDefault="00C80CF8"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b/>
          <w:kern w:val="2"/>
          <w:sz w:val="24"/>
          <w:szCs w:val="24"/>
          <w:lang w:val="en-US" w:eastAsia="zh-CN"/>
        </w:rPr>
        <w:t>Received:</w:t>
      </w:r>
      <w:r w:rsidRPr="008730C8">
        <w:rPr>
          <w:rFonts w:ascii="Book Antiqua" w:hAnsi="Book Antiqua" w:cs="Times New Roman"/>
          <w:kern w:val="2"/>
          <w:sz w:val="24"/>
          <w:szCs w:val="24"/>
          <w:lang w:val="en-US" w:eastAsia="zh-CN"/>
        </w:rPr>
        <w:t xml:space="preserve"> </w:t>
      </w:r>
      <w:r w:rsidRPr="008730C8">
        <w:rPr>
          <w:rFonts w:ascii="Book Antiqua" w:hAnsi="Book Antiqua" w:cs="Arial"/>
          <w:sz w:val="24"/>
          <w:szCs w:val="24"/>
          <w:lang w:val="en-US" w:eastAsia="zh-CN"/>
        </w:rPr>
        <w:t>March 28, 2018</w:t>
      </w:r>
    </w:p>
    <w:p w14:paraId="328AEE3C" w14:textId="2205F00B" w:rsidR="00C80CF8" w:rsidRPr="008730C8" w:rsidRDefault="00C80CF8"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b/>
          <w:kern w:val="2"/>
          <w:sz w:val="24"/>
          <w:szCs w:val="24"/>
          <w:lang w:val="en-US" w:eastAsia="zh-CN"/>
        </w:rPr>
        <w:t>Peer-review started:</w:t>
      </w:r>
      <w:r w:rsidRPr="008730C8">
        <w:rPr>
          <w:rFonts w:ascii="Book Antiqua" w:hAnsi="Book Antiqua" w:cs="Times New Roman"/>
          <w:kern w:val="2"/>
          <w:sz w:val="24"/>
          <w:szCs w:val="24"/>
          <w:lang w:val="en-US" w:eastAsia="zh-CN"/>
        </w:rPr>
        <w:t xml:space="preserve"> </w:t>
      </w:r>
      <w:r w:rsidRPr="008730C8">
        <w:rPr>
          <w:rFonts w:ascii="Book Antiqua" w:hAnsi="Book Antiqua" w:cs="Arial"/>
          <w:sz w:val="24"/>
          <w:szCs w:val="24"/>
          <w:lang w:val="en-US" w:eastAsia="zh-CN"/>
        </w:rPr>
        <w:t>March 29, 2018</w:t>
      </w:r>
    </w:p>
    <w:p w14:paraId="16E2458C" w14:textId="287F72F7" w:rsidR="00C80CF8" w:rsidRPr="008730C8" w:rsidRDefault="00C80CF8"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b/>
          <w:kern w:val="2"/>
          <w:sz w:val="24"/>
          <w:szCs w:val="24"/>
          <w:lang w:val="en-US" w:eastAsia="zh-CN"/>
        </w:rPr>
        <w:t>First decision:</w:t>
      </w:r>
      <w:r w:rsidRPr="008730C8">
        <w:rPr>
          <w:rFonts w:ascii="Book Antiqua" w:hAnsi="Book Antiqua" w:cs="Times New Roman"/>
          <w:kern w:val="2"/>
          <w:sz w:val="24"/>
          <w:szCs w:val="24"/>
          <w:lang w:val="en-US" w:eastAsia="zh-CN"/>
        </w:rPr>
        <w:t xml:space="preserve"> </w:t>
      </w:r>
      <w:r w:rsidRPr="008730C8">
        <w:rPr>
          <w:rFonts w:ascii="Book Antiqua" w:hAnsi="Book Antiqua" w:cs="Arial"/>
          <w:sz w:val="24"/>
          <w:szCs w:val="24"/>
          <w:lang w:val="en-US" w:eastAsia="zh-CN"/>
        </w:rPr>
        <w:t>April 27, 2018</w:t>
      </w:r>
    </w:p>
    <w:p w14:paraId="0192C5DC" w14:textId="522C1606" w:rsidR="00C80CF8" w:rsidRPr="008730C8" w:rsidRDefault="00C80CF8"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b/>
          <w:kern w:val="2"/>
          <w:sz w:val="24"/>
          <w:szCs w:val="24"/>
          <w:lang w:val="en-US" w:eastAsia="zh-CN"/>
        </w:rPr>
        <w:t>Revised:</w:t>
      </w:r>
      <w:r w:rsidRPr="008730C8">
        <w:rPr>
          <w:rFonts w:ascii="Book Antiqua" w:hAnsi="Book Antiqua" w:cs="Times New Roman"/>
          <w:kern w:val="2"/>
          <w:sz w:val="24"/>
          <w:szCs w:val="24"/>
          <w:lang w:val="en-US" w:eastAsia="zh-CN"/>
        </w:rPr>
        <w:t xml:space="preserve"> </w:t>
      </w:r>
      <w:r w:rsidRPr="008730C8">
        <w:rPr>
          <w:rFonts w:ascii="Book Antiqua" w:hAnsi="Book Antiqua" w:cs="Arial"/>
          <w:sz w:val="24"/>
          <w:szCs w:val="24"/>
          <w:lang w:val="en-US" w:eastAsia="zh-CN"/>
        </w:rPr>
        <w:t>May 28, 2018</w:t>
      </w:r>
    </w:p>
    <w:p w14:paraId="76BD2CA9" w14:textId="426D39AB" w:rsidR="00C80CF8" w:rsidRPr="008730C8" w:rsidRDefault="00C80CF8"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b/>
          <w:kern w:val="2"/>
          <w:sz w:val="24"/>
          <w:szCs w:val="24"/>
          <w:lang w:val="en-US" w:eastAsia="zh-CN"/>
        </w:rPr>
        <w:t>Accepted:</w:t>
      </w:r>
      <w:r w:rsidR="003C7200" w:rsidRPr="003C7200">
        <w:t xml:space="preserve"> </w:t>
      </w:r>
      <w:r w:rsidR="003C7200" w:rsidRPr="003C7200">
        <w:rPr>
          <w:rFonts w:ascii="Book Antiqua" w:hAnsi="Book Antiqua" w:cs="Times New Roman"/>
          <w:kern w:val="2"/>
          <w:sz w:val="24"/>
          <w:szCs w:val="24"/>
          <w:lang w:val="en-US" w:eastAsia="zh-CN"/>
        </w:rPr>
        <w:t>June 16, 2018</w:t>
      </w:r>
    </w:p>
    <w:p w14:paraId="526741E3" w14:textId="77777777" w:rsidR="00C80CF8" w:rsidRPr="008730C8" w:rsidRDefault="00C80CF8" w:rsidP="008730C8">
      <w:pPr>
        <w:widowControl w:val="0"/>
        <w:adjustRightInd w:val="0"/>
        <w:snapToGrid w:val="0"/>
        <w:spacing w:after="0" w:line="360" w:lineRule="auto"/>
        <w:jc w:val="both"/>
        <w:rPr>
          <w:rFonts w:ascii="Book Antiqua" w:hAnsi="Book Antiqua" w:cs="Times New Roman"/>
          <w:b/>
          <w:kern w:val="2"/>
          <w:sz w:val="24"/>
          <w:szCs w:val="24"/>
          <w:lang w:val="en-US" w:eastAsia="zh-CN"/>
        </w:rPr>
      </w:pPr>
      <w:r w:rsidRPr="008730C8">
        <w:rPr>
          <w:rFonts w:ascii="Book Antiqua" w:hAnsi="Book Antiqua" w:cs="Times New Roman"/>
          <w:b/>
          <w:kern w:val="2"/>
          <w:sz w:val="24"/>
          <w:szCs w:val="24"/>
          <w:lang w:val="en-US" w:eastAsia="zh-CN"/>
        </w:rPr>
        <w:t>Article in press:</w:t>
      </w:r>
      <w:bookmarkStart w:id="3" w:name="_GoBack"/>
      <w:bookmarkEnd w:id="3"/>
    </w:p>
    <w:p w14:paraId="51701424" w14:textId="359664B5" w:rsidR="00EB0814" w:rsidRPr="005B0B1D" w:rsidRDefault="005B0B1D" w:rsidP="005B0B1D">
      <w:pPr>
        <w:widowControl w:val="0"/>
        <w:adjustRightInd w:val="0"/>
        <w:snapToGrid w:val="0"/>
        <w:spacing w:after="0" w:line="360" w:lineRule="auto"/>
        <w:jc w:val="both"/>
        <w:rPr>
          <w:rFonts w:ascii="Book Antiqua" w:hAnsi="Book Antiqua" w:cs="Times New Roman"/>
          <w:b/>
          <w:kern w:val="2"/>
          <w:sz w:val="24"/>
          <w:szCs w:val="24"/>
          <w:lang w:val="en-US" w:eastAsia="zh-CN"/>
        </w:rPr>
      </w:pPr>
      <w:r>
        <w:rPr>
          <w:rFonts w:ascii="Book Antiqua" w:hAnsi="Book Antiqua" w:cs="Times New Roman"/>
          <w:b/>
          <w:kern w:val="2"/>
          <w:sz w:val="24"/>
          <w:szCs w:val="24"/>
          <w:lang w:val="en-US" w:eastAsia="zh-CN"/>
        </w:rPr>
        <w:t>Published online:</w:t>
      </w:r>
    </w:p>
    <w:p w14:paraId="64725B11" w14:textId="77777777" w:rsidR="00557574" w:rsidRPr="008730C8" w:rsidRDefault="00557574" w:rsidP="008730C8">
      <w:pPr>
        <w:adjustRightInd w:val="0"/>
        <w:snapToGrid w:val="0"/>
        <w:spacing w:after="0" w:line="360" w:lineRule="auto"/>
        <w:jc w:val="both"/>
        <w:rPr>
          <w:rFonts w:ascii="Book Antiqua" w:hAnsi="Book Antiqua" w:cs="Times New Roman"/>
          <w:b/>
          <w:sz w:val="24"/>
          <w:szCs w:val="24"/>
          <w:lang w:val="en-US"/>
        </w:rPr>
      </w:pPr>
      <w:r w:rsidRPr="008730C8">
        <w:rPr>
          <w:rFonts w:ascii="Book Antiqua" w:hAnsi="Book Antiqua" w:cs="Times New Roman"/>
          <w:b/>
          <w:sz w:val="24"/>
          <w:szCs w:val="24"/>
          <w:lang w:val="en-US"/>
        </w:rPr>
        <w:br w:type="page"/>
      </w:r>
    </w:p>
    <w:p w14:paraId="53C17D26" w14:textId="6CC41DF4" w:rsidR="00EB0814" w:rsidRPr="008730C8" w:rsidRDefault="00EB0814" w:rsidP="008730C8">
      <w:pPr>
        <w:adjustRightInd w:val="0"/>
        <w:snapToGrid w:val="0"/>
        <w:spacing w:after="0" w:line="360" w:lineRule="auto"/>
        <w:jc w:val="both"/>
        <w:rPr>
          <w:rFonts w:ascii="Book Antiqua" w:hAnsi="Book Antiqua" w:cs="Times New Roman"/>
          <w:b/>
          <w:sz w:val="24"/>
          <w:szCs w:val="24"/>
          <w:lang w:val="en-US"/>
        </w:rPr>
      </w:pPr>
      <w:r w:rsidRPr="008730C8">
        <w:rPr>
          <w:rFonts w:ascii="Book Antiqua" w:hAnsi="Book Antiqua" w:cs="Times New Roman"/>
          <w:b/>
          <w:sz w:val="24"/>
          <w:szCs w:val="24"/>
          <w:lang w:val="en-US"/>
        </w:rPr>
        <w:lastRenderedPageBreak/>
        <w:t>A</w:t>
      </w:r>
      <w:r w:rsidR="00557574" w:rsidRPr="008730C8">
        <w:rPr>
          <w:rFonts w:ascii="Book Antiqua" w:hAnsi="Book Antiqua" w:cs="Times New Roman"/>
          <w:b/>
          <w:sz w:val="24"/>
          <w:szCs w:val="24"/>
          <w:lang w:val="en-US"/>
        </w:rPr>
        <w:t>bstract</w:t>
      </w:r>
    </w:p>
    <w:p w14:paraId="40EAED00" w14:textId="015EBF20" w:rsidR="00EB0814" w:rsidRPr="008730C8" w:rsidRDefault="00C71B80"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Pancreatic cystic lesions (PCLs)</w:t>
      </w:r>
      <w:r w:rsidR="00EB0814" w:rsidRPr="008730C8">
        <w:rPr>
          <w:rFonts w:ascii="Book Antiqua" w:hAnsi="Book Antiqua" w:cs="Times New Roman"/>
          <w:sz w:val="24"/>
          <w:szCs w:val="24"/>
          <w:lang w:val="en-US"/>
        </w:rPr>
        <w:t xml:space="preserve"> are increasingly being identified because of the widespread use of high-resolution abdominal imaging. These cysts encompass a spectrum from malignant disease to benign lesions, and therefore, accurate diagnosis is crucial to determine the best management strategy, either surgical resection or surveillance. However, the current standard of diagnosis is not accurate enough due to limitations of imaging and tissue sampling techniques, which entail the risk of unnecessary burdensome surgery for benign lesions or missed opportunities of prophylactic surgery for potentially malignant </w:t>
      </w:r>
      <w:r w:rsidRPr="008730C8">
        <w:rPr>
          <w:rFonts w:ascii="Book Antiqua" w:hAnsi="Book Antiqua" w:cs="Times New Roman"/>
          <w:sz w:val="24"/>
          <w:szCs w:val="24"/>
          <w:lang w:val="en-US"/>
        </w:rPr>
        <w:t>PCLs</w:t>
      </w:r>
      <w:r w:rsidR="00EB0814" w:rsidRPr="008730C8">
        <w:rPr>
          <w:rFonts w:ascii="Book Antiqua" w:hAnsi="Book Antiqua" w:cs="Times New Roman"/>
          <w:sz w:val="24"/>
          <w:szCs w:val="24"/>
          <w:lang w:val="en-US"/>
        </w:rPr>
        <w:t xml:space="preserve">. In the last decade, endoscopic innovations based on endoscopic ultrasonography (EUS) imaging have emerged, aiming to overcome the present limitations. These new EUS-based technologies are contrast harmonic EUS, needle-based confocal endomicroscopy, through-the-needle cystoscopy and through-the needle intracystic biopsy. Here, we present a comprehensive and critical review of these emerging endoscopic tools for the diagnosis of </w:t>
      </w:r>
      <w:r w:rsidRPr="008730C8">
        <w:rPr>
          <w:rFonts w:ascii="Book Antiqua" w:hAnsi="Book Antiqua" w:cs="Times New Roman"/>
          <w:sz w:val="24"/>
          <w:szCs w:val="24"/>
          <w:lang w:val="en-US"/>
        </w:rPr>
        <w:t>PCLs</w:t>
      </w:r>
      <w:r w:rsidR="00EB0814" w:rsidRPr="008730C8">
        <w:rPr>
          <w:rFonts w:ascii="Book Antiqua" w:hAnsi="Book Antiqua" w:cs="Times New Roman"/>
          <w:sz w:val="24"/>
          <w:szCs w:val="24"/>
          <w:lang w:val="en-US"/>
        </w:rPr>
        <w:t>, with a special emphasis on feasibility, safety and diagnostic performance.</w:t>
      </w:r>
    </w:p>
    <w:p w14:paraId="0F92FCCF"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p>
    <w:p w14:paraId="14F94294" w14:textId="593FBFC7" w:rsidR="00EB0814" w:rsidRPr="008730C8" w:rsidRDefault="00EB0814"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hAnsi="Book Antiqua" w:cs="Times New Roman"/>
          <w:b/>
          <w:sz w:val="24"/>
          <w:szCs w:val="24"/>
          <w:lang w:val="en-US"/>
        </w:rPr>
        <w:t>Key words</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P</w:t>
      </w:r>
      <w:r w:rsidRPr="008730C8">
        <w:rPr>
          <w:rFonts w:ascii="Book Antiqua" w:hAnsi="Book Antiqua" w:cs="Times New Roman"/>
          <w:sz w:val="24"/>
          <w:szCs w:val="24"/>
          <w:lang w:val="en-US"/>
        </w:rPr>
        <w:t>ancreatic cyst</w:t>
      </w:r>
      <w:r w:rsidR="00C71B80" w:rsidRPr="008730C8">
        <w:rPr>
          <w:rFonts w:ascii="Book Antiqua" w:hAnsi="Book Antiqua" w:cs="Times New Roman"/>
          <w:sz w:val="24"/>
          <w:szCs w:val="24"/>
          <w:lang w:val="en-US"/>
        </w:rPr>
        <w:t>ic lesions</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E</w:t>
      </w:r>
      <w:r w:rsidRPr="008730C8">
        <w:rPr>
          <w:rFonts w:ascii="Book Antiqua" w:hAnsi="Book Antiqua" w:cs="Times New Roman"/>
          <w:sz w:val="24"/>
          <w:szCs w:val="24"/>
          <w:lang w:val="en-US"/>
        </w:rPr>
        <w:t>ndoscopic ultrasonography</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C</w:t>
      </w:r>
      <w:r w:rsidRPr="008730C8">
        <w:rPr>
          <w:rFonts w:ascii="Book Antiqua" w:hAnsi="Book Antiqua" w:cs="Times New Roman"/>
          <w:sz w:val="24"/>
          <w:szCs w:val="24"/>
          <w:lang w:val="en-US"/>
        </w:rPr>
        <w:t>ontrast harmonic endoscopic ultrasonography</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C</w:t>
      </w:r>
      <w:r w:rsidRPr="008730C8">
        <w:rPr>
          <w:rFonts w:ascii="Book Antiqua" w:hAnsi="Book Antiqua" w:cs="Times New Roman"/>
          <w:sz w:val="24"/>
          <w:szCs w:val="24"/>
          <w:lang w:val="en-US"/>
        </w:rPr>
        <w:t>onfocal endomicroscopy</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T</w:t>
      </w:r>
      <w:r w:rsidRPr="008730C8">
        <w:rPr>
          <w:rFonts w:ascii="Book Antiqua" w:hAnsi="Book Antiqua" w:cs="Times New Roman"/>
          <w:sz w:val="24"/>
          <w:szCs w:val="24"/>
          <w:lang w:val="en-US"/>
        </w:rPr>
        <w:t>hrough-the-needle cystoscopy</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T</w:t>
      </w:r>
      <w:r w:rsidRPr="008730C8">
        <w:rPr>
          <w:rFonts w:ascii="Book Antiqua" w:hAnsi="Book Antiqua" w:cs="Times New Roman"/>
          <w:sz w:val="24"/>
          <w:szCs w:val="24"/>
          <w:lang w:val="en-US"/>
        </w:rPr>
        <w:t>hrough-the-needle forceps biopsy</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M</w:t>
      </w:r>
      <w:r w:rsidRPr="008730C8">
        <w:rPr>
          <w:rFonts w:ascii="Book Antiqua" w:hAnsi="Book Antiqua" w:cs="Times New Roman"/>
          <w:sz w:val="24"/>
          <w:szCs w:val="24"/>
          <w:lang w:val="en-US"/>
        </w:rPr>
        <w:t>ucinous cystoadenoma</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I</w:t>
      </w:r>
      <w:r w:rsidRPr="008730C8">
        <w:rPr>
          <w:rFonts w:ascii="Book Antiqua" w:hAnsi="Book Antiqua" w:cs="Times New Roman"/>
          <w:sz w:val="24"/>
          <w:szCs w:val="24"/>
          <w:lang w:val="en-US"/>
        </w:rPr>
        <w:t>ntraductal papillary mucinous neoplasm</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5B0B1D" w:rsidRPr="008730C8">
        <w:rPr>
          <w:rFonts w:ascii="Book Antiqua" w:hAnsi="Book Antiqua" w:cs="Times New Roman"/>
          <w:sz w:val="24"/>
          <w:szCs w:val="24"/>
          <w:lang w:val="en-US"/>
        </w:rPr>
        <w:t>S</w:t>
      </w:r>
      <w:r w:rsidR="005B0B1D">
        <w:rPr>
          <w:rFonts w:ascii="Book Antiqua" w:hAnsi="Book Antiqua" w:cs="Times New Roman"/>
          <w:sz w:val="24"/>
          <w:szCs w:val="24"/>
          <w:lang w:val="en-US"/>
        </w:rPr>
        <w:t>erous cystoadenoma</w:t>
      </w:r>
    </w:p>
    <w:p w14:paraId="1D70C9B3" w14:textId="77777777" w:rsidR="00557574" w:rsidRPr="008730C8" w:rsidRDefault="00557574" w:rsidP="008730C8">
      <w:pPr>
        <w:adjustRightInd w:val="0"/>
        <w:snapToGrid w:val="0"/>
        <w:spacing w:after="0" w:line="360" w:lineRule="auto"/>
        <w:jc w:val="both"/>
        <w:rPr>
          <w:rFonts w:ascii="Book Antiqua" w:hAnsi="Book Antiqua" w:cs="Times New Roman"/>
          <w:sz w:val="24"/>
          <w:szCs w:val="24"/>
          <w:lang w:val="en-US" w:eastAsia="zh-CN"/>
        </w:rPr>
      </w:pPr>
    </w:p>
    <w:p w14:paraId="26A06414" w14:textId="77777777" w:rsidR="00557574" w:rsidRPr="008730C8" w:rsidRDefault="00557574" w:rsidP="008730C8">
      <w:pPr>
        <w:widowControl w:val="0"/>
        <w:adjustRightInd w:val="0"/>
        <w:snapToGrid w:val="0"/>
        <w:spacing w:after="0" w:line="360" w:lineRule="auto"/>
        <w:jc w:val="both"/>
        <w:rPr>
          <w:rFonts w:ascii="Book Antiqua" w:hAnsi="Book Antiqua" w:cs="Tahoma"/>
          <w:kern w:val="2"/>
          <w:sz w:val="24"/>
          <w:szCs w:val="24"/>
          <w:lang w:val="en-US" w:eastAsia="zh-CN"/>
        </w:rPr>
      </w:pPr>
      <w:bookmarkStart w:id="4" w:name="OLE_LINK148"/>
      <w:bookmarkStart w:id="5" w:name="OLE_LINK149"/>
      <w:bookmarkStart w:id="6" w:name="OLE_LINK200"/>
      <w:bookmarkStart w:id="7" w:name="OLE_LINK288"/>
      <w:bookmarkStart w:id="8" w:name="OLE_LINK1864"/>
      <w:bookmarkStart w:id="9" w:name="OLE_LINK16"/>
      <w:bookmarkStart w:id="10" w:name="OLE_LINK382"/>
      <w:bookmarkStart w:id="11" w:name="OLE_LINK306"/>
      <w:bookmarkStart w:id="12" w:name="OLE_LINK569"/>
      <w:bookmarkStart w:id="13" w:name="OLE_LINK682"/>
      <w:r w:rsidRPr="008730C8">
        <w:rPr>
          <w:rFonts w:ascii="Book Antiqua" w:hAnsi="Book Antiqua" w:cs="Tahoma"/>
          <w:b/>
          <w:kern w:val="2"/>
          <w:sz w:val="24"/>
          <w:szCs w:val="24"/>
          <w:lang w:val="en-US" w:eastAsia="ja-JP"/>
        </w:rPr>
        <w:t>© The Author(s) 201</w:t>
      </w:r>
      <w:r w:rsidRPr="008730C8">
        <w:rPr>
          <w:rFonts w:ascii="Book Antiqua" w:hAnsi="Book Antiqua" w:cs="Tahoma"/>
          <w:b/>
          <w:kern w:val="2"/>
          <w:sz w:val="24"/>
          <w:szCs w:val="24"/>
          <w:lang w:val="en-US" w:eastAsia="zh-CN"/>
        </w:rPr>
        <w:t>8</w:t>
      </w:r>
      <w:r w:rsidRPr="008730C8">
        <w:rPr>
          <w:rFonts w:ascii="Book Antiqua" w:hAnsi="Book Antiqua" w:cs="Tahoma"/>
          <w:b/>
          <w:kern w:val="2"/>
          <w:sz w:val="24"/>
          <w:szCs w:val="24"/>
          <w:lang w:val="en-US" w:eastAsia="ja-JP"/>
        </w:rPr>
        <w:t>.</w:t>
      </w:r>
      <w:r w:rsidRPr="008730C8">
        <w:rPr>
          <w:rFonts w:ascii="Book Antiqua" w:hAnsi="Book Antiqua" w:cs="Tahoma"/>
          <w:kern w:val="2"/>
          <w:sz w:val="24"/>
          <w:szCs w:val="24"/>
          <w:lang w:val="en-US" w:eastAsia="ja-JP"/>
        </w:rPr>
        <w:t xml:space="preserve"> Published by Baishideng Publishing Group Inc. All rights reserved.</w:t>
      </w:r>
      <w:bookmarkEnd w:id="4"/>
      <w:bookmarkEnd w:id="5"/>
      <w:bookmarkEnd w:id="6"/>
      <w:bookmarkEnd w:id="7"/>
      <w:bookmarkEnd w:id="8"/>
      <w:bookmarkEnd w:id="9"/>
      <w:bookmarkEnd w:id="10"/>
      <w:bookmarkEnd w:id="11"/>
      <w:bookmarkEnd w:id="12"/>
      <w:bookmarkEnd w:id="13"/>
    </w:p>
    <w:p w14:paraId="22F0C050" w14:textId="77777777" w:rsidR="00557574" w:rsidRPr="008730C8" w:rsidRDefault="00557574" w:rsidP="008730C8">
      <w:pPr>
        <w:widowControl w:val="0"/>
        <w:adjustRightInd w:val="0"/>
        <w:snapToGrid w:val="0"/>
        <w:spacing w:after="0" w:line="360" w:lineRule="auto"/>
        <w:jc w:val="both"/>
        <w:rPr>
          <w:rFonts w:ascii="Book Antiqua" w:hAnsi="Book Antiqua" w:cs="Tahoma"/>
          <w:kern w:val="2"/>
          <w:sz w:val="24"/>
          <w:szCs w:val="24"/>
          <w:lang w:val="en-US" w:eastAsia="zh-CN"/>
        </w:rPr>
      </w:pPr>
    </w:p>
    <w:p w14:paraId="500F42D0" w14:textId="77777777" w:rsidR="005B0B1D" w:rsidRDefault="00557574"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hAnsi="Book Antiqua" w:cs="Times New Roman"/>
          <w:b/>
          <w:sz w:val="24"/>
          <w:szCs w:val="24"/>
          <w:lang w:val="en-US"/>
        </w:rPr>
        <w:t>Core tip</w:t>
      </w:r>
      <w:r w:rsidRPr="008730C8">
        <w:rPr>
          <w:rFonts w:ascii="Book Antiqua" w:hAnsi="Book Antiqua" w:cs="Times New Roman"/>
          <w:sz w:val="24"/>
          <w:szCs w:val="24"/>
          <w:lang w:val="en-US"/>
        </w:rPr>
        <w:t>: This paper provides a focused update on emerging endoscopic technologies for improving the diagnosis and prediction of the malignant potential of pancreatic cystic lesions. Basic principles, diagnostic performance, safety and limitations are critically reviewed.</w:t>
      </w:r>
      <w:bookmarkStart w:id="14" w:name="OLE_LINK903"/>
      <w:bookmarkStart w:id="15" w:name="OLE_LINK878"/>
      <w:bookmarkStart w:id="16" w:name="OLE_LINK864"/>
      <w:bookmarkStart w:id="17" w:name="OLE_LINK831"/>
      <w:bookmarkStart w:id="18" w:name="OLE_LINK830"/>
      <w:bookmarkStart w:id="19" w:name="OLE_LINK818"/>
      <w:bookmarkStart w:id="20" w:name="OLE_LINK794"/>
      <w:bookmarkStart w:id="21" w:name="OLE_LINK788"/>
      <w:bookmarkStart w:id="22" w:name="OLE_LINK597"/>
      <w:bookmarkStart w:id="23" w:name="OLE_LINK1059"/>
      <w:bookmarkStart w:id="24" w:name="OLE_LINK1058"/>
      <w:bookmarkStart w:id="25" w:name="OLE_LINK1057"/>
      <w:bookmarkStart w:id="26" w:name="OLE_LINK1056"/>
      <w:bookmarkStart w:id="27" w:name="OLE_LINK464"/>
      <w:bookmarkStart w:id="28" w:name="OLE_LINK455"/>
      <w:bookmarkStart w:id="29" w:name="OLE_LINK134"/>
      <w:bookmarkStart w:id="30" w:name="OLE_LINK130"/>
    </w:p>
    <w:p w14:paraId="0158D83F" w14:textId="74831820" w:rsidR="00EB0814" w:rsidRPr="005B0B1D" w:rsidRDefault="00F15A2E"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hAnsi="Book Antiqua" w:cs="Tahoma"/>
          <w:sz w:val="24"/>
          <w:szCs w:val="24"/>
          <w:lang w:val="en-GB"/>
        </w:rPr>
        <w:lastRenderedPageBreak/>
        <w:t>Alvarez-Sánchez MV, Napoléon B</w:t>
      </w:r>
      <w:r w:rsidR="00BC73F6" w:rsidRPr="008730C8">
        <w:rPr>
          <w:rFonts w:ascii="Book Antiqua" w:hAnsi="Book Antiqua" w:cs="Tahoma"/>
          <w:sz w:val="24"/>
          <w:szCs w:val="24"/>
          <w:lang w:val="en-GB"/>
        </w:rPr>
        <w:t xml:space="preserve">. </w:t>
      </w:r>
      <w:bookmarkStart w:id="31" w:name="_Hlk514363051"/>
      <w:r w:rsidRPr="008730C8">
        <w:rPr>
          <w:rFonts w:ascii="Book Antiqua" w:hAnsi="Book Antiqua" w:cs="Tahoma"/>
          <w:sz w:val="24"/>
          <w:szCs w:val="24"/>
          <w:lang w:val="en-GB"/>
        </w:rPr>
        <w:t xml:space="preserve">New horizons in the </w:t>
      </w:r>
      <w:r w:rsidR="009B5625" w:rsidRPr="008730C8">
        <w:rPr>
          <w:rFonts w:ascii="Book Antiqua" w:hAnsi="Book Antiqua" w:cs="Tahoma"/>
          <w:sz w:val="24"/>
          <w:szCs w:val="24"/>
          <w:lang w:val="en-GB"/>
        </w:rPr>
        <w:t>endoscopic ultrasonography</w:t>
      </w:r>
      <w:r w:rsidRPr="008730C8">
        <w:rPr>
          <w:rFonts w:ascii="Book Antiqua" w:hAnsi="Book Antiqua" w:cs="Tahoma"/>
          <w:sz w:val="24"/>
          <w:szCs w:val="24"/>
          <w:lang w:val="en-GB"/>
        </w:rPr>
        <w:t>-based diagnosis of pancreatic cystic lesions</w:t>
      </w:r>
      <w:bookmarkEnd w:id="31"/>
      <w:r w:rsidRPr="008730C8">
        <w:rPr>
          <w:rFonts w:ascii="Book Antiqua" w:hAnsi="Book Antiqua" w:cs="Tahoma"/>
          <w:sz w:val="24"/>
          <w:szCs w:val="24"/>
          <w:lang w:val="en-GB"/>
        </w:rPr>
        <w:t xml:space="preserve">. </w:t>
      </w:r>
      <w:bookmarkStart w:id="32" w:name="OLE_LINK937"/>
      <w:bookmarkStart w:id="33" w:name="OLE_LINK782"/>
      <w:bookmarkStart w:id="34" w:name="OLE_LINK781"/>
      <w:bookmarkStart w:id="35" w:name="OLE_LINK817"/>
      <w:bookmarkStart w:id="36" w:name="OLE_LINK757"/>
      <w:bookmarkStart w:id="37" w:name="OLE_LINK756"/>
      <w:bookmarkStart w:id="38" w:name="OLE_LINK811"/>
      <w:bookmarkStart w:id="39" w:name="OLE_LINK318"/>
      <w:bookmarkStart w:id="40" w:name="OLE_LINK317"/>
      <w:bookmarkStart w:id="41" w:name="OLE_LINK316"/>
      <w:bookmarkStart w:id="42" w:name="OLE_LINK370"/>
      <w:bookmarkStart w:id="43" w:name="OLE_LINK369"/>
      <w:bookmarkStart w:id="44" w:name="OLE_LINK368"/>
      <w:bookmarkStart w:id="45" w:name="OLE_LINK362"/>
      <w:bookmarkStart w:id="46" w:name="OLE_LINK352"/>
      <w:bookmarkStart w:id="47" w:name="OLE_LINK348"/>
      <w:bookmarkStart w:id="48" w:name="OLE_LINK345"/>
      <w:bookmarkStart w:id="49" w:name="OLE_LINK339"/>
      <w:bookmarkStart w:id="50" w:name="OLE_LINK336"/>
      <w:bookmarkStart w:id="51" w:name="OLE_LINK326"/>
      <w:bookmarkStart w:id="52" w:name="OLE_LINK299"/>
      <w:bookmarkStart w:id="53" w:name="OLE_LINK298"/>
      <w:bookmarkStart w:id="54" w:name="OLE_LINK291"/>
      <w:bookmarkStart w:id="55" w:name="OLE_LINK290"/>
      <w:bookmarkStart w:id="56" w:name="OLE_LINK286"/>
      <w:bookmarkStart w:id="57" w:name="OLE_LINK284"/>
      <w:bookmarkStart w:id="58" w:name="OLE_LINK279"/>
      <w:bookmarkStart w:id="59" w:name="OLE_LINK278"/>
      <w:bookmarkStart w:id="60" w:name="OLE_LINK277"/>
      <w:bookmarkStart w:id="61" w:name="OLE_LINK273"/>
      <w:bookmarkStart w:id="62" w:name="OLE_LINK272"/>
      <w:bookmarkStart w:id="63" w:name="OLE_LINK271"/>
      <w:bookmarkStart w:id="64" w:name="OLE_LINK267"/>
      <w:bookmarkStart w:id="65" w:name="OLE_LINK266"/>
      <w:bookmarkStart w:id="66" w:name="OLE_LINK265"/>
      <w:bookmarkStart w:id="67" w:name="OLE_LINK264"/>
      <w:bookmarkStart w:id="68" w:name="OLE_LINK248"/>
      <w:bookmarkStart w:id="69" w:name="OLE_LINK247"/>
      <w:bookmarkStart w:id="70" w:name="OLE_LINK425"/>
      <w:bookmarkEnd w:id="14"/>
      <w:bookmarkEnd w:id="15"/>
      <w:bookmarkEnd w:id="16"/>
      <w:bookmarkEnd w:id="17"/>
      <w:bookmarkEnd w:id="18"/>
      <w:bookmarkEnd w:id="19"/>
      <w:bookmarkEnd w:id="20"/>
      <w:bookmarkEnd w:id="21"/>
      <w:bookmarkEnd w:id="22"/>
      <w:r w:rsidR="00BC73F6" w:rsidRPr="008730C8">
        <w:rPr>
          <w:rFonts w:ascii="Book Antiqua" w:hAnsi="Book Antiqua"/>
          <w:i/>
          <w:sz w:val="24"/>
          <w:szCs w:val="24"/>
          <w:lang w:val="en-GB"/>
        </w:rPr>
        <w:t>World J Gastroenterol</w:t>
      </w:r>
      <w:r w:rsidR="00BC73F6" w:rsidRPr="008730C8">
        <w:rPr>
          <w:rFonts w:ascii="Book Antiqua" w:hAnsi="Book Antiqua"/>
          <w:sz w:val="24"/>
          <w:szCs w:val="24"/>
          <w:lang w:val="en-GB"/>
        </w:rPr>
        <w:t xml:space="preserve"> 2018; </w:t>
      </w:r>
      <w:bookmarkStart w:id="71" w:name="OLE_LINK1297"/>
      <w:bookmarkStart w:id="72" w:name="OLE_LINK1298"/>
      <w:bookmarkStart w:id="73" w:name="OLE_LINK1689"/>
      <w:r w:rsidR="00BC73F6" w:rsidRPr="008730C8">
        <w:rPr>
          <w:rFonts w:ascii="Book Antiqua" w:hAnsi="Book Antiqua"/>
          <w:sz w:val="24"/>
          <w:szCs w:val="24"/>
          <w:lang w:val="en-GB"/>
        </w:rPr>
        <w:t>In press</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9B0B1C5" w14:textId="77777777" w:rsidR="00557574" w:rsidRPr="008730C8" w:rsidRDefault="00557574" w:rsidP="008730C8">
      <w:pPr>
        <w:adjustRightInd w:val="0"/>
        <w:snapToGrid w:val="0"/>
        <w:spacing w:after="0" w:line="360" w:lineRule="auto"/>
        <w:jc w:val="both"/>
        <w:rPr>
          <w:rFonts w:ascii="Book Antiqua" w:hAnsi="Book Antiqua" w:cs="Times New Roman"/>
          <w:b/>
          <w:sz w:val="24"/>
          <w:szCs w:val="24"/>
          <w:lang w:val="en-US"/>
        </w:rPr>
      </w:pPr>
      <w:r w:rsidRPr="008730C8">
        <w:rPr>
          <w:rFonts w:ascii="Book Antiqua" w:hAnsi="Book Antiqua" w:cs="Times New Roman"/>
          <w:b/>
          <w:sz w:val="24"/>
          <w:szCs w:val="24"/>
          <w:lang w:val="en-US"/>
        </w:rPr>
        <w:br w:type="page"/>
      </w:r>
    </w:p>
    <w:p w14:paraId="4F66F23C" w14:textId="77777777" w:rsidR="007337E2" w:rsidRDefault="007337E2" w:rsidP="008730C8">
      <w:pPr>
        <w:adjustRightInd w:val="0"/>
        <w:snapToGrid w:val="0"/>
        <w:spacing w:after="0" w:line="360" w:lineRule="auto"/>
        <w:jc w:val="both"/>
        <w:rPr>
          <w:rFonts w:ascii="Book Antiqua" w:hAnsi="Book Antiqua" w:cs="Times New Roman"/>
          <w:sz w:val="24"/>
          <w:szCs w:val="24"/>
          <w:lang w:val="en-US" w:eastAsia="zh-CN"/>
        </w:rPr>
      </w:pPr>
      <w:r w:rsidRPr="007337E2">
        <w:rPr>
          <w:rFonts w:ascii="Book Antiqua" w:hAnsi="Book Antiqua" w:cs="Times New Roman"/>
          <w:b/>
          <w:sz w:val="24"/>
          <w:szCs w:val="24"/>
          <w:lang w:val="en-US"/>
        </w:rPr>
        <w:lastRenderedPageBreak/>
        <w:t>INTRODUCTION</w:t>
      </w:r>
      <w:r w:rsidRPr="008730C8">
        <w:rPr>
          <w:rFonts w:ascii="Book Antiqua" w:hAnsi="Book Antiqua" w:cs="Times New Roman"/>
          <w:sz w:val="24"/>
          <w:szCs w:val="24"/>
          <w:lang w:val="en-US"/>
        </w:rPr>
        <w:t xml:space="preserve"> </w:t>
      </w:r>
    </w:p>
    <w:p w14:paraId="0A2A684A" w14:textId="0C8CA5F0"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Pancreatic cyst</w:t>
      </w:r>
      <w:r w:rsidR="00C71B80" w:rsidRPr="008730C8">
        <w:rPr>
          <w:rFonts w:ascii="Book Antiqua" w:hAnsi="Book Antiqua" w:cs="Times New Roman"/>
          <w:sz w:val="24"/>
          <w:szCs w:val="24"/>
          <w:lang w:val="en-US"/>
        </w:rPr>
        <w:t>ic lesion</w:t>
      </w:r>
      <w:r w:rsidRPr="008730C8">
        <w:rPr>
          <w:rFonts w:ascii="Book Antiqua" w:hAnsi="Book Antiqua" w:cs="Times New Roman"/>
          <w:sz w:val="24"/>
          <w:szCs w:val="24"/>
          <w:lang w:val="en-US"/>
        </w:rPr>
        <w:t>s</w:t>
      </w:r>
      <w:r w:rsidR="00C71B80" w:rsidRPr="008730C8">
        <w:rPr>
          <w:rFonts w:ascii="Book Antiqua" w:hAnsi="Book Antiqua" w:cs="Times New Roman"/>
          <w:sz w:val="24"/>
          <w:szCs w:val="24"/>
          <w:lang w:val="en-US"/>
        </w:rPr>
        <w:t xml:space="preserve"> (PCLs)</w:t>
      </w:r>
      <w:r w:rsidRPr="008730C8">
        <w:rPr>
          <w:rFonts w:ascii="Book Antiqua" w:hAnsi="Book Antiqua" w:cs="Times New Roman"/>
          <w:sz w:val="24"/>
          <w:szCs w:val="24"/>
          <w:lang w:val="en-US"/>
        </w:rPr>
        <w:t>, initially thought to be rare, have become an incidental finding increasingly identified because of technological advances and the widespread use of high-resolution abdominal imaging. It is estimated that approximately 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20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patients undergoing abdominal computed tomography (CT) and magnetic resonance imaging (MR</w:t>
      </w:r>
      <w:r w:rsidR="005B0B1D">
        <w:rPr>
          <w:rFonts w:ascii="Book Antiqua" w:hAnsi="Book Antiqua" w:cs="Times New Roman"/>
          <w:sz w:val="24"/>
          <w:szCs w:val="24"/>
          <w:lang w:val="en-US"/>
        </w:rPr>
        <w:t>I), respectively, present a PCL</w:t>
      </w:r>
      <w:r w:rsidRPr="008730C8">
        <w:rPr>
          <w:rFonts w:ascii="Book Antiqua" w:hAnsi="Book Antiqua" w:cs="Times New Roman"/>
          <w:sz w:val="24"/>
          <w:szCs w:val="24"/>
          <w:vertAlign w:val="superscript"/>
          <w:lang w:val="en-US"/>
        </w:rPr>
        <w:t>[1-2]</w:t>
      </w:r>
      <w:r w:rsidRPr="008730C8">
        <w:rPr>
          <w:rFonts w:ascii="Book Antiqua" w:hAnsi="Book Antiqua" w:cs="Times New Roman"/>
          <w:sz w:val="24"/>
          <w:szCs w:val="24"/>
          <w:lang w:val="en-US"/>
        </w:rPr>
        <w:t>. Among neoplastic cysts, certain subtypes, basically mucinous cysts, entail a risk of present or future malignancy. Other neoplastic cysts, such as serous cystadenomas (SCAs), are considered benign cysts without potential of malignancy.</w:t>
      </w:r>
      <w:r w:rsidR="005B0B1D">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These two types of neoplastic cysts are sometimes indistinguishable, and therefore, the awareness of possible malignant potential may lead physicians to refer these patients to surgical resection. Despite improvements in pancreatic surgery, considerable morbidity and mortality still occur in 18</w:t>
      </w:r>
      <w:r w:rsidR="005B0B1D">
        <w:rPr>
          <w:rFonts w:ascii="Book Antiqua" w:hAnsi="Book Antiqua" w:cs="Times New Roman" w:hint="eastAsia"/>
          <w:sz w:val="24"/>
          <w:szCs w:val="24"/>
          <w:lang w:val="en-US" w:eastAsia="zh-CN"/>
        </w:rPr>
        <w:t>%</w:t>
      </w:r>
      <w:r w:rsidRPr="008730C8">
        <w:rPr>
          <w:rFonts w:ascii="Book Antiqua" w:hAnsi="Book Antiqua" w:cs="Times New Roman"/>
          <w:sz w:val="24"/>
          <w:szCs w:val="24"/>
          <w:lang w:val="en-US"/>
        </w:rPr>
        <w:t>-38</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0.2</w:t>
      </w:r>
      <w:r w:rsidR="006A497C">
        <w:rPr>
          <w:rFonts w:ascii="Book Antiqua" w:hAnsi="Book Antiqua" w:cs="Times New Roman"/>
          <w:sz w:val="24"/>
          <w:szCs w:val="24"/>
          <w:lang w:val="en-US"/>
        </w:rPr>
        <w:t>%</w:t>
      </w:r>
      <w:r w:rsidRPr="008730C8">
        <w:rPr>
          <w:rFonts w:ascii="Book Antiqua" w:hAnsi="Book Antiqua" w:cs="Times New Roman"/>
          <w:sz w:val="24"/>
          <w:szCs w:val="24"/>
          <w:lang w:val="en-US"/>
        </w:rPr>
        <w:t>-2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patients who undergo surgery because of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vertAlign w:val="superscript"/>
          <w:lang w:val="en-US"/>
        </w:rPr>
        <w:t>[3-6]</w:t>
      </w:r>
      <w:r w:rsidRPr="008730C8">
        <w:rPr>
          <w:rFonts w:ascii="Book Antiqua" w:hAnsi="Book Antiqua" w:cs="Times New Roman"/>
          <w:sz w:val="24"/>
          <w:szCs w:val="24"/>
          <w:lang w:val="en-US"/>
        </w:rPr>
        <w:t>. Accurate assessment of malignant potential is therefore of the utmost importance to avoid unnecessary surgery for benign cysts while considering appropriate surveillance for low-risk lesions and surgical treatment for malignant and high-risk cysts.</w:t>
      </w:r>
    </w:p>
    <w:p w14:paraId="65C703B1" w14:textId="59EE5517" w:rsidR="00392589" w:rsidRPr="008730C8" w:rsidRDefault="00EB0814" w:rsidP="005B0B1D">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The initial step of the diagnostic approach to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lang w:val="en-US"/>
        </w:rPr>
        <w:t xml:space="preserve"> usually relies on radiological imaging focusing on size and morphological features. Once a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lang w:val="en-US"/>
        </w:rPr>
        <w:t xml:space="preserve"> has been identified, most commonly by CT, an MRI is recommended due to its higher ability to evaluate nodules and to depict a communication between the cyst and the main pancreatic duct. Owing to the frequent lack of specific radiological features of many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lang w:val="en-US"/>
        </w:rPr>
        <w:t>, the overall accuracy of CT and MRI remains low, ranging from 23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to 93</w:t>
      </w:r>
      <w:r w:rsidR="005B0B1D">
        <w:rPr>
          <w:rFonts w:ascii="Book Antiqua" w:hAnsi="Book Antiqua" w:cs="Times New Roman"/>
          <w:sz w:val="24"/>
          <w:szCs w:val="24"/>
          <w:lang w:val="en-US"/>
        </w:rPr>
        <w:t>%</w:t>
      </w:r>
      <w:r w:rsidRPr="008730C8">
        <w:rPr>
          <w:rFonts w:ascii="Book Antiqua" w:hAnsi="Book Antiqua" w:cs="Times New Roman"/>
          <w:sz w:val="24"/>
          <w:szCs w:val="24"/>
          <w:vertAlign w:val="superscript"/>
          <w:lang w:val="en-US"/>
        </w:rPr>
        <w:t>[7-16]</w:t>
      </w:r>
      <w:r w:rsidRPr="008730C8">
        <w:rPr>
          <w:rFonts w:ascii="Book Antiqua" w:hAnsi="Book Antiqua" w:cs="Times New Roman"/>
          <w:sz w:val="24"/>
          <w:szCs w:val="24"/>
          <w:lang w:val="en-US"/>
        </w:rPr>
        <w:t xml:space="preserve">. Endoscopic ultrasonography (EUS) further characterizes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lang w:val="en-US"/>
        </w:rPr>
        <w:t xml:space="preserve"> and performs better than CT or MRI in assessing the morphology of small cysts and in depicting nodules in mucinous cysts, but EUS imaging alone also shows inadequate accuracy in the range of 40</w:t>
      </w:r>
      <w:r w:rsidR="007337E2">
        <w:rPr>
          <w:rFonts w:ascii="Book Antiqua" w:hAnsi="Book Antiqua" w:cs="Times New Roman" w:hint="eastAsia"/>
          <w:sz w:val="24"/>
          <w:szCs w:val="24"/>
          <w:lang w:val="en-US" w:eastAsia="zh-CN"/>
        </w:rPr>
        <w:t>%</w:t>
      </w:r>
      <w:r w:rsidRPr="008730C8">
        <w:rPr>
          <w:rFonts w:ascii="Book Antiqua" w:hAnsi="Book Antiqua" w:cs="Times New Roman"/>
          <w:sz w:val="24"/>
          <w:szCs w:val="24"/>
          <w:lang w:val="en-US"/>
        </w:rPr>
        <w:t>-94</w:t>
      </w:r>
      <w:r w:rsidR="005B0B1D">
        <w:rPr>
          <w:rFonts w:ascii="Book Antiqua" w:hAnsi="Book Antiqua" w:cs="Times New Roman"/>
          <w:sz w:val="24"/>
          <w:szCs w:val="24"/>
          <w:lang w:val="en-US"/>
        </w:rPr>
        <w:t>%</w:t>
      </w:r>
      <w:r w:rsidRPr="008730C8">
        <w:rPr>
          <w:rFonts w:ascii="Book Antiqua" w:hAnsi="Book Antiqua" w:cs="Times New Roman"/>
          <w:sz w:val="24"/>
          <w:szCs w:val="24"/>
          <w:vertAlign w:val="superscript"/>
          <w:lang w:val="en-US"/>
        </w:rPr>
        <w:t>[17-23]</w:t>
      </w:r>
      <w:r w:rsidRPr="008730C8">
        <w:rPr>
          <w:rFonts w:ascii="Book Antiqua" w:hAnsi="Book Antiqua" w:cs="Times New Roman"/>
          <w:sz w:val="24"/>
          <w:szCs w:val="24"/>
          <w:lang w:val="en-US"/>
        </w:rPr>
        <w:t xml:space="preserve">. A major advantage of EUS is the ability to safely obtain cyst fluid for biochemical and cytological analysis. However, the scant cellularity of the cyst fluid accounts for the low diagnostic yield of cytology. Although the cyst fluid </w:t>
      </w:r>
      <w:r w:rsidRPr="008730C8">
        <w:rPr>
          <w:rFonts w:ascii="Book Antiqua" w:hAnsi="Book Antiqua" w:cs="Times New Roman"/>
          <w:sz w:val="24"/>
          <w:szCs w:val="24"/>
          <w:lang w:val="en-US"/>
        </w:rPr>
        <w:lastRenderedPageBreak/>
        <w:t>carcinoembryonic antigen (CEA) level has been proven to be more accurate than cytology or EUS morphology alone, the reported sensitivity of CEA and cytology for mucinous lesions in a recent meta-analysis do not exceed 63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54</w:t>
      </w:r>
      <w:r w:rsidR="005B0B1D">
        <w:rPr>
          <w:rFonts w:ascii="Book Antiqua" w:hAnsi="Book Antiqua" w:cs="Times New Roman"/>
          <w:sz w:val="24"/>
          <w:szCs w:val="24"/>
          <w:lang w:val="en-US"/>
        </w:rPr>
        <w:t>%</w:t>
      </w:r>
      <w:r w:rsidR="007337E2">
        <w:rPr>
          <w:rFonts w:ascii="Book Antiqua" w:hAnsi="Book Antiqua" w:cs="Times New Roman"/>
          <w:sz w:val="24"/>
          <w:szCs w:val="24"/>
          <w:lang w:val="en-US"/>
        </w:rPr>
        <w:t>, respectively</w:t>
      </w:r>
      <w:r w:rsidRPr="008730C8">
        <w:rPr>
          <w:rFonts w:ascii="Book Antiqua" w:hAnsi="Book Antiqua" w:cs="Times New Roman"/>
          <w:sz w:val="24"/>
          <w:szCs w:val="24"/>
          <w:vertAlign w:val="superscript"/>
          <w:lang w:val="en-US"/>
        </w:rPr>
        <w:t>[24]</w:t>
      </w:r>
      <w:r w:rsidRPr="008730C8">
        <w:rPr>
          <w:rFonts w:ascii="Book Antiqua" w:hAnsi="Book Antiqua" w:cs="Times New Roman"/>
          <w:sz w:val="24"/>
          <w:szCs w:val="24"/>
          <w:lang w:val="en-US"/>
        </w:rPr>
        <w:t xml:space="preserve">. </w:t>
      </w:r>
    </w:p>
    <w:p w14:paraId="59896662" w14:textId="4193377B" w:rsidR="00EB0814" w:rsidRPr="008730C8" w:rsidRDefault="00EB0814" w:rsidP="007337E2">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All </w:t>
      </w:r>
      <w:r w:rsidR="00392589" w:rsidRPr="008730C8">
        <w:rPr>
          <w:rFonts w:ascii="Book Antiqua" w:hAnsi="Book Antiqua" w:cs="Times New Roman"/>
          <w:sz w:val="24"/>
          <w:szCs w:val="24"/>
          <w:lang w:val="en-US"/>
        </w:rPr>
        <w:t xml:space="preserve">the above </w:t>
      </w:r>
      <w:r w:rsidRPr="008730C8">
        <w:rPr>
          <w:rFonts w:ascii="Book Antiqua" w:hAnsi="Book Antiqua" w:cs="Times New Roman"/>
          <w:sz w:val="24"/>
          <w:szCs w:val="24"/>
          <w:lang w:val="en-US"/>
        </w:rPr>
        <w:t xml:space="preserve">limitations have led to </w:t>
      </w:r>
      <w:r w:rsidR="00392589" w:rsidRPr="008730C8">
        <w:rPr>
          <w:rFonts w:ascii="Book Antiqua" w:hAnsi="Book Antiqua" w:cs="Times New Roman"/>
          <w:sz w:val="24"/>
          <w:szCs w:val="24"/>
          <w:lang w:val="en-US"/>
        </w:rPr>
        <w:t xml:space="preserve">the </w:t>
      </w:r>
      <w:r w:rsidRPr="008730C8">
        <w:rPr>
          <w:rFonts w:ascii="Book Antiqua" w:hAnsi="Book Antiqua" w:cs="Times New Roman"/>
          <w:sz w:val="24"/>
          <w:szCs w:val="24"/>
          <w:lang w:val="en-US"/>
        </w:rPr>
        <w:t xml:space="preserve">recent </w:t>
      </w:r>
      <w:r w:rsidR="00392589" w:rsidRPr="008730C8">
        <w:rPr>
          <w:rFonts w:ascii="Book Antiqua" w:hAnsi="Book Antiqua" w:cs="Times New Roman"/>
          <w:sz w:val="24"/>
          <w:szCs w:val="24"/>
          <w:lang w:val="en-US"/>
        </w:rPr>
        <w:t xml:space="preserve">updated International, </w:t>
      </w:r>
      <w:r w:rsidRPr="008730C8">
        <w:rPr>
          <w:rFonts w:ascii="Book Antiqua" w:hAnsi="Book Antiqua" w:cs="Times New Roman"/>
          <w:sz w:val="24"/>
          <w:szCs w:val="24"/>
          <w:lang w:val="en-US"/>
        </w:rPr>
        <w:t xml:space="preserve">AGA </w:t>
      </w:r>
      <w:r w:rsidR="00392589" w:rsidRPr="008730C8">
        <w:rPr>
          <w:rFonts w:ascii="Book Antiqua" w:hAnsi="Book Antiqua" w:cs="Times New Roman"/>
          <w:sz w:val="24"/>
          <w:szCs w:val="24"/>
          <w:lang w:val="en-US"/>
        </w:rPr>
        <w:t>and European</w:t>
      </w:r>
      <w:r w:rsidR="00332793" w:rsidRPr="008730C8">
        <w:rPr>
          <w:rFonts w:ascii="Book Antiqua" w:hAnsi="Book Antiqua" w:cs="Times New Roman"/>
          <w:sz w:val="24"/>
          <w:szCs w:val="24"/>
          <w:lang w:val="en-US"/>
        </w:rPr>
        <w:t xml:space="preserve"> </w:t>
      </w:r>
      <w:r w:rsidRPr="008730C8">
        <w:rPr>
          <w:rFonts w:ascii="Book Antiqua" w:hAnsi="Book Antiqua" w:cs="Times New Roman"/>
          <w:sz w:val="24"/>
          <w:szCs w:val="24"/>
          <w:lang w:val="en-US"/>
        </w:rPr>
        <w:t xml:space="preserve">guidelines based on predictors of malignancy, which have been shown to be far from providing reliable differentiation between the various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lang w:val="en-US"/>
        </w:rPr>
        <w:t xml:space="preserve">, and recommendations provided in these guidelines </w:t>
      </w:r>
      <w:r w:rsidR="007337E2">
        <w:rPr>
          <w:rFonts w:ascii="Book Antiqua" w:hAnsi="Book Antiqua" w:cs="Times New Roman"/>
          <w:sz w:val="24"/>
          <w:szCs w:val="24"/>
          <w:lang w:val="en-US"/>
        </w:rPr>
        <w:t>are based on low-grade evidence</w:t>
      </w:r>
      <w:r w:rsidRPr="008730C8">
        <w:rPr>
          <w:rFonts w:ascii="Book Antiqua" w:hAnsi="Book Antiqua" w:cs="Times New Roman"/>
          <w:sz w:val="24"/>
          <w:szCs w:val="24"/>
          <w:vertAlign w:val="superscript"/>
          <w:lang w:val="en-US"/>
        </w:rPr>
        <w:t>[25</w:t>
      </w:r>
      <w:r w:rsidR="00332793" w:rsidRPr="008730C8">
        <w:rPr>
          <w:rFonts w:ascii="Book Antiqua" w:hAnsi="Book Antiqua" w:cs="Times New Roman"/>
          <w:sz w:val="24"/>
          <w:szCs w:val="24"/>
          <w:vertAlign w:val="superscript"/>
          <w:lang w:val="en-US"/>
        </w:rPr>
        <w:t>-27</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w:t>
      </w:r>
      <w:r w:rsidR="00332793" w:rsidRPr="008730C8">
        <w:rPr>
          <w:rFonts w:ascii="Book Antiqua" w:hAnsi="Book Antiqua" w:cs="Times New Roman"/>
          <w:sz w:val="24"/>
          <w:szCs w:val="24"/>
          <w:lang w:val="en-US"/>
        </w:rPr>
        <w:t>Moreover</w:t>
      </w:r>
      <w:r w:rsidRPr="008730C8">
        <w:rPr>
          <w:rFonts w:ascii="Book Antiqua" w:hAnsi="Book Antiqua" w:cs="Times New Roman"/>
          <w:sz w:val="24"/>
          <w:szCs w:val="24"/>
          <w:lang w:val="en-US"/>
        </w:rPr>
        <w:t>, the Fukuoka In</w:t>
      </w:r>
      <w:r w:rsidR="007337E2">
        <w:rPr>
          <w:rFonts w:ascii="Book Antiqua" w:hAnsi="Book Antiqua" w:cs="Times New Roman"/>
          <w:sz w:val="24"/>
          <w:szCs w:val="24"/>
          <w:lang w:val="en-US"/>
        </w:rPr>
        <w:t>ternational Consensus Guideline</w:t>
      </w:r>
      <w:r w:rsidRPr="008730C8">
        <w:rPr>
          <w:rFonts w:ascii="Book Antiqua" w:hAnsi="Book Antiqua" w:cs="Times New Roman"/>
          <w:sz w:val="24"/>
          <w:szCs w:val="24"/>
          <w:lang w:val="en-US"/>
        </w:rPr>
        <w:t>, restricted their recommendations to branch-duct IPMNs that are diagnosed easily in a vast majority of cases (multiple cysts, communication with the main pancreatic duct)</w:t>
      </w:r>
      <w:r w:rsidRPr="008730C8">
        <w:rPr>
          <w:rFonts w:ascii="Book Antiqua" w:hAnsi="Book Antiqua" w:cs="Times New Roman"/>
          <w:sz w:val="24"/>
          <w:szCs w:val="24"/>
          <w:vertAlign w:val="superscript"/>
          <w:lang w:val="en-US"/>
        </w:rPr>
        <w:t>[2</w:t>
      </w:r>
      <w:r w:rsidR="00B54DA2" w:rsidRPr="008730C8">
        <w:rPr>
          <w:rFonts w:ascii="Book Antiqua" w:hAnsi="Book Antiqua" w:cs="Times New Roman"/>
          <w:sz w:val="24"/>
          <w:szCs w:val="24"/>
          <w:vertAlign w:val="superscript"/>
          <w:lang w:val="en-US"/>
        </w:rPr>
        <w:t>8</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The Fukuoka guidelines were evaluated in a prospective study yielding a high negative predictive value (NPV) of 94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for malignancy but a low positive predictive value (PPV) of approximately 38</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frequentl</w:t>
      </w:r>
      <w:r w:rsidR="007337E2">
        <w:rPr>
          <w:rFonts w:ascii="Book Antiqua" w:hAnsi="Book Antiqua" w:cs="Times New Roman"/>
          <w:sz w:val="24"/>
          <w:szCs w:val="24"/>
          <w:lang w:val="en-US"/>
        </w:rPr>
        <w:t>y prompting unnecessary surgery</w:t>
      </w:r>
      <w:r w:rsidRPr="008730C8">
        <w:rPr>
          <w:rFonts w:ascii="Book Antiqua" w:hAnsi="Book Antiqua" w:cs="Times New Roman"/>
          <w:sz w:val="24"/>
          <w:szCs w:val="24"/>
          <w:vertAlign w:val="superscript"/>
          <w:lang w:val="en-US"/>
        </w:rPr>
        <w:t>[2</w:t>
      </w:r>
      <w:r w:rsidR="00BD02EC" w:rsidRPr="008730C8">
        <w:rPr>
          <w:rFonts w:ascii="Book Antiqua" w:hAnsi="Book Antiqua" w:cs="Times New Roman"/>
          <w:sz w:val="24"/>
          <w:szCs w:val="24"/>
          <w:vertAlign w:val="superscript"/>
          <w:lang w:val="en-US"/>
        </w:rPr>
        <w:t>9</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w:t>
      </w:r>
      <w:r w:rsidR="00332793" w:rsidRPr="008730C8">
        <w:rPr>
          <w:rFonts w:ascii="Book Antiqua" w:hAnsi="Book Antiqua" w:cs="Times New Roman"/>
          <w:sz w:val="24"/>
          <w:szCs w:val="24"/>
          <w:lang w:val="en-US"/>
        </w:rPr>
        <w:t xml:space="preserve"> </w:t>
      </w:r>
      <w:r w:rsidRPr="008730C8">
        <w:rPr>
          <w:rFonts w:ascii="Book Antiqua" w:hAnsi="Book Antiqua" w:cs="Times New Roman"/>
          <w:sz w:val="24"/>
          <w:szCs w:val="24"/>
          <w:lang w:val="en-US"/>
        </w:rPr>
        <w:t>Efforts to overcome current limitations have boosted the research in this area. Molecular analysis of DNA-based biomarkers in cyst fluid has been described with promising results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30</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Genomics, miRNA, proteomics and metabolomics in cyst fluid seem to be promising, but validation studies are pending. In addition to molecular testing, endoscopic innovations based on EUS imaging have emerged in the last decade and </w:t>
      </w:r>
      <w:r w:rsidR="005C4508" w:rsidRPr="008730C8">
        <w:rPr>
          <w:rFonts w:ascii="Book Antiqua" w:hAnsi="Book Antiqua" w:cs="Times New Roman"/>
          <w:sz w:val="24"/>
          <w:szCs w:val="24"/>
          <w:lang w:val="en-US"/>
        </w:rPr>
        <w:t xml:space="preserve">they are more easily available than the omics technologies though with a longer learning curve. Although not all of these EUS-based innovations have been validated, they </w:t>
      </w:r>
      <w:r w:rsidRPr="008730C8">
        <w:rPr>
          <w:rFonts w:ascii="Book Antiqua" w:hAnsi="Book Antiqua" w:cs="Times New Roman"/>
          <w:sz w:val="24"/>
          <w:szCs w:val="24"/>
          <w:lang w:val="en-US"/>
        </w:rPr>
        <w:t>warrant a thorough analysis to evaluate their diagnostic performance and potential impact as a part of the diagnostic workflow of PCLs.</w:t>
      </w:r>
    </w:p>
    <w:p w14:paraId="1B875276" w14:textId="225B97E9" w:rsidR="00EB0814" w:rsidRPr="008730C8" w:rsidRDefault="00EB0814" w:rsidP="007337E2">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In this article, we aim to review the evolving role of emergent EUS-based technologies</w:t>
      </w:r>
      <w:r w:rsidR="007337E2">
        <w:rPr>
          <w:rFonts w:ascii="Book Antiqua" w:hAnsi="Book Antiqua" w:cs="Times New Roman" w:hint="eastAsia"/>
          <w:sz w:val="24"/>
          <w:szCs w:val="24"/>
          <w:lang w:val="en-US" w:eastAsia="zh-CN"/>
        </w:rPr>
        <w:t>-</w:t>
      </w:r>
      <w:r w:rsidRPr="008730C8">
        <w:rPr>
          <w:rFonts w:ascii="Book Antiqua" w:hAnsi="Book Antiqua" w:cs="Times New Roman"/>
          <w:sz w:val="24"/>
          <w:szCs w:val="24"/>
          <w:lang w:val="en-US"/>
        </w:rPr>
        <w:t xml:space="preserve">contrast </w:t>
      </w:r>
      <w:r w:rsidR="003A039D" w:rsidRPr="008730C8">
        <w:rPr>
          <w:rFonts w:ascii="Book Antiqua" w:hAnsi="Book Antiqua" w:cs="Times New Roman"/>
          <w:sz w:val="24"/>
          <w:szCs w:val="24"/>
          <w:lang w:val="en-US"/>
        </w:rPr>
        <w:t xml:space="preserve">harmonic </w:t>
      </w:r>
      <w:r w:rsidRPr="008730C8">
        <w:rPr>
          <w:rFonts w:ascii="Book Antiqua" w:hAnsi="Book Antiqua" w:cs="Times New Roman"/>
          <w:sz w:val="24"/>
          <w:szCs w:val="24"/>
          <w:lang w:val="en-US"/>
        </w:rPr>
        <w:t>enhanced imaging, needle-based confocal endomicroscopy, through-the-needle cystoscopy, and through-the-needle intracystic biopsy</w:t>
      </w:r>
      <w:r w:rsidR="007337E2">
        <w:rPr>
          <w:rFonts w:ascii="Book Antiqua" w:hAnsi="Book Antiqua" w:cs="Times New Roman" w:hint="eastAsia"/>
          <w:sz w:val="24"/>
          <w:szCs w:val="24"/>
          <w:lang w:val="en-US" w:eastAsia="zh-CN"/>
        </w:rPr>
        <w:t>-</w:t>
      </w:r>
      <w:r w:rsidRPr="008730C8">
        <w:rPr>
          <w:rFonts w:ascii="Book Antiqua" w:hAnsi="Book Antiqua" w:cs="Times New Roman"/>
          <w:sz w:val="24"/>
          <w:szCs w:val="24"/>
          <w:lang w:val="en-US"/>
        </w:rPr>
        <w:t>in the clinical diagnosis of PCLs, with a critical focus on feasibility, safety and diagnostic performance.</w:t>
      </w:r>
      <w:r w:rsidR="00332793" w:rsidRPr="008730C8">
        <w:rPr>
          <w:rFonts w:ascii="Book Antiqua" w:hAnsi="Book Antiqua" w:cs="Times New Roman"/>
          <w:sz w:val="24"/>
          <w:szCs w:val="24"/>
          <w:lang w:val="en-US"/>
        </w:rPr>
        <w:t xml:space="preserve"> </w:t>
      </w:r>
      <w:r w:rsidR="00DF17B4" w:rsidRPr="008730C8">
        <w:rPr>
          <w:rFonts w:ascii="Book Antiqua" w:hAnsi="Book Antiqua" w:cs="Times New Roman"/>
          <w:sz w:val="24"/>
          <w:szCs w:val="24"/>
          <w:lang w:val="en-US"/>
        </w:rPr>
        <w:t>Novel approaches</w:t>
      </w:r>
      <w:r w:rsidR="00332793" w:rsidRPr="008730C8">
        <w:rPr>
          <w:rFonts w:ascii="Book Antiqua" w:hAnsi="Book Antiqua" w:cs="Times New Roman"/>
          <w:sz w:val="24"/>
          <w:szCs w:val="24"/>
          <w:lang w:val="en-US"/>
        </w:rPr>
        <w:t xml:space="preserve"> to cystic fluid analysis, such as omics technologies and other biomarkers, are beyond of the scope of this review.</w:t>
      </w:r>
    </w:p>
    <w:p w14:paraId="74A86D38" w14:textId="14898F6F" w:rsidR="00EB0814" w:rsidRPr="008730C8" w:rsidRDefault="00EB0814" w:rsidP="00E15328">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lastRenderedPageBreak/>
        <w:t xml:space="preserve">A literature search was performed for all available studies concerning the EUS diagnosis of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lang w:val="en-US"/>
        </w:rPr>
        <w:t xml:space="preserve"> in PubMed and Embase databases. The following search domains (including closely related words) were used: “pancreatic cysts” in combination with “contrast harmonic EUS” or “contrast enhanced EUS” or “needle confocal endomicroscopy” or “cystoscopy” or “intracystic biopsy”. The search was limited to papers published in English until December 2017. Titles were then screened for suitability, and the full-text papers were retrieved. A hand-search of the references listed in the articles accessed was also performed to identify other relevant original studies. Both retrospective and prospective studies reporting data on the feasibility, diagnostic performance and safety of the above referred procedures in patients with PCLs were considered for inclusion. Indications, technical details, performance outcomes, impact on final diagnosis and management, complications and mortality were extracted and further discussed.</w:t>
      </w:r>
    </w:p>
    <w:p w14:paraId="7C72E989"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p>
    <w:p w14:paraId="55518B10" w14:textId="03BDE478" w:rsidR="00EB0814" w:rsidRPr="00E15328" w:rsidRDefault="00E15328" w:rsidP="008730C8">
      <w:pPr>
        <w:adjustRightInd w:val="0"/>
        <w:snapToGrid w:val="0"/>
        <w:spacing w:after="0" w:line="360" w:lineRule="auto"/>
        <w:jc w:val="both"/>
        <w:rPr>
          <w:rFonts w:ascii="Book Antiqua" w:hAnsi="Book Antiqua" w:cs="Times New Roman"/>
          <w:b/>
          <w:sz w:val="24"/>
          <w:szCs w:val="24"/>
          <w:lang w:val="en-US"/>
        </w:rPr>
      </w:pPr>
      <w:r w:rsidRPr="00E15328">
        <w:rPr>
          <w:rFonts w:ascii="Book Antiqua" w:hAnsi="Book Antiqua" w:cs="Times New Roman"/>
          <w:b/>
          <w:sz w:val="24"/>
          <w:szCs w:val="24"/>
          <w:lang w:val="en-US"/>
        </w:rPr>
        <w:t>CONTRAST-HARMONIC ENHANCED ENDOSCOPIC ULTRASOUND</w:t>
      </w:r>
    </w:p>
    <w:p w14:paraId="3450C911" w14:textId="3DC7E3D2"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Because perfusion patterns on CT or MRI explorations allow the characterization of focal lesions, </w:t>
      </w:r>
      <w:r w:rsidR="000A1B4C" w:rsidRPr="008730C8">
        <w:rPr>
          <w:rFonts w:ascii="Book Antiqua" w:hAnsi="Book Antiqua" w:cs="Times New Roman"/>
          <w:sz w:val="24"/>
          <w:szCs w:val="24"/>
          <w:lang w:val="en-US"/>
        </w:rPr>
        <w:t>EUS</w:t>
      </w:r>
      <w:r w:rsidRPr="008730C8">
        <w:rPr>
          <w:rFonts w:ascii="Book Antiqua" w:hAnsi="Book Antiqua" w:cs="Times New Roman"/>
          <w:sz w:val="24"/>
          <w:szCs w:val="24"/>
          <w:lang w:val="en-US"/>
        </w:rPr>
        <w:t xml:space="preserve"> has recently incorporated the use of ultrasound contrast agents (UCAs) to depict blood flow in small vessels. Available UCAs consist of microbubbles composed of an in</w:t>
      </w:r>
      <w:r w:rsidR="007337E2">
        <w:rPr>
          <w:rFonts w:ascii="Book Antiqua" w:hAnsi="Book Antiqua" w:cs="Times New Roman"/>
          <w:sz w:val="24"/>
          <w:szCs w:val="24"/>
          <w:lang w:val="en-US"/>
        </w:rPr>
        <w:t>ert gas encapsulated by a shell</w:t>
      </w:r>
      <w:r w:rsidR="00BD02EC" w:rsidRPr="008730C8">
        <w:rPr>
          <w:rFonts w:ascii="Book Antiqua" w:hAnsi="Book Antiqua" w:cs="Times New Roman"/>
          <w:sz w:val="24"/>
          <w:szCs w:val="24"/>
          <w:vertAlign w:val="superscript"/>
          <w:lang w:val="en-US"/>
        </w:rPr>
        <w:t>[31]</w:t>
      </w:r>
      <w:r w:rsidRPr="008730C8">
        <w:rPr>
          <w:rFonts w:ascii="Book Antiqua" w:hAnsi="Book Antiqua" w:cs="Times New Roman"/>
          <w:sz w:val="24"/>
          <w:szCs w:val="24"/>
          <w:lang w:val="en-US"/>
        </w:rPr>
        <w:t>. Gases are compressible, and when exposed to an ultrasound wave, microbubbles alternatively compress under positive pressure and expand under negative pressure, producing a backscattered acoustic signal with harmonic components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31-32</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These harmonic components are higher than those obtained from tissue and may be selectively detected and reproduced on the ultrasound image for displaying the microvascularity pa</w:t>
      </w:r>
      <w:r w:rsidR="007337E2">
        <w:rPr>
          <w:rFonts w:ascii="Book Antiqua" w:hAnsi="Book Antiqua" w:cs="Times New Roman"/>
          <w:sz w:val="24"/>
          <w:szCs w:val="24"/>
          <w:lang w:val="en-US"/>
        </w:rPr>
        <w:t>ttern</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31</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Not until recently, when new UCAs, broadband EUS transducers and contrast-specific software programs became available, was contrast harmonic EUS (CH-EUS) feasible for the first time, allowing the discrimination between tissue and contrast signals. Second-generation UCAs, which contain a soluble gas, unlike air-filled first-generation agents, are commonly used for CH-EUS. </w:t>
      </w:r>
      <w:r w:rsidR="000A1B4C" w:rsidRPr="008730C8">
        <w:rPr>
          <w:rFonts w:ascii="Book Antiqua" w:hAnsi="Book Antiqua" w:cs="Times New Roman"/>
          <w:sz w:val="24"/>
          <w:szCs w:val="24"/>
          <w:lang w:val="en-US"/>
        </w:rPr>
        <w:t>They</w:t>
      </w:r>
      <w:r w:rsidRPr="008730C8">
        <w:rPr>
          <w:rFonts w:ascii="Book Antiqua" w:hAnsi="Book Antiqua" w:cs="Times New Roman"/>
          <w:sz w:val="24"/>
          <w:szCs w:val="24"/>
          <w:lang w:val="en-US"/>
        </w:rPr>
        <w:t xml:space="preserve"> have a </w:t>
      </w:r>
      <w:r w:rsidRPr="008730C8">
        <w:rPr>
          <w:rFonts w:ascii="Book Antiqua" w:hAnsi="Book Antiqua" w:cs="Times New Roman"/>
          <w:sz w:val="24"/>
          <w:szCs w:val="24"/>
          <w:lang w:val="en-US"/>
        </w:rPr>
        <w:lastRenderedPageBreak/>
        <w:t>resistant but more flexible and longer lasting shell, making possible the use of low acoustic power (a low mechanical index) and continuous real-time assessment</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31-35</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w:t>
      </w:r>
    </w:p>
    <w:p w14:paraId="1A3E6C5E" w14:textId="0553C219" w:rsidR="00EB0814" w:rsidRPr="008730C8" w:rsidRDefault="00EB0814" w:rsidP="007337E2">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Several steps mus</w:t>
      </w:r>
      <w:r w:rsidR="007337E2">
        <w:rPr>
          <w:rFonts w:ascii="Book Antiqua" w:hAnsi="Book Antiqua" w:cs="Times New Roman"/>
          <w:sz w:val="24"/>
          <w:szCs w:val="24"/>
          <w:lang w:val="en-US"/>
        </w:rPr>
        <w:t>t be followed to perform CH-EUS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31</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After fundamental B-mode exploration of the target area, a dual screen is displayed, simultaneously showing the CH-EUS image and the conventional B-mode image. Next, optimal parameters, notably, a low MI, should be selected on the ultrasound platform. The UCA is then injected intravenously </w:t>
      </w:r>
      <w:r w:rsidR="000A1B4C" w:rsidRPr="008730C8">
        <w:rPr>
          <w:rFonts w:ascii="Book Antiqua" w:hAnsi="Book Antiqua" w:cs="Times New Roman"/>
          <w:sz w:val="24"/>
          <w:szCs w:val="24"/>
          <w:lang w:val="en-US"/>
        </w:rPr>
        <w:t>slowly through</w:t>
      </w:r>
      <w:r w:rsidRPr="008730C8">
        <w:rPr>
          <w:rFonts w:ascii="Book Antiqua" w:hAnsi="Book Antiqua" w:cs="Times New Roman"/>
          <w:sz w:val="24"/>
          <w:szCs w:val="24"/>
          <w:lang w:val="en-US"/>
        </w:rPr>
        <w:t xml:space="preserve"> a large-gauge intravenous catheter of 16-18G must be used to inject the UCA in order to avoid breaking microbubbles. Finally, the venous catheter must be flushed with saline to clear out persistent microbubbles in the vein. After intravenous injection of microbubbles, it takes 10-20 s to observe the arrival of the contrast agent. The arterial phase lasts 30-45</w:t>
      </w:r>
      <w:r w:rsidR="00AC11D7">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s,</w:t>
      </w:r>
      <w:r w:rsidR="00AC11D7">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 xml:space="preserve">during which the enhancement increases progressively. After the arterial phase, there is a progressive washout of the contrast, and the venous phase persists from 30 </w:t>
      </w:r>
      <w:r w:rsidR="007337E2">
        <w:rPr>
          <w:rFonts w:ascii="Book Antiqua" w:hAnsi="Book Antiqua" w:cs="Times New Roman" w:hint="eastAsia"/>
          <w:sz w:val="24"/>
          <w:szCs w:val="24"/>
          <w:lang w:val="en-US" w:eastAsia="zh-CN"/>
        </w:rPr>
        <w:t xml:space="preserve">s </w:t>
      </w:r>
      <w:r w:rsidRPr="008730C8">
        <w:rPr>
          <w:rFonts w:ascii="Book Antiqua" w:hAnsi="Book Antiqua" w:cs="Times New Roman"/>
          <w:sz w:val="24"/>
          <w:szCs w:val="24"/>
          <w:lang w:val="en-US"/>
        </w:rPr>
        <w:t xml:space="preserve">to 120 s. </w:t>
      </w:r>
    </w:p>
    <w:p w14:paraId="67D007CC" w14:textId="7777777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p>
    <w:p w14:paraId="32C7F90C" w14:textId="77777777" w:rsidR="00EB0814" w:rsidRPr="007337E2" w:rsidRDefault="00EB0814" w:rsidP="008730C8">
      <w:pPr>
        <w:adjustRightInd w:val="0"/>
        <w:snapToGrid w:val="0"/>
        <w:spacing w:after="0" w:line="360" w:lineRule="auto"/>
        <w:jc w:val="both"/>
        <w:rPr>
          <w:rFonts w:ascii="Book Antiqua" w:hAnsi="Book Antiqua" w:cs="Times New Roman"/>
          <w:b/>
          <w:i/>
          <w:sz w:val="24"/>
          <w:szCs w:val="24"/>
          <w:lang w:val="en-US"/>
        </w:rPr>
      </w:pPr>
      <w:r w:rsidRPr="007337E2">
        <w:rPr>
          <w:rFonts w:ascii="Book Antiqua" w:hAnsi="Book Antiqua" w:cs="Times New Roman"/>
          <w:b/>
          <w:i/>
          <w:sz w:val="24"/>
          <w:szCs w:val="24"/>
          <w:lang w:val="en-US"/>
        </w:rPr>
        <w:t>Clinical outcomes: Review of the literature</w:t>
      </w:r>
    </w:p>
    <w:p w14:paraId="3CAA1654" w14:textId="689855F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Among the 71 articles retrieved from PubMed and Embase databases using the terms “pancreatic cysts” and “contrast harmonic EUS”, only seven w</w:t>
      </w:r>
      <w:r w:rsidR="007337E2">
        <w:rPr>
          <w:rFonts w:ascii="Book Antiqua" w:hAnsi="Book Antiqua" w:cs="Times New Roman"/>
          <w:sz w:val="24"/>
          <w:szCs w:val="24"/>
          <w:lang w:val="en-US"/>
        </w:rPr>
        <w:t>ere suitable for further review</w:t>
      </w:r>
      <w:r w:rsidRPr="008730C8">
        <w:rPr>
          <w:rFonts w:ascii="Book Antiqua" w:hAnsi="Book Antiqua" w:cs="Times New Roman"/>
          <w:sz w:val="24"/>
          <w:szCs w:val="24"/>
          <w:vertAlign w:val="superscript"/>
          <w:lang w:val="en-US"/>
        </w:rPr>
        <w:t>[3</w:t>
      </w:r>
      <w:r w:rsidR="00BD02EC" w:rsidRPr="008730C8">
        <w:rPr>
          <w:rFonts w:ascii="Book Antiqua" w:hAnsi="Book Antiqua" w:cs="Times New Roman"/>
          <w:sz w:val="24"/>
          <w:szCs w:val="24"/>
          <w:vertAlign w:val="superscript"/>
          <w:lang w:val="en-US"/>
        </w:rPr>
        <w:t>6</w:t>
      </w:r>
      <w:r w:rsidRPr="008730C8">
        <w:rPr>
          <w:rFonts w:ascii="Book Antiqua" w:hAnsi="Book Antiqua" w:cs="Times New Roman"/>
          <w:sz w:val="24"/>
          <w:szCs w:val="24"/>
          <w:vertAlign w:val="superscript"/>
          <w:lang w:val="en-US"/>
        </w:rPr>
        <w:t>-4</w:t>
      </w:r>
      <w:r w:rsidR="00BD02EC" w:rsidRPr="008730C8">
        <w:rPr>
          <w:rFonts w:ascii="Book Antiqua" w:hAnsi="Book Antiqua" w:cs="Times New Roman"/>
          <w:sz w:val="24"/>
          <w:szCs w:val="24"/>
          <w:vertAlign w:val="superscript"/>
          <w:lang w:val="en-US"/>
        </w:rPr>
        <w:t>2</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All of the studies but one were retrospective, and the majority </w:t>
      </w:r>
      <w:r w:rsidR="000A1B4C" w:rsidRPr="008730C8">
        <w:rPr>
          <w:rFonts w:ascii="Book Antiqua" w:hAnsi="Book Antiqua" w:cs="Times New Roman"/>
          <w:sz w:val="24"/>
          <w:szCs w:val="24"/>
          <w:lang w:val="en-US"/>
        </w:rPr>
        <w:t xml:space="preserve">was </w:t>
      </w:r>
      <w:r w:rsidRPr="008730C8">
        <w:rPr>
          <w:rFonts w:ascii="Book Antiqua" w:hAnsi="Book Antiqua" w:cs="Times New Roman"/>
          <w:sz w:val="24"/>
          <w:szCs w:val="24"/>
          <w:lang w:val="en-US"/>
        </w:rPr>
        <w:t xml:space="preserve">devoted to the diagnosis of mural nodules and/or malignancy in intraductal pancreatic mucinous neoplasms (IPMNs). Only three articles addressed the issue of the differential diagnosis of PCLs. Selected articles are summarized in Table </w:t>
      </w:r>
      <w:r w:rsidR="00DF17B4" w:rsidRPr="008730C8">
        <w:rPr>
          <w:rFonts w:ascii="Book Antiqua" w:hAnsi="Book Antiqua" w:cs="Times New Roman"/>
          <w:sz w:val="24"/>
          <w:szCs w:val="24"/>
          <w:lang w:val="en-US"/>
        </w:rPr>
        <w:t>1</w:t>
      </w:r>
      <w:r w:rsidRPr="008730C8">
        <w:rPr>
          <w:rFonts w:ascii="Book Antiqua" w:hAnsi="Book Antiqua" w:cs="Times New Roman"/>
          <w:sz w:val="24"/>
          <w:szCs w:val="24"/>
          <w:lang w:val="en-US"/>
        </w:rPr>
        <w:t>.</w:t>
      </w:r>
    </w:p>
    <w:p w14:paraId="64276D9A" w14:textId="33716536" w:rsidR="00EB0814" w:rsidRPr="008730C8" w:rsidRDefault="00EB0814" w:rsidP="007337E2">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Hocke </w:t>
      </w:r>
      <w:r w:rsidR="007337E2" w:rsidRPr="007337E2">
        <w:rPr>
          <w:rFonts w:ascii="Book Antiqua" w:hAnsi="Book Antiqua" w:cs="Times New Roman"/>
          <w:i/>
          <w:sz w:val="24"/>
          <w:szCs w:val="24"/>
          <w:lang w:val="en-US"/>
        </w:rPr>
        <w:t>et al</w:t>
      </w:r>
      <w:r w:rsidR="007337E2" w:rsidRPr="008730C8">
        <w:rPr>
          <w:rFonts w:ascii="Book Antiqua" w:hAnsi="Book Antiqua" w:cs="Times New Roman"/>
          <w:sz w:val="24"/>
          <w:szCs w:val="24"/>
          <w:vertAlign w:val="superscript"/>
          <w:lang w:val="en-US"/>
        </w:rPr>
        <w:t>[36]</w:t>
      </w:r>
      <w:r w:rsidRPr="008730C8">
        <w:rPr>
          <w:rFonts w:ascii="Book Antiqua" w:hAnsi="Book Antiqua" w:cs="Times New Roman"/>
          <w:sz w:val="24"/>
          <w:szCs w:val="24"/>
          <w:lang w:val="en-US"/>
        </w:rPr>
        <w:t xml:space="preserve"> performed CH-EUS in 125 patients with PCLs. Contrast enhancement of cyst walls, septa</w:t>
      </w:r>
      <w:r w:rsidRPr="008730C8">
        <w:rPr>
          <w:rFonts w:ascii="Book Antiqua" w:hAnsi="Book Antiqua" w:cs="Times New Roman"/>
          <w:sz w:val="24"/>
          <w:szCs w:val="24"/>
          <w:lang w:val="en-US"/>
        </w:rPr>
        <w:tab/>
        <w:t>and nodules was observed in all PCNs, including mucinous cysts, cystic adenocarcinomas, SCAs and cystic neuroendocrine neoplasms (NENs), but in only 6</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nonneoplastic cystic lesions (PCs and dysontogenic cysts). Further supporting these results, in another study by Fusaroli </w:t>
      </w:r>
      <w:r w:rsidR="007337E2" w:rsidRPr="007337E2">
        <w:rPr>
          <w:rFonts w:ascii="Book Antiqua" w:hAnsi="Book Antiqua" w:cs="Times New Roman"/>
          <w:i/>
          <w:sz w:val="24"/>
          <w:szCs w:val="24"/>
          <w:lang w:val="en-US"/>
        </w:rPr>
        <w:t>et al</w:t>
      </w:r>
      <w:r w:rsidR="007337E2" w:rsidRPr="008730C8">
        <w:rPr>
          <w:rFonts w:ascii="Book Antiqua" w:hAnsi="Book Antiqua" w:cs="Times New Roman"/>
          <w:sz w:val="24"/>
          <w:szCs w:val="24"/>
          <w:vertAlign w:val="superscript"/>
          <w:lang w:val="en-US"/>
        </w:rPr>
        <w:t>[37]</w:t>
      </w:r>
      <w:r w:rsidRPr="008730C8">
        <w:rPr>
          <w:rFonts w:ascii="Book Antiqua" w:hAnsi="Book Antiqua" w:cs="Times New Roman"/>
          <w:sz w:val="24"/>
          <w:szCs w:val="24"/>
          <w:lang w:val="en-US"/>
        </w:rPr>
        <w:t>, of 76 patients with PCLs, most SCAs were hyper</w:t>
      </w:r>
      <w:r w:rsidR="007337E2">
        <w:rPr>
          <w:rFonts w:ascii="Book Antiqua" w:hAnsi="Book Antiqua" w:cs="Times New Roman" w:hint="eastAsia"/>
          <w:sz w:val="24"/>
          <w:szCs w:val="24"/>
          <w:lang w:val="en-US" w:eastAsia="zh-CN"/>
        </w:rPr>
        <w:t>-</w:t>
      </w:r>
      <w:r w:rsidRPr="008730C8">
        <w:rPr>
          <w:rFonts w:ascii="Book Antiqua" w:hAnsi="Book Antiqua" w:cs="Times New Roman"/>
          <w:sz w:val="24"/>
          <w:szCs w:val="24"/>
          <w:lang w:val="en-US"/>
        </w:rPr>
        <w:t>enhanced during CH-EUS, without a significant difference (86</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Pr="007337E2">
        <w:rPr>
          <w:rFonts w:ascii="Book Antiqua" w:hAnsi="Book Antiqua" w:cs="Times New Roman"/>
          <w:i/>
          <w:sz w:val="24"/>
          <w:szCs w:val="24"/>
          <w:lang w:val="en-US"/>
        </w:rPr>
        <w:t>vs</w:t>
      </w:r>
      <w:r w:rsidRPr="008730C8">
        <w:rPr>
          <w:rFonts w:ascii="Book Antiqua" w:hAnsi="Book Antiqua" w:cs="Times New Roman"/>
          <w:sz w:val="24"/>
          <w:szCs w:val="24"/>
          <w:lang w:val="en-US"/>
        </w:rPr>
        <w:t xml:space="preserve"> 89</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007337E2" w:rsidRPr="007337E2">
        <w:rPr>
          <w:rFonts w:ascii="Book Antiqua" w:hAnsi="Book Antiqua" w:cs="Times New Roman"/>
          <w:i/>
          <w:sz w:val="24"/>
          <w:szCs w:val="24"/>
          <w:lang w:val="en-US"/>
        </w:rPr>
        <w:lastRenderedPageBreak/>
        <w:t>P</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i/>
          <w:sz w:val="24"/>
          <w:szCs w:val="24"/>
          <w:lang w:val="en-US"/>
        </w:rPr>
        <w:t>=</w:t>
      </w:r>
      <w:r w:rsidR="007337E2">
        <w:rPr>
          <w:rFonts w:ascii="Book Antiqua" w:hAnsi="Book Antiqua" w:cs="Times New Roman" w:hint="eastAsia"/>
          <w:i/>
          <w:sz w:val="24"/>
          <w:szCs w:val="24"/>
          <w:lang w:val="en-US" w:eastAsia="zh-CN"/>
        </w:rPr>
        <w:t xml:space="preserve"> </w:t>
      </w:r>
      <w:r w:rsidR="007337E2">
        <w:rPr>
          <w:rFonts w:ascii="Book Antiqua" w:hAnsi="Book Antiqua" w:cs="Times New Roman"/>
          <w:sz w:val="24"/>
          <w:szCs w:val="24"/>
          <w:lang w:val="en-US"/>
        </w:rPr>
        <w:t>ns</w:t>
      </w:r>
      <w:r w:rsidRPr="008730C8">
        <w:rPr>
          <w:rFonts w:ascii="Book Antiqua" w:hAnsi="Book Antiqua" w:cs="Times New Roman"/>
          <w:sz w:val="24"/>
          <w:szCs w:val="24"/>
          <w:lang w:val="en-US"/>
        </w:rPr>
        <w:t>), when in fact, 90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pseudocysts showed hypoenhancement (</w:t>
      </w:r>
      <w:r w:rsidR="007337E2" w:rsidRPr="007337E2">
        <w:rPr>
          <w:rFonts w:ascii="Book Antiqua" w:hAnsi="Book Antiqua" w:cs="Times New Roman"/>
          <w:i/>
          <w:sz w:val="24"/>
          <w:szCs w:val="24"/>
          <w:lang w:val="en-US"/>
        </w:rPr>
        <w:t>P</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 xml:space="preserve">0.000004 </w:t>
      </w:r>
      <w:r w:rsidRPr="007337E2">
        <w:rPr>
          <w:rFonts w:ascii="Book Antiqua" w:hAnsi="Book Antiqua" w:cs="Times New Roman"/>
          <w:i/>
          <w:sz w:val="24"/>
          <w:szCs w:val="24"/>
          <w:lang w:val="en-US"/>
        </w:rPr>
        <w:t>vs</w:t>
      </w:r>
      <w:r w:rsidRPr="008730C8">
        <w:rPr>
          <w:rFonts w:ascii="Book Antiqua" w:hAnsi="Book Antiqua" w:cs="Times New Roman"/>
          <w:sz w:val="24"/>
          <w:szCs w:val="24"/>
          <w:lang w:val="en-US"/>
        </w:rPr>
        <w:t xml:space="preserve"> serous cysts and </w:t>
      </w:r>
      <w:r w:rsidR="007337E2" w:rsidRPr="007337E2">
        <w:rPr>
          <w:rFonts w:ascii="Book Antiqua" w:hAnsi="Book Antiqua" w:cs="Times New Roman"/>
          <w:i/>
          <w:sz w:val="24"/>
          <w:szCs w:val="24"/>
          <w:lang w:val="en-US"/>
        </w:rPr>
        <w:t>P</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 xml:space="preserve">0.000005 </w:t>
      </w:r>
      <w:r w:rsidRPr="007337E2">
        <w:rPr>
          <w:rFonts w:ascii="Book Antiqua" w:hAnsi="Book Antiqua" w:cs="Times New Roman"/>
          <w:i/>
          <w:sz w:val="24"/>
          <w:szCs w:val="24"/>
          <w:lang w:val="en-US"/>
        </w:rPr>
        <w:t>vs</w:t>
      </w:r>
      <w:r w:rsidRPr="008730C8">
        <w:rPr>
          <w:rFonts w:ascii="Book Antiqua" w:hAnsi="Book Antiqua" w:cs="Times New Roman"/>
          <w:sz w:val="24"/>
          <w:szCs w:val="24"/>
          <w:lang w:val="en-US"/>
        </w:rPr>
        <w:t xml:space="preserve"> mucinous cysts). In addition, Kamata </w:t>
      </w:r>
      <w:r w:rsidR="007337E2" w:rsidRPr="007337E2">
        <w:rPr>
          <w:rFonts w:ascii="Book Antiqua" w:hAnsi="Book Antiqua" w:cs="Times New Roman"/>
          <w:i/>
          <w:sz w:val="24"/>
          <w:szCs w:val="24"/>
          <w:lang w:val="en-US"/>
        </w:rPr>
        <w:t>et al</w:t>
      </w:r>
      <w:r w:rsidR="007337E2" w:rsidRPr="008730C8">
        <w:rPr>
          <w:rFonts w:ascii="Book Antiqua" w:hAnsi="Book Antiqua" w:cs="Times New Roman"/>
          <w:sz w:val="24"/>
          <w:szCs w:val="24"/>
          <w:vertAlign w:val="superscript"/>
          <w:lang w:val="en-US"/>
        </w:rPr>
        <w:t>[38]</w:t>
      </w:r>
      <w:r w:rsidRPr="008730C8">
        <w:rPr>
          <w:rFonts w:ascii="Book Antiqua" w:hAnsi="Book Antiqua" w:cs="Times New Roman"/>
          <w:sz w:val="24"/>
          <w:szCs w:val="24"/>
          <w:lang w:val="en-US"/>
        </w:rPr>
        <w:t xml:space="preserve"> reported that CH-EUS did not add any advantage to EUS for differentiating mucinous and nonmucinous cysts when the presence of mural nodules was considered a sign of mucinous cysts (sensitivity, 79</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Pr="007337E2">
        <w:rPr>
          <w:rFonts w:ascii="Book Antiqua" w:hAnsi="Book Antiqua" w:cs="Times New Roman"/>
          <w:i/>
          <w:sz w:val="24"/>
          <w:szCs w:val="24"/>
          <w:lang w:val="en-US"/>
        </w:rPr>
        <w:t>vs</w:t>
      </w:r>
      <w:r w:rsidRPr="008730C8">
        <w:rPr>
          <w:rFonts w:ascii="Book Antiqua" w:hAnsi="Book Antiqua" w:cs="Times New Roman"/>
          <w:sz w:val="24"/>
          <w:szCs w:val="24"/>
          <w:lang w:val="en-US"/>
        </w:rPr>
        <w:t xml:space="preserve"> 85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specificity, 96</w:t>
      </w:r>
      <w:r w:rsidR="005B0B1D">
        <w:rPr>
          <w:rFonts w:ascii="Book Antiqua" w:hAnsi="Book Antiqua" w:cs="Times New Roman"/>
          <w:sz w:val="24"/>
          <w:szCs w:val="24"/>
          <w:lang w:val="en-US"/>
        </w:rPr>
        <w:t>%</w:t>
      </w:r>
      <w:r w:rsidRPr="007337E2">
        <w:rPr>
          <w:rFonts w:ascii="Book Antiqua" w:hAnsi="Book Antiqua" w:cs="Times New Roman"/>
          <w:i/>
          <w:sz w:val="24"/>
          <w:szCs w:val="24"/>
          <w:lang w:val="en-US"/>
        </w:rPr>
        <w:t xml:space="preserve"> vs </w:t>
      </w:r>
      <w:r w:rsidRPr="008730C8">
        <w:rPr>
          <w:rFonts w:ascii="Book Antiqua" w:hAnsi="Book Antiqua" w:cs="Times New Roman"/>
          <w:sz w:val="24"/>
          <w:szCs w:val="24"/>
          <w:lang w:val="en-US"/>
        </w:rPr>
        <w:t>46</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accuracy, 73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t>
      </w:r>
      <w:r w:rsidRPr="007337E2">
        <w:rPr>
          <w:rFonts w:ascii="Book Antiqua" w:hAnsi="Book Antiqua" w:cs="Times New Roman"/>
          <w:i/>
          <w:sz w:val="24"/>
          <w:szCs w:val="24"/>
          <w:lang w:val="en-US"/>
        </w:rPr>
        <w:t>vs</w:t>
      </w:r>
      <w:r w:rsidRPr="008730C8">
        <w:rPr>
          <w:rFonts w:ascii="Book Antiqua" w:hAnsi="Book Antiqua" w:cs="Times New Roman"/>
          <w:sz w:val="24"/>
          <w:szCs w:val="24"/>
          <w:lang w:val="en-US"/>
        </w:rPr>
        <w:t xml:space="preserve"> 84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respectively, </w:t>
      </w:r>
      <w:r w:rsidR="007337E2" w:rsidRPr="007337E2">
        <w:rPr>
          <w:rFonts w:ascii="Book Antiqua" w:hAnsi="Book Antiqua" w:cs="Times New Roman"/>
          <w:i/>
          <w:sz w:val="24"/>
          <w:szCs w:val="24"/>
          <w:lang w:val="en-US"/>
        </w:rPr>
        <w:t>P</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0.057).</w:t>
      </w:r>
    </w:p>
    <w:p w14:paraId="57A4AC06" w14:textId="4355114A" w:rsidR="00EB0814" w:rsidRPr="008730C8" w:rsidRDefault="00EB0814" w:rsidP="007337E2">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Yamashita </w:t>
      </w:r>
      <w:r w:rsidR="007337E2" w:rsidRPr="007337E2">
        <w:rPr>
          <w:rFonts w:ascii="Book Antiqua" w:hAnsi="Book Antiqua" w:cs="Times New Roman"/>
          <w:i/>
          <w:sz w:val="24"/>
          <w:szCs w:val="24"/>
          <w:lang w:val="en-US"/>
        </w:rPr>
        <w:t>et al</w:t>
      </w:r>
      <w:r w:rsidR="007337E2" w:rsidRPr="008730C8">
        <w:rPr>
          <w:rFonts w:ascii="Book Antiqua" w:hAnsi="Book Antiqua" w:cs="Times New Roman"/>
          <w:sz w:val="24"/>
          <w:szCs w:val="24"/>
          <w:vertAlign w:val="superscript"/>
          <w:lang w:val="en-US"/>
        </w:rPr>
        <w:t>[39]</w:t>
      </w:r>
      <w:r w:rsidRPr="008730C8">
        <w:rPr>
          <w:rFonts w:ascii="Book Antiqua" w:hAnsi="Book Antiqua" w:cs="Times New Roman"/>
          <w:sz w:val="24"/>
          <w:szCs w:val="24"/>
          <w:lang w:val="en-US"/>
        </w:rPr>
        <w:t xml:space="preserve"> used CT, color Doppler EUS and CH-EUS to prospectively study 17 patients with mural nodules in branch duct type IPMN (BD-IPMN) detected by EUS before being referred for surgery. After pathological analysis, 75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mural nodules corresponded to adenocarcinomas, and 25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corresponded to adenomas. Compared with surgical specimens, CH-EUS depicted vascularity in all pathologically confirmed nodules and in one case with mucous clots (sensitivity,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specificity, 80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positive predictive value (PPV), 92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negative predictive value (NPV),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and accuracy, 94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Moreover, the sensitivity of CT and color Doppler-EUS was only 41</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respectively. Comparable results were found in later studies. Fujita </w:t>
      </w:r>
      <w:r w:rsidR="007337E2" w:rsidRPr="007337E2">
        <w:rPr>
          <w:rFonts w:ascii="Book Antiqua" w:hAnsi="Book Antiqua" w:cs="Times New Roman"/>
          <w:i/>
          <w:sz w:val="24"/>
          <w:szCs w:val="24"/>
          <w:lang w:val="en-US"/>
        </w:rPr>
        <w:t>et al</w:t>
      </w:r>
      <w:r w:rsidR="007337E2" w:rsidRPr="008730C8">
        <w:rPr>
          <w:rFonts w:ascii="Book Antiqua" w:hAnsi="Book Antiqua" w:cs="Times New Roman"/>
          <w:sz w:val="24"/>
          <w:szCs w:val="24"/>
          <w:vertAlign w:val="superscript"/>
          <w:lang w:val="en-US"/>
        </w:rPr>
        <w:t>[40]</w:t>
      </w:r>
      <w:r w:rsidRPr="008730C8">
        <w:rPr>
          <w:rFonts w:ascii="Book Antiqua" w:hAnsi="Book Antiqua" w:cs="Times New Roman"/>
          <w:sz w:val="24"/>
          <w:szCs w:val="24"/>
          <w:lang w:val="en-US"/>
        </w:rPr>
        <w:t xml:space="preserve"> observed that CT, MRI, and EUS detected mural nodules histologically confirmed in 86</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71</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cases. Although EUS was highly sensitive, it was not able to distinguish mucous clots from mural nodules that were correctly classified in all cases after assessing the vascular pattern by CH-EUS</w:t>
      </w:r>
      <w:r w:rsidR="001D2581" w:rsidRPr="008730C8">
        <w:rPr>
          <w:rFonts w:ascii="Book Antiqua" w:hAnsi="Book Antiqua" w:cs="Times New Roman"/>
          <w:sz w:val="24"/>
          <w:szCs w:val="24"/>
          <w:lang w:val="en-US"/>
        </w:rPr>
        <w:t xml:space="preserve"> (Figure 1)</w:t>
      </w:r>
      <w:r w:rsidRPr="008730C8">
        <w:rPr>
          <w:rFonts w:ascii="Book Antiqua" w:hAnsi="Book Antiqua" w:cs="Times New Roman"/>
          <w:sz w:val="24"/>
          <w:szCs w:val="24"/>
          <w:lang w:val="en-US"/>
        </w:rPr>
        <w:t xml:space="preserve">. CH-EUS was also shown to be more accurate than CT or EUS in diagnosing mural nodules in the study by Harima </w:t>
      </w:r>
      <w:r w:rsidR="007337E2" w:rsidRPr="007337E2">
        <w:rPr>
          <w:rFonts w:ascii="Book Antiqua" w:hAnsi="Book Antiqua" w:cs="Times New Roman"/>
          <w:i/>
          <w:sz w:val="24"/>
          <w:szCs w:val="24"/>
          <w:lang w:val="en-US"/>
        </w:rPr>
        <w:t>et al</w:t>
      </w:r>
      <w:r w:rsidR="007337E2" w:rsidRPr="008730C8">
        <w:rPr>
          <w:rFonts w:ascii="Book Antiqua" w:hAnsi="Book Antiqua" w:cs="Times New Roman"/>
          <w:sz w:val="24"/>
          <w:szCs w:val="24"/>
          <w:vertAlign w:val="superscript"/>
          <w:lang w:val="en-US"/>
        </w:rPr>
        <w:t>[41]</w:t>
      </w:r>
      <w:r w:rsidRPr="008730C8">
        <w:rPr>
          <w:rFonts w:ascii="Book Antiqua" w:hAnsi="Book Antiqua" w:cs="Times New Roman"/>
          <w:sz w:val="24"/>
          <w:szCs w:val="24"/>
          <w:lang w:val="en-US"/>
        </w:rPr>
        <w:t xml:space="preserve"> (accuracy of 98</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72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92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respectively). </w:t>
      </w:r>
    </w:p>
    <w:p w14:paraId="63683E6A" w14:textId="721E5B20" w:rsidR="00EB0814" w:rsidRPr="008730C8" w:rsidRDefault="00EB0814" w:rsidP="00E15328">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Fusaroli </w:t>
      </w:r>
      <w:r w:rsidR="007337E2" w:rsidRPr="007337E2">
        <w:rPr>
          <w:rFonts w:ascii="Book Antiqua" w:hAnsi="Book Antiqua" w:cs="Times New Roman"/>
          <w:i/>
          <w:sz w:val="24"/>
          <w:szCs w:val="24"/>
          <w:lang w:val="en-US"/>
        </w:rPr>
        <w:t>et al</w:t>
      </w:r>
      <w:r w:rsidR="007337E2" w:rsidRPr="008730C8">
        <w:rPr>
          <w:rFonts w:ascii="Book Antiqua" w:hAnsi="Book Antiqua" w:cs="Times New Roman"/>
          <w:sz w:val="24"/>
          <w:szCs w:val="24"/>
          <w:vertAlign w:val="superscript"/>
          <w:lang w:val="en-US"/>
        </w:rPr>
        <w:t>[42]</w:t>
      </w:r>
      <w:r w:rsidRPr="008730C8">
        <w:rPr>
          <w:rFonts w:ascii="Book Antiqua" w:hAnsi="Book Antiqua" w:cs="Times New Roman"/>
          <w:sz w:val="24"/>
          <w:szCs w:val="24"/>
          <w:lang w:val="en-US"/>
        </w:rPr>
        <w:t xml:space="preserve"> observed that all hyper</w:t>
      </w:r>
      <w:r w:rsidR="007337E2">
        <w:rPr>
          <w:rFonts w:ascii="Book Antiqua" w:hAnsi="Book Antiqua" w:cs="Times New Roman" w:hint="eastAsia"/>
          <w:sz w:val="24"/>
          <w:szCs w:val="24"/>
          <w:lang w:val="en-US" w:eastAsia="zh-CN"/>
        </w:rPr>
        <w:t>-</w:t>
      </w:r>
      <w:r w:rsidRPr="008730C8">
        <w:rPr>
          <w:rFonts w:ascii="Book Antiqua" w:hAnsi="Book Antiqua" w:cs="Times New Roman"/>
          <w:sz w:val="24"/>
          <w:szCs w:val="24"/>
          <w:lang w:val="en-US"/>
        </w:rPr>
        <w:t xml:space="preserve">enhanced solid components during CH-EUS turned out to be malignant, whereas nonenhanced ones were either mucous clots or internal debris. Nevertheless, other authors found it difficult to discriminate between adenomas or adenocarcinomas in BD-IPMN based on the vascular pattern. Only one study evaluated the accuracy of quantitative CH-EUS for differentiating between low-grade dysplasia (LGD) or intermediate-grade dysplasia and high-grade dysplasia (HGD) or invasive carcinoma. In this study, Yamamoto </w:t>
      </w:r>
      <w:r w:rsidR="007337E2" w:rsidRPr="007337E2">
        <w:rPr>
          <w:rFonts w:ascii="Book Antiqua" w:hAnsi="Book Antiqua" w:cs="Times New Roman"/>
          <w:i/>
          <w:sz w:val="24"/>
          <w:szCs w:val="24"/>
          <w:lang w:val="en-US"/>
        </w:rPr>
        <w:t>et al</w:t>
      </w:r>
      <w:r w:rsidR="007337E2" w:rsidRPr="007337E2">
        <w:rPr>
          <w:rFonts w:ascii="Book Antiqua" w:hAnsi="Book Antiqua" w:cs="Times New Roman" w:hint="eastAsia"/>
          <w:sz w:val="24"/>
          <w:szCs w:val="24"/>
          <w:vertAlign w:val="superscript"/>
          <w:lang w:val="en-US" w:eastAsia="zh-CN"/>
        </w:rPr>
        <w:t>[42]</w:t>
      </w:r>
      <w:r w:rsidRPr="007337E2">
        <w:rPr>
          <w:rFonts w:ascii="Book Antiqua" w:hAnsi="Book Antiqua" w:cs="Times New Roman"/>
          <w:sz w:val="24"/>
          <w:szCs w:val="24"/>
          <w:vertAlign w:val="superscript"/>
          <w:lang w:val="en-US"/>
        </w:rPr>
        <w:t xml:space="preserve"> </w:t>
      </w:r>
      <w:r w:rsidRPr="008730C8">
        <w:rPr>
          <w:rFonts w:ascii="Book Antiqua" w:hAnsi="Book Antiqua" w:cs="Times New Roman"/>
          <w:sz w:val="24"/>
          <w:szCs w:val="24"/>
          <w:lang w:val="en-US"/>
        </w:rPr>
        <w:t xml:space="preserve">retrospectively analyzed the time-intensity curve in 30 </w:t>
      </w:r>
      <w:r w:rsidRPr="008730C8">
        <w:rPr>
          <w:rFonts w:ascii="Book Antiqua" w:hAnsi="Book Antiqua" w:cs="Times New Roman"/>
          <w:sz w:val="24"/>
          <w:szCs w:val="24"/>
          <w:lang w:val="en-US"/>
        </w:rPr>
        <w:lastRenderedPageBreak/>
        <w:t>patients with resected IPMNs who underwent CH-EUS. The analyzed parameters were the echo intensity change and echo intensity reduction rate of the mural nodule and the nodule/parenchyma contrast ratio. All of the parameters were significantly higher in the HGD/invasive group (</w:t>
      </w:r>
      <w:r w:rsidR="007337E2" w:rsidRPr="007337E2">
        <w:rPr>
          <w:rFonts w:ascii="Book Antiqua" w:hAnsi="Book Antiqua" w:cs="Times New Roman"/>
          <w:i/>
          <w:sz w:val="24"/>
          <w:szCs w:val="24"/>
          <w:lang w:val="en-US"/>
        </w:rPr>
        <w:t>P</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&lt; 0.05), with the nodule/parenchyma contrast ratio being the most accurate parameter (accuracy, 93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Moreover, a positive linear correlation was observed between the echo intensity change in the mural nodule and the microvessel density in pathologic specimens (</w:t>
      </w:r>
      <w:r w:rsidRPr="007337E2">
        <w:rPr>
          <w:rFonts w:ascii="Book Antiqua" w:hAnsi="Book Antiqua" w:cs="Times New Roman"/>
          <w:i/>
          <w:sz w:val="24"/>
          <w:szCs w:val="24"/>
          <w:lang w:val="en-US"/>
        </w:rPr>
        <w:t>r</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0.803,</w:t>
      </w:r>
      <w:r w:rsidR="007337E2" w:rsidRPr="007337E2">
        <w:rPr>
          <w:rFonts w:ascii="Book Antiqua" w:hAnsi="Book Antiqua" w:cs="Times New Roman"/>
          <w:i/>
          <w:sz w:val="24"/>
          <w:szCs w:val="24"/>
          <w:lang w:val="en-US"/>
        </w:rPr>
        <w:t xml:space="preserve"> P</w:t>
      </w:r>
      <w:r w:rsidR="007337E2" w:rsidRPr="007337E2">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&lt; 0.001).</w:t>
      </w:r>
    </w:p>
    <w:p w14:paraId="00839A4E" w14:textId="68009EB4" w:rsidR="00EB0814" w:rsidRPr="008730C8" w:rsidRDefault="00EB0814" w:rsidP="007337E2">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No mortality or CH-EUS-related adverse events were reported in any study.</w:t>
      </w:r>
    </w:p>
    <w:p w14:paraId="4237E1C9" w14:textId="77777777" w:rsidR="00EB0814" w:rsidRPr="008730C8" w:rsidRDefault="00EB0814" w:rsidP="008730C8">
      <w:pPr>
        <w:adjustRightInd w:val="0"/>
        <w:snapToGrid w:val="0"/>
        <w:spacing w:after="0" w:line="360" w:lineRule="auto"/>
        <w:jc w:val="both"/>
        <w:rPr>
          <w:rFonts w:ascii="Book Antiqua" w:hAnsi="Book Antiqua" w:cs="Times New Roman"/>
          <w:b/>
          <w:sz w:val="24"/>
          <w:szCs w:val="24"/>
          <w:lang w:val="en-US"/>
        </w:rPr>
      </w:pPr>
    </w:p>
    <w:p w14:paraId="74DDC4C4" w14:textId="77777777" w:rsidR="00EB0814" w:rsidRPr="00E15328" w:rsidRDefault="00EB0814" w:rsidP="008730C8">
      <w:pPr>
        <w:adjustRightInd w:val="0"/>
        <w:snapToGrid w:val="0"/>
        <w:spacing w:after="0" w:line="360" w:lineRule="auto"/>
        <w:jc w:val="both"/>
        <w:rPr>
          <w:rFonts w:ascii="Book Antiqua" w:hAnsi="Book Antiqua" w:cs="Times New Roman"/>
          <w:b/>
          <w:sz w:val="24"/>
          <w:szCs w:val="24"/>
          <w:lang w:val="en-US"/>
        </w:rPr>
      </w:pPr>
      <w:r w:rsidRPr="00E15328">
        <w:rPr>
          <w:rFonts w:ascii="Book Antiqua" w:hAnsi="Book Antiqua" w:cs="Times New Roman"/>
          <w:b/>
          <w:sz w:val="24"/>
          <w:szCs w:val="24"/>
          <w:lang w:val="en-US"/>
        </w:rPr>
        <w:t>NEEDLE-BASED CONFOCAL LASER ENDOMICROSCOPY</w:t>
      </w:r>
    </w:p>
    <w:p w14:paraId="7AD290DB" w14:textId="619DE757"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Needle-based confocal laser endomicroscopy (nCLE) is an emergent endoscopic modality that enables imaging of a target tissue at a subcellular level of resolution, providing real-time </w:t>
      </w:r>
      <w:r w:rsidRPr="00AC11D7">
        <w:rPr>
          <w:rFonts w:ascii="Book Antiqua" w:hAnsi="Book Antiqua" w:cs="Times New Roman"/>
          <w:i/>
          <w:sz w:val="24"/>
          <w:szCs w:val="24"/>
          <w:lang w:val="en-US"/>
        </w:rPr>
        <w:t>in vivo</w:t>
      </w:r>
      <w:r w:rsidRPr="008730C8">
        <w:rPr>
          <w:rFonts w:ascii="Book Antiqua" w:hAnsi="Book Antiqua" w:cs="Times New Roman"/>
          <w:sz w:val="24"/>
          <w:szCs w:val="24"/>
          <w:lang w:val="en-US"/>
        </w:rPr>
        <w:t xml:space="preserve"> optical biopsy. For CLE imaging, a low-power laser is used to illuminate the tissue. The laser beam is focused on a plane of interest, and the reflected light from the tissue is filtered and transformed into an electrical signal by a detection system and finally translated into graysc</w:t>
      </w:r>
      <w:r w:rsidR="00EE2D6C">
        <w:rPr>
          <w:rFonts w:ascii="Book Antiqua" w:hAnsi="Book Antiqua" w:cs="Times New Roman"/>
          <w:sz w:val="24"/>
          <w:szCs w:val="24"/>
          <w:lang w:val="en-US"/>
        </w:rPr>
        <w:t>ale images by a computer system</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43-44</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The final result consists of images with very high spatial resolution and magnification of the focal plane examined within the tissue. Because confocal imaging relies on reflected fluorescent light, intravenous injection of a fluorescent dye, most commonly sodium fluorescein, is required. Fluorescein acts as a contrast agent highlighting blood vessels and tissue architecture</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43-46</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w:t>
      </w:r>
    </w:p>
    <w:p w14:paraId="7B0C12EC" w14:textId="5F2C8105" w:rsidR="00EB0814" w:rsidRPr="008730C8" w:rsidRDefault="00EB0814" w:rsidP="00EE2D6C">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Recent advances have allowed the incorporation of CLE technology into a miniprobe of 0.85 mm (AQ-Flex) that can be passed through 19-gauge (19G) EUS fine needle aspiration (EUS-FNA). This probe is provided with 10.000 optical fibers and has a field of view of 325 µm, 3.5 µm of lateral resolution</w:t>
      </w:r>
      <w:r w:rsidR="00EE2D6C">
        <w:rPr>
          <w:rFonts w:ascii="Book Antiqua" w:hAnsi="Book Antiqua" w:cs="Times New Roman"/>
          <w:sz w:val="24"/>
          <w:szCs w:val="24"/>
          <w:lang w:val="en-US"/>
        </w:rPr>
        <w:t xml:space="preserve"> and 40-70 µm of confocal depth</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46</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w:t>
      </w:r>
    </w:p>
    <w:p w14:paraId="193EE132" w14:textId="16598BCF" w:rsidR="00EB0814" w:rsidRDefault="00EB0814" w:rsidP="00EE2D6C">
      <w:pPr>
        <w:adjustRightInd w:val="0"/>
        <w:snapToGrid w:val="0"/>
        <w:spacing w:after="0" w:line="360" w:lineRule="auto"/>
        <w:ind w:firstLineChars="100" w:firstLine="240"/>
        <w:jc w:val="both"/>
        <w:rPr>
          <w:rFonts w:ascii="Book Antiqua" w:hAnsi="Book Antiqua" w:cs="Times New Roman"/>
          <w:sz w:val="24"/>
          <w:szCs w:val="24"/>
          <w:lang w:val="en-US" w:eastAsia="zh-CN"/>
        </w:rPr>
      </w:pPr>
      <w:r w:rsidRPr="008730C8">
        <w:rPr>
          <w:rFonts w:ascii="Book Antiqua" w:hAnsi="Book Antiqua" w:cs="Times New Roman"/>
          <w:sz w:val="24"/>
          <w:szCs w:val="24"/>
          <w:lang w:val="en-US"/>
        </w:rPr>
        <w:t>Before starting the procedure, a 19G EUS-FNA is preloaded with the AQ-Flex probe that should be inserted until 2 mm of the probe is positioned beyond the needle tip</w:t>
      </w:r>
      <w:r w:rsidR="003B40A6" w:rsidRPr="008730C8">
        <w:rPr>
          <w:rFonts w:ascii="Book Antiqua" w:hAnsi="Book Antiqua" w:cs="Times New Roman"/>
          <w:sz w:val="24"/>
          <w:szCs w:val="24"/>
          <w:lang w:val="en-US"/>
        </w:rPr>
        <w:t xml:space="preserve"> (Figure 2)</w:t>
      </w:r>
      <w:r w:rsidRPr="008730C8">
        <w:rPr>
          <w:rFonts w:ascii="Book Antiqua" w:hAnsi="Book Antiqua" w:cs="Times New Roman"/>
          <w:sz w:val="24"/>
          <w:szCs w:val="24"/>
          <w:lang w:val="en-US"/>
        </w:rPr>
        <w:t xml:space="preserve">. At this moment, the probe is fixed to the inlet of the needle </w:t>
      </w:r>
      <w:r w:rsidRPr="008730C8">
        <w:rPr>
          <w:rFonts w:ascii="Book Antiqua" w:hAnsi="Book Antiqua" w:cs="Times New Roman"/>
          <w:sz w:val="24"/>
          <w:szCs w:val="24"/>
          <w:lang w:val="en-US"/>
        </w:rPr>
        <w:lastRenderedPageBreak/>
        <w:t>channel by a locking system. After identifying the cyst, a single pass with the preloaded 19G EUS-FNA is performed, and the needle is advanced under EUS guidance until the needle tip contacts the cyst wall. Immediately after, 2.5-5 m</w:t>
      </w:r>
      <w:r w:rsidR="00EE2D6C" w:rsidRPr="008730C8">
        <w:rPr>
          <w:rFonts w:ascii="Book Antiqua" w:hAnsi="Book Antiqua" w:cs="Times New Roman"/>
          <w:sz w:val="24"/>
          <w:szCs w:val="24"/>
          <w:lang w:val="en-US"/>
        </w:rPr>
        <w:t>L</w:t>
      </w:r>
      <w:r w:rsidRPr="008730C8">
        <w:rPr>
          <w:rFonts w:ascii="Book Antiqua" w:hAnsi="Book Antiqua" w:cs="Times New Roman"/>
          <w:sz w:val="24"/>
          <w:szCs w:val="24"/>
          <w:lang w:val="en-US"/>
        </w:rPr>
        <w:t xml:space="preserve"> of 10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fluorescein is injected; nCLE imaging begins, during which gentle apposition of the probe to the cyst wall is pursued. The elevator, endoscope dials and torquing are useful for imaging in a fanning techni</w:t>
      </w:r>
      <w:r w:rsidR="00EE2D6C">
        <w:rPr>
          <w:rFonts w:ascii="Book Antiqua" w:hAnsi="Book Antiqua" w:cs="Times New Roman"/>
          <w:sz w:val="24"/>
          <w:szCs w:val="24"/>
          <w:lang w:val="en-US"/>
        </w:rPr>
        <w:t>que</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43</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Because images are obtained at a rate of 12 frames/second, video-recording is always performed for 2-5 min and further reviewed with a dedicated software program. At the end of the procedure, the probe is withdrawn, and the cyst fluid is aspirated as per standard practice. Antibiotic prophylaxis</w:t>
      </w:r>
      <w:r w:rsidR="00EE2D6C">
        <w:rPr>
          <w:rFonts w:ascii="Book Antiqua" w:hAnsi="Book Antiqua" w:cs="Times New Roman"/>
          <w:sz w:val="24"/>
          <w:szCs w:val="24"/>
          <w:lang w:val="en-US"/>
        </w:rPr>
        <w:t xml:space="preserve"> is systematically administered</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47</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w:t>
      </w:r>
    </w:p>
    <w:p w14:paraId="045547B7" w14:textId="77777777" w:rsidR="00EE2D6C" w:rsidRPr="008730C8" w:rsidRDefault="00EE2D6C" w:rsidP="00EE2D6C">
      <w:pPr>
        <w:adjustRightInd w:val="0"/>
        <w:snapToGrid w:val="0"/>
        <w:spacing w:after="0" w:line="360" w:lineRule="auto"/>
        <w:ind w:firstLineChars="100" w:firstLine="240"/>
        <w:jc w:val="both"/>
        <w:rPr>
          <w:rFonts w:ascii="Book Antiqua" w:hAnsi="Book Antiqua" w:cs="Times New Roman"/>
          <w:sz w:val="24"/>
          <w:szCs w:val="24"/>
          <w:lang w:val="en-US" w:eastAsia="zh-CN"/>
        </w:rPr>
      </w:pPr>
    </w:p>
    <w:p w14:paraId="1C51FF93" w14:textId="77777777" w:rsidR="00EB0814" w:rsidRPr="00EE2D6C" w:rsidRDefault="00EB0814" w:rsidP="008730C8">
      <w:pPr>
        <w:adjustRightInd w:val="0"/>
        <w:snapToGrid w:val="0"/>
        <w:spacing w:after="0" w:line="360" w:lineRule="auto"/>
        <w:jc w:val="both"/>
        <w:rPr>
          <w:rFonts w:ascii="Book Antiqua" w:hAnsi="Book Antiqua" w:cs="Times New Roman"/>
          <w:b/>
          <w:i/>
          <w:sz w:val="24"/>
          <w:szCs w:val="24"/>
          <w:lang w:val="en-US"/>
        </w:rPr>
      </w:pPr>
      <w:r w:rsidRPr="00EE2D6C">
        <w:rPr>
          <w:rFonts w:ascii="Book Antiqua" w:hAnsi="Book Antiqua" w:cs="Times New Roman"/>
          <w:b/>
          <w:i/>
          <w:sz w:val="24"/>
          <w:szCs w:val="24"/>
          <w:lang w:val="en-US"/>
        </w:rPr>
        <w:t>Clinical outcomes: Review of the literature</w:t>
      </w:r>
    </w:p>
    <w:p w14:paraId="10C67E07" w14:textId="40C7814F"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A literature search in PubMed and Embase databases identified 24 articles reporting on nCLE in PCLs. Only 11 of these articles were deemed eligible and consisted of 7 prospective and 4 retrospective studies (Table </w:t>
      </w:r>
      <w:r w:rsidR="00DF17B4" w:rsidRPr="008730C8">
        <w:rPr>
          <w:rFonts w:ascii="Book Antiqua" w:hAnsi="Book Antiqua" w:cs="Times New Roman"/>
          <w:sz w:val="24"/>
          <w:szCs w:val="24"/>
          <w:lang w:val="en-US"/>
        </w:rPr>
        <w:t>2</w:t>
      </w:r>
      <w:r w:rsidR="00EE2D6C">
        <w:rPr>
          <w:rFonts w:ascii="Book Antiqua" w:hAnsi="Book Antiqua" w:cs="Times New Roman"/>
          <w:sz w:val="24"/>
          <w:szCs w:val="24"/>
          <w:lang w:val="en-US"/>
        </w:rPr>
        <w:t>)</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48-58</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Most of them were focused on feasibility, safety and performance in differentiating mucinous from nonmucinous cysts or in the differential diagnosis among the several types of </w:t>
      </w:r>
      <w:r w:rsidR="00C71B80" w:rsidRPr="008730C8">
        <w:rPr>
          <w:rFonts w:ascii="Book Antiqua" w:hAnsi="Book Antiqua" w:cs="Times New Roman"/>
          <w:sz w:val="24"/>
          <w:szCs w:val="24"/>
          <w:lang w:val="en-US"/>
        </w:rPr>
        <w:t>PCLs</w:t>
      </w:r>
      <w:r w:rsidRPr="008730C8">
        <w:rPr>
          <w:rFonts w:ascii="Book Antiqua" w:hAnsi="Book Antiqua" w:cs="Times New Roman"/>
          <w:sz w:val="24"/>
          <w:szCs w:val="24"/>
          <w:lang w:val="en-US"/>
        </w:rPr>
        <w:t xml:space="preserve">. Three studies aimed to externally validate the nCLE criteria, and </w:t>
      </w:r>
      <w:r w:rsidR="00037088" w:rsidRPr="008730C8">
        <w:rPr>
          <w:rFonts w:ascii="Book Antiqua" w:hAnsi="Book Antiqua" w:cs="Times New Roman"/>
          <w:sz w:val="24"/>
          <w:szCs w:val="24"/>
          <w:lang w:val="en-US"/>
        </w:rPr>
        <w:t>one</w:t>
      </w:r>
      <w:r w:rsidRPr="008730C8">
        <w:rPr>
          <w:rFonts w:ascii="Book Antiqua" w:hAnsi="Book Antiqua" w:cs="Times New Roman"/>
          <w:sz w:val="24"/>
          <w:szCs w:val="24"/>
          <w:lang w:val="en-US"/>
        </w:rPr>
        <w:t xml:space="preserve"> study performed an ex vivo validation of </w:t>
      </w:r>
      <w:r w:rsidRPr="00AC11D7">
        <w:rPr>
          <w:rFonts w:ascii="Book Antiqua" w:hAnsi="Book Antiqua" w:cs="Times New Roman"/>
          <w:i/>
          <w:sz w:val="24"/>
          <w:szCs w:val="24"/>
          <w:lang w:val="en-US"/>
        </w:rPr>
        <w:t>in vivo</w:t>
      </w:r>
      <w:r w:rsidRPr="008730C8">
        <w:rPr>
          <w:rFonts w:ascii="Book Antiqua" w:hAnsi="Book Antiqua" w:cs="Times New Roman"/>
          <w:sz w:val="24"/>
          <w:szCs w:val="24"/>
          <w:lang w:val="en-US"/>
        </w:rPr>
        <w:t xml:space="preserve"> nCLE criteria. </w:t>
      </w:r>
    </w:p>
    <w:p w14:paraId="29DD7AEE" w14:textId="7D36874F"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The first series was reported in 2011 by Konda </w:t>
      </w:r>
      <w:r w:rsidR="007337E2" w:rsidRPr="007337E2">
        <w:rPr>
          <w:rFonts w:ascii="Book Antiqua" w:hAnsi="Book Antiqua" w:cs="Times New Roman"/>
          <w:i/>
          <w:sz w:val="24"/>
          <w:szCs w:val="24"/>
          <w:lang w:val="en-US"/>
        </w:rPr>
        <w:t>et al</w:t>
      </w:r>
      <w:r w:rsidR="00EE2D6C" w:rsidRPr="008730C8">
        <w:rPr>
          <w:rFonts w:ascii="Book Antiqua" w:hAnsi="Book Antiqua" w:cs="Times New Roman"/>
          <w:sz w:val="24"/>
          <w:szCs w:val="24"/>
          <w:vertAlign w:val="superscript"/>
          <w:lang w:val="en-US"/>
        </w:rPr>
        <w:t>[48]</w:t>
      </w:r>
      <w:r w:rsidRPr="008730C8">
        <w:rPr>
          <w:rFonts w:ascii="Book Antiqua" w:hAnsi="Book Antiqua" w:cs="Times New Roman"/>
          <w:sz w:val="24"/>
          <w:szCs w:val="24"/>
          <w:lang w:val="en-US"/>
        </w:rPr>
        <w:t xml:space="preserve"> and was a feasibility study of 16 cysts and 2 solid masses of the pancreas. The nCLE procedure was feasible in 15 of 16 cysts, although the technical challenges described in 6 of them were related to the transduodenal approach, the post</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loading technique (the insertion of the CLE probe after positioning the EUS needle inside the lesion) and the longer length of the metallic tip at the distal end of the probe. Complications occurred in two patients, both of whom developed pancreatitis requiring hospitalization. This study was followed by a larger multicenter study (</w:t>
      </w:r>
      <w:r w:rsidR="00AC11D7" w:rsidRPr="00AC11D7">
        <w:rPr>
          <w:rFonts w:ascii="Book Antiqua" w:hAnsi="Book Antiqua" w:cs="Times New Roman"/>
          <w:i/>
          <w:sz w:val="24"/>
          <w:szCs w:val="24"/>
          <w:lang w:val="en-US"/>
        </w:rPr>
        <w:t>in vivo</w:t>
      </w:r>
      <w:r w:rsidRPr="008730C8">
        <w:rPr>
          <w:rFonts w:ascii="Book Antiqua" w:hAnsi="Book Antiqua" w:cs="Times New Roman"/>
          <w:sz w:val="24"/>
          <w:szCs w:val="24"/>
          <w:lang w:val="en-US"/>
        </w:rPr>
        <w:t xml:space="preserve"> nCLE Study in the Pancreas with Endosonography of Cystic Tumors, INSPECT) that was reported by the same group and that aimed to evaluate the diagnostic potential and safety of nCLE in the differential </w:t>
      </w:r>
      <w:r w:rsidRPr="008730C8">
        <w:rPr>
          <w:rFonts w:ascii="Book Antiqua" w:hAnsi="Book Antiqua" w:cs="Times New Roman"/>
          <w:sz w:val="24"/>
          <w:szCs w:val="24"/>
          <w:lang w:val="en-US"/>
        </w:rPr>
        <w:lastRenderedPageBreak/>
        <w:t>d</w:t>
      </w:r>
      <w:r w:rsidR="00AC11D7">
        <w:rPr>
          <w:rFonts w:ascii="Book Antiqua" w:hAnsi="Book Antiqua" w:cs="Times New Roman"/>
          <w:sz w:val="24"/>
          <w:szCs w:val="24"/>
          <w:lang w:val="en-US"/>
        </w:rPr>
        <w:t>iagnosis of PCLs in 66 patients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49</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A consensus description of visualized structures on 26 patients was achieved, and the correlation between histology and nCLE was investigated during the first stage of the study. Then, the performance of nCLE criteria to identify PCNs, including mucinous cystadenoma (MCA), IPMN or adenocarcinoma, was assessed in 31 additional patients. The presence of villous structures was highly specific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but provided low sensitivity, at 59</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it was the only specific finding having a significant association with PCNs </w:t>
      </w:r>
      <w:r w:rsidRPr="00EE2D6C">
        <w:rPr>
          <w:rFonts w:ascii="Book Antiqua" w:hAnsi="Book Antiqua" w:cs="Times New Roman"/>
          <w:sz w:val="24"/>
          <w:szCs w:val="24"/>
          <w:lang w:val="en-US"/>
        </w:rPr>
        <w:t>(</w:t>
      </w:r>
      <w:r w:rsidR="00EE2D6C" w:rsidRPr="00EE2D6C">
        <w:rPr>
          <w:rFonts w:ascii="Book Antiqua" w:hAnsi="Book Antiqua" w:cs="Times New Roman"/>
          <w:i/>
          <w:sz w:val="24"/>
          <w:szCs w:val="24"/>
          <w:lang w:val="en-US"/>
        </w:rPr>
        <w:t>P</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0.004).</w:t>
      </w:r>
      <w:r w:rsidRPr="008730C8">
        <w:rPr>
          <w:rFonts w:ascii="Book Antiqua" w:hAnsi="Book Antiqua" w:cs="Times New Roman"/>
          <w:sz w:val="24"/>
          <w:szCs w:val="24"/>
          <w:lang w:val="en-US"/>
        </w:rPr>
        <w:t xml:space="preserve"> Post</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procedure pancreatitis occurred in 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cases: one patient experienced transient abdominal pain, and three cases of intracystic bleeding were observed and spontaneously solved. </w:t>
      </w:r>
    </w:p>
    <w:p w14:paraId="30C1D2A1" w14:textId="0535C886" w:rsidR="00EB0814" w:rsidRPr="008730C8" w:rsidRDefault="00EB0814" w:rsidP="00EE2D6C">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The DETECT trial (Diagnosis of Pancreatic Cysts: Endoscopic Ultrasound, Through-the-Needle Confocal Laser Endomicroscopy and Cystoscopy Trial) was designed to evaluate the diagnostic yield of cystoscopy </w:t>
      </w:r>
      <w:r w:rsidR="00EE2D6C">
        <w:rPr>
          <w:rFonts w:ascii="Book Antiqua" w:hAnsi="Book Antiqua" w:cs="Times New Roman"/>
          <w:sz w:val="24"/>
          <w:szCs w:val="24"/>
          <w:lang w:val="en-US"/>
        </w:rPr>
        <w:t>followed by nCLE in 30 patients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50</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A highly certain diagnosis was possible in 18 of these patients based on the clinical presentation, other image findings, fluid analysis and cytology. In these patients, a papillary projection </w:t>
      </w:r>
      <w:r w:rsidR="003B40A6" w:rsidRPr="008730C8">
        <w:rPr>
          <w:rFonts w:ascii="Book Antiqua" w:hAnsi="Book Antiqua" w:cs="Times New Roman"/>
          <w:sz w:val="24"/>
          <w:szCs w:val="24"/>
          <w:lang w:val="en-US"/>
        </w:rPr>
        <w:t>(Figu</w:t>
      </w:r>
      <w:r w:rsidR="00AB69E2" w:rsidRPr="008730C8">
        <w:rPr>
          <w:rFonts w:ascii="Book Antiqua" w:hAnsi="Book Antiqua" w:cs="Times New Roman"/>
          <w:sz w:val="24"/>
          <w:szCs w:val="24"/>
          <w:lang w:val="en-US"/>
        </w:rPr>
        <w:t>r</w:t>
      </w:r>
      <w:r w:rsidR="003B40A6" w:rsidRPr="008730C8">
        <w:rPr>
          <w:rFonts w:ascii="Book Antiqua" w:hAnsi="Book Antiqua" w:cs="Times New Roman"/>
          <w:sz w:val="24"/>
          <w:szCs w:val="24"/>
          <w:lang w:val="en-US"/>
        </w:rPr>
        <w:t xml:space="preserve">e 3) </w:t>
      </w:r>
      <w:r w:rsidRPr="008730C8">
        <w:rPr>
          <w:rFonts w:ascii="Book Antiqua" w:hAnsi="Book Antiqua" w:cs="Times New Roman"/>
          <w:sz w:val="24"/>
          <w:szCs w:val="24"/>
          <w:lang w:val="en-US"/>
        </w:rPr>
        <w:t xml:space="preserve">and/or a dark ring on nCLE, corresponding to the villous pattern previously reported by Konda, was associated with mucinous cysts </w:t>
      </w:r>
      <w:r w:rsidRPr="00EE2D6C">
        <w:rPr>
          <w:rFonts w:ascii="Book Antiqua" w:hAnsi="Book Antiqua" w:cs="Times New Roman"/>
          <w:sz w:val="24"/>
          <w:szCs w:val="24"/>
          <w:lang w:val="en-US"/>
        </w:rPr>
        <w:t>(</w:t>
      </w:r>
      <w:r w:rsidR="00EE2D6C" w:rsidRPr="00EE2D6C">
        <w:rPr>
          <w:rFonts w:ascii="Book Antiqua" w:hAnsi="Book Antiqua" w:cs="Times New Roman"/>
          <w:i/>
          <w:sz w:val="24"/>
          <w:szCs w:val="24"/>
          <w:lang w:val="en-US"/>
        </w:rPr>
        <w:t>P</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0.001)</w:t>
      </w:r>
      <w:r w:rsidRPr="008730C8">
        <w:rPr>
          <w:rFonts w:ascii="Book Antiqua" w:hAnsi="Book Antiqua" w:cs="Times New Roman"/>
          <w:sz w:val="24"/>
          <w:szCs w:val="24"/>
          <w:lang w:val="en-US"/>
        </w:rPr>
        <w:t xml:space="preserve"> with 80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sensitivity,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specificity,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PPV, 80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NPV and 89</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accuracy. Two patients (7</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developed post</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procedure pancreatitis.</w:t>
      </w:r>
    </w:p>
    <w:p w14:paraId="16BA3FFC" w14:textId="031A6063" w:rsidR="00EB0814" w:rsidRPr="008730C8" w:rsidRDefault="00EB0814" w:rsidP="00EE2D6C">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After the above initial experiences, Napoléon and colleagues described new nCLE criteria based on histological correla</w:t>
      </w:r>
      <w:r w:rsidR="00EE2D6C">
        <w:rPr>
          <w:rFonts w:ascii="Book Antiqua" w:hAnsi="Book Antiqua" w:cs="Times New Roman"/>
          <w:sz w:val="24"/>
          <w:szCs w:val="24"/>
          <w:lang w:val="en-US"/>
        </w:rPr>
        <w:t>tion in two consecutive studies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51-52</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In the first one, a criterion for </w:t>
      </w:r>
      <w:r w:rsidRPr="00AC11D7">
        <w:rPr>
          <w:rFonts w:ascii="Book Antiqua" w:hAnsi="Book Antiqua" w:cs="Times New Roman"/>
          <w:i/>
          <w:sz w:val="24"/>
          <w:szCs w:val="24"/>
          <w:lang w:val="en-US"/>
        </w:rPr>
        <w:t>in vivo</w:t>
      </w:r>
      <w:r w:rsidRPr="008730C8">
        <w:rPr>
          <w:rFonts w:ascii="Book Antiqua" w:hAnsi="Book Antiqua" w:cs="Times New Roman"/>
          <w:sz w:val="24"/>
          <w:szCs w:val="24"/>
          <w:lang w:val="en-US"/>
        </w:rPr>
        <w:t xml:space="preserve"> diagnosis of SCA was defined and consensually identified as a superficial vascular network</w:t>
      </w:r>
      <w:r w:rsidR="003B40A6" w:rsidRPr="008730C8">
        <w:rPr>
          <w:rFonts w:ascii="Book Antiqua" w:hAnsi="Book Antiqua" w:cs="Times New Roman"/>
          <w:sz w:val="24"/>
          <w:szCs w:val="24"/>
          <w:lang w:val="en-US"/>
        </w:rPr>
        <w:t xml:space="preserve"> (Figure 4)</w:t>
      </w:r>
      <w:r w:rsidRPr="008730C8">
        <w:rPr>
          <w:rFonts w:ascii="Book Antiqua" w:hAnsi="Book Antiqua" w:cs="Times New Roman"/>
          <w:sz w:val="24"/>
          <w:szCs w:val="24"/>
          <w:lang w:val="en-US"/>
        </w:rPr>
        <w:t>. The presence of small and regular structures circulating inside the opacified channels during nCLE suggested the vascular nature of these channels, which was confirmed by histological assessment of surgical specimens</w:t>
      </w:r>
      <w:r w:rsidR="008A67E5" w:rsidRPr="008730C8">
        <w:rPr>
          <w:rFonts w:ascii="Book Antiqua" w:hAnsi="Book Antiqua" w:cs="Times New Roman"/>
          <w:sz w:val="24"/>
          <w:szCs w:val="24"/>
          <w:lang w:val="en-US"/>
        </w:rPr>
        <w:t xml:space="preserve"> (Figu</w:t>
      </w:r>
      <w:r w:rsidR="00AB69E2" w:rsidRPr="008730C8">
        <w:rPr>
          <w:rFonts w:ascii="Book Antiqua" w:hAnsi="Book Antiqua" w:cs="Times New Roman"/>
          <w:sz w:val="24"/>
          <w:szCs w:val="24"/>
          <w:lang w:val="en-US"/>
        </w:rPr>
        <w:t>r</w:t>
      </w:r>
      <w:r w:rsidR="008A67E5" w:rsidRPr="008730C8">
        <w:rPr>
          <w:rFonts w:ascii="Book Antiqua" w:hAnsi="Book Antiqua" w:cs="Times New Roman"/>
          <w:sz w:val="24"/>
          <w:szCs w:val="24"/>
          <w:lang w:val="en-US"/>
        </w:rPr>
        <w:t>e 5)</w:t>
      </w:r>
      <w:r w:rsidRPr="008730C8">
        <w:rPr>
          <w:rFonts w:ascii="Book Antiqua" w:hAnsi="Book Antiqua" w:cs="Times New Roman"/>
          <w:sz w:val="24"/>
          <w:szCs w:val="24"/>
          <w:lang w:val="en-US"/>
        </w:rPr>
        <w:t xml:space="preserve">. This vascular network was demonstrated to be at a superficial depth of 50-70 µm and, therefore, at the reach of the nCLE probe. Moreover, SCA was the only PCL that featured this pattern among 31 patients with PCLs of unknown diagnosis. The sensitivity, specificity, PPV, NPV and accuracy of this criterion </w:t>
      </w:r>
      <w:r w:rsidRPr="008730C8">
        <w:rPr>
          <w:rFonts w:ascii="Book Antiqua" w:hAnsi="Book Antiqua" w:cs="Times New Roman"/>
          <w:sz w:val="24"/>
          <w:szCs w:val="24"/>
          <w:lang w:val="en-US"/>
        </w:rPr>
        <w:lastRenderedPageBreak/>
        <w:t>for diagnosing SCA were 69</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82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87</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respectively. Only one patient suffered mild acute pancreatitis (3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In a second study (CONTACT 1), the same authors identified three other nCLE criteria that included a thick gray line for mucinous neoplasms</w:t>
      </w:r>
      <w:r w:rsidR="008A67E5" w:rsidRPr="008730C8">
        <w:rPr>
          <w:rFonts w:ascii="Book Antiqua" w:hAnsi="Book Antiqua" w:cs="Times New Roman"/>
          <w:sz w:val="24"/>
          <w:szCs w:val="24"/>
          <w:lang w:val="en-US"/>
        </w:rPr>
        <w:t xml:space="preserve"> (Figure 6)</w:t>
      </w:r>
      <w:r w:rsidRPr="008730C8">
        <w:rPr>
          <w:rFonts w:ascii="Book Antiqua" w:hAnsi="Book Antiqua" w:cs="Times New Roman"/>
          <w:sz w:val="24"/>
          <w:szCs w:val="24"/>
          <w:lang w:val="en-US"/>
        </w:rPr>
        <w:t xml:space="preserve">, a field of bright particles for pseudocysts (PCs) </w:t>
      </w:r>
      <w:r w:rsidR="008A67E5" w:rsidRPr="008730C8">
        <w:rPr>
          <w:rFonts w:ascii="Book Antiqua" w:hAnsi="Book Antiqua" w:cs="Times New Roman"/>
          <w:sz w:val="24"/>
          <w:szCs w:val="24"/>
          <w:lang w:val="en-US"/>
        </w:rPr>
        <w:t xml:space="preserve">(Figure 7) </w:t>
      </w:r>
      <w:r w:rsidRPr="008730C8">
        <w:rPr>
          <w:rFonts w:ascii="Book Antiqua" w:hAnsi="Book Antiqua" w:cs="Times New Roman"/>
          <w:sz w:val="24"/>
          <w:szCs w:val="24"/>
          <w:lang w:val="en-US"/>
        </w:rPr>
        <w:t>and black neoplastic clusters with white fibrous areas for cystic neoplastic neuroendocrine neoplasms (NENs). In this case, the histological correlation was the epithelial border, a mix of inflammatory cells and neoplastic cell proliferation with several forms of architectural organization respectively. In the retrospective validation, four external and blinded reviewers evaluated the diagnostic performance of these criteria. A conclusive diagnosis was achieved in 23 of 31 patients (74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Overall, the accuracy of nCLE criteria was 94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for mucinous cysts, 87</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for SCA and 87</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for PC. Trends toward high specificity were also shown (&gt; 90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for mucinous cysts and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for nonmucinous cysts). NENs were excluded from the external validation due to the small number in this series (</w:t>
      </w:r>
      <w:r w:rsidRPr="00EE2D6C">
        <w:rPr>
          <w:rFonts w:ascii="Book Antiqua" w:hAnsi="Book Antiqua" w:cs="Times New Roman"/>
          <w:i/>
          <w:sz w:val="24"/>
          <w:szCs w:val="24"/>
          <w:lang w:val="en-US"/>
        </w:rPr>
        <w:t>n</w:t>
      </w:r>
      <w:r w:rsidRPr="008730C8">
        <w:rPr>
          <w:rFonts w:ascii="Book Antiqua" w:hAnsi="Book Antiqua" w:cs="Times New Roman"/>
          <w:sz w:val="24"/>
          <w:szCs w:val="24"/>
          <w:lang w:val="en-US"/>
        </w:rPr>
        <w:t xml:space="preserve"> =</w:t>
      </w:r>
      <w:r w:rsidR="00AC11D7">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 xml:space="preserve">2). More recently, Krishna </w:t>
      </w:r>
      <w:r w:rsidR="007337E2" w:rsidRPr="007337E2">
        <w:rPr>
          <w:rFonts w:ascii="Book Antiqua" w:hAnsi="Book Antiqua" w:cs="Times New Roman"/>
          <w:i/>
          <w:sz w:val="24"/>
          <w:szCs w:val="24"/>
          <w:lang w:val="en-US"/>
        </w:rPr>
        <w:t>et al</w:t>
      </w:r>
      <w:r w:rsidR="00542F5E" w:rsidRPr="008730C8">
        <w:rPr>
          <w:rFonts w:ascii="Book Antiqua" w:hAnsi="Book Antiqua" w:cs="Times New Roman"/>
          <w:sz w:val="24"/>
          <w:szCs w:val="24"/>
          <w:vertAlign w:val="superscript"/>
          <w:lang w:val="en-US"/>
        </w:rPr>
        <w:t>[59]</w:t>
      </w:r>
      <w:r w:rsidRPr="008730C8">
        <w:rPr>
          <w:rFonts w:ascii="Book Antiqua" w:hAnsi="Book Antiqua" w:cs="Times New Roman"/>
          <w:sz w:val="24"/>
          <w:szCs w:val="24"/>
          <w:lang w:val="en-US"/>
        </w:rPr>
        <w:t xml:space="preserve"> have further confirmed the reproducibility of the </w:t>
      </w:r>
      <w:r w:rsidRPr="00AC11D7">
        <w:rPr>
          <w:rFonts w:ascii="Book Antiqua" w:hAnsi="Book Antiqua" w:cs="Times New Roman"/>
          <w:i/>
          <w:sz w:val="24"/>
          <w:szCs w:val="24"/>
          <w:lang w:val="en-US"/>
        </w:rPr>
        <w:t>in vivo</w:t>
      </w:r>
      <w:r w:rsidRPr="008730C8">
        <w:rPr>
          <w:rFonts w:ascii="Book Antiqua" w:hAnsi="Book Antiqua" w:cs="Times New Roman"/>
          <w:sz w:val="24"/>
          <w:szCs w:val="24"/>
          <w:lang w:val="en-US"/>
        </w:rPr>
        <w:t xml:space="preserve"> nCLE criteria in ex vivo specimens of 10 patients with surgica</w:t>
      </w:r>
      <w:r w:rsidR="00EE2D6C">
        <w:rPr>
          <w:rFonts w:ascii="Book Antiqua" w:hAnsi="Book Antiqua" w:cs="Times New Roman"/>
          <w:sz w:val="24"/>
          <w:szCs w:val="24"/>
          <w:lang w:val="en-US"/>
        </w:rPr>
        <w:t>lly resected PCLs</w:t>
      </w:r>
      <w:r w:rsidRPr="008730C8">
        <w:rPr>
          <w:rFonts w:ascii="Book Antiqua" w:hAnsi="Book Antiqua" w:cs="Times New Roman"/>
          <w:sz w:val="24"/>
          <w:szCs w:val="24"/>
          <w:lang w:val="en-US"/>
        </w:rPr>
        <w:t>.</w:t>
      </w:r>
    </w:p>
    <w:p w14:paraId="023563B1" w14:textId="06B473EA" w:rsidR="00EB0814" w:rsidRPr="008730C8" w:rsidRDefault="00EB0814" w:rsidP="00EE2D6C">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To overcome the limitations of the reduced number of patients and the lack of pathological confirmation in previous series, Napoléon </w:t>
      </w:r>
      <w:r w:rsidR="007337E2" w:rsidRPr="007337E2">
        <w:rPr>
          <w:rFonts w:ascii="Book Antiqua" w:hAnsi="Book Antiqua" w:cs="Times New Roman"/>
          <w:i/>
          <w:sz w:val="24"/>
          <w:szCs w:val="24"/>
          <w:lang w:val="en-US"/>
        </w:rPr>
        <w:t>et al</w:t>
      </w:r>
      <w:r w:rsidR="00EE2D6C" w:rsidRPr="008730C8">
        <w:rPr>
          <w:rFonts w:ascii="Book Antiqua" w:hAnsi="Book Antiqua" w:cs="Times New Roman"/>
          <w:sz w:val="24"/>
          <w:szCs w:val="24"/>
          <w:vertAlign w:val="superscript"/>
          <w:lang w:val="en-US"/>
        </w:rPr>
        <w:t>[55]</w:t>
      </w:r>
      <w:r w:rsidRPr="008730C8">
        <w:rPr>
          <w:rFonts w:ascii="Book Antiqua" w:hAnsi="Book Antiqua" w:cs="Times New Roman"/>
          <w:sz w:val="24"/>
          <w:szCs w:val="24"/>
          <w:lang w:val="en-US"/>
        </w:rPr>
        <w:t xml:space="preserve"> designed a larger multicenter and prospective study (CONTACT 2) whose results are now available (submitted). Among 209 enrolled patients with a noncommunicating solitary cyst, 78 patients with a final diagnosis proven by surgical histopathology or cytopathological analysis of cyst fluid by EUS-FNA were included in the final results. The overall diagnostic yield of nCLE was 91</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and the sensitivity and specificity for </w:t>
      </w:r>
      <w:r w:rsidR="00AC4465" w:rsidRPr="008730C8">
        <w:rPr>
          <w:rFonts w:ascii="Book Antiqua" w:hAnsi="Book Antiqua" w:cs="Times New Roman"/>
          <w:sz w:val="24"/>
          <w:szCs w:val="24"/>
          <w:lang w:val="en-US"/>
        </w:rPr>
        <w:t xml:space="preserve">the main </w:t>
      </w:r>
      <w:r w:rsidRPr="008730C8">
        <w:rPr>
          <w:rFonts w:ascii="Book Antiqua" w:hAnsi="Book Antiqua" w:cs="Times New Roman"/>
          <w:sz w:val="24"/>
          <w:szCs w:val="24"/>
          <w:lang w:val="en-US"/>
        </w:rPr>
        <w:t>types of PCLs were higher than 95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Perfect specificity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was observed for diagnosing SCA and premalignant mucinous cysts. Furthermore, the nCLE </w:t>
      </w:r>
      <w:r w:rsidR="00AC4465" w:rsidRPr="008730C8">
        <w:rPr>
          <w:rFonts w:ascii="Book Antiqua" w:hAnsi="Book Antiqua" w:cs="Times New Roman"/>
          <w:sz w:val="24"/>
          <w:szCs w:val="24"/>
          <w:lang w:val="en-US"/>
        </w:rPr>
        <w:t xml:space="preserve">area under the curve </w:t>
      </w:r>
      <w:r w:rsidRPr="008730C8">
        <w:rPr>
          <w:rFonts w:ascii="Book Antiqua" w:hAnsi="Book Antiqua" w:cs="Times New Roman"/>
          <w:sz w:val="24"/>
          <w:szCs w:val="24"/>
          <w:lang w:val="en-US"/>
        </w:rPr>
        <w:t>was significantly higher than that of CEA dosage for differentiating mucinous from nonmucinous cysts (</w:t>
      </w:r>
      <w:r w:rsidR="00EE2D6C" w:rsidRPr="00EE2D6C">
        <w:rPr>
          <w:rFonts w:ascii="Book Antiqua" w:hAnsi="Book Antiqua" w:cs="Times New Roman"/>
          <w:i/>
          <w:sz w:val="24"/>
          <w:szCs w:val="24"/>
          <w:lang w:val="en-US"/>
        </w:rPr>
        <w:t>P</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&lt;</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0.01)</w:t>
      </w:r>
      <w:r w:rsidRPr="008730C8">
        <w:rPr>
          <w:rFonts w:ascii="Book Antiqua" w:hAnsi="Book Antiqua" w:cs="Times New Roman"/>
          <w:sz w:val="24"/>
          <w:szCs w:val="24"/>
          <w:lang w:val="en-US"/>
        </w:rPr>
        <w:t xml:space="preserve"> and higher than </w:t>
      </w:r>
      <w:r w:rsidR="00AC4465" w:rsidRPr="008730C8">
        <w:rPr>
          <w:rFonts w:ascii="Book Antiqua" w:hAnsi="Book Antiqua" w:cs="Times New Roman"/>
          <w:sz w:val="24"/>
          <w:szCs w:val="24"/>
          <w:lang w:val="en-US"/>
        </w:rPr>
        <w:t>that</w:t>
      </w:r>
      <w:r w:rsidRPr="008730C8">
        <w:rPr>
          <w:rFonts w:ascii="Book Antiqua" w:hAnsi="Book Antiqua" w:cs="Times New Roman"/>
          <w:sz w:val="24"/>
          <w:szCs w:val="24"/>
          <w:lang w:val="en-US"/>
        </w:rPr>
        <w:t xml:space="preserve"> of EUS morphology in differenti</w:t>
      </w:r>
      <w:r w:rsidR="00AC4465" w:rsidRPr="008730C8">
        <w:rPr>
          <w:rFonts w:ascii="Book Antiqua" w:hAnsi="Book Antiqua" w:cs="Times New Roman"/>
          <w:sz w:val="24"/>
          <w:szCs w:val="24"/>
          <w:lang w:val="en-US"/>
        </w:rPr>
        <w:t xml:space="preserve">ating </w:t>
      </w:r>
      <w:r w:rsidRPr="008730C8">
        <w:rPr>
          <w:rFonts w:ascii="Book Antiqua" w:hAnsi="Book Antiqua" w:cs="Times New Roman"/>
          <w:sz w:val="24"/>
          <w:szCs w:val="24"/>
          <w:lang w:val="en-US"/>
        </w:rPr>
        <w:t>between premalignant and benign PCLs (</w:t>
      </w:r>
      <w:r w:rsidR="00EE2D6C" w:rsidRPr="00EE2D6C">
        <w:rPr>
          <w:rFonts w:ascii="Book Antiqua" w:hAnsi="Book Antiqua" w:cs="Times New Roman"/>
          <w:i/>
          <w:sz w:val="24"/>
          <w:szCs w:val="24"/>
          <w:lang w:val="en-US"/>
        </w:rPr>
        <w:t>P</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&lt;</w:t>
      </w:r>
      <w:r w:rsidR="00EE2D6C">
        <w:rPr>
          <w:rFonts w:ascii="Book Antiqua" w:hAnsi="Book Antiqua" w:cs="Times New Roman" w:hint="eastAsia"/>
          <w:sz w:val="24"/>
          <w:szCs w:val="24"/>
          <w:lang w:val="en-US" w:eastAsia="zh-CN"/>
        </w:rPr>
        <w:t xml:space="preserve"> </w:t>
      </w:r>
      <w:r w:rsidRPr="00EE2D6C">
        <w:rPr>
          <w:rFonts w:ascii="Book Antiqua" w:hAnsi="Book Antiqua" w:cs="Times New Roman"/>
          <w:sz w:val="24"/>
          <w:szCs w:val="24"/>
          <w:lang w:val="en-US"/>
        </w:rPr>
        <w:t>0.05).</w:t>
      </w:r>
      <w:r w:rsidRPr="008730C8">
        <w:rPr>
          <w:rFonts w:ascii="Book Antiqua" w:hAnsi="Book Antiqua" w:cs="Times New Roman"/>
          <w:sz w:val="24"/>
          <w:szCs w:val="24"/>
          <w:lang w:val="en-US"/>
        </w:rPr>
        <w:t xml:space="preserve"> However, nCLE criteria were not highly specific for NEN and PC. NEN criteria were also </w:t>
      </w:r>
      <w:r w:rsidRPr="008730C8">
        <w:rPr>
          <w:rFonts w:ascii="Book Antiqua" w:hAnsi="Book Antiqua" w:cs="Times New Roman"/>
          <w:sz w:val="24"/>
          <w:szCs w:val="24"/>
          <w:lang w:val="en-US"/>
        </w:rPr>
        <w:lastRenderedPageBreak/>
        <w:t xml:space="preserve">observed in one </w:t>
      </w:r>
      <w:bookmarkStart w:id="74" w:name="_Hlk509955452"/>
      <w:r w:rsidRPr="008730C8">
        <w:rPr>
          <w:rFonts w:ascii="Book Antiqua" w:hAnsi="Book Antiqua" w:cs="Times New Roman"/>
          <w:sz w:val="24"/>
          <w:szCs w:val="24"/>
          <w:lang w:val="en-US"/>
        </w:rPr>
        <w:t>cystic solid pseudopapillary neoplasia</w:t>
      </w:r>
      <w:bookmarkEnd w:id="74"/>
      <w:r w:rsidRPr="008730C8">
        <w:rPr>
          <w:rFonts w:ascii="Book Antiqua" w:hAnsi="Book Antiqua" w:cs="Times New Roman"/>
          <w:sz w:val="24"/>
          <w:szCs w:val="24"/>
          <w:lang w:val="en-US"/>
        </w:rPr>
        <w:t xml:space="preserve"> (CSPPN), one cystic lymphoma and 1 PC. Additionally, one mucinous lesion and one SCA exhibited PC criteria. Acute pancreatitis occurred only in 1.3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patients. Although the impact of nCLE on patient management was not evaluated, it is noteworthy that in 29</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patients with a previous inconclusive EUS-FNA, nCLE was conclusive in 91</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cases and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accurate.</w:t>
      </w:r>
    </w:p>
    <w:p w14:paraId="553E392B" w14:textId="1E6B73BB" w:rsidR="00EB0814" w:rsidRPr="008730C8" w:rsidRDefault="00EB0814" w:rsidP="00EE2D6C">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The first reports on interobserver agreement </w:t>
      </w:r>
      <w:r w:rsidR="00EE2D6C">
        <w:rPr>
          <w:rFonts w:ascii="Book Antiqua" w:hAnsi="Book Antiqua" w:cs="Times New Roman"/>
          <w:sz w:val="24"/>
          <w:szCs w:val="24"/>
          <w:lang w:val="en-US"/>
        </w:rPr>
        <w:t>(IOA) yielded diverging results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51</w:t>
      </w:r>
      <w:r w:rsidR="00EE2D6C">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56</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In the first one (CONTACT 1), four external reviewers assessed the IOA o</w:t>
      </w:r>
      <w:r w:rsidR="00EE2D6C">
        <w:rPr>
          <w:rFonts w:ascii="Book Antiqua" w:hAnsi="Book Antiqua" w:cs="Times New Roman"/>
          <w:sz w:val="24"/>
          <w:szCs w:val="24"/>
          <w:lang w:val="en-US"/>
        </w:rPr>
        <w:t>f the nCLE criteria in 31 cases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51</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The diagnostic accuracy for mucinous cysts was 94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and the global IOA was rated as substantial (k = 0.72, 95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CI: 0.52-0.87). A later validation study reported low diagnostic accuracy for the type of PCL (46</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with an IOA ranging from poor</w:t>
      </w:r>
      <w:r w:rsidR="00AC11D7">
        <w:rPr>
          <w:rFonts w:ascii="Book Antiqua" w:hAnsi="Book Antiqua" w:cs="Times New Roman"/>
          <w:sz w:val="24"/>
          <w:szCs w:val="24"/>
          <w:lang w:val="en-US"/>
        </w:rPr>
        <w:t xml:space="preserve"> to fair for all nCLE variables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56</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However, careful interpretation of these results is advised due to limitations such as poor image quality and short duration of video capture, which may have accounted for the poor results, and other methodological issues such as the lack of intraobserver reliability and few patients with a histological gold-standard diagnosis. More recently, two other studies aimed to validate nCLE criteria. One investigation consisted of a retrospect</w:t>
      </w:r>
      <w:r w:rsidR="00EE2D6C">
        <w:rPr>
          <w:rFonts w:ascii="Book Antiqua" w:hAnsi="Book Antiqua" w:cs="Times New Roman"/>
          <w:sz w:val="24"/>
          <w:szCs w:val="24"/>
          <w:lang w:val="en-US"/>
        </w:rPr>
        <w:t>ive analysis at a single center</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57</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58</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nCLE videos from 26 patients (23 with pathological diagnosis) were reviewed by</w:t>
      </w:r>
      <w:r w:rsidR="00AC11D7">
        <w:rPr>
          <w:rFonts w:ascii="Book Antiqua" w:hAnsi="Book Antiqua" w:cs="Times New Roman"/>
          <w:sz w:val="24"/>
          <w:szCs w:val="24"/>
          <w:lang w:val="en-US"/>
        </w:rPr>
        <w:t xml:space="preserve"> 6 blinded nCLE-naïve observers</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57</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Substantial IOA and IOR were achieved for differentiating mucinous from nonmucinous cysts (k = 0.67, 95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CI: 0.57-0.77 and k</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0.78 ±</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0.13, respectively) and for detecting all nCLE criteria. These results were further corroborated by an international external intero</w:t>
      </w:r>
      <w:r w:rsidR="00EE2D6C">
        <w:rPr>
          <w:rFonts w:ascii="Book Antiqua" w:hAnsi="Book Antiqua" w:cs="Times New Roman"/>
          <w:sz w:val="24"/>
          <w:szCs w:val="24"/>
          <w:lang w:val="en-US"/>
        </w:rPr>
        <w:t>bserver and intraobserver study</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58</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In 29 patients, the overall accuracy of nCLE for the diagnosis of mucinous cysts was 95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with an almost perfect IOA and IOR among six expert endosonographers with nCLE experience (k</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 0.81, 95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CI: 0.71-0.90 and k</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0.86 ± 0.11, respectively). Furthermore, nCLE was 98</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accurate in diagnosing SCA and the IOA and IOR for recognizing the fern pattern (previously defined as superficial vascular network) were also almost perfect (k</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0.83, 95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CI: 0.73-0.92 and k</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0.85</w:t>
      </w:r>
      <w:r w:rsidR="00EE2D6C">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 0.11, respectively).</w:t>
      </w:r>
    </w:p>
    <w:p w14:paraId="75157A64" w14:textId="77777777" w:rsidR="00EB0814" w:rsidRPr="00EE2D6C" w:rsidRDefault="00EB0814" w:rsidP="008730C8">
      <w:pPr>
        <w:adjustRightInd w:val="0"/>
        <w:snapToGrid w:val="0"/>
        <w:spacing w:after="0" w:line="360" w:lineRule="auto"/>
        <w:jc w:val="both"/>
        <w:rPr>
          <w:rFonts w:ascii="Book Antiqua" w:hAnsi="Book Antiqua" w:cs="Times New Roman"/>
          <w:sz w:val="24"/>
          <w:szCs w:val="24"/>
          <w:lang w:val="en-US"/>
        </w:rPr>
      </w:pPr>
    </w:p>
    <w:p w14:paraId="5405525A" w14:textId="77777777" w:rsidR="00EB0814" w:rsidRPr="00EE2D6C" w:rsidRDefault="00EB0814" w:rsidP="008730C8">
      <w:pPr>
        <w:adjustRightInd w:val="0"/>
        <w:snapToGrid w:val="0"/>
        <w:spacing w:after="0" w:line="360" w:lineRule="auto"/>
        <w:jc w:val="both"/>
        <w:rPr>
          <w:rFonts w:ascii="Book Antiqua" w:hAnsi="Book Antiqua" w:cs="Times New Roman"/>
          <w:b/>
          <w:sz w:val="24"/>
          <w:szCs w:val="24"/>
          <w:lang w:val="en-US"/>
        </w:rPr>
      </w:pPr>
      <w:r w:rsidRPr="00EE2D6C">
        <w:rPr>
          <w:rFonts w:ascii="Book Antiqua" w:hAnsi="Book Antiqua" w:cs="Times New Roman"/>
          <w:b/>
          <w:sz w:val="24"/>
          <w:szCs w:val="24"/>
          <w:lang w:val="en-US"/>
        </w:rPr>
        <w:t>THROUGH-THE-NEEDLE CYSTOSCOPY</w:t>
      </w:r>
    </w:p>
    <w:p w14:paraId="6B3522A1" w14:textId="228CBFEE"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Through-the-needle cystoscopy is a procedure that allows direct assessment of the cyst content as well as the inner cyst wall by means of single-operator cholangioscopy fiberoptic probe (Spyglass</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Boston Scientific, Natick, Mass, U</w:t>
      </w:r>
      <w:r w:rsidR="00EE2D6C">
        <w:rPr>
          <w:rFonts w:ascii="Book Antiqua" w:hAnsi="Book Antiqua" w:cs="Times New Roman" w:hint="eastAsia"/>
          <w:sz w:val="24"/>
          <w:szCs w:val="24"/>
          <w:lang w:val="en-US" w:eastAsia="zh-CN"/>
        </w:rPr>
        <w:t>nited States</w:t>
      </w:r>
      <w:r w:rsidRPr="008730C8">
        <w:rPr>
          <w:rFonts w:ascii="Book Antiqua" w:hAnsi="Book Antiqua" w:cs="Times New Roman"/>
          <w:sz w:val="24"/>
          <w:szCs w:val="24"/>
          <w:lang w:val="en-US"/>
        </w:rPr>
        <w:t>). The probe has 6000-pixel optic bundles, a 300 cm working length and a diameter of 0.77 mm. It provides a 70-degree field of vie</w:t>
      </w:r>
      <w:r w:rsidR="00EE2D6C">
        <w:rPr>
          <w:rFonts w:ascii="Book Antiqua" w:hAnsi="Book Antiqua" w:cs="Times New Roman"/>
          <w:sz w:val="24"/>
          <w:szCs w:val="24"/>
          <w:lang w:val="en-US"/>
        </w:rPr>
        <w:t>w and has a 2-7 mm focal length</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43</w:t>
      </w:r>
      <w:r w:rsidR="00AC11D7">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50</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The cystic cavity is accessed under EUS guidance with a 19G EUS needle. Before starting the procedure, the needle stylet is removed, and the fiberoptic probe is preloaded through the 19G needle and </w:t>
      </w:r>
      <w:r w:rsidR="00542F5E" w:rsidRPr="008730C8">
        <w:rPr>
          <w:rFonts w:ascii="Book Antiqua" w:hAnsi="Book Antiqua" w:cs="Times New Roman"/>
          <w:sz w:val="24"/>
          <w:szCs w:val="24"/>
          <w:lang w:val="en-US"/>
        </w:rPr>
        <w:t xml:space="preserve">prefitted </w:t>
      </w:r>
      <w:r w:rsidRPr="008730C8">
        <w:rPr>
          <w:rFonts w:ascii="Book Antiqua" w:hAnsi="Book Antiqua" w:cs="Times New Roman"/>
          <w:sz w:val="24"/>
          <w:szCs w:val="24"/>
          <w:lang w:val="en-US"/>
        </w:rPr>
        <w:t>with the advancement of the probe 2 mm beyond the needle tip. Then, the probe is withdrawn 2-3 mm inside the needle, and once inside the cyst, the probe is advanced again to the prefitted position. Prophylactic antibiotics are always given, and cystoscopy images may</w:t>
      </w:r>
      <w:r w:rsidR="00542F5E">
        <w:rPr>
          <w:rFonts w:ascii="Book Antiqua" w:hAnsi="Book Antiqua" w:cs="Times New Roman"/>
          <w:sz w:val="24"/>
          <w:szCs w:val="24"/>
          <w:lang w:val="en-US"/>
        </w:rPr>
        <w:t xml:space="preserve"> be recorded for further review</w:t>
      </w:r>
      <w:r w:rsidRPr="008730C8">
        <w:rPr>
          <w:rFonts w:ascii="Book Antiqua" w:hAnsi="Book Antiqua" w:cs="Times New Roman"/>
          <w:sz w:val="24"/>
          <w:szCs w:val="24"/>
          <w:vertAlign w:val="superscript"/>
          <w:lang w:val="en-US"/>
        </w:rPr>
        <w:t>[50]</w:t>
      </w:r>
      <w:r w:rsidRPr="008730C8">
        <w:rPr>
          <w:rFonts w:ascii="Book Antiqua" w:hAnsi="Book Antiqua" w:cs="Times New Roman"/>
          <w:sz w:val="24"/>
          <w:szCs w:val="24"/>
          <w:lang w:val="en-US"/>
        </w:rPr>
        <w:t>.</w:t>
      </w:r>
    </w:p>
    <w:p w14:paraId="3E7AD287" w14:textId="77777777" w:rsidR="00EB0814" w:rsidRPr="008730C8" w:rsidRDefault="00EB0814" w:rsidP="008730C8">
      <w:pPr>
        <w:adjustRightInd w:val="0"/>
        <w:snapToGrid w:val="0"/>
        <w:spacing w:after="0" w:line="360" w:lineRule="auto"/>
        <w:jc w:val="both"/>
        <w:rPr>
          <w:rFonts w:ascii="Book Antiqua" w:hAnsi="Book Antiqua" w:cs="Times New Roman"/>
          <w:b/>
          <w:sz w:val="24"/>
          <w:szCs w:val="24"/>
          <w:lang w:val="en-US"/>
        </w:rPr>
      </w:pPr>
    </w:p>
    <w:p w14:paraId="08EB6BC6" w14:textId="77777777" w:rsidR="00EB0814" w:rsidRPr="00542F5E" w:rsidRDefault="00EB0814" w:rsidP="008730C8">
      <w:pPr>
        <w:adjustRightInd w:val="0"/>
        <w:snapToGrid w:val="0"/>
        <w:spacing w:after="0" w:line="360" w:lineRule="auto"/>
        <w:jc w:val="both"/>
        <w:rPr>
          <w:rFonts w:ascii="Book Antiqua" w:hAnsi="Book Antiqua" w:cs="Times New Roman"/>
          <w:b/>
          <w:i/>
          <w:sz w:val="24"/>
          <w:szCs w:val="24"/>
          <w:lang w:val="en-US"/>
        </w:rPr>
      </w:pPr>
      <w:r w:rsidRPr="00542F5E">
        <w:rPr>
          <w:rFonts w:ascii="Book Antiqua" w:hAnsi="Book Antiqua" w:cs="Times New Roman"/>
          <w:b/>
          <w:i/>
          <w:sz w:val="24"/>
          <w:szCs w:val="24"/>
          <w:lang w:val="en-US"/>
        </w:rPr>
        <w:t>Clinical outcomes: Review of the literature</w:t>
      </w:r>
    </w:p>
    <w:p w14:paraId="4A923F87" w14:textId="16CD37B5"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Of the 8 references retrieved, only 3 su</w:t>
      </w:r>
      <w:r w:rsidR="00542F5E">
        <w:rPr>
          <w:rFonts w:ascii="Book Antiqua" w:hAnsi="Book Antiqua" w:cs="Times New Roman"/>
          <w:sz w:val="24"/>
          <w:szCs w:val="24"/>
          <w:lang w:val="en-US"/>
        </w:rPr>
        <w:t>itable articles were identified</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50</w:t>
      </w:r>
      <w:r w:rsidR="00542F5E">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59</w:t>
      </w:r>
      <w:r w:rsidRPr="008730C8">
        <w:rPr>
          <w:rFonts w:ascii="Book Antiqua" w:hAnsi="Book Antiqua" w:cs="Times New Roman"/>
          <w:sz w:val="24"/>
          <w:szCs w:val="24"/>
          <w:vertAlign w:val="superscript"/>
          <w:lang w:val="en-US"/>
        </w:rPr>
        <w:t>-</w:t>
      </w:r>
      <w:r w:rsidR="00BD02EC" w:rsidRPr="008730C8">
        <w:rPr>
          <w:rFonts w:ascii="Book Antiqua" w:hAnsi="Book Antiqua" w:cs="Times New Roman"/>
          <w:sz w:val="24"/>
          <w:szCs w:val="24"/>
          <w:vertAlign w:val="superscript"/>
          <w:lang w:val="en-US"/>
        </w:rPr>
        <w:t>60</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The first one reported on two patients who underwent through-the-needle cystoscopy fol</w:t>
      </w:r>
      <w:r w:rsidR="00542F5E">
        <w:rPr>
          <w:rFonts w:ascii="Book Antiqua" w:hAnsi="Book Antiqua" w:cs="Times New Roman"/>
          <w:sz w:val="24"/>
          <w:szCs w:val="24"/>
          <w:lang w:val="en-US"/>
        </w:rPr>
        <w:t>lowed by biliary forceps biopsy</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59</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In both cases, it was possible to rule out a pseudocyst because a flat normal mucosa was visualized lining the inner cyst wall. In addition, cystoscopy enabled a better delineation of mural nodules and targeted biopsies of the selected suspicious areas. Severe acute pancreatitis occurred in one patient one month after the procedure. It is not possible to rule out a delayed procedure-related complication, although very unlikely.</w:t>
      </w:r>
    </w:p>
    <w:p w14:paraId="679C0B83" w14:textId="25F055D0" w:rsidR="00EB0814" w:rsidRPr="008730C8" w:rsidRDefault="00EB0814"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In the prospective DETECT study, Nakai </w:t>
      </w:r>
      <w:r w:rsidR="007337E2" w:rsidRPr="007337E2">
        <w:rPr>
          <w:rFonts w:ascii="Book Antiqua" w:hAnsi="Book Antiqua" w:cs="Times New Roman"/>
          <w:i/>
          <w:sz w:val="24"/>
          <w:szCs w:val="24"/>
          <w:lang w:val="en-US"/>
        </w:rPr>
        <w:t>et al</w:t>
      </w:r>
      <w:r w:rsidR="00542F5E" w:rsidRPr="008730C8">
        <w:rPr>
          <w:rFonts w:ascii="Book Antiqua" w:hAnsi="Book Antiqua" w:cs="Times New Roman"/>
          <w:sz w:val="24"/>
          <w:szCs w:val="24"/>
          <w:vertAlign w:val="superscript"/>
          <w:lang w:val="en-US"/>
        </w:rPr>
        <w:t>[50]</w:t>
      </w:r>
      <w:r w:rsidRPr="008730C8">
        <w:rPr>
          <w:rFonts w:ascii="Book Antiqua" w:hAnsi="Book Antiqua" w:cs="Times New Roman"/>
          <w:sz w:val="24"/>
          <w:szCs w:val="24"/>
          <w:lang w:val="en-US"/>
        </w:rPr>
        <w:t xml:space="preserve"> performed through-the needle-cystoscopy followed by nCLE in 30 patients. The cyst content was evaluated for clarity, the presence of mucin or debris, and the smoothness, nodularity and vascularity of the cyst walls were assessed. The median image time of cystoscopy was 4 min, and 33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the images were rated as fair or poor. The mucinous content was described as viscous and cloudy fluid. Typical </w:t>
      </w:r>
      <w:r w:rsidRPr="008730C8">
        <w:rPr>
          <w:rFonts w:ascii="Book Antiqua" w:hAnsi="Book Antiqua" w:cs="Times New Roman"/>
          <w:sz w:val="24"/>
          <w:szCs w:val="24"/>
          <w:lang w:val="en-US"/>
        </w:rPr>
        <w:lastRenderedPageBreak/>
        <w:t>findings and their clinical correlations were finger-like projections and a mucin cloud in IPMNs, smooth cyst walls with cloudy fluid in MCNs, and smooth cyst walls with prominent regular vessels in SCAs. However, the only significant association in 18 high-certainty diagnoses was observed between mucin on cystoscopy and mucinous cysts (</w:t>
      </w:r>
      <w:r w:rsidR="00542F5E" w:rsidRPr="00542F5E">
        <w:rPr>
          <w:rFonts w:ascii="Book Antiqua" w:hAnsi="Book Antiqua" w:cs="Times New Roman"/>
          <w:i/>
          <w:sz w:val="24"/>
          <w:szCs w:val="24"/>
          <w:lang w:val="en-US"/>
        </w:rPr>
        <w:t>P</w:t>
      </w:r>
      <w:r w:rsidR="00542F5E">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w:t>
      </w:r>
      <w:r w:rsidR="00542F5E">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0.0004), with 90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sensitivity,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specificity,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PPV,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NPV and 94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accuracy. However, finger-like projections were identified in only two of the ten high-certainty mucinous lesions. When cystoscopy and nCLE were combined, the sensitivity increased from 90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to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Post</w:t>
      </w:r>
      <w:r w:rsidR="00542F5E">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procedure pancreatitis was reported twice.</w:t>
      </w:r>
    </w:p>
    <w:p w14:paraId="687288E3" w14:textId="62E07F8D" w:rsidR="00EB0814" w:rsidRDefault="00EB0814" w:rsidP="00542F5E">
      <w:pPr>
        <w:adjustRightInd w:val="0"/>
        <w:snapToGrid w:val="0"/>
        <w:spacing w:after="0" w:line="360" w:lineRule="auto"/>
        <w:ind w:firstLineChars="100" w:firstLine="240"/>
        <w:jc w:val="both"/>
        <w:rPr>
          <w:rFonts w:ascii="Book Antiqua" w:hAnsi="Book Antiqua" w:cs="Times New Roman"/>
          <w:sz w:val="24"/>
          <w:szCs w:val="24"/>
          <w:lang w:val="en-US" w:eastAsia="zh-CN"/>
        </w:rPr>
      </w:pPr>
      <w:r w:rsidRPr="008730C8">
        <w:rPr>
          <w:rFonts w:ascii="Book Antiqua" w:hAnsi="Book Antiqua" w:cs="Times New Roman"/>
          <w:sz w:val="24"/>
          <w:szCs w:val="24"/>
          <w:lang w:val="en-US"/>
        </w:rPr>
        <w:t xml:space="preserve">In a retrospective study published last year, Chai </w:t>
      </w:r>
      <w:r w:rsidR="007337E2" w:rsidRPr="007337E2">
        <w:rPr>
          <w:rFonts w:ascii="Book Antiqua" w:hAnsi="Book Antiqua" w:cs="Times New Roman"/>
          <w:i/>
          <w:sz w:val="24"/>
          <w:szCs w:val="24"/>
          <w:lang w:val="en-US"/>
        </w:rPr>
        <w:t>et al</w:t>
      </w:r>
      <w:r w:rsidR="00542F5E" w:rsidRPr="008730C8">
        <w:rPr>
          <w:rFonts w:ascii="Book Antiqua" w:hAnsi="Book Antiqua" w:cs="Times New Roman"/>
          <w:sz w:val="24"/>
          <w:szCs w:val="24"/>
          <w:vertAlign w:val="superscript"/>
          <w:lang w:val="en-US"/>
        </w:rPr>
        <w:t>[60]</w:t>
      </w:r>
      <w:r w:rsidRPr="008730C8">
        <w:rPr>
          <w:rFonts w:ascii="Book Antiqua" w:hAnsi="Book Antiqua" w:cs="Times New Roman"/>
          <w:sz w:val="24"/>
          <w:szCs w:val="24"/>
          <w:lang w:val="en-US"/>
        </w:rPr>
        <w:t xml:space="preserve"> performed through-the-needle cystoscopy in 43 patients. Based on the blood vessel distribution, the presence of partitions or ridge-like structures and the presence of papilla-like structures, the characteristic findings of different PCLs were defined and then validated by surgical pathology, FNA or fluid cytology. The authors concluded that a tree-like branching pattern of blood vessels may suggest the diagnosis of SCA (specificity, 91</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sensitivity, 69</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and that intracystic papilla-like structures may be characteristic of mucinous cysts (specificity, 92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sensitivity, 22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No pancreatitis was observed, and only two patients presented mild abdominal post</w:t>
      </w:r>
      <w:r w:rsidR="00542F5E">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 xml:space="preserve">procedure pain. </w:t>
      </w:r>
    </w:p>
    <w:p w14:paraId="598A3477" w14:textId="77777777" w:rsidR="00542F5E" w:rsidRPr="008730C8" w:rsidRDefault="00542F5E" w:rsidP="00542F5E">
      <w:pPr>
        <w:adjustRightInd w:val="0"/>
        <w:snapToGrid w:val="0"/>
        <w:spacing w:after="0" w:line="360" w:lineRule="auto"/>
        <w:ind w:firstLineChars="100" w:firstLine="240"/>
        <w:jc w:val="both"/>
        <w:rPr>
          <w:rFonts w:ascii="Book Antiqua" w:hAnsi="Book Antiqua" w:cs="Times New Roman"/>
          <w:sz w:val="24"/>
          <w:szCs w:val="24"/>
          <w:lang w:val="en-US" w:eastAsia="zh-CN"/>
        </w:rPr>
      </w:pPr>
    </w:p>
    <w:p w14:paraId="5E8BA4B0" w14:textId="77777777" w:rsidR="00EB0814" w:rsidRPr="00542F5E" w:rsidRDefault="00EB0814" w:rsidP="008730C8">
      <w:pPr>
        <w:adjustRightInd w:val="0"/>
        <w:snapToGrid w:val="0"/>
        <w:spacing w:after="0" w:line="360" w:lineRule="auto"/>
        <w:jc w:val="both"/>
        <w:rPr>
          <w:rFonts w:ascii="Book Antiqua" w:hAnsi="Book Antiqua" w:cs="Times New Roman"/>
          <w:b/>
          <w:sz w:val="24"/>
          <w:szCs w:val="24"/>
          <w:lang w:val="en-US"/>
        </w:rPr>
      </w:pPr>
      <w:r w:rsidRPr="00542F5E">
        <w:rPr>
          <w:rFonts w:ascii="Book Antiqua" w:hAnsi="Book Antiqua" w:cs="Times New Roman"/>
          <w:b/>
          <w:sz w:val="24"/>
          <w:szCs w:val="24"/>
          <w:lang w:val="en-US"/>
        </w:rPr>
        <w:t>THROUGH-THE-NEEDLE FORCEPS BIOPSY</w:t>
      </w:r>
    </w:p>
    <w:p w14:paraId="320C0A68" w14:textId="30D054A3" w:rsidR="00EB0814" w:rsidRDefault="00EB0814"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hAnsi="Book Antiqua" w:cs="Times New Roman"/>
          <w:sz w:val="24"/>
          <w:szCs w:val="24"/>
          <w:lang w:val="en-US"/>
        </w:rPr>
        <w:t>The low sensitivity of EUS-FNA cytology because of relatively acellular samples makes appealing the possibility to obtain biopsies. The design of minibiopsy forceps has led to the development of a new EUS-FNA tissue acquisition technique. Moray</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micro forceps (US Endoscopy, Ohio, U</w:t>
      </w:r>
      <w:r w:rsidR="00542F5E">
        <w:rPr>
          <w:rFonts w:ascii="Book Antiqua" w:hAnsi="Book Antiqua" w:cs="Times New Roman" w:hint="eastAsia"/>
          <w:sz w:val="24"/>
          <w:szCs w:val="24"/>
          <w:lang w:val="en-US" w:eastAsia="zh-CN"/>
        </w:rPr>
        <w:t>nited States</w:t>
      </w:r>
      <w:r w:rsidRPr="008730C8">
        <w:rPr>
          <w:rFonts w:ascii="Book Antiqua" w:hAnsi="Book Antiqua" w:cs="Times New Roman"/>
          <w:sz w:val="24"/>
          <w:szCs w:val="24"/>
          <w:lang w:val="en-US"/>
        </w:rPr>
        <w:t>) were designed for use in EUS procedures to enhance sampling from lesions that can occur within and outside the gastrointestinal tract, leading to a more definitive diagnosis</w:t>
      </w:r>
      <w:r w:rsidR="008A67E5" w:rsidRPr="008730C8">
        <w:rPr>
          <w:rFonts w:ascii="Book Antiqua" w:hAnsi="Book Antiqua" w:cs="Times New Roman"/>
          <w:sz w:val="24"/>
          <w:szCs w:val="24"/>
          <w:lang w:val="en-US"/>
        </w:rPr>
        <w:t xml:space="preserve"> (Figure 8)</w:t>
      </w:r>
      <w:r w:rsidRPr="008730C8">
        <w:rPr>
          <w:rFonts w:ascii="Book Antiqua" w:hAnsi="Book Antiqua" w:cs="Times New Roman"/>
          <w:sz w:val="24"/>
          <w:szCs w:val="24"/>
          <w:lang w:val="en-US"/>
        </w:rPr>
        <w:t>. These forceps are 230 cm in length and have serrated jaws (jaw opening of 4.3 mm) and a spring sheath 0.8 mm in diameter, allowi</w:t>
      </w:r>
      <w:r w:rsidR="00542F5E">
        <w:rPr>
          <w:rFonts w:ascii="Book Antiqua" w:hAnsi="Book Antiqua" w:cs="Times New Roman"/>
          <w:sz w:val="24"/>
          <w:szCs w:val="24"/>
          <w:lang w:val="en-US"/>
        </w:rPr>
        <w:t>ng use through a 19G EUS needle</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43</w:t>
      </w:r>
      <w:r w:rsidR="00542F5E">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61</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w:t>
      </w:r>
    </w:p>
    <w:p w14:paraId="434BC43C" w14:textId="77777777" w:rsidR="00542F5E" w:rsidRPr="008730C8" w:rsidRDefault="00542F5E" w:rsidP="008730C8">
      <w:pPr>
        <w:adjustRightInd w:val="0"/>
        <w:snapToGrid w:val="0"/>
        <w:spacing w:after="0" w:line="360" w:lineRule="auto"/>
        <w:jc w:val="both"/>
        <w:rPr>
          <w:rFonts w:ascii="Book Antiqua" w:hAnsi="Book Antiqua" w:cs="Times New Roman"/>
          <w:sz w:val="24"/>
          <w:szCs w:val="24"/>
          <w:lang w:val="en-US" w:eastAsia="zh-CN"/>
        </w:rPr>
      </w:pPr>
    </w:p>
    <w:p w14:paraId="12F8057C" w14:textId="77777777" w:rsidR="00EB0814" w:rsidRPr="00542F5E" w:rsidRDefault="00EB0814" w:rsidP="008730C8">
      <w:pPr>
        <w:adjustRightInd w:val="0"/>
        <w:snapToGrid w:val="0"/>
        <w:spacing w:after="0" w:line="360" w:lineRule="auto"/>
        <w:jc w:val="both"/>
        <w:rPr>
          <w:rFonts w:ascii="Book Antiqua" w:hAnsi="Book Antiqua" w:cs="Times New Roman"/>
          <w:b/>
          <w:i/>
          <w:sz w:val="24"/>
          <w:szCs w:val="24"/>
          <w:lang w:val="en-US"/>
        </w:rPr>
      </w:pPr>
      <w:r w:rsidRPr="00542F5E">
        <w:rPr>
          <w:rFonts w:ascii="Book Antiqua" w:hAnsi="Book Antiqua" w:cs="Times New Roman"/>
          <w:b/>
          <w:i/>
          <w:sz w:val="24"/>
          <w:szCs w:val="24"/>
          <w:lang w:val="en-US"/>
        </w:rPr>
        <w:lastRenderedPageBreak/>
        <w:t>Clinical outcomes: Review of the literature</w:t>
      </w:r>
    </w:p>
    <w:p w14:paraId="4FF72762" w14:textId="6D7B288C" w:rsidR="00EB0814" w:rsidRPr="008730C8" w:rsidRDefault="00EB0814"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No formal study was retrieved after searching PubMed and Embase for “pancreatic cyst” and “intracystic biopsy”. Only two pilot studies reporting on 2 cases each and four addition</w:t>
      </w:r>
      <w:r w:rsidR="00542F5E">
        <w:rPr>
          <w:rFonts w:ascii="Book Antiqua" w:hAnsi="Book Antiqua" w:cs="Times New Roman"/>
          <w:sz w:val="24"/>
          <w:szCs w:val="24"/>
          <w:lang w:val="en-US"/>
        </w:rPr>
        <w:t>al case reports were identified</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59</w:t>
      </w:r>
      <w:r w:rsidR="00542F5E">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61</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65</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w:t>
      </w:r>
    </w:p>
    <w:p w14:paraId="57AEC36D" w14:textId="317BD59E" w:rsidR="00EB0814" w:rsidRPr="008730C8" w:rsidRDefault="00EB0814"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Through-the-needle intracystic biopsy was first described by Aparicio </w:t>
      </w:r>
      <w:r w:rsidR="007337E2" w:rsidRPr="007337E2">
        <w:rPr>
          <w:rFonts w:ascii="Book Antiqua" w:hAnsi="Book Antiqua" w:cs="Times New Roman"/>
          <w:i/>
          <w:sz w:val="24"/>
          <w:szCs w:val="24"/>
          <w:lang w:val="en-US"/>
        </w:rPr>
        <w:t>et al</w:t>
      </w:r>
      <w:r w:rsidR="00542F5E" w:rsidRPr="008730C8">
        <w:rPr>
          <w:rFonts w:ascii="Book Antiqua" w:hAnsi="Book Antiqua" w:cs="Times New Roman"/>
          <w:sz w:val="24"/>
          <w:szCs w:val="24"/>
          <w:vertAlign w:val="superscript"/>
          <w:lang w:val="en-US"/>
        </w:rPr>
        <w:t>[59]</w:t>
      </w:r>
      <w:r w:rsidRPr="008730C8">
        <w:rPr>
          <w:rFonts w:ascii="Book Antiqua" w:hAnsi="Book Antiqua" w:cs="Times New Roman"/>
          <w:sz w:val="24"/>
          <w:szCs w:val="24"/>
          <w:lang w:val="en-US"/>
        </w:rPr>
        <w:t xml:space="preserve"> in two patients. They used 0.8 mm endoscopic retrograde cholangiopancreatography biopsy for</w:t>
      </w:r>
      <w:r w:rsidR="00542F5E">
        <w:rPr>
          <w:rFonts w:ascii="Book Antiqua" w:hAnsi="Book Antiqua" w:cs="Times New Roman"/>
          <w:sz w:val="24"/>
          <w:szCs w:val="24"/>
          <w:lang w:val="en-US"/>
        </w:rPr>
        <w:t>ces followed by a 3</w:t>
      </w:r>
      <w:r w:rsidR="00542F5E">
        <w:rPr>
          <w:rFonts w:ascii="Book Antiqua" w:hAnsi="Book Antiqua" w:cs="Times New Roman" w:hint="eastAsia"/>
          <w:sz w:val="24"/>
          <w:szCs w:val="24"/>
          <w:lang w:val="en-US" w:eastAsia="zh-CN"/>
        </w:rPr>
        <w:t>-</w:t>
      </w:r>
      <w:r w:rsidR="00542F5E">
        <w:rPr>
          <w:rFonts w:ascii="Book Antiqua" w:hAnsi="Book Antiqua" w:cs="Times New Roman"/>
          <w:sz w:val="24"/>
          <w:szCs w:val="24"/>
          <w:lang w:val="en-US"/>
        </w:rPr>
        <w:t>4</w:t>
      </w:r>
      <w:r w:rsidR="00542F5E">
        <w:rPr>
          <w:rFonts w:ascii="Book Antiqua" w:hAnsi="Book Antiqua" w:cs="Times New Roman" w:hint="eastAsia"/>
          <w:sz w:val="24"/>
          <w:szCs w:val="24"/>
          <w:lang w:val="en-US" w:eastAsia="zh-CN"/>
        </w:rPr>
        <w:t xml:space="preserve"> </w:t>
      </w:r>
      <w:r w:rsidR="00542F5E">
        <w:rPr>
          <w:rFonts w:ascii="Book Antiqua" w:hAnsi="Book Antiqua" w:cs="Times New Roman"/>
          <w:sz w:val="24"/>
          <w:szCs w:val="24"/>
          <w:lang w:val="en-US"/>
        </w:rPr>
        <w:t>min</w:t>
      </w:r>
      <w:r w:rsidR="00542F5E">
        <w:rPr>
          <w:rFonts w:ascii="Book Antiqua" w:hAnsi="Book Antiqua" w:cs="Times New Roman" w:hint="eastAsia"/>
          <w:sz w:val="24"/>
          <w:szCs w:val="24"/>
          <w:lang w:val="en-US" w:eastAsia="zh-CN"/>
        </w:rPr>
        <w:t xml:space="preserve"> </w:t>
      </w:r>
      <w:r w:rsidRPr="008730C8">
        <w:rPr>
          <w:rFonts w:ascii="Book Antiqua" w:hAnsi="Book Antiqua" w:cs="Times New Roman"/>
          <w:sz w:val="24"/>
          <w:szCs w:val="24"/>
          <w:lang w:val="en-US"/>
        </w:rPr>
        <w:t>observation with a fiberoptic probe to rule out immediate bleeding. In both cases, a mucinous-like cylindric epithelium without cellular atypia was observed. As stated above, one patient presented severe acute pancreatitis one month later. After this preliminary experience, six more cases were reported to undergo intracystic biopsy, enabling the correct diagnosis of 5 mucinous cysts (one of them with mild dysplasia) and one benign lymphoepithelia</w:t>
      </w:r>
      <w:r w:rsidR="00542F5E">
        <w:rPr>
          <w:rFonts w:ascii="Book Antiqua" w:hAnsi="Book Antiqua" w:cs="Times New Roman"/>
          <w:sz w:val="24"/>
          <w:szCs w:val="24"/>
          <w:lang w:val="en-US"/>
        </w:rPr>
        <w:t>l cyst without any complication</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61</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65</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w:t>
      </w:r>
    </w:p>
    <w:p w14:paraId="020A94D0" w14:textId="77777777" w:rsidR="004B628C" w:rsidRPr="008730C8" w:rsidRDefault="004B628C" w:rsidP="008730C8">
      <w:pPr>
        <w:adjustRightInd w:val="0"/>
        <w:snapToGrid w:val="0"/>
        <w:spacing w:after="0" w:line="360" w:lineRule="auto"/>
        <w:jc w:val="both"/>
        <w:rPr>
          <w:rFonts w:ascii="Book Antiqua" w:hAnsi="Book Antiqua" w:cs="Times New Roman"/>
          <w:sz w:val="24"/>
          <w:szCs w:val="24"/>
          <w:lang w:val="en-US"/>
        </w:rPr>
      </w:pPr>
    </w:p>
    <w:p w14:paraId="2250B25D" w14:textId="75EF81E9" w:rsidR="00EB0814" w:rsidRPr="00542F5E" w:rsidRDefault="00332793" w:rsidP="008730C8">
      <w:pPr>
        <w:adjustRightInd w:val="0"/>
        <w:snapToGrid w:val="0"/>
        <w:spacing w:after="0" w:line="360" w:lineRule="auto"/>
        <w:jc w:val="both"/>
        <w:rPr>
          <w:rFonts w:ascii="Book Antiqua" w:hAnsi="Book Antiqua" w:cs="Times New Roman"/>
          <w:b/>
          <w:sz w:val="24"/>
          <w:szCs w:val="24"/>
          <w:lang w:val="en-US"/>
        </w:rPr>
      </w:pPr>
      <w:r w:rsidRPr="00542F5E">
        <w:rPr>
          <w:rFonts w:ascii="Book Antiqua" w:hAnsi="Book Antiqua" w:cs="Times New Roman"/>
          <w:b/>
          <w:sz w:val="24"/>
          <w:szCs w:val="24"/>
          <w:lang w:val="en-US"/>
        </w:rPr>
        <w:t>DISCUSSION</w:t>
      </w:r>
    </w:p>
    <w:p w14:paraId="0057BE8F" w14:textId="11C6E187" w:rsidR="00332793" w:rsidRPr="008730C8" w:rsidRDefault="00332793" w:rsidP="008730C8">
      <w:pPr>
        <w:adjustRightInd w:val="0"/>
        <w:snapToGrid w:val="0"/>
        <w:spacing w:after="0" w:line="360" w:lineRule="auto"/>
        <w:jc w:val="both"/>
        <w:rPr>
          <w:rFonts w:ascii="Book Antiqua" w:hAnsi="Book Antiqua" w:cs="Times New Roman"/>
          <w:sz w:val="24"/>
          <w:szCs w:val="24"/>
          <w:lang w:val="en-US"/>
        </w:rPr>
      </w:pPr>
      <w:r w:rsidRPr="008730C8">
        <w:rPr>
          <w:rFonts w:ascii="Book Antiqua" w:hAnsi="Book Antiqua" w:cs="Times New Roman"/>
          <w:sz w:val="24"/>
          <w:szCs w:val="24"/>
          <w:lang w:val="en-US"/>
        </w:rPr>
        <w:t>PCLs remain a diagnostic and therapeutic challenge to clinicians. Several issues remain to be solved, notably, how to improve diagnosis and better predict malignant behavior.</w:t>
      </w:r>
      <w:r w:rsidR="00AC4465" w:rsidRPr="008730C8">
        <w:rPr>
          <w:rFonts w:ascii="Book Antiqua" w:hAnsi="Book Antiqua" w:cs="Times New Roman"/>
          <w:sz w:val="24"/>
          <w:szCs w:val="24"/>
          <w:lang w:val="en-US"/>
        </w:rPr>
        <w:t xml:space="preserve"> It has been reported that 36</w:t>
      </w:r>
      <w:r w:rsidR="005B0B1D">
        <w:rPr>
          <w:rFonts w:ascii="Book Antiqua" w:hAnsi="Book Antiqua" w:cs="Times New Roman"/>
          <w:sz w:val="24"/>
          <w:szCs w:val="24"/>
          <w:lang w:val="en-US"/>
        </w:rPr>
        <w:t>%</w:t>
      </w:r>
      <w:r w:rsidR="00AC4465" w:rsidRPr="008730C8">
        <w:rPr>
          <w:rFonts w:ascii="Book Antiqua" w:hAnsi="Book Antiqua" w:cs="Times New Roman"/>
          <w:sz w:val="24"/>
          <w:szCs w:val="24"/>
          <w:lang w:val="en-US"/>
        </w:rPr>
        <w:t xml:space="preserve"> of SCAs are treated with unnecessary surgery be</w:t>
      </w:r>
      <w:r w:rsidR="00542F5E">
        <w:rPr>
          <w:rFonts w:ascii="Book Antiqua" w:hAnsi="Book Antiqua" w:cs="Times New Roman"/>
          <w:sz w:val="24"/>
          <w:szCs w:val="24"/>
          <w:lang w:val="en-US"/>
        </w:rPr>
        <w:t>cause of an uncertain diagnosis</w:t>
      </w:r>
      <w:r w:rsidR="00AC4465"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66</w:t>
      </w:r>
      <w:r w:rsidR="00AC4465" w:rsidRPr="008730C8">
        <w:rPr>
          <w:rFonts w:ascii="Book Antiqua" w:hAnsi="Book Antiqua" w:cs="Times New Roman"/>
          <w:sz w:val="24"/>
          <w:szCs w:val="24"/>
          <w:vertAlign w:val="superscript"/>
          <w:lang w:val="en-US"/>
        </w:rPr>
        <w:t>]</w:t>
      </w:r>
      <w:r w:rsidR="00AC4465" w:rsidRPr="008730C8">
        <w:rPr>
          <w:rFonts w:ascii="Book Antiqua" w:hAnsi="Book Antiqua" w:cs="Times New Roman"/>
          <w:sz w:val="24"/>
          <w:szCs w:val="24"/>
          <w:lang w:val="en-US"/>
        </w:rPr>
        <w:t>.</w:t>
      </w:r>
      <w:r w:rsidR="00A93A51" w:rsidRPr="008730C8">
        <w:rPr>
          <w:rFonts w:ascii="Book Antiqua" w:hAnsi="Book Antiqua" w:cs="Times New Roman"/>
          <w:sz w:val="24"/>
          <w:szCs w:val="24"/>
          <w:lang w:val="en-US"/>
        </w:rPr>
        <w:t xml:space="preserve"> </w:t>
      </w:r>
      <w:r w:rsidR="00AC4465" w:rsidRPr="008730C8">
        <w:rPr>
          <w:rFonts w:ascii="Book Antiqua" w:hAnsi="Book Antiqua" w:cs="Times New Roman"/>
          <w:sz w:val="24"/>
          <w:szCs w:val="24"/>
          <w:lang w:val="en-US"/>
        </w:rPr>
        <w:t>In the attempt to cover this need, several EUS-based tools have emerged recently and some experience is now available using these technologies in the diagnosis of PCLs.</w:t>
      </w:r>
    </w:p>
    <w:p w14:paraId="3538066F" w14:textId="36C489F4" w:rsidR="00AC4465" w:rsidRPr="008730C8" w:rsidRDefault="00AC4465" w:rsidP="00542F5E">
      <w:pPr>
        <w:adjustRightInd w:val="0"/>
        <w:snapToGrid w:val="0"/>
        <w:spacing w:after="0" w:line="360" w:lineRule="auto"/>
        <w:ind w:firstLineChars="100" w:firstLine="240"/>
        <w:jc w:val="both"/>
        <w:rPr>
          <w:rFonts w:ascii="Book Antiqua" w:eastAsiaTheme="minorHAnsi" w:hAnsi="Book Antiqua" w:cs="Times New Roman"/>
          <w:sz w:val="24"/>
          <w:szCs w:val="24"/>
          <w:lang w:val="en-US"/>
        </w:rPr>
      </w:pPr>
      <w:r w:rsidRPr="008730C8">
        <w:rPr>
          <w:rFonts w:ascii="Book Antiqua" w:eastAsiaTheme="minorHAnsi" w:hAnsi="Book Antiqua" w:cs="Times New Roman"/>
          <w:sz w:val="24"/>
          <w:szCs w:val="24"/>
          <w:lang w:val="en-US"/>
        </w:rPr>
        <w:t>On the grounds that CH-EUS has been proved to be accurate for the differential diagnosis of solid pancreatic masses, it was hypothesized that CH-EUS might also be helpful in PCLs, and some experience has been reported in the last five</w:t>
      </w:r>
      <w:r w:rsidR="00542F5E">
        <w:rPr>
          <w:rFonts w:ascii="Book Antiqua" w:eastAsiaTheme="minorHAnsi" w:hAnsi="Book Antiqua" w:cs="Times New Roman"/>
          <w:sz w:val="24"/>
          <w:szCs w:val="24"/>
          <w:lang w:val="en-US"/>
        </w:rPr>
        <w:t xml:space="preserve"> years</w:t>
      </w:r>
      <w:r w:rsidRPr="008730C8">
        <w:rPr>
          <w:rFonts w:ascii="Book Antiqua" w:eastAsiaTheme="minorHAnsi" w:hAnsi="Book Antiqua" w:cs="Times New Roman"/>
          <w:sz w:val="24"/>
          <w:szCs w:val="24"/>
          <w:vertAlign w:val="superscript"/>
          <w:lang w:val="en-US"/>
        </w:rPr>
        <w:t>[</w:t>
      </w:r>
      <w:r w:rsidR="00BF632F" w:rsidRPr="008730C8">
        <w:rPr>
          <w:rFonts w:ascii="Book Antiqua" w:eastAsiaTheme="minorHAnsi" w:hAnsi="Book Antiqua" w:cs="Times New Roman"/>
          <w:sz w:val="24"/>
          <w:szCs w:val="24"/>
          <w:vertAlign w:val="superscript"/>
          <w:lang w:val="en-US"/>
        </w:rPr>
        <w:t>67</w:t>
      </w:r>
      <w:r w:rsidR="00AC11D7">
        <w:rPr>
          <w:rFonts w:ascii="Book Antiqua" w:hAnsi="Book Antiqua" w:cs="Times New Roman" w:hint="eastAsia"/>
          <w:sz w:val="24"/>
          <w:szCs w:val="24"/>
          <w:vertAlign w:val="superscript"/>
          <w:lang w:val="en-US" w:eastAsia="zh-CN"/>
        </w:rPr>
        <w:t>-</w:t>
      </w:r>
      <w:r w:rsidR="00BF632F" w:rsidRPr="008730C8">
        <w:rPr>
          <w:rFonts w:ascii="Book Antiqua" w:eastAsiaTheme="minorHAnsi" w:hAnsi="Book Antiqua" w:cs="Times New Roman"/>
          <w:sz w:val="24"/>
          <w:szCs w:val="24"/>
          <w:vertAlign w:val="superscript"/>
          <w:lang w:val="en-US"/>
        </w:rPr>
        <w:t>70</w:t>
      </w:r>
      <w:r w:rsidRPr="008730C8">
        <w:rPr>
          <w:rFonts w:ascii="Book Antiqua" w:eastAsiaTheme="minorHAnsi" w:hAnsi="Book Antiqua" w:cs="Times New Roman"/>
          <w:sz w:val="24"/>
          <w:szCs w:val="24"/>
          <w:vertAlign w:val="superscript"/>
          <w:lang w:val="en-US"/>
        </w:rPr>
        <w:t>]</w:t>
      </w:r>
      <w:r w:rsidRPr="008730C8">
        <w:rPr>
          <w:rFonts w:ascii="Book Antiqua" w:eastAsiaTheme="minorHAnsi" w:hAnsi="Book Antiqua" w:cs="Times New Roman"/>
          <w:sz w:val="24"/>
          <w:szCs w:val="24"/>
          <w:lang w:val="en-US"/>
        </w:rPr>
        <w:t xml:space="preserve">. Due to its high spatial resolution, CH-EUS may define the inner structure of cysts by depicting small septa or mural nodules that become echogenic during CH-EUS, whereas the intracystic content remains invisible (Figure </w:t>
      </w:r>
      <w:r w:rsidR="00AC11D7">
        <w:rPr>
          <w:rFonts w:ascii="Book Antiqua" w:hAnsi="Book Antiqua" w:cs="Times New Roman" w:hint="eastAsia"/>
          <w:sz w:val="24"/>
          <w:szCs w:val="24"/>
          <w:lang w:val="en-US" w:eastAsia="zh-CN"/>
        </w:rPr>
        <w:t>9</w:t>
      </w:r>
      <w:r w:rsidRPr="008730C8">
        <w:rPr>
          <w:rFonts w:ascii="Book Antiqua" w:eastAsiaTheme="minorHAnsi" w:hAnsi="Book Antiqua" w:cs="Times New Roman"/>
          <w:sz w:val="24"/>
          <w:szCs w:val="24"/>
          <w:lang w:val="en-US"/>
        </w:rPr>
        <w:t xml:space="preserve">). This modality may assist not only in the differential diagnosis but also in identifying malignancy risk features. </w:t>
      </w:r>
    </w:p>
    <w:p w14:paraId="415B9BA1" w14:textId="2DE26321" w:rsidR="00AC4465" w:rsidRPr="008730C8" w:rsidRDefault="00AC4465" w:rsidP="00542F5E">
      <w:pPr>
        <w:adjustRightInd w:val="0"/>
        <w:snapToGrid w:val="0"/>
        <w:spacing w:after="0" w:line="360" w:lineRule="auto"/>
        <w:ind w:firstLineChars="100" w:firstLine="240"/>
        <w:jc w:val="both"/>
        <w:rPr>
          <w:rFonts w:ascii="Book Antiqua" w:eastAsiaTheme="minorHAnsi" w:hAnsi="Book Antiqua" w:cs="Times New Roman"/>
          <w:sz w:val="24"/>
          <w:szCs w:val="24"/>
          <w:lang w:val="en-US"/>
        </w:rPr>
      </w:pPr>
      <w:r w:rsidRPr="008730C8">
        <w:rPr>
          <w:rFonts w:ascii="Book Antiqua" w:eastAsiaTheme="minorHAnsi" w:hAnsi="Book Antiqua" w:cs="Times New Roman"/>
          <w:sz w:val="24"/>
          <w:szCs w:val="24"/>
          <w:lang w:val="en-US"/>
        </w:rPr>
        <w:lastRenderedPageBreak/>
        <w:t>Current evidence suggests that CH-EUS is highly accurate for distinguishing nonneoplastic cysts (PCs and dysontogenic cysts) from neoplastic cysts because the former do not exhibit cystic wall vascularization. This feature prevents pointless and onerous surgery in this benign setting. However, a different scenario is observed among different neoplastic cysts whose biological behavior may be significantly different and where misinterpretations are common in CH-EUS. Benign SCAs, the most common nonmucinous cystic neoplasms, and potentially malignant mucinous cysts show undistinctive features on CH-EUS. Consequently CH-EUS cannot be used for the differential diagnosis of neoplastic cysts.</w:t>
      </w:r>
    </w:p>
    <w:p w14:paraId="726E3804" w14:textId="0C1B8A97" w:rsidR="00AC4465" w:rsidRPr="008730C8" w:rsidRDefault="00AC4465" w:rsidP="00542F5E">
      <w:pPr>
        <w:adjustRightInd w:val="0"/>
        <w:snapToGrid w:val="0"/>
        <w:spacing w:after="0" w:line="360" w:lineRule="auto"/>
        <w:ind w:firstLineChars="100" w:firstLine="240"/>
        <w:jc w:val="both"/>
        <w:rPr>
          <w:rFonts w:ascii="Book Antiqua" w:eastAsiaTheme="minorHAnsi" w:hAnsi="Book Antiqua" w:cs="Times New Roman"/>
          <w:sz w:val="24"/>
          <w:szCs w:val="24"/>
          <w:lang w:val="en-US"/>
        </w:rPr>
      </w:pPr>
      <w:r w:rsidRPr="008730C8">
        <w:rPr>
          <w:rFonts w:ascii="Book Antiqua" w:eastAsiaTheme="minorHAnsi" w:hAnsi="Book Antiqua" w:cs="Times New Roman"/>
          <w:sz w:val="24"/>
          <w:szCs w:val="24"/>
          <w:lang w:val="en-US"/>
        </w:rPr>
        <w:t>The presence of mural nodules is considered in the international consensus guidelines on IPMN management as a high-risk stigma and strongly supports surgical resection. Mural nodules may sometimes be too small for detection by CT or MRI. The high spatial resolution of EUS enables better identification in these cases. However, the performance of EUS is not enough to discriminate between mural nodules or mucous clots. Hyperenhancement of solid components during CH-EUS may differentiate mural nodules from mucous clots or debris. This step is essential to avoid unn</w:t>
      </w:r>
      <w:r w:rsidR="00542F5E">
        <w:rPr>
          <w:rFonts w:ascii="Book Antiqua" w:hAnsi="Book Antiqua" w:cs="Times New Roman" w:hint="eastAsia"/>
          <w:sz w:val="24"/>
          <w:szCs w:val="24"/>
          <w:lang w:val="en-US" w:eastAsia="zh-CN"/>
        </w:rPr>
        <w:t>e</w:t>
      </w:r>
      <w:r w:rsidRPr="008730C8">
        <w:rPr>
          <w:rFonts w:ascii="Book Antiqua" w:eastAsiaTheme="minorHAnsi" w:hAnsi="Book Antiqua" w:cs="Times New Roman"/>
          <w:sz w:val="24"/>
          <w:szCs w:val="24"/>
          <w:lang w:val="en-US"/>
        </w:rPr>
        <w:t xml:space="preserve">cessary surgery and is </w:t>
      </w:r>
      <w:r w:rsidR="00542F5E">
        <w:rPr>
          <w:rFonts w:ascii="Book Antiqua" w:eastAsiaTheme="minorHAnsi" w:hAnsi="Book Antiqua" w:cs="Times New Roman"/>
          <w:sz w:val="24"/>
          <w:szCs w:val="24"/>
          <w:lang w:val="en-US"/>
        </w:rPr>
        <w:t>included in the last guidelines</w:t>
      </w:r>
      <w:r w:rsidR="00BF632F" w:rsidRPr="008730C8">
        <w:rPr>
          <w:rFonts w:ascii="Book Antiqua" w:eastAsiaTheme="minorHAnsi" w:hAnsi="Book Antiqua" w:cs="Times New Roman"/>
          <w:sz w:val="24"/>
          <w:szCs w:val="24"/>
          <w:vertAlign w:val="superscript"/>
          <w:lang w:val="en-US"/>
        </w:rPr>
        <w:t>[25]</w:t>
      </w:r>
      <w:r w:rsidRPr="008730C8">
        <w:rPr>
          <w:rFonts w:ascii="Book Antiqua" w:eastAsiaTheme="minorHAnsi" w:hAnsi="Book Antiqua" w:cs="Times New Roman"/>
          <w:sz w:val="24"/>
          <w:szCs w:val="24"/>
          <w:lang w:val="en-US"/>
        </w:rPr>
        <w:t xml:space="preserve">. Nodules in BD-IPMNs include not only malignant nodules but also benign adenomas that might be followed without surgery, but the preoperative differentiation between them does not seem possible with qualitative CH-EUS. Angiogenesis plays a key role in tumor growth and progression; in fact, neovascularization was reported to be crucial in the tumorigenesis of invasive IPMNs with a progressive increase in microvessel density </w:t>
      </w:r>
      <w:r w:rsidR="00542F5E">
        <w:rPr>
          <w:rFonts w:ascii="Book Antiqua" w:eastAsiaTheme="minorHAnsi" w:hAnsi="Book Antiqua" w:cs="Times New Roman"/>
          <w:sz w:val="24"/>
          <w:szCs w:val="24"/>
          <w:lang w:val="en-US"/>
        </w:rPr>
        <w:t>from benign to malignant tissue</w:t>
      </w:r>
      <w:r w:rsidRPr="008730C8">
        <w:rPr>
          <w:rFonts w:ascii="Book Antiqua" w:eastAsiaTheme="minorHAnsi" w:hAnsi="Book Antiqua" w:cs="Times New Roman"/>
          <w:sz w:val="24"/>
          <w:szCs w:val="24"/>
          <w:vertAlign w:val="superscript"/>
          <w:lang w:val="en-US"/>
        </w:rPr>
        <w:t>[</w:t>
      </w:r>
      <w:r w:rsidR="00BF632F" w:rsidRPr="008730C8">
        <w:rPr>
          <w:rFonts w:ascii="Book Antiqua" w:eastAsiaTheme="minorHAnsi" w:hAnsi="Book Antiqua" w:cs="Times New Roman"/>
          <w:sz w:val="24"/>
          <w:szCs w:val="24"/>
          <w:vertAlign w:val="superscript"/>
          <w:lang w:val="en-US"/>
        </w:rPr>
        <w:t>71</w:t>
      </w:r>
      <w:r w:rsidRPr="008730C8">
        <w:rPr>
          <w:rFonts w:ascii="Book Antiqua" w:eastAsiaTheme="minorHAnsi" w:hAnsi="Book Antiqua" w:cs="Times New Roman"/>
          <w:sz w:val="24"/>
          <w:szCs w:val="24"/>
          <w:vertAlign w:val="superscript"/>
          <w:lang w:val="en-US"/>
        </w:rPr>
        <w:t>]</w:t>
      </w:r>
      <w:r w:rsidRPr="008730C8">
        <w:rPr>
          <w:rFonts w:ascii="Book Antiqua" w:eastAsiaTheme="minorHAnsi" w:hAnsi="Book Antiqua" w:cs="Times New Roman"/>
          <w:sz w:val="24"/>
          <w:szCs w:val="24"/>
          <w:lang w:val="en-US"/>
        </w:rPr>
        <w:t>. According to this observation, preliminary experience with quantitative CH-EUS suggests that the analysis of echo intensity changes during CH-EUS may be an accurate method to discriminate between low/intermediate-grade dysplasia and high-grade dysplasia/invasive carcinoma. Further trials are necessary to confirm this interest.</w:t>
      </w:r>
    </w:p>
    <w:p w14:paraId="0E1DD7A7" w14:textId="38968B98" w:rsidR="0008511D" w:rsidRPr="008730C8" w:rsidRDefault="0008511D"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lastRenderedPageBreak/>
        <w:t>When it comes to safety, CH-EUS exhibits an excellent safety profile with no adverse events in series reporting on PCLs. UCAs are the sole factor adding risk to conventional EUS. Concerns were raised after a study reporting on UCAs used for stress echocardiography, where 4 deaths and 190 serious adverse events were observed and associated with</w:t>
      </w:r>
      <w:r w:rsidR="00542F5E">
        <w:rPr>
          <w:rFonts w:ascii="Book Antiqua" w:hAnsi="Book Antiqua" w:cs="Times New Roman"/>
          <w:sz w:val="24"/>
          <w:szCs w:val="24"/>
          <w:lang w:val="en-US"/>
        </w:rPr>
        <w:t xml:space="preserve"> the use of UCAs</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72</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Consequently, the Food and Drug Administration issued a black box warning regarding the use of UCAs in several pathologic cardiorespiratory states. Later experience in large cohorts of patients has shown that the rate of UCA-related serious adverse events is lower than 0.01</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with anaphylactoid reacti</w:t>
      </w:r>
      <w:r w:rsidR="00542F5E">
        <w:rPr>
          <w:rFonts w:ascii="Book Antiqua" w:hAnsi="Book Antiqua" w:cs="Times New Roman"/>
          <w:sz w:val="24"/>
          <w:szCs w:val="24"/>
          <w:lang w:val="en-US"/>
        </w:rPr>
        <w:t>ons occurring in 1/10.000 cases</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73</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74</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w:t>
      </w:r>
    </w:p>
    <w:p w14:paraId="29E6D824" w14:textId="68D009C2" w:rsidR="0008511D" w:rsidRPr="008730C8" w:rsidRDefault="0008511D"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More recent evidence confirms that nCLE is feasible during EUS-FNA and allows </w:t>
      </w:r>
      <w:r w:rsidRPr="00AC11D7">
        <w:rPr>
          <w:rFonts w:ascii="Book Antiqua" w:hAnsi="Book Antiqua" w:cs="Times New Roman"/>
          <w:i/>
          <w:sz w:val="24"/>
          <w:szCs w:val="24"/>
          <w:lang w:val="en-US"/>
        </w:rPr>
        <w:t>in vivo</w:t>
      </w:r>
      <w:r w:rsidRPr="008730C8">
        <w:rPr>
          <w:rFonts w:ascii="Book Antiqua" w:hAnsi="Book Antiqua" w:cs="Times New Roman"/>
          <w:sz w:val="24"/>
          <w:szCs w:val="24"/>
          <w:lang w:val="en-US"/>
        </w:rPr>
        <w:t xml:space="preserve"> diagnosis of PCLs with high accuracy; nCLE criteria have been defined for IPMN, MCA, SCA, PC and cystic NEN with a proven histopathological correlation. Unlike CH-EUS, a perfect specificity of 100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has been confirmed with nCLE for benign SCA and for mucinous lesions. The superficial vascular network is exclusive to SCAs, allowing SCA diagnosis with high confidence, therefore preventing unnecessary surgical resection. Sensitivity of this pattern, although high, is not perfect, and epithelium denudation may account for the lack of a vascular pattern in oligocystic SCA. Specificity is also perfect for the overall group of mucinous lesions, but when they are further classified as either IPMN or MCA, the specific findings of papillae or epithelial borders, respectively, may both be present. Other times, papillae or epithelial borders cannot be visualized, and the explanation is the nonuniform distribution of papillae throughout the epithelium of IPMNs or modifications induced by inflammation in some MCAs. These inflammatory changes are also the reason a field of bright, gray and black particles is not specific for PCs and may be found in other cystic tumors following infection or bleeding. Finally, the presence of dark spots of cell aggregates surrounded by gray areas of fibrosis and vessels, initially attributed to NENs, is not specific and may be present in other premalignant lesions, such as CSPPNs. However, due to the similar premalignant nature, the impact on clinical management of </w:t>
      </w:r>
      <w:r w:rsidRPr="008730C8">
        <w:rPr>
          <w:rFonts w:ascii="Book Antiqua" w:hAnsi="Book Antiqua" w:cs="Times New Roman"/>
          <w:sz w:val="24"/>
          <w:szCs w:val="24"/>
          <w:lang w:val="en-US"/>
        </w:rPr>
        <w:lastRenderedPageBreak/>
        <w:t xml:space="preserve">misdiagnosis between NENs and CSPPNs or between IPMNs and MCAs is of little importance. </w:t>
      </w:r>
    </w:p>
    <w:p w14:paraId="17FEB8F1" w14:textId="0B25C557" w:rsidR="0008511D" w:rsidRPr="008730C8" w:rsidRDefault="0008511D"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The major concern related to nCLE is the risk of acute pancreatitis, which has ranged from 1.3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in the largest and most recent study to 12</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in the first feasibility study. The use of Spyglass</w:t>
      </w:r>
      <w:r w:rsidRPr="00AC11D7">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(Boston Scientific, Natick, Mass, U</w:t>
      </w:r>
      <w:r w:rsidR="00542F5E">
        <w:rPr>
          <w:rFonts w:ascii="Book Antiqua" w:hAnsi="Book Antiqua" w:cs="Times New Roman" w:hint="eastAsia"/>
          <w:sz w:val="24"/>
          <w:szCs w:val="24"/>
          <w:lang w:val="en-US" w:eastAsia="zh-CN"/>
        </w:rPr>
        <w:t>nited States</w:t>
      </w:r>
      <w:r w:rsidRPr="008730C8">
        <w:rPr>
          <w:rFonts w:ascii="Book Antiqua" w:hAnsi="Book Antiqua" w:cs="Times New Roman"/>
          <w:sz w:val="24"/>
          <w:szCs w:val="24"/>
          <w:lang w:val="en-US"/>
        </w:rPr>
        <w:t>) for cystoscopy may also explain the second highest rate of p</w:t>
      </w:r>
      <w:r w:rsidR="00542F5E">
        <w:rPr>
          <w:rFonts w:ascii="Book Antiqua" w:hAnsi="Book Antiqua" w:cs="Times New Roman"/>
          <w:sz w:val="24"/>
          <w:szCs w:val="24"/>
          <w:lang w:val="en-US"/>
        </w:rPr>
        <w:t>ancreatitis in the DETECT study</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50</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The average rate from the rest of the studies is 2.7</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which is comparable with that of the</w:t>
      </w:r>
      <w:r w:rsidR="00542F5E">
        <w:rPr>
          <w:rFonts w:ascii="Book Antiqua" w:hAnsi="Book Antiqua" w:cs="Times New Roman"/>
          <w:sz w:val="24"/>
          <w:szCs w:val="24"/>
          <w:lang w:val="en-US"/>
        </w:rPr>
        <w:t xml:space="preserve"> conventional EUS-FNA procedure</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75</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Only one series reported intracystic bleeding in 3 patients (4.5</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however, no intervention was required, and they were solved spontaneously. Several factors that add to the risk of complications have been suggested, such as needle size, duration of the procedure and abrasion of the cyst lining with the needle tip. Some tips have been suggested during nCLE to maximize the procedure safety. The interposition of the main pancreatic duct should be avoided when selecting the puncture site to lower the risk of acute pancreatitis. Once inside the cyst, limited brushing of the cyst wall is recommended to avoid cystic bleeding and pancreatitis; instead, it is preferred to perform consecutive apposition between the probe and the cyst wall. Finally, the exploration should be stopped as soon as nCLE criteria are met, or after 6 min if no specific criteria are found, to mini</w:t>
      </w:r>
      <w:r w:rsidR="00542F5E">
        <w:rPr>
          <w:rFonts w:ascii="Book Antiqua" w:hAnsi="Book Antiqua" w:cs="Times New Roman"/>
          <w:sz w:val="24"/>
          <w:szCs w:val="24"/>
          <w:lang w:val="en-US"/>
        </w:rPr>
        <w:t>mize the risk of adverse events</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43</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No study reported adverse events related to the injection of fluorescein, but severe allergic reactions are possible, al</w:t>
      </w:r>
      <w:r w:rsidR="00542F5E">
        <w:rPr>
          <w:rFonts w:ascii="Book Antiqua" w:hAnsi="Book Antiqua" w:cs="Times New Roman"/>
          <w:sz w:val="24"/>
          <w:szCs w:val="24"/>
          <w:lang w:val="en-US"/>
        </w:rPr>
        <w:t>though very uncommon (1/222000)</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76</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Minor side effects, such as nausea, vomiting, mild epigastric pain, transient hypotension, injection site erythema or diffuse rash, have been reported in 1.4</w:t>
      </w:r>
      <w:r w:rsidR="005B0B1D">
        <w:rPr>
          <w:rFonts w:ascii="Book Antiqua" w:hAnsi="Book Antiqua" w:cs="Times New Roman"/>
          <w:sz w:val="24"/>
          <w:szCs w:val="24"/>
          <w:lang w:val="en-US"/>
        </w:rPr>
        <w:t>%</w:t>
      </w:r>
      <w:r w:rsidR="00542F5E">
        <w:rPr>
          <w:rFonts w:ascii="Book Antiqua" w:hAnsi="Book Antiqua" w:cs="Times New Roman"/>
          <w:sz w:val="24"/>
          <w:szCs w:val="24"/>
          <w:lang w:val="en-US"/>
        </w:rPr>
        <w:t xml:space="preserve"> of cases</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7</w:t>
      </w:r>
      <w:r w:rsidR="00E50267" w:rsidRPr="008730C8">
        <w:rPr>
          <w:rFonts w:ascii="Book Antiqua" w:hAnsi="Book Antiqua" w:cs="Times New Roman"/>
          <w:sz w:val="24"/>
          <w:szCs w:val="24"/>
          <w:vertAlign w:val="superscript"/>
          <w:lang w:val="en-US"/>
        </w:rPr>
        <w:t>7</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The learning curve for nCLE seems to have an important effect on the pancreatitis rate since one study reported three acute-pancreatitis cases among the first 25 patients and non</w:t>
      </w:r>
      <w:r w:rsidR="00542F5E">
        <w:rPr>
          <w:rFonts w:ascii="Book Antiqua" w:hAnsi="Book Antiqua" w:cs="Times New Roman"/>
          <w:sz w:val="24"/>
          <w:szCs w:val="24"/>
          <w:lang w:val="en-US"/>
        </w:rPr>
        <w:t>e in the successive 34 patients</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58</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xml:space="preserve">. Technical challenges reported in initial feasibility studies are now overcome, and several tips have been suggested to avoid them (preloading of the nCLE probe, use of the most flexible needle). However, other limitations remain to be solved. The most important one is the limited surface of the cystic wall that is accessible to be scanned. Exploration is feasible over the </w:t>
      </w:r>
      <w:r w:rsidRPr="008730C8">
        <w:rPr>
          <w:rFonts w:ascii="Book Antiqua" w:hAnsi="Book Antiqua" w:cs="Times New Roman"/>
          <w:sz w:val="24"/>
          <w:szCs w:val="24"/>
          <w:lang w:val="en-US"/>
        </w:rPr>
        <w:lastRenderedPageBreak/>
        <w:t>area in front of the needle tip but less than 50</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of the cystic surface is likely to be visualized. The second argued limitation is the high cost of the probe, which is considered a limiting step to implementing nCLE technology in routine practice. Nevertheless, a health economic evaluation carried out in France demonstrated that nCLE resulted in a reduction of 23</w:t>
      </w:r>
      <w:r w:rsidR="005B0B1D">
        <w:rPr>
          <w:rFonts w:ascii="Book Antiqua" w:hAnsi="Book Antiqua" w:cs="Times New Roman"/>
          <w:sz w:val="24"/>
          <w:szCs w:val="24"/>
          <w:lang w:val="en-US"/>
        </w:rPr>
        <w:t>%</w:t>
      </w:r>
      <w:r w:rsidR="00AC11D7">
        <w:rPr>
          <w:rFonts w:ascii="Book Antiqua" w:hAnsi="Book Antiqua" w:cs="Times New Roman"/>
          <w:sz w:val="24"/>
          <w:szCs w:val="24"/>
          <w:lang w:val="en-US"/>
        </w:rPr>
        <w:t xml:space="preserve"> of surgical interventions</w:t>
      </w:r>
      <w:r w:rsidRPr="008730C8">
        <w:rPr>
          <w:rFonts w:ascii="Book Antiqua" w:hAnsi="Book Antiqua" w:cs="Times New Roman"/>
          <w:sz w:val="24"/>
          <w:szCs w:val="24"/>
          <w:vertAlign w:val="superscript"/>
          <w:lang w:val="en-US"/>
        </w:rPr>
        <w:t>[</w:t>
      </w:r>
      <w:r w:rsidR="00BF632F" w:rsidRPr="008730C8">
        <w:rPr>
          <w:rFonts w:ascii="Book Antiqua" w:hAnsi="Book Antiqua" w:cs="Times New Roman"/>
          <w:sz w:val="24"/>
          <w:szCs w:val="24"/>
          <w:vertAlign w:val="superscript"/>
          <w:lang w:val="en-US"/>
        </w:rPr>
        <w:t>7</w:t>
      </w:r>
      <w:r w:rsidR="00E50267" w:rsidRPr="008730C8">
        <w:rPr>
          <w:rFonts w:ascii="Book Antiqua" w:hAnsi="Book Antiqua" w:cs="Times New Roman"/>
          <w:sz w:val="24"/>
          <w:szCs w:val="24"/>
          <w:vertAlign w:val="superscript"/>
          <w:lang w:val="en-US"/>
        </w:rPr>
        <w:t>8</w:t>
      </w:r>
      <w:r w:rsidRPr="008730C8">
        <w:rPr>
          <w:rFonts w:ascii="Book Antiqua" w:hAnsi="Book Antiqua" w:cs="Times New Roman"/>
          <w:sz w:val="24"/>
          <w:szCs w:val="24"/>
          <w:vertAlign w:val="superscript"/>
          <w:lang w:val="en-US"/>
        </w:rPr>
        <w:t>]</w:t>
      </w:r>
      <w:r w:rsidRPr="008730C8">
        <w:rPr>
          <w:rFonts w:ascii="Book Antiqua" w:hAnsi="Book Antiqua" w:cs="Times New Roman"/>
          <w:sz w:val="24"/>
          <w:szCs w:val="24"/>
          <w:lang w:val="en-US"/>
        </w:rPr>
        <w:t>. This finding translated into a reduction in clinical costs of 13</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in the public sector and 14</w:t>
      </w:r>
      <w:r w:rsidR="005B0B1D">
        <w:rPr>
          <w:rFonts w:ascii="Book Antiqua" w:hAnsi="Book Antiqua" w:cs="Times New Roman"/>
          <w:sz w:val="24"/>
          <w:szCs w:val="24"/>
          <w:lang w:val="en-US"/>
        </w:rPr>
        <w:t>%</w:t>
      </w:r>
      <w:r w:rsidRPr="008730C8">
        <w:rPr>
          <w:rFonts w:ascii="Book Antiqua" w:hAnsi="Book Antiqua" w:cs="Times New Roman"/>
          <w:sz w:val="24"/>
          <w:szCs w:val="24"/>
          <w:lang w:val="en-US"/>
        </w:rPr>
        <w:t xml:space="preserve"> in the private sector. The improved diagnostic accuracy of nCLE reduces the number of false positives and false negatives, avoiding unnecessary surgical interventions and lifelong surveillance for benign cysts.</w:t>
      </w:r>
    </w:p>
    <w:p w14:paraId="2209C38E" w14:textId="7942D2CF" w:rsidR="0008511D" w:rsidRPr="008730C8" w:rsidRDefault="0008511D"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The heterogeneous distribution of neoplastic tissue in PCLs makes it reasonable to attempt to directly explore the inner cyst walls. Limited experience with through-the-needle cystoscopy has demonstrated the feasibility for direct visualization of cyst walls and has suggested that it may help to target biopsies to suspicious areas. Patterns at cystoscopy have been proposed for SCAs, MCNs and IPMNs but have not been validated yet. Like for nCLE, the main complication is acute pancreatitis, and therefore, limiting the time inside the cyst is strongly recommended. The </w:t>
      </w:r>
      <w:r w:rsidR="0016297A" w:rsidRPr="008730C8">
        <w:rPr>
          <w:rFonts w:ascii="Book Antiqua" w:hAnsi="Book Antiqua" w:cs="Times New Roman"/>
          <w:sz w:val="24"/>
          <w:szCs w:val="24"/>
          <w:lang w:val="en-US"/>
        </w:rPr>
        <w:t>greatest</w:t>
      </w:r>
      <w:r w:rsidRPr="008730C8">
        <w:rPr>
          <w:rFonts w:ascii="Book Antiqua" w:hAnsi="Book Antiqua" w:cs="Times New Roman"/>
          <w:sz w:val="24"/>
          <w:szCs w:val="24"/>
          <w:lang w:val="en-US"/>
        </w:rPr>
        <w:t xml:space="preserve"> interest seems </w:t>
      </w:r>
      <w:r w:rsidR="00B81C20" w:rsidRPr="008730C8">
        <w:rPr>
          <w:rFonts w:ascii="Book Antiqua" w:hAnsi="Book Antiqua" w:cs="Times New Roman"/>
          <w:sz w:val="24"/>
          <w:szCs w:val="24"/>
          <w:lang w:val="en-US"/>
        </w:rPr>
        <w:t xml:space="preserve">to be the ability </w:t>
      </w:r>
      <w:r w:rsidRPr="008730C8">
        <w:rPr>
          <w:rFonts w:ascii="Book Antiqua" w:hAnsi="Book Antiqua" w:cs="Times New Roman"/>
          <w:sz w:val="24"/>
          <w:szCs w:val="24"/>
          <w:lang w:val="en-US"/>
        </w:rPr>
        <w:t>to detect mucin clots that have a typical appearance on cystoscopy. Nevertheless, the performance of cystoscopy was not higher than the string test that is more simple and free</w:t>
      </w:r>
      <w:r w:rsidR="00B81C20" w:rsidRPr="008730C8">
        <w:rPr>
          <w:rFonts w:ascii="Book Antiqua" w:hAnsi="Book Antiqua" w:cs="Times New Roman"/>
          <w:sz w:val="24"/>
          <w:szCs w:val="24"/>
          <w:lang w:val="en-US"/>
        </w:rPr>
        <w:t xml:space="preserve"> of cost</w:t>
      </w:r>
      <w:r w:rsidR="00BF632F" w:rsidRPr="008730C8">
        <w:rPr>
          <w:rFonts w:ascii="Book Antiqua" w:hAnsi="Book Antiqua" w:cs="Times New Roman"/>
          <w:sz w:val="24"/>
          <w:szCs w:val="24"/>
          <w:vertAlign w:val="superscript"/>
          <w:lang w:val="en-US"/>
        </w:rPr>
        <w:t>[50]</w:t>
      </w:r>
      <w:r w:rsidRPr="008730C8">
        <w:rPr>
          <w:rFonts w:ascii="Book Antiqua" w:hAnsi="Book Antiqua" w:cs="Times New Roman"/>
          <w:sz w:val="24"/>
          <w:szCs w:val="24"/>
          <w:lang w:val="en-US"/>
        </w:rPr>
        <w:t>. Beside the cost of the fiberoptic system, other limitations of cystoscopy in reported studies are mainly related to the suboptimal quality of images. Th</w:t>
      </w:r>
      <w:r w:rsidR="004B628C" w:rsidRPr="008730C8">
        <w:rPr>
          <w:rFonts w:ascii="Book Antiqua" w:hAnsi="Book Antiqua" w:cs="Times New Roman"/>
          <w:sz w:val="24"/>
          <w:szCs w:val="24"/>
          <w:lang w:val="en-US"/>
        </w:rPr>
        <w:t>erefore, th</w:t>
      </w:r>
      <w:r w:rsidRPr="008730C8">
        <w:rPr>
          <w:rFonts w:ascii="Book Antiqua" w:hAnsi="Book Antiqua" w:cs="Times New Roman"/>
          <w:sz w:val="24"/>
          <w:szCs w:val="24"/>
          <w:lang w:val="en-US"/>
        </w:rPr>
        <w:t>e real place of cystoscopy need to be established.</w:t>
      </w:r>
    </w:p>
    <w:p w14:paraId="6B9FD56E" w14:textId="2D3A2A1F" w:rsidR="0008511D" w:rsidRPr="008730C8" w:rsidRDefault="0008511D"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 xml:space="preserve">Through-the-needle intracystic biopsy has been suggested to be a feasible technique for tissue acquisition in one series and several case reports. It allows histological diagnosis including the grade of dysplasia, although the retrieved samples are small. However, the processing of the samples is not always easy. Because of the small-sized specimens, they sometimes disintegrate during fixation in formalin. In addition, lesions such as mural nodules may not be targetable by the stiff 19G EUS-FNA, especially those located in the uncinate </w:t>
      </w:r>
      <w:r w:rsidRPr="008730C8">
        <w:rPr>
          <w:rFonts w:ascii="Book Antiqua" w:hAnsi="Book Antiqua" w:cs="Times New Roman"/>
          <w:sz w:val="24"/>
          <w:szCs w:val="24"/>
          <w:lang w:val="en-US"/>
        </w:rPr>
        <w:lastRenderedPageBreak/>
        <w:t>process. Finally, concerns remain about the risk of bleeding following through-the-needle forceps biopsy, similarly to brush cytology, even if no cases of bleeding have been reported. Formal studies in larger series are required to validate the results of this new technique and to confirm its safety.</w:t>
      </w:r>
    </w:p>
    <w:p w14:paraId="776FBB42" w14:textId="50A4C405" w:rsidR="00AC4465" w:rsidRPr="008730C8" w:rsidRDefault="0008511D" w:rsidP="00542F5E">
      <w:pPr>
        <w:adjustRightInd w:val="0"/>
        <w:snapToGrid w:val="0"/>
        <w:spacing w:after="0" w:line="360" w:lineRule="auto"/>
        <w:ind w:firstLineChars="100" w:firstLine="240"/>
        <w:jc w:val="both"/>
        <w:rPr>
          <w:rFonts w:ascii="Book Antiqua" w:hAnsi="Book Antiqua" w:cs="Times New Roman"/>
          <w:sz w:val="24"/>
          <w:szCs w:val="24"/>
          <w:lang w:val="en-US"/>
        </w:rPr>
      </w:pPr>
      <w:r w:rsidRPr="008730C8">
        <w:rPr>
          <w:rFonts w:ascii="Book Antiqua" w:hAnsi="Book Antiqua" w:cs="Times New Roman"/>
          <w:sz w:val="24"/>
          <w:szCs w:val="24"/>
          <w:lang w:val="en-US"/>
        </w:rPr>
        <w:t>In summary, CH-EUS seems to be a safe and complementary tool to EUS-FNA for the assessment of PCLs. CH-EUS is especially accurate in differentiating nonneoplastic cysts from PCNs and mural nodules from mucus clots. Moreover, the recent International Association of Pancreatology and the European guidelines have recommended CH-EUS for further evaluation of mural nodules in IPMN and PCN respectively. Larger and prospective studies are required to confirm the role of quantitative CH-EUS in the differential diagnosis between malignant and benign mucinous neoplasms. EUS nCLE is a minimally invasive tool with remarkable potential for diagnosing PCLS. Future research should also address new nCLE criteria associated with the grade of dysplasia or cancer, the additional clinical value of combining nCLE with the current standard of PCLs diagnosis and the cost-effectiveness of nCLE during the initial EUS-FNA or after inconclusive results of EUS-FNA. Meanwhile, and based on available evidence at present, excluding cost-effectiveness, we propose an algorithm of diagnosis for PCLs (Figure 10). Through-the-needle cystoscopy and biopsy must be evaluated in formal studies in larger series to validate their results and to confirm their safety before integrating them in the diagnostic flowchart of PCLs.</w:t>
      </w:r>
    </w:p>
    <w:p w14:paraId="5C00D72C" w14:textId="77777777" w:rsidR="00DD11D7" w:rsidRPr="008730C8" w:rsidRDefault="00DD11D7" w:rsidP="008730C8">
      <w:pPr>
        <w:adjustRightInd w:val="0"/>
        <w:snapToGrid w:val="0"/>
        <w:spacing w:after="0" w:line="360" w:lineRule="auto"/>
        <w:jc w:val="both"/>
        <w:rPr>
          <w:rFonts w:ascii="Book Antiqua" w:hAnsi="Book Antiqua" w:cs="Times New Roman"/>
          <w:sz w:val="24"/>
          <w:szCs w:val="24"/>
          <w:lang w:val="en-US"/>
        </w:rPr>
      </w:pPr>
    </w:p>
    <w:p w14:paraId="40E398B2" w14:textId="32A875C2" w:rsidR="00E32A8A" w:rsidRPr="008730C8" w:rsidRDefault="00584B7F" w:rsidP="008730C8">
      <w:pPr>
        <w:adjustRightInd w:val="0"/>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CONCLUSION</w:t>
      </w:r>
    </w:p>
    <w:p w14:paraId="307D21A0" w14:textId="3A2B21AB" w:rsidR="00B96616" w:rsidRPr="00542F5E" w:rsidRDefault="00C71B80" w:rsidP="008730C8">
      <w:pPr>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sz w:val="24"/>
          <w:szCs w:val="24"/>
          <w:lang w:val="en-US"/>
        </w:rPr>
        <w:t>PCLs</w:t>
      </w:r>
      <w:r w:rsidR="00EB0814" w:rsidRPr="008730C8">
        <w:rPr>
          <w:rFonts w:ascii="Book Antiqua" w:hAnsi="Book Antiqua" w:cs="Times New Roman"/>
          <w:sz w:val="24"/>
          <w:szCs w:val="24"/>
          <w:lang w:val="en-US"/>
        </w:rPr>
        <w:t xml:space="preserve"> are increasingly identified on imaging, but their characterization remains challenging due to limitations of the current endoscopic and imaging techniques. In this article, we presented a comprehensive review about emerging endoscopic tools for the diagnosis of </w:t>
      </w:r>
      <w:r w:rsidRPr="008730C8">
        <w:rPr>
          <w:rFonts w:ascii="Book Antiqua" w:hAnsi="Book Antiqua" w:cs="Times New Roman"/>
          <w:sz w:val="24"/>
          <w:szCs w:val="24"/>
          <w:lang w:val="en-US"/>
        </w:rPr>
        <w:t>PCLs</w:t>
      </w:r>
      <w:r w:rsidR="00EB0814" w:rsidRPr="008730C8">
        <w:rPr>
          <w:rFonts w:ascii="Book Antiqua" w:hAnsi="Book Antiqua" w:cs="Times New Roman"/>
          <w:sz w:val="24"/>
          <w:szCs w:val="24"/>
          <w:lang w:val="en-US"/>
        </w:rPr>
        <w:t xml:space="preserve">. Among them, through-the-needle cystoscopy and biopsy still have the lowest amounts of available evidence, with the most extensive experience reported for CH-EUS and nCLE. Both modalities have been demonstrated to provide valuable information for </w:t>
      </w:r>
      <w:r w:rsidR="00EB0814" w:rsidRPr="008730C8">
        <w:rPr>
          <w:rFonts w:ascii="Book Antiqua" w:hAnsi="Book Antiqua" w:cs="Times New Roman"/>
          <w:sz w:val="24"/>
          <w:szCs w:val="24"/>
          <w:lang w:val="en-US"/>
        </w:rPr>
        <w:lastRenderedPageBreak/>
        <w:t xml:space="preserve">the decision-making process and to be supplementary techniques to EUS-FNA. Limitations for their widespread implementation are their elevated cost and learning curve. Future studies should address their clinical impact on patient management, the optimal timing for their application in the diagnostic work flow of </w:t>
      </w:r>
      <w:r w:rsidRPr="008730C8">
        <w:rPr>
          <w:rFonts w:ascii="Book Antiqua" w:hAnsi="Book Antiqua" w:cs="Times New Roman"/>
          <w:sz w:val="24"/>
          <w:szCs w:val="24"/>
          <w:lang w:val="en-US"/>
        </w:rPr>
        <w:t>PCLs</w:t>
      </w:r>
      <w:r w:rsidR="00EB0814" w:rsidRPr="008730C8">
        <w:rPr>
          <w:rFonts w:ascii="Book Antiqua" w:hAnsi="Book Antiqua" w:cs="Times New Roman"/>
          <w:sz w:val="24"/>
          <w:szCs w:val="24"/>
          <w:lang w:val="en-US"/>
        </w:rPr>
        <w:t xml:space="preserve"> and their cost-effectiveness. Through-the-needle cystoscopy and intracystic biopsy must be further evaluated in formal and larger trials. Moreover, because a combination of these new techniques may further improve our ability to diagnose </w:t>
      </w:r>
      <w:r w:rsidRPr="008730C8">
        <w:rPr>
          <w:rFonts w:ascii="Book Antiqua" w:hAnsi="Book Antiqua" w:cs="Times New Roman"/>
          <w:sz w:val="24"/>
          <w:szCs w:val="24"/>
          <w:lang w:val="en-US"/>
        </w:rPr>
        <w:t>PCLs</w:t>
      </w:r>
      <w:r w:rsidR="00EB0814" w:rsidRPr="008730C8">
        <w:rPr>
          <w:rFonts w:ascii="Book Antiqua" w:hAnsi="Book Antiqua" w:cs="Times New Roman"/>
          <w:sz w:val="24"/>
          <w:szCs w:val="24"/>
          <w:lang w:val="en-US"/>
        </w:rPr>
        <w:t>, multi-arm trials incorporating these new technologies and emergent molecular markers would be of most value to determine the best diagnostic approach.</w:t>
      </w:r>
    </w:p>
    <w:p w14:paraId="115EDF51" w14:textId="77777777" w:rsidR="00557574" w:rsidRPr="008730C8" w:rsidRDefault="00557574" w:rsidP="008730C8">
      <w:pPr>
        <w:adjustRightInd w:val="0"/>
        <w:snapToGrid w:val="0"/>
        <w:spacing w:after="0" w:line="360" w:lineRule="auto"/>
        <w:jc w:val="both"/>
        <w:rPr>
          <w:rFonts w:ascii="Book Antiqua" w:hAnsi="Book Antiqua" w:cs="Times New Roman"/>
          <w:b/>
          <w:sz w:val="24"/>
          <w:szCs w:val="24"/>
          <w:lang w:val="en-GB"/>
        </w:rPr>
      </w:pPr>
      <w:r w:rsidRPr="008730C8">
        <w:rPr>
          <w:rFonts w:ascii="Book Antiqua" w:hAnsi="Book Antiqua" w:cs="Times New Roman"/>
          <w:b/>
          <w:sz w:val="24"/>
          <w:szCs w:val="24"/>
          <w:lang w:val="en-GB"/>
        </w:rPr>
        <w:br w:type="page"/>
      </w:r>
    </w:p>
    <w:p w14:paraId="5D5E8231" w14:textId="34ADB523" w:rsidR="00DA04A0" w:rsidRPr="008730C8" w:rsidRDefault="00C52D31" w:rsidP="008730C8">
      <w:pPr>
        <w:adjustRightInd w:val="0"/>
        <w:snapToGrid w:val="0"/>
        <w:spacing w:after="0" w:line="360" w:lineRule="auto"/>
        <w:jc w:val="both"/>
        <w:rPr>
          <w:rFonts w:ascii="Book Antiqua" w:hAnsi="Book Antiqua" w:cs="Times New Roman"/>
          <w:b/>
          <w:sz w:val="24"/>
          <w:szCs w:val="24"/>
          <w:lang w:val="en-GB" w:eastAsia="zh-CN"/>
        </w:rPr>
      </w:pPr>
      <w:r w:rsidRPr="008730C8">
        <w:rPr>
          <w:rFonts w:ascii="Book Antiqua" w:hAnsi="Book Antiqua" w:cs="Times New Roman"/>
          <w:b/>
          <w:sz w:val="24"/>
          <w:szCs w:val="24"/>
          <w:lang w:val="en-GB"/>
        </w:rPr>
        <w:lastRenderedPageBreak/>
        <w:t>REFERENCES</w:t>
      </w:r>
    </w:p>
    <w:p w14:paraId="3C9205CF"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 </w:t>
      </w:r>
      <w:r w:rsidRPr="008730C8">
        <w:rPr>
          <w:rFonts w:ascii="Book Antiqua" w:hAnsi="Book Antiqua" w:cs="Times New Roman"/>
          <w:b/>
          <w:kern w:val="2"/>
          <w:sz w:val="24"/>
          <w:szCs w:val="24"/>
          <w:lang w:val="en-US" w:eastAsia="zh-CN"/>
        </w:rPr>
        <w:t>Laffan TA</w:t>
      </w:r>
      <w:r w:rsidRPr="008730C8">
        <w:rPr>
          <w:rFonts w:ascii="Book Antiqua" w:hAnsi="Book Antiqua" w:cs="Times New Roman"/>
          <w:kern w:val="2"/>
          <w:sz w:val="24"/>
          <w:szCs w:val="24"/>
          <w:lang w:val="en-US" w:eastAsia="zh-CN"/>
        </w:rPr>
        <w:t xml:space="preserve">, Horton KM, Klein AP, Berlanstein B, Siegelman SS, Kawamoto S, Johnson PT, Fishman EK, Hruban RH. Prevalence of unsuspected pancreatic cysts on MDCT. </w:t>
      </w:r>
      <w:r w:rsidRPr="008730C8">
        <w:rPr>
          <w:rFonts w:ascii="Book Antiqua" w:hAnsi="Book Antiqua" w:cs="Times New Roman"/>
          <w:i/>
          <w:kern w:val="2"/>
          <w:sz w:val="24"/>
          <w:szCs w:val="24"/>
          <w:lang w:val="en-US" w:eastAsia="zh-CN"/>
        </w:rPr>
        <w:t>AJR Am J Roentgenol</w:t>
      </w:r>
      <w:r w:rsidRPr="008730C8">
        <w:rPr>
          <w:rFonts w:ascii="Book Antiqua" w:hAnsi="Book Antiqua" w:cs="Times New Roman"/>
          <w:kern w:val="2"/>
          <w:sz w:val="24"/>
          <w:szCs w:val="24"/>
          <w:lang w:val="en-US" w:eastAsia="zh-CN"/>
        </w:rPr>
        <w:t xml:space="preserve"> 2008; </w:t>
      </w:r>
      <w:r w:rsidRPr="008730C8">
        <w:rPr>
          <w:rFonts w:ascii="Book Antiqua" w:hAnsi="Book Antiqua" w:cs="Times New Roman"/>
          <w:b/>
          <w:kern w:val="2"/>
          <w:sz w:val="24"/>
          <w:szCs w:val="24"/>
          <w:lang w:val="en-US" w:eastAsia="zh-CN"/>
        </w:rPr>
        <w:t>191</w:t>
      </w:r>
      <w:r w:rsidRPr="008730C8">
        <w:rPr>
          <w:rFonts w:ascii="Book Antiqua" w:hAnsi="Book Antiqua" w:cs="Times New Roman"/>
          <w:kern w:val="2"/>
          <w:sz w:val="24"/>
          <w:szCs w:val="24"/>
          <w:lang w:val="en-US" w:eastAsia="zh-CN"/>
        </w:rPr>
        <w:t>: 802-807 [PMID: 18716113 DOI: 10.2214/AJR.07.3340]</w:t>
      </w:r>
    </w:p>
    <w:p w14:paraId="48F5AF7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 </w:t>
      </w:r>
      <w:r w:rsidRPr="008730C8">
        <w:rPr>
          <w:rFonts w:ascii="Book Antiqua" w:hAnsi="Book Antiqua" w:cs="Times New Roman"/>
          <w:b/>
          <w:kern w:val="2"/>
          <w:sz w:val="24"/>
          <w:szCs w:val="24"/>
          <w:lang w:val="en-US" w:eastAsia="zh-CN"/>
        </w:rPr>
        <w:t>Lee KS</w:t>
      </w:r>
      <w:r w:rsidRPr="008730C8">
        <w:rPr>
          <w:rFonts w:ascii="Book Antiqua" w:hAnsi="Book Antiqua" w:cs="Times New Roman"/>
          <w:kern w:val="2"/>
          <w:sz w:val="24"/>
          <w:szCs w:val="24"/>
          <w:lang w:val="en-US" w:eastAsia="zh-CN"/>
        </w:rPr>
        <w:t xml:space="preserve">, Sekhar A, Rofsky NM, Pedrosa I. Prevalence of incidental pancreatic cysts in the adult population on MR imaging. </w:t>
      </w:r>
      <w:r w:rsidRPr="008730C8">
        <w:rPr>
          <w:rFonts w:ascii="Book Antiqua" w:hAnsi="Book Antiqua" w:cs="Times New Roman"/>
          <w:i/>
          <w:kern w:val="2"/>
          <w:sz w:val="24"/>
          <w:szCs w:val="24"/>
          <w:lang w:val="en-US" w:eastAsia="zh-CN"/>
        </w:rPr>
        <w:t>Am J Gastroenterol</w:t>
      </w:r>
      <w:r w:rsidRPr="008730C8">
        <w:rPr>
          <w:rFonts w:ascii="Book Antiqua" w:hAnsi="Book Antiqua" w:cs="Times New Roman"/>
          <w:kern w:val="2"/>
          <w:sz w:val="24"/>
          <w:szCs w:val="24"/>
          <w:lang w:val="en-US" w:eastAsia="zh-CN"/>
        </w:rPr>
        <w:t xml:space="preserve"> 2010; </w:t>
      </w:r>
      <w:r w:rsidRPr="008730C8">
        <w:rPr>
          <w:rFonts w:ascii="Book Antiqua" w:hAnsi="Book Antiqua" w:cs="Times New Roman"/>
          <w:b/>
          <w:kern w:val="2"/>
          <w:sz w:val="24"/>
          <w:szCs w:val="24"/>
          <w:lang w:val="en-US" w:eastAsia="zh-CN"/>
        </w:rPr>
        <w:t>105</w:t>
      </w:r>
      <w:r w:rsidRPr="008730C8">
        <w:rPr>
          <w:rFonts w:ascii="Book Antiqua" w:hAnsi="Book Antiqua" w:cs="Times New Roman"/>
          <w:kern w:val="2"/>
          <w:sz w:val="24"/>
          <w:szCs w:val="24"/>
          <w:lang w:val="en-US" w:eastAsia="zh-CN"/>
        </w:rPr>
        <w:t>: 2079-2084 [PMID: 20354507 DOI: 10.1038/ajg.2010.122]</w:t>
      </w:r>
    </w:p>
    <w:p w14:paraId="14584258"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 </w:t>
      </w:r>
      <w:r w:rsidRPr="008730C8">
        <w:rPr>
          <w:rFonts w:ascii="Book Antiqua" w:hAnsi="Book Antiqua" w:cs="Times New Roman"/>
          <w:b/>
          <w:kern w:val="2"/>
          <w:sz w:val="24"/>
          <w:szCs w:val="24"/>
          <w:lang w:val="en-US" w:eastAsia="zh-CN"/>
        </w:rPr>
        <w:t>Ferrone CR</w:t>
      </w:r>
      <w:r w:rsidRPr="008730C8">
        <w:rPr>
          <w:rFonts w:ascii="Book Antiqua" w:hAnsi="Book Antiqua" w:cs="Times New Roman"/>
          <w:kern w:val="2"/>
          <w:sz w:val="24"/>
          <w:szCs w:val="24"/>
          <w:lang w:val="en-US" w:eastAsia="zh-CN"/>
        </w:rPr>
        <w:t xml:space="preserve">, Correa-Gallego C, Warshaw AL, Brugge WR, Forcione DG, Thayer SP, Fernández-del Castillo C. Current trends in pancreatic cystic neoplasms. </w:t>
      </w:r>
      <w:r w:rsidRPr="008730C8">
        <w:rPr>
          <w:rFonts w:ascii="Book Antiqua" w:hAnsi="Book Antiqua" w:cs="Times New Roman"/>
          <w:i/>
          <w:kern w:val="2"/>
          <w:sz w:val="24"/>
          <w:szCs w:val="24"/>
          <w:lang w:val="en-US" w:eastAsia="zh-CN"/>
        </w:rPr>
        <w:t>Arch Surg</w:t>
      </w:r>
      <w:r w:rsidRPr="008730C8">
        <w:rPr>
          <w:rFonts w:ascii="Book Antiqua" w:hAnsi="Book Antiqua" w:cs="Times New Roman"/>
          <w:kern w:val="2"/>
          <w:sz w:val="24"/>
          <w:szCs w:val="24"/>
          <w:lang w:val="en-US" w:eastAsia="zh-CN"/>
        </w:rPr>
        <w:t xml:space="preserve"> 2009; </w:t>
      </w:r>
      <w:r w:rsidRPr="008730C8">
        <w:rPr>
          <w:rFonts w:ascii="Book Antiqua" w:hAnsi="Book Antiqua" w:cs="Times New Roman"/>
          <w:b/>
          <w:kern w:val="2"/>
          <w:sz w:val="24"/>
          <w:szCs w:val="24"/>
          <w:lang w:val="en-US" w:eastAsia="zh-CN"/>
        </w:rPr>
        <w:t>144</w:t>
      </w:r>
      <w:r w:rsidRPr="008730C8">
        <w:rPr>
          <w:rFonts w:ascii="Book Antiqua" w:hAnsi="Book Antiqua" w:cs="Times New Roman"/>
          <w:kern w:val="2"/>
          <w:sz w:val="24"/>
          <w:szCs w:val="24"/>
          <w:lang w:val="en-US" w:eastAsia="zh-CN"/>
        </w:rPr>
        <w:t>: 448-454 [PMID: 19451487 DOI: 10.1001/archsurg.2009.36]</w:t>
      </w:r>
    </w:p>
    <w:p w14:paraId="18F5D79A"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 </w:t>
      </w:r>
      <w:r w:rsidRPr="008730C8">
        <w:rPr>
          <w:rFonts w:ascii="Book Antiqua" w:hAnsi="Book Antiqua" w:cs="Times New Roman"/>
          <w:b/>
          <w:kern w:val="2"/>
          <w:sz w:val="24"/>
          <w:szCs w:val="24"/>
          <w:lang w:val="en-US" w:eastAsia="zh-CN"/>
        </w:rPr>
        <w:t>Valsangkar NP</w:t>
      </w:r>
      <w:r w:rsidRPr="008730C8">
        <w:rPr>
          <w:rFonts w:ascii="Book Antiqua" w:hAnsi="Book Antiqua" w:cs="Times New Roman"/>
          <w:kern w:val="2"/>
          <w:sz w:val="24"/>
          <w:szCs w:val="24"/>
          <w:lang w:val="en-US" w:eastAsia="zh-CN"/>
        </w:rPr>
        <w:t xml:space="preserve">, Morales-Oyarvide V, Thayer SP, Ferrone CR, Wargo JA, Warshaw AL, Fernández-del Castillo C. 851 resected cystic tumors of the pancreas: a 33-year experience at the Massachusetts General Hospital. </w:t>
      </w:r>
      <w:r w:rsidRPr="008730C8">
        <w:rPr>
          <w:rFonts w:ascii="Book Antiqua" w:hAnsi="Book Antiqua" w:cs="Times New Roman"/>
          <w:i/>
          <w:kern w:val="2"/>
          <w:sz w:val="24"/>
          <w:szCs w:val="24"/>
          <w:lang w:val="en-US" w:eastAsia="zh-CN"/>
        </w:rPr>
        <w:t>Surgery</w:t>
      </w:r>
      <w:r w:rsidRPr="008730C8">
        <w:rPr>
          <w:rFonts w:ascii="Book Antiqua" w:hAnsi="Book Antiqua" w:cs="Times New Roman"/>
          <w:kern w:val="2"/>
          <w:sz w:val="24"/>
          <w:szCs w:val="24"/>
          <w:lang w:val="en-US" w:eastAsia="zh-CN"/>
        </w:rPr>
        <w:t xml:space="preserve"> 2012; </w:t>
      </w:r>
      <w:r w:rsidRPr="008730C8">
        <w:rPr>
          <w:rFonts w:ascii="Book Antiqua" w:hAnsi="Book Antiqua" w:cs="Times New Roman"/>
          <w:b/>
          <w:kern w:val="2"/>
          <w:sz w:val="24"/>
          <w:szCs w:val="24"/>
          <w:lang w:val="en-US" w:eastAsia="zh-CN"/>
        </w:rPr>
        <w:t>152</w:t>
      </w:r>
      <w:r w:rsidRPr="008730C8">
        <w:rPr>
          <w:rFonts w:ascii="Book Antiqua" w:hAnsi="Book Antiqua" w:cs="Times New Roman"/>
          <w:kern w:val="2"/>
          <w:sz w:val="24"/>
          <w:szCs w:val="24"/>
          <w:lang w:val="en-US" w:eastAsia="zh-CN"/>
        </w:rPr>
        <w:t>: S4-12 [PMID: 22770958 DOI: 10.1016/j.surg.2012.05.033]</w:t>
      </w:r>
    </w:p>
    <w:p w14:paraId="2A5CFA2D"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 </w:t>
      </w:r>
      <w:r w:rsidRPr="008730C8">
        <w:rPr>
          <w:rFonts w:ascii="Book Antiqua" w:hAnsi="Book Antiqua" w:cs="Times New Roman"/>
          <w:b/>
          <w:kern w:val="2"/>
          <w:sz w:val="24"/>
          <w:szCs w:val="24"/>
          <w:lang w:val="en-US" w:eastAsia="zh-CN"/>
        </w:rPr>
        <w:t>Salvia R</w:t>
      </w:r>
      <w:r w:rsidRPr="008730C8">
        <w:rPr>
          <w:rFonts w:ascii="Book Antiqua" w:hAnsi="Book Antiqua" w:cs="Times New Roman"/>
          <w:kern w:val="2"/>
          <w:sz w:val="24"/>
          <w:szCs w:val="24"/>
          <w:lang w:val="en-US" w:eastAsia="zh-CN"/>
        </w:rPr>
        <w:t xml:space="preserve">, Fernández-del Castillo C, Bassi C, Thayer SP, Falconi M, Mantovani W, Pederzoli P, Warshaw AL. Main-duct intraductal papillary mucinous neoplasms of the pancreas: clinical predictors of malignancy and long-term survival following resection. </w:t>
      </w:r>
      <w:r w:rsidRPr="008730C8">
        <w:rPr>
          <w:rFonts w:ascii="Book Antiqua" w:hAnsi="Book Antiqua" w:cs="Times New Roman"/>
          <w:i/>
          <w:kern w:val="2"/>
          <w:sz w:val="24"/>
          <w:szCs w:val="24"/>
          <w:lang w:val="en-US" w:eastAsia="zh-CN"/>
        </w:rPr>
        <w:t>Ann Surg</w:t>
      </w:r>
      <w:r w:rsidRPr="008730C8">
        <w:rPr>
          <w:rFonts w:ascii="Book Antiqua" w:hAnsi="Book Antiqua" w:cs="Times New Roman"/>
          <w:kern w:val="2"/>
          <w:sz w:val="24"/>
          <w:szCs w:val="24"/>
          <w:lang w:val="en-US" w:eastAsia="zh-CN"/>
        </w:rPr>
        <w:t xml:space="preserve"> 2004; </w:t>
      </w:r>
      <w:r w:rsidRPr="008730C8">
        <w:rPr>
          <w:rFonts w:ascii="Book Antiqua" w:hAnsi="Book Antiqua" w:cs="Times New Roman"/>
          <w:b/>
          <w:kern w:val="2"/>
          <w:sz w:val="24"/>
          <w:szCs w:val="24"/>
          <w:lang w:val="en-US" w:eastAsia="zh-CN"/>
        </w:rPr>
        <w:t>239</w:t>
      </w:r>
      <w:r w:rsidRPr="008730C8">
        <w:rPr>
          <w:rFonts w:ascii="Book Antiqua" w:hAnsi="Book Antiqua" w:cs="Times New Roman"/>
          <w:kern w:val="2"/>
          <w:sz w:val="24"/>
          <w:szCs w:val="24"/>
          <w:lang w:val="en-US" w:eastAsia="zh-CN"/>
        </w:rPr>
        <w:t>: 678-85; discussion 685-7 [PMID: 15082972]</w:t>
      </w:r>
    </w:p>
    <w:p w14:paraId="4BF651E9" w14:textId="146E189F"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 </w:t>
      </w:r>
      <w:r w:rsidRPr="008730C8">
        <w:rPr>
          <w:rFonts w:ascii="Book Antiqua" w:hAnsi="Book Antiqua" w:cs="Times New Roman"/>
          <w:b/>
          <w:kern w:val="2"/>
          <w:sz w:val="24"/>
          <w:szCs w:val="24"/>
          <w:lang w:val="en-US" w:eastAsia="zh-CN"/>
        </w:rPr>
        <w:t>Sohn TA</w:t>
      </w:r>
      <w:r w:rsidRPr="008730C8">
        <w:rPr>
          <w:rFonts w:ascii="Book Antiqua" w:hAnsi="Book Antiqua" w:cs="Times New Roman"/>
          <w:kern w:val="2"/>
          <w:sz w:val="24"/>
          <w:szCs w:val="24"/>
          <w:lang w:val="en-US" w:eastAsia="zh-CN"/>
        </w:rPr>
        <w:t xml:space="preserve">, Yeo CJ, Cameron JL, Hruban RH, Fukushima N, Campbell KA, Lillemoe KD. Intraductal papillary mucinous neoplasms of the pancreas: an updated experience. </w:t>
      </w:r>
      <w:r w:rsidRPr="008730C8">
        <w:rPr>
          <w:rFonts w:ascii="Book Antiqua" w:hAnsi="Book Antiqua" w:cs="Times New Roman"/>
          <w:i/>
          <w:kern w:val="2"/>
          <w:sz w:val="24"/>
          <w:szCs w:val="24"/>
          <w:lang w:val="en-US" w:eastAsia="zh-CN"/>
        </w:rPr>
        <w:t>Ann Surg</w:t>
      </w:r>
      <w:r w:rsidRPr="008730C8">
        <w:rPr>
          <w:rFonts w:ascii="Book Antiqua" w:hAnsi="Book Antiqua" w:cs="Times New Roman"/>
          <w:kern w:val="2"/>
          <w:sz w:val="24"/>
          <w:szCs w:val="24"/>
          <w:lang w:val="en-US" w:eastAsia="zh-CN"/>
        </w:rPr>
        <w:t xml:space="preserve"> 2004; </w:t>
      </w:r>
      <w:r w:rsidRPr="008730C8">
        <w:rPr>
          <w:rFonts w:ascii="Book Antiqua" w:hAnsi="Book Antiqua" w:cs="Times New Roman"/>
          <w:b/>
          <w:kern w:val="2"/>
          <w:sz w:val="24"/>
          <w:szCs w:val="24"/>
          <w:lang w:val="en-US" w:eastAsia="zh-CN"/>
        </w:rPr>
        <w:t>239</w:t>
      </w:r>
      <w:r w:rsidRPr="008730C8">
        <w:rPr>
          <w:rFonts w:ascii="Book Antiqua" w:hAnsi="Book Antiqua" w:cs="Times New Roman"/>
          <w:kern w:val="2"/>
          <w:sz w:val="24"/>
          <w:szCs w:val="24"/>
          <w:lang w:val="en-US" w:eastAsia="zh-CN"/>
        </w:rPr>
        <w:t>: 788-</w:t>
      </w:r>
      <w:r w:rsidR="000012B4">
        <w:rPr>
          <w:rFonts w:ascii="Book Antiqua" w:hAnsi="Book Antiqua" w:cs="Times New Roman" w:hint="eastAsia"/>
          <w:kern w:val="2"/>
          <w:sz w:val="24"/>
          <w:szCs w:val="24"/>
          <w:lang w:val="en-US" w:eastAsia="zh-CN"/>
        </w:rPr>
        <w:t>7</w:t>
      </w:r>
      <w:r w:rsidRPr="008730C8">
        <w:rPr>
          <w:rFonts w:ascii="Book Antiqua" w:hAnsi="Book Antiqua" w:cs="Times New Roman"/>
          <w:kern w:val="2"/>
          <w:sz w:val="24"/>
          <w:szCs w:val="24"/>
          <w:lang w:val="en-US" w:eastAsia="zh-CN"/>
        </w:rPr>
        <w:t>97; discussion 797-</w:t>
      </w:r>
      <w:r w:rsidR="000012B4">
        <w:rPr>
          <w:rFonts w:ascii="Book Antiqua" w:hAnsi="Book Antiqua" w:cs="Times New Roman" w:hint="eastAsia"/>
          <w:kern w:val="2"/>
          <w:sz w:val="24"/>
          <w:szCs w:val="24"/>
          <w:lang w:val="en-US" w:eastAsia="zh-CN"/>
        </w:rPr>
        <w:t>79</w:t>
      </w:r>
      <w:r w:rsidRPr="008730C8">
        <w:rPr>
          <w:rFonts w:ascii="Book Antiqua" w:hAnsi="Book Antiqua" w:cs="Times New Roman"/>
          <w:kern w:val="2"/>
          <w:sz w:val="24"/>
          <w:szCs w:val="24"/>
          <w:lang w:val="en-US" w:eastAsia="zh-CN"/>
        </w:rPr>
        <w:t>9 [PMID: 15166958]</w:t>
      </w:r>
    </w:p>
    <w:p w14:paraId="43B12F03"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 </w:t>
      </w:r>
      <w:r w:rsidRPr="008730C8">
        <w:rPr>
          <w:rFonts w:ascii="Book Antiqua" w:hAnsi="Book Antiqua" w:cs="Times New Roman"/>
          <w:b/>
          <w:kern w:val="2"/>
          <w:sz w:val="24"/>
          <w:szCs w:val="24"/>
          <w:lang w:val="en-US" w:eastAsia="zh-CN"/>
        </w:rPr>
        <w:t>Procacci C</w:t>
      </w:r>
      <w:r w:rsidRPr="008730C8">
        <w:rPr>
          <w:rFonts w:ascii="Book Antiqua" w:hAnsi="Book Antiqua" w:cs="Times New Roman"/>
          <w:kern w:val="2"/>
          <w:sz w:val="24"/>
          <w:szCs w:val="24"/>
          <w:lang w:val="en-US" w:eastAsia="zh-CN"/>
        </w:rPr>
        <w:t xml:space="preserve">, Biasiutti C, Carbognin G, Accordini S, Bicego E, Guarise A, Spoto E, Andreis IA, De Marco R, Megibow AJ. Characterization of cystic tumors of the pancreas: CT accuracy. </w:t>
      </w:r>
      <w:r w:rsidRPr="008730C8">
        <w:rPr>
          <w:rFonts w:ascii="Book Antiqua" w:hAnsi="Book Antiqua" w:cs="Times New Roman"/>
          <w:i/>
          <w:kern w:val="2"/>
          <w:sz w:val="24"/>
          <w:szCs w:val="24"/>
          <w:lang w:val="en-US" w:eastAsia="zh-CN"/>
        </w:rPr>
        <w:t>J Comput Assist Tomogr</w:t>
      </w:r>
      <w:r w:rsidRPr="008730C8">
        <w:rPr>
          <w:rFonts w:ascii="Book Antiqua" w:hAnsi="Book Antiqua" w:cs="Times New Roman"/>
          <w:kern w:val="2"/>
          <w:sz w:val="24"/>
          <w:szCs w:val="24"/>
          <w:lang w:val="en-US" w:eastAsia="zh-CN"/>
        </w:rPr>
        <w:t xml:space="preserve"> 1999; </w:t>
      </w:r>
      <w:r w:rsidRPr="008730C8">
        <w:rPr>
          <w:rFonts w:ascii="Book Antiqua" w:hAnsi="Book Antiqua" w:cs="Times New Roman"/>
          <w:b/>
          <w:kern w:val="2"/>
          <w:sz w:val="24"/>
          <w:szCs w:val="24"/>
          <w:lang w:val="en-US" w:eastAsia="zh-CN"/>
        </w:rPr>
        <w:t>23</w:t>
      </w:r>
      <w:r w:rsidRPr="008730C8">
        <w:rPr>
          <w:rFonts w:ascii="Book Antiqua" w:hAnsi="Book Antiqua" w:cs="Times New Roman"/>
          <w:kern w:val="2"/>
          <w:sz w:val="24"/>
          <w:szCs w:val="24"/>
          <w:lang w:val="en-US" w:eastAsia="zh-CN"/>
        </w:rPr>
        <w:t>: 906-912 [PMID: 10589565]</w:t>
      </w:r>
    </w:p>
    <w:p w14:paraId="7F6557FC"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8 </w:t>
      </w:r>
      <w:r w:rsidRPr="008730C8">
        <w:rPr>
          <w:rFonts w:ascii="Book Antiqua" w:hAnsi="Book Antiqua" w:cs="Times New Roman"/>
          <w:b/>
          <w:kern w:val="2"/>
          <w:sz w:val="24"/>
          <w:szCs w:val="24"/>
          <w:lang w:val="en-US" w:eastAsia="zh-CN"/>
        </w:rPr>
        <w:t>Curry CA</w:t>
      </w:r>
      <w:r w:rsidRPr="008730C8">
        <w:rPr>
          <w:rFonts w:ascii="Book Antiqua" w:hAnsi="Book Antiqua" w:cs="Times New Roman"/>
          <w:kern w:val="2"/>
          <w:sz w:val="24"/>
          <w:szCs w:val="24"/>
          <w:lang w:val="en-US" w:eastAsia="zh-CN"/>
        </w:rPr>
        <w:t xml:space="preserve">, Eng J, Horton KM, Urban B, Siegelman S, Kuszyk BS, Fishman EK. CT of primary cystic pancreatic neoplasms: can CT be used for patient triage </w:t>
      </w:r>
      <w:r w:rsidRPr="008730C8">
        <w:rPr>
          <w:rFonts w:ascii="Book Antiqua" w:hAnsi="Book Antiqua" w:cs="Times New Roman"/>
          <w:kern w:val="2"/>
          <w:sz w:val="24"/>
          <w:szCs w:val="24"/>
          <w:lang w:val="en-US" w:eastAsia="zh-CN"/>
        </w:rPr>
        <w:lastRenderedPageBreak/>
        <w:t xml:space="preserve">and treatment? </w:t>
      </w:r>
      <w:r w:rsidRPr="008730C8">
        <w:rPr>
          <w:rFonts w:ascii="Book Antiqua" w:hAnsi="Book Antiqua" w:cs="Times New Roman"/>
          <w:i/>
          <w:kern w:val="2"/>
          <w:sz w:val="24"/>
          <w:szCs w:val="24"/>
          <w:lang w:val="en-US" w:eastAsia="zh-CN"/>
        </w:rPr>
        <w:t>AJR Am J Roentgenol</w:t>
      </w:r>
      <w:r w:rsidRPr="008730C8">
        <w:rPr>
          <w:rFonts w:ascii="Book Antiqua" w:hAnsi="Book Antiqua" w:cs="Times New Roman"/>
          <w:kern w:val="2"/>
          <w:sz w:val="24"/>
          <w:szCs w:val="24"/>
          <w:lang w:val="en-US" w:eastAsia="zh-CN"/>
        </w:rPr>
        <w:t xml:space="preserve"> 2000; </w:t>
      </w:r>
      <w:r w:rsidRPr="008730C8">
        <w:rPr>
          <w:rFonts w:ascii="Book Antiqua" w:hAnsi="Book Antiqua" w:cs="Times New Roman"/>
          <w:b/>
          <w:kern w:val="2"/>
          <w:sz w:val="24"/>
          <w:szCs w:val="24"/>
          <w:lang w:val="en-US" w:eastAsia="zh-CN"/>
        </w:rPr>
        <w:t>175</w:t>
      </w:r>
      <w:r w:rsidRPr="008730C8">
        <w:rPr>
          <w:rFonts w:ascii="Book Antiqua" w:hAnsi="Book Antiqua" w:cs="Times New Roman"/>
          <w:kern w:val="2"/>
          <w:sz w:val="24"/>
          <w:szCs w:val="24"/>
          <w:lang w:val="en-US" w:eastAsia="zh-CN"/>
        </w:rPr>
        <w:t>: 99-103 [PMID: 10882255 DOI: 10.2214/ajr.175.1.1750099]</w:t>
      </w:r>
    </w:p>
    <w:p w14:paraId="6DED4CD7"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9 </w:t>
      </w:r>
      <w:r w:rsidRPr="008730C8">
        <w:rPr>
          <w:rFonts w:ascii="Book Antiqua" w:hAnsi="Book Antiqua" w:cs="Times New Roman"/>
          <w:b/>
          <w:kern w:val="2"/>
          <w:sz w:val="24"/>
          <w:szCs w:val="24"/>
          <w:lang w:val="en-US" w:eastAsia="zh-CN"/>
        </w:rPr>
        <w:t>Visser BC</w:t>
      </w:r>
      <w:r w:rsidRPr="008730C8">
        <w:rPr>
          <w:rFonts w:ascii="Book Antiqua" w:hAnsi="Book Antiqua" w:cs="Times New Roman"/>
          <w:kern w:val="2"/>
          <w:sz w:val="24"/>
          <w:szCs w:val="24"/>
          <w:lang w:val="en-US" w:eastAsia="zh-CN"/>
        </w:rPr>
        <w:t xml:space="preserve">, Yeh BM, Qayyum A, Way LW, McCulloch CE, Coakley FV. Characterization of cystic pancreatic masses: relative accuracy of CT and MRI. </w:t>
      </w:r>
      <w:r w:rsidRPr="008730C8">
        <w:rPr>
          <w:rFonts w:ascii="Book Antiqua" w:hAnsi="Book Antiqua" w:cs="Times New Roman"/>
          <w:i/>
          <w:kern w:val="2"/>
          <w:sz w:val="24"/>
          <w:szCs w:val="24"/>
          <w:lang w:val="en-US" w:eastAsia="zh-CN"/>
        </w:rPr>
        <w:t>AJR Am J Roentgenol</w:t>
      </w:r>
      <w:r w:rsidRPr="008730C8">
        <w:rPr>
          <w:rFonts w:ascii="Book Antiqua" w:hAnsi="Book Antiqua" w:cs="Times New Roman"/>
          <w:kern w:val="2"/>
          <w:sz w:val="24"/>
          <w:szCs w:val="24"/>
          <w:lang w:val="en-US" w:eastAsia="zh-CN"/>
        </w:rPr>
        <w:t xml:space="preserve"> 2007; </w:t>
      </w:r>
      <w:r w:rsidRPr="008730C8">
        <w:rPr>
          <w:rFonts w:ascii="Book Antiqua" w:hAnsi="Book Antiqua" w:cs="Times New Roman"/>
          <w:b/>
          <w:kern w:val="2"/>
          <w:sz w:val="24"/>
          <w:szCs w:val="24"/>
          <w:lang w:val="en-US" w:eastAsia="zh-CN"/>
        </w:rPr>
        <w:t>189</w:t>
      </w:r>
      <w:r w:rsidRPr="008730C8">
        <w:rPr>
          <w:rFonts w:ascii="Book Antiqua" w:hAnsi="Book Antiqua" w:cs="Times New Roman"/>
          <w:kern w:val="2"/>
          <w:sz w:val="24"/>
          <w:szCs w:val="24"/>
          <w:lang w:val="en-US" w:eastAsia="zh-CN"/>
        </w:rPr>
        <w:t>: 648-656 [PMID: 17715113 DOI: 10.2214/AJR.07.2365]</w:t>
      </w:r>
    </w:p>
    <w:p w14:paraId="43A9BC55"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10 </w:t>
      </w:r>
      <w:r w:rsidRPr="008730C8">
        <w:rPr>
          <w:rFonts w:ascii="Book Antiqua" w:hAnsi="Book Antiqua" w:cs="Times New Roman"/>
          <w:b/>
          <w:kern w:val="2"/>
          <w:sz w:val="24"/>
          <w:szCs w:val="24"/>
          <w:lang w:val="en-US" w:eastAsia="zh-CN"/>
        </w:rPr>
        <w:t>Chaudhari VV</w:t>
      </w:r>
      <w:r w:rsidRPr="008730C8">
        <w:rPr>
          <w:rFonts w:ascii="Book Antiqua" w:hAnsi="Book Antiqua" w:cs="Times New Roman"/>
          <w:kern w:val="2"/>
          <w:sz w:val="24"/>
          <w:szCs w:val="24"/>
          <w:lang w:val="en-US" w:eastAsia="zh-CN"/>
        </w:rPr>
        <w:t xml:space="preserve">, Raman SS, Vuong NL, Zimmerman P, Farrell J, Reber H, Sayre J, Lu DS. Pancreatic cystic lesions: discrimination accuracy based on clinical data and high resolution CT features. </w:t>
      </w:r>
      <w:r w:rsidRPr="008730C8">
        <w:rPr>
          <w:rFonts w:ascii="Book Antiqua" w:hAnsi="Book Antiqua" w:cs="Times New Roman"/>
          <w:i/>
          <w:kern w:val="2"/>
          <w:sz w:val="24"/>
          <w:szCs w:val="24"/>
          <w:lang w:val="en-US" w:eastAsia="zh-CN"/>
        </w:rPr>
        <w:t>J Comput Assist Tomogr</w:t>
      </w:r>
      <w:r w:rsidRPr="008730C8">
        <w:rPr>
          <w:rFonts w:ascii="Book Antiqua" w:hAnsi="Book Antiqua" w:cs="Times New Roman"/>
          <w:kern w:val="2"/>
          <w:sz w:val="24"/>
          <w:szCs w:val="24"/>
          <w:lang w:val="en-US" w:eastAsia="zh-CN"/>
        </w:rPr>
        <w:t xml:space="preserve"> 2007; </w:t>
      </w:r>
      <w:r w:rsidRPr="008730C8">
        <w:rPr>
          <w:rFonts w:ascii="Book Antiqua" w:hAnsi="Book Antiqua" w:cs="Times New Roman"/>
          <w:b/>
          <w:kern w:val="2"/>
          <w:sz w:val="24"/>
          <w:szCs w:val="24"/>
          <w:lang w:val="en-US" w:eastAsia="zh-CN"/>
        </w:rPr>
        <w:t>31</w:t>
      </w:r>
      <w:r w:rsidRPr="008730C8">
        <w:rPr>
          <w:rFonts w:ascii="Book Antiqua" w:hAnsi="Book Antiqua" w:cs="Times New Roman"/>
          <w:kern w:val="2"/>
          <w:sz w:val="24"/>
          <w:szCs w:val="24"/>
          <w:lang w:val="en-US" w:eastAsia="zh-CN"/>
        </w:rPr>
        <w:t>: 860-867 [PMID: 18043347 DOI: 10.1097/RCT.0b013e318039b277]</w:t>
      </w:r>
    </w:p>
    <w:p w14:paraId="61AAD5D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11 </w:t>
      </w:r>
      <w:r w:rsidRPr="008730C8">
        <w:rPr>
          <w:rFonts w:ascii="Book Antiqua" w:hAnsi="Book Antiqua" w:cs="Times New Roman"/>
          <w:b/>
          <w:kern w:val="2"/>
          <w:sz w:val="24"/>
          <w:szCs w:val="24"/>
          <w:lang w:val="en-US" w:eastAsia="zh-CN"/>
        </w:rPr>
        <w:t>Lu X</w:t>
      </w:r>
      <w:r w:rsidRPr="008730C8">
        <w:rPr>
          <w:rFonts w:ascii="Book Antiqua" w:hAnsi="Book Antiqua" w:cs="Times New Roman"/>
          <w:kern w:val="2"/>
          <w:sz w:val="24"/>
          <w:szCs w:val="24"/>
          <w:lang w:val="en-US" w:eastAsia="zh-CN"/>
        </w:rPr>
        <w:t xml:space="preserve">, Zhang S, Ma C, Peng C, Lv Y, Zou X. The diagnostic value of EUS in pancreatic cystic neoplasms compared with CT and MRI. </w:t>
      </w:r>
      <w:r w:rsidRPr="008730C8">
        <w:rPr>
          <w:rFonts w:ascii="Book Antiqua" w:hAnsi="Book Antiqua" w:cs="Times New Roman"/>
          <w:i/>
          <w:kern w:val="2"/>
          <w:sz w:val="24"/>
          <w:szCs w:val="24"/>
          <w:lang w:val="en-US" w:eastAsia="zh-CN"/>
        </w:rPr>
        <w:t>Endosc Ultrasound</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4</w:t>
      </w:r>
      <w:r w:rsidRPr="008730C8">
        <w:rPr>
          <w:rFonts w:ascii="Book Antiqua" w:hAnsi="Book Antiqua" w:cs="Times New Roman"/>
          <w:kern w:val="2"/>
          <w:sz w:val="24"/>
          <w:szCs w:val="24"/>
          <w:lang w:val="en-US" w:eastAsia="zh-CN"/>
        </w:rPr>
        <w:t>: 324-329 [PMID: 26643701 DOI: 10.4103/2303-9027.170425]</w:t>
      </w:r>
    </w:p>
    <w:p w14:paraId="71DA14C2"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12 </w:t>
      </w:r>
      <w:r w:rsidRPr="008730C8">
        <w:rPr>
          <w:rFonts w:ascii="Book Antiqua" w:hAnsi="Book Antiqua" w:cs="Times New Roman"/>
          <w:b/>
          <w:kern w:val="2"/>
          <w:sz w:val="24"/>
          <w:szCs w:val="24"/>
          <w:lang w:val="en-US" w:eastAsia="zh-CN"/>
        </w:rPr>
        <w:t>Sahani DV</w:t>
      </w:r>
      <w:r w:rsidRPr="008730C8">
        <w:rPr>
          <w:rFonts w:ascii="Book Antiqua" w:hAnsi="Book Antiqua" w:cs="Times New Roman"/>
          <w:kern w:val="2"/>
          <w:sz w:val="24"/>
          <w:szCs w:val="24"/>
          <w:lang w:val="en-US" w:eastAsia="zh-CN"/>
        </w:rPr>
        <w:t xml:space="preserve">, Sainani NI, Blake MA, Crippa S, Mino-Kenudson M, del-Castillo CF. Prospective evaluation of reader performance on MDCT in characterization of cystic pancreatic lesions and prediction of cyst biologic aggressiveness. </w:t>
      </w:r>
      <w:r w:rsidRPr="008730C8">
        <w:rPr>
          <w:rFonts w:ascii="Book Antiqua" w:hAnsi="Book Antiqua" w:cs="Times New Roman"/>
          <w:i/>
          <w:kern w:val="2"/>
          <w:sz w:val="24"/>
          <w:szCs w:val="24"/>
          <w:lang w:val="en-US" w:eastAsia="zh-CN"/>
        </w:rPr>
        <w:t>AJR Am J Roentgenol</w:t>
      </w:r>
      <w:r w:rsidRPr="008730C8">
        <w:rPr>
          <w:rFonts w:ascii="Book Antiqua" w:hAnsi="Book Antiqua" w:cs="Times New Roman"/>
          <w:kern w:val="2"/>
          <w:sz w:val="24"/>
          <w:szCs w:val="24"/>
          <w:lang w:val="en-US" w:eastAsia="zh-CN"/>
        </w:rPr>
        <w:t xml:space="preserve"> 2011; </w:t>
      </w:r>
      <w:r w:rsidRPr="008730C8">
        <w:rPr>
          <w:rFonts w:ascii="Book Antiqua" w:hAnsi="Book Antiqua" w:cs="Times New Roman"/>
          <w:b/>
          <w:kern w:val="2"/>
          <w:sz w:val="24"/>
          <w:szCs w:val="24"/>
          <w:lang w:val="en-US" w:eastAsia="zh-CN"/>
        </w:rPr>
        <w:t>197</w:t>
      </w:r>
      <w:r w:rsidRPr="008730C8">
        <w:rPr>
          <w:rFonts w:ascii="Book Antiqua" w:hAnsi="Book Antiqua" w:cs="Times New Roman"/>
          <w:kern w:val="2"/>
          <w:sz w:val="24"/>
          <w:szCs w:val="24"/>
          <w:lang w:val="en-US" w:eastAsia="zh-CN"/>
        </w:rPr>
        <w:t>: W53-W61 [PMID: 21700995 DOI: 10.2214/AJR.10.5866]</w:t>
      </w:r>
    </w:p>
    <w:p w14:paraId="565B4226"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13 </w:t>
      </w:r>
      <w:r w:rsidRPr="008730C8">
        <w:rPr>
          <w:rFonts w:ascii="Book Antiqua" w:hAnsi="Book Antiqua" w:cs="Times New Roman"/>
          <w:b/>
          <w:kern w:val="2"/>
          <w:sz w:val="24"/>
          <w:szCs w:val="24"/>
          <w:lang w:val="en-US" w:eastAsia="zh-CN"/>
        </w:rPr>
        <w:t>Sainani NI</w:t>
      </w:r>
      <w:r w:rsidRPr="008730C8">
        <w:rPr>
          <w:rFonts w:ascii="Book Antiqua" w:hAnsi="Book Antiqua" w:cs="Times New Roman"/>
          <w:kern w:val="2"/>
          <w:sz w:val="24"/>
          <w:szCs w:val="24"/>
          <w:lang w:val="en-US" w:eastAsia="zh-CN"/>
        </w:rPr>
        <w:t xml:space="preserve">, Saokar A, Deshpande V, Fernández-del Castillo C, Hahn P, Sahani DV. Comparative performance of MDCT and MRI with MR cholangiopancreatography in characterizing small pancreatic cysts. </w:t>
      </w:r>
      <w:r w:rsidRPr="008730C8">
        <w:rPr>
          <w:rFonts w:ascii="Book Antiqua" w:hAnsi="Book Antiqua" w:cs="Times New Roman"/>
          <w:i/>
          <w:kern w:val="2"/>
          <w:sz w:val="24"/>
          <w:szCs w:val="24"/>
          <w:lang w:val="en-US" w:eastAsia="zh-CN"/>
        </w:rPr>
        <w:t>AJR Am J Roentgenol</w:t>
      </w:r>
      <w:r w:rsidRPr="008730C8">
        <w:rPr>
          <w:rFonts w:ascii="Book Antiqua" w:hAnsi="Book Antiqua" w:cs="Times New Roman"/>
          <w:kern w:val="2"/>
          <w:sz w:val="24"/>
          <w:szCs w:val="24"/>
          <w:lang w:val="en-US" w:eastAsia="zh-CN"/>
        </w:rPr>
        <w:t xml:space="preserve"> 2009; </w:t>
      </w:r>
      <w:r w:rsidRPr="008730C8">
        <w:rPr>
          <w:rFonts w:ascii="Book Antiqua" w:hAnsi="Book Antiqua" w:cs="Times New Roman"/>
          <w:b/>
          <w:kern w:val="2"/>
          <w:sz w:val="24"/>
          <w:szCs w:val="24"/>
          <w:lang w:val="en-US" w:eastAsia="zh-CN"/>
        </w:rPr>
        <w:t>193</w:t>
      </w:r>
      <w:r w:rsidRPr="008730C8">
        <w:rPr>
          <w:rFonts w:ascii="Book Antiqua" w:hAnsi="Book Antiqua" w:cs="Times New Roman"/>
          <w:kern w:val="2"/>
          <w:sz w:val="24"/>
          <w:szCs w:val="24"/>
          <w:lang w:val="en-US" w:eastAsia="zh-CN"/>
        </w:rPr>
        <w:t>: 722-731 [PMID: 19696285 DOI: 10.2214/AJR.08.1253]</w:t>
      </w:r>
    </w:p>
    <w:p w14:paraId="06058666"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14 </w:t>
      </w:r>
      <w:r w:rsidRPr="008730C8">
        <w:rPr>
          <w:rFonts w:ascii="Book Antiqua" w:hAnsi="Book Antiqua" w:cs="Times New Roman"/>
          <w:b/>
          <w:kern w:val="2"/>
          <w:sz w:val="24"/>
          <w:szCs w:val="24"/>
          <w:lang w:val="en-US" w:eastAsia="zh-CN"/>
        </w:rPr>
        <w:t>de Jong K</w:t>
      </w:r>
      <w:r w:rsidRPr="008730C8">
        <w:rPr>
          <w:rFonts w:ascii="Book Antiqua" w:hAnsi="Book Antiqua" w:cs="Times New Roman"/>
          <w:kern w:val="2"/>
          <w:sz w:val="24"/>
          <w:szCs w:val="24"/>
          <w:lang w:val="en-US" w:eastAsia="zh-CN"/>
        </w:rPr>
        <w:t xml:space="preserve">, van Hooft JE, Nio CY, Gouma DJ, Dijkgraaf MG, Bruno MJ, Fockens P. Accuracy of preoperative workup in a prospective series of surgically resected cystic pancreatic lesions. </w:t>
      </w:r>
      <w:r w:rsidRPr="008730C8">
        <w:rPr>
          <w:rFonts w:ascii="Book Antiqua" w:hAnsi="Book Antiqua" w:cs="Times New Roman"/>
          <w:i/>
          <w:kern w:val="2"/>
          <w:sz w:val="24"/>
          <w:szCs w:val="24"/>
          <w:lang w:val="en-US" w:eastAsia="zh-CN"/>
        </w:rPr>
        <w:t>Scand J Gastroenterol</w:t>
      </w:r>
      <w:r w:rsidRPr="008730C8">
        <w:rPr>
          <w:rFonts w:ascii="Book Antiqua" w:hAnsi="Book Antiqua" w:cs="Times New Roman"/>
          <w:kern w:val="2"/>
          <w:sz w:val="24"/>
          <w:szCs w:val="24"/>
          <w:lang w:val="en-US" w:eastAsia="zh-CN"/>
        </w:rPr>
        <w:t xml:space="preserve"> 2012; </w:t>
      </w:r>
      <w:r w:rsidRPr="008730C8">
        <w:rPr>
          <w:rFonts w:ascii="Book Antiqua" w:hAnsi="Book Antiqua" w:cs="Times New Roman"/>
          <w:b/>
          <w:kern w:val="2"/>
          <w:sz w:val="24"/>
          <w:szCs w:val="24"/>
          <w:lang w:val="en-US" w:eastAsia="zh-CN"/>
        </w:rPr>
        <w:t>47</w:t>
      </w:r>
      <w:r w:rsidRPr="008730C8">
        <w:rPr>
          <w:rFonts w:ascii="Book Antiqua" w:hAnsi="Book Antiqua" w:cs="Times New Roman"/>
          <w:kern w:val="2"/>
          <w:sz w:val="24"/>
          <w:szCs w:val="24"/>
          <w:lang w:val="en-US" w:eastAsia="zh-CN"/>
        </w:rPr>
        <w:t>: 1056-1063 [PMID: 22571417 DOI: 10.3109/00365521.2012.674970]</w:t>
      </w:r>
    </w:p>
    <w:p w14:paraId="1D019B53"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15 </w:t>
      </w:r>
      <w:r w:rsidRPr="008730C8">
        <w:rPr>
          <w:rFonts w:ascii="Book Antiqua" w:hAnsi="Book Antiqua" w:cs="Times New Roman"/>
          <w:b/>
          <w:kern w:val="2"/>
          <w:sz w:val="24"/>
          <w:szCs w:val="24"/>
          <w:lang w:val="en-US" w:eastAsia="zh-CN"/>
        </w:rPr>
        <w:t>Fisher WE</w:t>
      </w:r>
      <w:r w:rsidRPr="008730C8">
        <w:rPr>
          <w:rFonts w:ascii="Book Antiqua" w:hAnsi="Book Antiqua" w:cs="Times New Roman"/>
          <w:kern w:val="2"/>
          <w:sz w:val="24"/>
          <w:szCs w:val="24"/>
          <w:lang w:val="en-US" w:eastAsia="zh-CN"/>
        </w:rPr>
        <w:t xml:space="preserve">, Hodges SE, Yagnik V, Morón FE, Wu MF, Hilsenbeck SG, Raijman IL, Brunicardi FC. Accuracy of CT in predicting malignant potential of cystic pancreatic neoplasms. </w:t>
      </w:r>
      <w:r w:rsidRPr="008730C8">
        <w:rPr>
          <w:rFonts w:ascii="Book Antiqua" w:hAnsi="Book Antiqua" w:cs="Times New Roman"/>
          <w:i/>
          <w:kern w:val="2"/>
          <w:sz w:val="24"/>
          <w:szCs w:val="24"/>
          <w:lang w:val="en-US" w:eastAsia="zh-CN"/>
        </w:rPr>
        <w:t>HPB</w:t>
      </w:r>
      <w:r w:rsidRPr="008730C8">
        <w:rPr>
          <w:rFonts w:ascii="Book Antiqua" w:hAnsi="Book Antiqua" w:cs="Times New Roman"/>
          <w:kern w:val="2"/>
          <w:sz w:val="24"/>
          <w:szCs w:val="24"/>
          <w:lang w:val="en-US" w:eastAsia="zh-CN"/>
        </w:rPr>
        <w:t xml:space="preserve"> (Oxford) 2008; </w:t>
      </w:r>
      <w:r w:rsidRPr="008730C8">
        <w:rPr>
          <w:rFonts w:ascii="Book Antiqua" w:hAnsi="Book Antiqua" w:cs="Times New Roman"/>
          <w:b/>
          <w:kern w:val="2"/>
          <w:sz w:val="24"/>
          <w:szCs w:val="24"/>
          <w:lang w:val="en-US" w:eastAsia="zh-CN"/>
        </w:rPr>
        <w:t>10</w:t>
      </w:r>
      <w:r w:rsidRPr="008730C8">
        <w:rPr>
          <w:rFonts w:ascii="Book Antiqua" w:hAnsi="Book Antiqua" w:cs="Times New Roman"/>
          <w:kern w:val="2"/>
          <w:sz w:val="24"/>
          <w:szCs w:val="24"/>
          <w:lang w:val="en-US" w:eastAsia="zh-CN"/>
        </w:rPr>
        <w:t>: 483-490 [PMID: 19088937 DOI: 10.1080/13651820802291225]</w:t>
      </w:r>
    </w:p>
    <w:p w14:paraId="61B06F5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16 </w:t>
      </w:r>
      <w:r w:rsidRPr="008730C8">
        <w:rPr>
          <w:rFonts w:ascii="Book Antiqua" w:hAnsi="Book Antiqua" w:cs="Times New Roman"/>
          <w:b/>
          <w:kern w:val="2"/>
          <w:sz w:val="24"/>
          <w:szCs w:val="24"/>
          <w:lang w:val="en-US" w:eastAsia="zh-CN"/>
        </w:rPr>
        <w:t>Lee HJ</w:t>
      </w:r>
      <w:r w:rsidRPr="008730C8">
        <w:rPr>
          <w:rFonts w:ascii="Book Antiqua" w:hAnsi="Book Antiqua" w:cs="Times New Roman"/>
          <w:kern w:val="2"/>
          <w:sz w:val="24"/>
          <w:szCs w:val="24"/>
          <w:lang w:val="en-US" w:eastAsia="zh-CN"/>
        </w:rPr>
        <w:t xml:space="preserve">, Kim MJ, Choi JY, Hong HS, Kim KA. Relative accuracy of CT and </w:t>
      </w:r>
      <w:r w:rsidRPr="008730C8">
        <w:rPr>
          <w:rFonts w:ascii="Book Antiqua" w:hAnsi="Book Antiqua" w:cs="Times New Roman"/>
          <w:kern w:val="2"/>
          <w:sz w:val="24"/>
          <w:szCs w:val="24"/>
          <w:lang w:val="en-US" w:eastAsia="zh-CN"/>
        </w:rPr>
        <w:lastRenderedPageBreak/>
        <w:t xml:space="preserve">MRI in the differentiation of benign from malignant pancreatic cystic lesions. </w:t>
      </w:r>
      <w:r w:rsidRPr="008730C8">
        <w:rPr>
          <w:rFonts w:ascii="Book Antiqua" w:hAnsi="Book Antiqua" w:cs="Times New Roman"/>
          <w:i/>
          <w:kern w:val="2"/>
          <w:sz w:val="24"/>
          <w:szCs w:val="24"/>
          <w:lang w:val="en-US" w:eastAsia="zh-CN"/>
        </w:rPr>
        <w:t>Clin Radiol</w:t>
      </w:r>
      <w:r w:rsidRPr="008730C8">
        <w:rPr>
          <w:rFonts w:ascii="Book Antiqua" w:hAnsi="Book Antiqua" w:cs="Times New Roman"/>
          <w:kern w:val="2"/>
          <w:sz w:val="24"/>
          <w:szCs w:val="24"/>
          <w:lang w:val="en-US" w:eastAsia="zh-CN"/>
        </w:rPr>
        <w:t xml:space="preserve"> 2011; </w:t>
      </w:r>
      <w:r w:rsidRPr="008730C8">
        <w:rPr>
          <w:rFonts w:ascii="Book Antiqua" w:hAnsi="Book Antiqua" w:cs="Times New Roman"/>
          <w:b/>
          <w:kern w:val="2"/>
          <w:sz w:val="24"/>
          <w:szCs w:val="24"/>
          <w:lang w:val="en-US" w:eastAsia="zh-CN"/>
        </w:rPr>
        <w:t>66</w:t>
      </w:r>
      <w:r w:rsidRPr="008730C8">
        <w:rPr>
          <w:rFonts w:ascii="Book Antiqua" w:hAnsi="Book Antiqua" w:cs="Times New Roman"/>
          <w:kern w:val="2"/>
          <w:sz w:val="24"/>
          <w:szCs w:val="24"/>
          <w:lang w:val="en-US" w:eastAsia="zh-CN"/>
        </w:rPr>
        <w:t>: 315-321 [PMID: 21356393 DOI: 10.1016/j.crad.2010.06.019]</w:t>
      </w:r>
    </w:p>
    <w:p w14:paraId="48ABE1DA"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17 </w:t>
      </w:r>
      <w:r w:rsidRPr="008730C8">
        <w:rPr>
          <w:rFonts w:ascii="Book Antiqua" w:hAnsi="Book Antiqua" w:cs="Times New Roman"/>
          <w:b/>
          <w:kern w:val="2"/>
          <w:sz w:val="24"/>
          <w:szCs w:val="24"/>
          <w:lang w:val="en-US" w:eastAsia="zh-CN"/>
        </w:rPr>
        <w:t>Brugge WR</w:t>
      </w:r>
      <w:r w:rsidRPr="008730C8">
        <w:rPr>
          <w:rFonts w:ascii="Book Antiqua" w:hAnsi="Book Antiqua" w:cs="Times New Roman"/>
          <w:kern w:val="2"/>
          <w:sz w:val="24"/>
          <w:szCs w:val="24"/>
          <w:lang w:val="en-US" w:eastAsia="zh-CN"/>
        </w:rPr>
        <w:t xml:space="preserve">, Lewandrowski K, Lee-Lewandrowski E, Centeno BA, Szydlo T, Regan S, del Castillo CF, Warshaw AL. Diagnosis of pancreatic cystic neoplasms: a report of the cooperative pancreatic cyst study. </w:t>
      </w:r>
      <w:r w:rsidRPr="008730C8">
        <w:rPr>
          <w:rFonts w:ascii="Book Antiqua" w:hAnsi="Book Antiqua" w:cs="Times New Roman"/>
          <w:i/>
          <w:kern w:val="2"/>
          <w:sz w:val="24"/>
          <w:szCs w:val="24"/>
          <w:lang w:val="en-US" w:eastAsia="zh-CN"/>
        </w:rPr>
        <w:t>Gastroenterology</w:t>
      </w:r>
      <w:r w:rsidRPr="008730C8">
        <w:rPr>
          <w:rFonts w:ascii="Book Antiqua" w:hAnsi="Book Antiqua" w:cs="Times New Roman"/>
          <w:kern w:val="2"/>
          <w:sz w:val="24"/>
          <w:szCs w:val="24"/>
          <w:lang w:val="en-US" w:eastAsia="zh-CN"/>
        </w:rPr>
        <w:t xml:space="preserve"> 2004; </w:t>
      </w:r>
      <w:r w:rsidRPr="008730C8">
        <w:rPr>
          <w:rFonts w:ascii="Book Antiqua" w:hAnsi="Book Antiqua" w:cs="Times New Roman"/>
          <w:b/>
          <w:kern w:val="2"/>
          <w:sz w:val="24"/>
          <w:szCs w:val="24"/>
          <w:lang w:val="en-US" w:eastAsia="zh-CN"/>
        </w:rPr>
        <w:t>126</w:t>
      </w:r>
      <w:r w:rsidRPr="008730C8">
        <w:rPr>
          <w:rFonts w:ascii="Book Antiqua" w:hAnsi="Book Antiqua" w:cs="Times New Roman"/>
          <w:kern w:val="2"/>
          <w:sz w:val="24"/>
          <w:szCs w:val="24"/>
          <w:lang w:val="en-US" w:eastAsia="zh-CN"/>
        </w:rPr>
        <w:t>: 1330-1336 [PMID: 15131794]</w:t>
      </w:r>
    </w:p>
    <w:p w14:paraId="05043719"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18 </w:t>
      </w:r>
      <w:r w:rsidRPr="008730C8">
        <w:rPr>
          <w:rFonts w:ascii="Book Antiqua" w:hAnsi="Book Antiqua" w:cs="Times New Roman"/>
          <w:b/>
          <w:kern w:val="2"/>
          <w:sz w:val="24"/>
          <w:szCs w:val="24"/>
          <w:lang w:val="en-US" w:eastAsia="zh-CN"/>
        </w:rPr>
        <w:t>Sedlack R</w:t>
      </w:r>
      <w:r w:rsidRPr="008730C8">
        <w:rPr>
          <w:rFonts w:ascii="Book Antiqua" w:hAnsi="Book Antiqua" w:cs="Times New Roman"/>
          <w:kern w:val="2"/>
          <w:sz w:val="24"/>
          <w:szCs w:val="24"/>
          <w:lang w:val="en-US" w:eastAsia="zh-CN"/>
        </w:rPr>
        <w:t xml:space="preserve">, Affi A, Vazquez-Sequeiros E, Norton ID, Clain JE, Wiersema MJ. Utility of EUS in the evaluation of cystic pancreatic lesions.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2002; </w:t>
      </w:r>
      <w:r w:rsidRPr="008730C8">
        <w:rPr>
          <w:rFonts w:ascii="Book Antiqua" w:hAnsi="Book Antiqua" w:cs="Times New Roman"/>
          <w:b/>
          <w:kern w:val="2"/>
          <w:sz w:val="24"/>
          <w:szCs w:val="24"/>
          <w:lang w:val="en-US" w:eastAsia="zh-CN"/>
        </w:rPr>
        <w:t>56</w:t>
      </w:r>
      <w:r w:rsidRPr="008730C8">
        <w:rPr>
          <w:rFonts w:ascii="Book Antiqua" w:hAnsi="Book Antiqua" w:cs="Times New Roman"/>
          <w:kern w:val="2"/>
          <w:sz w:val="24"/>
          <w:szCs w:val="24"/>
          <w:lang w:val="en-US" w:eastAsia="zh-CN"/>
        </w:rPr>
        <w:t>: 543-547 [PMID: 12297771 DOI: 10.1067/mge.2002.128106]</w:t>
      </w:r>
    </w:p>
    <w:p w14:paraId="0DC277D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19 </w:t>
      </w:r>
      <w:r w:rsidRPr="008730C8">
        <w:rPr>
          <w:rFonts w:ascii="Book Antiqua" w:hAnsi="Book Antiqua" w:cs="Times New Roman"/>
          <w:b/>
          <w:kern w:val="2"/>
          <w:sz w:val="24"/>
          <w:szCs w:val="24"/>
          <w:lang w:val="en-US" w:eastAsia="zh-CN"/>
        </w:rPr>
        <w:t>Stojanović N</w:t>
      </w:r>
      <w:r w:rsidRPr="008730C8">
        <w:rPr>
          <w:rFonts w:ascii="Book Antiqua" w:hAnsi="Book Antiqua" w:cs="Times New Roman"/>
          <w:kern w:val="2"/>
          <w:sz w:val="24"/>
          <w:szCs w:val="24"/>
          <w:lang w:val="en-US" w:eastAsia="zh-CN"/>
        </w:rPr>
        <w:t xml:space="preserve">, Ruvidić R, Jovcić G, Mijović A. Drug-induced agranulocytosis: bone marrow granulocytic progenitor cells. </w:t>
      </w:r>
      <w:r w:rsidRPr="008730C8">
        <w:rPr>
          <w:rFonts w:ascii="Book Antiqua" w:hAnsi="Book Antiqua" w:cs="Times New Roman"/>
          <w:i/>
          <w:kern w:val="2"/>
          <w:sz w:val="24"/>
          <w:szCs w:val="24"/>
          <w:lang w:val="en-US" w:eastAsia="zh-CN"/>
        </w:rPr>
        <w:t>Biomed Pharmacother</w:t>
      </w:r>
      <w:r w:rsidRPr="008730C8">
        <w:rPr>
          <w:rFonts w:ascii="Book Antiqua" w:hAnsi="Book Antiqua" w:cs="Times New Roman"/>
          <w:kern w:val="2"/>
          <w:sz w:val="24"/>
          <w:szCs w:val="24"/>
          <w:lang w:val="en-US" w:eastAsia="zh-CN"/>
        </w:rPr>
        <w:t xml:space="preserve"> 1990; </w:t>
      </w:r>
      <w:r w:rsidRPr="008730C8">
        <w:rPr>
          <w:rFonts w:ascii="Book Antiqua" w:hAnsi="Book Antiqua" w:cs="Times New Roman"/>
          <w:b/>
          <w:kern w:val="2"/>
          <w:sz w:val="24"/>
          <w:szCs w:val="24"/>
          <w:lang w:val="en-US" w:eastAsia="zh-CN"/>
        </w:rPr>
        <w:t>44</w:t>
      </w:r>
      <w:r w:rsidRPr="008730C8">
        <w:rPr>
          <w:rFonts w:ascii="Book Antiqua" w:hAnsi="Book Antiqua" w:cs="Times New Roman"/>
          <w:kern w:val="2"/>
          <w:sz w:val="24"/>
          <w:szCs w:val="24"/>
          <w:lang w:val="en-US" w:eastAsia="zh-CN"/>
        </w:rPr>
        <w:t>: 181-184 [PMID: 2397279 DOI: 10.1067/mge.2002.128542]</w:t>
      </w:r>
    </w:p>
    <w:p w14:paraId="787BA6E6"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20 </w:t>
      </w:r>
      <w:r w:rsidRPr="008730C8">
        <w:rPr>
          <w:rFonts w:ascii="Book Antiqua" w:hAnsi="Book Antiqua" w:cs="Times New Roman"/>
          <w:b/>
          <w:kern w:val="2"/>
          <w:sz w:val="24"/>
          <w:szCs w:val="24"/>
          <w:lang w:val="en-US" w:eastAsia="zh-CN"/>
        </w:rPr>
        <w:t>Pais SA</w:t>
      </w:r>
      <w:r w:rsidRPr="008730C8">
        <w:rPr>
          <w:rFonts w:ascii="Book Antiqua" w:hAnsi="Book Antiqua" w:cs="Times New Roman"/>
          <w:kern w:val="2"/>
          <w:sz w:val="24"/>
          <w:szCs w:val="24"/>
          <w:lang w:val="en-US" w:eastAsia="zh-CN"/>
        </w:rPr>
        <w:t xml:space="preserve">, Attasaranya S, Leblanc JK, Sherman S, Schmidt CM, DeWitt J. Role of endoscopic ultrasound in the diagnosis of intraductal papillary mucinous neoplasms: correlation with surgical histopathology. </w:t>
      </w:r>
      <w:r w:rsidRPr="008730C8">
        <w:rPr>
          <w:rFonts w:ascii="Book Antiqua" w:hAnsi="Book Antiqua" w:cs="Times New Roman"/>
          <w:i/>
          <w:kern w:val="2"/>
          <w:sz w:val="24"/>
          <w:szCs w:val="24"/>
          <w:lang w:val="en-US" w:eastAsia="zh-CN"/>
        </w:rPr>
        <w:t>Clin Gastroenterol Hepatol</w:t>
      </w:r>
      <w:r w:rsidRPr="008730C8">
        <w:rPr>
          <w:rFonts w:ascii="Book Antiqua" w:hAnsi="Book Antiqua" w:cs="Times New Roman"/>
          <w:kern w:val="2"/>
          <w:sz w:val="24"/>
          <w:szCs w:val="24"/>
          <w:lang w:val="en-US" w:eastAsia="zh-CN"/>
        </w:rPr>
        <w:t xml:space="preserve"> 2007; </w:t>
      </w:r>
      <w:r w:rsidRPr="008730C8">
        <w:rPr>
          <w:rFonts w:ascii="Book Antiqua" w:hAnsi="Book Antiqua" w:cs="Times New Roman"/>
          <w:b/>
          <w:kern w:val="2"/>
          <w:sz w:val="24"/>
          <w:szCs w:val="24"/>
          <w:lang w:val="en-US" w:eastAsia="zh-CN"/>
        </w:rPr>
        <w:t>5</w:t>
      </w:r>
      <w:r w:rsidRPr="008730C8">
        <w:rPr>
          <w:rFonts w:ascii="Book Antiqua" w:hAnsi="Book Antiqua" w:cs="Times New Roman"/>
          <w:kern w:val="2"/>
          <w:sz w:val="24"/>
          <w:szCs w:val="24"/>
          <w:lang w:val="en-US" w:eastAsia="zh-CN"/>
        </w:rPr>
        <w:t>: 489-495 [PMID: 17350894 DOI: 10.1016/j.cgh.2006.12.007]</w:t>
      </w:r>
    </w:p>
    <w:p w14:paraId="3ABED02C"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21 </w:t>
      </w:r>
      <w:r w:rsidRPr="008730C8">
        <w:rPr>
          <w:rFonts w:ascii="Book Antiqua" w:hAnsi="Book Antiqua" w:cs="Times New Roman"/>
          <w:b/>
          <w:kern w:val="2"/>
          <w:sz w:val="24"/>
          <w:szCs w:val="24"/>
          <w:lang w:val="en-US" w:eastAsia="zh-CN"/>
        </w:rPr>
        <w:t>Koito K</w:t>
      </w:r>
      <w:r w:rsidRPr="008730C8">
        <w:rPr>
          <w:rFonts w:ascii="Book Antiqua" w:hAnsi="Book Antiqua" w:cs="Times New Roman"/>
          <w:kern w:val="2"/>
          <w:sz w:val="24"/>
          <w:szCs w:val="24"/>
          <w:lang w:val="en-US" w:eastAsia="zh-CN"/>
        </w:rPr>
        <w:t xml:space="preserve">, Namieno T, Nagakawa T, Shyonai T, Hirokawa N, Morita K. Solitary cystic tumor of the pancreas: EUS-pathologic correlation.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1997; </w:t>
      </w:r>
      <w:r w:rsidRPr="008730C8">
        <w:rPr>
          <w:rFonts w:ascii="Book Antiqua" w:hAnsi="Book Antiqua" w:cs="Times New Roman"/>
          <w:b/>
          <w:kern w:val="2"/>
          <w:sz w:val="24"/>
          <w:szCs w:val="24"/>
          <w:lang w:val="en-US" w:eastAsia="zh-CN"/>
        </w:rPr>
        <w:t>45</w:t>
      </w:r>
      <w:r w:rsidRPr="008730C8">
        <w:rPr>
          <w:rFonts w:ascii="Book Antiqua" w:hAnsi="Book Antiqua" w:cs="Times New Roman"/>
          <w:kern w:val="2"/>
          <w:sz w:val="24"/>
          <w:szCs w:val="24"/>
          <w:lang w:val="en-US" w:eastAsia="zh-CN"/>
        </w:rPr>
        <w:t>: 268-276 [PMID: 9087833]</w:t>
      </w:r>
    </w:p>
    <w:p w14:paraId="4545032C"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22 </w:t>
      </w:r>
      <w:r w:rsidRPr="008730C8">
        <w:rPr>
          <w:rFonts w:ascii="Book Antiqua" w:hAnsi="Book Antiqua" w:cs="Times New Roman"/>
          <w:b/>
          <w:kern w:val="2"/>
          <w:sz w:val="24"/>
          <w:szCs w:val="24"/>
          <w:lang w:val="en-US" w:eastAsia="zh-CN"/>
        </w:rPr>
        <w:t>Gerke H</w:t>
      </w:r>
      <w:r w:rsidRPr="008730C8">
        <w:rPr>
          <w:rFonts w:ascii="Book Antiqua" w:hAnsi="Book Antiqua" w:cs="Times New Roman"/>
          <w:kern w:val="2"/>
          <w:sz w:val="24"/>
          <w:szCs w:val="24"/>
          <w:lang w:val="en-US" w:eastAsia="zh-CN"/>
        </w:rPr>
        <w:t xml:space="preserve">, Jaffe TA, Mitchell RM, Byrne MF, Stiffler HL, Branch MS, Baillie J, Jowell PS. Endoscopic ultrasound and computer tomography are inaccurate methods of classifying cystic pancreatic lesions. </w:t>
      </w:r>
      <w:r w:rsidRPr="008730C8">
        <w:rPr>
          <w:rFonts w:ascii="Book Antiqua" w:hAnsi="Book Antiqua" w:cs="Times New Roman"/>
          <w:i/>
          <w:kern w:val="2"/>
          <w:sz w:val="24"/>
          <w:szCs w:val="24"/>
          <w:lang w:val="en-US" w:eastAsia="zh-CN"/>
        </w:rPr>
        <w:t>Dig Liver Dis</w:t>
      </w:r>
      <w:r w:rsidRPr="008730C8">
        <w:rPr>
          <w:rFonts w:ascii="Book Antiqua" w:hAnsi="Book Antiqua" w:cs="Times New Roman"/>
          <w:kern w:val="2"/>
          <w:sz w:val="24"/>
          <w:szCs w:val="24"/>
          <w:lang w:val="en-US" w:eastAsia="zh-CN"/>
        </w:rPr>
        <w:t xml:space="preserve"> 2006; </w:t>
      </w:r>
      <w:r w:rsidRPr="008730C8">
        <w:rPr>
          <w:rFonts w:ascii="Book Antiqua" w:hAnsi="Book Antiqua" w:cs="Times New Roman"/>
          <w:b/>
          <w:kern w:val="2"/>
          <w:sz w:val="24"/>
          <w:szCs w:val="24"/>
          <w:lang w:val="en-US" w:eastAsia="zh-CN"/>
        </w:rPr>
        <w:t>38</w:t>
      </w:r>
      <w:r w:rsidRPr="008730C8">
        <w:rPr>
          <w:rFonts w:ascii="Book Antiqua" w:hAnsi="Book Antiqua" w:cs="Times New Roman"/>
          <w:kern w:val="2"/>
          <w:sz w:val="24"/>
          <w:szCs w:val="24"/>
          <w:lang w:val="en-US" w:eastAsia="zh-CN"/>
        </w:rPr>
        <w:t>: 39-44 [PMID: 16314152 DOI: 10.1016/j.dld.2005.09.023]</w:t>
      </w:r>
    </w:p>
    <w:p w14:paraId="03978B0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23 </w:t>
      </w:r>
      <w:r w:rsidRPr="008730C8">
        <w:rPr>
          <w:rFonts w:ascii="Book Antiqua" w:hAnsi="Book Antiqua" w:cs="Times New Roman"/>
          <w:b/>
          <w:kern w:val="2"/>
          <w:sz w:val="24"/>
          <w:szCs w:val="24"/>
          <w:lang w:val="en-US" w:eastAsia="zh-CN"/>
        </w:rPr>
        <w:t>Ahmad NA</w:t>
      </w:r>
      <w:r w:rsidRPr="008730C8">
        <w:rPr>
          <w:rFonts w:ascii="Book Antiqua" w:hAnsi="Book Antiqua" w:cs="Times New Roman"/>
          <w:kern w:val="2"/>
          <w:sz w:val="24"/>
          <w:szCs w:val="24"/>
          <w:lang w:val="en-US" w:eastAsia="zh-CN"/>
        </w:rPr>
        <w:t xml:space="preserve">, Kochman ML, Brensinger C, Brugge WR, Faigel DO, Gress FG, Kimmey MB, Nickl NJ, Savides TJ, Wallace MB, Wiersema MJ, Ginsberg GG. Interobserver agreement among endosonographers for the diagnosis of neoplastic versus non-neoplastic pancreatic cystic lesions.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2003; </w:t>
      </w:r>
      <w:r w:rsidRPr="008730C8">
        <w:rPr>
          <w:rFonts w:ascii="Book Antiqua" w:hAnsi="Book Antiqua" w:cs="Times New Roman"/>
          <w:b/>
          <w:kern w:val="2"/>
          <w:sz w:val="24"/>
          <w:szCs w:val="24"/>
          <w:lang w:val="en-US" w:eastAsia="zh-CN"/>
        </w:rPr>
        <w:t>58</w:t>
      </w:r>
      <w:r w:rsidRPr="008730C8">
        <w:rPr>
          <w:rFonts w:ascii="Book Antiqua" w:hAnsi="Book Antiqua" w:cs="Times New Roman"/>
          <w:kern w:val="2"/>
          <w:sz w:val="24"/>
          <w:szCs w:val="24"/>
          <w:lang w:val="en-US" w:eastAsia="zh-CN"/>
        </w:rPr>
        <w:t>: 59-64 [PMID: 12838222 DOI: 10.1067/mge.2003.298]</w:t>
      </w:r>
    </w:p>
    <w:p w14:paraId="67BC3492"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24 </w:t>
      </w:r>
      <w:r w:rsidRPr="008730C8">
        <w:rPr>
          <w:rFonts w:ascii="Book Antiqua" w:hAnsi="Book Antiqua" w:cs="Times New Roman"/>
          <w:b/>
          <w:kern w:val="2"/>
          <w:sz w:val="24"/>
          <w:szCs w:val="24"/>
          <w:lang w:val="en-US" w:eastAsia="zh-CN"/>
        </w:rPr>
        <w:t>Thornton GD</w:t>
      </w:r>
      <w:r w:rsidRPr="008730C8">
        <w:rPr>
          <w:rFonts w:ascii="Book Antiqua" w:hAnsi="Book Antiqua" w:cs="Times New Roman"/>
          <w:kern w:val="2"/>
          <w:sz w:val="24"/>
          <w:szCs w:val="24"/>
          <w:lang w:val="en-US" w:eastAsia="zh-CN"/>
        </w:rPr>
        <w:t xml:space="preserve">, McPhail MJ, Nayagam S, Hewitt MJ, Vlavianos P, Monahan KJ. Endoscopic ultrasound guided fine needle aspiration for the diagnosis of pancreatic cystic neoplasms: a meta-analysis. </w:t>
      </w:r>
      <w:r w:rsidRPr="008730C8">
        <w:rPr>
          <w:rFonts w:ascii="Book Antiqua" w:hAnsi="Book Antiqua" w:cs="Times New Roman"/>
          <w:i/>
          <w:kern w:val="2"/>
          <w:sz w:val="24"/>
          <w:szCs w:val="24"/>
          <w:lang w:val="en-US" w:eastAsia="zh-CN"/>
        </w:rPr>
        <w:t>Pancreatology</w:t>
      </w:r>
      <w:r w:rsidRPr="008730C8">
        <w:rPr>
          <w:rFonts w:ascii="Book Antiqua" w:hAnsi="Book Antiqua" w:cs="Times New Roman"/>
          <w:kern w:val="2"/>
          <w:sz w:val="24"/>
          <w:szCs w:val="24"/>
          <w:lang w:val="en-US" w:eastAsia="zh-CN"/>
        </w:rPr>
        <w:t xml:space="preserve"> 2013; </w:t>
      </w:r>
      <w:r w:rsidRPr="008730C8">
        <w:rPr>
          <w:rFonts w:ascii="Book Antiqua" w:hAnsi="Book Antiqua" w:cs="Times New Roman"/>
          <w:b/>
          <w:kern w:val="2"/>
          <w:sz w:val="24"/>
          <w:szCs w:val="24"/>
          <w:lang w:val="en-US" w:eastAsia="zh-CN"/>
        </w:rPr>
        <w:t>13</w:t>
      </w:r>
      <w:r w:rsidRPr="008730C8">
        <w:rPr>
          <w:rFonts w:ascii="Book Antiqua" w:hAnsi="Book Antiqua" w:cs="Times New Roman"/>
          <w:kern w:val="2"/>
          <w:sz w:val="24"/>
          <w:szCs w:val="24"/>
          <w:lang w:val="en-US" w:eastAsia="zh-CN"/>
        </w:rPr>
        <w:t xml:space="preserve">: 48-57 </w:t>
      </w:r>
      <w:r w:rsidRPr="008730C8">
        <w:rPr>
          <w:rFonts w:ascii="Book Antiqua" w:hAnsi="Book Antiqua" w:cs="Times New Roman"/>
          <w:kern w:val="2"/>
          <w:sz w:val="24"/>
          <w:szCs w:val="24"/>
          <w:lang w:val="en-US" w:eastAsia="zh-CN"/>
        </w:rPr>
        <w:lastRenderedPageBreak/>
        <w:t>[PMID: 23395570 DOI: 10.1016/j.pan.2012.11.313]</w:t>
      </w:r>
    </w:p>
    <w:p w14:paraId="3A39C05F"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25 </w:t>
      </w:r>
      <w:r w:rsidRPr="008730C8">
        <w:rPr>
          <w:rFonts w:ascii="Book Antiqua" w:hAnsi="Book Antiqua" w:cs="Times New Roman"/>
          <w:b/>
          <w:kern w:val="2"/>
          <w:sz w:val="24"/>
          <w:szCs w:val="24"/>
          <w:lang w:val="en-US" w:eastAsia="zh-CN"/>
        </w:rPr>
        <w:t>Takaori K</w:t>
      </w:r>
      <w:r w:rsidRPr="008730C8">
        <w:rPr>
          <w:rFonts w:ascii="Book Antiqua" w:hAnsi="Book Antiqua" w:cs="Times New Roman"/>
          <w:kern w:val="2"/>
          <w:sz w:val="24"/>
          <w:szCs w:val="24"/>
          <w:lang w:val="en-US" w:eastAsia="zh-CN"/>
        </w:rPr>
        <w:t xml:space="preserve">. "Revisions of the International Consensus Fukuoka Guidelines for the Management of IPMN of the Pancreas": Progress for twelve years. </w:t>
      </w:r>
      <w:r w:rsidRPr="008730C8">
        <w:rPr>
          <w:rFonts w:ascii="Book Antiqua" w:hAnsi="Book Antiqua" w:cs="Times New Roman"/>
          <w:i/>
          <w:kern w:val="2"/>
          <w:sz w:val="24"/>
          <w:szCs w:val="24"/>
          <w:lang w:val="en-US" w:eastAsia="zh-CN"/>
        </w:rPr>
        <w:t>Pancreatology</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17</w:t>
      </w:r>
      <w:r w:rsidRPr="008730C8">
        <w:rPr>
          <w:rFonts w:ascii="Book Antiqua" w:hAnsi="Book Antiqua" w:cs="Times New Roman"/>
          <w:kern w:val="2"/>
          <w:sz w:val="24"/>
          <w:szCs w:val="24"/>
          <w:lang w:val="en-US" w:eastAsia="zh-CN"/>
        </w:rPr>
        <w:t>: 645-646 [PMID: 28864411 DOI: 10.1016/j.pan.2017.08.008]</w:t>
      </w:r>
    </w:p>
    <w:p w14:paraId="5495D59A"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26 </w:t>
      </w:r>
      <w:r w:rsidRPr="008730C8">
        <w:rPr>
          <w:rFonts w:ascii="Book Antiqua" w:hAnsi="Book Antiqua" w:cs="Times New Roman"/>
          <w:b/>
          <w:kern w:val="2"/>
          <w:sz w:val="24"/>
          <w:szCs w:val="24"/>
          <w:lang w:val="en-US" w:eastAsia="zh-CN"/>
        </w:rPr>
        <w:t>Vege SS</w:t>
      </w:r>
      <w:r w:rsidRPr="008730C8">
        <w:rPr>
          <w:rFonts w:ascii="Book Antiqua" w:hAnsi="Book Antiqua" w:cs="Times New Roman"/>
          <w:kern w:val="2"/>
          <w:sz w:val="24"/>
          <w:szCs w:val="24"/>
          <w:lang w:val="en-US" w:eastAsia="zh-CN"/>
        </w:rPr>
        <w:t xml:space="preserve">, Ziring B, Jain R, Moayyedi P; Clinical Guidelines Committee; American Gastroenterology Association. American gastroenterological association institute guideline on the diagnosis and management of asymptomatic neoplastic pancreatic cysts. </w:t>
      </w:r>
      <w:r w:rsidRPr="008730C8">
        <w:rPr>
          <w:rFonts w:ascii="Book Antiqua" w:hAnsi="Book Antiqua" w:cs="Times New Roman"/>
          <w:i/>
          <w:kern w:val="2"/>
          <w:sz w:val="24"/>
          <w:szCs w:val="24"/>
          <w:lang w:val="en-US" w:eastAsia="zh-CN"/>
        </w:rPr>
        <w:t>Gastroenterology</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148</w:t>
      </w:r>
      <w:r w:rsidRPr="008730C8">
        <w:rPr>
          <w:rFonts w:ascii="Book Antiqua" w:hAnsi="Book Antiqua" w:cs="Times New Roman"/>
          <w:kern w:val="2"/>
          <w:sz w:val="24"/>
          <w:szCs w:val="24"/>
          <w:lang w:val="en-US" w:eastAsia="zh-CN"/>
        </w:rPr>
        <w:t>: 819-22; quize12-3 [PMID: 25805375 DOI: 10.1053/j.gastro.2015.01.015]</w:t>
      </w:r>
    </w:p>
    <w:p w14:paraId="13304DAA"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27 </w:t>
      </w:r>
      <w:r w:rsidRPr="008730C8">
        <w:rPr>
          <w:rFonts w:ascii="Book Antiqua" w:hAnsi="Book Antiqua" w:cs="Times New Roman"/>
          <w:b/>
          <w:kern w:val="2"/>
          <w:sz w:val="24"/>
          <w:szCs w:val="24"/>
          <w:lang w:val="en-US" w:eastAsia="zh-CN"/>
        </w:rPr>
        <w:t>European Study Group on Cystic Tumours of the Pancreas.</w:t>
      </w:r>
      <w:r w:rsidRPr="008730C8">
        <w:rPr>
          <w:rFonts w:ascii="Book Antiqua" w:hAnsi="Book Antiqua" w:cs="Times New Roman"/>
          <w:kern w:val="2"/>
          <w:sz w:val="24"/>
          <w:szCs w:val="24"/>
          <w:lang w:val="en-US" w:eastAsia="zh-CN"/>
        </w:rPr>
        <w:t xml:space="preserve"> European evidence-based guidelines on pancreatic cystic neoplasms. </w:t>
      </w:r>
      <w:r w:rsidRPr="008730C8">
        <w:rPr>
          <w:rFonts w:ascii="Book Antiqua" w:hAnsi="Book Antiqua" w:cs="Times New Roman"/>
          <w:i/>
          <w:kern w:val="2"/>
          <w:sz w:val="24"/>
          <w:szCs w:val="24"/>
          <w:lang w:val="en-US" w:eastAsia="zh-CN"/>
        </w:rPr>
        <w:t>Gut</w:t>
      </w:r>
      <w:r w:rsidRPr="008730C8">
        <w:rPr>
          <w:rFonts w:ascii="Book Antiqua" w:hAnsi="Book Antiqua" w:cs="Times New Roman"/>
          <w:kern w:val="2"/>
          <w:sz w:val="24"/>
          <w:szCs w:val="24"/>
          <w:lang w:val="en-US" w:eastAsia="zh-CN"/>
        </w:rPr>
        <w:t xml:space="preserve"> 2018; </w:t>
      </w:r>
      <w:r w:rsidRPr="008730C8">
        <w:rPr>
          <w:rFonts w:ascii="Book Antiqua" w:hAnsi="Book Antiqua" w:cs="Times New Roman"/>
          <w:b/>
          <w:kern w:val="2"/>
          <w:sz w:val="24"/>
          <w:szCs w:val="24"/>
          <w:lang w:val="en-US" w:eastAsia="zh-CN"/>
        </w:rPr>
        <w:t>67</w:t>
      </w:r>
      <w:r w:rsidRPr="008730C8">
        <w:rPr>
          <w:rFonts w:ascii="Book Antiqua" w:hAnsi="Book Antiqua" w:cs="Times New Roman"/>
          <w:kern w:val="2"/>
          <w:sz w:val="24"/>
          <w:szCs w:val="24"/>
          <w:lang w:val="en-US" w:eastAsia="zh-CN"/>
        </w:rPr>
        <w:t>: 789-804 [PMID: 29574408 DOI: 10.1136/gutjnl-2018-316027]</w:t>
      </w:r>
    </w:p>
    <w:p w14:paraId="3F2028A2"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28 </w:t>
      </w:r>
      <w:r w:rsidRPr="008730C8">
        <w:rPr>
          <w:rFonts w:ascii="Book Antiqua" w:hAnsi="Book Antiqua" w:cs="Times New Roman"/>
          <w:b/>
          <w:kern w:val="2"/>
          <w:sz w:val="24"/>
          <w:szCs w:val="24"/>
          <w:lang w:val="en-US" w:eastAsia="zh-CN"/>
        </w:rPr>
        <w:t>Tanaka M</w:t>
      </w:r>
      <w:r w:rsidRPr="008730C8">
        <w:rPr>
          <w:rFonts w:ascii="Book Antiqua" w:hAnsi="Book Antiqua" w:cs="Times New Roman"/>
          <w:kern w:val="2"/>
          <w:sz w:val="24"/>
          <w:szCs w:val="24"/>
          <w:lang w:val="en-US" w:eastAsia="zh-CN"/>
        </w:rPr>
        <w:t xml:space="preserve">, Fernández-del Castillo C, Adsay V, Chari S, Falconi M, Jang JY, Kimura W, Levy P, Pitman MB, Schmidt CM, Shimizu M, Wolfgang CL, Yamaguchi K, Yamao K; International Association of Pancreatology. International consensus guidelines 2012 for the management of IPMN and MCN of the pancreas. </w:t>
      </w:r>
      <w:r w:rsidRPr="008730C8">
        <w:rPr>
          <w:rFonts w:ascii="Book Antiqua" w:hAnsi="Book Antiqua" w:cs="Times New Roman"/>
          <w:i/>
          <w:kern w:val="2"/>
          <w:sz w:val="24"/>
          <w:szCs w:val="24"/>
          <w:lang w:val="en-US" w:eastAsia="zh-CN"/>
        </w:rPr>
        <w:t>Pancreatology</w:t>
      </w:r>
      <w:r w:rsidRPr="008730C8">
        <w:rPr>
          <w:rFonts w:ascii="Book Antiqua" w:hAnsi="Book Antiqua" w:cs="Times New Roman"/>
          <w:kern w:val="2"/>
          <w:sz w:val="24"/>
          <w:szCs w:val="24"/>
          <w:lang w:val="en-US" w:eastAsia="zh-CN"/>
        </w:rPr>
        <w:t xml:space="preserve"> 2012; </w:t>
      </w:r>
      <w:r w:rsidRPr="008730C8">
        <w:rPr>
          <w:rFonts w:ascii="Book Antiqua" w:hAnsi="Book Antiqua" w:cs="Times New Roman"/>
          <w:b/>
          <w:kern w:val="2"/>
          <w:sz w:val="24"/>
          <w:szCs w:val="24"/>
          <w:lang w:val="en-US" w:eastAsia="zh-CN"/>
        </w:rPr>
        <w:t>12</w:t>
      </w:r>
      <w:r w:rsidRPr="008730C8">
        <w:rPr>
          <w:rFonts w:ascii="Book Antiqua" w:hAnsi="Book Antiqua" w:cs="Times New Roman"/>
          <w:kern w:val="2"/>
          <w:sz w:val="24"/>
          <w:szCs w:val="24"/>
          <w:lang w:val="en-US" w:eastAsia="zh-CN"/>
        </w:rPr>
        <w:t>: 183-197 [PMID: 22687371 DOI: 10.1016/j.pan.2012.04.004]</w:t>
      </w:r>
    </w:p>
    <w:p w14:paraId="4FC3995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29 </w:t>
      </w:r>
      <w:r w:rsidRPr="008730C8">
        <w:rPr>
          <w:rFonts w:ascii="Book Antiqua" w:hAnsi="Book Antiqua" w:cs="Times New Roman"/>
          <w:b/>
          <w:kern w:val="2"/>
          <w:sz w:val="24"/>
          <w:szCs w:val="24"/>
          <w:lang w:val="en-US" w:eastAsia="zh-CN"/>
        </w:rPr>
        <w:t>Robles EP</w:t>
      </w:r>
      <w:r w:rsidRPr="008730C8">
        <w:rPr>
          <w:rFonts w:ascii="Book Antiqua" w:hAnsi="Book Antiqua" w:cs="Times New Roman"/>
          <w:kern w:val="2"/>
          <w:sz w:val="24"/>
          <w:szCs w:val="24"/>
          <w:lang w:val="en-US" w:eastAsia="zh-CN"/>
        </w:rPr>
        <w:t xml:space="preserve">, Maire F, Cros J, Vullierme MP, Rebours V, Sauvanet A, Aubert A, Dokmak S, Lévy P, Ruszniewski P. Accuracy of 2012 International Consensus Guidelines for the prediction of malignancy of branch-duct intraductal papillary mucinous neoplasms of the pancreas. </w:t>
      </w:r>
      <w:r w:rsidRPr="008730C8">
        <w:rPr>
          <w:rFonts w:ascii="Book Antiqua" w:hAnsi="Book Antiqua" w:cs="Times New Roman"/>
          <w:i/>
          <w:kern w:val="2"/>
          <w:sz w:val="24"/>
          <w:szCs w:val="24"/>
          <w:lang w:val="en-US" w:eastAsia="zh-CN"/>
        </w:rPr>
        <w:t>United European Gastroenterol J</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4</w:t>
      </w:r>
      <w:r w:rsidRPr="008730C8">
        <w:rPr>
          <w:rFonts w:ascii="Book Antiqua" w:hAnsi="Book Antiqua" w:cs="Times New Roman"/>
          <w:kern w:val="2"/>
          <w:sz w:val="24"/>
          <w:szCs w:val="24"/>
          <w:lang w:val="en-US" w:eastAsia="zh-CN"/>
        </w:rPr>
        <w:t>: 580-586 [PMID: 27536368 DOI: 10.1177/2050640615623370]</w:t>
      </w:r>
    </w:p>
    <w:p w14:paraId="1DDE1A7D"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30 </w:t>
      </w:r>
      <w:r w:rsidRPr="008730C8">
        <w:rPr>
          <w:rFonts w:ascii="Book Antiqua" w:hAnsi="Book Antiqua" w:cs="Times New Roman"/>
          <w:b/>
          <w:kern w:val="2"/>
          <w:sz w:val="24"/>
          <w:szCs w:val="24"/>
          <w:lang w:val="en-US" w:eastAsia="zh-CN"/>
        </w:rPr>
        <w:t>Springer S</w:t>
      </w:r>
      <w:r w:rsidRPr="008730C8">
        <w:rPr>
          <w:rFonts w:ascii="Book Antiqua" w:hAnsi="Book Antiqua" w:cs="Times New Roman"/>
          <w:kern w:val="2"/>
          <w:sz w:val="24"/>
          <w:szCs w:val="24"/>
          <w:lang w:val="en-US" w:eastAsia="zh-CN"/>
        </w:rPr>
        <w:t xml:space="preserve">, Wang Y, Dal Molin M, Masica DL, Jiao Y, Kinde I, Blackford A, Raman SP, Wolfgang CL, Tomita T, Niknafs N, Douville C, Ptak J, Dobbyn L, Allen PJ, Klimstra DS, Schattner MA, Schmidt CM, Yip-Schneider M, Cummings OW, Brand RE, Zeh HJ, Singhi AD, Scarpa A, Salvia R, Malleo G, Zamboni G, Falconi M, Jang JY, Kim SW, Kwon W, Hong SM, Song KB, Kim SC, Swan N, Murphy J, Geoghegan J, Brugge W, Fernandez-Del Castillo C, Mino-Kenudson M, Schulick R, Edil BH, Adsay V, Paulino J, van Hooft J, Yachida S, Nara S, Hiraoka N, Yamao K, Hijioka S, van der Merwe S, Goggins M, Canto </w:t>
      </w:r>
      <w:r w:rsidRPr="008730C8">
        <w:rPr>
          <w:rFonts w:ascii="Book Antiqua" w:hAnsi="Book Antiqua" w:cs="Times New Roman"/>
          <w:kern w:val="2"/>
          <w:sz w:val="24"/>
          <w:szCs w:val="24"/>
          <w:lang w:val="en-US" w:eastAsia="zh-CN"/>
        </w:rPr>
        <w:lastRenderedPageBreak/>
        <w:t xml:space="preserve">MI, Ahuja N, Hirose K, Makary M, Weiss MJ, Cameron J, Pittman M, Eshleman JR, Diaz LA Jr, Papadopoulos N, Kinzler KW, Karchin R, Hruban RH, Vogelstein B, Lennon AM. A combination of molecular markers and clinical features improve the classification of pancreatic cysts. </w:t>
      </w:r>
      <w:r w:rsidRPr="008730C8">
        <w:rPr>
          <w:rFonts w:ascii="Book Antiqua" w:hAnsi="Book Antiqua" w:cs="Times New Roman"/>
          <w:i/>
          <w:kern w:val="2"/>
          <w:sz w:val="24"/>
          <w:szCs w:val="24"/>
          <w:lang w:val="en-US" w:eastAsia="zh-CN"/>
        </w:rPr>
        <w:t>Gastroenterology</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149</w:t>
      </w:r>
      <w:r w:rsidRPr="008730C8">
        <w:rPr>
          <w:rFonts w:ascii="Book Antiqua" w:hAnsi="Book Antiqua" w:cs="Times New Roman"/>
          <w:kern w:val="2"/>
          <w:sz w:val="24"/>
          <w:szCs w:val="24"/>
          <w:lang w:val="en-US" w:eastAsia="zh-CN"/>
        </w:rPr>
        <w:t>: 1501-1510 [PMID: 26253305 DOI: 10.1053/j.gastro.2015.07.041]</w:t>
      </w:r>
    </w:p>
    <w:p w14:paraId="6CAAE142"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31 </w:t>
      </w:r>
      <w:r w:rsidRPr="008730C8">
        <w:rPr>
          <w:rFonts w:ascii="Book Antiqua" w:hAnsi="Book Antiqua" w:cs="Times New Roman"/>
          <w:b/>
          <w:kern w:val="2"/>
          <w:sz w:val="24"/>
          <w:szCs w:val="24"/>
          <w:lang w:val="en-US" w:eastAsia="zh-CN"/>
        </w:rPr>
        <w:t>Alvarez-Sánchez MV</w:t>
      </w:r>
      <w:r w:rsidRPr="008730C8">
        <w:rPr>
          <w:rFonts w:ascii="Book Antiqua" w:hAnsi="Book Antiqua" w:cs="Times New Roman"/>
          <w:kern w:val="2"/>
          <w:sz w:val="24"/>
          <w:szCs w:val="24"/>
          <w:lang w:val="en-US" w:eastAsia="zh-CN"/>
        </w:rPr>
        <w:t xml:space="preserve">, Napoléon B. Contrast-enhanced harmonic endoscopic ultrasound imaging: basic principles, present situation and future perspectives. </w:t>
      </w:r>
      <w:r w:rsidRPr="008730C8">
        <w:rPr>
          <w:rFonts w:ascii="Book Antiqua" w:hAnsi="Book Antiqua" w:cs="Times New Roman"/>
          <w:i/>
          <w:kern w:val="2"/>
          <w:sz w:val="24"/>
          <w:szCs w:val="24"/>
          <w:lang w:val="en-US" w:eastAsia="zh-CN"/>
        </w:rPr>
        <w:t>World J Gastroenterol</w:t>
      </w:r>
      <w:r w:rsidRPr="008730C8">
        <w:rPr>
          <w:rFonts w:ascii="Book Antiqua" w:hAnsi="Book Antiqua" w:cs="Times New Roman"/>
          <w:kern w:val="2"/>
          <w:sz w:val="24"/>
          <w:szCs w:val="24"/>
          <w:lang w:val="en-US" w:eastAsia="zh-CN"/>
        </w:rPr>
        <w:t xml:space="preserve"> 2014; </w:t>
      </w:r>
      <w:r w:rsidRPr="008730C8">
        <w:rPr>
          <w:rFonts w:ascii="Book Antiqua" w:hAnsi="Book Antiqua" w:cs="Times New Roman"/>
          <w:b/>
          <w:kern w:val="2"/>
          <w:sz w:val="24"/>
          <w:szCs w:val="24"/>
          <w:lang w:val="en-US" w:eastAsia="zh-CN"/>
        </w:rPr>
        <w:t>20</w:t>
      </w:r>
      <w:r w:rsidRPr="008730C8">
        <w:rPr>
          <w:rFonts w:ascii="Book Antiqua" w:hAnsi="Book Antiqua" w:cs="Times New Roman"/>
          <w:kern w:val="2"/>
          <w:sz w:val="24"/>
          <w:szCs w:val="24"/>
          <w:lang w:val="en-US" w:eastAsia="zh-CN"/>
        </w:rPr>
        <w:t>: 15549-15563 [PMID: 25400439 DOI: 10.3748/wjg.v20.i42.15549]</w:t>
      </w:r>
    </w:p>
    <w:p w14:paraId="7290957D"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32 </w:t>
      </w:r>
      <w:r w:rsidRPr="008730C8">
        <w:rPr>
          <w:rFonts w:ascii="Book Antiqua" w:hAnsi="Book Antiqua" w:cs="Times New Roman"/>
          <w:b/>
          <w:kern w:val="2"/>
          <w:sz w:val="24"/>
          <w:szCs w:val="24"/>
          <w:lang w:val="en-US" w:eastAsia="zh-CN"/>
        </w:rPr>
        <w:t>Ignee A</w:t>
      </w:r>
      <w:r w:rsidRPr="008730C8">
        <w:rPr>
          <w:rFonts w:ascii="Book Antiqua" w:hAnsi="Book Antiqua" w:cs="Times New Roman"/>
          <w:kern w:val="2"/>
          <w:sz w:val="24"/>
          <w:szCs w:val="24"/>
          <w:lang w:val="en-US" w:eastAsia="zh-CN"/>
        </w:rPr>
        <w:t xml:space="preserve">, Atkinson NS, Schuessler G, Dietrich CF. Ultrasound contrast agents. </w:t>
      </w:r>
      <w:r w:rsidRPr="008730C8">
        <w:rPr>
          <w:rFonts w:ascii="Book Antiqua" w:hAnsi="Book Antiqua" w:cs="Times New Roman"/>
          <w:i/>
          <w:kern w:val="2"/>
          <w:sz w:val="24"/>
          <w:szCs w:val="24"/>
          <w:lang w:val="en-US" w:eastAsia="zh-CN"/>
        </w:rPr>
        <w:t>Endosc Ultrasound</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5</w:t>
      </w:r>
      <w:r w:rsidRPr="008730C8">
        <w:rPr>
          <w:rFonts w:ascii="Book Antiqua" w:hAnsi="Book Antiqua" w:cs="Times New Roman"/>
          <w:kern w:val="2"/>
          <w:sz w:val="24"/>
          <w:szCs w:val="24"/>
          <w:lang w:val="en-US" w:eastAsia="zh-CN"/>
        </w:rPr>
        <w:t>: 355-362 [PMID: 27824024 DOI: 10.4103/2303-9027.193594]</w:t>
      </w:r>
    </w:p>
    <w:p w14:paraId="2FC3C7A2"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33 </w:t>
      </w:r>
      <w:r w:rsidRPr="008730C8">
        <w:rPr>
          <w:rFonts w:ascii="Book Antiqua" w:hAnsi="Book Antiqua" w:cs="Times New Roman"/>
          <w:b/>
          <w:kern w:val="2"/>
          <w:sz w:val="24"/>
          <w:szCs w:val="24"/>
          <w:lang w:val="en-US" w:eastAsia="zh-CN"/>
        </w:rPr>
        <w:t>Kang ST</w:t>
      </w:r>
      <w:r w:rsidRPr="008730C8">
        <w:rPr>
          <w:rFonts w:ascii="Book Antiqua" w:hAnsi="Book Antiqua" w:cs="Times New Roman"/>
          <w:kern w:val="2"/>
          <w:sz w:val="24"/>
          <w:szCs w:val="24"/>
          <w:lang w:val="en-US" w:eastAsia="zh-CN"/>
        </w:rPr>
        <w:t xml:space="preserve">, Yeh CK. Ultrasound microbubble contrast agents for diagnostic and therapeutic applications: current status and future design. </w:t>
      </w:r>
      <w:r w:rsidRPr="008730C8">
        <w:rPr>
          <w:rFonts w:ascii="Book Antiqua" w:hAnsi="Book Antiqua" w:cs="Times New Roman"/>
          <w:i/>
          <w:kern w:val="2"/>
          <w:sz w:val="24"/>
          <w:szCs w:val="24"/>
          <w:lang w:val="en-US" w:eastAsia="zh-CN"/>
        </w:rPr>
        <w:t>Chang Gung Med J</w:t>
      </w:r>
      <w:r w:rsidRPr="008730C8">
        <w:rPr>
          <w:rFonts w:ascii="Book Antiqua" w:hAnsi="Book Antiqua" w:cs="Times New Roman"/>
          <w:kern w:val="2"/>
          <w:sz w:val="24"/>
          <w:szCs w:val="24"/>
          <w:lang w:val="en-US" w:eastAsia="zh-CN"/>
        </w:rPr>
        <w:t xml:space="preserve"> 2012; </w:t>
      </w:r>
      <w:r w:rsidRPr="008730C8">
        <w:rPr>
          <w:rFonts w:ascii="Book Antiqua" w:hAnsi="Book Antiqua" w:cs="Times New Roman"/>
          <w:b/>
          <w:kern w:val="2"/>
          <w:sz w:val="24"/>
          <w:szCs w:val="24"/>
          <w:lang w:val="en-US" w:eastAsia="zh-CN"/>
        </w:rPr>
        <w:t>35</w:t>
      </w:r>
      <w:r w:rsidRPr="008730C8">
        <w:rPr>
          <w:rFonts w:ascii="Book Antiqua" w:hAnsi="Book Antiqua" w:cs="Times New Roman"/>
          <w:kern w:val="2"/>
          <w:sz w:val="24"/>
          <w:szCs w:val="24"/>
          <w:lang w:val="en-US" w:eastAsia="zh-CN"/>
        </w:rPr>
        <w:t>: 125-139 [PMID: 22537927]</w:t>
      </w:r>
    </w:p>
    <w:p w14:paraId="04CE68FF"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34 </w:t>
      </w:r>
      <w:r w:rsidRPr="008730C8">
        <w:rPr>
          <w:rFonts w:ascii="Book Antiqua" w:hAnsi="Book Antiqua" w:cs="Times New Roman"/>
          <w:b/>
          <w:kern w:val="2"/>
          <w:sz w:val="24"/>
          <w:szCs w:val="24"/>
          <w:lang w:val="en-US" w:eastAsia="zh-CN"/>
        </w:rPr>
        <w:t>Kitano M</w:t>
      </w:r>
      <w:r w:rsidRPr="008730C8">
        <w:rPr>
          <w:rFonts w:ascii="Book Antiqua" w:hAnsi="Book Antiqua" w:cs="Times New Roman"/>
          <w:kern w:val="2"/>
          <w:sz w:val="24"/>
          <w:szCs w:val="24"/>
          <w:lang w:val="en-US" w:eastAsia="zh-CN"/>
        </w:rPr>
        <w:t xml:space="preserve">, Kudo M, Sakamoto H, Komaki T. Endoscopic ultrasonography and contrast-enhanced endoscopic ultrasonography. </w:t>
      </w:r>
      <w:r w:rsidRPr="008730C8">
        <w:rPr>
          <w:rFonts w:ascii="Book Antiqua" w:hAnsi="Book Antiqua" w:cs="Times New Roman"/>
          <w:i/>
          <w:kern w:val="2"/>
          <w:sz w:val="24"/>
          <w:szCs w:val="24"/>
          <w:lang w:val="en-US" w:eastAsia="zh-CN"/>
        </w:rPr>
        <w:t>Pancreatology</w:t>
      </w:r>
      <w:r w:rsidRPr="008730C8">
        <w:rPr>
          <w:rFonts w:ascii="Book Antiqua" w:hAnsi="Book Antiqua" w:cs="Times New Roman"/>
          <w:kern w:val="2"/>
          <w:sz w:val="24"/>
          <w:szCs w:val="24"/>
          <w:lang w:val="en-US" w:eastAsia="zh-CN"/>
        </w:rPr>
        <w:t xml:space="preserve"> 2011; </w:t>
      </w:r>
      <w:r w:rsidRPr="008730C8">
        <w:rPr>
          <w:rFonts w:ascii="Book Antiqua" w:hAnsi="Book Antiqua" w:cs="Times New Roman"/>
          <w:b/>
          <w:kern w:val="2"/>
          <w:sz w:val="24"/>
          <w:szCs w:val="24"/>
          <w:lang w:val="en-US" w:eastAsia="zh-CN"/>
        </w:rPr>
        <w:t xml:space="preserve">11 </w:t>
      </w:r>
      <w:r w:rsidRPr="008730C8">
        <w:rPr>
          <w:rFonts w:ascii="Book Antiqua" w:hAnsi="Book Antiqua" w:cs="Times New Roman"/>
          <w:kern w:val="2"/>
          <w:sz w:val="24"/>
          <w:szCs w:val="24"/>
          <w:lang w:val="en-US" w:eastAsia="zh-CN"/>
        </w:rPr>
        <w:t>Suppl 2: 28-33 [PMID: 21464584 DOI: 10.1159/000323493]</w:t>
      </w:r>
    </w:p>
    <w:p w14:paraId="7D9EBBA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35 </w:t>
      </w:r>
      <w:r w:rsidRPr="008730C8">
        <w:rPr>
          <w:rFonts w:ascii="Book Antiqua" w:hAnsi="Book Antiqua" w:cs="Times New Roman"/>
          <w:b/>
          <w:kern w:val="2"/>
          <w:sz w:val="24"/>
          <w:szCs w:val="24"/>
          <w:lang w:val="en-US" w:eastAsia="zh-CN"/>
        </w:rPr>
        <w:t>Sanchez MV</w:t>
      </w:r>
      <w:r w:rsidRPr="008730C8">
        <w:rPr>
          <w:rFonts w:ascii="Book Antiqua" w:hAnsi="Book Antiqua" w:cs="Times New Roman"/>
          <w:kern w:val="2"/>
          <w:sz w:val="24"/>
          <w:szCs w:val="24"/>
          <w:lang w:val="en-US" w:eastAsia="zh-CN"/>
        </w:rPr>
        <w:t xml:space="preserve">, Varadarajulu S, Napoleon B. EUS contrast agents: what is available, how do they work, and are they effective?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2009; </w:t>
      </w:r>
      <w:r w:rsidRPr="008730C8">
        <w:rPr>
          <w:rFonts w:ascii="Book Antiqua" w:hAnsi="Book Antiqua" w:cs="Times New Roman"/>
          <w:b/>
          <w:kern w:val="2"/>
          <w:sz w:val="24"/>
          <w:szCs w:val="24"/>
          <w:lang w:val="en-US" w:eastAsia="zh-CN"/>
        </w:rPr>
        <w:t>69</w:t>
      </w:r>
      <w:r w:rsidRPr="008730C8">
        <w:rPr>
          <w:rFonts w:ascii="Book Antiqua" w:hAnsi="Book Antiqua" w:cs="Times New Roman"/>
          <w:kern w:val="2"/>
          <w:sz w:val="24"/>
          <w:szCs w:val="24"/>
          <w:lang w:val="en-US" w:eastAsia="zh-CN"/>
        </w:rPr>
        <w:t>: S71-S77 [PMID: 19179175 DOI: 10.1016/j.gie.2008.12.004]</w:t>
      </w:r>
    </w:p>
    <w:p w14:paraId="4D90E3C8"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36 </w:t>
      </w:r>
      <w:r w:rsidRPr="008730C8">
        <w:rPr>
          <w:rFonts w:ascii="Book Antiqua" w:hAnsi="Book Antiqua" w:cs="Times New Roman"/>
          <w:b/>
          <w:kern w:val="2"/>
          <w:sz w:val="24"/>
          <w:szCs w:val="24"/>
          <w:lang w:val="en-US" w:eastAsia="zh-CN"/>
        </w:rPr>
        <w:t>Hocke M</w:t>
      </w:r>
      <w:r w:rsidRPr="008730C8">
        <w:rPr>
          <w:rFonts w:ascii="Book Antiqua" w:hAnsi="Book Antiqua" w:cs="Times New Roman"/>
          <w:kern w:val="2"/>
          <w:sz w:val="24"/>
          <w:szCs w:val="24"/>
          <w:lang w:val="en-US" w:eastAsia="zh-CN"/>
        </w:rPr>
        <w:t xml:space="preserve">, Cui XW, Domagk D, Ignee A, Dietrich CF. Pancreatic cystic lesions: The value of contrast-enhanced endoscopic ultrasound to influence the clinical pathway. </w:t>
      </w:r>
      <w:r w:rsidRPr="008730C8">
        <w:rPr>
          <w:rFonts w:ascii="Book Antiqua" w:hAnsi="Book Antiqua" w:cs="Times New Roman"/>
          <w:i/>
          <w:kern w:val="2"/>
          <w:sz w:val="24"/>
          <w:szCs w:val="24"/>
          <w:lang w:val="en-US" w:eastAsia="zh-CN"/>
        </w:rPr>
        <w:t>Endosc Ultrasound</w:t>
      </w:r>
      <w:r w:rsidRPr="008730C8">
        <w:rPr>
          <w:rFonts w:ascii="Book Antiqua" w:hAnsi="Book Antiqua" w:cs="Times New Roman"/>
          <w:kern w:val="2"/>
          <w:sz w:val="24"/>
          <w:szCs w:val="24"/>
          <w:lang w:val="en-US" w:eastAsia="zh-CN"/>
        </w:rPr>
        <w:t xml:space="preserve"> 2014; </w:t>
      </w:r>
      <w:r w:rsidRPr="008730C8">
        <w:rPr>
          <w:rFonts w:ascii="Book Antiqua" w:hAnsi="Book Antiqua" w:cs="Times New Roman"/>
          <w:b/>
          <w:kern w:val="2"/>
          <w:sz w:val="24"/>
          <w:szCs w:val="24"/>
          <w:lang w:val="en-US" w:eastAsia="zh-CN"/>
        </w:rPr>
        <w:t>3</w:t>
      </w:r>
      <w:r w:rsidRPr="008730C8">
        <w:rPr>
          <w:rFonts w:ascii="Book Antiqua" w:hAnsi="Book Antiqua" w:cs="Times New Roman"/>
          <w:kern w:val="2"/>
          <w:sz w:val="24"/>
          <w:szCs w:val="24"/>
          <w:lang w:val="en-US" w:eastAsia="zh-CN"/>
        </w:rPr>
        <w:t>: 123-130 [PMID: 24955342 DOI: 10.4103/2303-9027.131040]</w:t>
      </w:r>
    </w:p>
    <w:p w14:paraId="4A7F56D5"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37 </w:t>
      </w:r>
      <w:r w:rsidRPr="008730C8">
        <w:rPr>
          <w:rFonts w:ascii="Book Antiqua" w:hAnsi="Book Antiqua" w:cs="Times New Roman"/>
          <w:b/>
          <w:kern w:val="2"/>
          <w:sz w:val="24"/>
          <w:szCs w:val="24"/>
          <w:lang w:val="en-US" w:eastAsia="zh-CN"/>
        </w:rPr>
        <w:t>Fusaroli P</w:t>
      </w:r>
      <w:r w:rsidRPr="008730C8">
        <w:rPr>
          <w:rFonts w:ascii="Book Antiqua" w:hAnsi="Book Antiqua" w:cs="Times New Roman"/>
          <w:kern w:val="2"/>
          <w:sz w:val="24"/>
          <w:szCs w:val="24"/>
          <w:lang w:val="en-US" w:eastAsia="zh-CN"/>
        </w:rPr>
        <w:t xml:space="preserve">, Serrani M, De Giorgio R, D'Ercole MC, Ceroni L, Lisotti A, Caletti G. Contrast Harmonic-Endoscopic Ultrasound Is Useful to Identify Neoplastic Features of Pancreatic Cysts (With Videos). </w:t>
      </w:r>
      <w:r w:rsidRPr="008730C8">
        <w:rPr>
          <w:rFonts w:ascii="Book Antiqua" w:hAnsi="Book Antiqua" w:cs="Times New Roman"/>
          <w:i/>
          <w:kern w:val="2"/>
          <w:sz w:val="24"/>
          <w:szCs w:val="24"/>
          <w:lang w:val="en-US" w:eastAsia="zh-CN"/>
        </w:rPr>
        <w:t>Pancreas</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45</w:t>
      </w:r>
      <w:r w:rsidRPr="008730C8">
        <w:rPr>
          <w:rFonts w:ascii="Book Antiqua" w:hAnsi="Book Antiqua" w:cs="Times New Roman"/>
          <w:kern w:val="2"/>
          <w:sz w:val="24"/>
          <w:szCs w:val="24"/>
          <w:lang w:val="en-US" w:eastAsia="zh-CN"/>
        </w:rPr>
        <w:t>: 265-268 [PMID: 26474428 DOI: 10.1097/MPA.0000000000000441]</w:t>
      </w:r>
    </w:p>
    <w:p w14:paraId="123307CB"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38 </w:t>
      </w:r>
      <w:r w:rsidRPr="008730C8">
        <w:rPr>
          <w:rFonts w:ascii="Book Antiqua" w:hAnsi="Book Antiqua" w:cs="Times New Roman"/>
          <w:b/>
          <w:kern w:val="2"/>
          <w:sz w:val="24"/>
          <w:szCs w:val="24"/>
          <w:lang w:val="en-US" w:eastAsia="zh-CN"/>
        </w:rPr>
        <w:t>Kamata K</w:t>
      </w:r>
      <w:r w:rsidRPr="008730C8">
        <w:rPr>
          <w:rFonts w:ascii="Book Antiqua" w:hAnsi="Book Antiqua" w:cs="Times New Roman"/>
          <w:kern w:val="2"/>
          <w:sz w:val="24"/>
          <w:szCs w:val="24"/>
          <w:lang w:val="en-US" w:eastAsia="zh-CN"/>
        </w:rPr>
        <w:t xml:space="preserve">, Kitano M, Omoto S, Kadosaka K, Miyata T, Yamao K, Imai H, Sakamoto H, Harwani Y, Chikugo T, Chiba Y, Matsumoto I, Takeyama Y, Kudo </w:t>
      </w:r>
      <w:r w:rsidRPr="008730C8">
        <w:rPr>
          <w:rFonts w:ascii="Book Antiqua" w:hAnsi="Book Antiqua" w:cs="Times New Roman"/>
          <w:kern w:val="2"/>
          <w:sz w:val="24"/>
          <w:szCs w:val="24"/>
          <w:lang w:val="en-US" w:eastAsia="zh-CN"/>
        </w:rPr>
        <w:lastRenderedPageBreak/>
        <w:t xml:space="preserve">M. Contrast-enhanced harmonic endoscopic ultrasonography for differential diagnosis of pancreatic cysts.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48</w:t>
      </w:r>
      <w:r w:rsidRPr="008730C8">
        <w:rPr>
          <w:rFonts w:ascii="Book Antiqua" w:hAnsi="Book Antiqua" w:cs="Times New Roman"/>
          <w:kern w:val="2"/>
          <w:sz w:val="24"/>
          <w:szCs w:val="24"/>
          <w:lang w:val="en-US" w:eastAsia="zh-CN"/>
        </w:rPr>
        <w:t>: 35-41 [PMID: 26605974 DOI: 10.1055/s-0034-1393564]</w:t>
      </w:r>
    </w:p>
    <w:p w14:paraId="4ABEA52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39 </w:t>
      </w:r>
      <w:r w:rsidRPr="008730C8">
        <w:rPr>
          <w:rFonts w:ascii="Book Antiqua" w:hAnsi="Book Antiqua" w:cs="Times New Roman"/>
          <w:b/>
          <w:kern w:val="2"/>
          <w:sz w:val="24"/>
          <w:szCs w:val="24"/>
          <w:lang w:val="en-US" w:eastAsia="zh-CN"/>
        </w:rPr>
        <w:t>Yamashita Y</w:t>
      </w:r>
      <w:r w:rsidRPr="008730C8">
        <w:rPr>
          <w:rFonts w:ascii="Book Antiqua" w:hAnsi="Book Antiqua" w:cs="Times New Roman"/>
          <w:kern w:val="2"/>
          <w:sz w:val="24"/>
          <w:szCs w:val="24"/>
          <w:lang w:val="en-US" w:eastAsia="zh-CN"/>
        </w:rPr>
        <w:t xml:space="preserve">, Ueda K, Itonaga M, Yoshida T, Maeda H, Maekita T, Iguchi M, Tamai H, Ichinose M, Kato J. Usefulness of contrast-enhanced endoscopic sonography for discriminating mural nodules from mucous clots in intraductal papillary mucinous neoplasms: a single-center prospective study. </w:t>
      </w:r>
      <w:r w:rsidRPr="008730C8">
        <w:rPr>
          <w:rFonts w:ascii="Book Antiqua" w:hAnsi="Book Antiqua" w:cs="Times New Roman"/>
          <w:i/>
          <w:kern w:val="2"/>
          <w:sz w:val="24"/>
          <w:szCs w:val="24"/>
          <w:lang w:val="en-US" w:eastAsia="zh-CN"/>
        </w:rPr>
        <w:t>J Ultrasound Med</w:t>
      </w:r>
      <w:r w:rsidRPr="008730C8">
        <w:rPr>
          <w:rFonts w:ascii="Book Antiqua" w:hAnsi="Book Antiqua" w:cs="Times New Roman"/>
          <w:kern w:val="2"/>
          <w:sz w:val="24"/>
          <w:szCs w:val="24"/>
          <w:lang w:val="en-US" w:eastAsia="zh-CN"/>
        </w:rPr>
        <w:t xml:space="preserve"> 2013; </w:t>
      </w:r>
      <w:r w:rsidRPr="008730C8">
        <w:rPr>
          <w:rFonts w:ascii="Book Antiqua" w:hAnsi="Book Antiqua" w:cs="Times New Roman"/>
          <w:b/>
          <w:kern w:val="2"/>
          <w:sz w:val="24"/>
          <w:szCs w:val="24"/>
          <w:lang w:val="en-US" w:eastAsia="zh-CN"/>
        </w:rPr>
        <w:t>32</w:t>
      </w:r>
      <w:r w:rsidRPr="008730C8">
        <w:rPr>
          <w:rFonts w:ascii="Book Antiqua" w:hAnsi="Book Antiqua" w:cs="Times New Roman"/>
          <w:kern w:val="2"/>
          <w:sz w:val="24"/>
          <w:szCs w:val="24"/>
          <w:lang w:val="en-US" w:eastAsia="zh-CN"/>
        </w:rPr>
        <w:t>: 61-68 [PMID: 23269711]</w:t>
      </w:r>
    </w:p>
    <w:p w14:paraId="0ED1A72D"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40 </w:t>
      </w:r>
      <w:r w:rsidRPr="008730C8">
        <w:rPr>
          <w:rFonts w:ascii="Book Antiqua" w:hAnsi="Book Antiqua" w:cs="Times New Roman"/>
          <w:b/>
          <w:kern w:val="2"/>
          <w:sz w:val="24"/>
          <w:szCs w:val="24"/>
          <w:lang w:val="en-US" w:eastAsia="zh-CN"/>
        </w:rPr>
        <w:t>Fujita M</w:t>
      </w:r>
      <w:r w:rsidRPr="008730C8">
        <w:rPr>
          <w:rFonts w:ascii="Book Antiqua" w:hAnsi="Book Antiqua" w:cs="Times New Roman"/>
          <w:kern w:val="2"/>
          <w:sz w:val="24"/>
          <w:szCs w:val="24"/>
          <w:lang w:val="en-US" w:eastAsia="zh-CN"/>
        </w:rPr>
        <w:t xml:space="preserve">, Itoi T, Ikeuchi N, Sofuni A, Tsuchiya T, Ishii K, Kamada K, Umeda J, Tanaka R, Tonozuka R, Honjo M, Mukai S, Moriyasu F. Effectiveness of contrast-enhanced endoscopic ultrasound for detecting mural nodules in intraductal papillary mucinous neoplasm of the pancreas and for making therapeutic decisions. </w:t>
      </w:r>
      <w:r w:rsidRPr="008730C8">
        <w:rPr>
          <w:rFonts w:ascii="Book Antiqua" w:hAnsi="Book Antiqua" w:cs="Times New Roman"/>
          <w:i/>
          <w:kern w:val="2"/>
          <w:sz w:val="24"/>
          <w:szCs w:val="24"/>
          <w:lang w:val="en-US" w:eastAsia="zh-CN"/>
        </w:rPr>
        <w:t>Endosc Ultrasound</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5</w:t>
      </w:r>
      <w:r w:rsidRPr="008730C8">
        <w:rPr>
          <w:rFonts w:ascii="Book Antiqua" w:hAnsi="Book Antiqua" w:cs="Times New Roman"/>
          <w:kern w:val="2"/>
          <w:sz w:val="24"/>
          <w:szCs w:val="24"/>
          <w:lang w:val="en-US" w:eastAsia="zh-CN"/>
        </w:rPr>
        <w:t>: 377-383 [PMID: 28000629 DOI: 10.4103/2303-9027.190927]</w:t>
      </w:r>
    </w:p>
    <w:p w14:paraId="1C072811"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41 </w:t>
      </w:r>
      <w:r w:rsidRPr="008730C8">
        <w:rPr>
          <w:rFonts w:ascii="Book Antiqua" w:hAnsi="Book Antiqua" w:cs="Times New Roman"/>
          <w:b/>
          <w:kern w:val="2"/>
          <w:sz w:val="24"/>
          <w:szCs w:val="24"/>
          <w:lang w:val="en-US" w:eastAsia="zh-CN"/>
        </w:rPr>
        <w:t>Harima H</w:t>
      </w:r>
      <w:r w:rsidRPr="008730C8">
        <w:rPr>
          <w:rFonts w:ascii="Book Antiqua" w:hAnsi="Book Antiqua" w:cs="Times New Roman"/>
          <w:kern w:val="2"/>
          <w:sz w:val="24"/>
          <w:szCs w:val="24"/>
          <w:lang w:val="en-US" w:eastAsia="zh-CN"/>
        </w:rPr>
        <w:t xml:space="preserve">, Kaino S, Shinoda S, Kawano M, Suenaga S, Sakaida I. Differential diagnosis of benign and malignant branch duct intraductal papillary mucinous neoplasm using contrast-enhanced endoscopic ultrasonography. </w:t>
      </w:r>
      <w:r w:rsidRPr="008730C8">
        <w:rPr>
          <w:rFonts w:ascii="Book Antiqua" w:hAnsi="Book Antiqua" w:cs="Times New Roman"/>
          <w:i/>
          <w:kern w:val="2"/>
          <w:sz w:val="24"/>
          <w:szCs w:val="24"/>
          <w:lang w:val="en-US" w:eastAsia="zh-CN"/>
        </w:rPr>
        <w:t>World J Gastroenterol</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21</w:t>
      </w:r>
      <w:r w:rsidRPr="008730C8">
        <w:rPr>
          <w:rFonts w:ascii="Book Antiqua" w:hAnsi="Book Antiqua" w:cs="Times New Roman"/>
          <w:kern w:val="2"/>
          <w:sz w:val="24"/>
          <w:szCs w:val="24"/>
          <w:lang w:val="en-US" w:eastAsia="zh-CN"/>
        </w:rPr>
        <w:t>: 6252-6260 [PMID: 26034360 DOI: 10.3748/wjg.v21.i20.6252]</w:t>
      </w:r>
    </w:p>
    <w:p w14:paraId="5998C8ED"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42 </w:t>
      </w:r>
      <w:r w:rsidRPr="008730C8">
        <w:rPr>
          <w:rFonts w:ascii="Book Antiqua" w:hAnsi="Book Antiqua" w:cs="Times New Roman"/>
          <w:b/>
          <w:kern w:val="2"/>
          <w:sz w:val="24"/>
          <w:szCs w:val="24"/>
          <w:lang w:val="en-US" w:eastAsia="zh-CN"/>
        </w:rPr>
        <w:t>Yamamoto N</w:t>
      </w:r>
      <w:r w:rsidRPr="008730C8">
        <w:rPr>
          <w:rFonts w:ascii="Book Antiqua" w:hAnsi="Book Antiqua" w:cs="Times New Roman"/>
          <w:kern w:val="2"/>
          <w:sz w:val="24"/>
          <w:szCs w:val="24"/>
          <w:lang w:val="en-US" w:eastAsia="zh-CN"/>
        </w:rPr>
        <w:t xml:space="preserve">, Kato H, Tomoda T, Matsumoto K, Sakakihara I, Noma Y, Horiguchi S, Harada R, Tsutsumi K, Hori K, Tanaka T, Okada H, de Yamamoto K. Contrast-enhanced harmonic endoscopic ultrasonography with time-intensity curve analysis for intraductal papillary mucinous neoplasms of the pancreas.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48</w:t>
      </w:r>
      <w:r w:rsidRPr="008730C8">
        <w:rPr>
          <w:rFonts w:ascii="Book Antiqua" w:hAnsi="Book Antiqua" w:cs="Times New Roman"/>
          <w:kern w:val="2"/>
          <w:sz w:val="24"/>
          <w:szCs w:val="24"/>
          <w:lang w:val="en-US" w:eastAsia="zh-CN"/>
        </w:rPr>
        <w:t>: 26-34 [PMID: 26561919 DOI: 10.1055/s-0034-1393563]</w:t>
      </w:r>
    </w:p>
    <w:p w14:paraId="5561012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43 </w:t>
      </w:r>
      <w:r w:rsidRPr="008730C8">
        <w:rPr>
          <w:rFonts w:ascii="Book Antiqua" w:hAnsi="Book Antiqua" w:cs="Times New Roman"/>
          <w:b/>
          <w:kern w:val="2"/>
          <w:sz w:val="24"/>
          <w:szCs w:val="24"/>
          <w:lang w:val="en-US" w:eastAsia="zh-CN"/>
        </w:rPr>
        <w:t>Leung Ki EL</w:t>
      </w:r>
      <w:r w:rsidRPr="008730C8">
        <w:rPr>
          <w:rFonts w:ascii="Book Antiqua" w:hAnsi="Book Antiqua" w:cs="Times New Roman"/>
          <w:kern w:val="2"/>
          <w:sz w:val="24"/>
          <w:szCs w:val="24"/>
          <w:lang w:val="en-US" w:eastAsia="zh-CN"/>
        </w:rPr>
        <w:t xml:space="preserve">, Napoleon B. Nuevas herramientas y recursos en la evaluación de quistes pancreáticos por ultrasonografía endoscópica.In: Fauze Maluf-Filho/Shyam Varadarajulu. Avances en ultrasonografía endoscópica. </w:t>
      </w:r>
      <w:r w:rsidRPr="008730C8">
        <w:rPr>
          <w:rFonts w:ascii="Book Antiqua" w:hAnsi="Book Antiqua" w:cs="Times New Roman"/>
          <w:i/>
          <w:kern w:val="2"/>
          <w:sz w:val="24"/>
          <w:szCs w:val="24"/>
          <w:lang w:val="en-US" w:eastAsia="zh-CN"/>
        </w:rPr>
        <w:t>Clínicas iberoamericanas de gastroenterología y hepatología</w:t>
      </w:r>
      <w:r w:rsidRPr="008730C8">
        <w:rPr>
          <w:rFonts w:ascii="Book Antiqua" w:hAnsi="Book Antiqua" w:cs="Times New Roman"/>
          <w:kern w:val="2"/>
          <w:sz w:val="24"/>
          <w:szCs w:val="24"/>
          <w:lang w:val="en-US" w:eastAsia="zh-CN"/>
        </w:rPr>
        <w:t xml:space="preserve"> 2018; 51-68</w:t>
      </w:r>
    </w:p>
    <w:p w14:paraId="0575A22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44 </w:t>
      </w:r>
      <w:r w:rsidRPr="008730C8">
        <w:rPr>
          <w:rFonts w:ascii="Book Antiqua" w:hAnsi="Book Antiqua" w:cs="Times New Roman"/>
          <w:b/>
          <w:kern w:val="2"/>
          <w:sz w:val="24"/>
          <w:szCs w:val="24"/>
          <w:lang w:val="en-US" w:eastAsia="zh-CN"/>
        </w:rPr>
        <w:t>Nakai Y</w:t>
      </w:r>
      <w:r w:rsidRPr="008730C8">
        <w:rPr>
          <w:rFonts w:ascii="Book Antiqua" w:hAnsi="Book Antiqua" w:cs="Times New Roman"/>
          <w:kern w:val="2"/>
          <w:sz w:val="24"/>
          <w:szCs w:val="24"/>
          <w:lang w:val="en-US" w:eastAsia="zh-CN"/>
        </w:rPr>
        <w:t xml:space="preserve">, Isayama H, Shinoura S, Iwashita T, Samarasena JB, Chang KJ, Koike K. Confocal laser endomicroscopy in gastrointestinal and </w:t>
      </w:r>
      <w:r w:rsidRPr="008730C8">
        <w:rPr>
          <w:rFonts w:ascii="Book Antiqua" w:hAnsi="Book Antiqua" w:cs="Times New Roman"/>
          <w:kern w:val="2"/>
          <w:sz w:val="24"/>
          <w:szCs w:val="24"/>
          <w:lang w:val="en-US" w:eastAsia="zh-CN"/>
        </w:rPr>
        <w:lastRenderedPageBreak/>
        <w:t xml:space="preserve">pancreatobiliary diseases. </w:t>
      </w:r>
      <w:r w:rsidRPr="008730C8">
        <w:rPr>
          <w:rFonts w:ascii="Book Antiqua" w:hAnsi="Book Antiqua" w:cs="Times New Roman"/>
          <w:i/>
          <w:kern w:val="2"/>
          <w:sz w:val="24"/>
          <w:szCs w:val="24"/>
          <w:lang w:val="en-US" w:eastAsia="zh-CN"/>
        </w:rPr>
        <w:t>Dig Endosc</w:t>
      </w:r>
      <w:r w:rsidRPr="008730C8">
        <w:rPr>
          <w:rFonts w:ascii="Book Antiqua" w:hAnsi="Book Antiqua" w:cs="Times New Roman"/>
          <w:kern w:val="2"/>
          <w:sz w:val="24"/>
          <w:szCs w:val="24"/>
          <w:lang w:val="en-US" w:eastAsia="zh-CN"/>
        </w:rPr>
        <w:t xml:space="preserve"> 2014; </w:t>
      </w:r>
      <w:r w:rsidRPr="008730C8">
        <w:rPr>
          <w:rFonts w:ascii="Book Antiqua" w:hAnsi="Book Antiqua" w:cs="Times New Roman"/>
          <w:b/>
          <w:kern w:val="2"/>
          <w:sz w:val="24"/>
          <w:szCs w:val="24"/>
          <w:lang w:val="en-US" w:eastAsia="zh-CN"/>
        </w:rPr>
        <w:t xml:space="preserve">26 </w:t>
      </w:r>
      <w:r w:rsidRPr="008730C8">
        <w:rPr>
          <w:rFonts w:ascii="Book Antiqua" w:hAnsi="Book Antiqua" w:cs="Times New Roman"/>
          <w:kern w:val="2"/>
          <w:sz w:val="24"/>
          <w:szCs w:val="24"/>
          <w:lang w:val="en-US" w:eastAsia="zh-CN"/>
        </w:rPr>
        <w:t>Suppl 1: 86-94 [PMID: 24033351 DOI: 10.1111/den.12152]</w:t>
      </w:r>
    </w:p>
    <w:p w14:paraId="0CD9ED5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45 </w:t>
      </w:r>
      <w:r w:rsidRPr="008730C8">
        <w:rPr>
          <w:rFonts w:ascii="Book Antiqua" w:hAnsi="Book Antiqua" w:cs="Times New Roman"/>
          <w:b/>
          <w:kern w:val="2"/>
          <w:sz w:val="24"/>
          <w:szCs w:val="24"/>
          <w:lang w:val="en-US" w:eastAsia="zh-CN"/>
        </w:rPr>
        <w:t>Giovannini M</w:t>
      </w:r>
      <w:r w:rsidRPr="008730C8">
        <w:rPr>
          <w:rFonts w:ascii="Book Antiqua" w:hAnsi="Book Antiqua" w:cs="Times New Roman"/>
          <w:kern w:val="2"/>
          <w:sz w:val="24"/>
          <w:szCs w:val="24"/>
          <w:lang w:val="en-US" w:eastAsia="zh-CN"/>
        </w:rPr>
        <w:t xml:space="preserve">. Needle-based confocal laser endomicroscopy. </w:t>
      </w:r>
      <w:r w:rsidRPr="008730C8">
        <w:rPr>
          <w:rFonts w:ascii="Book Antiqua" w:hAnsi="Book Antiqua" w:cs="Times New Roman"/>
          <w:i/>
          <w:kern w:val="2"/>
          <w:sz w:val="24"/>
          <w:szCs w:val="24"/>
          <w:lang w:val="en-US" w:eastAsia="zh-CN"/>
        </w:rPr>
        <w:t>Endosc Ultrasound</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4</w:t>
      </w:r>
      <w:r w:rsidRPr="008730C8">
        <w:rPr>
          <w:rFonts w:ascii="Book Antiqua" w:hAnsi="Book Antiqua" w:cs="Times New Roman"/>
          <w:kern w:val="2"/>
          <w:sz w:val="24"/>
          <w:szCs w:val="24"/>
          <w:lang w:val="en-US" w:eastAsia="zh-CN"/>
        </w:rPr>
        <w:t>: 284-288 [PMID: 26643694 DOI: 10.4103/2303-9027.170405]</w:t>
      </w:r>
    </w:p>
    <w:p w14:paraId="1F71CC5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46 </w:t>
      </w:r>
      <w:r w:rsidRPr="008730C8">
        <w:rPr>
          <w:rFonts w:ascii="Book Antiqua" w:hAnsi="Book Antiqua" w:cs="Times New Roman"/>
          <w:b/>
          <w:kern w:val="2"/>
          <w:sz w:val="24"/>
          <w:szCs w:val="24"/>
          <w:lang w:val="en-US" w:eastAsia="zh-CN"/>
        </w:rPr>
        <w:t>Tsujino T</w:t>
      </w:r>
      <w:r w:rsidRPr="008730C8">
        <w:rPr>
          <w:rFonts w:ascii="Book Antiqua" w:hAnsi="Book Antiqua" w:cs="Times New Roman"/>
          <w:kern w:val="2"/>
          <w:sz w:val="24"/>
          <w:szCs w:val="24"/>
          <w:lang w:val="en-US" w:eastAsia="zh-CN"/>
        </w:rPr>
        <w:t xml:space="preserve">, Yan-Lin Huang J, Nakai Y, Samarasena JB, Lee JG, Chang KJ. In vivo identification of pancreatic cystic neoplasms with needle-based confocal laser endomicroscopy. </w:t>
      </w:r>
      <w:r w:rsidRPr="008730C8">
        <w:rPr>
          <w:rFonts w:ascii="Book Antiqua" w:hAnsi="Book Antiqua" w:cs="Times New Roman"/>
          <w:i/>
          <w:kern w:val="2"/>
          <w:sz w:val="24"/>
          <w:szCs w:val="24"/>
          <w:lang w:val="en-US" w:eastAsia="zh-CN"/>
        </w:rPr>
        <w:t>Best Pract Res Clin Gastroenterol</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29</w:t>
      </w:r>
      <w:r w:rsidRPr="008730C8">
        <w:rPr>
          <w:rFonts w:ascii="Book Antiqua" w:hAnsi="Book Antiqua" w:cs="Times New Roman"/>
          <w:kern w:val="2"/>
          <w:sz w:val="24"/>
          <w:szCs w:val="24"/>
          <w:lang w:val="en-US" w:eastAsia="zh-CN"/>
        </w:rPr>
        <w:t>: 601-610 [PMID: 26381305 DOI: 10.1016/j.bpg.2015.06.006]</w:t>
      </w:r>
    </w:p>
    <w:p w14:paraId="6BB7E00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47 </w:t>
      </w:r>
      <w:r w:rsidRPr="008730C8">
        <w:rPr>
          <w:rFonts w:ascii="Book Antiqua" w:hAnsi="Book Antiqua" w:cs="Times New Roman"/>
          <w:b/>
          <w:kern w:val="2"/>
          <w:sz w:val="24"/>
          <w:szCs w:val="24"/>
          <w:lang w:val="en-US" w:eastAsia="zh-CN"/>
        </w:rPr>
        <w:t>Ştefănescu D</w:t>
      </w:r>
      <w:r w:rsidRPr="008730C8">
        <w:rPr>
          <w:rFonts w:ascii="Book Antiqua" w:hAnsi="Book Antiqua" w:cs="Times New Roman"/>
          <w:kern w:val="2"/>
          <w:sz w:val="24"/>
          <w:szCs w:val="24"/>
          <w:lang w:val="en-US" w:eastAsia="zh-CN"/>
        </w:rPr>
        <w:t xml:space="preserve">, Pereira SP, Keane M, Săftoiu A. Needle-based confocal laser endomicroscopy in pancreatic cystic tumors assessment. </w:t>
      </w:r>
      <w:r w:rsidRPr="008730C8">
        <w:rPr>
          <w:rFonts w:ascii="Book Antiqua" w:hAnsi="Book Antiqua" w:cs="Times New Roman"/>
          <w:i/>
          <w:kern w:val="2"/>
          <w:sz w:val="24"/>
          <w:szCs w:val="24"/>
          <w:lang w:val="en-US" w:eastAsia="zh-CN"/>
        </w:rPr>
        <w:t>Rom J Morphol Embryol</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56</w:t>
      </w:r>
      <w:r w:rsidRPr="008730C8">
        <w:rPr>
          <w:rFonts w:ascii="Book Antiqua" w:hAnsi="Book Antiqua" w:cs="Times New Roman"/>
          <w:kern w:val="2"/>
          <w:sz w:val="24"/>
          <w:szCs w:val="24"/>
          <w:lang w:val="en-US" w:eastAsia="zh-CN"/>
        </w:rPr>
        <w:t>: 1263-1268 [PMID: 26743270]</w:t>
      </w:r>
    </w:p>
    <w:p w14:paraId="0819FA2F"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48 </w:t>
      </w:r>
      <w:r w:rsidRPr="008730C8">
        <w:rPr>
          <w:rFonts w:ascii="Book Antiqua" w:hAnsi="Book Antiqua" w:cs="Times New Roman"/>
          <w:b/>
          <w:kern w:val="2"/>
          <w:sz w:val="24"/>
          <w:szCs w:val="24"/>
          <w:lang w:val="en-US" w:eastAsia="zh-CN"/>
        </w:rPr>
        <w:t>Konda VJ</w:t>
      </w:r>
      <w:r w:rsidRPr="008730C8">
        <w:rPr>
          <w:rFonts w:ascii="Book Antiqua" w:hAnsi="Book Antiqua" w:cs="Times New Roman"/>
          <w:kern w:val="2"/>
          <w:sz w:val="24"/>
          <w:szCs w:val="24"/>
          <w:lang w:val="en-US" w:eastAsia="zh-CN"/>
        </w:rPr>
        <w:t xml:space="preserve">, Aslanian HR, Wallace MB, Siddiqui UD, Hart J, Waxman I. First assessment of needle-based confocal laser endomicroscopy during EUS-FNA procedures of the pancreas (with videos).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2011; </w:t>
      </w:r>
      <w:r w:rsidRPr="008730C8">
        <w:rPr>
          <w:rFonts w:ascii="Book Antiqua" w:hAnsi="Book Antiqua" w:cs="Times New Roman"/>
          <w:b/>
          <w:kern w:val="2"/>
          <w:sz w:val="24"/>
          <w:szCs w:val="24"/>
          <w:lang w:val="en-US" w:eastAsia="zh-CN"/>
        </w:rPr>
        <w:t>74</w:t>
      </w:r>
      <w:r w:rsidRPr="008730C8">
        <w:rPr>
          <w:rFonts w:ascii="Book Antiqua" w:hAnsi="Book Antiqua" w:cs="Times New Roman"/>
          <w:kern w:val="2"/>
          <w:sz w:val="24"/>
          <w:szCs w:val="24"/>
          <w:lang w:val="en-US" w:eastAsia="zh-CN"/>
        </w:rPr>
        <w:t>: 1049-1060 [PMID: 21924718 DOI: 10.1016/j.gie.2011.07.018]</w:t>
      </w:r>
    </w:p>
    <w:p w14:paraId="679F92CC"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49 </w:t>
      </w:r>
      <w:r w:rsidRPr="008730C8">
        <w:rPr>
          <w:rFonts w:ascii="Book Antiqua" w:hAnsi="Book Antiqua" w:cs="Times New Roman"/>
          <w:b/>
          <w:kern w:val="2"/>
          <w:sz w:val="24"/>
          <w:szCs w:val="24"/>
          <w:lang w:val="en-US" w:eastAsia="zh-CN"/>
        </w:rPr>
        <w:t>Wefers H</w:t>
      </w:r>
      <w:r w:rsidRPr="008730C8">
        <w:rPr>
          <w:rFonts w:ascii="Book Antiqua" w:hAnsi="Book Antiqua" w:cs="Times New Roman"/>
          <w:kern w:val="2"/>
          <w:sz w:val="24"/>
          <w:szCs w:val="24"/>
          <w:lang w:val="en-US" w:eastAsia="zh-CN"/>
        </w:rPr>
        <w:t xml:space="preserve">, Sies H. Generation of photoemissive species during quinone redox cycling. </w:t>
      </w:r>
      <w:r w:rsidRPr="008730C8">
        <w:rPr>
          <w:rFonts w:ascii="Book Antiqua" w:hAnsi="Book Antiqua" w:cs="Times New Roman"/>
          <w:i/>
          <w:kern w:val="2"/>
          <w:sz w:val="24"/>
          <w:szCs w:val="24"/>
          <w:lang w:val="en-US" w:eastAsia="zh-CN"/>
        </w:rPr>
        <w:t>Biochem Pharmacol</w:t>
      </w:r>
      <w:r w:rsidRPr="008730C8">
        <w:rPr>
          <w:rFonts w:ascii="Book Antiqua" w:hAnsi="Book Antiqua" w:cs="Times New Roman"/>
          <w:kern w:val="2"/>
          <w:sz w:val="24"/>
          <w:szCs w:val="24"/>
          <w:lang w:val="en-US" w:eastAsia="zh-CN"/>
        </w:rPr>
        <w:t xml:space="preserve"> 1986; </w:t>
      </w:r>
      <w:r w:rsidRPr="008730C8">
        <w:rPr>
          <w:rFonts w:ascii="Book Antiqua" w:hAnsi="Book Antiqua" w:cs="Times New Roman"/>
          <w:b/>
          <w:kern w:val="2"/>
          <w:sz w:val="24"/>
          <w:szCs w:val="24"/>
          <w:lang w:val="en-US" w:eastAsia="zh-CN"/>
        </w:rPr>
        <w:t>35</w:t>
      </w:r>
      <w:r w:rsidRPr="008730C8">
        <w:rPr>
          <w:rFonts w:ascii="Book Antiqua" w:hAnsi="Book Antiqua" w:cs="Times New Roman"/>
          <w:kern w:val="2"/>
          <w:sz w:val="24"/>
          <w:szCs w:val="24"/>
          <w:lang w:val="en-US" w:eastAsia="zh-CN"/>
        </w:rPr>
        <w:t>: 22-24 [PMID: 2416319 DOI: 10.1055/s-0033-1344714]</w:t>
      </w:r>
    </w:p>
    <w:p w14:paraId="6FCF7F03"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50 </w:t>
      </w:r>
      <w:r w:rsidRPr="008730C8">
        <w:rPr>
          <w:rFonts w:ascii="Book Antiqua" w:hAnsi="Book Antiqua" w:cs="Times New Roman"/>
          <w:b/>
          <w:kern w:val="2"/>
          <w:sz w:val="24"/>
          <w:szCs w:val="24"/>
          <w:lang w:val="en-US" w:eastAsia="zh-CN"/>
        </w:rPr>
        <w:t>Nakai Y</w:t>
      </w:r>
      <w:r w:rsidRPr="008730C8">
        <w:rPr>
          <w:rFonts w:ascii="Book Antiqua" w:hAnsi="Book Antiqua" w:cs="Times New Roman"/>
          <w:kern w:val="2"/>
          <w:sz w:val="24"/>
          <w:szCs w:val="24"/>
          <w:lang w:val="en-US" w:eastAsia="zh-CN"/>
        </w:rPr>
        <w:t xml:space="preserve">, Iwashita T, Park DH, Samarasena JB, Lee JG, Chang KJ. Diagnosis of pancreatic cysts: EUS-guided, through-the-needle confocal laser-induced endomicroscopy and cystoscopy trial: DETECT study.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81</w:t>
      </w:r>
      <w:r w:rsidRPr="008730C8">
        <w:rPr>
          <w:rFonts w:ascii="Book Antiqua" w:hAnsi="Book Antiqua" w:cs="Times New Roman"/>
          <w:kern w:val="2"/>
          <w:sz w:val="24"/>
          <w:szCs w:val="24"/>
          <w:lang w:val="en-US" w:eastAsia="zh-CN"/>
        </w:rPr>
        <w:t>: 1204-1214 [PMID: 25634486 DOI: 10.1016/j.gie.2014.10.025]</w:t>
      </w:r>
    </w:p>
    <w:p w14:paraId="06488D4E"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51 </w:t>
      </w:r>
      <w:r w:rsidRPr="008730C8">
        <w:rPr>
          <w:rFonts w:ascii="Book Antiqua" w:hAnsi="Book Antiqua" w:cs="Times New Roman"/>
          <w:b/>
          <w:kern w:val="2"/>
          <w:sz w:val="24"/>
          <w:szCs w:val="24"/>
          <w:lang w:val="en-US" w:eastAsia="zh-CN"/>
        </w:rPr>
        <w:t>Napoléon B</w:t>
      </w:r>
      <w:r w:rsidRPr="008730C8">
        <w:rPr>
          <w:rFonts w:ascii="Book Antiqua" w:hAnsi="Book Antiqua" w:cs="Times New Roman"/>
          <w:kern w:val="2"/>
          <w:sz w:val="24"/>
          <w:szCs w:val="24"/>
          <w:lang w:val="en-US" w:eastAsia="zh-CN"/>
        </w:rPr>
        <w:t xml:space="preserve">, Lemaistre AI, Pujol B, Caillol F, Lucidarme D, Bourdariat R, Morellon-Mialhe B, Fumex F, Lefort C, Lepilliez V, Palazzo L, Monges G, Filoche B, Giovannini M. A novel approach to the diagnosis of pancreatic serous cystadenoma: needle-based confocal laser endomicroscopy.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47</w:t>
      </w:r>
      <w:r w:rsidRPr="008730C8">
        <w:rPr>
          <w:rFonts w:ascii="Book Antiqua" w:hAnsi="Book Antiqua" w:cs="Times New Roman"/>
          <w:kern w:val="2"/>
          <w:sz w:val="24"/>
          <w:szCs w:val="24"/>
          <w:lang w:val="en-US" w:eastAsia="zh-CN"/>
        </w:rPr>
        <w:t>: 26-32 [PMID: 25325684 DOI: 10.1055/s-0034-1390693]</w:t>
      </w:r>
    </w:p>
    <w:p w14:paraId="28619C8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52 </w:t>
      </w:r>
      <w:r w:rsidRPr="008730C8">
        <w:rPr>
          <w:rFonts w:ascii="Book Antiqua" w:hAnsi="Book Antiqua" w:cs="Times New Roman"/>
          <w:b/>
          <w:kern w:val="2"/>
          <w:sz w:val="24"/>
          <w:szCs w:val="24"/>
          <w:lang w:val="en-US" w:eastAsia="zh-CN"/>
        </w:rPr>
        <w:t>Napoleon B</w:t>
      </w:r>
      <w:r w:rsidRPr="008730C8">
        <w:rPr>
          <w:rFonts w:ascii="Book Antiqua" w:hAnsi="Book Antiqua" w:cs="Times New Roman"/>
          <w:kern w:val="2"/>
          <w:sz w:val="24"/>
          <w:szCs w:val="24"/>
          <w:lang w:val="en-US" w:eastAsia="zh-CN"/>
        </w:rPr>
        <w:t xml:space="preserve">, Lemaistre AI, Pujol B, Caillol F, Lucidarme D, Bourdariat R, Morellon-Mialhe B, Fumex F, Lefort C, Lepilliez V, Palazzo L, Monges G, Poizat F, Giovannini M. In vivo characterization of pancreatic cystic lesions by needle-based confocal laser endomicroscopy (nCLE): proposition of a comprehensive </w:t>
      </w:r>
      <w:r w:rsidRPr="008730C8">
        <w:rPr>
          <w:rFonts w:ascii="Book Antiqua" w:hAnsi="Book Antiqua" w:cs="Times New Roman"/>
          <w:kern w:val="2"/>
          <w:sz w:val="24"/>
          <w:szCs w:val="24"/>
          <w:lang w:val="en-US" w:eastAsia="zh-CN"/>
        </w:rPr>
        <w:lastRenderedPageBreak/>
        <w:t xml:space="preserve">nCLE classification confirmed by an external retrospective evaluation. </w:t>
      </w:r>
      <w:r w:rsidRPr="008730C8">
        <w:rPr>
          <w:rFonts w:ascii="Book Antiqua" w:hAnsi="Book Antiqua" w:cs="Times New Roman"/>
          <w:i/>
          <w:kern w:val="2"/>
          <w:sz w:val="24"/>
          <w:szCs w:val="24"/>
          <w:lang w:val="en-US" w:eastAsia="zh-CN"/>
        </w:rPr>
        <w:t>Surg Endosc</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30</w:t>
      </w:r>
      <w:r w:rsidRPr="008730C8">
        <w:rPr>
          <w:rFonts w:ascii="Book Antiqua" w:hAnsi="Book Antiqua" w:cs="Times New Roman"/>
          <w:kern w:val="2"/>
          <w:sz w:val="24"/>
          <w:szCs w:val="24"/>
          <w:lang w:val="en-US" w:eastAsia="zh-CN"/>
        </w:rPr>
        <w:t>: 2603-2612 [PMID: 26428198 DOI: 10.1007/s00464-015-4510-5]</w:t>
      </w:r>
    </w:p>
    <w:p w14:paraId="43BE29C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53 </w:t>
      </w:r>
      <w:r w:rsidRPr="008730C8">
        <w:rPr>
          <w:rFonts w:ascii="Book Antiqua" w:hAnsi="Book Antiqua" w:cs="Times New Roman"/>
          <w:b/>
          <w:kern w:val="2"/>
          <w:sz w:val="24"/>
          <w:szCs w:val="24"/>
          <w:lang w:val="en-US" w:eastAsia="zh-CN"/>
        </w:rPr>
        <w:t>Kadayifci A</w:t>
      </w:r>
      <w:r w:rsidRPr="008730C8">
        <w:rPr>
          <w:rFonts w:ascii="Book Antiqua" w:hAnsi="Book Antiqua" w:cs="Times New Roman"/>
          <w:kern w:val="2"/>
          <w:sz w:val="24"/>
          <w:szCs w:val="24"/>
          <w:lang w:val="en-US" w:eastAsia="zh-CN"/>
        </w:rPr>
        <w:t xml:space="preserve">, Atar M, Basar O, Forcione DG, Brugge WR. Needle-Based Confocal Laser Endomicroscopy for Evaluation of Cystic Neoplasms of the Pancreas. </w:t>
      </w:r>
      <w:r w:rsidRPr="008730C8">
        <w:rPr>
          <w:rFonts w:ascii="Book Antiqua" w:hAnsi="Book Antiqua" w:cs="Times New Roman"/>
          <w:i/>
          <w:kern w:val="2"/>
          <w:sz w:val="24"/>
          <w:szCs w:val="24"/>
          <w:lang w:val="en-US" w:eastAsia="zh-CN"/>
        </w:rPr>
        <w:t>Dig Dis Sci</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62</w:t>
      </w:r>
      <w:r w:rsidRPr="008730C8">
        <w:rPr>
          <w:rFonts w:ascii="Book Antiqua" w:hAnsi="Book Antiqua" w:cs="Times New Roman"/>
          <w:kern w:val="2"/>
          <w:sz w:val="24"/>
          <w:szCs w:val="24"/>
          <w:lang w:val="en-US" w:eastAsia="zh-CN"/>
        </w:rPr>
        <w:t>: 1346-1353 [PMID: 28281172 DOI: 10.1007/s10620-017-4521-2]</w:t>
      </w:r>
    </w:p>
    <w:p w14:paraId="7154949F"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54 </w:t>
      </w:r>
      <w:r w:rsidRPr="008730C8">
        <w:rPr>
          <w:rFonts w:ascii="Book Antiqua" w:hAnsi="Book Antiqua" w:cs="Times New Roman"/>
          <w:b/>
          <w:kern w:val="2"/>
          <w:sz w:val="24"/>
          <w:szCs w:val="24"/>
          <w:lang w:val="en-US" w:eastAsia="zh-CN"/>
        </w:rPr>
        <w:t>Krishna SG</w:t>
      </w:r>
      <w:r w:rsidRPr="008730C8">
        <w:rPr>
          <w:rFonts w:ascii="Book Antiqua" w:hAnsi="Book Antiqua" w:cs="Times New Roman"/>
          <w:kern w:val="2"/>
          <w:sz w:val="24"/>
          <w:szCs w:val="24"/>
          <w:lang w:val="en-US" w:eastAsia="zh-CN"/>
        </w:rPr>
        <w:t xml:space="preserve">, Modi RM, Kamboj AK, Swanson BJ, Hart PA, Dillhoff ME, Manilchuk A, Schmidt CR, Conwell DL. In vivo and ex vivo confocal endomicroscopy of pancreatic cystic lesions: A prospective study. </w:t>
      </w:r>
      <w:r w:rsidRPr="008730C8">
        <w:rPr>
          <w:rFonts w:ascii="Book Antiqua" w:hAnsi="Book Antiqua" w:cs="Times New Roman"/>
          <w:i/>
          <w:kern w:val="2"/>
          <w:sz w:val="24"/>
          <w:szCs w:val="24"/>
          <w:lang w:val="en-US" w:eastAsia="zh-CN"/>
        </w:rPr>
        <w:t>World J Gastroenterol</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23</w:t>
      </w:r>
      <w:r w:rsidRPr="008730C8">
        <w:rPr>
          <w:rFonts w:ascii="Book Antiqua" w:hAnsi="Book Antiqua" w:cs="Times New Roman"/>
          <w:kern w:val="2"/>
          <w:sz w:val="24"/>
          <w:szCs w:val="24"/>
          <w:lang w:val="en-US" w:eastAsia="zh-CN"/>
        </w:rPr>
        <w:t>: 3338-3348 [PMID: 28566895 DOI: 10.3748/wjg.v23.i18.3338]</w:t>
      </w:r>
    </w:p>
    <w:p w14:paraId="54D68ADA"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55 </w:t>
      </w:r>
      <w:r w:rsidRPr="008730C8">
        <w:rPr>
          <w:rFonts w:ascii="Book Antiqua" w:hAnsi="Book Antiqua" w:cs="Times New Roman"/>
          <w:b/>
          <w:kern w:val="2"/>
          <w:sz w:val="24"/>
          <w:szCs w:val="24"/>
          <w:lang w:val="en-US" w:eastAsia="zh-CN"/>
        </w:rPr>
        <w:t>Napoléon B,</w:t>
      </w:r>
      <w:r w:rsidRPr="008730C8">
        <w:rPr>
          <w:rFonts w:ascii="Book Antiqua" w:hAnsi="Book Antiqua" w:cs="Times New Roman"/>
          <w:kern w:val="2"/>
          <w:sz w:val="24"/>
          <w:szCs w:val="24"/>
          <w:lang w:val="en-US" w:eastAsia="zh-CN"/>
        </w:rPr>
        <w:t xml:space="preserve"> Palazzo M, Lemaistre AI, Caillol F, Palazzo L, Aubert A, Buscail L, Maire F, Mialhe-Morellon B, Pujol B, Giovannini M. Needle-based confocal laser endomicroscopy characterization of pancreatic cystic lesions with a definitive diagnoses: a prospective multicentre study. </w:t>
      </w:r>
      <w:r w:rsidRPr="008730C8">
        <w:rPr>
          <w:rFonts w:ascii="Book Antiqua" w:hAnsi="Book Antiqua" w:cs="Times New Roman"/>
          <w:i/>
          <w:kern w:val="2"/>
          <w:sz w:val="24"/>
          <w:szCs w:val="24"/>
          <w:lang w:val="en-US" w:eastAsia="zh-CN"/>
        </w:rPr>
        <w:t xml:space="preserve">Endoscopy </w:t>
      </w:r>
      <w:r w:rsidRPr="008730C8">
        <w:rPr>
          <w:rFonts w:ascii="Book Antiqua" w:hAnsi="Book Antiqua" w:cs="Times New Roman"/>
          <w:kern w:val="2"/>
          <w:sz w:val="24"/>
          <w:szCs w:val="24"/>
          <w:lang w:val="en-US" w:eastAsia="zh-CN"/>
        </w:rPr>
        <w:t>2017; in press</w:t>
      </w:r>
    </w:p>
    <w:p w14:paraId="4599A709"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56 </w:t>
      </w:r>
      <w:r w:rsidRPr="008730C8">
        <w:rPr>
          <w:rFonts w:ascii="Book Antiqua" w:hAnsi="Book Antiqua" w:cs="Times New Roman"/>
          <w:b/>
          <w:kern w:val="2"/>
          <w:sz w:val="24"/>
          <w:szCs w:val="24"/>
          <w:lang w:val="en-US" w:eastAsia="zh-CN"/>
        </w:rPr>
        <w:t>Karia K</w:t>
      </w:r>
      <w:r w:rsidRPr="008730C8">
        <w:rPr>
          <w:rFonts w:ascii="Book Antiqua" w:hAnsi="Book Antiqua" w:cs="Times New Roman"/>
          <w:kern w:val="2"/>
          <w:sz w:val="24"/>
          <w:szCs w:val="24"/>
          <w:lang w:val="en-US" w:eastAsia="zh-CN"/>
        </w:rPr>
        <w:t xml:space="preserve">, Waxman I, Konda VJ, Gress FG, Sethi A, Siddiqui UD, Sharaiha RZ, Kedia P, Jamal-Kabani A, Gaidhane M, Kahaleh M. Needle-based confocal endomicroscopy for pancreatic cysts: the current agreement in interpretation.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83</w:t>
      </w:r>
      <w:r w:rsidRPr="008730C8">
        <w:rPr>
          <w:rFonts w:ascii="Book Antiqua" w:hAnsi="Book Antiqua" w:cs="Times New Roman"/>
          <w:kern w:val="2"/>
          <w:sz w:val="24"/>
          <w:szCs w:val="24"/>
          <w:lang w:val="en-US" w:eastAsia="zh-CN"/>
        </w:rPr>
        <w:t>: 924-927 [PMID: 26382051 DOI: 10.1016/j.gie.2015.08.080]</w:t>
      </w:r>
    </w:p>
    <w:p w14:paraId="32A9D5F1"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57 </w:t>
      </w:r>
      <w:r w:rsidRPr="008730C8">
        <w:rPr>
          <w:rFonts w:ascii="Book Antiqua" w:hAnsi="Book Antiqua" w:cs="Times New Roman"/>
          <w:b/>
          <w:kern w:val="2"/>
          <w:sz w:val="24"/>
          <w:szCs w:val="24"/>
          <w:lang w:val="en-US" w:eastAsia="zh-CN"/>
        </w:rPr>
        <w:t>Krishna SG</w:t>
      </w:r>
      <w:r w:rsidRPr="008730C8">
        <w:rPr>
          <w:rFonts w:ascii="Book Antiqua" w:hAnsi="Book Antiqua" w:cs="Times New Roman"/>
          <w:kern w:val="2"/>
          <w:sz w:val="24"/>
          <w:szCs w:val="24"/>
          <w:lang w:val="en-US" w:eastAsia="zh-CN"/>
        </w:rPr>
        <w:t xml:space="preserve">, Swanson B, Hart PA, El-Dika S, Walker JP, McCarthy ST, Malli A, Shah ZK, Conwell DL. Validation of diagnostic characteristics of needle based confocal laser endomicroscopy in differentiation of pancreatic cystic lesions. </w:t>
      </w:r>
      <w:r w:rsidRPr="008730C8">
        <w:rPr>
          <w:rFonts w:ascii="Book Antiqua" w:hAnsi="Book Antiqua" w:cs="Times New Roman"/>
          <w:i/>
          <w:kern w:val="2"/>
          <w:sz w:val="24"/>
          <w:szCs w:val="24"/>
          <w:lang w:val="en-US" w:eastAsia="zh-CN"/>
        </w:rPr>
        <w:t>Endosc Int Open</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4</w:t>
      </w:r>
      <w:r w:rsidRPr="008730C8">
        <w:rPr>
          <w:rFonts w:ascii="Book Antiqua" w:hAnsi="Book Antiqua" w:cs="Times New Roman"/>
          <w:kern w:val="2"/>
          <w:sz w:val="24"/>
          <w:szCs w:val="24"/>
          <w:lang w:val="en-US" w:eastAsia="zh-CN"/>
        </w:rPr>
        <w:t>: E1124-E1135 [PMID: 27853737 DOI: 10.1055/s-0042-116491]</w:t>
      </w:r>
    </w:p>
    <w:p w14:paraId="388157F1"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58 </w:t>
      </w:r>
      <w:r w:rsidRPr="008730C8">
        <w:rPr>
          <w:rFonts w:ascii="Book Antiqua" w:hAnsi="Book Antiqua" w:cs="Times New Roman"/>
          <w:b/>
          <w:kern w:val="2"/>
          <w:sz w:val="24"/>
          <w:szCs w:val="24"/>
          <w:lang w:val="en-US" w:eastAsia="zh-CN"/>
        </w:rPr>
        <w:t>Krishna SG</w:t>
      </w:r>
      <w:r w:rsidRPr="008730C8">
        <w:rPr>
          <w:rFonts w:ascii="Book Antiqua" w:hAnsi="Book Antiqua" w:cs="Times New Roman"/>
          <w:kern w:val="2"/>
          <w:sz w:val="24"/>
          <w:szCs w:val="24"/>
          <w:lang w:val="en-US" w:eastAsia="zh-CN"/>
        </w:rPr>
        <w:t xml:space="preserve">, Brugge WR, Dewitt JM, Kongkam P, Napoleon B, Robles-Medranda C, Tan D, El-Dika S, McCarthy S, Walker J, Dillhoff ME, Manilchuk A, Schmidt C, Swanson B, Shah ZK, Hart PA, Conwell DL. Needle-based confocal laser endomicroscopy for the diagnosis of pancreatic cystic lesions: an international external interobserver and intraobserver study (with videos).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86</w:t>
      </w:r>
      <w:r w:rsidRPr="008730C8">
        <w:rPr>
          <w:rFonts w:ascii="Book Antiqua" w:hAnsi="Book Antiqua" w:cs="Times New Roman"/>
          <w:kern w:val="2"/>
          <w:sz w:val="24"/>
          <w:szCs w:val="24"/>
          <w:lang w:val="en-US" w:eastAsia="zh-CN"/>
        </w:rPr>
        <w:t xml:space="preserve">: 644-654.e2 [PMID: 28286093 DOI: </w:t>
      </w:r>
      <w:r w:rsidRPr="008730C8">
        <w:rPr>
          <w:rFonts w:ascii="Book Antiqua" w:hAnsi="Book Antiqua" w:cs="Times New Roman"/>
          <w:kern w:val="2"/>
          <w:sz w:val="24"/>
          <w:szCs w:val="24"/>
          <w:lang w:val="en-US" w:eastAsia="zh-CN"/>
        </w:rPr>
        <w:lastRenderedPageBreak/>
        <w:t>10.1016/j.gie.2017.03.002]</w:t>
      </w:r>
    </w:p>
    <w:p w14:paraId="551786C6"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59 </w:t>
      </w:r>
      <w:r w:rsidRPr="008730C8">
        <w:rPr>
          <w:rFonts w:ascii="Book Antiqua" w:hAnsi="Book Antiqua" w:cs="Times New Roman"/>
          <w:b/>
          <w:kern w:val="2"/>
          <w:sz w:val="24"/>
          <w:szCs w:val="24"/>
          <w:lang w:val="en-US" w:eastAsia="zh-CN"/>
        </w:rPr>
        <w:t>Aparicio JR</w:t>
      </w:r>
      <w:r w:rsidRPr="008730C8">
        <w:rPr>
          <w:rFonts w:ascii="Book Antiqua" w:hAnsi="Book Antiqua" w:cs="Times New Roman"/>
          <w:kern w:val="2"/>
          <w:sz w:val="24"/>
          <w:szCs w:val="24"/>
          <w:lang w:val="en-US" w:eastAsia="zh-CN"/>
        </w:rPr>
        <w:t xml:space="preserve">, Martínez J, Niveiro M, Cabezas A, Ruiz F, De Madaria E, Casellas JA. Direct intracystic biopsy and pancreatic cystoscopy through a 19-gauge needle EUS (with videos).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2010; </w:t>
      </w:r>
      <w:r w:rsidRPr="008730C8">
        <w:rPr>
          <w:rFonts w:ascii="Book Antiqua" w:hAnsi="Book Antiqua" w:cs="Times New Roman"/>
          <w:b/>
          <w:kern w:val="2"/>
          <w:sz w:val="24"/>
          <w:szCs w:val="24"/>
          <w:lang w:val="en-US" w:eastAsia="zh-CN"/>
        </w:rPr>
        <w:t>72</w:t>
      </w:r>
      <w:r w:rsidRPr="008730C8">
        <w:rPr>
          <w:rFonts w:ascii="Book Antiqua" w:hAnsi="Book Antiqua" w:cs="Times New Roman"/>
          <w:kern w:val="2"/>
          <w:sz w:val="24"/>
          <w:szCs w:val="24"/>
          <w:lang w:val="en-US" w:eastAsia="zh-CN"/>
        </w:rPr>
        <w:t>: 1285-1288 [PMID: 20970789 DOI: 10.1016/j.gie.2010.08.036]</w:t>
      </w:r>
    </w:p>
    <w:p w14:paraId="029A4C0D"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60 </w:t>
      </w:r>
      <w:r w:rsidRPr="008730C8">
        <w:rPr>
          <w:rFonts w:ascii="Book Antiqua" w:hAnsi="Book Antiqua" w:cs="Times New Roman"/>
          <w:b/>
          <w:kern w:val="2"/>
          <w:sz w:val="24"/>
          <w:szCs w:val="24"/>
          <w:lang w:val="en-US" w:eastAsia="zh-CN"/>
        </w:rPr>
        <w:t>Chai N</w:t>
      </w:r>
      <w:r w:rsidRPr="008730C8">
        <w:rPr>
          <w:rFonts w:ascii="Book Antiqua" w:hAnsi="Book Antiqua" w:cs="Times New Roman"/>
          <w:kern w:val="2"/>
          <w:sz w:val="24"/>
          <w:szCs w:val="24"/>
          <w:lang w:val="en-US" w:eastAsia="zh-CN"/>
        </w:rPr>
        <w:t xml:space="preserve">, Feng J, Guo Y, Li H, Ning B, Wang X, Wang Y, Wang Y, Zhai Y, Linghu E. Preliminary study of single-operator cholangioscopy for diagnosing pancreatic cystic lesions. </w:t>
      </w:r>
      <w:r w:rsidRPr="008730C8">
        <w:rPr>
          <w:rFonts w:ascii="Book Antiqua" w:hAnsi="Book Antiqua" w:cs="Times New Roman"/>
          <w:i/>
          <w:kern w:val="2"/>
          <w:sz w:val="24"/>
          <w:szCs w:val="24"/>
          <w:lang w:val="en-US" w:eastAsia="zh-CN"/>
        </w:rPr>
        <w:t>Gastrointest Endosc</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86</w:t>
      </w:r>
      <w:r w:rsidRPr="008730C8">
        <w:rPr>
          <w:rFonts w:ascii="Book Antiqua" w:hAnsi="Book Antiqua" w:cs="Times New Roman"/>
          <w:kern w:val="2"/>
          <w:sz w:val="24"/>
          <w:szCs w:val="24"/>
          <w:lang w:val="en-US" w:eastAsia="zh-CN"/>
        </w:rPr>
        <w:t>: 208-218 [PMID: 28185905 DOI: 10.1016/j.gie.2017.01.038]</w:t>
      </w:r>
    </w:p>
    <w:p w14:paraId="74643455"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61 </w:t>
      </w:r>
      <w:r w:rsidRPr="008730C8">
        <w:rPr>
          <w:rFonts w:ascii="Book Antiqua" w:hAnsi="Book Antiqua" w:cs="Times New Roman"/>
          <w:b/>
          <w:kern w:val="2"/>
          <w:sz w:val="24"/>
          <w:szCs w:val="24"/>
          <w:lang w:val="en-US" w:eastAsia="zh-CN"/>
        </w:rPr>
        <w:t>Shakhatreh MH</w:t>
      </w:r>
      <w:r w:rsidRPr="008730C8">
        <w:rPr>
          <w:rFonts w:ascii="Book Antiqua" w:hAnsi="Book Antiqua" w:cs="Times New Roman"/>
          <w:kern w:val="2"/>
          <w:sz w:val="24"/>
          <w:szCs w:val="24"/>
          <w:lang w:val="en-US" w:eastAsia="zh-CN"/>
        </w:rPr>
        <w:t xml:space="preserve">, Naini SR, Brijbassie AA, Grider DJ, Shen P, Yeaton P. Use of a novel through-the-needle biopsy forceps in endoscopic ultrasound. </w:t>
      </w:r>
      <w:r w:rsidRPr="008730C8">
        <w:rPr>
          <w:rFonts w:ascii="Book Antiqua" w:hAnsi="Book Antiqua" w:cs="Times New Roman"/>
          <w:i/>
          <w:kern w:val="2"/>
          <w:sz w:val="24"/>
          <w:szCs w:val="24"/>
          <w:lang w:val="en-US" w:eastAsia="zh-CN"/>
        </w:rPr>
        <w:t>Endosc Int Open</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4</w:t>
      </w:r>
      <w:r w:rsidRPr="008730C8">
        <w:rPr>
          <w:rFonts w:ascii="Book Antiqua" w:hAnsi="Book Antiqua" w:cs="Times New Roman"/>
          <w:kern w:val="2"/>
          <w:sz w:val="24"/>
          <w:szCs w:val="24"/>
          <w:lang w:val="en-US" w:eastAsia="zh-CN"/>
        </w:rPr>
        <w:t>: E439-E442 [PMID: 27092324 DOI: 10.1055/s-0042-101941]</w:t>
      </w:r>
    </w:p>
    <w:p w14:paraId="4338A82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62 </w:t>
      </w:r>
      <w:r w:rsidRPr="008730C8">
        <w:rPr>
          <w:rFonts w:ascii="Book Antiqua" w:hAnsi="Book Antiqua" w:cs="Times New Roman"/>
          <w:b/>
          <w:kern w:val="2"/>
          <w:sz w:val="24"/>
          <w:szCs w:val="24"/>
          <w:lang w:val="en-US" w:eastAsia="zh-CN"/>
        </w:rPr>
        <w:t>Barresi L</w:t>
      </w:r>
      <w:r w:rsidRPr="008730C8">
        <w:rPr>
          <w:rFonts w:ascii="Book Antiqua" w:hAnsi="Book Antiqua" w:cs="Times New Roman"/>
          <w:kern w:val="2"/>
          <w:sz w:val="24"/>
          <w:szCs w:val="24"/>
          <w:lang w:val="en-US" w:eastAsia="zh-CN"/>
        </w:rPr>
        <w:t xml:space="preserve">, Tarantino I, Ligresti D, Curcio G, Granata A, Traina M. A new tissue acquisition technique in pancreatic cystic neoplasm: endoscopic ultrasound-guided through-the-needle forceps biopsy.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2015; </w:t>
      </w:r>
      <w:r w:rsidRPr="008730C8">
        <w:rPr>
          <w:rFonts w:ascii="Book Antiqua" w:hAnsi="Book Antiqua" w:cs="Times New Roman"/>
          <w:b/>
          <w:kern w:val="2"/>
          <w:sz w:val="24"/>
          <w:szCs w:val="24"/>
          <w:lang w:val="en-US" w:eastAsia="zh-CN"/>
        </w:rPr>
        <w:t xml:space="preserve">47 </w:t>
      </w:r>
      <w:r w:rsidRPr="008730C8">
        <w:rPr>
          <w:rFonts w:ascii="Book Antiqua" w:hAnsi="Book Antiqua" w:cs="Times New Roman"/>
          <w:kern w:val="2"/>
          <w:sz w:val="24"/>
          <w:szCs w:val="24"/>
          <w:lang w:val="en-US" w:eastAsia="zh-CN"/>
        </w:rPr>
        <w:t>Suppl 1: E297-E298 [PMID: 26099102 DOI: 10.1055/s-0034-1392031]</w:t>
      </w:r>
    </w:p>
    <w:p w14:paraId="6F96BF25"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63 </w:t>
      </w:r>
      <w:r w:rsidRPr="008730C8">
        <w:rPr>
          <w:rFonts w:ascii="Book Antiqua" w:hAnsi="Book Antiqua" w:cs="Times New Roman"/>
          <w:b/>
          <w:kern w:val="2"/>
          <w:sz w:val="24"/>
          <w:szCs w:val="24"/>
          <w:lang w:val="en-US" w:eastAsia="zh-CN"/>
        </w:rPr>
        <w:t>Pham KD</w:t>
      </w:r>
      <w:r w:rsidRPr="008730C8">
        <w:rPr>
          <w:rFonts w:ascii="Book Antiqua" w:hAnsi="Book Antiqua" w:cs="Times New Roman"/>
          <w:kern w:val="2"/>
          <w:sz w:val="24"/>
          <w:szCs w:val="24"/>
          <w:lang w:val="en-US" w:eastAsia="zh-CN"/>
        </w:rPr>
        <w:t xml:space="preserve">, Engjom T, Gjelberg Kollesete H, Helgeland L. Diagnosis of a mucinous pancreatic cyst and resection of an intracystic nodule using a novel through-the-needle micro forceps.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48</w:t>
      </w:r>
      <w:r w:rsidRPr="008730C8">
        <w:rPr>
          <w:rFonts w:ascii="Book Antiqua" w:hAnsi="Book Antiqua" w:cs="Times New Roman"/>
          <w:kern w:val="2"/>
          <w:sz w:val="24"/>
          <w:szCs w:val="24"/>
          <w:lang w:val="en-US" w:eastAsia="zh-CN"/>
        </w:rPr>
        <w:t xml:space="preserve"> Suppl 1: E125-E126 [PMID: 27031299 DOI: 10.1055/s-0042-105437]</w:t>
      </w:r>
    </w:p>
    <w:p w14:paraId="052FE163"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64 </w:t>
      </w:r>
      <w:r w:rsidRPr="008730C8">
        <w:rPr>
          <w:rFonts w:ascii="Book Antiqua" w:hAnsi="Book Antiqua" w:cs="Times New Roman"/>
          <w:b/>
          <w:kern w:val="2"/>
          <w:sz w:val="24"/>
          <w:szCs w:val="24"/>
          <w:lang w:val="en-US" w:eastAsia="zh-CN"/>
        </w:rPr>
        <w:t>Attili F</w:t>
      </w:r>
      <w:r w:rsidRPr="008730C8">
        <w:rPr>
          <w:rFonts w:ascii="Book Antiqua" w:hAnsi="Book Antiqua" w:cs="Times New Roman"/>
          <w:kern w:val="2"/>
          <w:sz w:val="24"/>
          <w:szCs w:val="24"/>
          <w:lang w:val="en-US" w:eastAsia="zh-CN"/>
        </w:rPr>
        <w:t>, Pagliari D, Rimba</w:t>
      </w:r>
      <w:r w:rsidRPr="008730C8">
        <w:rPr>
          <w:rFonts w:ascii="Times New Roman" w:hAnsi="Times New Roman" w:cs="Times New Roman"/>
          <w:kern w:val="2"/>
          <w:sz w:val="24"/>
          <w:szCs w:val="24"/>
          <w:lang w:val="en-US" w:eastAsia="zh-CN"/>
        </w:rPr>
        <w:t>ș</w:t>
      </w:r>
      <w:r w:rsidRPr="008730C8">
        <w:rPr>
          <w:rFonts w:ascii="Book Antiqua" w:hAnsi="Book Antiqua" w:cs="Times New Roman"/>
          <w:kern w:val="2"/>
          <w:sz w:val="24"/>
          <w:szCs w:val="24"/>
          <w:lang w:val="en-US" w:eastAsia="zh-CN"/>
        </w:rPr>
        <w:t xml:space="preserve"> M, Inzani F, Brizi MG, Costamagna G, Larghi A. Endoscopic ultrasound-guided histological diagnosis of a mucinous non-neoplastic pancreatic cyst using a specially designed through-the-needle microforceps.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 xml:space="preserve">48 </w:t>
      </w:r>
      <w:r w:rsidRPr="008730C8">
        <w:rPr>
          <w:rFonts w:ascii="Book Antiqua" w:hAnsi="Book Antiqua" w:cs="Times New Roman"/>
          <w:kern w:val="2"/>
          <w:sz w:val="24"/>
          <w:szCs w:val="24"/>
          <w:lang w:val="en-US" w:eastAsia="zh-CN"/>
        </w:rPr>
        <w:t>Suppl 1: E188-E189 [PMID: 27213974 DOI: 10.1055/s-0042-108194]</w:t>
      </w:r>
    </w:p>
    <w:p w14:paraId="18E63882"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65 </w:t>
      </w:r>
      <w:r w:rsidRPr="008730C8">
        <w:rPr>
          <w:rFonts w:ascii="Book Antiqua" w:hAnsi="Book Antiqua" w:cs="Times New Roman"/>
          <w:b/>
          <w:kern w:val="2"/>
          <w:sz w:val="24"/>
          <w:szCs w:val="24"/>
          <w:lang w:val="en-US" w:eastAsia="zh-CN"/>
        </w:rPr>
        <w:t>Huelsen A</w:t>
      </w:r>
      <w:r w:rsidRPr="008730C8">
        <w:rPr>
          <w:rFonts w:ascii="Book Antiqua" w:hAnsi="Book Antiqua" w:cs="Times New Roman"/>
          <w:kern w:val="2"/>
          <w:sz w:val="24"/>
          <w:szCs w:val="24"/>
          <w:lang w:val="en-US" w:eastAsia="zh-CN"/>
        </w:rPr>
        <w:t xml:space="preserve">, Cooper C, Saad N, Gupta S. Endoscopic ultrasound-guided, through-the-needle forceps biopsy in the assessment of an incidental large pancreatic cystic lesion with prior inconclusive fine-needle aspiration.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49</w:t>
      </w:r>
      <w:r w:rsidRPr="008730C8">
        <w:rPr>
          <w:rFonts w:ascii="Book Antiqua" w:hAnsi="Book Antiqua" w:cs="Times New Roman"/>
          <w:kern w:val="2"/>
          <w:sz w:val="24"/>
          <w:szCs w:val="24"/>
          <w:lang w:val="en-US" w:eastAsia="zh-CN"/>
        </w:rPr>
        <w:t>: E109-E110 [PMID: 28192812 DOI: 10.1055/s-0043-100217]</w:t>
      </w:r>
    </w:p>
    <w:p w14:paraId="531286C7"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66 </w:t>
      </w:r>
      <w:r w:rsidRPr="008730C8">
        <w:rPr>
          <w:rFonts w:ascii="Book Antiqua" w:hAnsi="Book Antiqua" w:cs="Times New Roman"/>
          <w:b/>
          <w:kern w:val="2"/>
          <w:sz w:val="24"/>
          <w:szCs w:val="24"/>
          <w:lang w:val="en-US" w:eastAsia="zh-CN"/>
        </w:rPr>
        <w:t>Jais B</w:t>
      </w:r>
      <w:r w:rsidRPr="008730C8">
        <w:rPr>
          <w:rFonts w:ascii="Book Antiqua" w:hAnsi="Book Antiqua" w:cs="Times New Roman"/>
          <w:kern w:val="2"/>
          <w:sz w:val="24"/>
          <w:szCs w:val="24"/>
          <w:lang w:val="en-US" w:eastAsia="zh-CN"/>
        </w:rPr>
        <w:t xml:space="preserve">, Rebours V, Malleo G, Salvia R, Fontana M, Maggino L, Bassi C, Manfredi R, Moran R, Lennon AM, Zaheer A, Wolfgang C, Hruban R, </w:t>
      </w:r>
      <w:r w:rsidRPr="008730C8">
        <w:rPr>
          <w:rFonts w:ascii="Book Antiqua" w:hAnsi="Book Antiqua" w:cs="Times New Roman"/>
          <w:kern w:val="2"/>
          <w:sz w:val="24"/>
          <w:szCs w:val="24"/>
          <w:lang w:val="en-US" w:eastAsia="zh-CN"/>
        </w:rPr>
        <w:lastRenderedPageBreak/>
        <w:t xml:space="preserve">Marchegiani G, Fernández Del Castillo C, Brugge W, Ha Y, Kim MH, Oh D, Hirai I, Kimura W, Jang JY, Kim SW, Jung W, Kang H, Song SY, Kang CM, Lee WJ, Crippa S, Falconi M, Gomatos I, Neoptolemos J, Milanetto AC, Sperti C, Ricci C, Casadei R, Bissolati M, Balzano G, Frigerio I, Girelli R, Delhaye M, Bernier B, Wang H, Jang KT, Song DH, Huggett MT, Oppong KW, Pererva L, Kopchak KV, Del Chiaro M, Segersvard R, Lee LS, Conwell D, Osvaldt A, Campos V, Aguero Garcete G, Napoleon B, Matsumoto I, Shinzeki M, Bolado F, Fernandez JM, Keane MG, Pereira SP, Acuna IA, Vaquero EC, Angiolini MR, Zerbi A, Tang J, Leong RW, Faccinetto A, Morana G, Petrone MC, Arcidiacono PG, Moon JH, Choi HJ, Gill RS, Pavey D, Ouaïssi M, Sastre B, Spandre M, De Angelis CG, Rios-Vives MA, Concepcion-Martin M, Ikeura T, Okazaki K, Frulloni L, Messina O, Lévy P. Serous cystic neoplasm of the pancreas: a multinational study of 2622 patients under the auspices of the International Association of Pancreatology and European Pancreatic Club (European Study Group on Cystic Tumors of the Pancreas). </w:t>
      </w:r>
      <w:r w:rsidRPr="008730C8">
        <w:rPr>
          <w:rFonts w:ascii="Book Antiqua" w:hAnsi="Book Antiqua" w:cs="Times New Roman"/>
          <w:i/>
          <w:kern w:val="2"/>
          <w:sz w:val="24"/>
          <w:szCs w:val="24"/>
          <w:lang w:val="en-US" w:eastAsia="zh-CN"/>
        </w:rPr>
        <w:t>Gut</w:t>
      </w:r>
      <w:r w:rsidRPr="008730C8">
        <w:rPr>
          <w:rFonts w:ascii="Book Antiqua" w:hAnsi="Book Antiqua" w:cs="Times New Roman"/>
          <w:kern w:val="2"/>
          <w:sz w:val="24"/>
          <w:szCs w:val="24"/>
          <w:lang w:val="en-US" w:eastAsia="zh-CN"/>
        </w:rPr>
        <w:t xml:space="preserve"> 2016; </w:t>
      </w:r>
      <w:r w:rsidRPr="008730C8">
        <w:rPr>
          <w:rFonts w:ascii="Book Antiqua" w:hAnsi="Book Antiqua" w:cs="Times New Roman"/>
          <w:b/>
          <w:kern w:val="2"/>
          <w:sz w:val="24"/>
          <w:szCs w:val="24"/>
          <w:lang w:val="en-US" w:eastAsia="zh-CN"/>
        </w:rPr>
        <w:t>65</w:t>
      </w:r>
      <w:r w:rsidRPr="008730C8">
        <w:rPr>
          <w:rFonts w:ascii="Book Antiqua" w:hAnsi="Book Antiqua" w:cs="Times New Roman"/>
          <w:kern w:val="2"/>
          <w:sz w:val="24"/>
          <w:szCs w:val="24"/>
          <w:lang w:val="en-US" w:eastAsia="zh-CN"/>
        </w:rPr>
        <w:t>: 305-312 [PMID: 26045140 DOI: 10.1136/gutjnl-2015-309638]</w:t>
      </w:r>
    </w:p>
    <w:p w14:paraId="08C958F0"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67 </w:t>
      </w:r>
      <w:r w:rsidRPr="008730C8">
        <w:rPr>
          <w:rFonts w:ascii="Book Antiqua" w:hAnsi="Book Antiqua" w:cs="Times New Roman"/>
          <w:b/>
          <w:kern w:val="2"/>
          <w:sz w:val="24"/>
          <w:szCs w:val="24"/>
          <w:lang w:val="en-US" w:eastAsia="zh-CN"/>
        </w:rPr>
        <w:t>Kitano M</w:t>
      </w:r>
      <w:r w:rsidRPr="008730C8">
        <w:rPr>
          <w:rFonts w:ascii="Book Antiqua" w:hAnsi="Book Antiqua" w:cs="Times New Roman"/>
          <w:kern w:val="2"/>
          <w:sz w:val="24"/>
          <w:szCs w:val="24"/>
          <w:lang w:val="en-US" w:eastAsia="zh-CN"/>
        </w:rPr>
        <w:t xml:space="preserve">, Kudo M, Yamao K, Takagi T, Sakamoto H, Komaki T, Kamata K, Imai H, Chiba Y, Okada M, Murakami T, Takeyama Y. Characterization of small solid tumors in the pancreas: the value of contrast-enhanced harmonic endoscopic ultrasonography. </w:t>
      </w:r>
      <w:r w:rsidRPr="008730C8">
        <w:rPr>
          <w:rFonts w:ascii="Book Antiqua" w:hAnsi="Book Antiqua" w:cs="Times New Roman"/>
          <w:i/>
          <w:kern w:val="2"/>
          <w:sz w:val="24"/>
          <w:szCs w:val="24"/>
          <w:lang w:val="en-US" w:eastAsia="zh-CN"/>
        </w:rPr>
        <w:t>Am J Gastroenterol</w:t>
      </w:r>
      <w:r w:rsidRPr="008730C8">
        <w:rPr>
          <w:rFonts w:ascii="Book Antiqua" w:hAnsi="Book Antiqua" w:cs="Times New Roman"/>
          <w:kern w:val="2"/>
          <w:sz w:val="24"/>
          <w:szCs w:val="24"/>
          <w:lang w:val="en-US" w:eastAsia="zh-CN"/>
        </w:rPr>
        <w:t xml:space="preserve"> 2012; </w:t>
      </w:r>
      <w:r w:rsidRPr="008730C8">
        <w:rPr>
          <w:rFonts w:ascii="Book Antiqua" w:hAnsi="Book Antiqua" w:cs="Times New Roman"/>
          <w:b/>
          <w:kern w:val="2"/>
          <w:sz w:val="24"/>
          <w:szCs w:val="24"/>
          <w:lang w:val="en-US" w:eastAsia="zh-CN"/>
        </w:rPr>
        <w:t>107</w:t>
      </w:r>
      <w:r w:rsidRPr="008730C8">
        <w:rPr>
          <w:rFonts w:ascii="Book Antiqua" w:hAnsi="Book Antiqua" w:cs="Times New Roman"/>
          <w:kern w:val="2"/>
          <w:sz w:val="24"/>
          <w:szCs w:val="24"/>
          <w:lang w:val="en-US" w:eastAsia="zh-CN"/>
        </w:rPr>
        <w:t>: 303-310 [PMID: 22008892 DOI: 10.1038/ajg.2011.354]</w:t>
      </w:r>
    </w:p>
    <w:p w14:paraId="2F659E18"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68 </w:t>
      </w:r>
      <w:r w:rsidRPr="008730C8">
        <w:rPr>
          <w:rFonts w:ascii="Book Antiqua" w:hAnsi="Book Antiqua" w:cs="Times New Roman"/>
          <w:b/>
          <w:kern w:val="2"/>
          <w:sz w:val="24"/>
          <w:szCs w:val="24"/>
          <w:lang w:val="en-US" w:eastAsia="zh-CN"/>
        </w:rPr>
        <w:t>Napoleon B</w:t>
      </w:r>
      <w:r w:rsidRPr="008730C8">
        <w:rPr>
          <w:rFonts w:ascii="Book Antiqua" w:hAnsi="Book Antiqua" w:cs="Times New Roman"/>
          <w:kern w:val="2"/>
          <w:sz w:val="24"/>
          <w:szCs w:val="24"/>
          <w:lang w:val="en-US" w:eastAsia="zh-CN"/>
        </w:rPr>
        <w:t xml:space="preserve">, Alvarez-Sanchez MV, Gincoul R, Pujol B, Lefort C, Lepilliez V, Labadie M, Souquet JC, Queneau PE, Scoazec JY, Chayvialle JA, Ponchon T. Contrast-enhanced harmonic endoscopic ultrasound in solid lesions of the pancreas: results of a pilot study.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2010; </w:t>
      </w:r>
      <w:r w:rsidRPr="008730C8">
        <w:rPr>
          <w:rFonts w:ascii="Book Antiqua" w:hAnsi="Book Antiqua" w:cs="Times New Roman"/>
          <w:b/>
          <w:kern w:val="2"/>
          <w:sz w:val="24"/>
          <w:szCs w:val="24"/>
          <w:lang w:val="en-US" w:eastAsia="zh-CN"/>
        </w:rPr>
        <w:t>42</w:t>
      </w:r>
      <w:r w:rsidRPr="008730C8">
        <w:rPr>
          <w:rFonts w:ascii="Book Antiqua" w:hAnsi="Book Antiqua" w:cs="Times New Roman"/>
          <w:kern w:val="2"/>
          <w:sz w:val="24"/>
          <w:szCs w:val="24"/>
          <w:lang w:val="en-US" w:eastAsia="zh-CN"/>
        </w:rPr>
        <w:t>: 564-570 [PMID: 20593334 DOI: 10.1055/s-0030-1255537]</w:t>
      </w:r>
    </w:p>
    <w:p w14:paraId="686ECD51"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69 </w:t>
      </w:r>
      <w:r w:rsidRPr="008730C8">
        <w:rPr>
          <w:rFonts w:ascii="Book Antiqua" w:hAnsi="Book Antiqua" w:cs="Times New Roman"/>
          <w:b/>
          <w:kern w:val="2"/>
          <w:sz w:val="24"/>
          <w:szCs w:val="24"/>
          <w:lang w:val="en-US" w:eastAsia="zh-CN"/>
        </w:rPr>
        <w:t>Gincul R</w:t>
      </w:r>
      <w:r w:rsidRPr="008730C8">
        <w:rPr>
          <w:rFonts w:ascii="Book Antiqua" w:hAnsi="Book Antiqua" w:cs="Times New Roman"/>
          <w:kern w:val="2"/>
          <w:sz w:val="24"/>
          <w:szCs w:val="24"/>
          <w:lang w:val="en-US" w:eastAsia="zh-CN"/>
        </w:rPr>
        <w:t xml:space="preserve">, Palazzo M, Pujol B, Tubach F, Palazzo L, Lefort C, Fumex F, Lombard A, Ribeiro D, Fabre M, Hervieu V, Labadie M, Ponchon T, Napoléon B. Contrast-harmonic endoscopic ultrasound for the diagnosis of pancreatic adenocarcinoma: a prospective multicenter trial.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2014; </w:t>
      </w:r>
      <w:r w:rsidRPr="008730C8">
        <w:rPr>
          <w:rFonts w:ascii="Book Antiqua" w:hAnsi="Book Antiqua" w:cs="Times New Roman"/>
          <w:b/>
          <w:kern w:val="2"/>
          <w:sz w:val="24"/>
          <w:szCs w:val="24"/>
          <w:lang w:val="en-US" w:eastAsia="zh-CN"/>
        </w:rPr>
        <w:t>46</w:t>
      </w:r>
      <w:r w:rsidRPr="008730C8">
        <w:rPr>
          <w:rFonts w:ascii="Book Antiqua" w:hAnsi="Book Antiqua" w:cs="Times New Roman"/>
          <w:kern w:val="2"/>
          <w:sz w:val="24"/>
          <w:szCs w:val="24"/>
          <w:lang w:val="en-US" w:eastAsia="zh-CN"/>
        </w:rPr>
        <w:t>: 373-379 [PMID: 24532350 DOI: 10.1055/s-0034-1364969]</w:t>
      </w:r>
    </w:p>
    <w:p w14:paraId="7DC78B0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lastRenderedPageBreak/>
        <w:t xml:space="preserve">70 </w:t>
      </w:r>
      <w:r w:rsidRPr="008730C8">
        <w:rPr>
          <w:rFonts w:ascii="Book Antiqua" w:hAnsi="Book Antiqua" w:cs="Times New Roman"/>
          <w:b/>
          <w:kern w:val="2"/>
          <w:sz w:val="24"/>
          <w:szCs w:val="24"/>
          <w:lang w:val="en-US" w:eastAsia="zh-CN"/>
        </w:rPr>
        <w:t>Omoto S</w:t>
      </w:r>
      <w:r w:rsidRPr="008730C8">
        <w:rPr>
          <w:rFonts w:ascii="Book Antiqua" w:hAnsi="Book Antiqua" w:cs="Times New Roman"/>
          <w:kern w:val="2"/>
          <w:sz w:val="24"/>
          <w:szCs w:val="24"/>
          <w:lang w:val="en-US" w:eastAsia="zh-CN"/>
        </w:rPr>
        <w:t xml:space="preserve">, Takenaka M, Kitano M, Miyata T, Kamata K, Minaga K, Arizumi T, Yamao K, Imai H, Sakamoto H, Harwani Y, Sakurai T, Watanabe T, Nishida N, Takeyama Y, Chiba Y, Kudo M. Characterization of Pancreatic Tumors with Quantitative Perfusion Analysis in Contrast-Enhanced Harmonic Endoscopic Ultrasonography. </w:t>
      </w:r>
      <w:r w:rsidRPr="008730C8">
        <w:rPr>
          <w:rFonts w:ascii="Book Antiqua" w:hAnsi="Book Antiqua" w:cs="Times New Roman"/>
          <w:i/>
          <w:kern w:val="2"/>
          <w:sz w:val="24"/>
          <w:szCs w:val="24"/>
          <w:lang w:val="en-US" w:eastAsia="zh-CN"/>
        </w:rPr>
        <w:t>Oncology</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93</w:t>
      </w:r>
      <w:r w:rsidRPr="008730C8">
        <w:rPr>
          <w:rFonts w:ascii="Book Antiqua" w:hAnsi="Book Antiqua" w:cs="Times New Roman"/>
          <w:kern w:val="2"/>
          <w:sz w:val="24"/>
          <w:szCs w:val="24"/>
          <w:lang w:val="en-US" w:eastAsia="zh-CN"/>
        </w:rPr>
        <w:t xml:space="preserve"> Suppl 1: 55-60 [PMID: 29258065 DOI: 10.1159/000481231]</w:t>
      </w:r>
    </w:p>
    <w:p w14:paraId="6B2D1C8D"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71 </w:t>
      </w:r>
      <w:r w:rsidRPr="008730C8">
        <w:rPr>
          <w:rFonts w:ascii="Book Antiqua" w:hAnsi="Book Antiqua" w:cs="Times New Roman"/>
          <w:b/>
          <w:kern w:val="2"/>
          <w:sz w:val="24"/>
          <w:szCs w:val="24"/>
          <w:lang w:val="en-US" w:eastAsia="zh-CN"/>
        </w:rPr>
        <w:t>Tachezy M</w:t>
      </w:r>
      <w:r w:rsidRPr="008730C8">
        <w:rPr>
          <w:rFonts w:ascii="Book Antiqua" w:hAnsi="Book Antiqua" w:cs="Times New Roman"/>
          <w:kern w:val="2"/>
          <w:sz w:val="24"/>
          <w:szCs w:val="24"/>
          <w:lang w:val="en-US" w:eastAsia="zh-CN"/>
        </w:rPr>
        <w:t xml:space="preserve">, Reichelt U, Melenberg T, Gebauer F, Izbicki JR, Kaifi JT. Angiogenesis index CD105 (endoglin)/CD31 (PECAM-1) as a predictive factor for invasion and proliferation in intraductal papillary mucinous neoplasm (IPMN) of the pancreas. </w:t>
      </w:r>
      <w:r w:rsidRPr="008730C8">
        <w:rPr>
          <w:rFonts w:ascii="Book Antiqua" w:hAnsi="Book Antiqua" w:cs="Times New Roman"/>
          <w:i/>
          <w:kern w:val="2"/>
          <w:sz w:val="24"/>
          <w:szCs w:val="24"/>
          <w:lang w:val="en-US" w:eastAsia="zh-CN"/>
        </w:rPr>
        <w:t>Histol Histopathol</w:t>
      </w:r>
      <w:r w:rsidRPr="008730C8">
        <w:rPr>
          <w:rFonts w:ascii="Book Antiqua" w:hAnsi="Book Antiqua" w:cs="Times New Roman"/>
          <w:kern w:val="2"/>
          <w:sz w:val="24"/>
          <w:szCs w:val="24"/>
          <w:lang w:val="en-US" w:eastAsia="zh-CN"/>
        </w:rPr>
        <w:t xml:space="preserve"> 2010; </w:t>
      </w:r>
      <w:r w:rsidRPr="008730C8">
        <w:rPr>
          <w:rFonts w:ascii="Book Antiqua" w:hAnsi="Book Antiqua" w:cs="Times New Roman"/>
          <w:b/>
          <w:kern w:val="2"/>
          <w:sz w:val="24"/>
          <w:szCs w:val="24"/>
          <w:lang w:val="en-US" w:eastAsia="zh-CN"/>
        </w:rPr>
        <w:t>25</w:t>
      </w:r>
      <w:r w:rsidRPr="008730C8">
        <w:rPr>
          <w:rFonts w:ascii="Book Antiqua" w:hAnsi="Book Antiqua" w:cs="Times New Roman"/>
          <w:kern w:val="2"/>
          <w:sz w:val="24"/>
          <w:szCs w:val="24"/>
          <w:lang w:val="en-US" w:eastAsia="zh-CN"/>
        </w:rPr>
        <w:t>: 1239-1246 [PMID: 20712008 DOI: 10.14670/HH-25.1239]</w:t>
      </w:r>
    </w:p>
    <w:p w14:paraId="3CAD300E"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72 </w:t>
      </w:r>
      <w:r w:rsidRPr="008730C8">
        <w:rPr>
          <w:rFonts w:ascii="Book Antiqua" w:hAnsi="Book Antiqua" w:cs="Times New Roman"/>
          <w:b/>
          <w:kern w:val="2"/>
          <w:sz w:val="24"/>
          <w:szCs w:val="24"/>
          <w:lang w:val="en-US" w:eastAsia="zh-CN"/>
        </w:rPr>
        <w:t>Main ML</w:t>
      </w:r>
      <w:r w:rsidRPr="008730C8">
        <w:rPr>
          <w:rFonts w:ascii="Book Antiqua" w:hAnsi="Book Antiqua" w:cs="Times New Roman"/>
          <w:kern w:val="2"/>
          <w:sz w:val="24"/>
          <w:szCs w:val="24"/>
          <w:lang w:val="en-US" w:eastAsia="zh-CN"/>
        </w:rPr>
        <w:t xml:space="preserve">. Ultrasound contrast agent safety: from anecdote to evidence. </w:t>
      </w:r>
      <w:r w:rsidRPr="008730C8">
        <w:rPr>
          <w:rFonts w:ascii="Book Antiqua" w:hAnsi="Book Antiqua" w:cs="Times New Roman"/>
          <w:i/>
          <w:kern w:val="2"/>
          <w:sz w:val="24"/>
          <w:szCs w:val="24"/>
          <w:lang w:val="en-US" w:eastAsia="zh-CN"/>
        </w:rPr>
        <w:t>JACC Cardiovasc Imaging</w:t>
      </w:r>
      <w:r w:rsidRPr="008730C8">
        <w:rPr>
          <w:rFonts w:ascii="Book Antiqua" w:hAnsi="Book Antiqua" w:cs="Times New Roman"/>
          <w:kern w:val="2"/>
          <w:sz w:val="24"/>
          <w:szCs w:val="24"/>
          <w:lang w:val="en-US" w:eastAsia="zh-CN"/>
        </w:rPr>
        <w:t xml:space="preserve"> 2009; </w:t>
      </w:r>
      <w:r w:rsidRPr="008730C8">
        <w:rPr>
          <w:rFonts w:ascii="Book Antiqua" w:hAnsi="Book Antiqua" w:cs="Times New Roman"/>
          <w:b/>
          <w:kern w:val="2"/>
          <w:sz w:val="24"/>
          <w:szCs w:val="24"/>
          <w:lang w:val="en-US" w:eastAsia="zh-CN"/>
        </w:rPr>
        <w:t>2</w:t>
      </w:r>
      <w:r w:rsidRPr="008730C8">
        <w:rPr>
          <w:rFonts w:ascii="Book Antiqua" w:hAnsi="Book Antiqua" w:cs="Times New Roman"/>
          <w:kern w:val="2"/>
          <w:sz w:val="24"/>
          <w:szCs w:val="24"/>
          <w:lang w:val="en-US" w:eastAsia="zh-CN"/>
        </w:rPr>
        <w:t>: 1057-1059 [PMID: 19761982 DOI: 10.1016/j.jcmg.2009.05.008]</w:t>
      </w:r>
    </w:p>
    <w:p w14:paraId="5B19530A"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73 </w:t>
      </w:r>
      <w:r w:rsidRPr="008730C8">
        <w:rPr>
          <w:rFonts w:ascii="Book Antiqua" w:hAnsi="Book Antiqua" w:cs="Times New Roman"/>
          <w:b/>
          <w:kern w:val="2"/>
          <w:sz w:val="24"/>
          <w:szCs w:val="24"/>
          <w:lang w:val="en-US" w:eastAsia="zh-CN"/>
        </w:rPr>
        <w:t>Szebeni J</w:t>
      </w:r>
      <w:r w:rsidRPr="008730C8">
        <w:rPr>
          <w:rFonts w:ascii="Book Antiqua" w:hAnsi="Book Antiqua" w:cs="Times New Roman"/>
          <w:kern w:val="2"/>
          <w:sz w:val="24"/>
          <w:szCs w:val="24"/>
          <w:lang w:val="en-US" w:eastAsia="zh-CN"/>
        </w:rPr>
        <w:t xml:space="preserve">. Complement activation-related pseudoallergy: a new class of drug-induced acute immune toxicity. </w:t>
      </w:r>
      <w:r w:rsidRPr="008730C8">
        <w:rPr>
          <w:rFonts w:ascii="Book Antiqua" w:hAnsi="Book Antiqua" w:cs="Times New Roman"/>
          <w:i/>
          <w:kern w:val="2"/>
          <w:sz w:val="24"/>
          <w:szCs w:val="24"/>
          <w:lang w:val="en-US" w:eastAsia="zh-CN"/>
        </w:rPr>
        <w:t>Toxicology</w:t>
      </w:r>
      <w:r w:rsidRPr="008730C8">
        <w:rPr>
          <w:rFonts w:ascii="Book Antiqua" w:hAnsi="Book Antiqua" w:cs="Times New Roman"/>
          <w:kern w:val="2"/>
          <w:sz w:val="24"/>
          <w:szCs w:val="24"/>
          <w:lang w:val="en-US" w:eastAsia="zh-CN"/>
        </w:rPr>
        <w:t xml:space="preserve"> 2005; </w:t>
      </w:r>
      <w:r w:rsidRPr="008730C8">
        <w:rPr>
          <w:rFonts w:ascii="Book Antiqua" w:hAnsi="Book Antiqua" w:cs="Times New Roman"/>
          <w:b/>
          <w:kern w:val="2"/>
          <w:sz w:val="24"/>
          <w:szCs w:val="24"/>
          <w:lang w:val="en-US" w:eastAsia="zh-CN"/>
        </w:rPr>
        <w:t>216</w:t>
      </w:r>
      <w:r w:rsidRPr="008730C8">
        <w:rPr>
          <w:rFonts w:ascii="Book Antiqua" w:hAnsi="Book Antiqua" w:cs="Times New Roman"/>
          <w:kern w:val="2"/>
          <w:sz w:val="24"/>
          <w:szCs w:val="24"/>
          <w:lang w:val="en-US" w:eastAsia="zh-CN"/>
        </w:rPr>
        <w:t>: 106-121 [PMID: 16140450 DOI: 10.1016/j.tox.2005.07.023]</w:t>
      </w:r>
    </w:p>
    <w:p w14:paraId="75938B2F"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74 </w:t>
      </w:r>
      <w:r w:rsidRPr="008730C8">
        <w:rPr>
          <w:rFonts w:ascii="Book Antiqua" w:hAnsi="Book Antiqua" w:cs="Times New Roman"/>
          <w:b/>
          <w:kern w:val="2"/>
          <w:sz w:val="24"/>
          <w:szCs w:val="24"/>
          <w:lang w:val="en-US" w:eastAsia="zh-CN"/>
        </w:rPr>
        <w:t>Piscaglia F</w:t>
      </w:r>
      <w:r w:rsidRPr="008730C8">
        <w:rPr>
          <w:rFonts w:ascii="Book Antiqua" w:hAnsi="Book Antiqua" w:cs="Times New Roman"/>
          <w:kern w:val="2"/>
          <w:sz w:val="24"/>
          <w:szCs w:val="24"/>
          <w:lang w:val="en-US" w:eastAsia="zh-CN"/>
        </w:rPr>
        <w:t xml:space="preserve">, Bolondi L; Italian Society for Ultrasound in Medicine and Biology (SIUMB) Study Group on Ultrasound Contrast Agents. The safety of Sonovue in abdominal applications: retrospective analysis of 23188 investigations. </w:t>
      </w:r>
      <w:r w:rsidRPr="008730C8">
        <w:rPr>
          <w:rFonts w:ascii="Book Antiqua" w:hAnsi="Book Antiqua" w:cs="Times New Roman"/>
          <w:i/>
          <w:kern w:val="2"/>
          <w:sz w:val="24"/>
          <w:szCs w:val="24"/>
          <w:lang w:val="en-US" w:eastAsia="zh-CN"/>
        </w:rPr>
        <w:t>Ultrasound Med Biol</w:t>
      </w:r>
      <w:r w:rsidRPr="008730C8">
        <w:rPr>
          <w:rFonts w:ascii="Book Antiqua" w:hAnsi="Book Antiqua" w:cs="Times New Roman"/>
          <w:kern w:val="2"/>
          <w:sz w:val="24"/>
          <w:szCs w:val="24"/>
          <w:lang w:val="en-US" w:eastAsia="zh-CN"/>
        </w:rPr>
        <w:t xml:space="preserve"> 2006; </w:t>
      </w:r>
      <w:r w:rsidRPr="008730C8">
        <w:rPr>
          <w:rFonts w:ascii="Book Antiqua" w:hAnsi="Book Antiqua" w:cs="Times New Roman"/>
          <w:b/>
          <w:kern w:val="2"/>
          <w:sz w:val="24"/>
          <w:szCs w:val="24"/>
          <w:lang w:val="en-US" w:eastAsia="zh-CN"/>
        </w:rPr>
        <w:t>32</w:t>
      </w:r>
      <w:r w:rsidRPr="008730C8">
        <w:rPr>
          <w:rFonts w:ascii="Book Antiqua" w:hAnsi="Book Antiqua" w:cs="Times New Roman"/>
          <w:kern w:val="2"/>
          <w:sz w:val="24"/>
          <w:szCs w:val="24"/>
          <w:lang w:val="en-US" w:eastAsia="zh-CN"/>
        </w:rPr>
        <w:t>: 1369-1375 [PMID: 16965977 DOI: 10.1016/j.ultrasmedbio.2006.05.031]</w:t>
      </w:r>
    </w:p>
    <w:p w14:paraId="384F8123"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75 </w:t>
      </w:r>
      <w:r w:rsidRPr="008730C8">
        <w:rPr>
          <w:rFonts w:ascii="Book Antiqua" w:hAnsi="Book Antiqua" w:cs="Times New Roman"/>
          <w:b/>
          <w:kern w:val="2"/>
          <w:sz w:val="24"/>
          <w:szCs w:val="24"/>
          <w:lang w:val="en-US" w:eastAsia="zh-CN"/>
        </w:rPr>
        <w:t>de Jong K</w:t>
      </w:r>
      <w:r w:rsidRPr="008730C8">
        <w:rPr>
          <w:rFonts w:ascii="Book Antiqua" w:hAnsi="Book Antiqua" w:cs="Times New Roman"/>
          <w:kern w:val="2"/>
          <w:sz w:val="24"/>
          <w:szCs w:val="24"/>
          <w:lang w:val="en-US" w:eastAsia="zh-CN"/>
        </w:rPr>
        <w:t xml:space="preserve">, Poley JW, van Hooft JE, Visser M, Bruno MJ, Fockens P. Endoscopic ultrasound-guided fine-needle aspiration of pancreatic cystic lesions provides inadequate material for cytology and laboratory analysis: initial results from a prospective study. </w:t>
      </w:r>
      <w:r w:rsidRPr="008730C8">
        <w:rPr>
          <w:rFonts w:ascii="Book Antiqua" w:hAnsi="Book Antiqua" w:cs="Times New Roman"/>
          <w:i/>
          <w:kern w:val="2"/>
          <w:sz w:val="24"/>
          <w:szCs w:val="24"/>
          <w:lang w:val="en-US" w:eastAsia="zh-CN"/>
        </w:rPr>
        <w:t>Endoscopy</w:t>
      </w:r>
      <w:r w:rsidRPr="008730C8">
        <w:rPr>
          <w:rFonts w:ascii="Book Antiqua" w:hAnsi="Book Antiqua" w:cs="Times New Roman"/>
          <w:kern w:val="2"/>
          <w:sz w:val="24"/>
          <w:szCs w:val="24"/>
          <w:lang w:val="en-US" w:eastAsia="zh-CN"/>
        </w:rPr>
        <w:t xml:space="preserve"> 2011; </w:t>
      </w:r>
      <w:r w:rsidRPr="008730C8">
        <w:rPr>
          <w:rFonts w:ascii="Book Antiqua" w:hAnsi="Book Antiqua" w:cs="Times New Roman"/>
          <w:b/>
          <w:kern w:val="2"/>
          <w:sz w:val="24"/>
          <w:szCs w:val="24"/>
          <w:lang w:val="en-US" w:eastAsia="zh-CN"/>
        </w:rPr>
        <w:t>43</w:t>
      </w:r>
      <w:r w:rsidRPr="008730C8">
        <w:rPr>
          <w:rFonts w:ascii="Book Antiqua" w:hAnsi="Book Antiqua" w:cs="Times New Roman"/>
          <w:kern w:val="2"/>
          <w:sz w:val="24"/>
          <w:szCs w:val="24"/>
          <w:lang w:val="en-US" w:eastAsia="zh-CN"/>
        </w:rPr>
        <w:t>: 585-590 [PMID: 21611945 DOI: 10.1055/s-0030-1256440]</w:t>
      </w:r>
    </w:p>
    <w:p w14:paraId="5D19E751"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76 </w:t>
      </w:r>
      <w:r w:rsidRPr="008730C8">
        <w:rPr>
          <w:rFonts w:ascii="Book Antiqua" w:hAnsi="Book Antiqua" w:cs="Times New Roman"/>
          <w:b/>
          <w:kern w:val="2"/>
          <w:sz w:val="24"/>
          <w:szCs w:val="24"/>
          <w:lang w:val="en-US" w:eastAsia="zh-CN"/>
        </w:rPr>
        <w:t>Yannuzzi LA</w:t>
      </w:r>
      <w:r w:rsidRPr="008730C8">
        <w:rPr>
          <w:rFonts w:ascii="Book Antiqua" w:hAnsi="Book Antiqua" w:cs="Times New Roman"/>
          <w:kern w:val="2"/>
          <w:sz w:val="24"/>
          <w:szCs w:val="24"/>
          <w:lang w:val="en-US" w:eastAsia="zh-CN"/>
        </w:rPr>
        <w:t xml:space="preserve">, Rohrer KT, Tindel LJ, Sobel RS, Costanza MA, Shields W, Zang E. Fluorescein angiography complication survey. </w:t>
      </w:r>
      <w:r w:rsidRPr="008730C8">
        <w:rPr>
          <w:rFonts w:ascii="Book Antiqua" w:hAnsi="Book Antiqua" w:cs="Times New Roman"/>
          <w:i/>
          <w:kern w:val="2"/>
          <w:sz w:val="24"/>
          <w:szCs w:val="24"/>
          <w:lang w:val="en-US" w:eastAsia="zh-CN"/>
        </w:rPr>
        <w:t>Ophthalmology</w:t>
      </w:r>
      <w:r w:rsidRPr="008730C8">
        <w:rPr>
          <w:rFonts w:ascii="Book Antiqua" w:hAnsi="Book Antiqua" w:cs="Times New Roman"/>
          <w:kern w:val="2"/>
          <w:sz w:val="24"/>
          <w:szCs w:val="24"/>
          <w:lang w:val="en-US" w:eastAsia="zh-CN"/>
        </w:rPr>
        <w:t xml:space="preserve"> 1986; </w:t>
      </w:r>
      <w:r w:rsidRPr="008730C8">
        <w:rPr>
          <w:rFonts w:ascii="Book Antiqua" w:hAnsi="Book Antiqua" w:cs="Times New Roman"/>
          <w:b/>
          <w:kern w:val="2"/>
          <w:sz w:val="24"/>
          <w:szCs w:val="24"/>
          <w:lang w:val="en-US" w:eastAsia="zh-CN"/>
        </w:rPr>
        <w:t>93</w:t>
      </w:r>
      <w:r w:rsidRPr="008730C8">
        <w:rPr>
          <w:rFonts w:ascii="Book Antiqua" w:hAnsi="Book Antiqua" w:cs="Times New Roman"/>
          <w:kern w:val="2"/>
          <w:sz w:val="24"/>
          <w:szCs w:val="24"/>
          <w:lang w:val="en-US" w:eastAsia="zh-CN"/>
        </w:rPr>
        <w:t>: 611-617 [PMID: 3523356]</w:t>
      </w:r>
    </w:p>
    <w:p w14:paraId="45CBF2D4"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77 </w:t>
      </w:r>
      <w:r w:rsidRPr="008730C8">
        <w:rPr>
          <w:rFonts w:ascii="Book Antiqua" w:hAnsi="Book Antiqua" w:cs="Times New Roman"/>
          <w:b/>
          <w:kern w:val="2"/>
          <w:sz w:val="24"/>
          <w:szCs w:val="24"/>
          <w:lang w:val="en-US" w:eastAsia="zh-CN"/>
        </w:rPr>
        <w:t>Wallace MB</w:t>
      </w:r>
      <w:r w:rsidRPr="008730C8">
        <w:rPr>
          <w:rFonts w:ascii="Book Antiqua" w:hAnsi="Book Antiqua" w:cs="Times New Roman"/>
          <w:kern w:val="2"/>
          <w:sz w:val="24"/>
          <w:szCs w:val="24"/>
          <w:lang w:val="en-US" w:eastAsia="zh-CN"/>
        </w:rPr>
        <w:t xml:space="preserve">, Meining A, Canto MI, Fockens P, Miehlke S, Roesch T, </w:t>
      </w:r>
      <w:r w:rsidRPr="008730C8">
        <w:rPr>
          <w:rFonts w:ascii="Book Antiqua" w:hAnsi="Book Antiqua" w:cs="Times New Roman"/>
          <w:kern w:val="2"/>
          <w:sz w:val="24"/>
          <w:szCs w:val="24"/>
          <w:lang w:val="en-US" w:eastAsia="zh-CN"/>
        </w:rPr>
        <w:lastRenderedPageBreak/>
        <w:t xml:space="preserve">Lightdale CJ, Pohl H, Carr-Locke D, Löhr M, Coron E, Filoche B, Giovannini M, Moreau J, Schmidt C, Kiesslich R. The safety of intravenous fluorescein for confocal laser endomicroscopy in the gastrointestinal tract. </w:t>
      </w:r>
      <w:r w:rsidRPr="008730C8">
        <w:rPr>
          <w:rFonts w:ascii="Book Antiqua" w:hAnsi="Book Antiqua" w:cs="Times New Roman"/>
          <w:i/>
          <w:kern w:val="2"/>
          <w:sz w:val="24"/>
          <w:szCs w:val="24"/>
          <w:lang w:val="en-US" w:eastAsia="zh-CN"/>
        </w:rPr>
        <w:t>Aliment Pharmacol Ther</w:t>
      </w:r>
      <w:r w:rsidRPr="008730C8">
        <w:rPr>
          <w:rFonts w:ascii="Book Antiqua" w:hAnsi="Book Antiqua" w:cs="Times New Roman"/>
          <w:kern w:val="2"/>
          <w:sz w:val="24"/>
          <w:szCs w:val="24"/>
          <w:lang w:val="en-US" w:eastAsia="zh-CN"/>
        </w:rPr>
        <w:t xml:space="preserve"> 2010; </w:t>
      </w:r>
      <w:r w:rsidRPr="008730C8">
        <w:rPr>
          <w:rFonts w:ascii="Book Antiqua" w:hAnsi="Book Antiqua" w:cs="Times New Roman"/>
          <w:b/>
          <w:kern w:val="2"/>
          <w:sz w:val="24"/>
          <w:szCs w:val="24"/>
          <w:lang w:val="en-US" w:eastAsia="zh-CN"/>
        </w:rPr>
        <w:t>31</w:t>
      </w:r>
      <w:r w:rsidRPr="008730C8">
        <w:rPr>
          <w:rFonts w:ascii="Book Antiqua" w:hAnsi="Book Antiqua" w:cs="Times New Roman"/>
          <w:kern w:val="2"/>
          <w:sz w:val="24"/>
          <w:szCs w:val="24"/>
          <w:lang w:val="en-US" w:eastAsia="zh-CN"/>
        </w:rPr>
        <w:t>: 548-552 [PMID: 20002025 DOI: 10.1111/j.1365-2036.2009.04207.x]</w:t>
      </w:r>
    </w:p>
    <w:p w14:paraId="0DB572B0" w14:textId="66353F7F"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r w:rsidRPr="008730C8">
        <w:rPr>
          <w:rFonts w:ascii="Book Antiqua" w:hAnsi="Book Antiqua" w:cs="Times New Roman"/>
          <w:kern w:val="2"/>
          <w:sz w:val="24"/>
          <w:szCs w:val="24"/>
          <w:lang w:val="en-US" w:eastAsia="zh-CN"/>
        </w:rPr>
        <w:t xml:space="preserve">78 </w:t>
      </w:r>
      <w:r w:rsidRPr="008730C8">
        <w:rPr>
          <w:rFonts w:ascii="Book Antiqua" w:hAnsi="Book Antiqua" w:cs="Times New Roman"/>
          <w:b/>
          <w:kern w:val="2"/>
          <w:sz w:val="24"/>
          <w:szCs w:val="24"/>
          <w:lang w:val="en-US" w:eastAsia="zh-CN"/>
        </w:rPr>
        <w:t>Le Pen C</w:t>
      </w:r>
      <w:r w:rsidRPr="008730C8">
        <w:rPr>
          <w:rFonts w:ascii="Book Antiqua" w:hAnsi="Book Antiqua" w:cs="Times New Roman"/>
          <w:kern w:val="2"/>
          <w:sz w:val="24"/>
          <w:szCs w:val="24"/>
          <w:lang w:val="en-US" w:eastAsia="zh-CN"/>
        </w:rPr>
        <w:t xml:space="preserve">, Palazzo L, Napoléon B. A health economic evaluation of needle-based confocal laser endomicroscopy for the diagnosis of pancreatic cysts. </w:t>
      </w:r>
      <w:r w:rsidRPr="008730C8">
        <w:rPr>
          <w:rFonts w:ascii="Book Antiqua" w:hAnsi="Book Antiqua" w:cs="Times New Roman"/>
          <w:i/>
          <w:kern w:val="2"/>
          <w:sz w:val="24"/>
          <w:szCs w:val="24"/>
          <w:lang w:val="en-US" w:eastAsia="zh-CN"/>
        </w:rPr>
        <w:t>Endosc Int Open</w:t>
      </w:r>
      <w:r w:rsidRPr="008730C8">
        <w:rPr>
          <w:rFonts w:ascii="Book Antiqua" w:hAnsi="Book Antiqua" w:cs="Times New Roman"/>
          <w:kern w:val="2"/>
          <w:sz w:val="24"/>
          <w:szCs w:val="24"/>
          <w:lang w:val="en-US" w:eastAsia="zh-CN"/>
        </w:rPr>
        <w:t xml:space="preserve"> 2017; </w:t>
      </w:r>
      <w:r w:rsidRPr="008730C8">
        <w:rPr>
          <w:rFonts w:ascii="Book Antiqua" w:hAnsi="Book Antiqua" w:cs="Times New Roman"/>
          <w:b/>
          <w:kern w:val="2"/>
          <w:sz w:val="24"/>
          <w:szCs w:val="24"/>
          <w:lang w:val="en-US" w:eastAsia="zh-CN"/>
        </w:rPr>
        <w:t>5</w:t>
      </w:r>
      <w:r w:rsidRPr="008730C8">
        <w:rPr>
          <w:rFonts w:ascii="Book Antiqua" w:hAnsi="Book Antiqua" w:cs="Times New Roman"/>
          <w:kern w:val="2"/>
          <w:sz w:val="24"/>
          <w:szCs w:val="24"/>
          <w:lang w:val="en-US" w:eastAsia="zh-CN"/>
        </w:rPr>
        <w:t>: E987-E995 [PMID: 29159</w:t>
      </w:r>
      <w:r w:rsidR="008730C8">
        <w:rPr>
          <w:rFonts w:ascii="Book Antiqua" w:hAnsi="Book Antiqua" w:cs="Times New Roman"/>
          <w:kern w:val="2"/>
          <w:sz w:val="24"/>
          <w:szCs w:val="24"/>
          <w:lang w:val="en-US" w:eastAsia="zh-CN"/>
        </w:rPr>
        <w:t>273 DOI: 10.1055/s-0043-117947]</w:t>
      </w:r>
    </w:p>
    <w:p w14:paraId="08EC70DA" w14:textId="77777777" w:rsidR="00DA04A0" w:rsidRPr="008730C8" w:rsidRDefault="00DA04A0" w:rsidP="008730C8">
      <w:pPr>
        <w:adjustRightInd w:val="0"/>
        <w:snapToGrid w:val="0"/>
        <w:spacing w:after="0" w:line="360" w:lineRule="auto"/>
        <w:jc w:val="both"/>
        <w:rPr>
          <w:rFonts w:ascii="Book Antiqua" w:hAnsi="Book Antiqua" w:cs="Times New Roman"/>
          <w:b/>
          <w:sz w:val="24"/>
          <w:szCs w:val="24"/>
          <w:lang w:val="en-GB" w:eastAsia="zh-CN"/>
        </w:rPr>
      </w:pPr>
    </w:p>
    <w:p w14:paraId="5DE9F4A6" w14:textId="4B578A07" w:rsidR="008730C8" w:rsidRDefault="00DA04A0" w:rsidP="008730C8">
      <w:pPr>
        <w:widowControl w:val="0"/>
        <w:adjustRightInd w:val="0"/>
        <w:snapToGrid w:val="0"/>
        <w:spacing w:after="0" w:line="360" w:lineRule="auto"/>
        <w:jc w:val="right"/>
        <w:rPr>
          <w:rFonts w:ascii="Book Antiqua" w:hAnsi="Book Antiqua" w:cs="Times New Roman"/>
          <w:bCs/>
          <w:kern w:val="2"/>
          <w:sz w:val="24"/>
          <w:szCs w:val="24"/>
          <w:lang w:val="en-US" w:eastAsia="zh-CN"/>
        </w:rPr>
      </w:pPr>
      <w:bookmarkStart w:id="75" w:name="OLE_LINK13"/>
      <w:bookmarkStart w:id="76" w:name="OLE_LINK14"/>
      <w:r w:rsidRPr="008730C8">
        <w:rPr>
          <w:rFonts w:ascii="Book Antiqua" w:hAnsi="Book Antiqua" w:cs="Times New Roman"/>
          <w:b/>
          <w:bCs/>
          <w:kern w:val="2"/>
          <w:sz w:val="24"/>
          <w:szCs w:val="24"/>
          <w:lang w:val="en-US" w:eastAsia="zh-CN"/>
        </w:rPr>
        <w:t>P-Reviewer:</w:t>
      </w:r>
      <w:r w:rsidRPr="008730C8">
        <w:rPr>
          <w:rFonts w:ascii="Book Antiqua" w:hAnsi="Book Antiqua" w:cs="Times New Roman"/>
          <w:bCs/>
          <w:kern w:val="2"/>
          <w:sz w:val="24"/>
          <w:szCs w:val="24"/>
          <w:lang w:val="en-US" w:eastAsia="zh-CN"/>
        </w:rPr>
        <w:t xml:space="preserve"> Andrianello S, De Lisi S, Fusaroli P, Kitamura</w:t>
      </w:r>
      <w:r w:rsidRPr="008730C8">
        <w:rPr>
          <w:rFonts w:ascii="Book Antiqua" w:hAnsi="Book Antiqua" w:cs="Times New Roman"/>
          <w:b/>
          <w:bCs/>
          <w:kern w:val="2"/>
          <w:sz w:val="24"/>
          <w:szCs w:val="24"/>
          <w:lang w:val="en-US" w:eastAsia="zh-CN"/>
        </w:rPr>
        <w:t xml:space="preserve"> </w:t>
      </w:r>
      <w:r w:rsidR="008730C8">
        <w:rPr>
          <w:rFonts w:ascii="Book Antiqua" w:hAnsi="Book Antiqua" w:cs="Times New Roman"/>
          <w:bCs/>
          <w:kern w:val="2"/>
          <w:sz w:val="24"/>
          <w:szCs w:val="24"/>
          <w:lang w:val="en-US" w:eastAsia="zh-CN"/>
        </w:rPr>
        <w:t>K, Liu QD</w:t>
      </w:r>
    </w:p>
    <w:p w14:paraId="3488A776" w14:textId="735B7093" w:rsidR="008730C8" w:rsidRPr="008730C8" w:rsidRDefault="008730C8" w:rsidP="008730C8">
      <w:pPr>
        <w:widowControl w:val="0"/>
        <w:adjustRightInd w:val="0"/>
        <w:snapToGrid w:val="0"/>
        <w:spacing w:after="0" w:line="360" w:lineRule="auto"/>
        <w:jc w:val="right"/>
        <w:rPr>
          <w:rFonts w:ascii="Book Antiqua" w:hAnsi="Book Antiqua" w:cs="Times New Roman"/>
          <w:b/>
          <w:bCs/>
          <w:kern w:val="2"/>
          <w:sz w:val="24"/>
          <w:szCs w:val="24"/>
          <w:lang w:val="en-US" w:eastAsia="zh-CN"/>
        </w:rPr>
      </w:pPr>
      <w:r w:rsidRPr="008730C8">
        <w:rPr>
          <w:rFonts w:ascii="Book Antiqua" w:hAnsi="Book Antiqua" w:cs="Times New Roman"/>
          <w:b/>
          <w:bCs/>
          <w:kern w:val="2"/>
          <w:sz w:val="24"/>
          <w:szCs w:val="24"/>
          <w:lang w:val="en-US" w:eastAsia="zh-CN"/>
        </w:rPr>
        <w:t xml:space="preserve">S-Editor: </w:t>
      </w:r>
      <w:r w:rsidR="00DA04A0" w:rsidRPr="008730C8">
        <w:rPr>
          <w:rFonts w:ascii="Book Antiqua" w:hAnsi="Book Antiqua" w:cs="Times New Roman"/>
          <w:bCs/>
          <w:kern w:val="2"/>
          <w:sz w:val="24"/>
          <w:szCs w:val="24"/>
          <w:lang w:val="en-US" w:eastAsia="zh-CN"/>
        </w:rPr>
        <w:t>Wang XJ</w:t>
      </w:r>
      <w:r>
        <w:rPr>
          <w:rFonts w:ascii="Book Antiqua" w:hAnsi="Book Antiqua" w:cs="Times New Roman" w:hint="eastAsia"/>
          <w:bCs/>
          <w:kern w:val="2"/>
          <w:sz w:val="24"/>
          <w:szCs w:val="24"/>
          <w:lang w:val="en-US" w:eastAsia="zh-CN"/>
        </w:rPr>
        <w:t xml:space="preserve"> </w:t>
      </w:r>
      <w:r w:rsidRPr="008730C8">
        <w:rPr>
          <w:rFonts w:ascii="Book Antiqua" w:hAnsi="Book Antiqua" w:cs="Times New Roman"/>
          <w:b/>
          <w:bCs/>
          <w:kern w:val="2"/>
          <w:sz w:val="24"/>
          <w:szCs w:val="24"/>
          <w:lang w:val="en-US" w:eastAsia="zh-CN"/>
        </w:rPr>
        <w:t>L-Editor:</w:t>
      </w:r>
      <w:r w:rsidRPr="008730C8">
        <w:rPr>
          <w:rFonts w:ascii="Book Antiqua" w:hAnsi="Book Antiqua" w:cs="Times New Roman"/>
          <w:kern w:val="2"/>
          <w:sz w:val="24"/>
          <w:szCs w:val="24"/>
          <w:lang w:val="en-US" w:eastAsia="zh-CN"/>
        </w:rPr>
        <w:t xml:space="preserve"> </w:t>
      </w:r>
      <w:r w:rsidRPr="008730C8">
        <w:rPr>
          <w:rFonts w:ascii="Book Antiqua" w:hAnsi="Book Antiqua" w:cs="Times New Roman"/>
          <w:b/>
          <w:bCs/>
          <w:kern w:val="2"/>
          <w:sz w:val="24"/>
          <w:szCs w:val="24"/>
          <w:lang w:val="en-US" w:eastAsia="zh-CN"/>
        </w:rPr>
        <w:t>E-Editor:</w:t>
      </w:r>
    </w:p>
    <w:p w14:paraId="34E71828" w14:textId="77777777" w:rsidR="00DA04A0" w:rsidRPr="008730C8" w:rsidRDefault="00DA04A0" w:rsidP="008730C8">
      <w:pPr>
        <w:widowControl w:val="0"/>
        <w:adjustRightInd w:val="0"/>
        <w:snapToGrid w:val="0"/>
        <w:spacing w:after="0" w:line="360" w:lineRule="auto"/>
        <w:jc w:val="both"/>
        <w:rPr>
          <w:rFonts w:ascii="Book Antiqua" w:hAnsi="Book Antiqua" w:cs="Times New Roman"/>
          <w:kern w:val="2"/>
          <w:sz w:val="24"/>
          <w:szCs w:val="24"/>
          <w:lang w:val="en-US" w:eastAsia="zh-CN"/>
        </w:rPr>
      </w:pPr>
    </w:p>
    <w:p w14:paraId="2096770C" w14:textId="77777777" w:rsidR="00DA04A0" w:rsidRPr="008730C8" w:rsidRDefault="00DA04A0" w:rsidP="008730C8">
      <w:pPr>
        <w:adjustRightInd w:val="0"/>
        <w:snapToGrid w:val="0"/>
        <w:spacing w:after="0" w:line="360" w:lineRule="auto"/>
        <w:jc w:val="both"/>
        <w:rPr>
          <w:rFonts w:ascii="Book Antiqua" w:eastAsia="MS Mincho" w:hAnsi="Book Antiqua" w:cs="Times New Roman"/>
          <w:sz w:val="24"/>
          <w:szCs w:val="24"/>
          <w:lang w:val="en-US" w:eastAsia="zh-CN"/>
        </w:rPr>
      </w:pPr>
      <w:r w:rsidRPr="008730C8">
        <w:rPr>
          <w:rFonts w:ascii="Book Antiqua" w:eastAsia="MS Mincho" w:hAnsi="Book Antiqua" w:cs="Times New Roman"/>
          <w:b/>
          <w:sz w:val="24"/>
          <w:szCs w:val="24"/>
          <w:lang w:val="en-US" w:eastAsia="zh-CN"/>
        </w:rPr>
        <w:t>Specialty type:</w:t>
      </w:r>
      <w:r w:rsidRPr="008730C8">
        <w:rPr>
          <w:rFonts w:ascii="Book Antiqua" w:eastAsia="MS Mincho" w:hAnsi="Book Antiqua" w:cs="Times New Roman"/>
          <w:sz w:val="24"/>
          <w:szCs w:val="24"/>
          <w:lang w:val="en-US" w:eastAsia="zh-CN"/>
        </w:rPr>
        <w:t xml:space="preserve"> Gastroenterology and hepatology</w:t>
      </w:r>
    </w:p>
    <w:p w14:paraId="4761C9E5" w14:textId="60F4AFAB" w:rsidR="00DA04A0" w:rsidRPr="008730C8" w:rsidRDefault="00DA04A0"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eastAsia="MS Mincho" w:hAnsi="Book Antiqua" w:cs="Times New Roman"/>
          <w:b/>
          <w:sz w:val="24"/>
          <w:szCs w:val="24"/>
          <w:lang w:val="en-US" w:eastAsia="zh-CN"/>
        </w:rPr>
        <w:t>Country of origin:</w:t>
      </w:r>
      <w:r w:rsidRPr="008730C8">
        <w:rPr>
          <w:rFonts w:ascii="Book Antiqua" w:hAnsi="Book Antiqua" w:cs="Times New Roman"/>
          <w:b/>
          <w:sz w:val="24"/>
          <w:szCs w:val="24"/>
          <w:lang w:val="en-US" w:eastAsia="zh-CN"/>
        </w:rPr>
        <w:t xml:space="preserve"> </w:t>
      </w:r>
      <w:r w:rsidRPr="008730C8">
        <w:rPr>
          <w:rFonts w:ascii="Book Antiqua" w:hAnsi="Book Antiqua" w:cs="Times New Roman"/>
          <w:sz w:val="24"/>
          <w:szCs w:val="24"/>
          <w:lang w:val="en-US" w:eastAsia="zh-CN"/>
        </w:rPr>
        <w:t>Spain</w:t>
      </w:r>
    </w:p>
    <w:p w14:paraId="0D8B3B6C" w14:textId="77777777" w:rsidR="00DA04A0" w:rsidRPr="008730C8" w:rsidRDefault="00DA04A0" w:rsidP="008730C8">
      <w:pPr>
        <w:adjustRightInd w:val="0"/>
        <w:snapToGrid w:val="0"/>
        <w:spacing w:after="0" w:line="360" w:lineRule="auto"/>
        <w:jc w:val="both"/>
        <w:rPr>
          <w:rFonts w:ascii="Book Antiqua" w:eastAsia="MS Mincho" w:hAnsi="Book Antiqua" w:cs="Times New Roman"/>
          <w:b/>
          <w:sz w:val="24"/>
          <w:szCs w:val="24"/>
          <w:lang w:val="en-US" w:eastAsia="zh-CN"/>
        </w:rPr>
      </w:pPr>
      <w:r w:rsidRPr="008730C8">
        <w:rPr>
          <w:rFonts w:ascii="Book Antiqua" w:eastAsia="MS Mincho" w:hAnsi="Book Antiqua" w:cs="Times New Roman"/>
          <w:b/>
          <w:sz w:val="24"/>
          <w:szCs w:val="24"/>
          <w:lang w:val="en-US" w:eastAsia="zh-CN"/>
        </w:rPr>
        <w:t>Peer-review report classification</w:t>
      </w:r>
    </w:p>
    <w:p w14:paraId="317360EC" w14:textId="063276DE" w:rsidR="00DA04A0" w:rsidRPr="008730C8" w:rsidRDefault="00DA04A0"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eastAsia="MS Mincho" w:hAnsi="Book Antiqua" w:cs="Times New Roman"/>
          <w:sz w:val="24"/>
          <w:szCs w:val="24"/>
          <w:lang w:val="en-US" w:eastAsia="zh-CN"/>
        </w:rPr>
        <w:t xml:space="preserve">Grade A (Excellent): </w:t>
      </w:r>
      <w:r w:rsidRPr="008730C8">
        <w:rPr>
          <w:rFonts w:ascii="Book Antiqua" w:hAnsi="Book Antiqua" w:cs="Times New Roman"/>
          <w:sz w:val="24"/>
          <w:szCs w:val="24"/>
          <w:lang w:val="en-US" w:eastAsia="zh-CN"/>
        </w:rPr>
        <w:t>A</w:t>
      </w:r>
    </w:p>
    <w:p w14:paraId="325A0A89" w14:textId="77A48C09" w:rsidR="00DA04A0" w:rsidRPr="008730C8" w:rsidRDefault="00DA04A0"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eastAsia="MS Mincho" w:hAnsi="Book Antiqua" w:cs="Times New Roman"/>
          <w:sz w:val="24"/>
          <w:szCs w:val="24"/>
          <w:lang w:val="en-US" w:eastAsia="zh-CN"/>
        </w:rPr>
        <w:t>Grade B (Very good):</w:t>
      </w:r>
      <w:r w:rsidRPr="008730C8">
        <w:rPr>
          <w:rFonts w:ascii="Book Antiqua" w:hAnsi="Book Antiqua" w:cs="Times New Roman"/>
          <w:sz w:val="24"/>
          <w:szCs w:val="24"/>
          <w:lang w:val="en-US" w:eastAsia="zh-CN"/>
        </w:rPr>
        <w:t xml:space="preserve"> B</w:t>
      </w:r>
    </w:p>
    <w:p w14:paraId="43530A94" w14:textId="7136244F" w:rsidR="00DA04A0" w:rsidRPr="008730C8" w:rsidRDefault="00DA04A0" w:rsidP="008730C8">
      <w:pPr>
        <w:adjustRightInd w:val="0"/>
        <w:snapToGrid w:val="0"/>
        <w:spacing w:after="0" w:line="360" w:lineRule="auto"/>
        <w:jc w:val="both"/>
        <w:rPr>
          <w:rFonts w:ascii="Book Antiqua" w:eastAsia="MS Mincho" w:hAnsi="Book Antiqua" w:cs="Times New Roman"/>
          <w:sz w:val="24"/>
          <w:szCs w:val="24"/>
          <w:lang w:val="en-US" w:eastAsia="zh-CN"/>
        </w:rPr>
      </w:pPr>
      <w:r w:rsidRPr="008730C8">
        <w:rPr>
          <w:rFonts w:ascii="Book Antiqua" w:eastAsia="MS Mincho" w:hAnsi="Book Antiqua" w:cs="Times New Roman"/>
          <w:sz w:val="24"/>
          <w:szCs w:val="24"/>
          <w:lang w:val="en-US" w:eastAsia="zh-CN"/>
        </w:rPr>
        <w:t xml:space="preserve">Grade C (Good): </w:t>
      </w:r>
      <w:r w:rsidRPr="008730C8">
        <w:rPr>
          <w:rFonts w:ascii="Book Antiqua" w:hAnsi="Book Antiqua" w:cs="Times New Roman"/>
          <w:sz w:val="24"/>
          <w:szCs w:val="24"/>
          <w:lang w:val="en-US" w:eastAsia="zh-CN"/>
        </w:rPr>
        <w:t>C, C</w:t>
      </w:r>
    </w:p>
    <w:p w14:paraId="63C99D51" w14:textId="573E1DA2" w:rsidR="00DA04A0" w:rsidRPr="008730C8" w:rsidRDefault="00DA04A0"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eastAsia="MS Mincho" w:hAnsi="Book Antiqua" w:cs="Times New Roman"/>
          <w:sz w:val="24"/>
          <w:szCs w:val="24"/>
          <w:lang w:val="en-US" w:eastAsia="zh-CN"/>
        </w:rPr>
        <w:t xml:space="preserve">Grade D (Fair): </w:t>
      </w:r>
      <w:r w:rsidRPr="008730C8">
        <w:rPr>
          <w:rFonts w:ascii="Book Antiqua" w:hAnsi="Book Antiqua" w:cs="Times New Roman"/>
          <w:sz w:val="24"/>
          <w:szCs w:val="24"/>
          <w:lang w:val="en-US" w:eastAsia="zh-CN"/>
        </w:rPr>
        <w:t>D</w:t>
      </w:r>
    </w:p>
    <w:p w14:paraId="48A50631" w14:textId="77777777" w:rsidR="00DA04A0" w:rsidRPr="008730C8" w:rsidRDefault="00DA04A0" w:rsidP="008730C8">
      <w:pPr>
        <w:adjustRightInd w:val="0"/>
        <w:snapToGrid w:val="0"/>
        <w:spacing w:after="0" w:line="360" w:lineRule="auto"/>
        <w:jc w:val="both"/>
        <w:rPr>
          <w:rFonts w:ascii="Book Antiqua" w:hAnsi="Book Antiqua" w:cs="Times New Roman"/>
          <w:sz w:val="24"/>
          <w:szCs w:val="24"/>
          <w:lang w:val="en-US" w:eastAsia="zh-CN"/>
        </w:rPr>
      </w:pPr>
      <w:r w:rsidRPr="008730C8">
        <w:rPr>
          <w:rFonts w:ascii="Book Antiqua" w:eastAsia="MS Mincho" w:hAnsi="Book Antiqua" w:cs="Times New Roman"/>
          <w:sz w:val="24"/>
          <w:szCs w:val="24"/>
          <w:lang w:val="en-US" w:eastAsia="zh-CN"/>
        </w:rPr>
        <w:t>Grade E (Poor): 0</w:t>
      </w:r>
    </w:p>
    <w:bookmarkEnd w:id="75"/>
    <w:bookmarkEnd w:id="76"/>
    <w:p w14:paraId="7C8E2F0F" w14:textId="23B7813A" w:rsidR="00DA04A0" w:rsidRPr="008730C8" w:rsidRDefault="00542F5E" w:rsidP="008730C8">
      <w:pPr>
        <w:adjustRightInd w:val="0"/>
        <w:snapToGrid w:val="0"/>
        <w:spacing w:after="0" w:line="360" w:lineRule="auto"/>
        <w:jc w:val="both"/>
        <w:rPr>
          <w:rFonts w:ascii="Book Antiqua" w:hAnsi="Book Antiqua" w:cs="Times New Roman"/>
          <w:b/>
          <w:sz w:val="24"/>
          <w:szCs w:val="24"/>
          <w:lang w:val="en-US" w:eastAsia="zh-CN"/>
        </w:rPr>
        <w:sectPr w:rsidR="00DA04A0" w:rsidRPr="008730C8">
          <w:pgSz w:w="11906" w:h="16838"/>
          <w:pgMar w:top="1417" w:right="1701" w:bottom="1417" w:left="1701" w:header="708" w:footer="708" w:gutter="0"/>
          <w:cols w:space="708"/>
          <w:docGrid w:linePitch="360"/>
        </w:sectPr>
      </w:pPr>
      <w:r>
        <w:rPr>
          <w:rFonts w:ascii="Book Antiqua" w:hAnsi="Book Antiqua" w:cs="Times New Roman"/>
          <w:b/>
          <w:sz w:val="24"/>
          <w:szCs w:val="24"/>
          <w:lang w:val="en-US" w:eastAsia="zh-CN"/>
        </w:rPr>
        <w:br w:type="page"/>
      </w:r>
    </w:p>
    <w:p w14:paraId="795605F9" w14:textId="4BA59FAB" w:rsidR="006D6CCB" w:rsidRPr="008730C8" w:rsidRDefault="006D6CCB" w:rsidP="008730C8">
      <w:pPr>
        <w:autoSpaceDE w:val="0"/>
        <w:autoSpaceDN w:val="0"/>
        <w:adjustRightInd w:val="0"/>
        <w:snapToGrid w:val="0"/>
        <w:spacing w:after="0" w:line="360" w:lineRule="auto"/>
        <w:jc w:val="both"/>
        <w:rPr>
          <w:rFonts w:ascii="Book Antiqua" w:hAnsi="Book Antiqua" w:cs="Times New Roman"/>
          <w:sz w:val="24"/>
          <w:szCs w:val="24"/>
          <w:lang w:val="en-GB"/>
        </w:rPr>
      </w:pPr>
      <w:r w:rsidRPr="008730C8">
        <w:rPr>
          <w:rFonts w:ascii="Book Antiqua" w:hAnsi="Book Antiqua" w:cs="Times New Roman"/>
          <w:noProof/>
          <w:sz w:val="24"/>
          <w:szCs w:val="24"/>
          <w:lang w:val="en-US" w:eastAsia="zh-CN"/>
        </w:rPr>
        <w:lastRenderedPageBreak/>
        <w:drawing>
          <wp:inline distT="0" distB="0" distL="0" distR="0" wp14:anchorId="69053D2F" wp14:editId="232EE984">
            <wp:extent cx="5913120" cy="386103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75" t="4222" r="17125" b="7557"/>
                    <a:stretch/>
                  </pic:blipFill>
                  <pic:spPr bwMode="auto">
                    <a:xfrm>
                      <a:off x="0" y="0"/>
                      <a:ext cx="5935931" cy="3875929"/>
                    </a:xfrm>
                    <a:prstGeom prst="rect">
                      <a:avLst/>
                    </a:prstGeom>
                    <a:ln>
                      <a:noFill/>
                    </a:ln>
                    <a:extLst>
                      <a:ext uri="{53640926-AAD7-44D8-BBD7-CCE9431645EC}">
                        <a14:shadowObscured xmlns:a14="http://schemas.microsoft.com/office/drawing/2010/main"/>
                      </a:ext>
                    </a:extLst>
                  </pic:spPr>
                </pic:pic>
              </a:graphicData>
            </a:graphic>
          </wp:inline>
        </w:drawing>
      </w:r>
    </w:p>
    <w:p w14:paraId="423432AF" w14:textId="259B4932" w:rsidR="006D6CCB" w:rsidRPr="008730C8" w:rsidRDefault="008968CE" w:rsidP="008730C8">
      <w:pPr>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b/>
          <w:sz w:val="24"/>
          <w:szCs w:val="24"/>
          <w:lang w:val="en-GB" w:eastAsia="zh-CN"/>
        </w:rPr>
        <w:t xml:space="preserve">Figure 1 Mural nodule and mucus in </w:t>
      </w:r>
      <w:r w:rsidRPr="008730C8">
        <w:rPr>
          <w:rFonts w:ascii="Book Antiqua" w:hAnsi="Book Antiqua" w:cs="Times New Roman"/>
          <w:b/>
          <w:sz w:val="24"/>
          <w:szCs w:val="24"/>
          <w:lang w:val="en-US"/>
        </w:rPr>
        <w:t>branch duct type intraductal pancreatic mucinous neoplasms</w:t>
      </w:r>
      <w:r w:rsidRPr="008730C8">
        <w:rPr>
          <w:rFonts w:ascii="Book Antiqua" w:hAnsi="Book Antiqua" w:cs="Times New Roman"/>
          <w:b/>
          <w:sz w:val="24"/>
          <w:szCs w:val="24"/>
          <w:lang w:val="en-US" w:eastAsia="zh-CN"/>
        </w:rPr>
        <w:t>.</w:t>
      </w:r>
    </w:p>
    <w:p w14:paraId="18FCE68D" w14:textId="7F65E04B" w:rsidR="008968CE" w:rsidRPr="008730C8" w:rsidRDefault="008968CE" w:rsidP="008730C8">
      <w:pPr>
        <w:adjustRightInd w:val="0"/>
        <w:snapToGrid w:val="0"/>
        <w:spacing w:after="0" w:line="360" w:lineRule="auto"/>
        <w:jc w:val="both"/>
        <w:rPr>
          <w:rFonts w:ascii="Book Antiqua" w:hAnsi="Book Antiqua" w:cs="Times New Roman"/>
          <w:sz w:val="24"/>
          <w:szCs w:val="24"/>
          <w:lang w:val="en-GB"/>
        </w:rPr>
      </w:pPr>
      <w:r w:rsidRPr="008730C8">
        <w:rPr>
          <w:rFonts w:ascii="Book Antiqua" w:hAnsi="Book Antiqua" w:cs="Times New Roman"/>
          <w:sz w:val="24"/>
          <w:szCs w:val="24"/>
          <w:lang w:val="en-GB"/>
        </w:rPr>
        <w:br w:type="page"/>
      </w:r>
    </w:p>
    <w:p w14:paraId="3F222625" w14:textId="392569F8" w:rsidR="006D6CCB" w:rsidRPr="008730C8" w:rsidRDefault="006D6CCB"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noProof/>
          <w:sz w:val="24"/>
          <w:szCs w:val="24"/>
          <w:lang w:val="en-US" w:eastAsia="zh-CN"/>
        </w:rPr>
        <w:lastRenderedPageBreak/>
        <w:drawing>
          <wp:inline distT="0" distB="0" distL="0" distR="0" wp14:anchorId="2D867D7E" wp14:editId="0E7604B3">
            <wp:extent cx="5212080" cy="3839393"/>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749" t="2888" r="22134" b="14445"/>
                    <a:stretch/>
                  </pic:blipFill>
                  <pic:spPr bwMode="auto">
                    <a:xfrm>
                      <a:off x="0" y="0"/>
                      <a:ext cx="5250794" cy="3867911"/>
                    </a:xfrm>
                    <a:prstGeom prst="rect">
                      <a:avLst/>
                    </a:prstGeom>
                    <a:noFill/>
                    <a:ln>
                      <a:noFill/>
                    </a:ln>
                    <a:extLst>
                      <a:ext uri="{53640926-AAD7-44D8-BBD7-CCE9431645EC}">
                        <a14:shadowObscured xmlns:a14="http://schemas.microsoft.com/office/drawing/2010/main"/>
                      </a:ext>
                    </a:extLst>
                  </pic:spPr>
                </pic:pic>
              </a:graphicData>
            </a:graphic>
          </wp:inline>
        </w:drawing>
      </w:r>
    </w:p>
    <w:p w14:paraId="7BBC0530" w14:textId="3CA17AD8" w:rsidR="008968CE" w:rsidRPr="008730C8" w:rsidRDefault="008968CE" w:rsidP="008730C8">
      <w:pPr>
        <w:autoSpaceDE w:val="0"/>
        <w:autoSpaceDN w:val="0"/>
        <w:adjustRightInd w:val="0"/>
        <w:snapToGrid w:val="0"/>
        <w:spacing w:after="0" w:line="360" w:lineRule="auto"/>
        <w:jc w:val="both"/>
        <w:rPr>
          <w:rFonts w:ascii="Book Antiqua" w:hAnsi="Book Antiqua" w:cs="Times New Roman"/>
          <w:b/>
          <w:sz w:val="24"/>
          <w:szCs w:val="24"/>
          <w:lang w:val="en-GB" w:eastAsia="zh-CN"/>
        </w:rPr>
      </w:pPr>
      <w:r w:rsidRPr="008730C8">
        <w:rPr>
          <w:rFonts w:ascii="Book Antiqua" w:hAnsi="Book Antiqua" w:cs="Times New Roman"/>
          <w:b/>
          <w:sz w:val="24"/>
          <w:szCs w:val="24"/>
          <w:lang w:val="en-GB" w:eastAsia="zh-CN"/>
        </w:rPr>
        <w:t xml:space="preserve">Figure 2 </w:t>
      </w:r>
      <w:r w:rsidR="00D93BC5" w:rsidRPr="008730C8">
        <w:rPr>
          <w:rFonts w:ascii="Book Antiqua" w:hAnsi="Book Antiqua" w:cs="Times New Roman"/>
          <w:b/>
          <w:sz w:val="24"/>
          <w:szCs w:val="24"/>
          <w:lang w:val="en-US"/>
        </w:rPr>
        <w:t>Needle-based confocal laser endomicroscopy</w:t>
      </w:r>
      <w:r w:rsidR="00D93BC5" w:rsidRPr="008730C8">
        <w:rPr>
          <w:rFonts w:ascii="Book Antiqua" w:hAnsi="Book Antiqua" w:cs="Times New Roman"/>
          <w:b/>
          <w:sz w:val="24"/>
          <w:szCs w:val="24"/>
          <w:lang w:val="en-US" w:eastAsia="zh-CN"/>
        </w:rPr>
        <w:t xml:space="preserve"> probe in a 19G needle.</w:t>
      </w:r>
    </w:p>
    <w:p w14:paraId="6B5F1227" w14:textId="5153DBF4" w:rsidR="008968CE" w:rsidRPr="008730C8" w:rsidRDefault="008968CE" w:rsidP="008730C8">
      <w:pPr>
        <w:adjustRightInd w:val="0"/>
        <w:snapToGrid w:val="0"/>
        <w:spacing w:after="0" w:line="360" w:lineRule="auto"/>
        <w:jc w:val="both"/>
        <w:rPr>
          <w:rFonts w:ascii="Book Antiqua" w:hAnsi="Book Antiqua" w:cs="Times New Roman"/>
          <w:sz w:val="24"/>
          <w:szCs w:val="24"/>
          <w:lang w:val="en-GB"/>
        </w:rPr>
      </w:pPr>
      <w:r w:rsidRPr="008730C8">
        <w:rPr>
          <w:rFonts w:ascii="Book Antiqua" w:hAnsi="Book Antiqua" w:cs="Times New Roman"/>
          <w:sz w:val="24"/>
          <w:szCs w:val="24"/>
          <w:lang w:val="en-GB"/>
        </w:rPr>
        <w:br w:type="page"/>
      </w:r>
    </w:p>
    <w:p w14:paraId="351F8B1D" w14:textId="78261C4D" w:rsidR="006D6CCB" w:rsidRPr="008730C8" w:rsidRDefault="006D6CCB" w:rsidP="008730C8">
      <w:pPr>
        <w:autoSpaceDE w:val="0"/>
        <w:autoSpaceDN w:val="0"/>
        <w:adjustRightInd w:val="0"/>
        <w:snapToGrid w:val="0"/>
        <w:spacing w:after="0" w:line="360" w:lineRule="auto"/>
        <w:jc w:val="both"/>
        <w:rPr>
          <w:rFonts w:ascii="Book Antiqua" w:hAnsi="Book Antiqua" w:cs="Times New Roman"/>
          <w:sz w:val="24"/>
          <w:szCs w:val="24"/>
          <w:lang w:val="en-GB"/>
        </w:rPr>
      </w:pPr>
      <w:r w:rsidRPr="008730C8">
        <w:rPr>
          <w:rFonts w:ascii="Book Antiqua" w:hAnsi="Book Antiqua" w:cs="Times New Roman"/>
          <w:noProof/>
          <w:sz w:val="24"/>
          <w:szCs w:val="24"/>
          <w:lang w:val="en-US" w:eastAsia="zh-CN"/>
        </w:rPr>
        <w:lastRenderedPageBreak/>
        <w:drawing>
          <wp:inline distT="0" distB="0" distL="0" distR="0" wp14:anchorId="100AE48A" wp14:editId="1CBF7632">
            <wp:extent cx="5257800" cy="40964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25" t="8667" r="21625" b="5111"/>
                    <a:stretch/>
                  </pic:blipFill>
                  <pic:spPr bwMode="auto">
                    <a:xfrm>
                      <a:off x="0" y="0"/>
                      <a:ext cx="5268597" cy="4104851"/>
                    </a:xfrm>
                    <a:prstGeom prst="rect">
                      <a:avLst/>
                    </a:prstGeom>
                    <a:ln>
                      <a:noFill/>
                    </a:ln>
                    <a:extLst>
                      <a:ext uri="{53640926-AAD7-44D8-BBD7-CCE9431645EC}">
                        <a14:shadowObscured xmlns:a14="http://schemas.microsoft.com/office/drawing/2010/main"/>
                      </a:ext>
                    </a:extLst>
                  </pic:spPr>
                </pic:pic>
              </a:graphicData>
            </a:graphic>
          </wp:inline>
        </w:drawing>
      </w:r>
    </w:p>
    <w:p w14:paraId="6918A264" w14:textId="4E3422F6" w:rsidR="00D93BC5" w:rsidRPr="008730C8" w:rsidRDefault="00D93BC5" w:rsidP="008730C8">
      <w:pPr>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b/>
          <w:sz w:val="24"/>
          <w:szCs w:val="24"/>
          <w:lang w:val="en-GB" w:eastAsia="zh-CN"/>
        </w:rPr>
        <w:t>Figure 3</w:t>
      </w:r>
      <w:r w:rsidRPr="008730C8">
        <w:rPr>
          <w:rFonts w:ascii="Book Antiqua" w:hAnsi="Book Antiqua" w:cs="Times New Roman"/>
          <w:sz w:val="24"/>
          <w:szCs w:val="24"/>
          <w:lang w:val="en-GB" w:eastAsia="zh-CN"/>
        </w:rPr>
        <w:t xml:space="preserve"> </w:t>
      </w:r>
      <w:r w:rsidRPr="008730C8">
        <w:rPr>
          <w:rFonts w:ascii="Book Antiqua" w:hAnsi="Book Antiqua" w:cs="Times New Roman"/>
          <w:b/>
          <w:sz w:val="24"/>
          <w:szCs w:val="24"/>
          <w:lang w:val="en-US"/>
        </w:rPr>
        <w:t>Needle-based confocal laser endomicroscopy</w:t>
      </w:r>
      <w:r w:rsidRPr="008730C8">
        <w:rPr>
          <w:rFonts w:ascii="Book Antiqua" w:hAnsi="Book Antiqua" w:cs="Times New Roman"/>
          <w:b/>
          <w:sz w:val="24"/>
          <w:szCs w:val="24"/>
          <w:lang w:val="en-US" w:eastAsia="zh-CN"/>
        </w:rPr>
        <w:t xml:space="preserve"> image of an </w:t>
      </w:r>
      <w:r w:rsidRPr="008730C8">
        <w:rPr>
          <w:rFonts w:ascii="Book Antiqua" w:hAnsi="Book Antiqua" w:cs="Times New Roman"/>
          <w:b/>
          <w:sz w:val="24"/>
          <w:szCs w:val="24"/>
          <w:lang w:val="en-US"/>
        </w:rPr>
        <w:t>intraductal pancreatic mucinous neoplasms</w:t>
      </w:r>
      <w:r w:rsidRPr="008730C8">
        <w:rPr>
          <w:rFonts w:ascii="Book Antiqua" w:hAnsi="Book Antiqua" w:cs="Times New Roman"/>
          <w:b/>
          <w:sz w:val="24"/>
          <w:szCs w:val="24"/>
          <w:lang w:val="en-US" w:eastAsia="zh-CN"/>
        </w:rPr>
        <w:t xml:space="preserve"> displaying multiple papillary projections.</w:t>
      </w:r>
    </w:p>
    <w:p w14:paraId="412E1268" w14:textId="77777777" w:rsidR="00D93BC5" w:rsidRPr="008730C8" w:rsidRDefault="00D93BC5" w:rsidP="008730C8">
      <w:pPr>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b/>
          <w:sz w:val="24"/>
          <w:szCs w:val="24"/>
          <w:lang w:val="en-US" w:eastAsia="zh-CN"/>
        </w:rPr>
        <w:br w:type="page"/>
      </w:r>
    </w:p>
    <w:p w14:paraId="485454AA" w14:textId="244E60A8" w:rsidR="006D6CCB" w:rsidRPr="008730C8" w:rsidRDefault="006D6CCB" w:rsidP="008730C8">
      <w:pPr>
        <w:autoSpaceDE w:val="0"/>
        <w:autoSpaceDN w:val="0"/>
        <w:adjustRightInd w:val="0"/>
        <w:snapToGrid w:val="0"/>
        <w:spacing w:after="0" w:line="360" w:lineRule="auto"/>
        <w:jc w:val="both"/>
        <w:rPr>
          <w:rFonts w:ascii="Book Antiqua" w:hAnsi="Book Antiqua" w:cs="Times New Roman"/>
          <w:sz w:val="24"/>
          <w:szCs w:val="24"/>
          <w:lang w:val="en-GB"/>
        </w:rPr>
      </w:pPr>
      <w:r w:rsidRPr="008730C8">
        <w:rPr>
          <w:rFonts w:ascii="Book Antiqua" w:hAnsi="Book Antiqua" w:cs="Times New Roman"/>
          <w:noProof/>
          <w:sz w:val="24"/>
          <w:szCs w:val="24"/>
          <w:lang w:val="en-US" w:eastAsia="zh-CN"/>
        </w:rPr>
        <w:lastRenderedPageBreak/>
        <w:drawing>
          <wp:inline distT="0" distB="0" distL="0" distR="0" wp14:anchorId="7D5A7B95" wp14:editId="4CC4AD0E">
            <wp:extent cx="5179643" cy="4254774"/>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77" t="9111" r="23250" b="666"/>
                    <a:stretch/>
                  </pic:blipFill>
                  <pic:spPr bwMode="auto">
                    <a:xfrm>
                      <a:off x="0" y="0"/>
                      <a:ext cx="5240970" cy="4305150"/>
                    </a:xfrm>
                    <a:prstGeom prst="rect">
                      <a:avLst/>
                    </a:prstGeom>
                    <a:ln>
                      <a:noFill/>
                    </a:ln>
                    <a:extLst>
                      <a:ext uri="{53640926-AAD7-44D8-BBD7-CCE9431645EC}">
                        <a14:shadowObscured xmlns:a14="http://schemas.microsoft.com/office/drawing/2010/main"/>
                      </a:ext>
                    </a:extLst>
                  </pic:spPr>
                </pic:pic>
              </a:graphicData>
            </a:graphic>
          </wp:inline>
        </w:drawing>
      </w:r>
    </w:p>
    <w:p w14:paraId="6DDED988" w14:textId="42F70258" w:rsidR="00D93BC5" w:rsidRPr="008730C8" w:rsidRDefault="00D93BC5"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b/>
          <w:sz w:val="24"/>
          <w:szCs w:val="24"/>
          <w:lang w:val="en-GB" w:eastAsia="zh-CN"/>
        </w:rPr>
        <w:t xml:space="preserve">Figure 4 </w:t>
      </w:r>
      <w:r w:rsidRPr="008730C8">
        <w:rPr>
          <w:rFonts w:ascii="Book Antiqua" w:hAnsi="Book Antiqua" w:cs="Times New Roman"/>
          <w:b/>
          <w:sz w:val="24"/>
          <w:szCs w:val="24"/>
          <w:lang w:val="en-US"/>
        </w:rPr>
        <w:t>Needle-based confocal laser endomicroscopy</w:t>
      </w:r>
      <w:r w:rsidRPr="008730C8">
        <w:rPr>
          <w:rFonts w:ascii="Book Antiqua" w:hAnsi="Book Antiqua" w:cs="Times New Roman"/>
          <w:b/>
          <w:sz w:val="24"/>
          <w:szCs w:val="24"/>
          <w:lang w:val="en-GB" w:eastAsia="zh-CN"/>
        </w:rPr>
        <w:t xml:space="preserve"> image of the superficial vascular network pattern of a serous cystoadenoma. </w:t>
      </w:r>
      <w:r w:rsidRPr="008730C8">
        <w:rPr>
          <w:rFonts w:ascii="Book Antiqua" w:hAnsi="Book Antiqua" w:cs="Times New Roman"/>
          <w:sz w:val="24"/>
          <w:szCs w:val="24"/>
          <w:lang w:val="en-GB" w:eastAsia="zh-CN"/>
        </w:rPr>
        <w:t>Multiple interconnected vessels (green arrows). Red cells inside displayed as black structures (orange arrow).</w:t>
      </w:r>
    </w:p>
    <w:p w14:paraId="1921B580" w14:textId="77777777" w:rsidR="00D93BC5" w:rsidRPr="008730C8" w:rsidRDefault="00D93BC5" w:rsidP="008730C8">
      <w:pPr>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sz w:val="24"/>
          <w:szCs w:val="24"/>
          <w:lang w:val="en-GB" w:eastAsia="zh-CN"/>
        </w:rPr>
        <w:br w:type="page"/>
      </w:r>
    </w:p>
    <w:p w14:paraId="3EDBF7F2" w14:textId="3D3CB209" w:rsidR="003B40A6" w:rsidRPr="008730C8" w:rsidRDefault="006D6CCB"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noProof/>
          <w:sz w:val="24"/>
          <w:szCs w:val="24"/>
          <w:lang w:val="en-US" w:eastAsia="zh-CN"/>
        </w:rPr>
        <w:lastRenderedPageBreak/>
        <w:drawing>
          <wp:inline distT="0" distB="0" distL="0" distR="0" wp14:anchorId="0AF7E73E" wp14:editId="717688EF">
            <wp:extent cx="4998532" cy="40462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2497" t="14221" r="24133" b="8967"/>
                    <a:stretch/>
                  </pic:blipFill>
                  <pic:spPr bwMode="auto">
                    <a:xfrm>
                      <a:off x="0" y="0"/>
                      <a:ext cx="5020098" cy="4063678"/>
                    </a:xfrm>
                    <a:prstGeom prst="rect">
                      <a:avLst/>
                    </a:prstGeom>
                    <a:noFill/>
                    <a:ln>
                      <a:noFill/>
                    </a:ln>
                    <a:extLst>
                      <a:ext uri="{53640926-AAD7-44D8-BBD7-CCE9431645EC}">
                        <a14:shadowObscured xmlns:a14="http://schemas.microsoft.com/office/drawing/2010/main"/>
                      </a:ext>
                    </a:extLst>
                  </pic:spPr>
                </pic:pic>
              </a:graphicData>
            </a:graphic>
          </wp:inline>
        </w:drawing>
      </w:r>
    </w:p>
    <w:p w14:paraId="5BF96D90" w14:textId="79E95B98" w:rsidR="00D93BC5" w:rsidRPr="008730C8" w:rsidRDefault="00D93BC5" w:rsidP="008730C8">
      <w:pPr>
        <w:autoSpaceDE w:val="0"/>
        <w:autoSpaceDN w:val="0"/>
        <w:adjustRightInd w:val="0"/>
        <w:snapToGrid w:val="0"/>
        <w:spacing w:after="0" w:line="360" w:lineRule="auto"/>
        <w:jc w:val="both"/>
        <w:rPr>
          <w:rFonts w:ascii="Book Antiqua" w:hAnsi="Book Antiqua"/>
          <w:sz w:val="24"/>
          <w:szCs w:val="24"/>
          <w:lang w:val="en-US" w:eastAsia="zh-CN"/>
        </w:rPr>
      </w:pPr>
      <w:r w:rsidRPr="008730C8">
        <w:rPr>
          <w:rFonts w:ascii="Book Antiqua" w:hAnsi="Book Antiqua" w:cs="Times New Roman"/>
          <w:b/>
          <w:sz w:val="24"/>
          <w:szCs w:val="24"/>
          <w:lang w:val="en-GB" w:eastAsia="zh-CN"/>
        </w:rPr>
        <w:t xml:space="preserve">Figure 5 </w:t>
      </w:r>
      <w:r w:rsidRPr="008730C8">
        <w:rPr>
          <w:rFonts w:ascii="Book Antiqua" w:hAnsi="Book Antiqua"/>
          <w:b/>
          <w:sz w:val="24"/>
          <w:szCs w:val="24"/>
          <w:lang w:val="fr-FR" w:eastAsia="zh-CN"/>
        </w:rPr>
        <w:t xml:space="preserve">Staining with a vascular marker of serous cystadenomas histological specimen. </w:t>
      </w:r>
      <w:r w:rsidRPr="008730C8">
        <w:rPr>
          <w:rFonts w:ascii="Book Antiqua" w:hAnsi="Book Antiqua"/>
          <w:sz w:val="24"/>
          <w:szCs w:val="24"/>
          <w:lang w:val="en-US" w:eastAsia="zh-CN"/>
        </w:rPr>
        <w:t>Capillary necklace with subepithelial vessels showed in brown.</w:t>
      </w:r>
    </w:p>
    <w:p w14:paraId="086BE1D0" w14:textId="77777777" w:rsidR="00D93BC5" w:rsidRPr="008730C8" w:rsidRDefault="00D93BC5" w:rsidP="008730C8">
      <w:pPr>
        <w:adjustRightInd w:val="0"/>
        <w:snapToGrid w:val="0"/>
        <w:spacing w:after="0" w:line="360" w:lineRule="auto"/>
        <w:jc w:val="both"/>
        <w:rPr>
          <w:rFonts w:ascii="Book Antiqua" w:hAnsi="Book Antiqua"/>
          <w:sz w:val="24"/>
          <w:szCs w:val="24"/>
          <w:lang w:val="en-US" w:eastAsia="zh-CN"/>
        </w:rPr>
      </w:pPr>
      <w:r w:rsidRPr="008730C8">
        <w:rPr>
          <w:rFonts w:ascii="Book Antiqua" w:hAnsi="Book Antiqua"/>
          <w:sz w:val="24"/>
          <w:szCs w:val="24"/>
          <w:lang w:val="en-US" w:eastAsia="zh-CN"/>
        </w:rPr>
        <w:br w:type="page"/>
      </w:r>
    </w:p>
    <w:p w14:paraId="6E66D46B" w14:textId="79F00128" w:rsidR="00D93BC5" w:rsidRPr="008730C8" w:rsidRDefault="003B40A6"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noProof/>
          <w:sz w:val="24"/>
          <w:szCs w:val="24"/>
          <w:lang w:val="en-US" w:eastAsia="zh-CN"/>
        </w:rPr>
        <w:lastRenderedPageBreak/>
        <w:drawing>
          <wp:inline distT="0" distB="0" distL="0" distR="0" wp14:anchorId="3A959CE8" wp14:editId="53A68B4B">
            <wp:extent cx="5452676" cy="4038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73" t="9333" r="24383" b="11334"/>
                    <a:stretch/>
                  </pic:blipFill>
                  <pic:spPr bwMode="auto">
                    <a:xfrm>
                      <a:off x="0" y="0"/>
                      <a:ext cx="5498372" cy="4072445"/>
                    </a:xfrm>
                    <a:prstGeom prst="rect">
                      <a:avLst/>
                    </a:prstGeom>
                    <a:noFill/>
                    <a:ln>
                      <a:noFill/>
                    </a:ln>
                    <a:extLst>
                      <a:ext uri="{53640926-AAD7-44D8-BBD7-CCE9431645EC}">
                        <a14:shadowObscured xmlns:a14="http://schemas.microsoft.com/office/drawing/2010/main"/>
                      </a:ext>
                    </a:extLst>
                  </pic:spPr>
                </pic:pic>
              </a:graphicData>
            </a:graphic>
          </wp:inline>
        </w:drawing>
      </w:r>
    </w:p>
    <w:p w14:paraId="548FBF59" w14:textId="44562A95" w:rsidR="00D93BC5" w:rsidRPr="008730C8" w:rsidRDefault="00D93BC5" w:rsidP="008730C8">
      <w:pPr>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b/>
          <w:sz w:val="24"/>
          <w:szCs w:val="24"/>
          <w:lang w:val="en-GB" w:eastAsia="zh-CN"/>
        </w:rPr>
        <w:t xml:space="preserve">Figure 6 Epithelial border image in a mucinous cystoadenoma at </w:t>
      </w:r>
      <w:r w:rsidRPr="008730C8">
        <w:rPr>
          <w:rFonts w:ascii="Book Antiqua" w:hAnsi="Book Antiqua" w:cs="Times New Roman"/>
          <w:b/>
          <w:sz w:val="24"/>
          <w:szCs w:val="24"/>
          <w:lang w:val="en-US"/>
        </w:rPr>
        <w:t>needle-based confocal laser endomicroscopy</w:t>
      </w:r>
      <w:r w:rsidRPr="008730C8">
        <w:rPr>
          <w:rFonts w:ascii="Book Antiqua" w:hAnsi="Book Antiqua" w:cs="Times New Roman"/>
          <w:b/>
          <w:sz w:val="24"/>
          <w:szCs w:val="24"/>
          <w:lang w:val="en-US" w:eastAsia="zh-CN"/>
        </w:rPr>
        <w:t>.</w:t>
      </w:r>
    </w:p>
    <w:p w14:paraId="5E7C9ACC" w14:textId="4A9DEB46" w:rsidR="003B40A6" w:rsidRPr="008730C8" w:rsidRDefault="00D93BC5" w:rsidP="008730C8">
      <w:pPr>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b/>
          <w:sz w:val="24"/>
          <w:szCs w:val="24"/>
          <w:lang w:val="en-US" w:eastAsia="zh-CN"/>
        </w:rPr>
        <w:br w:type="page"/>
      </w:r>
    </w:p>
    <w:p w14:paraId="042B6DBB" w14:textId="3721860C" w:rsidR="003B40A6" w:rsidRPr="008730C8" w:rsidRDefault="003B40A6"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noProof/>
          <w:sz w:val="24"/>
          <w:szCs w:val="24"/>
          <w:lang w:val="en-US" w:eastAsia="zh-CN"/>
        </w:rPr>
        <w:lastRenderedPageBreak/>
        <w:drawing>
          <wp:inline distT="0" distB="0" distL="0" distR="0" wp14:anchorId="0B676397" wp14:editId="355EBB0A">
            <wp:extent cx="4693920" cy="464303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4872" t="10889" r="29008" b="8000"/>
                    <a:stretch/>
                  </pic:blipFill>
                  <pic:spPr bwMode="auto">
                    <a:xfrm>
                      <a:off x="0" y="0"/>
                      <a:ext cx="4716876" cy="4665744"/>
                    </a:xfrm>
                    <a:prstGeom prst="rect">
                      <a:avLst/>
                    </a:prstGeom>
                    <a:noFill/>
                    <a:ln>
                      <a:noFill/>
                    </a:ln>
                    <a:extLst>
                      <a:ext uri="{53640926-AAD7-44D8-BBD7-CCE9431645EC}">
                        <a14:shadowObscured xmlns:a14="http://schemas.microsoft.com/office/drawing/2010/main"/>
                      </a:ext>
                    </a:extLst>
                  </pic:spPr>
                </pic:pic>
              </a:graphicData>
            </a:graphic>
          </wp:inline>
        </w:drawing>
      </w:r>
    </w:p>
    <w:p w14:paraId="2757B9A4" w14:textId="46B6A898" w:rsidR="00D93BC5" w:rsidRPr="008730C8" w:rsidRDefault="00D93BC5" w:rsidP="008730C8">
      <w:pPr>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b/>
          <w:sz w:val="24"/>
          <w:szCs w:val="24"/>
          <w:lang w:val="en-GB" w:eastAsia="zh-CN"/>
        </w:rPr>
        <w:t xml:space="preserve">Figure 7 Heterogeneous sized grey and white particles in a pseudocyst at </w:t>
      </w:r>
      <w:r w:rsidRPr="008730C8">
        <w:rPr>
          <w:rFonts w:ascii="Book Antiqua" w:hAnsi="Book Antiqua" w:cs="Times New Roman"/>
          <w:b/>
          <w:sz w:val="24"/>
          <w:szCs w:val="24"/>
          <w:lang w:val="en-US"/>
        </w:rPr>
        <w:t>needle-based confocal laser endomicroscopy</w:t>
      </w:r>
      <w:r w:rsidRPr="008730C8">
        <w:rPr>
          <w:rFonts w:ascii="Book Antiqua" w:hAnsi="Book Antiqua" w:cs="Times New Roman"/>
          <w:b/>
          <w:sz w:val="24"/>
          <w:szCs w:val="24"/>
          <w:lang w:val="en-US" w:eastAsia="zh-CN"/>
        </w:rPr>
        <w:t>.</w:t>
      </w:r>
    </w:p>
    <w:p w14:paraId="5E3F8AA4" w14:textId="774D2225" w:rsidR="00D93BC5" w:rsidRPr="008730C8" w:rsidRDefault="00D93BC5" w:rsidP="008730C8">
      <w:pPr>
        <w:adjustRightInd w:val="0"/>
        <w:snapToGrid w:val="0"/>
        <w:spacing w:after="0" w:line="360" w:lineRule="auto"/>
        <w:jc w:val="both"/>
        <w:rPr>
          <w:rFonts w:ascii="Book Antiqua" w:hAnsi="Book Antiqua" w:cs="Times New Roman"/>
          <w:b/>
          <w:sz w:val="24"/>
          <w:szCs w:val="24"/>
          <w:lang w:val="en-US" w:eastAsia="zh-CN"/>
        </w:rPr>
      </w:pPr>
      <w:r w:rsidRPr="008730C8">
        <w:rPr>
          <w:rFonts w:ascii="Book Antiqua" w:hAnsi="Book Antiqua" w:cs="Times New Roman"/>
          <w:b/>
          <w:sz w:val="24"/>
          <w:szCs w:val="24"/>
          <w:lang w:val="en-US" w:eastAsia="zh-CN"/>
        </w:rPr>
        <w:br w:type="page"/>
      </w:r>
    </w:p>
    <w:p w14:paraId="6D76B611" w14:textId="0AC9A549" w:rsidR="003B40A6" w:rsidRPr="008730C8" w:rsidRDefault="003B40A6"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noProof/>
          <w:sz w:val="24"/>
          <w:szCs w:val="24"/>
          <w:lang w:val="en-US" w:eastAsia="zh-CN"/>
        </w:rPr>
        <w:lastRenderedPageBreak/>
        <w:drawing>
          <wp:inline distT="0" distB="0" distL="0" distR="0" wp14:anchorId="378AB4DA" wp14:editId="2E52BCCB">
            <wp:extent cx="4899660" cy="41422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9997" t="11111" r="28258" b="11111"/>
                    <a:stretch/>
                  </pic:blipFill>
                  <pic:spPr bwMode="auto">
                    <a:xfrm>
                      <a:off x="0" y="0"/>
                      <a:ext cx="4921895" cy="4161023"/>
                    </a:xfrm>
                    <a:prstGeom prst="rect">
                      <a:avLst/>
                    </a:prstGeom>
                    <a:noFill/>
                    <a:ln>
                      <a:noFill/>
                    </a:ln>
                    <a:extLst>
                      <a:ext uri="{53640926-AAD7-44D8-BBD7-CCE9431645EC}">
                        <a14:shadowObscured xmlns:a14="http://schemas.microsoft.com/office/drawing/2010/main"/>
                      </a:ext>
                    </a:extLst>
                  </pic:spPr>
                </pic:pic>
              </a:graphicData>
            </a:graphic>
          </wp:inline>
        </w:drawing>
      </w:r>
    </w:p>
    <w:p w14:paraId="6523E4D1" w14:textId="52C845F4" w:rsidR="00D93BC5" w:rsidRPr="008730C8" w:rsidRDefault="00D93BC5" w:rsidP="008730C8">
      <w:pPr>
        <w:autoSpaceDE w:val="0"/>
        <w:autoSpaceDN w:val="0"/>
        <w:adjustRightInd w:val="0"/>
        <w:snapToGrid w:val="0"/>
        <w:spacing w:after="0" w:line="360" w:lineRule="auto"/>
        <w:jc w:val="both"/>
        <w:rPr>
          <w:rFonts w:ascii="Book Antiqua" w:hAnsi="Book Antiqua" w:cs="Times New Roman"/>
          <w:b/>
          <w:sz w:val="24"/>
          <w:szCs w:val="24"/>
          <w:lang w:val="en-GB" w:eastAsia="zh-CN"/>
        </w:rPr>
      </w:pPr>
      <w:r w:rsidRPr="008730C8">
        <w:rPr>
          <w:rFonts w:ascii="Book Antiqua" w:hAnsi="Book Antiqua" w:cs="Times New Roman"/>
          <w:b/>
          <w:sz w:val="24"/>
          <w:szCs w:val="24"/>
          <w:lang w:val="en-GB" w:eastAsia="zh-CN"/>
        </w:rPr>
        <w:t>Figure 8 Moray forceps.</w:t>
      </w:r>
    </w:p>
    <w:p w14:paraId="33580518" w14:textId="2A7067A7" w:rsidR="00D93BC5" w:rsidRPr="008730C8" w:rsidRDefault="00D93BC5" w:rsidP="008730C8">
      <w:pPr>
        <w:adjustRightInd w:val="0"/>
        <w:snapToGrid w:val="0"/>
        <w:spacing w:after="0" w:line="360" w:lineRule="auto"/>
        <w:jc w:val="both"/>
        <w:rPr>
          <w:rFonts w:ascii="Book Antiqua" w:hAnsi="Book Antiqua" w:cs="Times New Roman"/>
          <w:b/>
          <w:sz w:val="24"/>
          <w:szCs w:val="24"/>
          <w:lang w:val="en-GB" w:eastAsia="zh-CN"/>
        </w:rPr>
      </w:pPr>
      <w:r w:rsidRPr="008730C8">
        <w:rPr>
          <w:rFonts w:ascii="Book Antiqua" w:hAnsi="Book Antiqua" w:cs="Times New Roman"/>
          <w:b/>
          <w:sz w:val="24"/>
          <w:szCs w:val="24"/>
          <w:lang w:val="en-GB" w:eastAsia="zh-CN"/>
        </w:rPr>
        <w:br w:type="page"/>
      </w:r>
    </w:p>
    <w:p w14:paraId="74D6881B" w14:textId="2BBA9CD1" w:rsidR="003B40A6" w:rsidRPr="008730C8" w:rsidRDefault="003B40A6"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noProof/>
          <w:sz w:val="24"/>
          <w:szCs w:val="24"/>
          <w:lang w:val="en-US" w:eastAsia="zh-CN"/>
        </w:rPr>
        <w:lastRenderedPageBreak/>
        <w:drawing>
          <wp:inline distT="0" distB="0" distL="0" distR="0" wp14:anchorId="0D8FE945" wp14:editId="08F857E6">
            <wp:extent cx="4914900" cy="41030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9748" t="11557" r="24258" b="5333"/>
                    <a:stretch/>
                  </pic:blipFill>
                  <pic:spPr bwMode="auto">
                    <a:xfrm>
                      <a:off x="0" y="0"/>
                      <a:ext cx="4932281" cy="4117574"/>
                    </a:xfrm>
                    <a:prstGeom prst="rect">
                      <a:avLst/>
                    </a:prstGeom>
                    <a:noFill/>
                    <a:ln>
                      <a:noFill/>
                    </a:ln>
                    <a:extLst>
                      <a:ext uri="{53640926-AAD7-44D8-BBD7-CCE9431645EC}">
                        <a14:shadowObscured xmlns:a14="http://schemas.microsoft.com/office/drawing/2010/main"/>
                      </a:ext>
                    </a:extLst>
                  </pic:spPr>
                </pic:pic>
              </a:graphicData>
            </a:graphic>
          </wp:inline>
        </w:drawing>
      </w:r>
    </w:p>
    <w:p w14:paraId="35454BE2" w14:textId="291D9D71" w:rsidR="009B5625" w:rsidRPr="008730C8" w:rsidRDefault="00D93BC5"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b/>
          <w:sz w:val="24"/>
          <w:szCs w:val="24"/>
          <w:lang w:val="en-GB" w:eastAsia="zh-CN"/>
        </w:rPr>
        <w:t>Figure 9 Moray forceps inside a cyst.</w:t>
      </w:r>
      <w:r w:rsidRPr="008730C8">
        <w:rPr>
          <w:rFonts w:ascii="Book Antiqua" w:hAnsi="Book Antiqua" w:cs="Times New Roman"/>
          <w:sz w:val="24"/>
          <w:szCs w:val="24"/>
          <w:lang w:val="en-GB" w:eastAsia="zh-CN"/>
        </w:rPr>
        <w:t xml:space="preserve"> Green arrow: The tip of the 19 G needle. Orange arrow: </w:t>
      </w:r>
      <w:r w:rsidR="009B5625" w:rsidRPr="008730C8">
        <w:rPr>
          <w:rFonts w:ascii="Book Antiqua" w:hAnsi="Book Antiqua" w:cs="Times New Roman"/>
          <w:sz w:val="24"/>
          <w:szCs w:val="24"/>
          <w:lang w:val="en-GB" w:eastAsia="zh-CN"/>
        </w:rPr>
        <w:t>T</w:t>
      </w:r>
      <w:r w:rsidRPr="008730C8">
        <w:rPr>
          <w:rFonts w:ascii="Book Antiqua" w:hAnsi="Book Antiqua" w:cs="Times New Roman"/>
          <w:sz w:val="24"/>
          <w:szCs w:val="24"/>
          <w:lang w:val="en-GB" w:eastAsia="zh-CN"/>
        </w:rPr>
        <w:t>he tip of the Moray forceps grasping the cyst wall.</w:t>
      </w:r>
    </w:p>
    <w:p w14:paraId="38AC47B4" w14:textId="28D709A2" w:rsidR="000572B4" w:rsidRPr="008730C8" w:rsidRDefault="009B5625" w:rsidP="008730C8">
      <w:pPr>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sz w:val="24"/>
          <w:szCs w:val="24"/>
          <w:lang w:val="en-GB" w:eastAsia="zh-CN"/>
        </w:rPr>
        <w:br w:type="page"/>
      </w:r>
    </w:p>
    <w:p w14:paraId="2880ABFE" w14:textId="3F4CDABE" w:rsidR="000572B4" w:rsidRPr="008730C8" w:rsidRDefault="000572B4"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noProof/>
          <w:sz w:val="24"/>
          <w:szCs w:val="24"/>
          <w:lang w:val="en-US" w:eastAsia="zh-CN"/>
        </w:rPr>
        <w:lastRenderedPageBreak/>
        <w:drawing>
          <wp:inline distT="0" distB="0" distL="0" distR="0" wp14:anchorId="63407EE7" wp14:editId="02707222">
            <wp:extent cx="6858000" cy="3665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988"/>
                    <a:stretch/>
                  </pic:blipFill>
                  <pic:spPr bwMode="auto">
                    <a:xfrm>
                      <a:off x="0" y="0"/>
                      <a:ext cx="6871657" cy="3672519"/>
                    </a:xfrm>
                    <a:prstGeom prst="rect">
                      <a:avLst/>
                    </a:prstGeom>
                    <a:ln>
                      <a:noFill/>
                    </a:ln>
                    <a:extLst>
                      <a:ext uri="{53640926-AAD7-44D8-BBD7-CCE9431645EC}">
                        <a14:shadowObscured xmlns:a14="http://schemas.microsoft.com/office/drawing/2010/main"/>
                      </a:ext>
                    </a:extLst>
                  </pic:spPr>
                </pic:pic>
              </a:graphicData>
            </a:graphic>
          </wp:inline>
        </w:drawing>
      </w:r>
    </w:p>
    <w:p w14:paraId="50C58EF1" w14:textId="13639EBC" w:rsidR="00DC260E" w:rsidRDefault="009B5625" w:rsidP="00542F5E">
      <w:pPr>
        <w:widowControl w:val="0"/>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b/>
          <w:sz w:val="24"/>
          <w:szCs w:val="24"/>
          <w:lang w:val="en-GB" w:eastAsia="zh-CN"/>
        </w:rPr>
        <w:t xml:space="preserve">Figure 10 Diagnostic algorithm integrating new endoscopic ultrasonography-based technologies. </w:t>
      </w:r>
      <w:r w:rsidRPr="008730C8">
        <w:rPr>
          <w:rFonts w:ascii="Book Antiqua" w:hAnsi="Book Antiqua" w:cs="Times New Roman"/>
          <w:sz w:val="24"/>
          <w:szCs w:val="24"/>
          <w:lang w:val="en-GB" w:eastAsia="zh-CN"/>
        </w:rPr>
        <w:t>PCL: Pancreatic cystic lesión; PC: Pseudocyst; MPD: Main pancreatic cyst; BD-IPMN: Branch duct intraductal pancreatic mucinous neoplasm; MCN: Mucinous cystic neoplasm; SCA: Serous cystoadenoma; NEN: Neuroendocrine tumo</w:t>
      </w:r>
      <w:r w:rsidR="00542F5E">
        <w:rPr>
          <w:rFonts w:ascii="Book Antiqua" w:hAnsi="Book Antiqua" w:cs="Times New Roman" w:hint="eastAsia"/>
          <w:sz w:val="24"/>
          <w:szCs w:val="24"/>
          <w:lang w:val="en-GB" w:eastAsia="zh-CN"/>
        </w:rPr>
        <w:t>u</w:t>
      </w:r>
      <w:r w:rsidRPr="008730C8">
        <w:rPr>
          <w:rFonts w:ascii="Book Antiqua" w:hAnsi="Book Antiqua" w:cs="Times New Roman"/>
          <w:sz w:val="24"/>
          <w:szCs w:val="24"/>
          <w:lang w:val="en-GB" w:eastAsia="zh-CN"/>
        </w:rPr>
        <w:t>r; CT: Computed tomography, MRI: Magnetic resonance imaging; EUS: Endoscopic ultrasonography; CH-EUS: Contrast harmonic enhanced EUS; EUS-FNA: EUS guided fine needle aspiration; nCLE: Needle-based confocal endomicroscopy.</w:t>
      </w:r>
    </w:p>
    <w:p w14:paraId="2207EDB2" w14:textId="77777777" w:rsidR="00542F5E" w:rsidRDefault="00542F5E" w:rsidP="00542F5E">
      <w:pPr>
        <w:widowControl w:val="0"/>
        <w:autoSpaceDE w:val="0"/>
        <w:autoSpaceDN w:val="0"/>
        <w:adjustRightInd w:val="0"/>
        <w:snapToGrid w:val="0"/>
        <w:spacing w:after="0" w:line="360" w:lineRule="auto"/>
        <w:jc w:val="both"/>
        <w:rPr>
          <w:rFonts w:ascii="Book Antiqua" w:hAnsi="Book Antiqua" w:cs="Times New Roman"/>
          <w:sz w:val="24"/>
          <w:szCs w:val="24"/>
          <w:lang w:val="en-GB" w:eastAsia="zh-CN"/>
        </w:rPr>
      </w:pPr>
    </w:p>
    <w:p w14:paraId="2536946A" w14:textId="77777777" w:rsidR="00542F5E" w:rsidRPr="00542F5E" w:rsidRDefault="00542F5E" w:rsidP="00542F5E">
      <w:pPr>
        <w:widowControl w:val="0"/>
        <w:autoSpaceDE w:val="0"/>
        <w:autoSpaceDN w:val="0"/>
        <w:adjustRightInd w:val="0"/>
        <w:snapToGrid w:val="0"/>
        <w:spacing w:after="0" w:line="360" w:lineRule="auto"/>
        <w:jc w:val="both"/>
        <w:rPr>
          <w:rFonts w:ascii="Book Antiqua" w:hAnsi="Book Antiqua" w:cs="Times New Roman"/>
          <w:b/>
          <w:sz w:val="24"/>
          <w:szCs w:val="24"/>
          <w:lang w:eastAsia="zh-CN"/>
        </w:rPr>
        <w:sectPr w:rsidR="00542F5E" w:rsidRPr="00542F5E" w:rsidSect="003B40A6">
          <w:pgSz w:w="11906" w:h="16838"/>
          <w:pgMar w:top="1418" w:right="851" w:bottom="1418" w:left="992" w:header="709" w:footer="709" w:gutter="0"/>
          <w:cols w:space="708"/>
          <w:docGrid w:linePitch="360"/>
        </w:sectPr>
      </w:pPr>
    </w:p>
    <w:p w14:paraId="26D4FC98" w14:textId="44981F33" w:rsidR="00DC260E" w:rsidRPr="008730C8" w:rsidRDefault="009B5625"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b/>
          <w:sz w:val="24"/>
          <w:szCs w:val="24"/>
          <w:lang w:val="en-GB"/>
        </w:rPr>
        <w:lastRenderedPageBreak/>
        <w:t>Table 1</w:t>
      </w:r>
      <w:r w:rsidRPr="008730C8">
        <w:rPr>
          <w:rFonts w:ascii="Book Antiqua" w:hAnsi="Book Antiqua"/>
          <w:b/>
          <w:sz w:val="24"/>
          <w:szCs w:val="24"/>
          <w:lang w:val="en-GB" w:eastAsia="zh-CN"/>
        </w:rPr>
        <w:t xml:space="preserve"> </w:t>
      </w:r>
      <w:r w:rsidRPr="008730C8">
        <w:rPr>
          <w:rFonts w:ascii="Book Antiqua" w:hAnsi="Book Antiqua"/>
          <w:b/>
          <w:sz w:val="24"/>
          <w:szCs w:val="24"/>
          <w:lang w:val="en-GB"/>
        </w:rPr>
        <w:t>Contrast harmonic enhanced endoscopic ultrasound in pancreatic cystic lesions</w:t>
      </w:r>
    </w:p>
    <w:tbl>
      <w:tblPr>
        <w:tblStyle w:val="TableGrid"/>
        <w:tblW w:w="16302" w:type="dxa"/>
        <w:tblInd w:w="-1026" w:type="dxa"/>
        <w:tblLook w:val="04A0" w:firstRow="1" w:lastRow="0" w:firstColumn="1" w:lastColumn="0" w:noHBand="0" w:noVBand="1"/>
      </w:tblPr>
      <w:tblGrid>
        <w:gridCol w:w="2268"/>
        <w:gridCol w:w="993"/>
        <w:gridCol w:w="708"/>
        <w:gridCol w:w="10490"/>
        <w:gridCol w:w="1843"/>
      </w:tblGrid>
      <w:tr w:rsidR="009B5625" w:rsidRPr="008730C8" w14:paraId="1759672C" w14:textId="77777777" w:rsidTr="00F1468D">
        <w:tc>
          <w:tcPr>
            <w:tcW w:w="2268" w:type="dxa"/>
          </w:tcPr>
          <w:p w14:paraId="6F9083FB" w14:textId="77777777" w:rsidR="00DC260E" w:rsidRPr="008730C8" w:rsidRDefault="00DC260E"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 xml:space="preserve">Authors </w:t>
            </w:r>
          </w:p>
        </w:tc>
        <w:tc>
          <w:tcPr>
            <w:tcW w:w="993" w:type="dxa"/>
          </w:tcPr>
          <w:p w14:paraId="16242268" w14:textId="77777777" w:rsidR="00DC260E" w:rsidRPr="008730C8" w:rsidRDefault="00DC260E"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Study</w:t>
            </w:r>
          </w:p>
        </w:tc>
        <w:tc>
          <w:tcPr>
            <w:tcW w:w="708" w:type="dxa"/>
          </w:tcPr>
          <w:p w14:paraId="0348AAC1" w14:textId="77777777" w:rsidR="00DC260E" w:rsidRPr="008730C8" w:rsidRDefault="00DC260E" w:rsidP="008730C8">
            <w:pPr>
              <w:adjustRightInd w:val="0"/>
              <w:snapToGrid w:val="0"/>
              <w:spacing w:line="360" w:lineRule="auto"/>
              <w:jc w:val="both"/>
              <w:rPr>
                <w:rFonts w:ascii="Book Antiqua" w:hAnsi="Book Antiqua"/>
                <w:b/>
                <w:i/>
                <w:sz w:val="24"/>
                <w:szCs w:val="24"/>
                <w:lang w:val="en-GB"/>
              </w:rPr>
            </w:pPr>
            <w:r w:rsidRPr="008730C8">
              <w:rPr>
                <w:rFonts w:ascii="Book Antiqua" w:hAnsi="Book Antiqua"/>
                <w:b/>
                <w:i/>
                <w:sz w:val="24"/>
                <w:szCs w:val="24"/>
                <w:lang w:val="en-GB"/>
              </w:rPr>
              <w:t>n</w:t>
            </w:r>
          </w:p>
        </w:tc>
        <w:tc>
          <w:tcPr>
            <w:tcW w:w="10490" w:type="dxa"/>
          </w:tcPr>
          <w:p w14:paraId="15CB5FB8" w14:textId="77777777" w:rsidR="00DC260E" w:rsidRPr="008730C8" w:rsidRDefault="00DC260E"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Main outcomes</w:t>
            </w:r>
          </w:p>
        </w:tc>
        <w:tc>
          <w:tcPr>
            <w:tcW w:w="1843" w:type="dxa"/>
          </w:tcPr>
          <w:p w14:paraId="3623D2C4" w14:textId="77777777" w:rsidR="00DC260E" w:rsidRPr="008730C8" w:rsidRDefault="00DC260E"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Complications</w:t>
            </w:r>
          </w:p>
        </w:tc>
      </w:tr>
      <w:tr w:rsidR="009B5625" w:rsidRPr="008730C8" w14:paraId="6AABD8D5" w14:textId="77777777" w:rsidTr="00F1468D">
        <w:tc>
          <w:tcPr>
            <w:tcW w:w="2268" w:type="dxa"/>
          </w:tcPr>
          <w:p w14:paraId="5BD7BEC7" w14:textId="0F5971E3" w:rsidR="00DC260E" w:rsidRPr="008730C8" w:rsidRDefault="00DC260E"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Yamashita </w:t>
            </w:r>
            <w:r w:rsidR="007337E2" w:rsidRPr="007337E2">
              <w:rPr>
                <w:rFonts w:ascii="Book Antiqua" w:hAnsi="Book Antiqua"/>
                <w:i/>
                <w:sz w:val="24"/>
                <w:szCs w:val="24"/>
                <w:lang w:val="en-GB"/>
              </w:rPr>
              <w:t>et al</w:t>
            </w:r>
            <w:r w:rsidR="009B5625" w:rsidRPr="008730C8">
              <w:rPr>
                <w:rFonts w:ascii="Book Antiqua" w:hAnsi="Book Antiqua"/>
                <w:sz w:val="24"/>
                <w:szCs w:val="24"/>
                <w:vertAlign w:val="superscript"/>
                <w:lang w:val="en-GB" w:eastAsia="zh-CN"/>
              </w:rPr>
              <w:t>[</w:t>
            </w:r>
            <w:r w:rsidR="009B5625" w:rsidRPr="008730C8">
              <w:rPr>
                <w:rFonts w:ascii="Book Antiqua" w:hAnsi="Book Antiqua"/>
                <w:sz w:val="24"/>
                <w:szCs w:val="24"/>
                <w:vertAlign w:val="superscript"/>
                <w:lang w:val="en-GB"/>
              </w:rPr>
              <w:t>39</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9B5625" w:rsidRPr="008730C8">
              <w:rPr>
                <w:rFonts w:ascii="Book Antiqua" w:hAnsi="Book Antiqua"/>
                <w:sz w:val="24"/>
                <w:szCs w:val="24"/>
                <w:lang w:val="en-GB"/>
              </w:rPr>
              <w:t xml:space="preserve"> 2013</w:t>
            </w:r>
          </w:p>
        </w:tc>
        <w:tc>
          <w:tcPr>
            <w:tcW w:w="993" w:type="dxa"/>
          </w:tcPr>
          <w:p w14:paraId="7EBEB02E"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708" w:type="dxa"/>
          </w:tcPr>
          <w:p w14:paraId="7479D762"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17</w:t>
            </w:r>
          </w:p>
        </w:tc>
        <w:tc>
          <w:tcPr>
            <w:tcW w:w="10490" w:type="dxa"/>
          </w:tcPr>
          <w:p w14:paraId="0148C26B"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Differential diagnosis between mural nodules and mucus clots:</w:t>
            </w:r>
          </w:p>
          <w:p w14:paraId="5F572111" w14:textId="1604FB77"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CH-EU</w:t>
            </w:r>
            <w:r w:rsidR="00C6472C" w:rsidRPr="008730C8">
              <w:rPr>
                <w:rFonts w:ascii="Book Antiqua" w:hAnsi="Book Antiqua"/>
                <w:sz w:val="24"/>
                <w:szCs w:val="24"/>
                <w:lang w:val="en-GB"/>
              </w:rPr>
              <w:t>S: Sen 100%, Spe 80%, PPV 92%, NPV 100%, A 94</w:t>
            </w:r>
            <w:r w:rsidRPr="008730C8">
              <w:rPr>
                <w:rFonts w:ascii="Book Antiqua" w:hAnsi="Book Antiqua"/>
                <w:sz w:val="24"/>
                <w:szCs w:val="24"/>
                <w:lang w:val="en-GB"/>
              </w:rPr>
              <w:t>%</w:t>
            </w:r>
          </w:p>
          <w:p w14:paraId="2C9C6ABC" w14:textId="66ED3D0B"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CT a</w:t>
            </w:r>
            <w:r w:rsidR="00542F5E">
              <w:rPr>
                <w:rFonts w:ascii="Book Antiqua" w:hAnsi="Book Antiqua"/>
                <w:sz w:val="24"/>
                <w:szCs w:val="24"/>
                <w:lang w:val="en-GB"/>
              </w:rPr>
              <w:t xml:space="preserve">nd Doppler-EUS: </w:t>
            </w:r>
            <w:r w:rsidR="00C6472C" w:rsidRPr="008730C8">
              <w:rPr>
                <w:rFonts w:ascii="Book Antiqua" w:hAnsi="Book Antiqua"/>
                <w:sz w:val="24"/>
                <w:szCs w:val="24"/>
                <w:lang w:val="en-GB"/>
              </w:rPr>
              <w:t>Sen 41% and 0</w:t>
            </w:r>
            <w:r w:rsidRPr="008730C8">
              <w:rPr>
                <w:rFonts w:ascii="Book Antiqua" w:hAnsi="Book Antiqua"/>
                <w:sz w:val="24"/>
                <w:szCs w:val="24"/>
                <w:lang w:val="en-GB"/>
              </w:rPr>
              <w:t xml:space="preserve"> respectively</w:t>
            </w:r>
          </w:p>
        </w:tc>
        <w:tc>
          <w:tcPr>
            <w:tcW w:w="1843" w:type="dxa"/>
          </w:tcPr>
          <w:p w14:paraId="07B78046"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25C0A5F8" w14:textId="3AE5A710" w:rsidR="00DC260E" w:rsidRPr="008730C8" w:rsidRDefault="009B5625"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0</w:t>
            </w:r>
          </w:p>
        </w:tc>
      </w:tr>
      <w:tr w:rsidR="009B5625" w:rsidRPr="008730C8" w14:paraId="5DC51F4D" w14:textId="77777777" w:rsidTr="00F1468D">
        <w:tc>
          <w:tcPr>
            <w:tcW w:w="2268" w:type="dxa"/>
          </w:tcPr>
          <w:p w14:paraId="5DAA56FE" w14:textId="4E73094D" w:rsidR="00DC260E" w:rsidRPr="008730C8" w:rsidRDefault="00DC260E"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Hocke </w:t>
            </w:r>
            <w:r w:rsidR="007337E2" w:rsidRPr="007337E2">
              <w:rPr>
                <w:rFonts w:ascii="Book Antiqua" w:hAnsi="Book Antiqua"/>
                <w:i/>
                <w:sz w:val="24"/>
                <w:szCs w:val="24"/>
                <w:lang w:val="en-GB"/>
              </w:rPr>
              <w:t>et al</w:t>
            </w:r>
            <w:r w:rsidR="009B5625" w:rsidRPr="008730C8">
              <w:rPr>
                <w:rFonts w:ascii="Book Antiqua" w:hAnsi="Book Antiqua"/>
                <w:sz w:val="24"/>
                <w:szCs w:val="24"/>
                <w:vertAlign w:val="superscript"/>
                <w:lang w:val="en-GB" w:eastAsia="zh-CN"/>
              </w:rPr>
              <w:t>[</w:t>
            </w:r>
            <w:r w:rsidR="009B5625" w:rsidRPr="008730C8">
              <w:rPr>
                <w:rFonts w:ascii="Book Antiqua" w:hAnsi="Book Antiqua"/>
                <w:sz w:val="24"/>
                <w:szCs w:val="24"/>
                <w:vertAlign w:val="superscript"/>
                <w:lang w:val="en-GB"/>
              </w:rPr>
              <w:t>36</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9B5625" w:rsidRPr="008730C8">
              <w:rPr>
                <w:rFonts w:ascii="Book Antiqua" w:hAnsi="Book Antiqua"/>
                <w:sz w:val="24"/>
                <w:szCs w:val="24"/>
                <w:lang w:val="en-GB"/>
              </w:rPr>
              <w:t xml:space="preserve"> 2014</w:t>
            </w:r>
          </w:p>
        </w:tc>
        <w:tc>
          <w:tcPr>
            <w:tcW w:w="993" w:type="dxa"/>
          </w:tcPr>
          <w:p w14:paraId="6AD83286"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708" w:type="dxa"/>
          </w:tcPr>
          <w:p w14:paraId="0317403C"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125</w:t>
            </w:r>
          </w:p>
        </w:tc>
        <w:tc>
          <w:tcPr>
            <w:tcW w:w="10490" w:type="dxa"/>
          </w:tcPr>
          <w:p w14:paraId="2E07F386" w14:textId="3E75B449"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Differential diagnosis between non-neoplastic cysts and PCNs.</w:t>
            </w:r>
          </w:p>
          <w:p w14:paraId="0216183A" w14:textId="6D79BF99" w:rsidR="00DC260E" w:rsidRPr="008730C8" w:rsidRDefault="00C6472C"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Hyperenhancement: 100</w:t>
            </w:r>
            <w:r w:rsidR="00DC260E" w:rsidRPr="008730C8">
              <w:rPr>
                <w:rFonts w:ascii="Book Antiqua" w:hAnsi="Book Antiqua"/>
                <w:sz w:val="24"/>
                <w:szCs w:val="24"/>
                <w:lang w:val="en-GB"/>
              </w:rPr>
              <w:t>% PCNs</w:t>
            </w:r>
          </w:p>
          <w:p w14:paraId="24AC2A8F" w14:textId="2073A9A3" w:rsidR="00DC260E" w:rsidRPr="008730C8" w:rsidRDefault="00C6472C"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Hypoenhancement: 94</w:t>
            </w:r>
            <w:r w:rsidR="00DC260E" w:rsidRPr="008730C8">
              <w:rPr>
                <w:rFonts w:ascii="Book Antiqua" w:hAnsi="Book Antiqua"/>
                <w:sz w:val="24"/>
                <w:szCs w:val="24"/>
                <w:lang w:val="en-GB"/>
              </w:rPr>
              <w:t>% non-neoplastic cysts (PCs and dysontogenic cysts)</w:t>
            </w:r>
          </w:p>
          <w:p w14:paraId="7BE98059" w14:textId="181CBEF2"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CH-EUS superior to EUS in differential diagnosis between PCNs and non-neoplastic cysts (</w:t>
            </w:r>
            <w:r w:rsidR="003D32E5" w:rsidRPr="008730C8">
              <w:rPr>
                <w:rFonts w:ascii="Book Antiqua" w:hAnsi="Book Antiqua"/>
                <w:sz w:val="24"/>
                <w:szCs w:val="24"/>
                <w:vertAlign w:val="superscript"/>
                <w:lang w:val="en-GB"/>
              </w:rPr>
              <w:t>a</w:t>
            </w:r>
            <w:r w:rsidR="009B5625" w:rsidRPr="008730C8">
              <w:rPr>
                <w:rFonts w:ascii="Book Antiqua" w:hAnsi="Book Antiqua"/>
                <w:i/>
                <w:sz w:val="24"/>
                <w:szCs w:val="24"/>
                <w:lang w:val="en-GB"/>
              </w:rPr>
              <w:t>P</w:t>
            </w:r>
            <w:r w:rsidRPr="008730C8">
              <w:rPr>
                <w:rFonts w:ascii="Book Antiqua" w:hAnsi="Book Antiqua"/>
                <w:i/>
                <w:sz w:val="24"/>
                <w:szCs w:val="24"/>
                <w:lang w:val="en-GB"/>
              </w:rPr>
              <w:t xml:space="preserve"> </w:t>
            </w:r>
            <w:r w:rsidRPr="008730C8">
              <w:rPr>
                <w:rFonts w:ascii="Book Antiqua" w:hAnsi="Book Antiqua"/>
                <w:sz w:val="24"/>
                <w:szCs w:val="24"/>
                <w:lang w:val="en-GB"/>
              </w:rPr>
              <w:t>&lt; 0.001)</w:t>
            </w:r>
          </w:p>
        </w:tc>
        <w:tc>
          <w:tcPr>
            <w:tcW w:w="1843" w:type="dxa"/>
          </w:tcPr>
          <w:p w14:paraId="47EDC35A"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076C38A1" w14:textId="56E0F25B" w:rsidR="00DC260E" w:rsidRPr="008730C8" w:rsidRDefault="009B5625"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0</w:t>
            </w:r>
          </w:p>
        </w:tc>
      </w:tr>
      <w:tr w:rsidR="009B5625" w:rsidRPr="008730C8" w14:paraId="34467000" w14:textId="77777777" w:rsidTr="00F1468D">
        <w:tc>
          <w:tcPr>
            <w:tcW w:w="2268" w:type="dxa"/>
          </w:tcPr>
          <w:p w14:paraId="6E4EAA42" w14:textId="4EEA82A6" w:rsidR="00DC260E" w:rsidRPr="008730C8" w:rsidRDefault="00DC260E"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Harima </w:t>
            </w:r>
            <w:r w:rsidR="007337E2" w:rsidRPr="007337E2">
              <w:rPr>
                <w:rFonts w:ascii="Book Antiqua" w:hAnsi="Book Antiqua"/>
                <w:i/>
                <w:sz w:val="24"/>
                <w:szCs w:val="24"/>
                <w:lang w:val="en-GB"/>
              </w:rPr>
              <w:t>et al</w:t>
            </w:r>
            <w:r w:rsidR="009B5625" w:rsidRPr="008730C8">
              <w:rPr>
                <w:rFonts w:ascii="Book Antiqua" w:hAnsi="Book Antiqua"/>
                <w:sz w:val="24"/>
                <w:szCs w:val="24"/>
                <w:vertAlign w:val="superscript"/>
                <w:lang w:val="en-GB" w:eastAsia="zh-CN"/>
              </w:rPr>
              <w:t>[</w:t>
            </w:r>
            <w:r w:rsidR="009B5625" w:rsidRPr="008730C8">
              <w:rPr>
                <w:rFonts w:ascii="Book Antiqua" w:hAnsi="Book Antiqua"/>
                <w:sz w:val="24"/>
                <w:szCs w:val="24"/>
                <w:vertAlign w:val="superscript"/>
                <w:lang w:val="en-GB"/>
              </w:rPr>
              <w:t>41</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9B5625" w:rsidRPr="008730C8">
              <w:rPr>
                <w:rFonts w:ascii="Book Antiqua" w:hAnsi="Book Antiqua"/>
                <w:sz w:val="24"/>
                <w:szCs w:val="24"/>
                <w:lang w:val="en-GB"/>
              </w:rPr>
              <w:t xml:space="preserve"> 2015</w:t>
            </w:r>
          </w:p>
        </w:tc>
        <w:tc>
          <w:tcPr>
            <w:tcW w:w="993" w:type="dxa"/>
          </w:tcPr>
          <w:p w14:paraId="5AE68549"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708" w:type="dxa"/>
          </w:tcPr>
          <w:p w14:paraId="58941D28"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30</w:t>
            </w:r>
          </w:p>
        </w:tc>
        <w:tc>
          <w:tcPr>
            <w:tcW w:w="10490" w:type="dxa"/>
          </w:tcPr>
          <w:p w14:paraId="452F66FD"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Performance for diagnosing mural nodules</w:t>
            </w:r>
          </w:p>
          <w:p w14:paraId="468EE17C" w14:textId="50E30096"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CT:</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Sen 71</w:t>
            </w:r>
            <w:r w:rsidR="005B0B1D">
              <w:rPr>
                <w:rFonts w:ascii="Book Antiqua" w:hAnsi="Book Antiqua"/>
                <w:sz w:val="24"/>
                <w:szCs w:val="24"/>
                <w:lang w:val="en-GB"/>
              </w:rPr>
              <w:t>%</w:t>
            </w:r>
            <w:r w:rsidRPr="008730C8">
              <w:rPr>
                <w:rFonts w:ascii="Book Antiqua" w:hAnsi="Book Antiqua"/>
                <w:sz w:val="24"/>
                <w:szCs w:val="24"/>
                <w:lang w:val="en-GB"/>
              </w:rPr>
              <w:t>, Spe 100</w:t>
            </w:r>
            <w:r w:rsidR="005B0B1D">
              <w:rPr>
                <w:rFonts w:ascii="Book Antiqua" w:hAnsi="Book Antiqua"/>
                <w:sz w:val="24"/>
                <w:szCs w:val="24"/>
                <w:lang w:val="en-GB"/>
              </w:rPr>
              <w:t>%</w:t>
            </w:r>
            <w:r w:rsidRPr="008730C8">
              <w:rPr>
                <w:rFonts w:ascii="Book Antiqua" w:hAnsi="Book Antiqua"/>
                <w:sz w:val="24"/>
                <w:szCs w:val="24"/>
                <w:lang w:val="en-GB"/>
              </w:rPr>
              <w:t>, PPV 100</w:t>
            </w:r>
            <w:r w:rsidR="005B0B1D">
              <w:rPr>
                <w:rFonts w:ascii="Book Antiqua" w:hAnsi="Book Antiqua"/>
                <w:sz w:val="24"/>
                <w:szCs w:val="24"/>
                <w:lang w:val="en-GB"/>
              </w:rPr>
              <w:t>%</w:t>
            </w:r>
            <w:r w:rsidRPr="008730C8">
              <w:rPr>
                <w:rFonts w:ascii="Book Antiqua" w:hAnsi="Book Antiqua"/>
                <w:sz w:val="24"/>
                <w:szCs w:val="24"/>
                <w:lang w:val="en-GB"/>
              </w:rPr>
              <w:t>, NPV 90</w:t>
            </w:r>
            <w:r w:rsidR="005B0B1D">
              <w:rPr>
                <w:rFonts w:ascii="Book Antiqua" w:hAnsi="Book Antiqua"/>
                <w:sz w:val="24"/>
                <w:szCs w:val="24"/>
                <w:lang w:val="en-GB"/>
              </w:rPr>
              <w:t>%</w:t>
            </w:r>
            <w:r w:rsidRPr="008730C8">
              <w:rPr>
                <w:rFonts w:ascii="Book Antiqua" w:hAnsi="Book Antiqua"/>
                <w:sz w:val="24"/>
                <w:szCs w:val="24"/>
                <w:lang w:val="en-GB"/>
              </w:rPr>
              <w:t>, A 92</w:t>
            </w:r>
            <w:r w:rsidR="005B0B1D">
              <w:rPr>
                <w:rFonts w:ascii="Book Antiqua" w:hAnsi="Book Antiqua"/>
                <w:sz w:val="24"/>
                <w:szCs w:val="24"/>
                <w:lang w:val="en-GB"/>
              </w:rPr>
              <w:t>%</w:t>
            </w:r>
          </w:p>
          <w:p w14:paraId="726D2943" w14:textId="33140FDD"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EUS:</w:t>
            </w:r>
            <w:r w:rsidR="00C6472C" w:rsidRPr="008730C8">
              <w:rPr>
                <w:rFonts w:ascii="Book Antiqua" w:hAnsi="Book Antiqua"/>
                <w:sz w:val="24"/>
                <w:szCs w:val="24"/>
                <w:lang w:val="en-GB" w:eastAsia="zh-CN"/>
              </w:rPr>
              <w:t xml:space="preserve"> </w:t>
            </w:r>
            <w:r w:rsidR="00C6472C" w:rsidRPr="008730C8">
              <w:rPr>
                <w:rFonts w:ascii="Book Antiqua" w:hAnsi="Book Antiqua"/>
                <w:sz w:val="24"/>
                <w:szCs w:val="24"/>
                <w:lang w:val="en-GB"/>
              </w:rPr>
              <w:t>Sen 72%, Spe 61%, PPV 50%, NPV 100%, A 72</w:t>
            </w:r>
            <w:r w:rsidRPr="008730C8">
              <w:rPr>
                <w:rFonts w:ascii="Book Antiqua" w:hAnsi="Book Antiqua"/>
                <w:sz w:val="24"/>
                <w:szCs w:val="24"/>
                <w:lang w:val="en-GB"/>
              </w:rPr>
              <w:t>%</w:t>
            </w:r>
          </w:p>
          <w:p w14:paraId="60D4D9A9" w14:textId="0FCCA917" w:rsidR="00DC260E" w:rsidRPr="008730C8" w:rsidRDefault="00542F5E" w:rsidP="008730C8">
            <w:pPr>
              <w:pStyle w:val="ListParagraph"/>
              <w:adjustRightInd w:val="0"/>
              <w:snapToGrid w:val="0"/>
              <w:spacing w:line="360" w:lineRule="auto"/>
              <w:ind w:left="0"/>
              <w:contextualSpacing w:val="0"/>
              <w:jc w:val="both"/>
              <w:rPr>
                <w:rFonts w:ascii="Book Antiqua" w:hAnsi="Book Antiqua"/>
                <w:sz w:val="24"/>
                <w:szCs w:val="24"/>
                <w:lang w:val="en-GB"/>
              </w:rPr>
            </w:pPr>
            <w:r>
              <w:rPr>
                <w:rFonts w:ascii="Book Antiqua" w:hAnsi="Book Antiqua"/>
                <w:sz w:val="24"/>
                <w:szCs w:val="24"/>
                <w:lang w:val="en-GB"/>
              </w:rPr>
              <w:t xml:space="preserve">CH-EUS: </w:t>
            </w:r>
            <w:r w:rsidR="00C6472C" w:rsidRPr="008730C8">
              <w:rPr>
                <w:rFonts w:ascii="Book Antiqua" w:hAnsi="Book Antiqua"/>
                <w:sz w:val="24"/>
                <w:szCs w:val="24"/>
                <w:lang w:val="en-GB"/>
              </w:rPr>
              <w:t>Sen 100%, Spe 97%, PPV 93%, NPV 100%, A 98</w:t>
            </w:r>
            <w:r w:rsidR="00DC260E" w:rsidRPr="008730C8">
              <w:rPr>
                <w:rFonts w:ascii="Book Antiqua" w:hAnsi="Book Antiqua"/>
                <w:sz w:val="24"/>
                <w:szCs w:val="24"/>
                <w:lang w:val="en-GB"/>
              </w:rPr>
              <w:t>%</w:t>
            </w:r>
          </w:p>
        </w:tc>
        <w:tc>
          <w:tcPr>
            <w:tcW w:w="1843" w:type="dxa"/>
          </w:tcPr>
          <w:p w14:paraId="60AF1F01"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394557CF" w14:textId="04CA1476" w:rsidR="00DC260E" w:rsidRPr="008730C8" w:rsidRDefault="009B5625"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0</w:t>
            </w:r>
          </w:p>
        </w:tc>
      </w:tr>
      <w:tr w:rsidR="009B5625" w:rsidRPr="008730C8" w14:paraId="409BC06D" w14:textId="77777777" w:rsidTr="00F1468D">
        <w:tc>
          <w:tcPr>
            <w:tcW w:w="2268" w:type="dxa"/>
          </w:tcPr>
          <w:p w14:paraId="0D4374A3" w14:textId="26914BB8" w:rsidR="00DC260E" w:rsidRPr="008730C8" w:rsidRDefault="00DC260E" w:rsidP="008730C8">
            <w:pPr>
              <w:adjustRightInd w:val="0"/>
              <w:snapToGrid w:val="0"/>
              <w:spacing w:line="360" w:lineRule="auto"/>
              <w:jc w:val="both"/>
              <w:rPr>
                <w:rFonts w:ascii="Book Antiqua" w:hAnsi="Book Antiqua"/>
                <w:sz w:val="24"/>
                <w:szCs w:val="24"/>
                <w:vertAlign w:val="superscript"/>
                <w:lang w:val="en-GB"/>
              </w:rPr>
            </w:pPr>
            <w:r w:rsidRPr="008730C8">
              <w:rPr>
                <w:rFonts w:ascii="Book Antiqua" w:hAnsi="Book Antiqua"/>
                <w:sz w:val="24"/>
                <w:szCs w:val="24"/>
                <w:lang w:val="en-GB"/>
              </w:rPr>
              <w:t xml:space="preserve">Fujita </w:t>
            </w:r>
            <w:r w:rsidR="007337E2" w:rsidRPr="007337E2">
              <w:rPr>
                <w:rFonts w:ascii="Book Antiqua" w:hAnsi="Book Antiqua"/>
                <w:i/>
                <w:sz w:val="24"/>
                <w:szCs w:val="24"/>
                <w:lang w:val="en-GB"/>
              </w:rPr>
              <w:t>et al</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40</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Pr="008730C8">
              <w:rPr>
                <w:rFonts w:ascii="Book Antiqua" w:hAnsi="Book Antiqua"/>
                <w:sz w:val="24"/>
                <w:szCs w:val="24"/>
                <w:lang w:val="en-GB"/>
              </w:rPr>
              <w:t xml:space="preserve"> 2016 </w:t>
            </w:r>
          </w:p>
        </w:tc>
        <w:tc>
          <w:tcPr>
            <w:tcW w:w="993" w:type="dxa"/>
          </w:tcPr>
          <w:p w14:paraId="6FDE5360"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708" w:type="dxa"/>
          </w:tcPr>
          <w:p w14:paraId="3F3172A0"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50</w:t>
            </w:r>
          </w:p>
        </w:tc>
        <w:tc>
          <w:tcPr>
            <w:tcW w:w="10490" w:type="dxa"/>
          </w:tcPr>
          <w:p w14:paraId="67073B90"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Sensitivity for diagnosing mural nodules:</w:t>
            </w:r>
          </w:p>
          <w:p w14:paraId="1B85028B" w14:textId="0DA28357"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fr-FR"/>
              </w:rPr>
            </w:pPr>
            <w:r w:rsidRPr="008730C8">
              <w:rPr>
                <w:rFonts w:ascii="Book Antiqua" w:hAnsi="Book Antiqua"/>
                <w:sz w:val="24"/>
                <w:szCs w:val="24"/>
                <w:lang w:val="fr-FR"/>
              </w:rPr>
              <w:t>CT: 86</w:t>
            </w:r>
            <w:r w:rsidR="005B0B1D">
              <w:rPr>
                <w:rFonts w:ascii="Book Antiqua" w:hAnsi="Book Antiqua"/>
                <w:sz w:val="24"/>
                <w:szCs w:val="24"/>
                <w:lang w:val="fr-FR"/>
              </w:rPr>
              <w:t>%</w:t>
            </w:r>
            <w:r w:rsidR="00542F5E">
              <w:rPr>
                <w:rFonts w:ascii="Book Antiqua" w:hAnsi="Book Antiqua"/>
                <w:sz w:val="24"/>
                <w:szCs w:val="24"/>
                <w:lang w:val="fr-FR"/>
              </w:rPr>
              <w:t xml:space="preserve"> </w:t>
            </w:r>
            <w:r w:rsidRPr="008730C8">
              <w:rPr>
                <w:rFonts w:ascii="Book Antiqua" w:hAnsi="Book Antiqua"/>
                <w:i/>
                <w:sz w:val="24"/>
                <w:szCs w:val="24"/>
                <w:lang w:val="fr-FR"/>
              </w:rPr>
              <w:t>vs</w:t>
            </w:r>
            <w:r w:rsidR="00C6472C" w:rsidRPr="008730C8">
              <w:rPr>
                <w:rFonts w:ascii="Book Antiqua" w:hAnsi="Book Antiqua"/>
                <w:sz w:val="24"/>
                <w:szCs w:val="24"/>
                <w:lang w:val="fr-FR"/>
              </w:rPr>
              <w:t xml:space="preserve"> MRI 71</w:t>
            </w:r>
            <w:r w:rsidR="00542F5E">
              <w:rPr>
                <w:rFonts w:ascii="Book Antiqua" w:hAnsi="Book Antiqua"/>
                <w:sz w:val="24"/>
                <w:szCs w:val="24"/>
                <w:lang w:val="fr-FR"/>
              </w:rPr>
              <w:t>%</w:t>
            </w:r>
            <w:r w:rsidRPr="008730C8">
              <w:rPr>
                <w:rFonts w:ascii="Book Antiqua" w:hAnsi="Book Antiqua"/>
                <w:i/>
                <w:sz w:val="24"/>
                <w:szCs w:val="24"/>
                <w:lang w:val="fr-FR"/>
              </w:rPr>
              <w:t xml:space="preserve"> vs</w:t>
            </w:r>
            <w:r w:rsidR="00542F5E">
              <w:rPr>
                <w:rFonts w:ascii="Book Antiqua" w:hAnsi="Book Antiqua"/>
                <w:sz w:val="24"/>
                <w:szCs w:val="24"/>
                <w:lang w:val="fr-FR"/>
              </w:rPr>
              <w:t xml:space="preserve"> </w:t>
            </w:r>
            <w:r w:rsidR="00C6472C" w:rsidRPr="008730C8">
              <w:rPr>
                <w:rFonts w:ascii="Book Antiqua" w:hAnsi="Book Antiqua"/>
                <w:sz w:val="24"/>
                <w:szCs w:val="24"/>
                <w:lang w:val="fr-FR"/>
              </w:rPr>
              <w:t>EUS 100</w:t>
            </w:r>
            <w:r w:rsidRPr="008730C8">
              <w:rPr>
                <w:rFonts w:ascii="Book Antiqua" w:hAnsi="Book Antiqua"/>
                <w:sz w:val="24"/>
                <w:szCs w:val="24"/>
                <w:lang w:val="fr-FR"/>
              </w:rPr>
              <w:t>%</w:t>
            </w:r>
          </w:p>
          <w:p w14:paraId="58BF524E" w14:textId="77777777"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EUS was not able to distinguish mural nodules from mucus clots</w:t>
            </w:r>
          </w:p>
          <w:p w14:paraId="3EC562F0" w14:textId="77777777"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CH-EUS correctly differentiated mural nodules from mucus clots in all cases</w:t>
            </w:r>
          </w:p>
        </w:tc>
        <w:tc>
          <w:tcPr>
            <w:tcW w:w="1843" w:type="dxa"/>
          </w:tcPr>
          <w:p w14:paraId="35715A8B"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58AB59AA" w14:textId="4E00B741" w:rsidR="00DC260E" w:rsidRPr="008730C8" w:rsidRDefault="00C6472C"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0</w:t>
            </w:r>
          </w:p>
        </w:tc>
      </w:tr>
      <w:tr w:rsidR="009B5625" w:rsidRPr="008730C8" w14:paraId="6C99EB32" w14:textId="77777777" w:rsidTr="00F1468D">
        <w:tc>
          <w:tcPr>
            <w:tcW w:w="2268" w:type="dxa"/>
          </w:tcPr>
          <w:p w14:paraId="3231DE21" w14:textId="792637B1" w:rsidR="00DC260E" w:rsidRPr="008730C8" w:rsidRDefault="00DC260E"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Fusaroli </w:t>
            </w:r>
            <w:r w:rsidR="007337E2" w:rsidRPr="007337E2">
              <w:rPr>
                <w:rFonts w:ascii="Book Antiqua" w:hAnsi="Book Antiqua"/>
                <w:i/>
                <w:sz w:val="24"/>
                <w:szCs w:val="24"/>
                <w:lang w:val="en-GB"/>
              </w:rPr>
              <w:t>et al</w:t>
            </w:r>
            <w:r w:rsidR="009B5625" w:rsidRPr="008730C8">
              <w:rPr>
                <w:rFonts w:ascii="Book Antiqua" w:hAnsi="Book Antiqua"/>
                <w:sz w:val="24"/>
                <w:szCs w:val="24"/>
                <w:vertAlign w:val="superscript"/>
                <w:lang w:val="en-GB" w:eastAsia="zh-CN"/>
              </w:rPr>
              <w:t>[</w:t>
            </w:r>
            <w:r w:rsidR="009B5625" w:rsidRPr="008730C8">
              <w:rPr>
                <w:rFonts w:ascii="Book Antiqua" w:hAnsi="Book Antiqua"/>
                <w:sz w:val="24"/>
                <w:szCs w:val="24"/>
                <w:vertAlign w:val="superscript"/>
                <w:lang w:val="en-GB"/>
              </w:rPr>
              <w:t>37</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9B5625" w:rsidRPr="008730C8">
              <w:rPr>
                <w:rFonts w:ascii="Book Antiqua" w:hAnsi="Book Antiqua"/>
                <w:sz w:val="24"/>
                <w:szCs w:val="24"/>
                <w:lang w:val="en-GB"/>
              </w:rPr>
              <w:t xml:space="preserve"> 2016</w:t>
            </w:r>
          </w:p>
        </w:tc>
        <w:tc>
          <w:tcPr>
            <w:tcW w:w="993" w:type="dxa"/>
          </w:tcPr>
          <w:p w14:paraId="3E236B3C"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708" w:type="dxa"/>
          </w:tcPr>
          <w:p w14:paraId="6FD5AF11"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76</w:t>
            </w:r>
          </w:p>
        </w:tc>
        <w:tc>
          <w:tcPr>
            <w:tcW w:w="10490" w:type="dxa"/>
          </w:tcPr>
          <w:p w14:paraId="73AA09F2"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Differential diagnosis between non-neoplastic cysts and PCNs and between benign and malignant cysts.</w:t>
            </w:r>
          </w:p>
          <w:p w14:paraId="5D4C82F9" w14:textId="0C08640C" w:rsidR="00DC260E" w:rsidRPr="008730C8" w:rsidRDefault="00C6472C"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Hyperenhancement: 86</w:t>
            </w:r>
            <w:r w:rsidR="00DC260E" w:rsidRPr="008730C8">
              <w:rPr>
                <w:rFonts w:ascii="Book Antiqua" w:hAnsi="Book Antiqua"/>
                <w:sz w:val="24"/>
                <w:szCs w:val="24"/>
                <w:lang w:val="en-GB"/>
              </w:rPr>
              <w:t>% SCAs and 89</w:t>
            </w:r>
            <w:r w:rsidR="005B0B1D">
              <w:rPr>
                <w:rFonts w:ascii="Book Antiqua" w:hAnsi="Book Antiqua"/>
                <w:sz w:val="24"/>
                <w:szCs w:val="24"/>
                <w:lang w:val="en-GB"/>
              </w:rPr>
              <w:t>%</w:t>
            </w:r>
            <w:r w:rsidR="00DC260E" w:rsidRPr="008730C8">
              <w:rPr>
                <w:rFonts w:ascii="Book Antiqua" w:hAnsi="Book Antiqua"/>
                <w:sz w:val="24"/>
                <w:szCs w:val="24"/>
                <w:lang w:val="en-GB"/>
              </w:rPr>
              <w:t xml:space="preserve"> mucinous cysts (</w:t>
            </w:r>
            <w:r w:rsidRPr="008730C8">
              <w:rPr>
                <w:rFonts w:ascii="Book Antiqua" w:hAnsi="Book Antiqua"/>
                <w:i/>
                <w:sz w:val="24"/>
                <w:szCs w:val="24"/>
                <w:lang w:val="en-GB"/>
              </w:rPr>
              <w:t>P</w:t>
            </w:r>
            <w:r w:rsidRPr="008730C8">
              <w:rPr>
                <w:rFonts w:ascii="Book Antiqua" w:hAnsi="Book Antiqua"/>
                <w:sz w:val="24"/>
                <w:szCs w:val="24"/>
                <w:lang w:val="en-GB" w:eastAsia="zh-CN"/>
              </w:rPr>
              <w:t xml:space="preserve"> </w:t>
            </w:r>
            <w:r w:rsidR="00DC260E" w:rsidRPr="008730C8">
              <w:rPr>
                <w:rFonts w:ascii="Book Antiqua" w:hAnsi="Book Antiqua"/>
                <w:sz w:val="24"/>
                <w:szCs w:val="24"/>
                <w:lang w:val="en-GB"/>
              </w:rPr>
              <w:t>=</w:t>
            </w:r>
            <w:r w:rsidRPr="008730C8">
              <w:rPr>
                <w:rFonts w:ascii="Book Antiqua" w:hAnsi="Book Antiqua"/>
                <w:sz w:val="24"/>
                <w:szCs w:val="24"/>
                <w:lang w:val="en-GB" w:eastAsia="zh-CN"/>
              </w:rPr>
              <w:t xml:space="preserve"> </w:t>
            </w:r>
            <w:r w:rsidR="00DC260E" w:rsidRPr="008730C8">
              <w:rPr>
                <w:rFonts w:ascii="Book Antiqua" w:hAnsi="Book Antiqua"/>
                <w:sz w:val="24"/>
                <w:szCs w:val="24"/>
                <w:lang w:val="en-GB"/>
              </w:rPr>
              <w:t>ns)</w:t>
            </w:r>
          </w:p>
          <w:p w14:paraId="5B496040" w14:textId="2A8C9B03" w:rsidR="00DC260E" w:rsidRPr="008730C8" w:rsidRDefault="00C6472C"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Hypoenhancement: 90</w:t>
            </w:r>
            <w:r w:rsidR="00DC260E" w:rsidRPr="008730C8">
              <w:rPr>
                <w:rFonts w:ascii="Book Antiqua" w:hAnsi="Book Antiqua"/>
                <w:sz w:val="24"/>
                <w:szCs w:val="24"/>
                <w:lang w:val="en-GB"/>
              </w:rPr>
              <w:t>% PCs (</w:t>
            </w:r>
            <w:r w:rsidR="00DB5BF6" w:rsidRPr="008730C8">
              <w:rPr>
                <w:rFonts w:ascii="Book Antiqua" w:hAnsi="Book Antiqua"/>
                <w:sz w:val="24"/>
                <w:szCs w:val="24"/>
                <w:vertAlign w:val="superscript"/>
                <w:lang w:val="en-GB"/>
              </w:rPr>
              <w:t>b</w:t>
            </w:r>
            <w:r w:rsidRPr="008730C8">
              <w:rPr>
                <w:rFonts w:ascii="Book Antiqua" w:hAnsi="Book Antiqua"/>
                <w:i/>
                <w:sz w:val="24"/>
                <w:szCs w:val="24"/>
                <w:lang w:val="en-GB"/>
              </w:rPr>
              <w:t>P</w:t>
            </w:r>
            <w:r w:rsidRPr="008730C8">
              <w:rPr>
                <w:rFonts w:ascii="Book Antiqua" w:hAnsi="Book Antiqua"/>
                <w:sz w:val="24"/>
                <w:szCs w:val="24"/>
                <w:lang w:val="en-GB" w:eastAsia="zh-CN"/>
              </w:rPr>
              <w:t xml:space="preserve"> </w:t>
            </w:r>
            <w:r w:rsidR="00DC260E" w:rsidRPr="008730C8">
              <w:rPr>
                <w:rFonts w:ascii="Book Antiqua" w:hAnsi="Book Antiqua"/>
                <w:sz w:val="24"/>
                <w:szCs w:val="24"/>
                <w:lang w:val="en-GB"/>
              </w:rPr>
              <w:t xml:space="preserve">&lt; 0.000004 </w:t>
            </w:r>
            <w:r w:rsidR="00DC260E" w:rsidRPr="008730C8">
              <w:rPr>
                <w:rFonts w:ascii="Book Antiqua" w:hAnsi="Book Antiqua"/>
                <w:i/>
                <w:sz w:val="24"/>
                <w:szCs w:val="24"/>
                <w:lang w:val="en-GB"/>
              </w:rPr>
              <w:t xml:space="preserve">vs </w:t>
            </w:r>
            <w:r w:rsidR="00DC260E" w:rsidRPr="008730C8">
              <w:rPr>
                <w:rFonts w:ascii="Book Antiqua" w:hAnsi="Book Antiqua"/>
                <w:sz w:val="24"/>
                <w:szCs w:val="24"/>
                <w:lang w:val="en-GB"/>
              </w:rPr>
              <w:t xml:space="preserve">SCAs and </w:t>
            </w:r>
            <w:r w:rsidR="00DB5BF6" w:rsidRPr="008730C8">
              <w:rPr>
                <w:rFonts w:ascii="Book Antiqua" w:hAnsi="Book Antiqua"/>
                <w:sz w:val="24"/>
                <w:szCs w:val="24"/>
                <w:vertAlign w:val="superscript"/>
                <w:lang w:val="en-GB"/>
              </w:rPr>
              <w:t>c</w:t>
            </w:r>
            <w:r w:rsidRPr="008730C8">
              <w:rPr>
                <w:rFonts w:ascii="Book Antiqua" w:hAnsi="Book Antiqua"/>
                <w:i/>
                <w:sz w:val="24"/>
                <w:szCs w:val="24"/>
                <w:lang w:val="en-GB"/>
              </w:rPr>
              <w:t>P</w:t>
            </w:r>
            <w:r w:rsidRPr="008730C8">
              <w:rPr>
                <w:rFonts w:ascii="Book Antiqua" w:hAnsi="Book Antiqua"/>
                <w:sz w:val="24"/>
                <w:szCs w:val="24"/>
                <w:lang w:val="en-GB" w:eastAsia="zh-CN"/>
              </w:rPr>
              <w:t xml:space="preserve"> </w:t>
            </w:r>
            <w:r w:rsidR="00DC260E" w:rsidRPr="008730C8">
              <w:rPr>
                <w:rFonts w:ascii="Book Antiqua" w:hAnsi="Book Antiqua"/>
                <w:sz w:val="24"/>
                <w:szCs w:val="24"/>
                <w:lang w:val="en-GB"/>
              </w:rPr>
              <w:t xml:space="preserve">&lt; 0.000005 </w:t>
            </w:r>
            <w:r w:rsidR="00DC260E" w:rsidRPr="008730C8">
              <w:rPr>
                <w:rFonts w:ascii="Book Antiqua" w:hAnsi="Book Antiqua"/>
                <w:i/>
                <w:sz w:val="24"/>
                <w:szCs w:val="24"/>
                <w:lang w:val="en-GB"/>
              </w:rPr>
              <w:t>vs</w:t>
            </w:r>
            <w:r w:rsidR="00DC260E" w:rsidRPr="008730C8">
              <w:rPr>
                <w:rFonts w:ascii="Book Antiqua" w:hAnsi="Book Antiqua"/>
                <w:sz w:val="24"/>
                <w:szCs w:val="24"/>
                <w:lang w:val="en-GB"/>
              </w:rPr>
              <w:t xml:space="preserve"> mucinous cysts)</w:t>
            </w:r>
          </w:p>
          <w:p w14:paraId="28FE5044" w14:textId="4651340E"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fr-FR"/>
              </w:rPr>
            </w:pPr>
            <w:r w:rsidRPr="008730C8">
              <w:rPr>
                <w:rFonts w:ascii="Book Antiqua" w:hAnsi="Book Antiqua"/>
                <w:sz w:val="24"/>
                <w:szCs w:val="24"/>
                <w:lang w:val="fr-FR"/>
              </w:rPr>
              <w:lastRenderedPageBreak/>
              <w:t xml:space="preserve">Hyperenhanced solid </w:t>
            </w:r>
            <w:r w:rsidR="00E50267" w:rsidRPr="008730C8">
              <w:rPr>
                <w:rFonts w:ascii="Book Antiqua" w:hAnsi="Book Antiqua"/>
                <w:sz w:val="24"/>
                <w:szCs w:val="24"/>
                <w:lang w:val="fr-FR"/>
              </w:rPr>
              <w:t>components :</w:t>
            </w:r>
            <w:r w:rsidR="00C6472C" w:rsidRPr="008730C8">
              <w:rPr>
                <w:rFonts w:ascii="Book Antiqua" w:hAnsi="Book Antiqua"/>
                <w:sz w:val="24"/>
                <w:szCs w:val="24"/>
                <w:lang w:val="fr-FR"/>
              </w:rPr>
              <w:t xml:space="preserve"> 100</w:t>
            </w:r>
            <w:r w:rsidRPr="008730C8">
              <w:rPr>
                <w:rFonts w:ascii="Book Antiqua" w:hAnsi="Book Antiqua"/>
                <w:sz w:val="24"/>
                <w:szCs w:val="24"/>
                <w:lang w:val="fr-FR"/>
              </w:rPr>
              <w:t>% malignant cysts</w:t>
            </w:r>
          </w:p>
          <w:p w14:paraId="3F5A1273" w14:textId="220D965D"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 xml:space="preserve">Non- </w:t>
            </w:r>
            <w:bookmarkStart w:id="77" w:name="OLE_LINK1"/>
            <w:bookmarkStart w:id="78" w:name="OLE_LINK2"/>
            <w:r w:rsidR="00C6472C" w:rsidRPr="008730C8">
              <w:rPr>
                <w:rFonts w:ascii="Book Antiqua" w:hAnsi="Book Antiqua"/>
                <w:sz w:val="24"/>
                <w:szCs w:val="24"/>
                <w:lang w:val="en-GB"/>
              </w:rPr>
              <w:t>hype</w:t>
            </w:r>
            <w:r w:rsidR="00C6472C" w:rsidRPr="008730C8">
              <w:rPr>
                <w:rFonts w:ascii="Book Antiqua" w:hAnsi="Book Antiqua"/>
                <w:sz w:val="24"/>
                <w:szCs w:val="24"/>
                <w:lang w:val="en-GB" w:eastAsia="zh-CN"/>
              </w:rPr>
              <w:t>-</w:t>
            </w:r>
            <w:r w:rsidRPr="008730C8">
              <w:rPr>
                <w:rFonts w:ascii="Book Antiqua" w:hAnsi="Book Antiqua"/>
                <w:sz w:val="24"/>
                <w:szCs w:val="24"/>
                <w:lang w:val="en-GB"/>
              </w:rPr>
              <w:t xml:space="preserve">enhanced </w:t>
            </w:r>
            <w:bookmarkEnd w:id="77"/>
            <w:bookmarkEnd w:id="78"/>
            <w:r w:rsidRPr="008730C8">
              <w:rPr>
                <w:rFonts w:ascii="Book Antiqua" w:hAnsi="Book Antiqua"/>
                <w:sz w:val="24"/>
                <w:szCs w:val="24"/>
                <w:lang w:val="en-GB"/>
              </w:rPr>
              <w:t xml:space="preserve">solid </w:t>
            </w:r>
            <w:r w:rsidR="00E50267" w:rsidRPr="008730C8">
              <w:rPr>
                <w:rFonts w:ascii="Book Antiqua" w:hAnsi="Book Antiqua"/>
                <w:sz w:val="24"/>
                <w:szCs w:val="24"/>
                <w:lang w:val="en-GB"/>
              </w:rPr>
              <w:t>components:</w:t>
            </w:r>
            <w:r w:rsidRPr="008730C8">
              <w:rPr>
                <w:rFonts w:ascii="Book Antiqua" w:hAnsi="Book Antiqua"/>
                <w:sz w:val="24"/>
                <w:szCs w:val="24"/>
                <w:lang w:val="en-GB"/>
              </w:rPr>
              <w:t xml:space="preserve"> 100% benign cysts</w:t>
            </w:r>
          </w:p>
        </w:tc>
        <w:tc>
          <w:tcPr>
            <w:tcW w:w="1843" w:type="dxa"/>
          </w:tcPr>
          <w:p w14:paraId="7D82A622"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182C56D2"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780B827D" w14:textId="6D3EA46F" w:rsidR="00DC260E" w:rsidRPr="008730C8" w:rsidRDefault="00C6472C"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0</w:t>
            </w:r>
          </w:p>
        </w:tc>
      </w:tr>
      <w:tr w:rsidR="009B5625" w:rsidRPr="008730C8" w14:paraId="6EECF160" w14:textId="77777777" w:rsidTr="00F1468D">
        <w:tc>
          <w:tcPr>
            <w:tcW w:w="2268" w:type="dxa"/>
          </w:tcPr>
          <w:p w14:paraId="67E0CBAE" w14:textId="35E7B902" w:rsidR="00DC260E" w:rsidRPr="008730C8" w:rsidRDefault="00DC260E"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Kamata </w:t>
            </w:r>
            <w:r w:rsidR="007337E2" w:rsidRPr="007337E2">
              <w:rPr>
                <w:rFonts w:ascii="Book Antiqua" w:hAnsi="Book Antiqua"/>
                <w:i/>
                <w:sz w:val="24"/>
                <w:szCs w:val="24"/>
                <w:lang w:val="en-GB"/>
              </w:rPr>
              <w:t>et al</w:t>
            </w:r>
            <w:r w:rsidR="009B5625" w:rsidRPr="008730C8">
              <w:rPr>
                <w:rFonts w:ascii="Book Antiqua" w:hAnsi="Book Antiqua"/>
                <w:sz w:val="24"/>
                <w:szCs w:val="24"/>
                <w:vertAlign w:val="superscript"/>
                <w:lang w:val="en-GB" w:eastAsia="zh-CN"/>
              </w:rPr>
              <w:t>[</w:t>
            </w:r>
            <w:r w:rsidR="009B5625" w:rsidRPr="008730C8">
              <w:rPr>
                <w:rFonts w:ascii="Book Antiqua" w:hAnsi="Book Antiqua"/>
                <w:sz w:val="24"/>
                <w:szCs w:val="24"/>
                <w:vertAlign w:val="superscript"/>
                <w:lang w:val="en-GB"/>
              </w:rPr>
              <w:t>38</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 xml:space="preserve">, </w:t>
            </w:r>
            <w:r w:rsidR="009B5625" w:rsidRPr="008730C8">
              <w:rPr>
                <w:rFonts w:ascii="Book Antiqua" w:hAnsi="Book Antiqua"/>
                <w:sz w:val="24"/>
                <w:szCs w:val="24"/>
                <w:lang w:val="en-GB"/>
              </w:rPr>
              <w:t>2016</w:t>
            </w:r>
          </w:p>
        </w:tc>
        <w:tc>
          <w:tcPr>
            <w:tcW w:w="993" w:type="dxa"/>
          </w:tcPr>
          <w:p w14:paraId="35F2CF6B"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708" w:type="dxa"/>
          </w:tcPr>
          <w:p w14:paraId="3F0C035A"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70</w:t>
            </w:r>
          </w:p>
        </w:tc>
        <w:tc>
          <w:tcPr>
            <w:tcW w:w="10490" w:type="dxa"/>
          </w:tcPr>
          <w:p w14:paraId="4AE97879"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Mural nodule as a sign of mucinous cyst</w:t>
            </w:r>
          </w:p>
          <w:p w14:paraId="79BF9F8E" w14:textId="5C663839"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 xml:space="preserve">EUS </w:t>
            </w:r>
            <w:r w:rsidRPr="008730C8">
              <w:rPr>
                <w:rFonts w:ascii="Book Antiqua" w:hAnsi="Book Antiqua"/>
                <w:i/>
                <w:sz w:val="24"/>
                <w:szCs w:val="24"/>
                <w:lang w:val="en-GB"/>
              </w:rPr>
              <w:t>vs</w:t>
            </w:r>
            <w:r w:rsidRPr="008730C8">
              <w:rPr>
                <w:rFonts w:ascii="Book Antiqua" w:hAnsi="Book Antiqua"/>
                <w:sz w:val="24"/>
                <w:szCs w:val="24"/>
                <w:lang w:val="en-GB"/>
              </w:rPr>
              <w:t xml:space="preserve"> CH-EUS: Sen 85</w:t>
            </w:r>
            <w:r w:rsidR="00C6472C" w:rsidRPr="008730C8">
              <w:rPr>
                <w:rFonts w:ascii="Book Antiqua" w:hAnsi="Book Antiqua"/>
                <w:sz w:val="24"/>
                <w:szCs w:val="24"/>
                <w:lang w:val="en-GB" w:eastAsia="zh-CN"/>
              </w:rPr>
              <w:t>%</w:t>
            </w:r>
            <w:r w:rsidRPr="008730C8">
              <w:rPr>
                <w:rFonts w:ascii="Book Antiqua" w:hAnsi="Book Antiqua"/>
                <w:sz w:val="24"/>
                <w:szCs w:val="24"/>
                <w:lang w:val="en-GB"/>
              </w:rPr>
              <w:t xml:space="preserve"> </w:t>
            </w:r>
            <w:r w:rsidRPr="008730C8">
              <w:rPr>
                <w:rFonts w:ascii="Book Antiqua" w:hAnsi="Book Antiqua"/>
                <w:i/>
                <w:sz w:val="24"/>
                <w:szCs w:val="24"/>
                <w:lang w:val="en-GB"/>
              </w:rPr>
              <w:t>vs</w:t>
            </w:r>
            <w:r w:rsidR="00C6472C" w:rsidRPr="008730C8">
              <w:rPr>
                <w:rFonts w:ascii="Book Antiqua" w:hAnsi="Book Antiqua"/>
                <w:sz w:val="24"/>
                <w:szCs w:val="24"/>
                <w:lang w:val="en-GB"/>
              </w:rPr>
              <w:t xml:space="preserve"> 79%, Spe 46</w:t>
            </w:r>
            <w:r w:rsidRPr="008730C8">
              <w:rPr>
                <w:rFonts w:ascii="Book Antiqua" w:hAnsi="Book Antiqua"/>
                <w:sz w:val="24"/>
                <w:szCs w:val="24"/>
                <w:lang w:val="en-GB"/>
              </w:rPr>
              <w:t xml:space="preserve">% </w:t>
            </w:r>
            <w:r w:rsidRPr="008730C8">
              <w:rPr>
                <w:rFonts w:ascii="Book Antiqua" w:hAnsi="Book Antiqua"/>
                <w:i/>
                <w:sz w:val="24"/>
                <w:szCs w:val="24"/>
                <w:lang w:val="en-GB"/>
              </w:rPr>
              <w:t>vs</w:t>
            </w:r>
            <w:r w:rsidR="00C6472C" w:rsidRPr="008730C8">
              <w:rPr>
                <w:rFonts w:ascii="Book Antiqua" w:hAnsi="Book Antiqua"/>
                <w:sz w:val="24"/>
                <w:szCs w:val="24"/>
                <w:lang w:val="en-GB"/>
              </w:rPr>
              <w:t xml:space="preserve"> 96%, A 73</w:t>
            </w:r>
            <w:r w:rsidRPr="008730C8">
              <w:rPr>
                <w:rFonts w:ascii="Book Antiqua" w:hAnsi="Book Antiqua"/>
                <w:sz w:val="24"/>
                <w:szCs w:val="24"/>
                <w:lang w:val="en-GB"/>
              </w:rPr>
              <w:t xml:space="preserve">% </w:t>
            </w:r>
            <w:r w:rsidRPr="008730C8">
              <w:rPr>
                <w:rFonts w:ascii="Book Antiqua" w:hAnsi="Book Antiqua"/>
                <w:i/>
                <w:sz w:val="24"/>
                <w:szCs w:val="24"/>
                <w:lang w:val="en-GB"/>
              </w:rPr>
              <w:t>vs</w:t>
            </w:r>
            <w:r w:rsidR="00C6472C" w:rsidRPr="008730C8">
              <w:rPr>
                <w:rFonts w:ascii="Book Antiqua" w:hAnsi="Book Antiqua"/>
                <w:sz w:val="24"/>
                <w:szCs w:val="24"/>
                <w:lang w:val="en-GB"/>
              </w:rPr>
              <w:t xml:space="preserve"> 84</w:t>
            </w:r>
            <w:r w:rsidRPr="008730C8">
              <w:rPr>
                <w:rFonts w:ascii="Book Antiqua" w:hAnsi="Book Antiqua"/>
                <w:sz w:val="24"/>
                <w:szCs w:val="24"/>
                <w:lang w:val="en-GB"/>
              </w:rPr>
              <w:t>% (</w:t>
            </w:r>
            <w:r w:rsidR="00C6472C" w:rsidRPr="008730C8">
              <w:rPr>
                <w:rFonts w:ascii="Book Antiqua" w:hAnsi="Book Antiqua"/>
                <w:i/>
                <w:sz w:val="24"/>
                <w:szCs w:val="24"/>
                <w:lang w:val="en-GB"/>
              </w:rPr>
              <w:t>P</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0.057)</w:t>
            </w:r>
          </w:p>
          <w:p w14:paraId="4759167A"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Mural nodule as a sign of malignancy</w:t>
            </w:r>
          </w:p>
          <w:p w14:paraId="3FC024F5" w14:textId="484128F7"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 xml:space="preserve">EUS </w:t>
            </w:r>
            <w:r w:rsidRPr="008730C8">
              <w:rPr>
                <w:rFonts w:ascii="Book Antiqua" w:hAnsi="Book Antiqua"/>
                <w:i/>
                <w:sz w:val="24"/>
                <w:szCs w:val="24"/>
                <w:lang w:val="en-GB"/>
              </w:rPr>
              <w:t xml:space="preserve">vs </w:t>
            </w:r>
            <w:r w:rsidR="00C6472C" w:rsidRPr="008730C8">
              <w:rPr>
                <w:rFonts w:ascii="Book Antiqua" w:hAnsi="Book Antiqua"/>
                <w:sz w:val="24"/>
                <w:szCs w:val="24"/>
                <w:lang w:val="en-GB"/>
              </w:rPr>
              <w:t>CH-EUS: Sen 97</w:t>
            </w:r>
            <w:r w:rsidRPr="008730C8">
              <w:rPr>
                <w:rFonts w:ascii="Book Antiqua" w:hAnsi="Book Antiqua"/>
                <w:sz w:val="24"/>
                <w:szCs w:val="24"/>
                <w:lang w:val="en-GB"/>
              </w:rPr>
              <w:t xml:space="preserve">% </w:t>
            </w:r>
            <w:r w:rsidRPr="008730C8">
              <w:rPr>
                <w:rFonts w:ascii="Book Antiqua" w:hAnsi="Book Antiqua"/>
                <w:i/>
                <w:sz w:val="24"/>
                <w:szCs w:val="24"/>
                <w:lang w:val="en-GB"/>
              </w:rPr>
              <w:t>vs</w:t>
            </w:r>
            <w:r w:rsidR="00C6472C" w:rsidRPr="008730C8">
              <w:rPr>
                <w:rFonts w:ascii="Book Antiqua" w:hAnsi="Book Antiqua"/>
                <w:sz w:val="24"/>
                <w:szCs w:val="24"/>
                <w:lang w:val="en-GB"/>
              </w:rPr>
              <w:t xml:space="preserve"> 97%, Spe 40</w:t>
            </w:r>
            <w:r w:rsidRPr="008730C8">
              <w:rPr>
                <w:rFonts w:ascii="Book Antiqua" w:hAnsi="Book Antiqua"/>
                <w:sz w:val="24"/>
                <w:szCs w:val="24"/>
                <w:lang w:val="en-GB"/>
              </w:rPr>
              <w:t xml:space="preserve">% </w:t>
            </w:r>
            <w:r w:rsidRPr="008730C8">
              <w:rPr>
                <w:rFonts w:ascii="Book Antiqua" w:hAnsi="Book Antiqua"/>
                <w:i/>
                <w:sz w:val="24"/>
                <w:szCs w:val="24"/>
                <w:lang w:val="en-GB"/>
              </w:rPr>
              <w:t>vs</w:t>
            </w:r>
            <w:r w:rsidR="00C6472C" w:rsidRPr="008730C8">
              <w:rPr>
                <w:rFonts w:ascii="Book Antiqua" w:hAnsi="Book Antiqua"/>
                <w:sz w:val="24"/>
                <w:szCs w:val="24"/>
                <w:lang w:val="en-GB"/>
              </w:rPr>
              <w:t xml:space="preserve"> 75</w:t>
            </w:r>
            <w:r w:rsidRPr="008730C8">
              <w:rPr>
                <w:rFonts w:ascii="Book Antiqua" w:hAnsi="Book Antiqua"/>
                <w:sz w:val="24"/>
                <w:szCs w:val="24"/>
                <w:lang w:val="en-GB"/>
              </w:rPr>
              <w:t xml:space="preserve">%, A 64% </w:t>
            </w:r>
            <w:r w:rsidRPr="008730C8">
              <w:rPr>
                <w:rFonts w:ascii="Book Antiqua" w:hAnsi="Book Antiqua"/>
                <w:i/>
                <w:sz w:val="24"/>
                <w:szCs w:val="24"/>
                <w:lang w:val="en-GB"/>
              </w:rPr>
              <w:t>vs</w:t>
            </w:r>
            <w:r w:rsidR="00C6472C" w:rsidRPr="008730C8">
              <w:rPr>
                <w:rFonts w:ascii="Book Antiqua" w:hAnsi="Book Antiqua"/>
                <w:sz w:val="24"/>
                <w:szCs w:val="24"/>
                <w:lang w:val="en-GB"/>
              </w:rPr>
              <w:t xml:space="preserve"> 84</w:t>
            </w:r>
            <w:r w:rsidRPr="008730C8">
              <w:rPr>
                <w:rFonts w:ascii="Book Antiqua" w:hAnsi="Book Antiqua"/>
                <w:sz w:val="24"/>
                <w:szCs w:val="24"/>
                <w:lang w:val="en-GB"/>
              </w:rPr>
              <w:t>% (</w:t>
            </w:r>
            <w:r w:rsidR="00DB5BF6" w:rsidRPr="008730C8">
              <w:rPr>
                <w:rFonts w:ascii="Book Antiqua" w:hAnsi="Book Antiqua"/>
                <w:sz w:val="24"/>
                <w:szCs w:val="24"/>
                <w:vertAlign w:val="superscript"/>
                <w:lang w:val="en-GB"/>
              </w:rPr>
              <w:t>d</w:t>
            </w:r>
            <w:r w:rsidR="00C6472C" w:rsidRPr="008730C8">
              <w:rPr>
                <w:rFonts w:ascii="Book Antiqua" w:hAnsi="Book Antiqua"/>
                <w:i/>
                <w:sz w:val="24"/>
                <w:szCs w:val="24"/>
                <w:lang w:val="en-GB"/>
              </w:rPr>
              <w:t>P</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0.0001)</w:t>
            </w:r>
          </w:p>
        </w:tc>
        <w:tc>
          <w:tcPr>
            <w:tcW w:w="1843" w:type="dxa"/>
          </w:tcPr>
          <w:p w14:paraId="49568E4A"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189D8B12" w14:textId="3D74C80C" w:rsidR="00DC260E" w:rsidRPr="008730C8" w:rsidRDefault="00C6472C"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0</w:t>
            </w:r>
          </w:p>
        </w:tc>
      </w:tr>
      <w:tr w:rsidR="009B5625" w:rsidRPr="008730C8" w14:paraId="571FC440" w14:textId="77777777" w:rsidTr="00F1468D">
        <w:tc>
          <w:tcPr>
            <w:tcW w:w="2268" w:type="dxa"/>
          </w:tcPr>
          <w:p w14:paraId="12F4E6CA" w14:textId="4C66A5A3" w:rsidR="00DC260E" w:rsidRPr="008730C8" w:rsidRDefault="00DC260E"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Yamamoto </w:t>
            </w:r>
            <w:r w:rsidR="007337E2" w:rsidRPr="007337E2">
              <w:rPr>
                <w:rFonts w:ascii="Book Antiqua" w:hAnsi="Book Antiqua"/>
                <w:i/>
                <w:sz w:val="24"/>
                <w:szCs w:val="24"/>
                <w:lang w:val="en-GB"/>
              </w:rPr>
              <w:t>et al</w:t>
            </w:r>
            <w:r w:rsidR="009B5625" w:rsidRPr="008730C8">
              <w:rPr>
                <w:rFonts w:ascii="Book Antiqua" w:hAnsi="Book Antiqua"/>
                <w:sz w:val="24"/>
                <w:szCs w:val="24"/>
                <w:vertAlign w:val="superscript"/>
                <w:lang w:val="en-GB" w:eastAsia="zh-CN"/>
              </w:rPr>
              <w:t>[</w:t>
            </w:r>
            <w:r w:rsidR="009B5625" w:rsidRPr="008730C8">
              <w:rPr>
                <w:rFonts w:ascii="Book Antiqua" w:hAnsi="Book Antiqua"/>
                <w:sz w:val="24"/>
                <w:szCs w:val="24"/>
                <w:vertAlign w:val="superscript"/>
                <w:lang w:val="en-GB"/>
              </w:rPr>
              <w:t>42</w:t>
            </w:r>
            <w:r w:rsidR="009B5625"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 xml:space="preserve">, </w:t>
            </w:r>
            <w:r w:rsidR="009B5625" w:rsidRPr="008730C8">
              <w:rPr>
                <w:rFonts w:ascii="Book Antiqua" w:hAnsi="Book Antiqua"/>
                <w:sz w:val="24"/>
                <w:szCs w:val="24"/>
                <w:lang w:val="en-GB"/>
              </w:rPr>
              <w:t>2016</w:t>
            </w:r>
          </w:p>
        </w:tc>
        <w:tc>
          <w:tcPr>
            <w:tcW w:w="993" w:type="dxa"/>
          </w:tcPr>
          <w:p w14:paraId="5846910C"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708" w:type="dxa"/>
          </w:tcPr>
          <w:p w14:paraId="26376602"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30</w:t>
            </w:r>
          </w:p>
        </w:tc>
        <w:tc>
          <w:tcPr>
            <w:tcW w:w="10490" w:type="dxa"/>
          </w:tcPr>
          <w:p w14:paraId="36511CBD"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Quantitative CH-EUS in IPMNs</w:t>
            </w:r>
          </w:p>
          <w:p w14:paraId="60C85979" w14:textId="77777777" w:rsidR="00DC260E" w:rsidRPr="008730C8" w:rsidRDefault="00DC260E"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Echo intensity change and echo intensity reduction rate, and nodule/parenchyma contrast ratio</w:t>
            </w:r>
          </w:p>
          <w:p w14:paraId="011D567F" w14:textId="3BA99395" w:rsidR="00DC260E" w:rsidRPr="008730C8" w:rsidRDefault="00DC260E" w:rsidP="008730C8">
            <w:pPr>
              <w:adjustRightInd w:val="0"/>
              <w:snapToGrid w:val="0"/>
              <w:spacing w:line="360" w:lineRule="auto"/>
              <w:jc w:val="both"/>
              <w:rPr>
                <w:rFonts w:ascii="Book Antiqua" w:hAnsi="Book Antiqua"/>
                <w:i/>
                <w:sz w:val="24"/>
                <w:szCs w:val="24"/>
                <w:lang w:val="en-GB"/>
              </w:rPr>
            </w:pPr>
            <w:r w:rsidRPr="008730C8">
              <w:rPr>
                <w:rFonts w:ascii="Book Antiqua" w:hAnsi="Book Antiqua"/>
                <w:sz w:val="24"/>
                <w:szCs w:val="24"/>
                <w:lang w:val="en-GB"/>
              </w:rPr>
              <w:t>significantly higher in HGD/invasive carcinoma (</w:t>
            </w:r>
            <w:r w:rsidR="00DB5BF6" w:rsidRPr="008730C8">
              <w:rPr>
                <w:rFonts w:ascii="Book Antiqua" w:hAnsi="Book Antiqua"/>
                <w:sz w:val="24"/>
                <w:szCs w:val="24"/>
                <w:vertAlign w:val="superscript"/>
                <w:lang w:val="en-GB"/>
              </w:rPr>
              <w:t>e</w:t>
            </w:r>
            <w:r w:rsidR="00C6472C" w:rsidRPr="008730C8">
              <w:rPr>
                <w:rFonts w:ascii="Book Antiqua" w:hAnsi="Book Antiqua"/>
                <w:i/>
                <w:sz w:val="24"/>
                <w:szCs w:val="24"/>
                <w:lang w:val="en-GB"/>
              </w:rPr>
              <w:t>P</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&lt;</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0.05)</w:t>
            </w:r>
          </w:p>
          <w:p w14:paraId="5D8BE9F3" w14:textId="77777777" w:rsidR="00DC260E" w:rsidRPr="008730C8" w:rsidRDefault="00DC260E"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Microvessel density in mural nodule</w:t>
            </w:r>
          </w:p>
          <w:p w14:paraId="5B9B08BC" w14:textId="59F868EA" w:rsidR="00DC260E" w:rsidRPr="008730C8" w:rsidRDefault="00DC260E" w:rsidP="008730C8">
            <w:pPr>
              <w:pStyle w:val="ListParagraph"/>
              <w:adjustRightInd w:val="0"/>
              <w:snapToGrid w:val="0"/>
              <w:spacing w:line="360" w:lineRule="auto"/>
              <w:ind w:left="0"/>
              <w:contextualSpacing w:val="0"/>
              <w:jc w:val="both"/>
              <w:rPr>
                <w:rFonts w:ascii="Book Antiqua" w:hAnsi="Book Antiqua"/>
                <w:i/>
                <w:sz w:val="24"/>
                <w:szCs w:val="24"/>
                <w:lang w:val="en-GB"/>
              </w:rPr>
            </w:pPr>
            <w:r w:rsidRPr="008730C8">
              <w:rPr>
                <w:rFonts w:ascii="Book Antiqua" w:hAnsi="Book Antiqua"/>
                <w:sz w:val="24"/>
                <w:szCs w:val="24"/>
                <w:lang w:val="en-GB"/>
              </w:rPr>
              <w:t>Significantly higher in HGD/invasive carcinoma (</w:t>
            </w:r>
            <w:r w:rsidR="00DB5BF6" w:rsidRPr="008730C8">
              <w:rPr>
                <w:rFonts w:ascii="Book Antiqua" w:hAnsi="Book Antiqua"/>
                <w:sz w:val="24"/>
                <w:szCs w:val="24"/>
                <w:vertAlign w:val="superscript"/>
                <w:lang w:val="en-GB"/>
              </w:rPr>
              <w:t>f</w:t>
            </w:r>
            <w:r w:rsidR="00C6472C" w:rsidRPr="008730C8">
              <w:rPr>
                <w:rFonts w:ascii="Book Antiqua" w:hAnsi="Book Antiqua"/>
                <w:i/>
                <w:sz w:val="24"/>
                <w:szCs w:val="24"/>
                <w:lang w:val="en-GB"/>
              </w:rPr>
              <w:t>P</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&lt;</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0.002)</w:t>
            </w:r>
          </w:p>
          <w:p w14:paraId="6DBD1580" w14:textId="0163A49B" w:rsidR="00DC260E" w:rsidRPr="008730C8" w:rsidRDefault="00DC260E" w:rsidP="008730C8">
            <w:pPr>
              <w:pStyle w:val="ListParagraph"/>
              <w:adjustRightInd w:val="0"/>
              <w:snapToGrid w:val="0"/>
              <w:spacing w:line="360" w:lineRule="auto"/>
              <w:ind w:left="0"/>
              <w:contextualSpacing w:val="0"/>
              <w:jc w:val="both"/>
              <w:rPr>
                <w:rFonts w:ascii="Book Antiqua" w:hAnsi="Book Antiqua"/>
                <w:i/>
                <w:sz w:val="24"/>
                <w:szCs w:val="24"/>
                <w:lang w:val="en-GB" w:eastAsia="zh-CN"/>
              </w:rPr>
            </w:pPr>
            <w:r w:rsidRPr="008730C8">
              <w:rPr>
                <w:rFonts w:ascii="Book Antiqua" w:hAnsi="Book Antiqua"/>
                <w:sz w:val="24"/>
                <w:szCs w:val="24"/>
                <w:lang w:val="en-GB"/>
              </w:rPr>
              <w:t>Significant correlation between echo intensity change and microvessel density (</w:t>
            </w:r>
            <w:r w:rsidR="00DB5BF6" w:rsidRPr="008730C8">
              <w:rPr>
                <w:rFonts w:ascii="Book Antiqua" w:hAnsi="Book Antiqua"/>
                <w:sz w:val="24"/>
                <w:szCs w:val="24"/>
                <w:vertAlign w:val="superscript"/>
                <w:lang w:val="en-GB"/>
              </w:rPr>
              <w:t>g</w:t>
            </w:r>
            <w:r w:rsidR="00C6472C" w:rsidRPr="008730C8">
              <w:rPr>
                <w:rFonts w:ascii="Book Antiqua" w:hAnsi="Book Antiqua"/>
                <w:i/>
                <w:sz w:val="24"/>
                <w:szCs w:val="24"/>
                <w:lang w:val="en-GB"/>
              </w:rPr>
              <w:t>P</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&lt;</w:t>
            </w:r>
            <w:r w:rsidR="00C6472C" w:rsidRPr="008730C8">
              <w:rPr>
                <w:rFonts w:ascii="Book Antiqua" w:hAnsi="Book Antiqua"/>
                <w:sz w:val="24"/>
                <w:szCs w:val="24"/>
                <w:lang w:val="en-GB" w:eastAsia="zh-CN"/>
              </w:rPr>
              <w:t xml:space="preserve"> </w:t>
            </w:r>
            <w:r w:rsidRPr="008730C8">
              <w:rPr>
                <w:rFonts w:ascii="Book Antiqua" w:hAnsi="Book Antiqua"/>
                <w:sz w:val="24"/>
                <w:szCs w:val="24"/>
                <w:lang w:val="en-GB"/>
              </w:rPr>
              <w:t>0.001)</w:t>
            </w:r>
          </w:p>
        </w:tc>
        <w:tc>
          <w:tcPr>
            <w:tcW w:w="1843" w:type="dxa"/>
          </w:tcPr>
          <w:p w14:paraId="09EEB807"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2616A702"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4E11AF9F" w14:textId="77777777" w:rsidR="00DC260E" w:rsidRPr="008730C8" w:rsidRDefault="00DC260E" w:rsidP="008730C8">
            <w:pPr>
              <w:adjustRightInd w:val="0"/>
              <w:snapToGrid w:val="0"/>
              <w:spacing w:line="360" w:lineRule="auto"/>
              <w:jc w:val="both"/>
              <w:rPr>
                <w:rFonts w:ascii="Book Antiqua" w:hAnsi="Book Antiqua"/>
                <w:sz w:val="24"/>
                <w:szCs w:val="24"/>
                <w:lang w:val="en-GB"/>
              </w:rPr>
            </w:pPr>
          </w:p>
          <w:p w14:paraId="178B53EF" w14:textId="5D09CBF1" w:rsidR="00DC260E" w:rsidRPr="008730C8" w:rsidRDefault="00C6472C"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0</w:t>
            </w:r>
          </w:p>
        </w:tc>
      </w:tr>
    </w:tbl>
    <w:p w14:paraId="56203A59" w14:textId="50C96474" w:rsidR="00C6472C" w:rsidRPr="008730C8" w:rsidRDefault="00715A07"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sz w:val="24"/>
          <w:szCs w:val="24"/>
          <w:lang w:val="en-GB"/>
        </w:rPr>
        <w:t xml:space="preserve">P: </w:t>
      </w:r>
      <w:r w:rsidR="00C6472C" w:rsidRPr="008730C8">
        <w:rPr>
          <w:rFonts w:ascii="Book Antiqua" w:hAnsi="Book Antiqua" w:cs="Times New Roman"/>
          <w:sz w:val="24"/>
          <w:szCs w:val="24"/>
          <w:lang w:val="en-GB"/>
        </w:rPr>
        <w:t>P</w:t>
      </w:r>
      <w:r w:rsidRPr="008730C8">
        <w:rPr>
          <w:rFonts w:ascii="Book Antiqua" w:hAnsi="Book Antiqua" w:cs="Times New Roman"/>
          <w:sz w:val="24"/>
          <w:szCs w:val="24"/>
          <w:lang w:val="en-GB"/>
        </w:rPr>
        <w:t xml:space="preserve">rospective; R: </w:t>
      </w:r>
      <w:r w:rsidR="00C6472C" w:rsidRPr="008730C8">
        <w:rPr>
          <w:rFonts w:ascii="Book Antiqua" w:hAnsi="Book Antiqua" w:cs="Times New Roman"/>
          <w:sz w:val="24"/>
          <w:szCs w:val="24"/>
          <w:lang w:val="en-GB"/>
        </w:rPr>
        <w:t>R</w:t>
      </w:r>
      <w:r w:rsidRPr="008730C8">
        <w:rPr>
          <w:rFonts w:ascii="Book Antiqua" w:hAnsi="Book Antiqua" w:cs="Times New Roman"/>
          <w:sz w:val="24"/>
          <w:szCs w:val="24"/>
          <w:lang w:val="en-GB"/>
        </w:rPr>
        <w:t xml:space="preserve">etrospective; CT: </w:t>
      </w:r>
      <w:r w:rsidR="00C6472C" w:rsidRPr="008730C8">
        <w:rPr>
          <w:rFonts w:ascii="Book Antiqua" w:hAnsi="Book Antiqua" w:cs="Times New Roman"/>
          <w:sz w:val="24"/>
          <w:szCs w:val="24"/>
          <w:lang w:val="en-GB"/>
        </w:rPr>
        <w:t>C</w:t>
      </w:r>
      <w:r w:rsidRPr="008730C8">
        <w:rPr>
          <w:rFonts w:ascii="Book Antiqua" w:hAnsi="Book Antiqua" w:cs="Times New Roman"/>
          <w:sz w:val="24"/>
          <w:szCs w:val="24"/>
          <w:lang w:val="en-GB"/>
        </w:rPr>
        <w:t xml:space="preserve">omputed tomography; MRI: </w:t>
      </w:r>
      <w:r w:rsidR="00C6472C" w:rsidRPr="008730C8">
        <w:rPr>
          <w:rFonts w:ascii="Book Antiqua" w:hAnsi="Book Antiqua" w:cs="Times New Roman"/>
          <w:sz w:val="24"/>
          <w:szCs w:val="24"/>
          <w:lang w:val="en-GB"/>
        </w:rPr>
        <w:t>M</w:t>
      </w:r>
      <w:r w:rsidRPr="008730C8">
        <w:rPr>
          <w:rFonts w:ascii="Book Antiqua" w:hAnsi="Book Antiqua" w:cs="Times New Roman"/>
          <w:sz w:val="24"/>
          <w:szCs w:val="24"/>
          <w:lang w:val="en-GB"/>
        </w:rPr>
        <w:t xml:space="preserve">agnetic resonance imaging; EUS: </w:t>
      </w:r>
      <w:r w:rsidR="00C6472C" w:rsidRPr="008730C8">
        <w:rPr>
          <w:rFonts w:ascii="Book Antiqua" w:hAnsi="Book Antiqua" w:cs="Times New Roman"/>
          <w:sz w:val="24"/>
          <w:szCs w:val="24"/>
          <w:lang w:val="en-GB"/>
        </w:rPr>
        <w:t>E</w:t>
      </w:r>
      <w:r w:rsidRPr="008730C8">
        <w:rPr>
          <w:rFonts w:ascii="Book Antiqua" w:hAnsi="Book Antiqua" w:cs="Times New Roman"/>
          <w:sz w:val="24"/>
          <w:szCs w:val="24"/>
          <w:lang w:val="en-GB"/>
        </w:rPr>
        <w:t xml:space="preserve">ndoscopic </w:t>
      </w:r>
      <w:r w:rsidR="00C6472C" w:rsidRPr="008730C8">
        <w:rPr>
          <w:rFonts w:ascii="Book Antiqua" w:hAnsi="Book Antiqua" w:cs="Times New Roman"/>
          <w:sz w:val="24"/>
          <w:szCs w:val="24"/>
          <w:lang w:val="en-GB"/>
        </w:rPr>
        <w:t>ultrasonography</w:t>
      </w:r>
      <w:r w:rsidR="00C6472C" w:rsidRPr="008730C8">
        <w:rPr>
          <w:rFonts w:ascii="Book Antiqua" w:hAnsi="Book Antiqua" w:cs="Times New Roman"/>
          <w:sz w:val="24"/>
          <w:szCs w:val="24"/>
          <w:lang w:val="en-GB" w:eastAsia="zh-CN"/>
        </w:rPr>
        <w:t xml:space="preserve">; </w:t>
      </w:r>
      <w:r w:rsidRPr="008730C8">
        <w:rPr>
          <w:rFonts w:ascii="Book Antiqua" w:hAnsi="Book Antiqua" w:cs="Times New Roman"/>
          <w:sz w:val="24"/>
          <w:szCs w:val="24"/>
          <w:lang w:val="en-GB"/>
        </w:rPr>
        <w:t xml:space="preserve">CH-EUS: </w:t>
      </w:r>
      <w:r w:rsidR="00C6472C" w:rsidRPr="008730C8">
        <w:rPr>
          <w:rFonts w:ascii="Book Antiqua" w:hAnsi="Book Antiqua" w:cs="Times New Roman"/>
          <w:sz w:val="24"/>
          <w:szCs w:val="24"/>
          <w:lang w:val="en-GB"/>
        </w:rPr>
        <w:t>C</w:t>
      </w:r>
      <w:r w:rsidRPr="008730C8">
        <w:rPr>
          <w:rFonts w:ascii="Book Antiqua" w:hAnsi="Book Antiqua" w:cs="Times New Roman"/>
          <w:sz w:val="24"/>
          <w:szCs w:val="24"/>
          <w:lang w:val="en-GB"/>
        </w:rPr>
        <w:t xml:space="preserve">ontrast harmonic endoscopic ultrasonography; Sen: </w:t>
      </w:r>
      <w:r w:rsidR="00C6472C" w:rsidRPr="008730C8">
        <w:rPr>
          <w:rFonts w:ascii="Book Antiqua" w:hAnsi="Book Antiqua" w:cs="Times New Roman"/>
          <w:sz w:val="24"/>
          <w:szCs w:val="24"/>
          <w:lang w:val="en-GB"/>
        </w:rPr>
        <w:t>S</w:t>
      </w:r>
      <w:r w:rsidRPr="008730C8">
        <w:rPr>
          <w:rFonts w:ascii="Book Antiqua" w:hAnsi="Book Antiqua" w:cs="Times New Roman"/>
          <w:sz w:val="24"/>
          <w:szCs w:val="24"/>
          <w:lang w:val="en-GB"/>
        </w:rPr>
        <w:t xml:space="preserve">ensitivity; Spe: </w:t>
      </w:r>
      <w:r w:rsidR="00C6472C" w:rsidRPr="008730C8">
        <w:rPr>
          <w:rFonts w:ascii="Book Antiqua" w:hAnsi="Book Antiqua" w:cs="Times New Roman"/>
          <w:sz w:val="24"/>
          <w:szCs w:val="24"/>
          <w:lang w:val="en-GB"/>
        </w:rPr>
        <w:t>S</w:t>
      </w:r>
      <w:r w:rsidRPr="008730C8">
        <w:rPr>
          <w:rFonts w:ascii="Book Antiqua" w:hAnsi="Book Antiqua" w:cs="Times New Roman"/>
          <w:sz w:val="24"/>
          <w:szCs w:val="24"/>
          <w:lang w:val="en-GB"/>
        </w:rPr>
        <w:t xml:space="preserve">pecificity; PPV: </w:t>
      </w:r>
      <w:r w:rsidR="00C6472C" w:rsidRPr="008730C8">
        <w:rPr>
          <w:rFonts w:ascii="Book Antiqua" w:hAnsi="Book Antiqua" w:cs="Times New Roman"/>
          <w:sz w:val="24"/>
          <w:szCs w:val="24"/>
          <w:lang w:val="en-GB"/>
        </w:rPr>
        <w:t>P</w:t>
      </w:r>
      <w:r w:rsidRPr="008730C8">
        <w:rPr>
          <w:rFonts w:ascii="Book Antiqua" w:hAnsi="Book Antiqua" w:cs="Times New Roman"/>
          <w:sz w:val="24"/>
          <w:szCs w:val="24"/>
          <w:lang w:val="en-GB"/>
        </w:rPr>
        <w:t xml:space="preserve">ositive predictive value; NPV: </w:t>
      </w:r>
      <w:r w:rsidR="00C6472C" w:rsidRPr="008730C8">
        <w:rPr>
          <w:rFonts w:ascii="Book Antiqua" w:hAnsi="Book Antiqua" w:cs="Times New Roman"/>
          <w:sz w:val="24"/>
          <w:szCs w:val="24"/>
          <w:lang w:val="en-GB"/>
        </w:rPr>
        <w:t>N</w:t>
      </w:r>
      <w:r w:rsidRPr="008730C8">
        <w:rPr>
          <w:rFonts w:ascii="Book Antiqua" w:hAnsi="Book Antiqua" w:cs="Times New Roman"/>
          <w:sz w:val="24"/>
          <w:szCs w:val="24"/>
          <w:lang w:val="en-GB"/>
        </w:rPr>
        <w:t xml:space="preserve">egative predictive value; A: </w:t>
      </w:r>
      <w:r w:rsidR="00C6472C" w:rsidRPr="008730C8">
        <w:rPr>
          <w:rFonts w:ascii="Book Antiqua" w:hAnsi="Book Antiqua" w:cs="Times New Roman"/>
          <w:sz w:val="24"/>
          <w:szCs w:val="24"/>
          <w:lang w:val="en-GB"/>
        </w:rPr>
        <w:t>A</w:t>
      </w:r>
      <w:r w:rsidRPr="008730C8">
        <w:rPr>
          <w:rFonts w:ascii="Book Antiqua" w:hAnsi="Book Antiqua" w:cs="Times New Roman"/>
          <w:sz w:val="24"/>
          <w:szCs w:val="24"/>
          <w:lang w:val="en-GB"/>
        </w:rPr>
        <w:t xml:space="preserve">ccuracy; PCNs: </w:t>
      </w:r>
      <w:r w:rsidR="00C6472C" w:rsidRPr="008730C8">
        <w:rPr>
          <w:rFonts w:ascii="Book Antiqua" w:hAnsi="Book Antiqua" w:cs="Times New Roman"/>
          <w:sz w:val="24"/>
          <w:szCs w:val="24"/>
          <w:lang w:val="en-GB"/>
        </w:rPr>
        <w:t>P</w:t>
      </w:r>
      <w:r w:rsidRPr="008730C8">
        <w:rPr>
          <w:rFonts w:ascii="Book Antiqua" w:hAnsi="Book Antiqua" w:cs="Times New Roman"/>
          <w:sz w:val="24"/>
          <w:szCs w:val="24"/>
          <w:lang w:val="en-GB"/>
        </w:rPr>
        <w:t xml:space="preserve">ancreatic cystic neoplasms; IPMN: </w:t>
      </w:r>
      <w:r w:rsidR="00C6472C" w:rsidRPr="008730C8">
        <w:rPr>
          <w:rFonts w:ascii="Book Antiqua" w:hAnsi="Book Antiqua" w:cs="Times New Roman"/>
          <w:sz w:val="24"/>
          <w:szCs w:val="24"/>
          <w:lang w:val="en-GB"/>
        </w:rPr>
        <w:t>I</w:t>
      </w:r>
      <w:r w:rsidRPr="008730C8">
        <w:rPr>
          <w:rFonts w:ascii="Book Antiqua" w:hAnsi="Book Antiqua" w:cs="Times New Roman"/>
          <w:sz w:val="24"/>
          <w:szCs w:val="24"/>
          <w:lang w:val="en-GB"/>
        </w:rPr>
        <w:t xml:space="preserve">ntraductal papillary mucinous neoplasm; HGD: </w:t>
      </w:r>
      <w:r w:rsidR="00C6472C" w:rsidRPr="008730C8">
        <w:rPr>
          <w:rFonts w:ascii="Book Antiqua" w:hAnsi="Book Antiqua" w:cs="Times New Roman"/>
          <w:sz w:val="24"/>
          <w:szCs w:val="24"/>
          <w:lang w:val="en-GB"/>
        </w:rPr>
        <w:t>H</w:t>
      </w:r>
      <w:r w:rsidRPr="008730C8">
        <w:rPr>
          <w:rFonts w:ascii="Book Antiqua" w:hAnsi="Book Antiqua" w:cs="Times New Roman"/>
          <w:sz w:val="24"/>
          <w:szCs w:val="24"/>
          <w:lang w:val="en-GB"/>
        </w:rPr>
        <w:t>igh grade dysplasia</w:t>
      </w:r>
      <w:r w:rsidR="00C6472C" w:rsidRPr="008730C8">
        <w:rPr>
          <w:rFonts w:ascii="Book Antiqua" w:hAnsi="Book Antiqua" w:cs="Times New Roman"/>
          <w:sz w:val="24"/>
          <w:szCs w:val="24"/>
          <w:lang w:val="en-GB" w:eastAsia="zh-CN"/>
        </w:rPr>
        <w:t>.</w:t>
      </w:r>
    </w:p>
    <w:p w14:paraId="591F95E6" w14:textId="77777777" w:rsidR="00C6472C" w:rsidRPr="008730C8" w:rsidRDefault="00C6472C" w:rsidP="008730C8">
      <w:pPr>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cs="Times New Roman"/>
          <w:sz w:val="24"/>
          <w:szCs w:val="24"/>
          <w:lang w:val="en-GB" w:eastAsia="zh-CN"/>
        </w:rPr>
        <w:br w:type="page"/>
      </w:r>
    </w:p>
    <w:p w14:paraId="35537C56" w14:textId="3FF8BDDA" w:rsidR="00715A07" w:rsidRPr="008730C8" w:rsidRDefault="00C6472C" w:rsidP="008730C8">
      <w:pPr>
        <w:autoSpaceDE w:val="0"/>
        <w:autoSpaceDN w:val="0"/>
        <w:adjustRightInd w:val="0"/>
        <w:snapToGrid w:val="0"/>
        <w:spacing w:after="0" w:line="360" w:lineRule="auto"/>
        <w:jc w:val="both"/>
        <w:rPr>
          <w:rFonts w:ascii="Book Antiqua" w:hAnsi="Book Antiqua" w:cs="Times New Roman"/>
          <w:sz w:val="24"/>
          <w:szCs w:val="24"/>
          <w:lang w:val="en-GB" w:eastAsia="zh-CN"/>
        </w:rPr>
      </w:pPr>
      <w:r w:rsidRPr="008730C8">
        <w:rPr>
          <w:rFonts w:ascii="Book Antiqua" w:hAnsi="Book Antiqua"/>
          <w:b/>
          <w:sz w:val="24"/>
          <w:szCs w:val="24"/>
          <w:lang w:val="en-GB"/>
        </w:rPr>
        <w:lastRenderedPageBreak/>
        <w:t>Table 2</w:t>
      </w:r>
      <w:r w:rsidRPr="008730C8">
        <w:rPr>
          <w:rFonts w:ascii="Book Antiqua" w:hAnsi="Book Antiqua"/>
          <w:b/>
          <w:sz w:val="24"/>
          <w:szCs w:val="24"/>
          <w:lang w:val="en-GB" w:eastAsia="zh-CN"/>
        </w:rPr>
        <w:t xml:space="preserve"> </w:t>
      </w:r>
      <w:r w:rsidRPr="008730C8">
        <w:rPr>
          <w:rFonts w:ascii="Book Antiqua" w:hAnsi="Book Antiqua"/>
          <w:b/>
          <w:sz w:val="24"/>
          <w:szCs w:val="24"/>
          <w:lang w:val="en-GB"/>
        </w:rPr>
        <w:t>Needle-based confocal laser endomicroscopy in pancreatic cystic lesions</w:t>
      </w:r>
    </w:p>
    <w:tbl>
      <w:tblPr>
        <w:tblStyle w:val="TableGrid"/>
        <w:tblW w:w="16585" w:type="dxa"/>
        <w:tblInd w:w="-1168" w:type="dxa"/>
        <w:tblLook w:val="04A0" w:firstRow="1" w:lastRow="0" w:firstColumn="1" w:lastColumn="0" w:noHBand="0" w:noVBand="1"/>
      </w:tblPr>
      <w:tblGrid>
        <w:gridCol w:w="2269"/>
        <w:gridCol w:w="870"/>
        <w:gridCol w:w="576"/>
        <w:gridCol w:w="10319"/>
        <w:gridCol w:w="2551"/>
      </w:tblGrid>
      <w:tr w:rsidR="00715A07" w:rsidRPr="008730C8" w14:paraId="789D3C13" w14:textId="77777777" w:rsidTr="00254A81">
        <w:tc>
          <w:tcPr>
            <w:tcW w:w="2269" w:type="dxa"/>
          </w:tcPr>
          <w:p w14:paraId="2861CA5F" w14:textId="77777777" w:rsidR="00715A07" w:rsidRPr="008730C8" w:rsidRDefault="00715A07"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 xml:space="preserve">Authors </w:t>
            </w:r>
          </w:p>
        </w:tc>
        <w:tc>
          <w:tcPr>
            <w:tcW w:w="870" w:type="dxa"/>
          </w:tcPr>
          <w:p w14:paraId="4A9D798D" w14:textId="77777777" w:rsidR="00715A07" w:rsidRPr="008730C8" w:rsidRDefault="00715A07"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Study</w:t>
            </w:r>
          </w:p>
        </w:tc>
        <w:tc>
          <w:tcPr>
            <w:tcW w:w="576" w:type="dxa"/>
          </w:tcPr>
          <w:p w14:paraId="164CE44D" w14:textId="77777777" w:rsidR="00715A07" w:rsidRPr="008730C8" w:rsidRDefault="00715A07" w:rsidP="008730C8">
            <w:pPr>
              <w:adjustRightInd w:val="0"/>
              <w:snapToGrid w:val="0"/>
              <w:spacing w:line="360" w:lineRule="auto"/>
              <w:jc w:val="both"/>
              <w:rPr>
                <w:rFonts w:ascii="Book Antiqua" w:hAnsi="Book Antiqua"/>
                <w:b/>
                <w:i/>
                <w:sz w:val="24"/>
                <w:szCs w:val="24"/>
                <w:lang w:val="en-GB"/>
              </w:rPr>
            </w:pPr>
            <w:r w:rsidRPr="008730C8">
              <w:rPr>
                <w:rFonts w:ascii="Book Antiqua" w:hAnsi="Book Antiqua"/>
                <w:b/>
                <w:i/>
                <w:sz w:val="24"/>
                <w:szCs w:val="24"/>
                <w:lang w:val="en-GB"/>
              </w:rPr>
              <w:t>n</w:t>
            </w:r>
          </w:p>
        </w:tc>
        <w:tc>
          <w:tcPr>
            <w:tcW w:w="10319" w:type="dxa"/>
          </w:tcPr>
          <w:p w14:paraId="1EDF1BCA" w14:textId="77777777" w:rsidR="00715A07" w:rsidRPr="008730C8" w:rsidRDefault="00715A07"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Main outcomes</w:t>
            </w:r>
          </w:p>
        </w:tc>
        <w:tc>
          <w:tcPr>
            <w:tcW w:w="2551" w:type="dxa"/>
          </w:tcPr>
          <w:p w14:paraId="7039E899" w14:textId="77777777" w:rsidR="00715A07" w:rsidRPr="008730C8" w:rsidRDefault="00715A07" w:rsidP="008730C8">
            <w:pPr>
              <w:adjustRightInd w:val="0"/>
              <w:snapToGrid w:val="0"/>
              <w:spacing w:line="360" w:lineRule="auto"/>
              <w:jc w:val="both"/>
              <w:rPr>
                <w:rFonts w:ascii="Book Antiqua" w:hAnsi="Book Antiqua"/>
                <w:b/>
                <w:sz w:val="24"/>
                <w:szCs w:val="24"/>
                <w:lang w:val="en-GB"/>
              </w:rPr>
            </w:pPr>
            <w:r w:rsidRPr="008730C8">
              <w:rPr>
                <w:rFonts w:ascii="Book Antiqua" w:hAnsi="Book Antiqua"/>
                <w:b/>
                <w:sz w:val="24"/>
                <w:szCs w:val="24"/>
                <w:lang w:val="en-GB"/>
              </w:rPr>
              <w:t>Complications</w:t>
            </w:r>
          </w:p>
        </w:tc>
      </w:tr>
      <w:tr w:rsidR="00715A07" w:rsidRPr="008730C8" w14:paraId="7E23C01F" w14:textId="77777777" w:rsidTr="00254A81">
        <w:tc>
          <w:tcPr>
            <w:tcW w:w="2269" w:type="dxa"/>
          </w:tcPr>
          <w:p w14:paraId="4316A6E7" w14:textId="6035DB20"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Konda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48</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2011</w:t>
            </w:r>
          </w:p>
        </w:tc>
        <w:tc>
          <w:tcPr>
            <w:tcW w:w="870" w:type="dxa"/>
          </w:tcPr>
          <w:p w14:paraId="570DCB73"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576" w:type="dxa"/>
          </w:tcPr>
          <w:p w14:paraId="4742EB52"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16</w:t>
            </w:r>
          </w:p>
        </w:tc>
        <w:tc>
          <w:tcPr>
            <w:tcW w:w="10319" w:type="dxa"/>
          </w:tcPr>
          <w:p w14:paraId="6D4A7BE2" w14:textId="0B12CABC" w:rsidR="00715A07" w:rsidRPr="008730C8" w:rsidRDefault="00F1468D"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94</w:t>
            </w:r>
            <w:r w:rsidR="00715A07" w:rsidRPr="008730C8">
              <w:rPr>
                <w:rFonts w:ascii="Book Antiqua" w:hAnsi="Book Antiqua"/>
                <w:sz w:val="24"/>
                <w:szCs w:val="24"/>
                <w:lang w:val="en-GB"/>
              </w:rPr>
              <w:t>% Technical success (feasibility study)</w:t>
            </w:r>
          </w:p>
        </w:tc>
        <w:tc>
          <w:tcPr>
            <w:tcW w:w="2551" w:type="dxa"/>
          </w:tcPr>
          <w:p w14:paraId="5D7F77CC" w14:textId="5E1478D9" w:rsidR="00715A07" w:rsidRPr="008730C8" w:rsidRDefault="00F1468D"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12</w:t>
            </w:r>
            <w:r w:rsidR="00715A07" w:rsidRPr="008730C8">
              <w:rPr>
                <w:rFonts w:ascii="Book Antiqua" w:hAnsi="Book Antiqua"/>
                <w:sz w:val="24"/>
                <w:szCs w:val="24"/>
                <w:lang w:val="en-GB"/>
              </w:rPr>
              <w:t>% post-procedure pancreatitis</w:t>
            </w:r>
          </w:p>
        </w:tc>
      </w:tr>
      <w:tr w:rsidR="00715A07" w:rsidRPr="008730C8" w14:paraId="20CEB7F7" w14:textId="77777777" w:rsidTr="00254A81">
        <w:tc>
          <w:tcPr>
            <w:tcW w:w="2269" w:type="dxa"/>
          </w:tcPr>
          <w:p w14:paraId="3C8E5E7F" w14:textId="44BABFD6"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Konda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49</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2013</w:t>
            </w:r>
          </w:p>
        </w:tc>
        <w:tc>
          <w:tcPr>
            <w:tcW w:w="870" w:type="dxa"/>
          </w:tcPr>
          <w:p w14:paraId="3CCC0414"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576" w:type="dxa"/>
          </w:tcPr>
          <w:p w14:paraId="79C55A37"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66</w:t>
            </w:r>
          </w:p>
        </w:tc>
        <w:tc>
          <w:tcPr>
            <w:tcW w:w="10319" w:type="dxa"/>
          </w:tcPr>
          <w:p w14:paraId="2322DFDA" w14:textId="53DFF97E"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Stage 1: Description of visualized structures (</w:t>
            </w:r>
            <w:r w:rsidRPr="008730C8">
              <w:rPr>
                <w:rFonts w:ascii="Book Antiqua" w:hAnsi="Book Antiqua"/>
                <w:i/>
                <w:sz w:val="24"/>
                <w:szCs w:val="24"/>
                <w:lang w:val="en-GB"/>
              </w:rPr>
              <w:t>n</w:t>
            </w:r>
            <w:r w:rsidR="00F1468D" w:rsidRPr="008730C8">
              <w:rPr>
                <w:rFonts w:ascii="Book Antiqua" w:hAnsi="Book Antiqua"/>
                <w:sz w:val="24"/>
                <w:szCs w:val="24"/>
                <w:lang w:val="en-GB" w:eastAsia="zh-CN"/>
              </w:rPr>
              <w:t xml:space="preserve"> </w:t>
            </w:r>
            <w:r w:rsidRPr="008730C8">
              <w:rPr>
                <w:rFonts w:ascii="Book Antiqua" w:hAnsi="Book Antiqua"/>
                <w:sz w:val="24"/>
                <w:szCs w:val="24"/>
                <w:lang w:val="en-GB"/>
              </w:rPr>
              <w:t>=</w:t>
            </w:r>
            <w:r w:rsidR="00F1468D" w:rsidRPr="008730C8">
              <w:rPr>
                <w:rFonts w:ascii="Book Antiqua" w:hAnsi="Book Antiqua"/>
                <w:sz w:val="24"/>
                <w:szCs w:val="24"/>
                <w:lang w:val="en-GB" w:eastAsia="zh-CN"/>
              </w:rPr>
              <w:t xml:space="preserve"> </w:t>
            </w:r>
            <w:r w:rsidRPr="008730C8">
              <w:rPr>
                <w:rFonts w:ascii="Book Antiqua" w:hAnsi="Book Antiqua"/>
                <w:sz w:val="24"/>
                <w:szCs w:val="24"/>
                <w:lang w:val="en-GB"/>
              </w:rPr>
              <w:t>26) with histological correlation</w:t>
            </w:r>
          </w:p>
          <w:p w14:paraId="0BF26904" w14:textId="2AEB6861"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Stage 2: Performance assessment of defined criteria (</w:t>
            </w:r>
            <w:r w:rsidRPr="008730C8">
              <w:rPr>
                <w:rFonts w:ascii="Book Antiqua" w:hAnsi="Book Antiqua"/>
                <w:i/>
                <w:sz w:val="24"/>
                <w:szCs w:val="24"/>
                <w:lang w:val="en-GB"/>
              </w:rPr>
              <w:t>n</w:t>
            </w:r>
            <w:r w:rsidR="00F1468D" w:rsidRPr="008730C8">
              <w:rPr>
                <w:rFonts w:ascii="Book Antiqua" w:hAnsi="Book Antiqua"/>
                <w:sz w:val="24"/>
                <w:szCs w:val="24"/>
                <w:lang w:val="en-GB" w:eastAsia="zh-CN"/>
              </w:rPr>
              <w:t xml:space="preserve"> </w:t>
            </w:r>
            <w:r w:rsidRPr="008730C8">
              <w:rPr>
                <w:rFonts w:ascii="Book Antiqua" w:hAnsi="Book Antiqua"/>
                <w:sz w:val="24"/>
                <w:szCs w:val="24"/>
                <w:lang w:val="en-GB"/>
              </w:rPr>
              <w:t>=</w:t>
            </w:r>
            <w:r w:rsidR="00F1468D" w:rsidRPr="008730C8">
              <w:rPr>
                <w:rFonts w:ascii="Book Antiqua" w:hAnsi="Book Antiqua"/>
                <w:sz w:val="24"/>
                <w:szCs w:val="24"/>
                <w:lang w:val="en-GB" w:eastAsia="zh-CN"/>
              </w:rPr>
              <w:t xml:space="preserve"> </w:t>
            </w:r>
            <w:r w:rsidRPr="008730C8">
              <w:rPr>
                <w:rFonts w:ascii="Book Antiqua" w:hAnsi="Book Antiqua"/>
                <w:sz w:val="24"/>
                <w:szCs w:val="24"/>
                <w:lang w:val="en-GB"/>
              </w:rPr>
              <w:t>31):</w:t>
            </w:r>
          </w:p>
          <w:p w14:paraId="6DB3887B" w14:textId="34625D4C"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Villous pattern</w:t>
            </w:r>
            <w:r w:rsidR="00542F5E">
              <w:rPr>
                <w:rFonts w:ascii="Book Antiqua" w:hAnsi="Book Antiqua"/>
                <w:sz w:val="24"/>
                <w:szCs w:val="24"/>
                <w:lang w:val="en-GB"/>
              </w:rPr>
              <w:t xml:space="preserve">: </w:t>
            </w:r>
            <w:r w:rsidR="00F1468D" w:rsidRPr="008730C8">
              <w:rPr>
                <w:rFonts w:ascii="Book Antiqua" w:hAnsi="Book Antiqua"/>
                <w:sz w:val="24"/>
                <w:szCs w:val="24"/>
                <w:lang w:val="en-GB"/>
              </w:rPr>
              <w:t>Sen 59%</w:t>
            </w:r>
            <w:r w:rsidR="00F1468D" w:rsidRPr="008730C8">
              <w:rPr>
                <w:rFonts w:ascii="Book Antiqua" w:hAnsi="Book Antiqua"/>
                <w:sz w:val="24"/>
                <w:szCs w:val="24"/>
                <w:lang w:val="en-GB" w:eastAsia="zh-CN"/>
              </w:rPr>
              <w:t xml:space="preserve">, </w:t>
            </w:r>
            <w:r w:rsidR="00F1468D" w:rsidRPr="008730C8">
              <w:rPr>
                <w:rFonts w:ascii="Book Antiqua" w:hAnsi="Book Antiqua"/>
                <w:sz w:val="24"/>
                <w:szCs w:val="24"/>
                <w:lang w:val="en-GB"/>
              </w:rPr>
              <w:t>Spe 100%</w:t>
            </w:r>
            <w:r w:rsidR="00F1468D" w:rsidRPr="008730C8">
              <w:rPr>
                <w:rFonts w:ascii="Book Antiqua" w:hAnsi="Book Antiqua"/>
                <w:sz w:val="24"/>
                <w:szCs w:val="24"/>
                <w:lang w:val="en-GB" w:eastAsia="zh-CN"/>
              </w:rPr>
              <w:t xml:space="preserve">, </w:t>
            </w:r>
            <w:r w:rsidRPr="008730C8">
              <w:rPr>
                <w:rFonts w:ascii="Book Antiqua" w:hAnsi="Book Antiqua"/>
                <w:sz w:val="24"/>
                <w:szCs w:val="24"/>
                <w:lang w:val="en-GB"/>
              </w:rPr>
              <w:t>PPV 10</w:t>
            </w:r>
            <w:r w:rsidR="00F1468D" w:rsidRPr="008730C8">
              <w:rPr>
                <w:rFonts w:ascii="Book Antiqua" w:hAnsi="Book Antiqua"/>
                <w:sz w:val="24"/>
                <w:szCs w:val="24"/>
                <w:lang w:val="en-GB"/>
              </w:rPr>
              <w:t>0%</w:t>
            </w:r>
            <w:r w:rsidR="00F1468D" w:rsidRPr="008730C8">
              <w:rPr>
                <w:rFonts w:ascii="Book Antiqua" w:hAnsi="Book Antiqua"/>
                <w:sz w:val="24"/>
                <w:szCs w:val="24"/>
                <w:lang w:val="en-GB" w:eastAsia="zh-CN"/>
              </w:rPr>
              <w:t xml:space="preserve">, </w:t>
            </w:r>
            <w:r w:rsidR="00F1468D" w:rsidRPr="008730C8">
              <w:rPr>
                <w:rFonts w:ascii="Book Antiqua" w:hAnsi="Book Antiqua"/>
                <w:sz w:val="24"/>
                <w:szCs w:val="24"/>
                <w:lang w:val="en-GB"/>
              </w:rPr>
              <w:t>NPV 50%</w:t>
            </w:r>
            <w:r w:rsidR="00F1468D" w:rsidRPr="008730C8">
              <w:rPr>
                <w:rFonts w:ascii="Book Antiqua" w:hAnsi="Book Antiqua"/>
                <w:sz w:val="24"/>
                <w:szCs w:val="24"/>
                <w:lang w:val="en-GB" w:eastAsia="zh-CN"/>
              </w:rPr>
              <w:t xml:space="preserve">, </w:t>
            </w:r>
            <w:r w:rsidR="00F1468D" w:rsidRPr="008730C8">
              <w:rPr>
                <w:rFonts w:ascii="Book Antiqua" w:hAnsi="Book Antiqua"/>
                <w:sz w:val="24"/>
                <w:szCs w:val="24"/>
                <w:lang w:val="en-GB"/>
              </w:rPr>
              <w:t>A 71</w:t>
            </w:r>
            <w:r w:rsidRPr="008730C8">
              <w:rPr>
                <w:rFonts w:ascii="Book Antiqua" w:hAnsi="Book Antiqua"/>
                <w:sz w:val="24"/>
                <w:szCs w:val="24"/>
                <w:lang w:val="en-GB"/>
              </w:rPr>
              <w:t>% for PCNs</w:t>
            </w:r>
          </w:p>
          <w:p w14:paraId="1B87C235" w14:textId="23C87ECA" w:rsidR="00715A07" w:rsidRPr="008730C8" w:rsidRDefault="00715A07" w:rsidP="008730C8">
            <w:pPr>
              <w:pStyle w:val="ListParagraph"/>
              <w:adjustRightInd w:val="0"/>
              <w:snapToGrid w:val="0"/>
              <w:spacing w:line="360" w:lineRule="auto"/>
              <w:ind w:left="0"/>
              <w:contextualSpacing w:val="0"/>
              <w:jc w:val="both"/>
              <w:rPr>
                <w:rFonts w:ascii="Book Antiqua" w:hAnsi="Book Antiqua"/>
                <w:sz w:val="24"/>
                <w:szCs w:val="24"/>
                <w:lang w:val="en-GB"/>
              </w:rPr>
            </w:pPr>
            <w:r w:rsidRPr="008730C8">
              <w:rPr>
                <w:rFonts w:ascii="Book Antiqua" w:hAnsi="Book Antiqua"/>
                <w:sz w:val="24"/>
                <w:szCs w:val="24"/>
                <w:lang w:val="en-GB"/>
              </w:rPr>
              <w:t>Significant association with PCNs (</w:t>
            </w:r>
            <w:r w:rsidR="001A6A13" w:rsidRPr="008730C8">
              <w:rPr>
                <w:rFonts w:ascii="Book Antiqua" w:hAnsi="Book Antiqua"/>
                <w:sz w:val="24"/>
                <w:szCs w:val="24"/>
                <w:vertAlign w:val="superscript"/>
                <w:lang w:val="en-GB"/>
              </w:rPr>
              <w:t>a</w:t>
            </w:r>
            <w:r w:rsidR="00F1468D" w:rsidRPr="008730C8">
              <w:rPr>
                <w:rFonts w:ascii="Book Antiqua" w:hAnsi="Book Antiqua"/>
                <w:i/>
                <w:sz w:val="24"/>
                <w:szCs w:val="24"/>
                <w:lang w:val="en-GB"/>
              </w:rPr>
              <w:t>P</w:t>
            </w:r>
            <w:r w:rsidRPr="008730C8">
              <w:rPr>
                <w:rFonts w:ascii="Book Antiqua" w:hAnsi="Book Antiqua"/>
                <w:sz w:val="24"/>
                <w:szCs w:val="24"/>
                <w:lang w:val="en-GB"/>
              </w:rPr>
              <w:t xml:space="preserve"> = 0.004)</w:t>
            </w:r>
          </w:p>
        </w:tc>
        <w:tc>
          <w:tcPr>
            <w:tcW w:w="2551" w:type="dxa"/>
          </w:tcPr>
          <w:p w14:paraId="423237E8" w14:textId="3A14AC96" w:rsidR="00715A07" w:rsidRPr="008730C8" w:rsidRDefault="00F1468D"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3</w:t>
            </w:r>
            <w:r w:rsidR="00715A07" w:rsidRPr="008730C8">
              <w:rPr>
                <w:rFonts w:ascii="Book Antiqua" w:hAnsi="Book Antiqua"/>
                <w:sz w:val="24"/>
                <w:szCs w:val="24"/>
                <w:lang w:val="en-GB"/>
              </w:rPr>
              <w:t>% post-procedure pancreatitis</w:t>
            </w:r>
          </w:p>
          <w:p w14:paraId="1B979228" w14:textId="66D79BF6" w:rsidR="00715A07" w:rsidRPr="008730C8" w:rsidRDefault="00F1468D"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4.5</w:t>
            </w:r>
            <w:r w:rsidR="00715A07" w:rsidRPr="008730C8">
              <w:rPr>
                <w:rFonts w:ascii="Book Antiqua" w:hAnsi="Book Antiqua"/>
                <w:sz w:val="24"/>
                <w:szCs w:val="24"/>
                <w:lang w:val="en-GB"/>
              </w:rPr>
              <w:t>% intracystic self-limited bleeding</w:t>
            </w:r>
          </w:p>
        </w:tc>
      </w:tr>
      <w:tr w:rsidR="00715A07" w:rsidRPr="008730C8" w14:paraId="69EA2FFA" w14:textId="77777777" w:rsidTr="00254A81">
        <w:tc>
          <w:tcPr>
            <w:tcW w:w="2269" w:type="dxa"/>
          </w:tcPr>
          <w:p w14:paraId="35743162" w14:textId="7D388D71"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Nakai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50</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2015</w:t>
            </w:r>
          </w:p>
        </w:tc>
        <w:tc>
          <w:tcPr>
            <w:tcW w:w="870" w:type="dxa"/>
          </w:tcPr>
          <w:p w14:paraId="45974E59"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576" w:type="dxa"/>
          </w:tcPr>
          <w:p w14:paraId="58A58CB0"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30</w:t>
            </w:r>
          </w:p>
        </w:tc>
        <w:tc>
          <w:tcPr>
            <w:tcW w:w="10319" w:type="dxa"/>
          </w:tcPr>
          <w:p w14:paraId="62132C67" w14:textId="5800FC5E"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Villous pattern in 18 patients with highly certain diagnosis:</w:t>
            </w:r>
          </w:p>
          <w:p w14:paraId="149B5DE9" w14:textId="20FB3A5C" w:rsidR="00715A07" w:rsidRPr="008730C8" w:rsidRDefault="00F1468D"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Sen 80%</w:t>
            </w:r>
            <w:r w:rsidRPr="008730C8">
              <w:rPr>
                <w:rFonts w:ascii="Book Antiqua" w:hAnsi="Book Antiqua"/>
                <w:sz w:val="24"/>
                <w:szCs w:val="24"/>
                <w:lang w:val="en-GB" w:eastAsia="zh-CN"/>
              </w:rPr>
              <w:t xml:space="preserve">, </w:t>
            </w:r>
            <w:r w:rsidRPr="008730C8">
              <w:rPr>
                <w:rFonts w:ascii="Book Antiqua" w:hAnsi="Book Antiqua"/>
                <w:sz w:val="24"/>
                <w:szCs w:val="24"/>
                <w:lang w:val="en-GB"/>
              </w:rPr>
              <w:t>Spe 100%</w:t>
            </w:r>
            <w:r w:rsidRPr="008730C8">
              <w:rPr>
                <w:rFonts w:ascii="Book Antiqua" w:hAnsi="Book Antiqua"/>
                <w:sz w:val="24"/>
                <w:szCs w:val="24"/>
                <w:lang w:val="en-GB" w:eastAsia="zh-CN"/>
              </w:rPr>
              <w:t xml:space="preserve">, </w:t>
            </w:r>
            <w:r w:rsidRPr="008730C8">
              <w:rPr>
                <w:rFonts w:ascii="Book Antiqua" w:hAnsi="Book Antiqua"/>
                <w:sz w:val="24"/>
                <w:szCs w:val="24"/>
                <w:lang w:val="en-GB"/>
              </w:rPr>
              <w:t>PPV 100%</w:t>
            </w:r>
            <w:r w:rsidRPr="008730C8">
              <w:rPr>
                <w:rFonts w:ascii="Book Antiqua" w:hAnsi="Book Antiqua"/>
                <w:sz w:val="24"/>
                <w:szCs w:val="24"/>
                <w:lang w:val="en-GB" w:eastAsia="zh-CN"/>
              </w:rPr>
              <w:t xml:space="preserve">, </w:t>
            </w:r>
            <w:r w:rsidRPr="008730C8">
              <w:rPr>
                <w:rFonts w:ascii="Book Antiqua" w:hAnsi="Book Antiqua"/>
                <w:sz w:val="24"/>
                <w:szCs w:val="24"/>
                <w:lang w:val="en-GB"/>
              </w:rPr>
              <w:t>NPV 80%</w:t>
            </w:r>
            <w:r w:rsidRPr="008730C8">
              <w:rPr>
                <w:rFonts w:ascii="Book Antiqua" w:hAnsi="Book Antiqua"/>
                <w:sz w:val="24"/>
                <w:szCs w:val="24"/>
                <w:lang w:val="en-GB" w:eastAsia="zh-CN"/>
              </w:rPr>
              <w:t xml:space="preserve">, </w:t>
            </w:r>
            <w:r w:rsidRPr="008730C8">
              <w:rPr>
                <w:rFonts w:ascii="Book Antiqua" w:hAnsi="Book Antiqua"/>
                <w:sz w:val="24"/>
                <w:szCs w:val="24"/>
                <w:lang w:val="en-GB"/>
              </w:rPr>
              <w:t>A 89</w:t>
            </w:r>
            <w:r w:rsidR="00715A07" w:rsidRPr="008730C8">
              <w:rPr>
                <w:rFonts w:ascii="Book Antiqua" w:hAnsi="Book Antiqua"/>
                <w:sz w:val="24"/>
                <w:szCs w:val="24"/>
                <w:lang w:val="en-GB"/>
              </w:rPr>
              <w:t>% for mucinous cysts</w:t>
            </w:r>
          </w:p>
          <w:p w14:paraId="276E7C1A" w14:textId="099344D9"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Significant association with mucinous cysts (</w:t>
            </w:r>
            <w:r w:rsidR="001A6A13" w:rsidRPr="008730C8">
              <w:rPr>
                <w:rFonts w:ascii="Book Antiqua" w:hAnsi="Book Antiqua"/>
                <w:sz w:val="24"/>
                <w:szCs w:val="24"/>
                <w:vertAlign w:val="superscript"/>
                <w:lang w:val="en-GB"/>
              </w:rPr>
              <w:t>b</w:t>
            </w:r>
            <w:r w:rsidR="00F1468D" w:rsidRPr="008730C8">
              <w:rPr>
                <w:rFonts w:ascii="Book Antiqua" w:hAnsi="Book Antiqua"/>
                <w:i/>
                <w:sz w:val="24"/>
                <w:szCs w:val="24"/>
                <w:lang w:val="en-GB"/>
              </w:rPr>
              <w:t>P</w:t>
            </w:r>
            <w:r w:rsidRPr="008730C8">
              <w:rPr>
                <w:rFonts w:ascii="Book Antiqua" w:hAnsi="Book Antiqua"/>
                <w:sz w:val="24"/>
                <w:szCs w:val="24"/>
                <w:lang w:val="en-GB"/>
              </w:rPr>
              <w:t xml:space="preserve"> = 0.001)</w:t>
            </w:r>
          </w:p>
        </w:tc>
        <w:tc>
          <w:tcPr>
            <w:tcW w:w="2551" w:type="dxa"/>
          </w:tcPr>
          <w:p w14:paraId="75CA3899" w14:textId="73D9F950" w:rsidR="00715A07" w:rsidRPr="008730C8" w:rsidRDefault="00F1468D"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7</w:t>
            </w:r>
            <w:r w:rsidR="00715A07" w:rsidRPr="008730C8">
              <w:rPr>
                <w:rFonts w:ascii="Book Antiqua" w:hAnsi="Book Antiqua"/>
                <w:sz w:val="24"/>
                <w:szCs w:val="24"/>
                <w:lang w:val="en-GB"/>
              </w:rPr>
              <w:t>% post-procedure (cystoscopy followed by nCLE) pan</w:t>
            </w:r>
            <w:r w:rsidRPr="008730C8">
              <w:rPr>
                <w:rFonts w:ascii="Book Antiqua" w:hAnsi="Book Antiqua"/>
                <w:sz w:val="24"/>
                <w:szCs w:val="24"/>
                <w:lang w:val="en-GB"/>
              </w:rPr>
              <w:t>creatitis</w:t>
            </w:r>
          </w:p>
        </w:tc>
      </w:tr>
      <w:tr w:rsidR="00715A07" w:rsidRPr="008730C8" w14:paraId="1D8A08AB" w14:textId="77777777" w:rsidTr="00254A81">
        <w:tc>
          <w:tcPr>
            <w:tcW w:w="2269" w:type="dxa"/>
          </w:tcPr>
          <w:p w14:paraId="583F8753" w14:textId="2B4EF305"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Napoléon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51</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2015</w:t>
            </w:r>
          </w:p>
        </w:tc>
        <w:tc>
          <w:tcPr>
            <w:tcW w:w="870" w:type="dxa"/>
          </w:tcPr>
          <w:p w14:paraId="18375E83"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576" w:type="dxa"/>
          </w:tcPr>
          <w:p w14:paraId="1F317586"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31</w:t>
            </w:r>
          </w:p>
        </w:tc>
        <w:tc>
          <w:tcPr>
            <w:tcW w:w="10319" w:type="dxa"/>
          </w:tcPr>
          <w:p w14:paraId="4776566B" w14:textId="6561E04F"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i/>
                <w:sz w:val="24"/>
                <w:szCs w:val="24"/>
                <w:lang w:val="en-GB"/>
              </w:rPr>
              <w:t>Superficial vascular network</w:t>
            </w:r>
            <w:r w:rsidRPr="008730C8">
              <w:rPr>
                <w:rFonts w:ascii="Book Antiqua" w:hAnsi="Book Antiqua"/>
                <w:sz w:val="24"/>
                <w:szCs w:val="24"/>
                <w:lang w:val="en-GB"/>
              </w:rPr>
              <w:t>:</w:t>
            </w:r>
          </w:p>
          <w:p w14:paraId="21DE1E51" w14:textId="57325143" w:rsidR="00715A07" w:rsidRPr="008730C8" w:rsidRDefault="00715A07" w:rsidP="008730C8">
            <w:pPr>
              <w:tabs>
                <w:tab w:val="left" w:pos="1595"/>
              </w:tabs>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 xml:space="preserve">Sen </w:t>
            </w:r>
            <w:r w:rsidR="00F1468D" w:rsidRPr="008730C8">
              <w:rPr>
                <w:rFonts w:ascii="Book Antiqua" w:hAnsi="Book Antiqua" w:cs="Times New Roman"/>
                <w:sz w:val="24"/>
                <w:szCs w:val="24"/>
                <w:lang w:val="en-GB"/>
              </w:rPr>
              <w:t>69%, Spe 100</w:t>
            </w:r>
            <w:r w:rsidRPr="008730C8">
              <w:rPr>
                <w:rFonts w:ascii="Book Antiqua" w:hAnsi="Book Antiqua" w:cs="Times New Roman"/>
                <w:sz w:val="24"/>
                <w:szCs w:val="24"/>
                <w:lang w:val="en-GB"/>
              </w:rPr>
              <w:t>%</w:t>
            </w:r>
            <w:r w:rsidR="00F1468D" w:rsidRPr="008730C8">
              <w:rPr>
                <w:rFonts w:ascii="Book Antiqua" w:hAnsi="Book Antiqua" w:cs="Times New Roman"/>
                <w:sz w:val="24"/>
                <w:szCs w:val="24"/>
                <w:lang w:val="en-GB" w:eastAsia="zh-CN"/>
              </w:rPr>
              <w:t xml:space="preserve">, </w:t>
            </w:r>
            <w:r w:rsidR="00F1468D" w:rsidRPr="008730C8">
              <w:rPr>
                <w:rFonts w:ascii="Book Antiqua" w:hAnsi="Book Antiqua" w:cs="Times New Roman"/>
                <w:sz w:val="24"/>
                <w:szCs w:val="24"/>
                <w:lang w:val="en-GB"/>
              </w:rPr>
              <w:t>PPV 100</w:t>
            </w:r>
            <w:r w:rsidRPr="008730C8">
              <w:rPr>
                <w:rFonts w:ascii="Book Antiqua" w:hAnsi="Book Antiqua" w:cs="Times New Roman"/>
                <w:sz w:val="24"/>
                <w:szCs w:val="24"/>
                <w:lang w:val="en-GB"/>
              </w:rPr>
              <w:t>%</w:t>
            </w:r>
            <w:r w:rsidR="00F1468D" w:rsidRPr="008730C8">
              <w:rPr>
                <w:rFonts w:ascii="Book Antiqua" w:hAnsi="Book Antiqua" w:cs="Times New Roman"/>
                <w:sz w:val="24"/>
                <w:szCs w:val="24"/>
                <w:lang w:val="en-GB" w:eastAsia="zh-CN"/>
              </w:rPr>
              <w:t xml:space="preserve">, </w:t>
            </w:r>
            <w:r w:rsidR="00F1468D" w:rsidRPr="008730C8">
              <w:rPr>
                <w:rFonts w:ascii="Book Antiqua" w:hAnsi="Book Antiqua" w:cs="Times New Roman"/>
                <w:sz w:val="24"/>
                <w:szCs w:val="24"/>
                <w:lang w:val="en-GB"/>
              </w:rPr>
              <w:t>NPV 82</w:t>
            </w:r>
            <w:r w:rsidRPr="008730C8">
              <w:rPr>
                <w:rFonts w:ascii="Book Antiqua" w:hAnsi="Book Antiqua" w:cs="Times New Roman"/>
                <w:sz w:val="24"/>
                <w:szCs w:val="24"/>
                <w:lang w:val="en-GB"/>
              </w:rPr>
              <w:t>%</w:t>
            </w:r>
            <w:r w:rsidR="00F1468D" w:rsidRPr="008730C8">
              <w:rPr>
                <w:rFonts w:ascii="Book Antiqua" w:hAnsi="Book Antiqua" w:cs="Times New Roman"/>
                <w:sz w:val="24"/>
                <w:szCs w:val="24"/>
                <w:lang w:val="en-GB" w:eastAsia="zh-CN"/>
              </w:rPr>
              <w:t xml:space="preserve">, </w:t>
            </w:r>
            <w:r w:rsidR="00F1468D" w:rsidRPr="008730C8">
              <w:rPr>
                <w:rFonts w:ascii="Book Antiqua" w:hAnsi="Book Antiqua" w:cs="Times New Roman"/>
                <w:sz w:val="24"/>
                <w:szCs w:val="24"/>
                <w:lang w:val="en-GB"/>
              </w:rPr>
              <w:t>A 87</w:t>
            </w:r>
            <w:r w:rsidRPr="008730C8">
              <w:rPr>
                <w:rFonts w:ascii="Book Antiqua" w:hAnsi="Book Antiqua" w:cs="Times New Roman"/>
                <w:sz w:val="24"/>
                <w:szCs w:val="24"/>
                <w:lang w:val="en-GB"/>
              </w:rPr>
              <w:t>% for SCAs</w:t>
            </w:r>
          </w:p>
        </w:tc>
        <w:tc>
          <w:tcPr>
            <w:tcW w:w="2551" w:type="dxa"/>
          </w:tcPr>
          <w:p w14:paraId="185F5D46" w14:textId="51FC6BBB" w:rsidR="00715A07" w:rsidRPr="008730C8" w:rsidRDefault="00F1468D"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3% post-procedure pancreatitis</w:t>
            </w:r>
          </w:p>
        </w:tc>
      </w:tr>
      <w:tr w:rsidR="00715A07" w:rsidRPr="008730C8" w14:paraId="71FB749C" w14:textId="77777777" w:rsidTr="00254A81">
        <w:tc>
          <w:tcPr>
            <w:tcW w:w="2269" w:type="dxa"/>
          </w:tcPr>
          <w:p w14:paraId="537B517A" w14:textId="0800036F"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Napoléon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52</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2016</w:t>
            </w:r>
          </w:p>
        </w:tc>
        <w:tc>
          <w:tcPr>
            <w:tcW w:w="870" w:type="dxa"/>
          </w:tcPr>
          <w:p w14:paraId="3CF1887E"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576" w:type="dxa"/>
          </w:tcPr>
          <w:p w14:paraId="190E1514"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31</w:t>
            </w:r>
          </w:p>
        </w:tc>
        <w:tc>
          <w:tcPr>
            <w:tcW w:w="10319" w:type="dxa"/>
          </w:tcPr>
          <w:p w14:paraId="4C4B68CC"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Step 1: Description of nCLE patterns for mucinous cysts, PCs and cystic NENs with histological correlation</w:t>
            </w:r>
          </w:p>
          <w:p w14:paraId="04002D5C"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Step 2: Retrospective external validation of nCLE criteria</w:t>
            </w:r>
          </w:p>
          <w:p w14:paraId="15D8CE55" w14:textId="2F3FF70E" w:rsidR="00715A07" w:rsidRPr="008730C8" w:rsidRDefault="00F1468D"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Accuracy 94% for mucinous cysts (90% IPMN – 90% MCA) - 87</w:t>
            </w:r>
            <w:r w:rsidR="00542F5E">
              <w:rPr>
                <w:rFonts w:ascii="Book Antiqua" w:hAnsi="Book Antiqua"/>
                <w:sz w:val="24"/>
                <w:szCs w:val="24"/>
                <w:lang w:val="en-GB"/>
              </w:rPr>
              <w:t xml:space="preserve">% SCA - </w:t>
            </w:r>
            <w:r w:rsidRPr="008730C8">
              <w:rPr>
                <w:rFonts w:ascii="Book Antiqua" w:hAnsi="Book Antiqua"/>
                <w:sz w:val="24"/>
                <w:szCs w:val="24"/>
                <w:lang w:val="en-GB"/>
              </w:rPr>
              <w:t>87</w:t>
            </w:r>
            <w:r w:rsidR="00715A07" w:rsidRPr="008730C8">
              <w:rPr>
                <w:rFonts w:ascii="Book Antiqua" w:hAnsi="Book Antiqua"/>
                <w:sz w:val="24"/>
                <w:szCs w:val="24"/>
                <w:lang w:val="en-GB"/>
              </w:rPr>
              <w:t>% PCs</w:t>
            </w:r>
          </w:p>
          <w:p w14:paraId="3970574A" w14:textId="3E05BE14"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 xml:space="preserve">Substantial global IOA: </w:t>
            </w:r>
            <w:r w:rsidR="00F1468D" w:rsidRPr="008730C8">
              <w:rPr>
                <w:rFonts w:ascii="Book Antiqua" w:hAnsi="Book Antiqua"/>
                <w:sz w:val="24"/>
                <w:szCs w:val="24"/>
                <w:lang w:val="en-GB"/>
              </w:rPr>
              <w:t>P</w:t>
            </w:r>
            <w:r w:rsidRPr="008730C8">
              <w:rPr>
                <w:rFonts w:ascii="Book Antiqua" w:hAnsi="Book Antiqua"/>
                <w:sz w:val="24"/>
                <w:szCs w:val="24"/>
                <w:lang w:val="en-GB"/>
              </w:rPr>
              <w:t>erfect PC, almost perfect SCA, moderate IPMN, fair MCA</w:t>
            </w:r>
          </w:p>
        </w:tc>
        <w:tc>
          <w:tcPr>
            <w:tcW w:w="2551" w:type="dxa"/>
          </w:tcPr>
          <w:p w14:paraId="25D18581" w14:textId="77777777" w:rsidR="00715A07" w:rsidRPr="008730C8" w:rsidRDefault="00715A07" w:rsidP="008730C8">
            <w:pPr>
              <w:adjustRightInd w:val="0"/>
              <w:snapToGrid w:val="0"/>
              <w:spacing w:line="360" w:lineRule="auto"/>
              <w:jc w:val="both"/>
              <w:rPr>
                <w:rFonts w:ascii="Book Antiqua" w:hAnsi="Book Antiqua"/>
                <w:sz w:val="24"/>
                <w:szCs w:val="24"/>
                <w:lang w:val="en-GB"/>
              </w:rPr>
            </w:pPr>
          </w:p>
        </w:tc>
      </w:tr>
      <w:tr w:rsidR="00715A07" w:rsidRPr="008730C8" w14:paraId="52EB58B4" w14:textId="77777777" w:rsidTr="00254A81">
        <w:tc>
          <w:tcPr>
            <w:tcW w:w="2269" w:type="dxa"/>
          </w:tcPr>
          <w:p w14:paraId="56B58134" w14:textId="5984E54B"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Kadayifci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53</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2017</w:t>
            </w:r>
          </w:p>
        </w:tc>
        <w:tc>
          <w:tcPr>
            <w:tcW w:w="870" w:type="dxa"/>
          </w:tcPr>
          <w:p w14:paraId="0C2A7D8A"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576" w:type="dxa"/>
          </w:tcPr>
          <w:p w14:paraId="551EBBD9"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20</w:t>
            </w:r>
          </w:p>
        </w:tc>
        <w:tc>
          <w:tcPr>
            <w:tcW w:w="10319" w:type="dxa"/>
          </w:tcPr>
          <w:p w14:paraId="17194DD3" w14:textId="25F433DF"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nCLE perform</w:t>
            </w:r>
            <w:r w:rsidR="00254A81" w:rsidRPr="008730C8">
              <w:rPr>
                <w:rFonts w:ascii="Book Antiqua" w:hAnsi="Book Antiqua"/>
                <w:sz w:val="24"/>
                <w:szCs w:val="24"/>
                <w:lang w:val="en-GB"/>
              </w:rPr>
              <w:t>ance for mucinous cysts: Sen 66% - Spe 100% - A 80</w:t>
            </w:r>
            <w:r w:rsidRPr="008730C8">
              <w:rPr>
                <w:rFonts w:ascii="Book Antiqua" w:hAnsi="Book Antiqua"/>
                <w:sz w:val="24"/>
                <w:szCs w:val="24"/>
                <w:lang w:val="en-GB"/>
              </w:rPr>
              <w:t>%</w:t>
            </w:r>
          </w:p>
        </w:tc>
        <w:tc>
          <w:tcPr>
            <w:tcW w:w="2551" w:type="dxa"/>
          </w:tcPr>
          <w:p w14:paraId="40CB50E6" w14:textId="661D65C4"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0</w:t>
            </w:r>
            <w:r w:rsidR="00F1468D" w:rsidRPr="008730C8">
              <w:rPr>
                <w:rFonts w:ascii="Book Antiqua" w:hAnsi="Book Antiqua"/>
                <w:sz w:val="24"/>
                <w:szCs w:val="24"/>
                <w:lang w:val="en-GB" w:eastAsia="zh-CN"/>
              </w:rPr>
              <w:t xml:space="preserve"> </w:t>
            </w:r>
            <w:r w:rsidRPr="008730C8">
              <w:rPr>
                <w:rFonts w:ascii="Book Antiqua" w:hAnsi="Book Antiqua"/>
                <w:sz w:val="24"/>
                <w:szCs w:val="24"/>
                <w:lang w:val="en-GB"/>
              </w:rPr>
              <w:t>complications</w:t>
            </w:r>
          </w:p>
        </w:tc>
      </w:tr>
      <w:tr w:rsidR="00715A07" w:rsidRPr="008730C8" w14:paraId="54038931" w14:textId="77777777" w:rsidTr="005172F1">
        <w:trPr>
          <w:trHeight w:val="645"/>
        </w:trPr>
        <w:tc>
          <w:tcPr>
            <w:tcW w:w="2269" w:type="dxa"/>
          </w:tcPr>
          <w:p w14:paraId="29B6C05E" w14:textId="4BAE171B" w:rsidR="00715A07" w:rsidRPr="008730C8" w:rsidRDefault="00715A07" w:rsidP="008730C8">
            <w:pPr>
              <w:adjustRightInd w:val="0"/>
              <w:snapToGrid w:val="0"/>
              <w:spacing w:line="360" w:lineRule="auto"/>
              <w:jc w:val="both"/>
              <w:rPr>
                <w:rFonts w:ascii="Book Antiqua" w:hAnsi="Book Antiqua"/>
                <w:sz w:val="24"/>
                <w:szCs w:val="24"/>
                <w:vertAlign w:val="superscript"/>
                <w:lang w:val="en-GB"/>
              </w:rPr>
            </w:pPr>
            <w:r w:rsidRPr="008730C8">
              <w:rPr>
                <w:rFonts w:ascii="Book Antiqua" w:hAnsi="Book Antiqua"/>
                <w:sz w:val="24"/>
                <w:szCs w:val="24"/>
                <w:lang w:val="en-GB"/>
              </w:rPr>
              <w:t xml:space="preserve">Krishna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54</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w:t>
            </w:r>
            <w:r w:rsidRPr="008730C8">
              <w:rPr>
                <w:rFonts w:ascii="Book Antiqua" w:hAnsi="Book Antiqua"/>
                <w:sz w:val="24"/>
                <w:szCs w:val="24"/>
                <w:lang w:val="en-GB"/>
              </w:rPr>
              <w:t xml:space="preserve">2017 </w:t>
            </w:r>
          </w:p>
        </w:tc>
        <w:tc>
          <w:tcPr>
            <w:tcW w:w="870" w:type="dxa"/>
          </w:tcPr>
          <w:p w14:paraId="62FE9ADB"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576" w:type="dxa"/>
          </w:tcPr>
          <w:p w14:paraId="5C87B30D"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10</w:t>
            </w:r>
          </w:p>
        </w:tc>
        <w:tc>
          <w:tcPr>
            <w:tcW w:w="10319" w:type="dxa"/>
          </w:tcPr>
          <w:p w14:paraId="5CECDE5A" w14:textId="77777777" w:rsidR="00715A07" w:rsidRPr="008730C8" w:rsidRDefault="00715A07" w:rsidP="008730C8">
            <w:pPr>
              <w:adjustRightInd w:val="0"/>
              <w:snapToGrid w:val="0"/>
              <w:spacing w:line="360" w:lineRule="auto"/>
              <w:jc w:val="both"/>
              <w:rPr>
                <w:rFonts w:ascii="Book Antiqua" w:hAnsi="Book Antiqua" w:cstheme="minorHAnsi"/>
                <w:sz w:val="24"/>
                <w:szCs w:val="24"/>
                <w:lang w:val="en-GB"/>
              </w:rPr>
            </w:pPr>
            <w:r w:rsidRPr="008730C8">
              <w:rPr>
                <w:rFonts w:ascii="Book Antiqua" w:hAnsi="Book Antiqua" w:cstheme="minorHAnsi"/>
                <w:sz w:val="24"/>
                <w:szCs w:val="24"/>
                <w:lang w:val="en-GB"/>
              </w:rPr>
              <w:t xml:space="preserve">Reproducibility of the </w:t>
            </w:r>
            <w:r w:rsidRPr="00AC11D7">
              <w:rPr>
                <w:rFonts w:ascii="Book Antiqua" w:hAnsi="Book Antiqua" w:cstheme="minorHAnsi"/>
                <w:i/>
                <w:sz w:val="24"/>
                <w:szCs w:val="24"/>
                <w:lang w:val="en-GB"/>
              </w:rPr>
              <w:t>in vivo</w:t>
            </w:r>
            <w:r w:rsidRPr="008730C8">
              <w:rPr>
                <w:rFonts w:ascii="Book Antiqua" w:hAnsi="Book Antiqua" w:cstheme="minorHAnsi"/>
                <w:sz w:val="24"/>
                <w:szCs w:val="24"/>
                <w:lang w:val="en-GB"/>
              </w:rPr>
              <w:t xml:space="preserve"> nCLE criteria in ex vivo specimens</w:t>
            </w:r>
          </w:p>
        </w:tc>
        <w:tc>
          <w:tcPr>
            <w:tcW w:w="2551" w:type="dxa"/>
          </w:tcPr>
          <w:p w14:paraId="061AFA5E" w14:textId="77777777" w:rsidR="00715A07" w:rsidRPr="008730C8" w:rsidRDefault="00715A07" w:rsidP="008730C8">
            <w:pPr>
              <w:adjustRightInd w:val="0"/>
              <w:snapToGrid w:val="0"/>
              <w:spacing w:line="360" w:lineRule="auto"/>
              <w:jc w:val="both"/>
              <w:rPr>
                <w:rFonts w:ascii="Book Antiqua" w:hAnsi="Book Antiqua"/>
                <w:sz w:val="24"/>
                <w:szCs w:val="24"/>
                <w:lang w:val="en-GB"/>
              </w:rPr>
            </w:pPr>
          </w:p>
        </w:tc>
      </w:tr>
      <w:tr w:rsidR="00715A07" w:rsidRPr="008730C8" w14:paraId="1A73EC70" w14:textId="77777777" w:rsidTr="00254A81">
        <w:tc>
          <w:tcPr>
            <w:tcW w:w="2269" w:type="dxa"/>
          </w:tcPr>
          <w:p w14:paraId="26B2FA9D" w14:textId="43F59473" w:rsidR="00715A07" w:rsidRPr="008730C8" w:rsidRDefault="00715A07" w:rsidP="008730C8">
            <w:pPr>
              <w:adjustRightInd w:val="0"/>
              <w:snapToGrid w:val="0"/>
              <w:spacing w:line="360" w:lineRule="auto"/>
              <w:jc w:val="both"/>
              <w:rPr>
                <w:rFonts w:ascii="Book Antiqua" w:hAnsi="Book Antiqua"/>
                <w:sz w:val="24"/>
                <w:szCs w:val="24"/>
                <w:vertAlign w:val="superscript"/>
                <w:lang w:val="en-GB"/>
              </w:rPr>
            </w:pPr>
            <w:r w:rsidRPr="008730C8">
              <w:rPr>
                <w:rFonts w:ascii="Book Antiqua" w:hAnsi="Book Antiqua"/>
                <w:sz w:val="24"/>
                <w:szCs w:val="24"/>
                <w:lang w:val="en-GB"/>
              </w:rPr>
              <w:lastRenderedPageBreak/>
              <w:t xml:space="preserve">Napoléon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55</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in press</w:t>
            </w:r>
          </w:p>
        </w:tc>
        <w:tc>
          <w:tcPr>
            <w:tcW w:w="870" w:type="dxa"/>
          </w:tcPr>
          <w:p w14:paraId="3B451C65"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P</w:t>
            </w:r>
          </w:p>
        </w:tc>
        <w:tc>
          <w:tcPr>
            <w:tcW w:w="576" w:type="dxa"/>
          </w:tcPr>
          <w:p w14:paraId="655F33D8"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209</w:t>
            </w:r>
          </w:p>
        </w:tc>
        <w:tc>
          <w:tcPr>
            <w:tcW w:w="10319" w:type="dxa"/>
          </w:tcPr>
          <w:p w14:paraId="1054C78E" w14:textId="339D790D" w:rsidR="00715A07" w:rsidRPr="008730C8" w:rsidRDefault="00254A81"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Diagnostic yield 91</w:t>
            </w:r>
            <w:r w:rsidR="00715A07" w:rsidRPr="008730C8">
              <w:rPr>
                <w:rFonts w:ascii="Book Antiqua" w:hAnsi="Book Antiqua"/>
                <w:sz w:val="24"/>
                <w:szCs w:val="24"/>
                <w:lang w:val="en-GB"/>
              </w:rPr>
              <w:t>% in 78 patients with non-communicating cysts and pathological diagnosis:</w:t>
            </w:r>
          </w:p>
          <w:p w14:paraId="1F783D26" w14:textId="380D1CE1" w:rsidR="00715A07" w:rsidRPr="008730C8" w:rsidRDefault="00715A07" w:rsidP="008730C8">
            <w:pPr>
              <w:adjustRightInd w:val="0"/>
              <w:snapToGrid w:val="0"/>
              <w:spacing w:line="360" w:lineRule="auto"/>
              <w:jc w:val="both"/>
              <w:rPr>
                <w:rFonts w:ascii="Book Antiqua" w:hAnsi="Book Antiqua" w:cs="Times New Roman"/>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95%, Spe 100% - PPV 100% - NPV 98% - A 99</w:t>
            </w:r>
            <w:r w:rsidRPr="008730C8">
              <w:rPr>
                <w:rFonts w:ascii="Book Antiqua" w:hAnsi="Book Antiqua" w:cs="Times New Roman"/>
                <w:sz w:val="24"/>
                <w:szCs w:val="24"/>
                <w:lang w:val="en-GB"/>
              </w:rPr>
              <w:t>% for SCAs</w:t>
            </w:r>
          </w:p>
          <w:p w14:paraId="62CE94DF" w14:textId="569FDDFB" w:rsidR="00715A07" w:rsidRPr="008730C8" w:rsidRDefault="00715A07" w:rsidP="008730C8">
            <w:pPr>
              <w:adjustRightInd w:val="0"/>
              <w:snapToGrid w:val="0"/>
              <w:spacing w:line="360" w:lineRule="auto"/>
              <w:jc w:val="both"/>
              <w:rPr>
                <w:rFonts w:ascii="Book Antiqua" w:hAnsi="Book Antiqua" w:cs="Times New Roman"/>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95%, Spe 100% - PPV 100% - NPV 94% - A 97</w:t>
            </w:r>
            <w:r w:rsidRPr="008730C8">
              <w:rPr>
                <w:rFonts w:ascii="Book Antiqua" w:hAnsi="Book Antiqua" w:cs="Times New Roman"/>
                <w:sz w:val="24"/>
                <w:szCs w:val="24"/>
                <w:lang w:val="en-GB"/>
              </w:rPr>
              <w:t>% for mucinous cysts</w:t>
            </w:r>
          </w:p>
          <w:p w14:paraId="2A322673" w14:textId="023666FE" w:rsidR="00715A07" w:rsidRPr="008730C8" w:rsidRDefault="00715A07" w:rsidP="008730C8">
            <w:pPr>
              <w:adjustRightInd w:val="0"/>
              <w:snapToGrid w:val="0"/>
              <w:spacing w:line="360" w:lineRule="auto"/>
              <w:jc w:val="both"/>
              <w:rPr>
                <w:rFonts w:ascii="Book Antiqua" w:hAnsi="Book Antiqua" w:cs="Times New Roman"/>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100%, Spe 95% - PPV 70% - NPV 100% - A 96</w:t>
            </w:r>
            <w:r w:rsidRPr="008730C8">
              <w:rPr>
                <w:rFonts w:ascii="Book Antiqua" w:hAnsi="Book Antiqua" w:cs="Times New Roman"/>
                <w:sz w:val="24"/>
                <w:szCs w:val="24"/>
                <w:lang w:val="en-GB"/>
              </w:rPr>
              <w:t>% for NENs</w:t>
            </w:r>
          </w:p>
          <w:p w14:paraId="60F9D1C8" w14:textId="37B48392"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96%, Spe 95</w:t>
            </w:r>
            <w:r w:rsidRPr="008730C8">
              <w:rPr>
                <w:rFonts w:ascii="Book Antiqua" w:hAnsi="Book Antiqua" w:cs="Times New Roman"/>
                <w:sz w:val="24"/>
                <w:szCs w:val="24"/>
                <w:lang w:val="en-GB"/>
              </w:rPr>
              <w:t>% - PPV 98</w:t>
            </w:r>
            <w:r w:rsidR="00254A81" w:rsidRPr="008730C8">
              <w:rPr>
                <w:rFonts w:ascii="Book Antiqua" w:hAnsi="Book Antiqua" w:cs="Times New Roman"/>
                <w:sz w:val="24"/>
                <w:szCs w:val="24"/>
                <w:lang w:val="en-GB"/>
              </w:rPr>
              <w:t>% - NPV 91% - A R96</w:t>
            </w:r>
            <w:r w:rsidRPr="008730C8">
              <w:rPr>
                <w:rFonts w:ascii="Book Antiqua" w:hAnsi="Book Antiqua" w:cs="Times New Roman"/>
                <w:sz w:val="24"/>
                <w:szCs w:val="24"/>
                <w:lang w:val="en-GB"/>
              </w:rPr>
              <w:t>% for premalignant cysts</w:t>
            </w:r>
          </w:p>
        </w:tc>
        <w:tc>
          <w:tcPr>
            <w:tcW w:w="2551" w:type="dxa"/>
          </w:tcPr>
          <w:p w14:paraId="40265ABD" w14:textId="051D9081" w:rsidR="00715A07" w:rsidRPr="008730C8" w:rsidRDefault="00254A81" w:rsidP="008730C8">
            <w:pPr>
              <w:adjustRightInd w:val="0"/>
              <w:snapToGrid w:val="0"/>
              <w:spacing w:line="360" w:lineRule="auto"/>
              <w:jc w:val="both"/>
              <w:rPr>
                <w:rFonts w:ascii="Book Antiqua" w:hAnsi="Book Antiqua"/>
                <w:sz w:val="24"/>
                <w:szCs w:val="24"/>
                <w:lang w:val="en-GB" w:eastAsia="zh-CN"/>
              </w:rPr>
            </w:pPr>
            <w:r w:rsidRPr="008730C8">
              <w:rPr>
                <w:rFonts w:ascii="Book Antiqua" w:hAnsi="Book Antiqua"/>
                <w:sz w:val="24"/>
                <w:szCs w:val="24"/>
                <w:lang w:val="en-GB"/>
              </w:rPr>
              <w:t>1.3</w:t>
            </w:r>
            <w:r w:rsidR="00715A07" w:rsidRPr="008730C8">
              <w:rPr>
                <w:rFonts w:ascii="Book Antiqua" w:hAnsi="Book Antiqua"/>
                <w:sz w:val="24"/>
                <w:szCs w:val="24"/>
                <w:lang w:val="en-GB"/>
              </w:rPr>
              <w:t>% post-procedure pancreatitis</w:t>
            </w:r>
          </w:p>
        </w:tc>
      </w:tr>
      <w:tr w:rsidR="00715A07" w:rsidRPr="008730C8" w14:paraId="6ECBAFAD" w14:textId="77777777" w:rsidTr="00254A81">
        <w:tc>
          <w:tcPr>
            <w:tcW w:w="2269" w:type="dxa"/>
          </w:tcPr>
          <w:p w14:paraId="6C424E1D" w14:textId="6B69EFB0"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Karia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56</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2016</w:t>
            </w:r>
          </w:p>
        </w:tc>
        <w:tc>
          <w:tcPr>
            <w:tcW w:w="870" w:type="dxa"/>
          </w:tcPr>
          <w:p w14:paraId="46BBAF09"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576" w:type="dxa"/>
          </w:tcPr>
          <w:p w14:paraId="2936D9E4"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15</w:t>
            </w:r>
          </w:p>
        </w:tc>
        <w:tc>
          <w:tcPr>
            <w:tcW w:w="10319" w:type="dxa"/>
          </w:tcPr>
          <w:p w14:paraId="3851CFB4" w14:textId="704E45F5"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cs="Times New Roman"/>
                <w:sz w:val="24"/>
                <w:szCs w:val="24"/>
                <w:lang w:val="en-GB"/>
              </w:rPr>
              <w:t>IOA poor to fair for all nCLE variables</w:t>
            </w:r>
          </w:p>
        </w:tc>
        <w:tc>
          <w:tcPr>
            <w:tcW w:w="2551" w:type="dxa"/>
          </w:tcPr>
          <w:p w14:paraId="3599F7FF" w14:textId="77777777" w:rsidR="00715A07" w:rsidRPr="008730C8" w:rsidRDefault="00715A07" w:rsidP="008730C8">
            <w:pPr>
              <w:adjustRightInd w:val="0"/>
              <w:snapToGrid w:val="0"/>
              <w:spacing w:line="360" w:lineRule="auto"/>
              <w:jc w:val="both"/>
              <w:rPr>
                <w:rFonts w:ascii="Book Antiqua" w:hAnsi="Book Antiqua"/>
                <w:sz w:val="24"/>
                <w:szCs w:val="24"/>
                <w:lang w:val="en-GB"/>
              </w:rPr>
            </w:pPr>
          </w:p>
        </w:tc>
      </w:tr>
      <w:tr w:rsidR="00715A07" w:rsidRPr="008730C8" w14:paraId="5E267439" w14:textId="77777777" w:rsidTr="00254A81">
        <w:tc>
          <w:tcPr>
            <w:tcW w:w="2269" w:type="dxa"/>
          </w:tcPr>
          <w:p w14:paraId="171F68FA" w14:textId="2BE10D9B"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Krishna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57</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2016</w:t>
            </w:r>
          </w:p>
        </w:tc>
        <w:tc>
          <w:tcPr>
            <w:tcW w:w="870" w:type="dxa"/>
          </w:tcPr>
          <w:p w14:paraId="2B0AEC4E"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576" w:type="dxa"/>
          </w:tcPr>
          <w:p w14:paraId="5D1829A0"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49</w:t>
            </w:r>
          </w:p>
        </w:tc>
        <w:tc>
          <w:tcPr>
            <w:tcW w:w="10319" w:type="dxa"/>
          </w:tcPr>
          <w:p w14:paraId="0301CF4C" w14:textId="05DEB0C2"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nCLE performance on 26 patients with definitive diagnosis (23 with pathological diagnosis):</w:t>
            </w:r>
          </w:p>
          <w:p w14:paraId="777A46DC" w14:textId="5A31EF17" w:rsidR="00715A07" w:rsidRPr="008730C8" w:rsidRDefault="00715A07" w:rsidP="008730C8">
            <w:pPr>
              <w:adjustRightInd w:val="0"/>
              <w:snapToGrid w:val="0"/>
              <w:spacing w:line="360" w:lineRule="auto"/>
              <w:jc w:val="both"/>
              <w:rPr>
                <w:rFonts w:ascii="Book Antiqua" w:hAnsi="Book Antiqua" w:cs="Times New Roman"/>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94%, Spe 82% - PPV 88% - NPV 92% - A 89</w:t>
            </w:r>
            <w:r w:rsidRPr="008730C8">
              <w:rPr>
                <w:rFonts w:ascii="Book Antiqua" w:hAnsi="Book Antiqua" w:cs="Times New Roman"/>
                <w:sz w:val="24"/>
                <w:szCs w:val="24"/>
                <w:lang w:val="en-GB"/>
              </w:rPr>
              <w:t>% for mucinous cysts</w:t>
            </w:r>
          </w:p>
          <w:p w14:paraId="28FD653B" w14:textId="5CAA3EEB" w:rsidR="00715A07" w:rsidRPr="008730C8" w:rsidRDefault="00715A07" w:rsidP="008730C8">
            <w:pPr>
              <w:tabs>
                <w:tab w:val="left" w:pos="1600"/>
              </w:tabs>
              <w:adjustRightInd w:val="0"/>
              <w:snapToGrid w:val="0"/>
              <w:spacing w:line="360" w:lineRule="auto"/>
              <w:jc w:val="both"/>
              <w:rPr>
                <w:rFonts w:ascii="Book Antiqua" w:hAnsi="Book Antiqua"/>
                <w:sz w:val="24"/>
                <w:szCs w:val="24"/>
                <w:lang w:val="en-GB"/>
              </w:rPr>
            </w:pPr>
            <w:r w:rsidRPr="008730C8">
              <w:rPr>
                <w:rFonts w:ascii="Book Antiqua" w:hAnsi="Book Antiqua" w:cs="Times New Roman"/>
                <w:sz w:val="24"/>
                <w:szCs w:val="24"/>
                <w:lang w:val="en-GB"/>
              </w:rPr>
              <w:t>IOA and IOR:</w:t>
            </w:r>
            <w:r w:rsidR="00254A81" w:rsidRPr="008730C8">
              <w:rPr>
                <w:rFonts w:ascii="Book Antiqua" w:hAnsi="Book Antiqua" w:cs="Times New Roman"/>
                <w:sz w:val="24"/>
                <w:szCs w:val="24"/>
                <w:lang w:val="en-GB"/>
              </w:rPr>
              <w:t xml:space="preserve"> S</w:t>
            </w:r>
            <w:r w:rsidRPr="008730C8">
              <w:rPr>
                <w:rFonts w:ascii="Book Antiqua" w:hAnsi="Book Antiqua" w:cs="Times New Roman"/>
                <w:sz w:val="24"/>
                <w:szCs w:val="24"/>
                <w:lang w:val="en-GB"/>
              </w:rPr>
              <w:t>ubstantial for all nCLE criteria</w:t>
            </w:r>
          </w:p>
        </w:tc>
        <w:tc>
          <w:tcPr>
            <w:tcW w:w="2551" w:type="dxa"/>
          </w:tcPr>
          <w:p w14:paraId="4334DD9C" w14:textId="541126CD" w:rsidR="00715A07" w:rsidRPr="008730C8" w:rsidRDefault="00254A81"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6.1</w:t>
            </w:r>
            <w:r w:rsidR="00715A07" w:rsidRPr="008730C8">
              <w:rPr>
                <w:rFonts w:ascii="Book Antiqua" w:hAnsi="Book Antiqua"/>
                <w:sz w:val="24"/>
                <w:szCs w:val="24"/>
                <w:lang w:val="en-GB"/>
              </w:rPr>
              <w:t>% post-procedure pancreatitis</w:t>
            </w:r>
          </w:p>
        </w:tc>
      </w:tr>
      <w:tr w:rsidR="00715A07" w:rsidRPr="008730C8" w14:paraId="30091190" w14:textId="77777777" w:rsidTr="00254A81">
        <w:tc>
          <w:tcPr>
            <w:tcW w:w="2269" w:type="dxa"/>
          </w:tcPr>
          <w:p w14:paraId="0445A4A6" w14:textId="1B478C76" w:rsidR="00715A07" w:rsidRPr="008730C8" w:rsidRDefault="00715A07" w:rsidP="008730C8">
            <w:pPr>
              <w:adjustRightInd w:val="0"/>
              <w:snapToGrid w:val="0"/>
              <w:spacing w:line="360" w:lineRule="auto"/>
              <w:jc w:val="both"/>
              <w:rPr>
                <w:rFonts w:ascii="Book Antiqua" w:hAnsi="Book Antiqua"/>
                <w:sz w:val="24"/>
                <w:szCs w:val="24"/>
                <w:vertAlign w:val="superscript"/>
                <w:lang w:val="en-GB" w:eastAsia="zh-CN"/>
              </w:rPr>
            </w:pPr>
            <w:r w:rsidRPr="008730C8">
              <w:rPr>
                <w:rFonts w:ascii="Book Antiqua" w:hAnsi="Book Antiqua"/>
                <w:sz w:val="24"/>
                <w:szCs w:val="24"/>
                <w:lang w:val="en-GB"/>
              </w:rPr>
              <w:t xml:space="preserve">Krishna </w:t>
            </w:r>
            <w:r w:rsidR="007337E2" w:rsidRPr="007337E2">
              <w:rPr>
                <w:rFonts w:ascii="Book Antiqua" w:hAnsi="Book Antiqua"/>
                <w:i/>
                <w:sz w:val="24"/>
                <w:szCs w:val="24"/>
                <w:lang w:val="en-GB"/>
              </w:rPr>
              <w:t>et al</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vertAlign w:val="superscript"/>
                <w:lang w:val="en-GB"/>
              </w:rPr>
              <w:t>58</w:t>
            </w:r>
            <w:r w:rsidR="00F1468D" w:rsidRPr="008730C8">
              <w:rPr>
                <w:rFonts w:ascii="Book Antiqua" w:hAnsi="Book Antiqua"/>
                <w:sz w:val="24"/>
                <w:szCs w:val="24"/>
                <w:vertAlign w:val="superscript"/>
                <w:lang w:val="en-GB" w:eastAsia="zh-CN"/>
              </w:rPr>
              <w:t>]</w:t>
            </w:r>
            <w:r w:rsidR="00F1468D" w:rsidRPr="008730C8">
              <w:rPr>
                <w:rFonts w:ascii="Book Antiqua" w:hAnsi="Book Antiqua"/>
                <w:sz w:val="24"/>
                <w:szCs w:val="24"/>
                <w:lang w:val="en-GB" w:eastAsia="zh-CN"/>
              </w:rPr>
              <w:t>,</w:t>
            </w:r>
            <w:r w:rsidR="00F1468D" w:rsidRPr="008730C8">
              <w:rPr>
                <w:rFonts w:ascii="Book Antiqua" w:hAnsi="Book Antiqua"/>
                <w:sz w:val="24"/>
                <w:szCs w:val="24"/>
                <w:lang w:val="en-GB"/>
              </w:rPr>
              <w:t xml:space="preserve"> 2017</w:t>
            </w:r>
          </w:p>
        </w:tc>
        <w:tc>
          <w:tcPr>
            <w:tcW w:w="870" w:type="dxa"/>
          </w:tcPr>
          <w:p w14:paraId="7ECA2408"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R</w:t>
            </w:r>
          </w:p>
        </w:tc>
        <w:tc>
          <w:tcPr>
            <w:tcW w:w="576" w:type="dxa"/>
          </w:tcPr>
          <w:p w14:paraId="2BD53BCC" w14:textId="77777777"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29</w:t>
            </w:r>
          </w:p>
        </w:tc>
        <w:tc>
          <w:tcPr>
            <w:tcW w:w="10319" w:type="dxa"/>
          </w:tcPr>
          <w:p w14:paraId="2E63C260" w14:textId="77517D2B" w:rsidR="00715A07" w:rsidRPr="008730C8" w:rsidRDefault="00715A07" w:rsidP="008730C8">
            <w:pPr>
              <w:adjustRightInd w:val="0"/>
              <w:snapToGrid w:val="0"/>
              <w:spacing w:line="360" w:lineRule="auto"/>
              <w:jc w:val="both"/>
              <w:rPr>
                <w:rFonts w:ascii="Book Antiqua" w:hAnsi="Book Antiqua"/>
                <w:sz w:val="24"/>
                <w:szCs w:val="24"/>
                <w:lang w:val="en-GB"/>
              </w:rPr>
            </w:pPr>
            <w:r w:rsidRPr="008730C8">
              <w:rPr>
                <w:rFonts w:ascii="Book Antiqua" w:hAnsi="Book Antiqua"/>
                <w:sz w:val="24"/>
                <w:szCs w:val="24"/>
                <w:lang w:val="en-GB"/>
              </w:rPr>
              <w:t>nCLE performance on 29 patients with definitive diagnosis (23 with pathological diagnosis):</w:t>
            </w:r>
          </w:p>
          <w:p w14:paraId="4424985E" w14:textId="6CCEAB31" w:rsidR="00715A07" w:rsidRPr="008730C8" w:rsidRDefault="00715A07" w:rsidP="008730C8">
            <w:pPr>
              <w:tabs>
                <w:tab w:val="left" w:pos="1595"/>
              </w:tabs>
              <w:adjustRightInd w:val="0"/>
              <w:snapToGrid w:val="0"/>
              <w:spacing w:line="360" w:lineRule="auto"/>
              <w:jc w:val="both"/>
              <w:rPr>
                <w:rFonts w:ascii="Book Antiqua" w:hAnsi="Book Antiqua" w:cs="Times New Roman"/>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95%, Spe 94% - A 95</w:t>
            </w:r>
            <w:r w:rsidRPr="008730C8">
              <w:rPr>
                <w:rFonts w:ascii="Book Antiqua" w:hAnsi="Book Antiqua" w:cs="Times New Roman"/>
                <w:sz w:val="24"/>
                <w:szCs w:val="24"/>
                <w:lang w:val="en-GB"/>
              </w:rPr>
              <w:t>% for mucinous cysts</w:t>
            </w:r>
          </w:p>
          <w:p w14:paraId="4AF63087" w14:textId="48EEC34C" w:rsidR="00715A07" w:rsidRPr="008730C8" w:rsidRDefault="00715A07" w:rsidP="008730C8">
            <w:pPr>
              <w:tabs>
                <w:tab w:val="left" w:pos="1595"/>
              </w:tabs>
              <w:adjustRightInd w:val="0"/>
              <w:snapToGrid w:val="0"/>
              <w:spacing w:line="360" w:lineRule="auto"/>
              <w:jc w:val="both"/>
              <w:rPr>
                <w:rFonts w:ascii="Book Antiqua" w:hAnsi="Book Antiqua" w:cs="Times New Roman"/>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99%, Spe 98% - A 98</w:t>
            </w:r>
            <w:r w:rsidRPr="008730C8">
              <w:rPr>
                <w:rFonts w:ascii="Book Antiqua" w:hAnsi="Book Antiqua" w:cs="Times New Roman"/>
                <w:sz w:val="24"/>
                <w:szCs w:val="24"/>
                <w:lang w:val="en-GB"/>
              </w:rPr>
              <w:t>% for SCAs</w:t>
            </w:r>
          </w:p>
          <w:p w14:paraId="61B097D6" w14:textId="5373B1C1" w:rsidR="00715A07" w:rsidRPr="008730C8" w:rsidRDefault="00715A07" w:rsidP="008730C8">
            <w:pPr>
              <w:tabs>
                <w:tab w:val="left" w:pos="1595"/>
              </w:tabs>
              <w:adjustRightInd w:val="0"/>
              <w:snapToGrid w:val="0"/>
              <w:spacing w:line="360" w:lineRule="auto"/>
              <w:jc w:val="both"/>
              <w:rPr>
                <w:rFonts w:ascii="Book Antiqua" w:hAnsi="Book Antiqua" w:cs="Times New Roman"/>
                <w:sz w:val="24"/>
                <w:szCs w:val="24"/>
                <w:lang w:val="en-GB"/>
              </w:rPr>
            </w:pPr>
            <w:r w:rsidRPr="008730C8">
              <w:rPr>
                <w:rFonts w:ascii="Book Antiqua" w:hAnsi="Book Antiqua"/>
                <w:sz w:val="24"/>
                <w:szCs w:val="24"/>
                <w:lang w:val="en-GB"/>
              </w:rPr>
              <w:t xml:space="preserve">Sen </w:t>
            </w:r>
            <w:r w:rsidR="00254A81" w:rsidRPr="008730C8">
              <w:rPr>
                <w:rFonts w:ascii="Book Antiqua" w:hAnsi="Book Antiqua" w:cs="Times New Roman"/>
                <w:sz w:val="24"/>
                <w:szCs w:val="24"/>
                <w:lang w:val="en-GB"/>
              </w:rPr>
              <w:t>99%, Spe 98</w:t>
            </w:r>
            <w:r w:rsidRPr="008730C8">
              <w:rPr>
                <w:rFonts w:ascii="Book Antiqua" w:hAnsi="Book Antiqua" w:cs="Times New Roman"/>
                <w:sz w:val="24"/>
                <w:szCs w:val="24"/>
                <w:lang w:val="en-GB"/>
              </w:rPr>
              <w:t>% - A 98% for NENs</w:t>
            </w:r>
          </w:p>
          <w:p w14:paraId="4EBDE30E" w14:textId="2B6C88D2" w:rsidR="00715A07" w:rsidRPr="008730C8" w:rsidRDefault="00715A07" w:rsidP="008730C8">
            <w:pPr>
              <w:tabs>
                <w:tab w:val="left" w:pos="1595"/>
              </w:tabs>
              <w:adjustRightInd w:val="0"/>
              <w:snapToGrid w:val="0"/>
              <w:spacing w:line="360" w:lineRule="auto"/>
              <w:jc w:val="both"/>
              <w:rPr>
                <w:rFonts w:ascii="Book Antiqua" w:hAnsi="Book Antiqua"/>
                <w:sz w:val="24"/>
                <w:szCs w:val="24"/>
                <w:lang w:val="en-GB"/>
              </w:rPr>
            </w:pPr>
            <w:r w:rsidRPr="008730C8">
              <w:rPr>
                <w:rFonts w:ascii="Book Antiqua" w:hAnsi="Book Antiqua" w:cs="Times New Roman"/>
                <w:sz w:val="24"/>
                <w:szCs w:val="24"/>
                <w:lang w:val="en-GB"/>
              </w:rPr>
              <w:t xml:space="preserve">IOA and IOR: </w:t>
            </w:r>
            <w:r w:rsidR="00254A81" w:rsidRPr="008730C8">
              <w:rPr>
                <w:rFonts w:ascii="Book Antiqua" w:hAnsi="Book Antiqua" w:cs="Times New Roman"/>
                <w:sz w:val="24"/>
                <w:szCs w:val="24"/>
                <w:lang w:val="en-GB"/>
              </w:rPr>
              <w:t>A</w:t>
            </w:r>
            <w:r w:rsidRPr="008730C8">
              <w:rPr>
                <w:rFonts w:ascii="Book Antiqua" w:hAnsi="Book Antiqua" w:cs="Times New Roman"/>
                <w:sz w:val="24"/>
                <w:szCs w:val="24"/>
                <w:lang w:val="en-GB"/>
              </w:rPr>
              <w:t>lmost perfect for mucinous cysts and SCAs</w:t>
            </w:r>
          </w:p>
        </w:tc>
        <w:tc>
          <w:tcPr>
            <w:tcW w:w="2551" w:type="dxa"/>
          </w:tcPr>
          <w:p w14:paraId="311C9190" w14:textId="33E3D221" w:rsidR="00715A07" w:rsidRPr="008730C8" w:rsidRDefault="00715A07" w:rsidP="008730C8">
            <w:pPr>
              <w:adjustRightInd w:val="0"/>
              <w:snapToGrid w:val="0"/>
              <w:spacing w:line="360" w:lineRule="auto"/>
              <w:jc w:val="both"/>
              <w:rPr>
                <w:rFonts w:ascii="Book Antiqua" w:hAnsi="Book Antiqua"/>
                <w:sz w:val="24"/>
                <w:szCs w:val="24"/>
                <w:lang w:val="en-GB"/>
              </w:rPr>
            </w:pPr>
          </w:p>
        </w:tc>
      </w:tr>
    </w:tbl>
    <w:p w14:paraId="6315A54A" w14:textId="2EEFE3C3" w:rsidR="00E56B8D" w:rsidRPr="008730C8" w:rsidRDefault="00715A07" w:rsidP="008730C8">
      <w:pPr>
        <w:adjustRightInd w:val="0"/>
        <w:snapToGrid w:val="0"/>
        <w:spacing w:after="0" w:line="360" w:lineRule="auto"/>
        <w:jc w:val="both"/>
        <w:rPr>
          <w:rFonts w:ascii="Book Antiqua" w:hAnsi="Book Antiqua"/>
          <w:sz w:val="24"/>
          <w:szCs w:val="24"/>
          <w:lang w:val="en-GB" w:eastAsia="zh-CN"/>
        </w:rPr>
      </w:pPr>
      <w:r w:rsidRPr="008730C8">
        <w:rPr>
          <w:rFonts w:ascii="Book Antiqua" w:hAnsi="Book Antiqua"/>
          <w:sz w:val="24"/>
          <w:szCs w:val="24"/>
          <w:lang w:val="en-GB"/>
        </w:rPr>
        <w:t xml:space="preserve">P: </w:t>
      </w:r>
      <w:r w:rsidR="00254A81" w:rsidRPr="008730C8">
        <w:rPr>
          <w:rFonts w:ascii="Book Antiqua" w:hAnsi="Book Antiqua"/>
          <w:sz w:val="24"/>
          <w:szCs w:val="24"/>
          <w:lang w:val="en-GB"/>
        </w:rPr>
        <w:t>P</w:t>
      </w:r>
      <w:r w:rsidRPr="008730C8">
        <w:rPr>
          <w:rFonts w:ascii="Book Antiqua" w:hAnsi="Book Antiqua"/>
          <w:sz w:val="24"/>
          <w:szCs w:val="24"/>
          <w:lang w:val="en-GB"/>
        </w:rPr>
        <w:t xml:space="preserve">rospective; R: </w:t>
      </w:r>
      <w:r w:rsidR="00254A81" w:rsidRPr="008730C8">
        <w:rPr>
          <w:rFonts w:ascii="Book Antiqua" w:hAnsi="Book Antiqua"/>
          <w:sz w:val="24"/>
          <w:szCs w:val="24"/>
          <w:lang w:val="en-GB"/>
        </w:rPr>
        <w:t>R</w:t>
      </w:r>
      <w:r w:rsidRPr="008730C8">
        <w:rPr>
          <w:rFonts w:ascii="Book Antiqua" w:hAnsi="Book Antiqua"/>
          <w:sz w:val="24"/>
          <w:szCs w:val="24"/>
          <w:lang w:val="en-GB"/>
        </w:rPr>
        <w:t>etrospective</w:t>
      </w:r>
      <w:r w:rsidR="00254A81" w:rsidRPr="008730C8">
        <w:rPr>
          <w:rFonts w:ascii="Book Antiqua" w:hAnsi="Book Antiqua"/>
          <w:sz w:val="24"/>
          <w:szCs w:val="24"/>
          <w:lang w:val="en-GB" w:eastAsia="zh-CN"/>
        </w:rPr>
        <w:t>;</w:t>
      </w:r>
      <w:r w:rsidRPr="008730C8">
        <w:rPr>
          <w:rFonts w:ascii="Book Antiqua" w:hAnsi="Book Antiqua"/>
          <w:sz w:val="24"/>
          <w:szCs w:val="24"/>
          <w:lang w:val="en-GB"/>
        </w:rPr>
        <w:t xml:space="preserve"> Sen: </w:t>
      </w:r>
      <w:r w:rsidR="00254A81" w:rsidRPr="008730C8">
        <w:rPr>
          <w:rFonts w:ascii="Book Antiqua" w:hAnsi="Book Antiqua"/>
          <w:sz w:val="24"/>
          <w:szCs w:val="24"/>
          <w:lang w:val="en-GB"/>
        </w:rPr>
        <w:t>S</w:t>
      </w:r>
      <w:r w:rsidRPr="008730C8">
        <w:rPr>
          <w:rFonts w:ascii="Book Antiqua" w:hAnsi="Book Antiqua"/>
          <w:sz w:val="24"/>
          <w:szCs w:val="24"/>
          <w:lang w:val="en-GB"/>
        </w:rPr>
        <w:t>ensitivity</w:t>
      </w:r>
      <w:r w:rsidR="00254A81" w:rsidRPr="008730C8">
        <w:rPr>
          <w:rFonts w:ascii="Book Antiqua" w:hAnsi="Book Antiqua"/>
          <w:sz w:val="24"/>
          <w:szCs w:val="24"/>
          <w:lang w:val="en-GB" w:eastAsia="zh-CN"/>
        </w:rPr>
        <w:t>;</w:t>
      </w:r>
      <w:r w:rsidRPr="008730C8">
        <w:rPr>
          <w:rFonts w:ascii="Book Antiqua" w:hAnsi="Book Antiqua"/>
          <w:sz w:val="24"/>
          <w:szCs w:val="24"/>
          <w:lang w:val="en-GB"/>
        </w:rPr>
        <w:t xml:space="preserve"> Spe: </w:t>
      </w:r>
      <w:r w:rsidR="00254A81" w:rsidRPr="008730C8">
        <w:rPr>
          <w:rFonts w:ascii="Book Antiqua" w:hAnsi="Book Antiqua"/>
          <w:sz w:val="24"/>
          <w:szCs w:val="24"/>
          <w:lang w:val="en-GB"/>
        </w:rPr>
        <w:t>S</w:t>
      </w:r>
      <w:r w:rsidRPr="008730C8">
        <w:rPr>
          <w:rFonts w:ascii="Book Antiqua" w:hAnsi="Book Antiqua"/>
          <w:sz w:val="24"/>
          <w:szCs w:val="24"/>
          <w:lang w:val="en-GB"/>
        </w:rPr>
        <w:t>pecificity</w:t>
      </w:r>
      <w:r w:rsidR="00254A81" w:rsidRPr="008730C8">
        <w:rPr>
          <w:rFonts w:ascii="Book Antiqua" w:hAnsi="Book Antiqua"/>
          <w:sz w:val="24"/>
          <w:szCs w:val="24"/>
          <w:lang w:val="en-GB" w:eastAsia="zh-CN"/>
        </w:rPr>
        <w:t xml:space="preserve">; </w:t>
      </w:r>
      <w:r w:rsidRPr="008730C8">
        <w:rPr>
          <w:rFonts w:ascii="Book Antiqua" w:hAnsi="Book Antiqua"/>
          <w:sz w:val="24"/>
          <w:szCs w:val="24"/>
          <w:lang w:val="en-GB"/>
        </w:rPr>
        <w:t xml:space="preserve">PPV: </w:t>
      </w:r>
      <w:r w:rsidR="00254A81" w:rsidRPr="008730C8">
        <w:rPr>
          <w:rFonts w:ascii="Book Antiqua" w:hAnsi="Book Antiqua"/>
          <w:sz w:val="24"/>
          <w:szCs w:val="24"/>
          <w:lang w:val="en-GB"/>
        </w:rPr>
        <w:t>P</w:t>
      </w:r>
      <w:r w:rsidRPr="008730C8">
        <w:rPr>
          <w:rFonts w:ascii="Book Antiqua" w:hAnsi="Book Antiqua"/>
          <w:sz w:val="24"/>
          <w:szCs w:val="24"/>
          <w:lang w:val="en-GB"/>
        </w:rPr>
        <w:t xml:space="preserve">ositive predictive value; NPV: </w:t>
      </w:r>
      <w:r w:rsidR="00254A81" w:rsidRPr="008730C8">
        <w:rPr>
          <w:rFonts w:ascii="Book Antiqua" w:hAnsi="Book Antiqua"/>
          <w:sz w:val="24"/>
          <w:szCs w:val="24"/>
          <w:lang w:val="en-GB"/>
        </w:rPr>
        <w:t>N</w:t>
      </w:r>
      <w:r w:rsidRPr="008730C8">
        <w:rPr>
          <w:rFonts w:ascii="Book Antiqua" w:hAnsi="Book Antiqua"/>
          <w:sz w:val="24"/>
          <w:szCs w:val="24"/>
          <w:lang w:val="en-GB"/>
        </w:rPr>
        <w:t xml:space="preserve">egative predictive value; A: </w:t>
      </w:r>
      <w:r w:rsidR="00254A81" w:rsidRPr="008730C8">
        <w:rPr>
          <w:rFonts w:ascii="Book Antiqua" w:hAnsi="Book Antiqua"/>
          <w:sz w:val="24"/>
          <w:szCs w:val="24"/>
          <w:lang w:val="en-GB"/>
        </w:rPr>
        <w:t>A</w:t>
      </w:r>
      <w:r w:rsidRPr="008730C8">
        <w:rPr>
          <w:rFonts w:ascii="Book Antiqua" w:hAnsi="Book Antiqua"/>
          <w:sz w:val="24"/>
          <w:szCs w:val="24"/>
          <w:lang w:val="en-GB"/>
        </w:rPr>
        <w:t xml:space="preserve">ccuracy; PCNs: </w:t>
      </w:r>
      <w:r w:rsidR="00254A81" w:rsidRPr="008730C8">
        <w:rPr>
          <w:rFonts w:ascii="Book Antiqua" w:hAnsi="Book Antiqua"/>
          <w:sz w:val="24"/>
          <w:szCs w:val="24"/>
          <w:lang w:val="en-GB"/>
        </w:rPr>
        <w:t>P</w:t>
      </w:r>
      <w:r w:rsidRPr="008730C8">
        <w:rPr>
          <w:rFonts w:ascii="Book Antiqua" w:hAnsi="Book Antiqua"/>
          <w:sz w:val="24"/>
          <w:szCs w:val="24"/>
          <w:lang w:val="en-GB"/>
        </w:rPr>
        <w:t xml:space="preserve">ancreatic cystic neoplasms; PC: </w:t>
      </w:r>
      <w:r w:rsidR="00254A81" w:rsidRPr="008730C8">
        <w:rPr>
          <w:rFonts w:ascii="Book Antiqua" w:hAnsi="Book Antiqua"/>
          <w:sz w:val="24"/>
          <w:szCs w:val="24"/>
          <w:lang w:val="en-GB"/>
        </w:rPr>
        <w:t>P</w:t>
      </w:r>
      <w:r w:rsidRPr="008730C8">
        <w:rPr>
          <w:rFonts w:ascii="Book Antiqua" w:hAnsi="Book Antiqua"/>
          <w:sz w:val="24"/>
          <w:szCs w:val="24"/>
          <w:lang w:val="en-GB"/>
        </w:rPr>
        <w:t xml:space="preserve">seudocyst; MCA: </w:t>
      </w:r>
      <w:r w:rsidR="00254A81" w:rsidRPr="008730C8">
        <w:rPr>
          <w:rFonts w:ascii="Book Antiqua" w:hAnsi="Book Antiqua"/>
          <w:sz w:val="24"/>
          <w:szCs w:val="24"/>
          <w:lang w:val="en-GB"/>
        </w:rPr>
        <w:t>M</w:t>
      </w:r>
      <w:r w:rsidRPr="008730C8">
        <w:rPr>
          <w:rFonts w:ascii="Book Antiqua" w:hAnsi="Book Antiqua"/>
          <w:sz w:val="24"/>
          <w:szCs w:val="24"/>
          <w:lang w:val="en-GB"/>
        </w:rPr>
        <w:t xml:space="preserve">ucinous cystadenoma; SCA: </w:t>
      </w:r>
      <w:r w:rsidR="00254A81" w:rsidRPr="008730C8">
        <w:rPr>
          <w:rFonts w:ascii="Book Antiqua" w:hAnsi="Book Antiqua"/>
          <w:sz w:val="24"/>
          <w:szCs w:val="24"/>
          <w:lang w:val="en-GB"/>
        </w:rPr>
        <w:t>S</w:t>
      </w:r>
      <w:r w:rsidRPr="008730C8">
        <w:rPr>
          <w:rFonts w:ascii="Book Antiqua" w:hAnsi="Book Antiqua"/>
          <w:sz w:val="24"/>
          <w:szCs w:val="24"/>
          <w:lang w:val="en-GB"/>
        </w:rPr>
        <w:t xml:space="preserve">erous cystoadenoma; IPMN: </w:t>
      </w:r>
      <w:r w:rsidR="00254A81" w:rsidRPr="008730C8">
        <w:rPr>
          <w:rFonts w:ascii="Book Antiqua" w:hAnsi="Book Antiqua"/>
          <w:sz w:val="24"/>
          <w:szCs w:val="24"/>
          <w:lang w:val="en-GB"/>
        </w:rPr>
        <w:t>I</w:t>
      </w:r>
      <w:r w:rsidRPr="008730C8">
        <w:rPr>
          <w:rFonts w:ascii="Book Antiqua" w:hAnsi="Book Antiqua"/>
          <w:sz w:val="24"/>
          <w:szCs w:val="24"/>
          <w:lang w:val="en-GB"/>
        </w:rPr>
        <w:t xml:space="preserve">ntraductal papillary mucinous neoplasm; NENs: </w:t>
      </w:r>
      <w:r w:rsidR="00254A81" w:rsidRPr="008730C8">
        <w:rPr>
          <w:rFonts w:ascii="Book Antiqua" w:hAnsi="Book Antiqua"/>
          <w:sz w:val="24"/>
          <w:szCs w:val="24"/>
          <w:lang w:val="en-GB"/>
        </w:rPr>
        <w:t>N</w:t>
      </w:r>
      <w:r w:rsidRPr="008730C8">
        <w:rPr>
          <w:rFonts w:ascii="Book Antiqua" w:hAnsi="Book Antiqua"/>
          <w:sz w:val="24"/>
          <w:szCs w:val="24"/>
          <w:lang w:val="en-GB"/>
        </w:rPr>
        <w:t>euroendocrine neoplasm</w:t>
      </w:r>
      <w:r w:rsidR="00254A81" w:rsidRPr="008730C8">
        <w:rPr>
          <w:rFonts w:ascii="Book Antiqua" w:hAnsi="Book Antiqua"/>
          <w:sz w:val="24"/>
          <w:szCs w:val="24"/>
          <w:lang w:val="en-GB" w:eastAsia="zh-CN"/>
        </w:rPr>
        <w:t>;</w:t>
      </w:r>
      <w:r w:rsidRPr="008730C8">
        <w:rPr>
          <w:rFonts w:ascii="Book Antiqua" w:hAnsi="Book Antiqua"/>
          <w:sz w:val="24"/>
          <w:szCs w:val="24"/>
          <w:lang w:val="en-GB"/>
        </w:rPr>
        <w:t xml:space="preserve"> IOA: </w:t>
      </w:r>
      <w:r w:rsidR="00254A81" w:rsidRPr="008730C8">
        <w:rPr>
          <w:rFonts w:ascii="Book Antiqua" w:hAnsi="Book Antiqua"/>
          <w:sz w:val="24"/>
          <w:szCs w:val="24"/>
          <w:lang w:val="en-GB"/>
        </w:rPr>
        <w:t>I</w:t>
      </w:r>
      <w:r w:rsidRPr="008730C8">
        <w:rPr>
          <w:rFonts w:ascii="Book Antiqua" w:hAnsi="Book Antiqua"/>
          <w:sz w:val="24"/>
          <w:szCs w:val="24"/>
          <w:lang w:val="en-GB"/>
        </w:rPr>
        <w:t>nterobserver agreement; I</w:t>
      </w:r>
      <w:r w:rsidR="00254A81" w:rsidRPr="008730C8">
        <w:rPr>
          <w:rFonts w:ascii="Book Antiqua" w:hAnsi="Book Antiqua"/>
          <w:sz w:val="24"/>
          <w:szCs w:val="24"/>
          <w:lang w:val="en-GB"/>
        </w:rPr>
        <w:t>OR: Intraobserver reliability.</w:t>
      </w:r>
    </w:p>
    <w:sectPr w:rsidR="00E56B8D" w:rsidRPr="008730C8" w:rsidSect="009B5625">
      <w:pgSz w:w="16838" w:h="11906" w:orient="landscape"/>
      <w:pgMar w:top="851" w:right="1418" w:bottom="992"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1E9CEE" w16cid:durableId="1EA88BE8"/>
  <w16cid:commentId w16cid:paraId="7886BDD4" w16cid:durableId="1EA88BE9"/>
  <w16cid:commentId w16cid:paraId="428E791B" w16cid:durableId="1EA88B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054DE" w14:textId="77777777" w:rsidR="00940A3F" w:rsidRDefault="00940A3F" w:rsidP="00827A32">
      <w:pPr>
        <w:spacing w:after="0" w:line="240" w:lineRule="auto"/>
      </w:pPr>
      <w:r>
        <w:separator/>
      </w:r>
    </w:p>
  </w:endnote>
  <w:endnote w:type="continuationSeparator" w:id="0">
    <w:p w14:paraId="3FBA68FB" w14:textId="77777777" w:rsidR="00940A3F" w:rsidRDefault="00940A3F" w:rsidP="0082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Yu Gothic Light">
    <w:altName w:val="MS Gothic"/>
    <w:charset w:val="80"/>
    <w:family w:val="swiss"/>
    <w:pitch w:val="variable"/>
    <w:sig w:usb0="00000000"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01486" w14:textId="77777777" w:rsidR="00940A3F" w:rsidRDefault="00940A3F" w:rsidP="00827A32">
      <w:pPr>
        <w:spacing w:after="0" w:line="240" w:lineRule="auto"/>
      </w:pPr>
      <w:r>
        <w:separator/>
      </w:r>
    </w:p>
  </w:footnote>
  <w:footnote w:type="continuationSeparator" w:id="0">
    <w:p w14:paraId="5B610703" w14:textId="77777777" w:rsidR="00940A3F" w:rsidRDefault="00940A3F" w:rsidP="00827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021C5"/>
    <w:multiLevelType w:val="hybridMultilevel"/>
    <w:tmpl w:val="094CF9BA"/>
    <w:lvl w:ilvl="0" w:tplc="C09223A0">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239B3174"/>
    <w:multiLevelType w:val="hybridMultilevel"/>
    <w:tmpl w:val="9488C58A"/>
    <w:lvl w:ilvl="0" w:tplc="7F6A67FC">
      <w:start w:val="4"/>
      <w:numFmt w:val="bullet"/>
      <w:lvlText w:val="-"/>
      <w:lvlJc w:val="left"/>
      <w:pPr>
        <w:ind w:left="540" w:hanging="360"/>
      </w:pPr>
      <w:rPr>
        <w:rFonts w:ascii="Calibri" w:eastAsiaTheme="minorHAnsi" w:hAnsi="Calibri" w:cs="Calibri"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2" w15:restartNumberingAfterBreak="0">
    <w:nsid w:val="24934612"/>
    <w:multiLevelType w:val="hybridMultilevel"/>
    <w:tmpl w:val="094CF9BA"/>
    <w:lvl w:ilvl="0" w:tplc="C09223A0">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3" w15:restartNumberingAfterBreak="0">
    <w:nsid w:val="36F77181"/>
    <w:multiLevelType w:val="hybridMultilevel"/>
    <w:tmpl w:val="087277B6"/>
    <w:lvl w:ilvl="0" w:tplc="070245D0">
      <w:start w:val="1"/>
      <w:numFmt w:val="decimal"/>
      <w:lvlText w:val="%1."/>
      <w:lvlJc w:val="left"/>
      <w:pPr>
        <w:ind w:left="-207" w:hanging="360"/>
      </w:pPr>
      <w:rPr>
        <w:rFonts w:hint="default"/>
        <w:lang w:val="es-ES"/>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4" w15:restartNumberingAfterBreak="0">
    <w:nsid w:val="5E3A2EC2"/>
    <w:multiLevelType w:val="hybridMultilevel"/>
    <w:tmpl w:val="094CF9BA"/>
    <w:lvl w:ilvl="0" w:tplc="C09223A0">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5" w15:restartNumberingAfterBreak="0">
    <w:nsid w:val="65070B05"/>
    <w:multiLevelType w:val="hybridMultilevel"/>
    <w:tmpl w:val="D8D27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7C9"/>
    <w:rsid w:val="00000C4B"/>
    <w:rsid w:val="000012B4"/>
    <w:rsid w:val="00001B29"/>
    <w:rsid w:val="00007CC4"/>
    <w:rsid w:val="00010469"/>
    <w:rsid w:val="00023FB8"/>
    <w:rsid w:val="0002527F"/>
    <w:rsid w:val="00032C7F"/>
    <w:rsid w:val="00037088"/>
    <w:rsid w:val="00043726"/>
    <w:rsid w:val="0004631B"/>
    <w:rsid w:val="000517C9"/>
    <w:rsid w:val="00051F1A"/>
    <w:rsid w:val="000540B7"/>
    <w:rsid w:val="000572B4"/>
    <w:rsid w:val="00062EF6"/>
    <w:rsid w:val="0007125C"/>
    <w:rsid w:val="00075342"/>
    <w:rsid w:val="0008511D"/>
    <w:rsid w:val="00087160"/>
    <w:rsid w:val="00091BE6"/>
    <w:rsid w:val="000923EA"/>
    <w:rsid w:val="00092CE1"/>
    <w:rsid w:val="000962F8"/>
    <w:rsid w:val="000A1B4C"/>
    <w:rsid w:val="000A5FCC"/>
    <w:rsid w:val="000A6DF6"/>
    <w:rsid w:val="000A7238"/>
    <w:rsid w:val="000B0798"/>
    <w:rsid w:val="000B50DC"/>
    <w:rsid w:val="000C114B"/>
    <w:rsid w:val="000C14F2"/>
    <w:rsid w:val="000C389B"/>
    <w:rsid w:val="000C5EE8"/>
    <w:rsid w:val="000C6B3A"/>
    <w:rsid w:val="000C6CF8"/>
    <w:rsid w:val="000D25B3"/>
    <w:rsid w:val="000D31C0"/>
    <w:rsid w:val="000D460D"/>
    <w:rsid w:val="000D753C"/>
    <w:rsid w:val="000E5832"/>
    <w:rsid w:val="000F3EE5"/>
    <w:rsid w:val="000F4278"/>
    <w:rsid w:val="000F50ED"/>
    <w:rsid w:val="000F5A90"/>
    <w:rsid w:val="00101529"/>
    <w:rsid w:val="001024B1"/>
    <w:rsid w:val="00103434"/>
    <w:rsid w:val="001037FC"/>
    <w:rsid w:val="00103BAC"/>
    <w:rsid w:val="001101CC"/>
    <w:rsid w:val="00112D93"/>
    <w:rsid w:val="00121313"/>
    <w:rsid w:val="00122BC2"/>
    <w:rsid w:val="00122C56"/>
    <w:rsid w:val="0012331F"/>
    <w:rsid w:val="001237D8"/>
    <w:rsid w:val="00125592"/>
    <w:rsid w:val="001354FE"/>
    <w:rsid w:val="001512C1"/>
    <w:rsid w:val="00155899"/>
    <w:rsid w:val="0015756E"/>
    <w:rsid w:val="0016046C"/>
    <w:rsid w:val="0016125A"/>
    <w:rsid w:val="0016297A"/>
    <w:rsid w:val="001636B8"/>
    <w:rsid w:val="001653F5"/>
    <w:rsid w:val="001701BD"/>
    <w:rsid w:val="0017489A"/>
    <w:rsid w:val="0017657D"/>
    <w:rsid w:val="001773A0"/>
    <w:rsid w:val="001839A8"/>
    <w:rsid w:val="00186C1E"/>
    <w:rsid w:val="0019527E"/>
    <w:rsid w:val="001A0658"/>
    <w:rsid w:val="001A2605"/>
    <w:rsid w:val="001A6A13"/>
    <w:rsid w:val="001B2C87"/>
    <w:rsid w:val="001B2F23"/>
    <w:rsid w:val="001C4018"/>
    <w:rsid w:val="001C42BE"/>
    <w:rsid w:val="001D0784"/>
    <w:rsid w:val="001D09DC"/>
    <w:rsid w:val="001D2581"/>
    <w:rsid w:val="001D5D20"/>
    <w:rsid w:val="001D7414"/>
    <w:rsid w:val="001D7C48"/>
    <w:rsid w:val="001E063D"/>
    <w:rsid w:val="001E0F16"/>
    <w:rsid w:val="001E238D"/>
    <w:rsid w:val="001E5FA1"/>
    <w:rsid w:val="001F1F71"/>
    <w:rsid w:val="001F3EBF"/>
    <w:rsid w:val="001F4A63"/>
    <w:rsid w:val="00204762"/>
    <w:rsid w:val="00206F81"/>
    <w:rsid w:val="00210AB3"/>
    <w:rsid w:val="00212898"/>
    <w:rsid w:val="00213DDC"/>
    <w:rsid w:val="002172C1"/>
    <w:rsid w:val="002334FC"/>
    <w:rsid w:val="00234DCB"/>
    <w:rsid w:val="00235886"/>
    <w:rsid w:val="002363D6"/>
    <w:rsid w:val="00237C8D"/>
    <w:rsid w:val="00240243"/>
    <w:rsid w:val="00242DB1"/>
    <w:rsid w:val="00245D7B"/>
    <w:rsid w:val="00254A81"/>
    <w:rsid w:val="0026113C"/>
    <w:rsid w:val="00261788"/>
    <w:rsid w:val="0026288E"/>
    <w:rsid w:val="0026385A"/>
    <w:rsid w:val="0026722D"/>
    <w:rsid w:val="00284319"/>
    <w:rsid w:val="00285907"/>
    <w:rsid w:val="002A440C"/>
    <w:rsid w:val="002A79BA"/>
    <w:rsid w:val="002A7A26"/>
    <w:rsid w:val="002B2B70"/>
    <w:rsid w:val="002B3C46"/>
    <w:rsid w:val="002B4C9A"/>
    <w:rsid w:val="002C1E3E"/>
    <w:rsid w:val="002C36E9"/>
    <w:rsid w:val="002C3DE3"/>
    <w:rsid w:val="002D2BFD"/>
    <w:rsid w:val="002D317B"/>
    <w:rsid w:val="002D68CB"/>
    <w:rsid w:val="002E0964"/>
    <w:rsid w:val="002E10FB"/>
    <w:rsid w:val="002E113F"/>
    <w:rsid w:val="002E4D7B"/>
    <w:rsid w:val="002E552B"/>
    <w:rsid w:val="002E56F4"/>
    <w:rsid w:val="002F16E9"/>
    <w:rsid w:val="002F3BD1"/>
    <w:rsid w:val="003027BA"/>
    <w:rsid w:val="00314C01"/>
    <w:rsid w:val="00323EA5"/>
    <w:rsid w:val="00324E52"/>
    <w:rsid w:val="003250A7"/>
    <w:rsid w:val="00330AC3"/>
    <w:rsid w:val="00332793"/>
    <w:rsid w:val="00337A13"/>
    <w:rsid w:val="00341563"/>
    <w:rsid w:val="003478D3"/>
    <w:rsid w:val="00355ED1"/>
    <w:rsid w:val="00357A03"/>
    <w:rsid w:val="00362988"/>
    <w:rsid w:val="00372D19"/>
    <w:rsid w:val="003771A7"/>
    <w:rsid w:val="00381383"/>
    <w:rsid w:val="00383CC7"/>
    <w:rsid w:val="0038681F"/>
    <w:rsid w:val="00392589"/>
    <w:rsid w:val="00395128"/>
    <w:rsid w:val="003A039D"/>
    <w:rsid w:val="003B40A6"/>
    <w:rsid w:val="003B453F"/>
    <w:rsid w:val="003B6185"/>
    <w:rsid w:val="003C6EB2"/>
    <w:rsid w:val="003C7200"/>
    <w:rsid w:val="003D32E5"/>
    <w:rsid w:val="003D3BCB"/>
    <w:rsid w:val="003D70FB"/>
    <w:rsid w:val="003E354E"/>
    <w:rsid w:val="003E3690"/>
    <w:rsid w:val="003E74A1"/>
    <w:rsid w:val="003F0B1E"/>
    <w:rsid w:val="003F2AB2"/>
    <w:rsid w:val="003F59D5"/>
    <w:rsid w:val="004061A2"/>
    <w:rsid w:val="004140BA"/>
    <w:rsid w:val="004148C1"/>
    <w:rsid w:val="00431CD7"/>
    <w:rsid w:val="004344A8"/>
    <w:rsid w:val="00435DED"/>
    <w:rsid w:val="00441A1A"/>
    <w:rsid w:val="00452B22"/>
    <w:rsid w:val="00453D8D"/>
    <w:rsid w:val="00454390"/>
    <w:rsid w:val="00457D94"/>
    <w:rsid w:val="00460E70"/>
    <w:rsid w:val="004667C3"/>
    <w:rsid w:val="00474347"/>
    <w:rsid w:val="0048063A"/>
    <w:rsid w:val="004820FA"/>
    <w:rsid w:val="004835D8"/>
    <w:rsid w:val="00483ACE"/>
    <w:rsid w:val="00483DD5"/>
    <w:rsid w:val="0048684F"/>
    <w:rsid w:val="00486963"/>
    <w:rsid w:val="004907B6"/>
    <w:rsid w:val="00491B10"/>
    <w:rsid w:val="00492B38"/>
    <w:rsid w:val="00494D30"/>
    <w:rsid w:val="004A177F"/>
    <w:rsid w:val="004A1D98"/>
    <w:rsid w:val="004B39B1"/>
    <w:rsid w:val="004B628C"/>
    <w:rsid w:val="004B6B41"/>
    <w:rsid w:val="004C13DD"/>
    <w:rsid w:val="004C32D3"/>
    <w:rsid w:val="004C53F2"/>
    <w:rsid w:val="004C76CB"/>
    <w:rsid w:val="004D1BB1"/>
    <w:rsid w:val="004D5E53"/>
    <w:rsid w:val="004D66DC"/>
    <w:rsid w:val="004E0B03"/>
    <w:rsid w:val="004E4CB7"/>
    <w:rsid w:val="004E4EAE"/>
    <w:rsid w:val="004F4150"/>
    <w:rsid w:val="005012D6"/>
    <w:rsid w:val="00507B45"/>
    <w:rsid w:val="0051076B"/>
    <w:rsid w:val="005172F1"/>
    <w:rsid w:val="00517CB6"/>
    <w:rsid w:val="00522817"/>
    <w:rsid w:val="00525085"/>
    <w:rsid w:val="00530C12"/>
    <w:rsid w:val="0053522C"/>
    <w:rsid w:val="00536398"/>
    <w:rsid w:val="005404E1"/>
    <w:rsid w:val="00542F5E"/>
    <w:rsid w:val="00543A3C"/>
    <w:rsid w:val="00547146"/>
    <w:rsid w:val="00550351"/>
    <w:rsid w:val="0055079D"/>
    <w:rsid w:val="0055318A"/>
    <w:rsid w:val="005532E2"/>
    <w:rsid w:val="00555722"/>
    <w:rsid w:val="00557574"/>
    <w:rsid w:val="005608B0"/>
    <w:rsid w:val="005647AE"/>
    <w:rsid w:val="00566946"/>
    <w:rsid w:val="00570F8C"/>
    <w:rsid w:val="00572AD9"/>
    <w:rsid w:val="00584B7F"/>
    <w:rsid w:val="00595587"/>
    <w:rsid w:val="005A4517"/>
    <w:rsid w:val="005A6FDE"/>
    <w:rsid w:val="005A7E89"/>
    <w:rsid w:val="005B0920"/>
    <w:rsid w:val="005B0B1D"/>
    <w:rsid w:val="005C4508"/>
    <w:rsid w:val="005C4E20"/>
    <w:rsid w:val="005D0736"/>
    <w:rsid w:val="005D42ED"/>
    <w:rsid w:val="005F3B69"/>
    <w:rsid w:val="005F60C0"/>
    <w:rsid w:val="005F7582"/>
    <w:rsid w:val="0061027B"/>
    <w:rsid w:val="00617346"/>
    <w:rsid w:val="0062080A"/>
    <w:rsid w:val="006241FB"/>
    <w:rsid w:val="00631993"/>
    <w:rsid w:val="006335AA"/>
    <w:rsid w:val="00635101"/>
    <w:rsid w:val="00643DA3"/>
    <w:rsid w:val="00650974"/>
    <w:rsid w:val="00650D98"/>
    <w:rsid w:val="00662EE8"/>
    <w:rsid w:val="006644CA"/>
    <w:rsid w:val="00670C83"/>
    <w:rsid w:val="006715E1"/>
    <w:rsid w:val="0069549E"/>
    <w:rsid w:val="006975C0"/>
    <w:rsid w:val="006A1575"/>
    <w:rsid w:val="006A2420"/>
    <w:rsid w:val="006A497C"/>
    <w:rsid w:val="006B1D8E"/>
    <w:rsid w:val="006B3F50"/>
    <w:rsid w:val="006B553F"/>
    <w:rsid w:val="006C2BBD"/>
    <w:rsid w:val="006D57CE"/>
    <w:rsid w:val="006D6CCB"/>
    <w:rsid w:val="006F116B"/>
    <w:rsid w:val="006F57C5"/>
    <w:rsid w:val="007060C7"/>
    <w:rsid w:val="007074E5"/>
    <w:rsid w:val="00712220"/>
    <w:rsid w:val="007134B7"/>
    <w:rsid w:val="00715A07"/>
    <w:rsid w:val="00717D1C"/>
    <w:rsid w:val="00721487"/>
    <w:rsid w:val="00722D55"/>
    <w:rsid w:val="00722D58"/>
    <w:rsid w:val="00724651"/>
    <w:rsid w:val="00730C43"/>
    <w:rsid w:val="007337E2"/>
    <w:rsid w:val="00734F73"/>
    <w:rsid w:val="0073520C"/>
    <w:rsid w:val="007403D7"/>
    <w:rsid w:val="007413BC"/>
    <w:rsid w:val="00742AB9"/>
    <w:rsid w:val="00751287"/>
    <w:rsid w:val="00752C9D"/>
    <w:rsid w:val="0075439C"/>
    <w:rsid w:val="00762DF5"/>
    <w:rsid w:val="00770DF4"/>
    <w:rsid w:val="0077378A"/>
    <w:rsid w:val="0077687D"/>
    <w:rsid w:val="00784718"/>
    <w:rsid w:val="00784EC2"/>
    <w:rsid w:val="00785935"/>
    <w:rsid w:val="007864AC"/>
    <w:rsid w:val="007903A8"/>
    <w:rsid w:val="007912F4"/>
    <w:rsid w:val="00791B35"/>
    <w:rsid w:val="00791E0B"/>
    <w:rsid w:val="0079494B"/>
    <w:rsid w:val="007949D7"/>
    <w:rsid w:val="007962CA"/>
    <w:rsid w:val="0079799F"/>
    <w:rsid w:val="007A17F4"/>
    <w:rsid w:val="007A213F"/>
    <w:rsid w:val="007A7C75"/>
    <w:rsid w:val="007A7D52"/>
    <w:rsid w:val="007B4963"/>
    <w:rsid w:val="007B56D2"/>
    <w:rsid w:val="007C3CC8"/>
    <w:rsid w:val="007C478F"/>
    <w:rsid w:val="007C5BF5"/>
    <w:rsid w:val="007D28CE"/>
    <w:rsid w:val="007E1AF6"/>
    <w:rsid w:val="007E31E7"/>
    <w:rsid w:val="007E6B7A"/>
    <w:rsid w:val="007F17C0"/>
    <w:rsid w:val="007F4D95"/>
    <w:rsid w:val="00800682"/>
    <w:rsid w:val="00805906"/>
    <w:rsid w:val="00805DD7"/>
    <w:rsid w:val="008104E1"/>
    <w:rsid w:val="008153FA"/>
    <w:rsid w:val="00816BEF"/>
    <w:rsid w:val="00820743"/>
    <w:rsid w:val="00823A29"/>
    <w:rsid w:val="00827A32"/>
    <w:rsid w:val="0083571E"/>
    <w:rsid w:val="00842177"/>
    <w:rsid w:val="00847984"/>
    <w:rsid w:val="00847D22"/>
    <w:rsid w:val="00861C54"/>
    <w:rsid w:val="00863393"/>
    <w:rsid w:val="00872E30"/>
    <w:rsid w:val="008730C8"/>
    <w:rsid w:val="00873BF7"/>
    <w:rsid w:val="00875199"/>
    <w:rsid w:val="00883A32"/>
    <w:rsid w:val="00885BF2"/>
    <w:rsid w:val="008904F5"/>
    <w:rsid w:val="00890A8E"/>
    <w:rsid w:val="008911AF"/>
    <w:rsid w:val="00891CF0"/>
    <w:rsid w:val="00893B0A"/>
    <w:rsid w:val="008968CE"/>
    <w:rsid w:val="008969F5"/>
    <w:rsid w:val="008A2713"/>
    <w:rsid w:val="008A67E5"/>
    <w:rsid w:val="008B2E13"/>
    <w:rsid w:val="008B31E7"/>
    <w:rsid w:val="008B4523"/>
    <w:rsid w:val="008B7D22"/>
    <w:rsid w:val="008D3236"/>
    <w:rsid w:val="008D38E8"/>
    <w:rsid w:val="008D3948"/>
    <w:rsid w:val="008D46FB"/>
    <w:rsid w:val="008E2A45"/>
    <w:rsid w:val="008E45E8"/>
    <w:rsid w:val="008E6DF4"/>
    <w:rsid w:val="008F3FB1"/>
    <w:rsid w:val="008F5080"/>
    <w:rsid w:val="009007B1"/>
    <w:rsid w:val="00901004"/>
    <w:rsid w:val="00903874"/>
    <w:rsid w:val="00907F02"/>
    <w:rsid w:val="00914FBD"/>
    <w:rsid w:val="009155D6"/>
    <w:rsid w:val="009225CD"/>
    <w:rsid w:val="00922919"/>
    <w:rsid w:val="00925132"/>
    <w:rsid w:val="00925558"/>
    <w:rsid w:val="00930B5A"/>
    <w:rsid w:val="0093463B"/>
    <w:rsid w:val="00935030"/>
    <w:rsid w:val="00940A3F"/>
    <w:rsid w:val="00940EDC"/>
    <w:rsid w:val="00945BD4"/>
    <w:rsid w:val="00954286"/>
    <w:rsid w:val="00954F77"/>
    <w:rsid w:val="00957354"/>
    <w:rsid w:val="00964578"/>
    <w:rsid w:val="0097197D"/>
    <w:rsid w:val="00972FEC"/>
    <w:rsid w:val="00976A3A"/>
    <w:rsid w:val="009835AB"/>
    <w:rsid w:val="00984B37"/>
    <w:rsid w:val="00985676"/>
    <w:rsid w:val="009A1F04"/>
    <w:rsid w:val="009A5FB5"/>
    <w:rsid w:val="009B5625"/>
    <w:rsid w:val="009C2CBD"/>
    <w:rsid w:val="009C4686"/>
    <w:rsid w:val="009C67C5"/>
    <w:rsid w:val="009C7685"/>
    <w:rsid w:val="009D5F09"/>
    <w:rsid w:val="009E1F8A"/>
    <w:rsid w:val="009E2B62"/>
    <w:rsid w:val="009E6F23"/>
    <w:rsid w:val="009F5A81"/>
    <w:rsid w:val="009F5AC8"/>
    <w:rsid w:val="009F6B88"/>
    <w:rsid w:val="00A00180"/>
    <w:rsid w:val="00A02A27"/>
    <w:rsid w:val="00A06721"/>
    <w:rsid w:val="00A1079D"/>
    <w:rsid w:val="00A10D8B"/>
    <w:rsid w:val="00A1315D"/>
    <w:rsid w:val="00A169DE"/>
    <w:rsid w:val="00A20D77"/>
    <w:rsid w:val="00A20E00"/>
    <w:rsid w:val="00A308D8"/>
    <w:rsid w:val="00A31115"/>
    <w:rsid w:val="00A326D8"/>
    <w:rsid w:val="00A34CCF"/>
    <w:rsid w:val="00A350DD"/>
    <w:rsid w:val="00A36D6C"/>
    <w:rsid w:val="00A44A41"/>
    <w:rsid w:val="00A63A59"/>
    <w:rsid w:val="00A73C18"/>
    <w:rsid w:val="00A73D1E"/>
    <w:rsid w:val="00A75B3C"/>
    <w:rsid w:val="00A763A8"/>
    <w:rsid w:val="00A76F0D"/>
    <w:rsid w:val="00A81650"/>
    <w:rsid w:val="00A84C46"/>
    <w:rsid w:val="00A85953"/>
    <w:rsid w:val="00A90F3D"/>
    <w:rsid w:val="00A93A51"/>
    <w:rsid w:val="00AA25EF"/>
    <w:rsid w:val="00AA4BEB"/>
    <w:rsid w:val="00AA7D98"/>
    <w:rsid w:val="00AB69E2"/>
    <w:rsid w:val="00AC0EA3"/>
    <w:rsid w:val="00AC11D7"/>
    <w:rsid w:val="00AC28DB"/>
    <w:rsid w:val="00AC4465"/>
    <w:rsid w:val="00AD66FA"/>
    <w:rsid w:val="00AE0F13"/>
    <w:rsid w:val="00AE1F50"/>
    <w:rsid w:val="00AE50A5"/>
    <w:rsid w:val="00AE5AF4"/>
    <w:rsid w:val="00AF20E3"/>
    <w:rsid w:val="00AF3C8C"/>
    <w:rsid w:val="00AF6677"/>
    <w:rsid w:val="00B0473C"/>
    <w:rsid w:val="00B04975"/>
    <w:rsid w:val="00B04C6B"/>
    <w:rsid w:val="00B04E50"/>
    <w:rsid w:val="00B058D5"/>
    <w:rsid w:val="00B104A8"/>
    <w:rsid w:val="00B11F83"/>
    <w:rsid w:val="00B23C2F"/>
    <w:rsid w:val="00B265AD"/>
    <w:rsid w:val="00B33352"/>
    <w:rsid w:val="00B46856"/>
    <w:rsid w:val="00B46F28"/>
    <w:rsid w:val="00B47A4F"/>
    <w:rsid w:val="00B51AE9"/>
    <w:rsid w:val="00B52853"/>
    <w:rsid w:val="00B5346B"/>
    <w:rsid w:val="00B54DA2"/>
    <w:rsid w:val="00B55987"/>
    <w:rsid w:val="00B579CF"/>
    <w:rsid w:val="00B608FC"/>
    <w:rsid w:val="00B61859"/>
    <w:rsid w:val="00B76F92"/>
    <w:rsid w:val="00B77D3F"/>
    <w:rsid w:val="00B810FD"/>
    <w:rsid w:val="00B8153B"/>
    <w:rsid w:val="00B81C20"/>
    <w:rsid w:val="00B861D2"/>
    <w:rsid w:val="00B96616"/>
    <w:rsid w:val="00B975B5"/>
    <w:rsid w:val="00BA007D"/>
    <w:rsid w:val="00BA0BEB"/>
    <w:rsid w:val="00BA1903"/>
    <w:rsid w:val="00BA4EB9"/>
    <w:rsid w:val="00BA6D4E"/>
    <w:rsid w:val="00BA7F88"/>
    <w:rsid w:val="00BB1C91"/>
    <w:rsid w:val="00BB25CC"/>
    <w:rsid w:val="00BB29F6"/>
    <w:rsid w:val="00BB30B9"/>
    <w:rsid w:val="00BB7939"/>
    <w:rsid w:val="00BC19E1"/>
    <w:rsid w:val="00BC6C91"/>
    <w:rsid w:val="00BC7043"/>
    <w:rsid w:val="00BC73F6"/>
    <w:rsid w:val="00BD02EC"/>
    <w:rsid w:val="00BE2B3A"/>
    <w:rsid w:val="00BE4C41"/>
    <w:rsid w:val="00BE56C4"/>
    <w:rsid w:val="00BF0392"/>
    <w:rsid w:val="00BF5C12"/>
    <w:rsid w:val="00BF632F"/>
    <w:rsid w:val="00C03F16"/>
    <w:rsid w:val="00C04C51"/>
    <w:rsid w:val="00C04E46"/>
    <w:rsid w:val="00C065AB"/>
    <w:rsid w:val="00C169E4"/>
    <w:rsid w:val="00C23F20"/>
    <w:rsid w:val="00C24C10"/>
    <w:rsid w:val="00C24EA1"/>
    <w:rsid w:val="00C25D9C"/>
    <w:rsid w:val="00C32AF6"/>
    <w:rsid w:val="00C43A7A"/>
    <w:rsid w:val="00C506BF"/>
    <w:rsid w:val="00C51C0B"/>
    <w:rsid w:val="00C52D31"/>
    <w:rsid w:val="00C52ECB"/>
    <w:rsid w:val="00C54452"/>
    <w:rsid w:val="00C6472C"/>
    <w:rsid w:val="00C64F33"/>
    <w:rsid w:val="00C67BBD"/>
    <w:rsid w:val="00C71B80"/>
    <w:rsid w:val="00C7326B"/>
    <w:rsid w:val="00C7639E"/>
    <w:rsid w:val="00C77221"/>
    <w:rsid w:val="00C80CF8"/>
    <w:rsid w:val="00C82C48"/>
    <w:rsid w:val="00C86674"/>
    <w:rsid w:val="00C86CE7"/>
    <w:rsid w:val="00C93363"/>
    <w:rsid w:val="00C93D78"/>
    <w:rsid w:val="00C9517F"/>
    <w:rsid w:val="00CA0B91"/>
    <w:rsid w:val="00CA49F0"/>
    <w:rsid w:val="00CB031E"/>
    <w:rsid w:val="00CB064F"/>
    <w:rsid w:val="00CB270C"/>
    <w:rsid w:val="00CB6E33"/>
    <w:rsid w:val="00CC0157"/>
    <w:rsid w:val="00CC1074"/>
    <w:rsid w:val="00CC133A"/>
    <w:rsid w:val="00CC5F21"/>
    <w:rsid w:val="00CD1B2A"/>
    <w:rsid w:val="00CD1F77"/>
    <w:rsid w:val="00CD24C4"/>
    <w:rsid w:val="00CD2A43"/>
    <w:rsid w:val="00CD4395"/>
    <w:rsid w:val="00CD48EC"/>
    <w:rsid w:val="00CE02B5"/>
    <w:rsid w:val="00CF04EB"/>
    <w:rsid w:val="00CF2E30"/>
    <w:rsid w:val="00D03C1C"/>
    <w:rsid w:val="00D1064B"/>
    <w:rsid w:val="00D12DBB"/>
    <w:rsid w:val="00D2232C"/>
    <w:rsid w:val="00D26B97"/>
    <w:rsid w:val="00D33610"/>
    <w:rsid w:val="00D400F2"/>
    <w:rsid w:val="00D407DC"/>
    <w:rsid w:val="00D412F0"/>
    <w:rsid w:val="00D50321"/>
    <w:rsid w:val="00D53EBB"/>
    <w:rsid w:val="00D5500F"/>
    <w:rsid w:val="00D61BEC"/>
    <w:rsid w:val="00D624DE"/>
    <w:rsid w:val="00D636D7"/>
    <w:rsid w:val="00D64447"/>
    <w:rsid w:val="00D71ED4"/>
    <w:rsid w:val="00D74385"/>
    <w:rsid w:val="00D759D7"/>
    <w:rsid w:val="00D87C67"/>
    <w:rsid w:val="00D90A33"/>
    <w:rsid w:val="00D91011"/>
    <w:rsid w:val="00D936AA"/>
    <w:rsid w:val="00D93BC5"/>
    <w:rsid w:val="00DA04A0"/>
    <w:rsid w:val="00DA1D67"/>
    <w:rsid w:val="00DA4144"/>
    <w:rsid w:val="00DA618A"/>
    <w:rsid w:val="00DA7D9E"/>
    <w:rsid w:val="00DB3474"/>
    <w:rsid w:val="00DB4BC4"/>
    <w:rsid w:val="00DB5AED"/>
    <w:rsid w:val="00DB5BF6"/>
    <w:rsid w:val="00DB5E2B"/>
    <w:rsid w:val="00DC260E"/>
    <w:rsid w:val="00DC5198"/>
    <w:rsid w:val="00DC5658"/>
    <w:rsid w:val="00DC5F77"/>
    <w:rsid w:val="00DC7A13"/>
    <w:rsid w:val="00DD11D7"/>
    <w:rsid w:val="00DD4359"/>
    <w:rsid w:val="00DD45AA"/>
    <w:rsid w:val="00DE27A2"/>
    <w:rsid w:val="00DE2940"/>
    <w:rsid w:val="00DE37AD"/>
    <w:rsid w:val="00DE4AC8"/>
    <w:rsid w:val="00DF029E"/>
    <w:rsid w:val="00DF17B4"/>
    <w:rsid w:val="00DF202F"/>
    <w:rsid w:val="00E02CF1"/>
    <w:rsid w:val="00E04068"/>
    <w:rsid w:val="00E06745"/>
    <w:rsid w:val="00E0778D"/>
    <w:rsid w:val="00E13FC5"/>
    <w:rsid w:val="00E15328"/>
    <w:rsid w:val="00E16EF1"/>
    <w:rsid w:val="00E27178"/>
    <w:rsid w:val="00E32A8A"/>
    <w:rsid w:val="00E339C5"/>
    <w:rsid w:val="00E34CB2"/>
    <w:rsid w:val="00E40369"/>
    <w:rsid w:val="00E50267"/>
    <w:rsid w:val="00E51818"/>
    <w:rsid w:val="00E51889"/>
    <w:rsid w:val="00E53EAC"/>
    <w:rsid w:val="00E55D18"/>
    <w:rsid w:val="00E56B8D"/>
    <w:rsid w:val="00E62699"/>
    <w:rsid w:val="00E77FEC"/>
    <w:rsid w:val="00E82FCD"/>
    <w:rsid w:val="00E86FB4"/>
    <w:rsid w:val="00E86FEB"/>
    <w:rsid w:val="00E91856"/>
    <w:rsid w:val="00E97E84"/>
    <w:rsid w:val="00EA2EF9"/>
    <w:rsid w:val="00EA3AC9"/>
    <w:rsid w:val="00EA49B4"/>
    <w:rsid w:val="00EB0814"/>
    <w:rsid w:val="00EB1EA4"/>
    <w:rsid w:val="00EB273D"/>
    <w:rsid w:val="00EB2D04"/>
    <w:rsid w:val="00EC4544"/>
    <w:rsid w:val="00EC4F57"/>
    <w:rsid w:val="00EC6F83"/>
    <w:rsid w:val="00ED62CC"/>
    <w:rsid w:val="00EE2D6C"/>
    <w:rsid w:val="00EE692A"/>
    <w:rsid w:val="00EE6981"/>
    <w:rsid w:val="00EE7D8A"/>
    <w:rsid w:val="00EF01D6"/>
    <w:rsid w:val="00EF44D9"/>
    <w:rsid w:val="00F01A2C"/>
    <w:rsid w:val="00F11A95"/>
    <w:rsid w:val="00F1468D"/>
    <w:rsid w:val="00F15A2E"/>
    <w:rsid w:val="00F209E4"/>
    <w:rsid w:val="00F21F65"/>
    <w:rsid w:val="00F25E6A"/>
    <w:rsid w:val="00F30DBF"/>
    <w:rsid w:val="00F3199E"/>
    <w:rsid w:val="00F35878"/>
    <w:rsid w:val="00F51F3E"/>
    <w:rsid w:val="00F545E8"/>
    <w:rsid w:val="00F559D4"/>
    <w:rsid w:val="00F564AB"/>
    <w:rsid w:val="00F577D3"/>
    <w:rsid w:val="00F60D66"/>
    <w:rsid w:val="00F60EDE"/>
    <w:rsid w:val="00F617EA"/>
    <w:rsid w:val="00F633BF"/>
    <w:rsid w:val="00F670F0"/>
    <w:rsid w:val="00F673D9"/>
    <w:rsid w:val="00F704FA"/>
    <w:rsid w:val="00F71477"/>
    <w:rsid w:val="00F73C1E"/>
    <w:rsid w:val="00F912A1"/>
    <w:rsid w:val="00F97E93"/>
    <w:rsid w:val="00FA1F30"/>
    <w:rsid w:val="00FA1F45"/>
    <w:rsid w:val="00FA21B0"/>
    <w:rsid w:val="00FA604C"/>
    <w:rsid w:val="00FA7EDB"/>
    <w:rsid w:val="00FB43C2"/>
    <w:rsid w:val="00FB5BC7"/>
    <w:rsid w:val="00FC1591"/>
    <w:rsid w:val="00FC5A7A"/>
    <w:rsid w:val="00FC67D0"/>
    <w:rsid w:val="00FC6C8C"/>
    <w:rsid w:val="00FD0C13"/>
    <w:rsid w:val="00FD1969"/>
    <w:rsid w:val="00FD24A7"/>
    <w:rsid w:val="00FD6D20"/>
    <w:rsid w:val="00FE102F"/>
    <w:rsid w:val="00FE67D1"/>
    <w:rsid w:val="00FE6B19"/>
    <w:rsid w:val="00FE6B33"/>
    <w:rsid w:val="00FF4DB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B1FDE7"/>
  <w15:docId w15:val="{0AB51FCE-35BB-46D5-9CC0-452AEA006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F23"/>
  </w:style>
  <w:style w:type="paragraph" w:styleId="Heading1">
    <w:name w:val="heading 1"/>
    <w:basedOn w:val="Normal"/>
    <w:next w:val="Normal"/>
    <w:link w:val="Heading1Char"/>
    <w:uiPriority w:val="9"/>
    <w:qFormat/>
    <w:rsid w:val="00C64F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578"/>
    <w:pPr>
      <w:ind w:left="720"/>
      <w:contextualSpacing/>
    </w:pPr>
  </w:style>
  <w:style w:type="character" w:styleId="Hyperlink">
    <w:name w:val="Hyperlink"/>
    <w:basedOn w:val="DefaultParagraphFont"/>
    <w:uiPriority w:val="99"/>
    <w:unhideWhenUsed/>
    <w:rsid w:val="003478D3"/>
    <w:rPr>
      <w:color w:val="0000FF"/>
      <w:u w:val="single"/>
    </w:rPr>
  </w:style>
  <w:style w:type="character" w:customStyle="1" w:styleId="Heading1Char">
    <w:name w:val="Heading 1 Char"/>
    <w:basedOn w:val="DefaultParagraphFont"/>
    <w:link w:val="Heading1"/>
    <w:uiPriority w:val="9"/>
    <w:rsid w:val="00C64F33"/>
    <w:rPr>
      <w:rFonts w:asciiTheme="majorHAnsi" w:eastAsiaTheme="majorEastAsia" w:hAnsiTheme="majorHAnsi" w:cstheme="majorBidi"/>
      <w:color w:val="2F5496" w:themeColor="accent1" w:themeShade="BF"/>
      <w:sz w:val="32"/>
      <w:szCs w:val="32"/>
    </w:rPr>
  </w:style>
  <w:style w:type="character" w:customStyle="1" w:styleId="Mencinsinresolver1">
    <w:name w:val="Mención sin resolver1"/>
    <w:basedOn w:val="DefaultParagraphFont"/>
    <w:uiPriority w:val="99"/>
    <w:semiHidden/>
    <w:unhideWhenUsed/>
    <w:rsid w:val="00C64F33"/>
    <w:rPr>
      <w:color w:val="808080"/>
      <w:shd w:val="clear" w:color="auto" w:fill="E6E6E6"/>
    </w:rPr>
  </w:style>
  <w:style w:type="paragraph" w:styleId="Header">
    <w:name w:val="header"/>
    <w:basedOn w:val="Normal"/>
    <w:link w:val="HeaderChar"/>
    <w:uiPriority w:val="99"/>
    <w:unhideWhenUsed/>
    <w:rsid w:val="00827A32"/>
    <w:pPr>
      <w:tabs>
        <w:tab w:val="center" w:pos="4252"/>
        <w:tab w:val="right" w:pos="8504"/>
      </w:tabs>
      <w:spacing w:after="0" w:line="240" w:lineRule="auto"/>
    </w:pPr>
  </w:style>
  <w:style w:type="character" w:customStyle="1" w:styleId="HeaderChar">
    <w:name w:val="Header Char"/>
    <w:basedOn w:val="DefaultParagraphFont"/>
    <w:link w:val="Header"/>
    <w:uiPriority w:val="99"/>
    <w:rsid w:val="00827A32"/>
  </w:style>
  <w:style w:type="paragraph" w:styleId="Footer">
    <w:name w:val="footer"/>
    <w:basedOn w:val="Normal"/>
    <w:link w:val="FooterChar"/>
    <w:uiPriority w:val="99"/>
    <w:unhideWhenUsed/>
    <w:rsid w:val="00827A32"/>
    <w:pPr>
      <w:tabs>
        <w:tab w:val="center" w:pos="4252"/>
        <w:tab w:val="right" w:pos="8504"/>
      </w:tabs>
      <w:spacing w:after="0" w:line="240" w:lineRule="auto"/>
    </w:pPr>
  </w:style>
  <w:style w:type="character" w:customStyle="1" w:styleId="FooterChar">
    <w:name w:val="Footer Char"/>
    <w:basedOn w:val="DefaultParagraphFont"/>
    <w:link w:val="Footer"/>
    <w:uiPriority w:val="99"/>
    <w:rsid w:val="00827A32"/>
  </w:style>
  <w:style w:type="paragraph" w:styleId="BalloonText">
    <w:name w:val="Balloon Text"/>
    <w:basedOn w:val="Normal"/>
    <w:link w:val="BalloonTextChar"/>
    <w:uiPriority w:val="99"/>
    <w:semiHidden/>
    <w:unhideWhenUsed/>
    <w:rsid w:val="00972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FEC"/>
    <w:rPr>
      <w:rFonts w:ascii="Segoe UI" w:hAnsi="Segoe UI" w:cs="Segoe UI"/>
      <w:sz w:val="18"/>
      <w:szCs w:val="18"/>
    </w:rPr>
  </w:style>
  <w:style w:type="character" w:styleId="CommentReference">
    <w:name w:val="annotation reference"/>
    <w:basedOn w:val="DefaultParagraphFont"/>
    <w:semiHidden/>
    <w:unhideWhenUsed/>
    <w:rsid w:val="00EB0814"/>
    <w:rPr>
      <w:sz w:val="16"/>
      <w:szCs w:val="16"/>
    </w:rPr>
  </w:style>
  <w:style w:type="paragraph" w:styleId="CommentText">
    <w:name w:val="annotation text"/>
    <w:basedOn w:val="Normal"/>
    <w:link w:val="CommentTextChar"/>
    <w:semiHidden/>
    <w:unhideWhenUsed/>
    <w:qFormat/>
    <w:rsid w:val="00EB0814"/>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semiHidden/>
    <w:rsid w:val="00EB0814"/>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EB0814"/>
    <w:rPr>
      <w:b/>
      <w:bCs/>
    </w:rPr>
  </w:style>
  <w:style w:type="character" w:customStyle="1" w:styleId="CommentSubjectChar">
    <w:name w:val="Comment Subject Char"/>
    <w:basedOn w:val="CommentTextChar"/>
    <w:link w:val="CommentSubject"/>
    <w:uiPriority w:val="99"/>
    <w:semiHidden/>
    <w:rsid w:val="00EB0814"/>
    <w:rPr>
      <w:rFonts w:ascii="Tahoma" w:hAnsi="Tahoma" w:cs="Tahoma"/>
      <w:b/>
      <w:bCs/>
      <w:sz w:val="16"/>
      <w:szCs w:val="20"/>
      <w:lang w:val="en-US"/>
    </w:rPr>
  </w:style>
  <w:style w:type="paragraph" w:styleId="Revision">
    <w:name w:val="Revision"/>
    <w:hidden/>
    <w:uiPriority w:val="99"/>
    <w:semiHidden/>
    <w:rsid w:val="00EB0814"/>
    <w:pPr>
      <w:spacing w:after="0" w:line="240" w:lineRule="auto"/>
    </w:pPr>
  </w:style>
  <w:style w:type="table" w:styleId="TableGrid">
    <w:name w:val="Table Grid"/>
    <w:basedOn w:val="TableNormal"/>
    <w:uiPriority w:val="39"/>
    <w:rsid w:val="00722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纯文本 Char"/>
    <w:link w:val="PlainText1"/>
    <w:rsid w:val="00E56B8D"/>
    <w:rPr>
      <w:rFonts w:ascii="SimSun" w:hAnsi="Courier New" w:cs="Courier New"/>
      <w:szCs w:val="21"/>
    </w:rPr>
  </w:style>
  <w:style w:type="paragraph" w:customStyle="1" w:styleId="PlainText1">
    <w:name w:val="Plain Text1"/>
    <w:basedOn w:val="Normal"/>
    <w:link w:val="Char"/>
    <w:rsid w:val="00E56B8D"/>
    <w:pPr>
      <w:widowControl w:val="0"/>
      <w:spacing w:after="0" w:line="240" w:lineRule="auto"/>
      <w:jc w:val="both"/>
    </w:pPr>
    <w:rPr>
      <w:rFonts w:ascii="SimSun" w:hAnsi="Courier New" w:cs="Courier New"/>
      <w:szCs w:val="21"/>
    </w:rPr>
  </w:style>
  <w:style w:type="character" w:customStyle="1" w:styleId="orcid-id-https">
    <w:name w:val="orcid-id-https"/>
    <w:basedOn w:val="DefaultParagraphFont"/>
    <w:rsid w:val="00F15A2E"/>
  </w:style>
  <w:style w:type="paragraph" w:styleId="NormalWeb">
    <w:name w:val="Normal (Web)"/>
    <w:basedOn w:val="Normal"/>
    <w:uiPriority w:val="99"/>
    <w:semiHidden/>
    <w:unhideWhenUsed/>
    <w:rsid w:val="000572B4"/>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4928">
      <w:bodyDiv w:val="1"/>
      <w:marLeft w:val="0"/>
      <w:marRight w:val="0"/>
      <w:marTop w:val="0"/>
      <w:marBottom w:val="0"/>
      <w:divBdr>
        <w:top w:val="none" w:sz="0" w:space="0" w:color="auto"/>
        <w:left w:val="none" w:sz="0" w:space="0" w:color="auto"/>
        <w:bottom w:val="none" w:sz="0" w:space="0" w:color="auto"/>
        <w:right w:val="none" w:sz="0" w:space="0" w:color="auto"/>
      </w:divBdr>
      <w:divsChild>
        <w:div w:id="462965378">
          <w:marLeft w:val="0"/>
          <w:marRight w:val="0"/>
          <w:marTop w:val="0"/>
          <w:marBottom w:val="0"/>
          <w:divBdr>
            <w:top w:val="none" w:sz="0" w:space="0" w:color="auto"/>
            <w:left w:val="none" w:sz="0" w:space="0" w:color="auto"/>
            <w:bottom w:val="none" w:sz="0" w:space="0" w:color="auto"/>
            <w:right w:val="none" w:sz="0" w:space="0" w:color="auto"/>
          </w:divBdr>
        </w:div>
      </w:divsChild>
    </w:div>
    <w:div w:id="28069970">
      <w:bodyDiv w:val="1"/>
      <w:marLeft w:val="0"/>
      <w:marRight w:val="0"/>
      <w:marTop w:val="0"/>
      <w:marBottom w:val="0"/>
      <w:divBdr>
        <w:top w:val="none" w:sz="0" w:space="0" w:color="auto"/>
        <w:left w:val="none" w:sz="0" w:space="0" w:color="auto"/>
        <w:bottom w:val="none" w:sz="0" w:space="0" w:color="auto"/>
        <w:right w:val="none" w:sz="0" w:space="0" w:color="auto"/>
      </w:divBdr>
    </w:div>
    <w:div w:id="109906606">
      <w:bodyDiv w:val="1"/>
      <w:marLeft w:val="0"/>
      <w:marRight w:val="0"/>
      <w:marTop w:val="0"/>
      <w:marBottom w:val="0"/>
      <w:divBdr>
        <w:top w:val="none" w:sz="0" w:space="0" w:color="auto"/>
        <w:left w:val="none" w:sz="0" w:space="0" w:color="auto"/>
        <w:bottom w:val="none" w:sz="0" w:space="0" w:color="auto"/>
        <w:right w:val="none" w:sz="0" w:space="0" w:color="auto"/>
      </w:divBdr>
      <w:divsChild>
        <w:div w:id="770901853">
          <w:marLeft w:val="0"/>
          <w:marRight w:val="0"/>
          <w:marTop w:val="0"/>
          <w:marBottom w:val="0"/>
          <w:divBdr>
            <w:top w:val="none" w:sz="0" w:space="0" w:color="auto"/>
            <w:left w:val="none" w:sz="0" w:space="0" w:color="auto"/>
            <w:bottom w:val="none" w:sz="0" w:space="0" w:color="auto"/>
            <w:right w:val="none" w:sz="0" w:space="0" w:color="auto"/>
          </w:divBdr>
        </w:div>
      </w:divsChild>
    </w:div>
    <w:div w:id="136150597">
      <w:bodyDiv w:val="1"/>
      <w:marLeft w:val="0"/>
      <w:marRight w:val="0"/>
      <w:marTop w:val="0"/>
      <w:marBottom w:val="0"/>
      <w:divBdr>
        <w:top w:val="none" w:sz="0" w:space="0" w:color="auto"/>
        <w:left w:val="none" w:sz="0" w:space="0" w:color="auto"/>
        <w:bottom w:val="none" w:sz="0" w:space="0" w:color="auto"/>
        <w:right w:val="none" w:sz="0" w:space="0" w:color="auto"/>
      </w:divBdr>
      <w:divsChild>
        <w:div w:id="2096900983">
          <w:marLeft w:val="0"/>
          <w:marRight w:val="0"/>
          <w:marTop w:val="0"/>
          <w:marBottom w:val="0"/>
          <w:divBdr>
            <w:top w:val="none" w:sz="0" w:space="0" w:color="auto"/>
            <w:left w:val="none" w:sz="0" w:space="0" w:color="auto"/>
            <w:bottom w:val="none" w:sz="0" w:space="0" w:color="auto"/>
            <w:right w:val="none" w:sz="0" w:space="0" w:color="auto"/>
          </w:divBdr>
        </w:div>
        <w:div w:id="327250959">
          <w:marLeft w:val="0"/>
          <w:marRight w:val="0"/>
          <w:marTop w:val="0"/>
          <w:marBottom w:val="0"/>
          <w:divBdr>
            <w:top w:val="none" w:sz="0" w:space="0" w:color="auto"/>
            <w:left w:val="none" w:sz="0" w:space="0" w:color="auto"/>
            <w:bottom w:val="none" w:sz="0" w:space="0" w:color="auto"/>
            <w:right w:val="none" w:sz="0" w:space="0" w:color="auto"/>
          </w:divBdr>
        </w:div>
      </w:divsChild>
    </w:div>
    <w:div w:id="164635642">
      <w:bodyDiv w:val="1"/>
      <w:marLeft w:val="0"/>
      <w:marRight w:val="0"/>
      <w:marTop w:val="0"/>
      <w:marBottom w:val="0"/>
      <w:divBdr>
        <w:top w:val="none" w:sz="0" w:space="0" w:color="auto"/>
        <w:left w:val="none" w:sz="0" w:space="0" w:color="auto"/>
        <w:bottom w:val="none" w:sz="0" w:space="0" w:color="auto"/>
        <w:right w:val="none" w:sz="0" w:space="0" w:color="auto"/>
      </w:divBdr>
      <w:divsChild>
        <w:div w:id="679505835">
          <w:marLeft w:val="0"/>
          <w:marRight w:val="0"/>
          <w:marTop w:val="0"/>
          <w:marBottom w:val="0"/>
          <w:divBdr>
            <w:top w:val="none" w:sz="0" w:space="0" w:color="auto"/>
            <w:left w:val="none" w:sz="0" w:space="0" w:color="auto"/>
            <w:bottom w:val="none" w:sz="0" w:space="0" w:color="auto"/>
            <w:right w:val="none" w:sz="0" w:space="0" w:color="auto"/>
          </w:divBdr>
        </w:div>
      </w:divsChild>
    </w:div>
    <w:div w:id="212159822">
      <w:bodyDiv w:val="1"/>
      <w:marLeft w:val="0"/>
      <w:marRight w:val="0"/>
      <w:marTop w:val="0"/>
      <w:marBottom w:val="0"/>
      <w:divBdr>
        <w:top w:val="none" w:sz="0" w:space="0" w:color="auto"/>
        <w:left w:val="none" w:sz="0" w:space="0" w:color="auto"/>
        <w:bottom w:val="none" w:sz="0" w:space="0" w:color="auto"/>
        <w:right w:val="none" w:sz="0" w:space="0" w:color="auto"/>
      </w:divBdr>
    </w:div>
    <w:div w:id="244531205">
      <w:bodyDiv w:val="1"/>
      <w:marLeft w:val="0"/>
      <w:marRight w:val="0"/>
      <w:marTop w:val="0"/>
      <w:marBottom w:val="0"/>
      <w:divBdr>
        <w:top w:val="none" w:sz="0" w:space="0" w:color="auto"/>
        <w:left w:val="none" w:sz="0" w:space="0" w:color="auto"/>
        <w:bottom w:val="none" w:sz="0" w:space="0" w:color="auto"/>
        <w:right w:val="none" w:sz="0" w:space="0" w:color="auto"/>
      </w:divBdr>
      <w:divsChild>
        <w:div w:id="145174718">
          <w:marLeft w:val="0"/>
          <w:marRight w:val="0"/>
          <w:marTop w:val="0"/>
          <w:marBottom w:val="0"/>
          <w:divBdr>
            <w:top w:val="none" w:sz="0" w:space="0" w:color="auto"/>
            <w:left w:val="none" w:sz="0" w:space="0" w:color="auto"/>
            <w:bottom w:val="none" w:sz="0" w:space="0" w:color="auto"/>
            <w:right w:val="none" w:sz="0" w:space="0" w:color="auto"/>
          </w:divBdr>
        </w:div>
      </w:divsChild>
    </w:div>
    <w:div w:id="278612530">
      <w:bodyDiv w:val="1"/>
      <w:marLeft w:val="0"/>
      <w:marRight w:val="0"/>
      <w:marTop w:val="0"/>
      <w:marBottom w:val="0"/>
      <w:divBdr>
        <w:top w:val="none" w:sz="0" w:space="0" w:color="auto"/>
        <w:left w:val="none" w:sz="0" w:space="0" w:color="auto"/>
        <w:bottom w:val="none" w:sz="0" w:space="0" w:color="auto"/>
        <w:right w:val="none" w:sz="0" w:space="0" w:color="auto"/>
      </w:divBdr>
      <w:divsChild>
        <w:div w:id="712651733">
          <w:marLeft w:val="0"/>
          <w:marRight w:val="0"/>
          <w:marTop w:val="0"/>
          <w:marBottom w:val="0"/>
          <w:divBdr>
            <w:top w:val="none" w:sz="0" w:space="0" w:color="auto"/>
            <w:left w:val="none" w:sz="0" w:space="0" w:color="auto"/>
            <w:bottom w:val="none" w:sz="0" w:space="0" w:color="auto"/>
            <w:right w:val="none" w:sz="0" w:space="0" w:color="auto"/>
          </w:divBdr>
        </w:div>
      </w:divsChild>
    </w:div>
    <w:div w:id="292905475">
      <w:bodyDiv w:val="1"/>
      <w:marLeft w:val="0"/>
      <w:marRight w:val="0"/>
      <w:marTop w:val="0"/>
      <w:marBottom w:val="0"/>
      <w:divBdr>
        <w:top w:val="none" w:sz="0" w:space="0" w:color="auto"/>
        <w:left w:val="none" w:sz="0" w:space="0" w:color="auto"/>
        <w:bottom w:val="none" w:sz="0" w:space="0" w:color="auto"/>
        <w:right w:val="none" w:sz="0" w:space="0" w:color="auto"/>
      </w:divBdr>
    </w:div>
    <w:div w:id="343097922">
      <w:bodyDiv w:val="1"/>
      <w:marLeft w:val="0"/>
      <w:marRight w:val="0"/>
      <w:marTop w:val="0"/>
      <w:marBottom w:val="0"/>
      <w:divBdr>
        <w:top w:val="none" w:sz="0" w:space="0" w:color="auto"/>
        <w:left w:val="none" w:sz="0" w:space="0" w:color="auto"/>
        <w:bottom w:val="none" w:sz="0" w:space="0" w:color="auto"/>
        <w:right w:val="none" w:sz="0" w:space="0" w:color="auto"/>
      </w:divBdr>
      <w:divsChild>
        <w:div w:id="1520660195">
          <w:marLeft w:val="0"/>
          <w:marRight w:val="0"/>
          <w:marTop w:val="0"/>
          <w:marBottom w:val="0"/>
          <w:divBdr>
            <w:top w:val="none" w:sz="0" w:space="0" w:color="auto"/>
            <w:left w:val="none" w:sz="0" w:space="0" w:color="auto"/>
            <w:bottom w:val="none" w:sz="0" w:space="0" w:color="auto"/>
            <w:right w:val="none" w:sz="0" w:space="0" w:color="auto"/>
          </w:divBdr>
        </w:div>
      </w:divsChild>
    </w:div>
    <w:div w:id="349649847">
      <w:bodyDiv w:val="1"/>
      <w:marLeft w:val="0"/>
      <w:marRight w:val="0"/>
      <w:marTop w:val="0"/>
      <w:marBottom w:val="0"/>
      <w:divBdr>
        <w:top w:val="none" w:sz="0" w:space="0" w:color="auto"/>
        <w:left w:val="none" w:sz="0" w:space="0" w:color="auto"/>
        <w:bottom w:val="none" w:sz="0" w:space="0" w:color="auto"/>
        <w:right w:val="none" w:sz="0" w:space="0" w:color="auto"/>
      </w:divBdr>
      <w:divsChild>
        <w:div w:id="1244798189">
          <w:marLeft w:val="0"/>
          <w:marRight w:val="0"/>
          <w:marTop w:val="0"/>
          <w:marBottom w:val="0"/>
          <w:divBdr>
            <w:top w:val="none" w:sz="0" w:space="0" w:color="auto"/>
            <w:left w:val="none" w:sz="0" w:space="0" w:color="auto"/>
            <w:bottom w:val="none" w:sz="0" w:space="0" w:color="auto"/>
            <w:right w:val="none" w:sz="0" w:space="0" w:color="auto"/>
          </w:divBdr>
        </w:div>
        <w:div w:id="190462800">
          <w:marLeft w:val="0"/>
          <w:marRight w:val="0"/>
          <w:marTop w:val="0"/>
          <w:marBottom w:val="0"/>
          <w:divBdr>
            <w:top w:val="none" w:sz="0" w:space="0" w:color="auto"/>
            <w:left w:val="none" w:sz="0" w:space="0" w:color="auto"/>
            <w:bottom w:val="none" w:sz="0" w:space="0" w:color="auto"/>
            <w:right w:val="none" w:sz="0" w:space="0" w:color="auto"/>
          </w:divBdr>
          <w:divsChild>
            <w:div w:id="13454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8864">
      <w:bodyDiv w:val="1"/>
      <w:marLeft w:val="0"/>
      <w:marRight w:val="0"/>
      <w:marTop w:val="0"/>
      <w:marBottom w:val="0"/>
      <w:divBdr>
        <w:top w:val="none" w:sz="0" w:space="0" w:color="auto"/>
        <w:left w:val="none" w:sz="0" w:space="0" w:color="auto"/>
        <w:bottom w:val="none" w:sz="0" w:space="0" w:color="auto"/>
        <w:right w:val="none" w:sz="0" w:space="0" w:color="auto"/>
      </w:divBdr>
      <w:divsChild>
        <w:div w:id="1657297363">
          <w:marLeft w:val="0"/>
          <w:marRight w:val="0"/>
          <w:marTop w:val="0"/>
          <w:marBottom w:val="0"/>
          <w:divBdr>
            <w:top w:val="none" w:sz="0" w:space="0" w:color="auto"/>
            <w:left w:val="none" w:sz="0" w:space="0" w:color="auto"/>
            <w:bottom w:val="none" w:sz="0" w:space="0" w:color="auto"/>
            <w:right w:val="none" w:sz="0" w:space="0" w:color="auto"/>
          </w:divBdr>
        </w:div>
      </w:divsChild>
    </w:div>
    <w:div w:id="376584591">
      <w:bodyDiv w:val="1"/>
      <w:marLeft w:val="0"/>
      <w:marRight w:val="0"/>
      <w:marTop w:val="0"/>
      <w:marBottom w:val="0"/>
      <w:divBdr>
        <w:top w:val="none" w:sz="0" w:space="0" w:color="auto"/>
        <w:left w:val="none" w:sz="0" w:space="0" w:color="auto"/>
        <w:bottom w:val="none" w:sz="0" w:space="0" w:color="auto"/>
        <w:right w:val="none" w:sz="0" w:space="0" w:color="auto"/>
      </w:divBdr>
      <w:divsChild>
        <w:div w:id="405962184">
          <w:marLeft w:val="0"/>
          <w:marRight w:val="0"/>
          <w:marTop w:val="0"/>
          <w:marBottom w:val="0"/>
          <w:divBdr>
            <w:top w:val="none" w:sz="0" w:space="0" w:color="auto"/>
            <w:left w:val="none" w:sz="0" w:space="0" w:color="auto"/>
            <w:bottom w:val="none" w:sz="0" w:space="0" w:color="auto"/>
            <w:right w:val="none" w:sz="0" w:space="0" w:color="auto"/>
          </w:divBdr>
        </w:div>
      </w:divsChild>
    </w:div>
    <w:div w:id="397047693">
      <w:bodyDiv w:val="1"/>
      <w:marLeft w:val="0"/>
      <w:marRight w:val="0"/>
      <w:marTop w:val="0"/>
      <w:marBottom w:val="0"/>
      <w:divBdr>
        <w:top w:val="none" w:sz="0" w:space="0" w:color="auto"/>
        <w:left w:val="none" w:sz="0" w:space="0" w:color="auto"/>
        <w:bottom w:val="none" w:sz="0" w:space="0" w:color="auto"/>
        <w:right w:val="none" w:sz="0" w:space="0" w:color="auto"/>
      </w:divBdr>
      <w:divsChild>
        <w:div w:id="1458835861">
          <w:marLeft w:val="0"/>
          <w:marRight w:val="0"/>
          <w:marTop w:val="0"/>
          <w:marBottom w:val="0"/>
          <w:divBdr>
            <w:top w:val="none" w:sz="0" w:space="0" w:color="auto"/>
            <w:left w:val="none" w:sz="0" w:space="0" w:color="auto"/>
            <w:bottom w:val="none" w:sz="0" w:space="0" w:color="auto"/>
            <w:right w:val="none" w:sz="0" w:space="0" w:color="auto"/>
          </w:divBdr>
        </w:div>
      </w:divsChild>
    </w:div>
    <w:div w:id="402261667">
      <w:bodyDiv w:val="1"/>
      <w:marLeft w:val="0"/>
      <w:marRight w:val="0"/>
      <w:marTop w:val="0"/>
      <w:marBottom w:val="0"/>
      <w:divBdr>
        <w:top w:val="none" w:sz="0" w:space="0" w:color="auto"/>
        <w:left w:val="none" w:sz="0" w:space="0" w:color="auto"/>
        <w:bottom w:val="none" w:sz="0" w:space="0" w:color="auto"/>
        <w:right w:val="none" w:sz="0" w:space="0" w:color="auto"/>
      </w:divBdr>
    </w:div>
    <w:div w:id="423307162">
      <w:bodyDiv w:val="1"/>
      <w:marLeft w:val="0"/>
      <w:marRight w:val="0"/>
      <w:marTop w:val="0"/>
      <w:marBottom w:val="0"/>
      <w:divBdr>
        <w:top w:val="none" w:sz="0" w:space="0" w:color="auto"/>
        <w:left w:val="none" w:sz="0" w:space="0" w:color="auto"/>
        <w:bottom w:val="none" w:sz="0" w:space="0" w:color="auto"/>
        <w:right w:val="none" w:sz="0" w:space="0" w:color="auto"/>
      </w:divBdr>
      <w:divsChild>
        <w:div w:id="1584334932">
          <w:marLeft w:val="0"/>
          <w:marRight w:val="0"/>
          <w:marTop w:val="0"/>
          <w:marBottom w:val="0"/>
          <w:divBdr>
            <w:top w:val="none" w:sz="0" w:space="0" w:color="auto"/>
            <w:left w:val="none" w:sz="0" w:space="0" w:color="auto"/>
            <w:bottom w:val="none" w:sz="0" w:space="0" w:color="auto"/>
            <w:right w:val="none" w:sz="0" w:space="0" w:color="auto"/>
          </w:divBdr>
        </w:div>
      </w:divsChild>
    </w:div>
    <w:div w:id="443380808">
      <w:bodyDiv w:val="1"/>
      <w:marLeft w:val="0"/>
      <w:marRight w:val="0"/>
      <w:marTop w:val="0"/>
      <w:marBottom w:val="0"/>
      <w:divBdr>
        <w:top w:val="none" w:sz="0" w:space="0" w:color="auto"/>
        <w:left w:val="none" w:sz="0" w:space="0" w:color="auto"/>
        <w:bottom w:val="none" w:sz="0" w:space="0" w:color="auto"/>
        <w:right w:val="none" w:sz="0" w:space="0" w:color="auto"/>
      </w:divBdr>
      <w:divsChild>
        <w:div w:id="196742573">
          <w:marLeft w:val="0"/>
          <w:marRight w:val="0"/>
          <w:marTop w:val="0"/>
          <w:marBottom w:val="0"/>
          <w:divBdr>
            <w:top w:val="none" w:sz="0" w:space="0" w:color="auto"/>
            <w:left w:val="none" w:sz="0" w:space="0" w:color="auto"/>
            <w:bottom w:val="none" w:sz="0" w:space="0" w:color="auto"/>
            <w:right w:val="none" w:sz="0" w:space="0" w:color="auto"/>
          </w:divBdr>
        </w:div>
        <w:div w:id="916288141">
          <w:marLeft w:val="0"/>
          <w:marRight w:val="0"/>
          <w:marTop w:val="0"/>
          <w:marBottom w:val="0"/>
          <w:divBdr>
            <w:top w:val="none" w:sz="0" w:space="0" w:color="auto"/>
            <w:left w:val="none" w:sz="0" w:space="0" w:color="auto"/>
            <w:bottom w:val="none" w:sz="0" w:space="0" w:color="auto"/>
            <w:right w:val="none" w:sz="0" w:space="0" w:color="auto"/>
          </w:divBdr>
        </w:div>
        <w:div w:id="650522648">
          <w:marLeft w:val="0"/>
          <w:marRight w:val="0"/>
          <w:marTop w:val="0"/>
          <w:marBottom w:val="0"/>
          <w:divBdr>
            <w:top w:val="none" w:sz="0" w:space="0" w:color="auto"/>
            <w:left w:val="none" w:sz="0" w:space="0" w:color="auto"/>
            <w:bottom w:val="none" w:sz="0" w:space="0" w:color="auto"/>
            <w:right w:val="none" w:sz="0" w:space="0" w:color="auto"/>
          </w:divBdr>
        </w:div>
        <w:div w:id="819271842">
          <w:marLeft w:val="0"/>
          <w:marRight w:val="0"/>
          <w:marTop w:val="0"/>
          <w:marBottom w:val="0"/>
          <w:divBdr>
            <w:top w:val="none" w:sz="0" w:space="0" w:color="auto"/>
            <w:left w:val="none" w:sz="0" w:space="0" w:color="auto"/>
            <w:bottom w:val="none" w:sz="0" w:space="0" w:color="auto"/>
            <w:right w:val="none" w:sz="0" w:space="0" w:color="auto"/>
          </w:divBdr>
        </w:div>
        <w:div w:id="415710285">
          <w:marLeft w:val="0"/>
          <w:marRight w:val="0"/>
          <w:marTop w:val="0"/>
          <w:marBottom w:val="0"/>
          <w:divBdr>
            <w:top w:val="none" w:sz="0" w:space="0" w:color="auto"/>
            <w:left w:val="none" w:sz="0" w:space="0" w:color="auto"/>
            <w:bottom w:val="none" w:sz="0" w:space="0" w:color="auto"/>
            <w:right w:val="none" w:sz="0" w:space="0" w:color="auto"/>
          </w:divBdr>
        </w:div>
        <w:div w:id="1922983647">
          <w:marLeft w:val="0"/>
          <w:marRight w:val="0"/>
          <w:marTop w:val="0"/>
          <w:marBottom w:val="0"/>
          <w:divBdr>
            <w:top w:val="none" w:sz="0" w:space="0" w:color="auto"/>
            <w:left w:val="none" w:sz="0" w:space="0" w:color="auto"/>
            <w:bottom w:val="none" w:sz="0" w:space="0" w:color="auto"/>
            <w:right w:val="none" w:sz="0" w:space="0" w:color="auto"/>
          </w:divBdr>
        </w:div>
        <w:div w:id="448088045">
          <w:marLeft w:val="0"/>
          <w:marRight w:val="0"/>
          <w:marTop w:val="0"/>
          <w:marBottom w:val="0"/>
          <w:divBdr>
            <w:top w:val="none" w:sz="0" w:space="0" w:color="auto"/>
            <w:left w:val="none" w:sz="0" w:space="0" w:color="auto"/>
            <w:bottom w:val="none" w:sz="0" w:space="0" w:color="auto"/>
            <w:right w:val="none" w:sz="0" w:space="0" w:color="auto"/>
          </w:divBdr>
        </w:div>
        <w:div w:id="1925407953">
          <w:marLeft w:val="0"/>
          <w:marRight w:val="0"/>
          <w:marTop w:val="0"/>
          <w:marBottom w:val="0"/>
          <w:divBdr>
            <w:top w:val="none" w:sz="0" w:space="0" w:color="auto"/>
            <w:left w:val="none" w:sz="0" w:space="0" w:color="auto"/>
            <w:bottom w:val="none" w:sz="0" w:space="0" w:color="auto"/>
            <w:right w:val="none" w:sz="0" w:space="0" w:color="auto"/>
          </w:divBdr>
        </w:div>
        <w:div w:id="1438793437">
          <w:marLeft w:val="0"/>
          <w:marRight w:val="0"/>
          <w:marTop w:val="0"/>
          <w:marBottom w:val="0"/>
          <w:divBdr>
            <w:top w:val="none" w:sz="0" w:space="0" w:color="auto"/>
            <w:left w:val="none" w:sz="0" w:space="0" w:color="auto"/>
            <w:bottom w:val="none" w:sz="0" w:space="0" w:color="auto"/>
            <w:right w:val="none" w:sz="0" w:space="0" w:color="auto"/>
          </w:divBdr>
        </w:div>
        <w:div w:id="1154613719">
          <w:marLeft w:val="0"/>
          <w:marRight w:val="0"/>
          <w:marTop w:val="0"/>
          <w:marBottom w:val="0"/>
          <w:divBdr>
            <w:top w:val="none" w:sz="0" w:space="0" w:color="auto"/>
            <w:left w:val="none" w:sz="0" w:space="0" w:color="auto"/>
            <w:bottom w:val="none" w:sz="0" w:space="0" w:color="auto"/>
            <w:right w:val="none" w:sz="0" w:space="0" w:color="auto"/>
          </w:divBdr>
        </w:div>
      </w:divsChild>
    </w:div>
    <w:div w:id="483936588">
      <w:bodyDiv w:val="1"/>
      <w:marLeft w:val="0"/>
      <w:marRight w:val="0"/>
      <w:marTop w:val="0"/>
      <w:marBottom w:val="0"/>
      <w:divBdr>
        <w:top w:val="none" w:sz="0" w:space="0" w:color="auto"/>
        <w:left w:val="none" w:sz="0" w:space="0" w:color="auto"/>
        <w:bottom w:val="none" w:sz="0" w:space="0" w:color="auto"/>
        <w:right w:val="none" w:sz="0" w:space="0" w:color="auto"/>
      </w:divBdr>
    </w:div>
    <w:div w:id="486551279">
      <w:bodyDiv w:val="1"/>
      <w:marLeft w:val="0"/>
      <w:marRight w:val="0"/>
      <w:marTop w:val="0"/>
      <w:marBottom w:val="0"/>
      <w:divBdr>
        <w:top w:val="none" w:sz="0" w:space="0" w:color="auto"/>
        <w:left w:val="none" w:sz="0" w:space="0" w:color="auto"/>
        <w:bottom w:val="none" w:sz="0" w:space="0" w:color="auto"/>
        <w:right w:val="none" w:sz="0" w:space="0" w:color="auto"/>
      </w:divBdr>
      <w:divsChild>
        <w:div w:id="1789545019">
          <w:marLeft w:val="0"/>
          <w:marRight w:val="0"/>
          <w:marTop w:val="0"/>
          <w:marBottom w:val="0"/>
          <w:divBdr>
            <w:top w:val="none" w:sz="0" w:space="0" w:color="auto"/>
            <w:left w:val="none" w:sz="0" w:space="0" w:color="auto"/>
            <w:bottom w:val="none" w:sz="0" w:space="0" w:color="auto"/>
            <w:right w:val="none" w:sz="0" w:space="0" w:color="auto"/>
          </w:divBdr>
        </w:div>
        <w:div w:id="1698382940">
          <w:marLeft w:val="0"/>
          <w:marRight w:val="0"/>
          <w:marTop w:val="0"/>
          <w:marBottom w:val="0"/>
          <w:divBdr>
            <w:top w:val="none" w:sz="0" w:space="0" w:color="auto"/>
            <w:left w:val="none" w:sz="0" w:space="0" w:color="auto"/>
            <w:bottom w:val="none" w:sz="0" w:space="0" w:color="auto"/>
            <w:right w:val="none" w:sz="0" w:space="0" w:color="auto"/>
          </w:divBdr>
        </w:div>
        <w:div w:id="678849408">
          <w:marLeft w:val="0"/>
          <w:marRight w:val="0"/>
          <w:marTop w:val="0"/>
          <w:marBottom w:val="0"/>
          <w:divBdr>
            <w:top w:val="none" w:sz="0" w:space="0" w:color="auto"/>
            <w:left w:val="none" w:sz="0" w:space="0" w:color="auto"/>
            <w:bottom w:val="none" w:sz="0" w:space="0" w:color="auto"/>
            <w:right w:val="none" w:sz="0" w:space="0" w:color="auto"/>
          </w:divBdr>
        </w:div>
        <w:div w:id="897862101">
          <w:marLeft w:val="0"/>
          <w:marRight w:val="0"/>
          <w:marTop w:val="0"/>
          <w:marBottom w:val="0"/>
          <w:divBdr>
            <w:top w:val="none" w:sz="0" w:space="0" w:color="auto"/>
            <w:left w:val="none" w:sz="0" w:space="0" w:color="auto"/>
            <w:bottom w:val="none" w:sz="0" w:space="0" w:color="auto"/>
            <w:right w:val="none" w:sz="0" w:space="0" w:color="auto"/>
          </w:divBdr>
        </w:div>
      </w:divsChild>
    </w:div>
    <w:div w:id="497582078">
      <w:bodyDiv w:val="1"/>
      <w:marLeft w:val="0"/>
      <w:marRight w:val="0"/>
      <w:marTop w:val="0"/>
      <w:marBottom w:val="0"/>
      <w:divBdr>
        <w:top w:val="none" w:sz="0" w:space="0" w:color="auto"/>
        <w:left w:val="none" w:sz="0" w:space="0" w:color="auto"/>
        <w:bottom w:val="none" w:sz="0" w:space="0" w:color="auto"/>
        <w:right w:val="none" w:sz="0" w:space="0" w:color="auto"/>
      </w:divBdr>
      <w:divsChild>
        <w:div w:id="12389107">
          <w:marLeft w:val="0"/>
          <w:marRight w:val="0"/>
          <w:marTop w:val="0"/>
          <w:marBottom w:val="0"/>
          <w:divBdr>
            <w:top w:val="none" w:sz="0" w:space="0" w:color="auto"/>
            <w:left w:val="none" w:sz="0" w:space="0" w:color="auto"/>
            <w:bottom w:val="none" w:sz="0" w:space="0" w:color="auto"/>
            <w:right w:val="none" w:sz="0" w:space="0" w:color="auto"/>
          </w:divBdr>
        </w:div>
      </w:divsChild>
    </w:div>
    <w:div w:id="513694424">
      <w:bodyDiv w:val="1"/>
      <w:marLeft w:val="0"/>
      <w:marRight w:val="0"/>
      <w:marTop w:val="0"/>
      <w:marBottom w:val="0"/>
      <w:divBdr>
        <w:top w:val="none" w:sz="0" w:space="0" w:color="auto"/>
        <w:left w:val="none" w:sz="0" w:space="0" w:color="auto"/>
        <w:bottom w:val="none" w:sz="0" w:space="0" w:color="auto"/>
        <w:right w:val="none" w:sz="0" w:space="0" w:color="auto"/>
      </w:divBdr>
      <w:divsChild>
        <w:div w:id="123239700">
          <w:marLeft w:val="0"/>
          <w:marRight w:val="0"/>
          <w:marTop w:val="0"/>
          <w:marBottom w:val="0"/>
          <w:divBdr>
            <w:top w:val="none" w:sz="0" w:space="0" w:color="auto"/>
            <w:left w:val="none" w:sz="0" w:space="0" w:color="auto"/>
            <w:bottom w:val="none" w:sz="0" w:space="0" w:color="auto"/>
            <w:right w:val="none" w:sz="0" w:space="0" w:color="auto"/>
          </w:divBdr>
        </w:div>
      </w:divsChild>
    </w:div>
    <w:div w:id="523523226">
      <w:bodyDiv w:val="1"/>
      <w:marLeft w:val="0"/>
      <w:marRight w:val="0"/>
      <w:marTop w:val="0"/>
      <w:marBottom w:val="0"/>
      <w:divBdr>
        <w:top w:val="none" w:sz="0" w:space="0" w:color="auto"/>
        <w:left w:val="none" w:sz="0" w:space="0" w:color="auto"/>
        <w:bottom w:val="none" w:sz="0" w:space="0" w:color="auto"/>
        <w:right w:val="none" w:sz="0" w:space="0" w:color="auto"/>
      </w:divBdr>
      <w:divsChild>
        <w:div w:id="1849828766">
          <w:marLeft w:val="0"/>
          <w:marRight w:val="0"/>
          <w:marTop w:val="0"/>
          <w:marBottom w:val="0"/>
          <w:divBdr>
            <w:top w:val="none" w:sz="0" w:space="0" w:color="auto"/>
            <w:left w:val="none" w:sz="0" w:space="0" w:color="auto"/>
            <w:bottom w:val="none" w:sz="0" w:space="0" w:color="auto"/>
            <w:right w:val="none" w:sz="0" w:space="0" w:color="auto"/>
          </w:divBdr>
        </w:div>
      </w:divsChild>
    </w:div>
    <w:div w:id="546844262">
      <w:bodyDiv w:val="1"/>
      <w:marLeft w:val="0"/>
      <w:marRight w:val="0"/>
      <w:marTop w:val="0"/>
      <w:marBottom w:val="0"/>
      <w:divBdr>
        <w:top w:val="none" w:sz="0" w:space="0" w:color="auto"/>
        <w:left w:val="none" w:sz="0" w:space="0" w:color="auto"/>
        <w:bottom w:val="none" w:sz="0" w:space="0" w:color="auto"/>
        <w:right w:val="none" w:sz="0" w:space="0" w:color="auto"/>
      </w:divBdr>
      <w:divsChild>
        <w:div w:id="845364015">
          <w:marLeft w:val="0"/>
          <w:marRight w:val="0"/>
          <w:marTop w:val="0"/>
          <w:marBottom w:val="0"/>
          <w:divBdr>
            <w:top w:val="none" w:sz="0" w:space="0" w:color="auto"/>
            <w:left w:val="none" w:sz="0" w:space="0" w:color="auto"/>
            <w:bottom w:val="none" w:sz="0" w:space="0" w:color="auto"/>
            <w:right w:val="none" w:sz="0" w:space="0" w:color="auto"/>
          </w:divBdr>
        </w:div>
      </w:divsChild>
    </w:div>
    <w:div w:id="559903023">
      <w:bodyDiv w:val="1"/>
      <w:marLeft w:val="0"/>
      <w:marRight w:val="0"/>
      <w:marTop w:val="0"/>
      <w:marBottom w:val="0"/>
      <w:divBdr>
        <w:top w:val="none" w:sz="0" w:space="0" w:color="auto"/>
        <w:left w:val="none" w:sz="0" w:space="0" w:color="auto"/>
        <w:bottom w:val="none" w:sz="0" w:space="0" w:color="auto"/>
        <w:right w:val="none" w:sz="0" w:space="0" w:color="auto"/>
      </w:divBdr>
      <w:divsChild>
        <w:div w:id="1376195469">
          <w:marLeft w:val="0"/>
          <w:marRight w:val="0"/>
          <w:marTop w:val="0"/>
          <w:marBottom w:val="0"/>
          <w:divBdr>
            <w:top w:val="none" w:sz="0" w:space="0" w:color="auto"/>
            <w:left w:val="none" w:sz="0" w:space="0" w:color="auto"/>
            <w:bottom w:val="none" w:sz="0" w:space="0" w:color="auto"/>
            <w:right w:val="none" w:sz="0" w:space="0" w:color="auto"/>
          </w:divBdr>
        </w:div>
      </w:divsChild>
    </w:div>
    <w:div w:id="567808789">
      <w:bodyDiv w:val="1"/>
      <w:marLeft w:val="0"/>
      <w:marRight w:val="0"/>
      <w:marTop w:val="0"/>
      <w:marBottom w:val="0"/>
      <w:divBdr>
        <w:top w:val="none" w:sz="0" w:space="0" w:color="auto"/>
        <w:left w:val="none" w:sz="0" w:space="0" w:color="auto"/>
        <w:bottom w:val="none" w:sz="0" w:space="0" w:color="auto"/>
        <w:right w:val="none" w:sz="0" w:space="0" w:color="auto"/>
      </w:divBdr>
    </w:div>
    <w:div w:id="613945644">
      <w:bodyDiv w:val="1"/>
      <w:marLeft w:val="0"/>
      <w:marRight w:val="0"/>
      <w:marTop w:val="0"/>
      <w:marBottom w:val="0"/>
      <w:divBdr>
        <w:top w:val="none" w:sz="0" w:space="0" w:color="auto"/>
        <w:left w:val="none" w:sz="0" w:space="0" w:color="auto"/>
        <w:bottom w:val="none" w:sz="0" w:space="0" w:color="auto"/>
        <w:right w:val="none" w:sz="0" w:space="0" w:color="auto"/>
      </w:divBdr>
      <w:divsChild>
        <w:div w:id="1290016280">
          <w:marLeft w:val="0"/>
          <w:marRight w:val="0"/>
          <w:marTop w:val="0"/>
          <w:marBottom w:val="0"/>
          <w:divBdr>
            <w:top w:val="none" w:sz="0" w:space="0" w:color="auto"/>
            <w:left w:val="none" w:sz="0" w:space="0" w:color="auto"/>
            <w:bottom w:val="none" w:sz="0" w:space="0" w:color="auto"/>
            <w:right w:val="none" w:sz="0" w:space="0" w:color="auto"/>
          </w:divBdr>
        </w:div>
      </w:divsChild>
    </w:div>
    <w:div w:id="691995655">
      <w:bodyDiv w:val="1"/>
      <w:marLeft w:val="0"/>
      <w:marRight w:val="0"/>
      <w:marTop w:val="0"/>
      <w:marBottom w:val="0"/>
      <w:divBdr>
        <w:top w:val="none" w:sz="0" w:space="0" w:color="auto"/>
        <w:left w:val="none" w:sz="0" w:space="0" w:color="auto"/>
        <w:bottom w:val="none" w:sz="0" w:space="0" w:color="auto"/>
        <w:right w:val="none" w:sz="0" w:space="0" w:color="auto"/>
      </w:divBdr>
      <w:divsChild>
        <w:div w:id="1656910380">
          <w:marLeft w:val="0"/>
          <w:marRight w:val="0"/>
          <w:marTop w:val="0"/>
          <w:marBottom w:val="0"/>
          <w:divBdr>
            <w:top w:val="none" w:sz="0" w:space="0" w:color="auto"/>
            <w:left w:val="none" w:sz="0" w:space="0" w:color="auto"/>
            <w:bottom w:val="none" w:sz="0" w:space="0" w:color="auto"/>
            <w:right w:val="none" w:sz="0" w:space="0" w:color="auto"/>
          </w:divBdr>
        </w:div>
      </w:divsChild>
    </w:div>
    <w:div w:id="726345336">
      <w:bodyDiv w:val="1"/>
      <w:marLeft w:val="0"/>
      <w:marRight w:val="0"/>
      <w:marTop w:val="0"/>
      <w:marBottom w:val="0"/>
      <w:divBdr>
        <w:top w:val="none" w:sz="0" w:space="0" w:color="auto"/>
        <w:left w:val="none" w:sz="0" w:space="0" w:color="auto"/>
        <w:bottom w:val="none" w:sz="0" w:space="0" w:color="auto"/>
        <w:right w:val="none" w:sz="0" w:space="0" w:color="auto"/>
      </w:divBdr>
      <w:divsChild>
        <w:div w:id="1648322145">
          <w:marLeft w:val="0"/>
          <w:marRight w:val="0"/>
          <w:marTop w:val="0"/>
          <w:marBottom w:val="0"/>
          <w:divBdr>
            <w:top w:val="none" w:sz="0" w:space="0" w:color="auto"/>
            <w:left w:val="none" w:sz="0" w:space="0" w:color="auto"/>
            <w:bottom w:val="none" w:sz="0" w:space="0" w:color="auto"/>
            <w:right w:val="none" w:sz="0" w:space="0" w:color="auto"/>
          </w:divBdr>
        </w:div>
      </w:divsChild>
    </w:div>
    <w:div w:id="767309032">
      <w:bodyDiv w:val="1"/>
      <w:marLeft w:val="0"/>
      <w:marRight w:val="0"/>
      <w:marTop w:val="0"/>
      <w:marBottom w:val="0"/>
      <w:divBdr>
        <w:top w:val="none" w:sz="0" w:space="0" w:color="auto"/>
        <w:left w:val="none" w:sz="0" w:space="0" w:color="auto"/>
        <w:bottom w:val="none" w:sz="0" w:space="0" w:color="auto"/>
        <w:right w:val="none" w:sz="0" w:space="0" w:color="auto"/>
      </w:divBdr>
      <w:divsChild>
        <w:div w:id="84500811">
          <w:marLeft w:val="0"/>
          <w:marRight w:val="0"/>
          <w:marTop w:val="0"/>
          <w:marBottom w:val="0"/>
          <w:divBdr>
            <w:top w:val="none" w:sz="0" w:space="0" w:color="auto"/>
            <w:left w:val="none" w:sz="0" w:space="0" w:color="auto"/>
            <w:bottom w:val="none" w:sz="0" w:space="0" w:color="auto"/>
            <w:right w:val="none" w:sz="0" w:space="0" w:color="auto"/>
          </w:divBdr>
        </w:div>
      </w:divsChild>
    </w:div>
    <w:div w:id="780687480">
      <w:bodyDiv w:val="1"/>
      <w:marLeft w:val="0"/>
      <w:marRight w:val="0"/>
      <w:marTop w:val="0"/>
      <w:marBottom w:val="0"/>
      <w:divBdr>
        <w:top w:val="none" w:sz="0" w:space="0" w:color="auto"/>
        <w:left w:val="none" w:sz="0" w:space="0" w:color="auto"/>
        <w:bottom w:val="none" w:sz="0" w:space="0" w:color="auto"/>
        <w:right w:val="none" w:sz="0" w:space="0" w:color="auto"/>
      </w:divBdr>
      <w:divsChild>
        <w:div w:id="817647789">
          <w:marLeft w:val="0"/>
          <w:marRight w:val="0"/>
          <w:marTop w:val="0"/>
          <w:marBottom w:val="0"/>
          <w:divBdr>
            <w:top w:val="none" w:sz="0" w:space="0" w:color="auto"/>
            <w:left w:val="none" w:sz="0" w:space="0" w:color="auto"/>
            <w:bottom w:val="none" w:sz="0" w:space="0" w:color="auto"/>
            <w:right w:val="none" w:sz="0" w:space="0" w:color="auto"/>
          </w:divBdr>
        </w:div>
      </w:divsChild>
    </w:div>
    <w:div w:id="817647162">
      <w:bodyDiv w:val="1"/>
      <w:marLeft w:val="0"/>
      <w:marRight w:val="0"/>
      <w:marTop w:val="0"/>
      <w:marBottom w:val="0"/>
      <w:divBdr>
        <w:top w:val="none" w:sz="0" w:space="0" w:color="auto"/>
        <w:left w:val="none" w:sz="0" w:space="0" w:color="auto"/>
        <w:bottom w:val="none" w:sz="0" w:space="0" w:color="auto"/>
        <w:right w:val="none" w:sz="0" w:space="0" w:color="auto"/>
      </w:divBdr>
      <w:divsChild>
        <w:div w:id="1422023074">
          <w:marLeft w:val="0"/>
          <w:marRight w:val="0"/>
          <w:marTop w:val="0"/>
          <w:marBottom w:val="0"/>
          <w:divBdr>
            <w:top w:val="none" w:sz="0" w:space="0" w:color="auto"/>
            <w:left w:val="none" w:sz="0" w:space="0" w:color="auto"/>
            <w:bottom w:val="none" w:sz="0" w:space="0" w:color="auto"/>
            <w:right w:val="none" w:sz="0" w:space="0" w:color="auto"/>
          </w:divBdr>
        </w:div>
      </w:divsChild>
    </w:div>
    <w:div w:id="822282781">
      <w:bodyDiv w:val="1"/>
      <w:marLeft w:val="0"/>
      <w:marRight w:val="0"/>
      <w:marTop w:val="0"/>
      <w:marBottom w:val="0"/>
      <w:divBdr>
        <w:top w:val="none" w:sz="0" w:space="0" w:color="auto"/>
        <w:left w:val="none" w:sz="0" w:space="0" w:color="auto"/>
        <w:bottom w:val="none" w:sz="0" w:space="0" w:color="auto"/>
        <w:right w:val="none" w:sz="0" w:space="0" w:color="auto"/>
      </w:divBdr>
      <w:divsChild>
        <w:div w:id="1298537048">
          <w:marLeft w:val="0"/>
          <w:marRight w:val="0"/>
          <w:marTop w:val="0"/>
          <w:marBottom w:val="0"/>
          <w:divBdr>
            <w:top w:val="none" w:sz="0" w:space="0" w:color="auto"/>
            <w:left w:val="none" w:sz="0" w:space="0" w:color="auto"/>
            <w:bottom w:val="none" w:sz="0" w:space="0" w:color="auto"/>
            <w:right w:val="none" w:sz="0" w:space="0" w:color="auto"/>
          </w:divBdr>
        </w:div>
      </w:divsChild>
    </w:div>
    <w:div w:id="867521144">
      <w:bodyDiv w:val="1"/>
      <w:marLeft w:val="0"/>
      <w:marRight w:val="0"/>
      <w:marTop w:val="0"/>
      <w:marBottom w:val="0"/>
      <w:divBdr>
        <w:top w:val="none" w:sz="0" w:space="0" w:color="auto"/>
        <w:left w:val="none" w:sz="0" w:space="0" w:color="auto"/>
        <w:bottom w:val="none" w:sz="0" w:space="0" w:color="auto"/>
        <w:right w:val="none" w:sz="0" w:space="0" w:color="auto"/>
      </w:divBdr>
      <w:divsChild>
        <w:div w:id="1203859578">
          <w:marLeft w:val="0"/>
          <w:marRight w:val="0"/>
          <w:marTop w:val="0"/>
          <w:marBottom w:val="0"/>
          <w:divBdr>
            <w:top w:val="none" w:sz="0" w:space="0" w:color="auto"/>
            <w:left w:val="none" w:sz="0" w:space="0" w:color="auto"/>
            <w:bottom w:val="none" w:sz="0" w:space="0" w:color="auto"/>
            <w:right w:val="none" w:sz="0" w:space="0" w:color="auto"/>
          </w:divBdr>
        </w:div>
      </w:divsChild>
    </w:div>
    <w:div w:id="923686181">
      <w:bodyDiv w:val="1"/>
      <w:marLeft w:val="0"/>
      <w:marRight w:val="0"/>
      <w:marTop w:val="0"/>
      <w:marBottom w:val="0"/>
      <w:divBdr>
        <w:top w:val="none" w:sz="0" w:space="0" w:color="auto"/>
        <w:left w:val="none" w:sz="0" w:space="0" w:color="auto"/>
        <w:bottom w:val="none" w:sz="0" w:space="0" w:color="auto"/>
        <w:right w:val="none" w:sz="0" w:space="0" w:color="auto"/>
      </w:divBdr>
    </w:div>
    <w:div w:id="939989190">
      <w:bodyDiv w:val="1"/>
      <w:marLeft w:val="0"/>
      <w:marRight w:val="0"/>
      <w:marTop w:val="0"/>
      <w:marBottom w:val="0"/>
      <w:divBdr>
        <w:top w:val="none" w:sz="0" w:space="0" w:color="auto"/>
        <w:left w:val="none" w:sz="0" w:space="0" w:color="auto"/>
        <w:bottom w:val="none" w:sz="0" w:space="0" w:color="auto"/>
        <w:right w:val="none" w:sz="0" w:space="0" w:color="auto"/>
      </w:divBdr>
      <w:divsChild>
        <w:div w:id="641816330">
          <w:marLeft w:val="0"/>
          <w:marRight w:val="0"/>
          <w:marTop w:val="0"/>
          <w:marBottom w:val="0"/>
          <w:divBdr>
            <w:top w:val="none" w:sz="0" w:space="0" w:color="auto"/>
            <w:left w:val="none" w:sz="0" w:space="0" w:color="auto"/>
            <w:bottom w:val="none" w:sz="0" w:space="0" w:color="auto"/>
            <w:right w:val="none" w:sz="0" w:space="0" w:color="auto"/>
          </w:divBdr>
        </w:div>
      </w:divsChild>
    </w:div>
    <w:div w:id="967860306">
      <w:bodyDiv w:val="1"/>
      <w:marLeft w:val="0"/>
      <w:marRight w:val="0"/>
      <w:marTop w:val="0"/>
      <w:marBottom w:val="0"/>
      <w:divBdr>
        <w:top w:val="none" w:sz="0" w:space="0" w:color="auto"/>
        <w:left w:val="none" w:sz="0" w:space="0" w:color="auto"/>
        <w:bottom w:val="none" w:sz="0" w:space="0" w:color="auto"/>
        <w:right w:val="none" w:sz="0" w:space="0" w:color="auto"/>
      </w:divBdr>
      <w:divsChild>
        <w:div w:id="1093665597">
          <w:marLeft w:val="0"/>
          <w:marRight w:val="0"/>
          <w:marTop w:val="0"/>
          <w:marBottom w:val="0"/>
          <w:divBdr>
            <w:top w:val="none" w:sz="0" w:space="0" w:color="auto"/>
            <w:left w:val="none" w:sz="0" w:space="0" w:color="auto"/>
            <w:bottom w:val="none" w:sz="0" w:space="0" w:color="auto"/>
            <w:right w:val="none" w:sz="0" w:space="0" w:color="auto"/>
          </w:divBdr>
        </w:div>
      </w:divsChild>
    </w:div>
    <w:div w:id="982537909">
      <w:bodyDiv w:val="1"/>
      <w:marLeft w:val="0"/>
      <w:marRight w:val="0"/>
      <w:marTop w:val="0"/>
      <w:marBottom w:val="0"/>
      <w:divBdr>
        <w:top w:val="none" w:sz="0" w:space="0" w:color="auto"/>
        <w:left w:val="none" w:sz="0" w:space="0" w:color="auto"/>
        <w:bottom w:val="none" w:sz="0" w:space="0" w:color="auto"/>
        <w:right w:val="none" w:sz="0" w:space="0" w:color="auto"/>
      </w:divBdr>
      <w:divsChild>
        <w:div w:id="103964110">
          <w:marLeft w:val="0"/>
          <w:marRight w:val="0"/>
          <w:marTop w:val="0"/>
          <w:marBottom w:val="0"/>
          <w:divBdr>
            <w:top w:val="none" w:sz="0" w:space="0" w:color="auto"/>
            <w:left w:val="none" w:sz="0" w:space="0" w:color="auto"/>
            <w:bottom w:val="none" w:sz="0" w:space="0" w:color="auto"/>
            <w:right w:val="none" w:sz="0" w:space="0" w:color="auto"/>
          </w:divBdr>
        </w:div>
      </w:divsChild>
    </w:div>
    <w:div w:id="989673407">
      <w:bodyDiv w:val="1"/>
      <w:marLeft w:val="0"/>
      <w:marRight w:val="0"/>
      <w:marTop w:val="0"/>
      <w:marBottom w:val="0"/>
      <w:divBdr>
        <w:top w:val="none" w:sz="0" w:space="0" w:color="auto"/>
        <w:left w:val="none" w:sz="0" w:space="0" w:color="auto"/>
        <w:bottom w:val="none" w:sz="0" w:space="0" w:color="auto"/>
        <w:right w:val="none" w:sz="0" w:space="0" w:color="auto"/>
      </w:divBdr>
    </w:div>
    <w:div w:id="998382688">
      <w:bodyDiv w:val="1"/>
      <w:marLeft w:val="0"/>
      <w:marRight w:val="0"/>
      <w:marTop w:val="0"/>
      <w:marBottom w:val="0"/>
      <w:divBdr>
        <w:top w:val="none" w:sz="0" w:space="0" w:color="auto"/>
        <w:left w:val="none" w:sz="0" w:space="0" w:color="auto"/>
        <w:bottom w:val="none" w:sz="0" w:space="0" w:color="auto"/>
        <w:right w:val="none" w:sz="0" w:space="0" w:color="auto"/>
      </w:divBdr>
      <w:divsChild>
        <w:div w:id="876430292">
          <w:marLeft w:val="0"/>
          <w:marRight w:val="0"/>
          <w:marTop w:val="0"/>
          <w:marBottom w:val="0"/>
          <w:divBdr>
            <w:top w:val="none" w:sz="0" w:space="0" w:color="auto"/>
            <w:left w:val="none" w:sz="0" w:space="0" w:color="auto"/>
            <w:bottom w:val="none" w:sz="0" w:space="0" w:color="auto"/>
            <w:right w:val="none" w:sz="0" w:space="0" w:color="auto"/>
          </w:divBdr>
        </w:div>
      </w:divsChild>
    </w:div>
    <w:div w:id="1009218678">
      <w:bodyDiv w:val="1"/>
      <w:marLeft w:val="0"/>
      <w:marRight w:val="0"/>
      <w:marTop w:val="0"/>
      <w:marBottom w:val="0"/>
      <w:divBdr>
        <w:top w:val="none" w:sz="0" w:space="0" w:color="auto"/>
        <w:left w:val="none" w:sz="0" w:space="0" w:color="auto"/>
        <w:bottom w:val="none" w:sz="0" w:space="0" w:color="auto"/>
        <w:right w:val="none" w:sz="0" w:space="0" w:color="auto"/>
      </w:divBdr>
    </w:div>
    <w:div w:id="1123379359">
      <w:bodyDiv w:val="1"/>
      <w:marLeft w:val="0"/>
      <w:marRight w:val="0"/>
      <w:marTop w:val="0"/>
      <w:marBottom w:val="0"/>
      <w:divBdr>
        <w:top w:val="none" w:sz="0" w:space="0" w:color="auto"/>
        <w:left w:val="none" w:sz="0" w:space="0" w:color="auto"/>
        <w:bottom w:val="none" w:sz="0" w:space="0" w:color="auto"/>
        <w:right w:val="none" w:sz="0" w:space="0" w:color="auto"/>
      </w:divBdr>
      <w:divsChild>
        <w:div w:id="651105653">
          <w:marLeft w:val="0"/>
          <w:marRight w:val="0"/>
          <w:marTop w:val="0"/>
          <w:marBottom w:val="0"/>
          <w:divBdr>
            <w:top w:val="none" w:sz="0" w:space="0" w:color="auto"/>
            <w:left w:val="none" w:sz="0" w:space="0" w:color="auto"/>
            <w:bottom w:val="none" w:sz="0" w:space="0" w:color="auto"/>
            <w:right w:val="none" w:sz="0" w:space="0" w:color="auto"/>
          </w:divBdr>
        </w:div>
      </w:divsChild>
    </w:div>
    <w:div w:id="1137799112">
      <w:bodyDiv w:val="1"/>
      <w:marLeft w:val="0"/>
      <w:marRight w:val="0"/>
      <w:marTop w:val="0"/>
      <w:marBottom w:val="0"/>
      <w:divBdr>
        <w:top w:val="none" w:sz="0" w:space="0" w:color="auto"/>
        <w:left w:val="none" w:sz="0" w:space="0" w:color="auto"/>
        <w:bottom w:val="none" w:sz="0" w:space="0" w:color="auto"/>
        <w:right w:val="none" w:sz="0" w:space="0" w:color="auto"/>
      </w:divBdr>
      <w:divsChild>
        <w:div w:id="602230857">
          <w:marLeft w:val="0"/>
          <w:marRight w:val="0"/>
          <w:marTop w:val="0"/>
          <w:marBottom w:val="0"/>
          <w:divBdr>
            <w:top w:val="none" w:sz="0" w:space="0" w:color="auto"/>
            <w:left w:val="none" w:sz="0" w:space="0" w:color="auto"/>
            <w:bottom w:val="none" w:sz="0" w:space="0" w:color="auto"/>
            <w:right w:val="none" w:sz="0" w:space="0" w:color="auto"/>
          </w:divBdr>
        </w:div>
        <w:div w:id="838540869">
          <w:marLeft w:val="0"/>
          <w:marRight w:val="0"/>
          <w:marTop w:val="0"/>
          <w:marBottom w:val="0"/>
          <w:divBdr>
            <w:top w:val="none" w:sz="0" w:space="0" w:color="auto"/>
            <w:left w:val="none" w:sz="0" w:space="0" w:color="auto"/>
            <w:bottom w:val="none" w:sz="0" w:space="0" w:color="auto"/>
            <w:right w:val="none" w:sz="0" w:space="0" w:color="auto"/>
          </w:divBdr>
        </w:div>
        <w:div w:id="1205749034">
          <w:marLeft w:val="0"/>
          <w:marRight w:val="0"/>
          <w:marTop w:val="0"/>
          <w:marBottom w:val="0"/>
          <w:divBdr>
            <w:top w:val="none" w:sz="0" w:space="0" w:color="auto"/>
            <w:left w:val="none" w:sz="0" w:space="0" w:color="auto"/>
            <w:bottom w:val="none" w:sz="0" w:space="0" w:color="auto"/>
            <w:right w:val="none" w:sz="0" w:space="0" w:color="auto"/>
          </w:divBdr>
        </w:div>
        <w:div w:id="135875407">
          <w:marLeft w:val="0"/>
          <w:marRight w:val="0"/>
          <w:marTop w:val="0"/>
          <w:marBottom w:val="0"/>
          <w:divBdr>
            <w:top w:val="none" w:sz="0" w:space="0" w:color="auto"/>
            <w:left w:val="none" w:sz="0" w:space="0" w:color="auto"/>
            <w:bottom w:val="none" w:sz="0" w:space="0" w:color="auto"/>
            <w:right w:val="none" w:sz="0" w:space="0" w:color="auto"/>
          </w:divBdr>
        </w:div>
      </w:divsChild>
    </w:div>
    <w:div w:id="1236670816">
      <w:bodyDiv w:val="1"/>
      <w:marLeft w:val="0"/>
      <w:marRight w:val="0"/>
      <w:marTop w:val="0"/>
      <w:marBottom w:val="0"/>
      <w:divBdr>
        <w:top w:val="none" w:sz="0" w:space="0" w:color="auto"/>
        <w:left w:val="none" w:sz="0" w:space="0" w:color="auto"/>
        <w:bottom w:val="none" w:sz="0" w:space="0" w:color="auto"/>
        <w:right w:val="none" w:sz="0" w:space="0" w:color="auto"/>
      </w:divBdr>
    </w:div>
    <w:div w:id="1253928145">
      <w:bodyDiv w:val="1"/>
      <w:marLeft w:val="0"/>
      <w:marRight w:val="0"/>
      <w:marTop w:val="0"/>
      <w:marBottom w:val="0"/>
      <w:divBdr>
        <w:top w:val="none" w:sz="0" w:space="0" w:color="auto"/>
        <w:left w:val="none" w:sz="0" w:space="0" w:color="auto"/>
        <w:bottom w:val="none" w:sz="0" w:space="0" w:color="auto"/>
        <w:right w:val="none" w:sz="0" w:space="0" w:color="auto"/>
      </w:divBdr>
      <w:divsChild>
        <w:div w:id="2125492324">
          <w:marLeft w:val="0"/>
          <w:marRight w:val="0"/>
          <w:marTop w:val="0"/>
          <w:marBottom w:val="0"/>
          <w:divBdr>
            <w:top w:val="none" w:sz="0" w:space="0" w:color="auto"/>
            <w:left w:val="none" w:sz="0" w:space="0" w:color="auto"/>
            <w:bottom w:val="none" w:sz="0" w:space="0" w:color="auto"/>
            <w:right w:val="none" w:sz="0" w:space="0" w:color="auto"/>
          </w:divBdr>
        </w:div>
      </w:divsChild>
    </w:div>
    <w:div w:id="1292832805">
      <w:bodyDiv w:val="1"/>
      <w:marLeft w:val="0"/>
      <w:marRight w:val="0"/>
      <w:marTop w:val="0"/>
      <w:marBottom w:val="0"/>
      <w:divBdr>
        <w:top w:val="none" w:sz="0" w:space="0" w:color="auto"/>
        <w:left w:val="none" w:sz="0" w:space="0" w:color="auto"/>
        <w:bottom w:val="none" w:sz="0" w:space="0" w:color="auto"/>
        <w:right w:val="none" w:sz="0" w:space="0" w:color="auto"/>
      </w:divBdr>
      <w:divsChild>
        <w:div w:id="1624113294">
          <w:marLeft w:val="0"/>
          <w:marRight w:val="0"/>
          <w:marTop w:val="0"/>
          <w:marBottom w:val="0"/>
          <w:divBdr>
            <w:top w:val="none" w:sz="0" w:space="0" w:color="auto"/>
            <w:left w:val="none" w:sz="0" w:space="0" w:color="auto"/>
            <w:bottom w:val="none" w:sz="0" w:space="0" w:color="auto"/>
            <w:right w:val="none" w:sz="0" w:space="0" w:color="auto"/>
          </w:divBdr>
        </w:div>
      </w:divsChild>
    </w:div>
    <w:div w:id="1308052527">
      <w:bodyDiv w:val="1"/>
      <w:marLeft w:val="0"/>
      <w:marRight w:val="0"/>
      <w:marTop w:val="0"/>
      <w:marBottom w:val="0"/>
      <w:divBdr>
        <w:top w:val="none" w:sz="0" w:space="0" w:color="auto"/>
        <w:left w:val="none" w:sz="0" w:space="0" w:color="auto"/>
        <w:bottom w:val="none" w:sz="0" w:space="0" w:color="auto"/>
        <w:right w:val="none" w:sz="0" w:space="0" w:color="auto"/>
      </w:divBdr>
      <w:divsChild>
        <w:div w:id="1797718128">
          <w:marLeft w:val="0"/>
          <w:marRight w:val="0"/>
          <w:marTop w:val="0"/>
          <w:marBottom w:val="0"/>
          <w:divBdr>
            <w:top w:val="none" w:sz="0" w:space="0" w:color="auto"/>
            <w:left w:val="none" w:sz="0" w:space="0" w:color="auto"/>
            <w:bottom w:val="none" w:sz="0" w:space="0" w:color="auto"/>
            <w:right w:val="none" w:sz="0" w:space="0" w:color="auto"/>
          </w:divBdr>
        </w:div>
      </w:divsChild>
    </w:div>
    <w:div w:id="1310473503">
      <w:bodyDiv w:val="1"/>
      <w:marLeft w:val="0"/>
      <w:marRight w:val="0"/>
      <w:marTop w:val="0"/>
      <w:marBottom w:val="0"/>
      <w:divBdr>
        <w:top w:val="none" w:sz="0" w:space="0" w:color="auto"/>
        <w:left w:val="none" w:sz="0" w:space="0" w:color="auto"/>
        <w:bottom w:val="none" w:sz="0" w:space="0" w:color="auto"/>
        <w:right w:val="none" w:sz="0" w:space="0" w:color="auto"/>
      </w:divBdr>
      <w:divsChild>
        <w:div w:id="1131173887">
          <w:marLeft w:val="0"/>
          <w:marRight w:val="0"/>
          <w:marTop w:val="0"/>
          <w:marBottom w:val="0"/>
          <w:divBdr>
            <w:top w:val="none" w:sz="0" w:space="0" w:color="auto"/>
            <w:left w:val="none" w:sz="0" w:space="0" w:color="auto"/>
            <w:bottom w:val="none" w:sz="0" w:space="0" w:color="auto"/>
            <w:right w:val="none" w:sz="0" w:space="0" w:color="auto"/>
          </w:divBdr>
        </w:div>
        <w:div w:id="1889950730">
          <w:marLeft w:val="0"/>
          <w:marRight w:val="0"/>
          <w:marTop w:val="0"/>
          <w:marBottom w:val="0"/>
          <w:divBdr>
            <w:top w:val="none" w:sz="0" w:space="0" w:color="auto"/>
            <w:left w:val="none" w:sz="0" w:space="0" w:color="auto"/>
            <w:bottom w:val="none" w:sz="0" w:space="0" w:color="auto"/>
            <w:right w:val="none" w:sz="0" w:space="0" w:color="auto"/>
          </w:divBdr>
        </w:div>
        <w:div w:id="442457498">
          <w:marLeft w:val="0"/>
          <w:marRight w:val="0"/>
          <w:marTop w:val="0"/>
          <w:marBottom w:val="0"/>
          <w:divBdr>
            <w:top w:val="none" w:sz="0" w:space="0" w:color="auto"/>
            <w:left w:val="none" w:sz="0" w:space="0" w:color="auto"/>
            <w:bottom w:val="none" w:sz="0" w:space="0" w:color="auto"/>
            <w:right w:val="none" w:sz="0" w:space="0" w:color="auto"/>
          </w:divBdr>
        </w:div>
        <w:div w:id="312876940">
          <w:marLeft w:val="0"/>
          <w:marRight w:val="0"/>
          <w:marTop w:val="0"/>
          <w:marBottom w:val="0"/>
          <w:divBdr>
            <w:top w:val="none" w:sz="0" w:space="0" w:color="auto"/>
            <w:left w:val="none" w:sz="0" w:space="0" w:color="auto"/>
            <w:bottom w:val="none" w:sz="0" w:space="0" w:color="auto"/>
            <w:right w:val="none" w:sz="0" w:space="0" w:color="auto"/>
          </w:divBdr>
        </w:div>
      </w:divsChild>
    </w:div>
    <w:div w:id="1383021879">
      <w:bodyDiv w:val="1"/>
      <w:marLeft w:val="0"/>
      <w:marRight w:val="0"/>
      <w:marTop w:val="0"/>
      <w:marBottom w:val="0"/>
      <w:divBdr>
        <w:top w:val="none" w:sz="0" w:space="0" w:color="auto"/>
        <w:left w:val="none" w:sz="0" w:space="0" w:color="auto"/>
        <w:bottom w:val="none" w:sz="0" w:space="0" w:color="auto"/>
        <w:right w:val="none" w:sz="0" w:space="0" w:color="auto"/>
      </w:divBdr>
      <w:divsChild>
        <w:div w:id="1564364317">
          <w:marLeft w:val="0"/>
          <w:marRight w:val="0"/>
          <w:marTop w:val="0"/>
          <w:marBottom w:val="0"/>
          <w:divBdr>
            <w:top w:val="none" w:sz="0" w:space="0" w:color="auto"/>
            <w:left w:val="none" w:sz="0" w:space="0" w:color="auto"/>
            <w:bottom w:val="none" w:sz="0" w:space="0" w:color="auto"/>
            <w:right w:val="none" w:sz="0" w:space="0" w:color="auto"/>
          </w:divBdr>
        </w:div>
      </w:divsChild>
    </w:div>
    <w:div w:id="1416124578">
      <w:bodyDiv w:val="1"/>
      <w:marLeft w:val="0"/>
      <w:marRight w:val="0"/>
      <w:marTop w:val="0"/>
      <w:marBottom w:val="0"/>
      <w:divBdr>
        <w:top w:val="none" w:sz="0" w:space="0" w:color="auto"/>
        <w:left w:val="none" w:sz="0" w:space="0" w:color="auto"/>
        <w:bottom w:val="none" w:sz="0" w:space="0" w:color="auto"/>
        <w:right w:val="none" w:sz="0" w:space="0" w:color="auto"/>
      </w:divBdr>
    </w:div>
    <w:div w:id="1470779470">
      <w:bodyDiv w:val="1"/>
      <w:marLeft w:val="0"/>
      <w:marRight w:val="0"/>
      <w:marTop w:val="0"/>
      <w:marBottom w:val="0"/>
      <w:divBdr>
        <w:top w:val="none" w:sz="0" w:space="0" w:color="auto"/>
        <w:left w:val="none" w:sz="0" w:space="0" w:color="auto"/>
        <w:bottom w:val="none" w:sz="0" w:space="0" w:color="auto"/>
        <w:right w:val="none" w:sz="0" w:space="0" w:color="auto"/>
      </w:divBdr>
      <w:divsChild>
        <w:div w:id="2039890127">
          <w:marLeft w:val="0"/>
          <w:marRight w:val="0"/>
          <w:marTop w:val="0"/>
          <w:marBottom w:val="0"/>
          <w:divBdr>
            <w:top w:val="none" w:sz="0" w:space="0" w:color="auto"/>
            <w:left w:val="none" w:sz="0" w:space="0" w:color="auto"/>
            <w:bottom w:val="none" w:sz="0" w:space="0" w:color="auto"/>
            <w:right w:val="none" w:sz="0" w:space="0" w:color="auto"/>
          </w:divBdr>
        </w:div>
      </w:divsChild>
    </w:div>
    <w:div w:id="1524395889">
      <w:bodyDiv w:val="1"/>
      <w:marLeft w:val="0"/>
      <w:marRight w:val="0"/>
      <w:marTop w:val="0"/>
      <w:marBottom w:val="0"/>
      <w:divBdr>
        <w:top w:val="none" w:sz="0" w:space="0" w:color="auto"/>
        <w:left w:val="none" w:sz="0" w:space="0" w:color="auto"/>
        <w:bottom w:val="none" w:sz="0" w:space="0" w:color="auto"/>
        <w:right w:val="none" w:sz="0" w:space="0" w:color="auto"/>
      </w:divBdr>
      <w:divsChild>
        <w:div w:id="457836917">
          <w:marLeft w:val="0"/>
          <w:marRight w:val="0"/>
          <w:marTop w:val="0"/>
          <w:marBottom w:val="0"/>
          <w:divBdr>
            <w:top w:val="none" w:sz="0" w:space="0" w:color="auto"/>
            <w:left w:val="none" w:sz="0" w:space="0" w:color="auto"/>
            <w:bottom w:val="none" w:sz="0" w:space="0" w:color="auto"/>
            <w:right w:val="none" w:sz="0" w:space="0" w:color="auto"/>
          </w:divBdr>
        </w:div>
      </w:divsChild>
    </w:div>
    <w:div w:id="1531336178">
      <w:bodyDiv w:val="1"/>
      <w:marLeft w:val="0"/>
      <w:marRight w:val="0"/>
      <w:marTop w:val="0"/>
      <w:marBottom w:val="0"/>
      <w:divBdr>
        <w:top w:val="none" w:sz="0" w:space="0" w:color="auto"/>
        <w:left w:val="none" w:sz="0" w:space="0" w:color="auto"/>
        <w:bottom w:val="none" w:sz="0" w:space="0" w:color="auto"/>
        <w:right w:val="none" w:sz="0" w:space="0" w:color="auto"/>
      </w:divBdr>
      <w:divsChild>
        <w:div w:id="1109277195">
          <w:marLeft w:val="0"/>
          <w:marRight w:val="0"/>
          <w:marTop w:val="0"/>
          <w:marBottom w:val="0"/>
          <w:divBdr>
            <w:top w:val="none" w:sz="0" w:space="0" w:color="auto"/>
            <w:left w:val="none" w:sz="0" w:space="0" w:color="auto"/>
            <w:bottom w:val="none" w:sz="0" w:space="0" w:color="auto"/>
            <w:right w:val="none" w:sz="0" w:space="0" w:color="auto"/>
          </w:divBdr>
        </w:div>
      </w:divsChild>
    </w:div>
    <w:div w:id="1579250970">
      <w:bodyDiv w:val="1"/>
      <w:marLeft w:val="0"/>
      <w:marRight w:val="0"/>
      <w:marTop w:val="0"/>
      <w:marBottom w:val="0"/>
      <w:divBdr>
        <w:top w:val="none" w:sz="0" w:space="0" w:color="auto"/>
        <w:left w:val="none" w:sz="0" w:space="0" w:color="auto"/>
        <w:bottom w:val="none" w:sz="0" w:space="0" w:color="auto"/>
        <w:right w:val="none" w:sz="0" w:space="0" w:color="auto"/>
      </w:divBdr>
      <w:divsChild>
        <w:div w:id="981538576">
          <w:marLeft w:val="0"/>
          <w:marRight w:val="0"/>
          <w:marTop w:val="0"/>
          <w:marBottom w:val="0"/>
          <w:divBdr>
            <w:top w:val="none" w:sz="0" w:space="0" w:color="auto"/>
            <w:left w:val="none" w:sz="0" w:space="0" w:color="auto"/>
            <w:bottom w:val="none" w:sz="0" w:space="0" w:color="auto"/>
            <w:right w:val="none" w:sz="0" w:space="0" w:color="auto"/>
          </w:divBdr>
        </w:div>
      </w:divsChild>
    </w:div>
    <w:div w:id="1726223494">
      <w:bodyDiv w:val="1"/>
      <w:marLeft w:val="0"/>
      <w:marRight w:val="0"/>
      <w:marTop w:val="0"/>
      <w:marBottom w:val="0"/>
      <w:divBdr>
        <w:top w:val="none" w:sz="0" w:space="0" w:color="auto"/>
        <w:left w:val="none" w:sz="0" w:space="0" w:color="auto"/>
        <w:bottom w:val="none" w:sz="0" w:space="0" w:color="auto"/>
        <w:right w:val="none" w:sz="0" w:space="0" w:color="auto"/>
      </w:divBdr>
      <w:divsChild>
        <w:div w:id="87775935">
          <w:marLeft w:val="0"/>
          <w:marRight w:val="0"/>
          <w:marTop w:val="0"/>
          <w:marBottom w:val="0"/>
          <w:divBdr>
            <w:top w:val="none" w:sz="0" w:space="0" w:color="auto"/>
            <w:left w:val="none" w:sz="0" w:space="0" w:color="auto"/>
            <w:bottom w:val="none" w:sz="0" w:space="0" w:color="auto"/>
            <w:right w:val="none" w:sz="0" w:space="0" w:color="auto"/>
          </w:divBdr>
        </w:div>
      </w:divsChild>
    </w:div>
    <w:div w:id="1749886755">
      <w:bodyDiv w:val="1"/>
      <w:marLeft w:val="0"/>
      <w:marRight w:val="0"/>
      <w:marTop w:val="0"/>
      <w:marBottom w:val="0"/>
      <w:divBdr>
        <w:top w:val="none" w:sz="0" w:space="0" w:color="auto"/>
        <w:left w:val="none" w:sz="0" w:space="0" w:color="auto"/>
        <w:bottom w:val="none" w:sz="0" w:space="0" w:color="auto"/>
        <w:right w:val="none" w:sz="0" w:space="0" w:color="auto"/>
      </w:divBdr>
    </w:div>
    <w:div w:id="1782383416">
      <w:bodyDiv w:val="1"/>
      <w:marLeft w:val="0"/>
      <w:marRight w:val="0"/>
      <w:marTop w:val="0"/>
      <w:marBottom w:val="0"/>
      <w:divBdr>
        <w:top w:val="none" w:sz="0" w:space="0" w:color="auto"/>
        <w:left w:val="none" w:sz="0" w:space="0" w:color="auto"/>
        <w:bottom w:val="none" w:sz="0" w:space="0" w:color="auto"/>
        <w:right w:val="none" w:sz="0" w:space="0" w:color="auto"/>
      </w:divBdr>
    </w:div>
    <w:div w:id="1816291694">
      <w:bodyDiv w:val="1"/>
      <w:marLeft w:val="0"/>
      <w:marRight w:val="0"/>
      <w:marTop w:val="0"/>
      <w:marBottom w:val="0"/>
      <w:divBdr>
        <w:top w:val="none" w:sz="0" w:space="0" w:color="auto"/>
        <w:left w:val="none" w:sz="0" w:space="0" w:color="auto"/>
        <w:bottom w:val="none" w:sz="0" w:space="0" w:color="auto"/>
        <w:right w:val="none" w:sz="0" w:space="0" w:color="auto"/>
      </w:divBdr>
      <w:divsChild>
        <w:div w:id="2081831512">
          <w:marLeft w:val="0"/>
          <w:marRight w:val="0"/>
          <w:marTop w:val="0"/>
          <w:marBottom w:val="0"/>
          <w:divBdr>
            <w:top w:val="none" w:sz="0" w:space="0" w:color="auto"/>
            <w:left w:val="none" w:sz="0" w:space="0" w:color="auto"/>
            <w:bottom w:val="none" w:sz="0" w:space="0" w:color="auto"/>
            <w:right w:val="none" w:sz="0" w:space="0" w:color="auto"/>
          </w:divBdr>
        </w:div>
      </w:divsChild>
    </w:div>
    <w:div w:id="1817406471">
      <w:bodyDiv w:val="1"/>
      <w:marLeft w:val="0"/>
      <w:marRight w:val="0"/>
      <w:marTop w:val="0"/>
      <w:marBottom w:val="0"/>
      <w:divBdr>
        <w:top w:val="none" w:sz="0" w:space="0" w:color="auto"/>
        <w:left w:val="none" w:sz="0" w:space="0" w:color="auto"/>
        <w:bottom w:val="none" w:sz="0" w:space="0" w:color="auto"/>
        <w:right w:val="none" w:sz="0" w:space="0" w:color="auto"/>
      </w:divBdr>
      <w:divsChild>
        <w:div w:id="8214660">
          <w:marLeft w:val="0"/>
          <w:marRight w:val="0"/>
          <w:marTop w:val="0"/>
          <w:marBottom w:val="0"/>
          <w:divBdr>
            <w:top w:val="none" w:sz="0" w:space="0" w:color="auto"/>
            <w:left w:val="none" w:sz="0" w:space="0" w:color="auto"/>
            <w:bottom w:val="none" w:sz="0" w:space="0" w:color="auto"/>
            <w:right w:val="none" w:sz="0" w:space="0" w:color="auto"/>
          </w:divBdr>
        </w:div>
      </w:divsChild>
    </w:div>
    <w:div w:id="1827477317">
      <w:bodyDiv w:val="1"/>
      <w:marLeft w:val="0"/>
      <w:marRight w:val="0"/>
      <w:marTop w:val="0"/>
      <w:marBottom w:val="0"/>
      <w:divBdr>
        <w:top w:val="none" w:sz="0" w:space="0" w:color="auto"/>
        <w:left w:val="none" w:sz="0" w:space="0" w:color="auto"/>
        <w:bottom w:val="none" w:sz="0" w:space="0" w:color="auto"/>
        <w:right w:val="none" w:sz="0" w:space="0" w:color="auto"/>
      </w:divBdr>
      <w:divsChild>
        <w:div w:id="2076777970">
          <w:marLeft w:val="0"/>
          <w:marRight w:val="0"/>
          <w:marTop w:val="0"/>
          <w:marBottom w:val="0"/>
          <w:divBdr>
            <w:top w:val="none" w:sz="0" w:space="0" w:color="auto"/>
            <w:left w:val="none" w:sz="0" w:space="0" w:color="auto"/>
            <w:bottom w:val="none" w:sz="0" w:space="0" w:color="auto"/>
            <w:right w:val="none" w:sz="0" w:space="0" w:color="auto"/>
          </w:divBdr>
        </w:div>
      </w:divsChild>
    </w:div>
    <w:div w:id="1909458986">
      <w:bodyDiv w:val="1"/>
      <w:marLeft w:val="0"/>
      <w:marRight w:val="0"/>
      <w:marTop w:val="0"/>
      <w:marBottom w:val="0"/>
      <w:divBdr>
        <w:top w:val="none" w:sz="0" w:space="0" w:color="auto"/>
        <w:left w:val="none" w:sz="0" w:space="0" w:color="auto"/>
        <w:bottom w:val="none" w:sz="0" w:space="0" w:color="auto"/>
        <w:right w:val="none" w:sz="0" w:space="0" w:color="auto"/>
      </w:divBdr>
    </w:div>
    <w:div w:id="1996758482">
      <w:bodyDiv w:val="1"/>
      <w:marLeft w:val="0"/>
      <w:marRight w:val="0"/>
      <w:marTop w:val="0"/>
      <w:marBottom w:val="0"/>
      <w:divBdr>
        <w:top w:val="none" w:sz="0" w:space="0" w:color="auto"/>
        <w:left w:val="none" w:sz="0" w:space="0" w:color="auto"/>
        <w:bottom w:val="none" w:sz="0" w:space="0" w:color="auto"/>
        <w:right w:val="none" w:sz="0" w:space="0" w:color="auto"/>
      </w:divBdr>
      <w:divsChild>
        <w:div w:id="60297922">
          <w:marLeft w:val="0"/>
          <w:marRight w:val="0"/>
          <w:marTop w:val="0"/>
          <w:marBottom w:val="0"/>
          <w:divBdr>
            <w:top w:val="none" w:sz="0" w:space="0" w:color="auto"/>
            <w:left w:val="none" w:sz="0" w:space="0" w:color="auto"/>
            <w:bottom w:val="none" w:sz="0" w:space="0" w:color="auto"/>
            <w:right w:val="none" w:sz="0" w:space="0" w:color="auto"/>
          </w:divBdr>
        </w:div>
        <w:div w:id="848720632">
          <w:marLeft w:val="0"/>
          <w:marRight w:val="0"/>
          <w:marTop w:val="0"/>
          <w:marBottom w:val="0"/>
          <w:divBdr>
            <w:top w:val="none" w:sz="0" w:space="0" w:color="auto"/>
            <w:left w:val="none" w:sz="0" w:space="0" w:color="auto"/>
            <w:bottom w:val="none" w:sz="0" w:space="0" w:color="auto"/>
            <w:right w:val="none" w:sz="0" w:space="0" w:color="auto"/>
          </w:divBdr>
        </w:div>
        <w:div w:id="1069763207">
          <w:marLeft w:val="0"/>
          <w:marRight w:val="0"/>
          <w:marTop w:val="0"/>
          <w:marBottom w:val="0"/>
          <w:divBdr>
            <w:top w:val="none" w:sz="0" w:space="0" w:color="auto"/>
            <w:left w:val="none" w:sz="0" w:space="0" w:color="auto"/>
            <w:bottom w:val="none" w:sz="0" w:space="0" w:color="auto"/>
            <w:right w:val="none" w:sz="0" w:space="0" w:color="auto"/>
          </w:divBdr>
        </w:div>
        <w:div w:id="841705619">
          <w:marLeft w:val="0"/>
          <w:marRight w:val="0"/>
          <w:marTop w:val="0"/>
          <w:marBottom w:val="0"/>
          <w:divBdr>
            <w:top w:val="none" w:sz="0" w:space="0" w:color="auto"/>
            <w:left w:val="none" w:sz="0" w:space="0" w:color="auto"/>
            <w:bottom w:val="none" w:sz="0" w:space="0" w:color="auto"/>
            <w:right w:val="none" w:sz="0" w:space="0" w:color="auto"/>
          </w:divBdr>
        </w:div>
      </w:divsChild>
    </w:div>
    <w:div w:id="1997298594">
      <w:bodyDiv w:val="1"/>
      <w:marLeft w:val="0"/>
      <w:marRight w:val="0"/>
      <w:marTop w:val="0"/>
      <w:marBottom w:val="0"/>
      <w:divBdr>
        <w:top w:val="none" w:sz="0" w:space="0" w:color="auto"/>
        <w:left w:val="none" w:sz="0" w:space="0" w:color="auto"/>
        <w:bottom w:val="none" w:sz="0" w:space="0" w:color="auto"/>
        <w:right w:val="none" w:sz="0" w:space="0" w:color="auto"/>
      </w:divBdr>
      <w:divsChild>
        <w:div w:id="1615287702">
          <w:marLeft w:val="0"/>
          <w:marRight w:val="0"/>
          <w:marTop w:val="0"/>
          <w:marBottom w:val="0"/>
          <w:divBdr>
            <w:top w:val="none" w:sz="0" w:space="0" w:color="auto"/>
            <w:left w:val="none" w:sz="0" w:space="0" w:color="auto"/>
            <w:bottom w:val="none" w:sz="0" w:space="0" w:color="auto"/>
            <w:right w:val="none" w:sz="0" w:space="0" w:color="auto"/>
          </w:divBdr>
        </w:div>
      </w:divsChild>
    </w:div>
    <w:div w:id="2043940582">
      <w:bodyDiv w:val="1"/>
      <w:marLeft w:val="0"/>
      <w:marRight w:val="0"/>
      <w:marTop w:val="0"/>
      <w:marBottom w:val="0"/>
      <w:divBdr>
        <w:top w:val="none" w:sz="0" w:space="0" w:color="auto"/>
        <w:left w:val="none" w:sz="0" w:space="0" w:color="auto"/>
        <w:bottom w:val="none" w:sz="0" w:space="0" w:color="auto"/>
        <w:right w:val="none" w:sz="0" w:space="0" w:color="auto"/>
      </w:divBdr>
      <w:divsChild>
        <w:div w:id="1717505149">
          <w:marLeft w:val="0"/>
          <w:marRight w:val="0"/>
          <w:marTop w:val="0"/>
          <w:marBottom w:val="0"/>
          <w:divBdr>
            <w:top w:val="none" w:sz="0" w:space="0" w:color="auto"/>
            <w:left w:val="none" w:sz="0" w:space="0" w:color="auto"/>
            <w:bottom w:val="none" w:sz="0" w:space="0" w:color="auto"/>
            <w:right w:val="none" w:sz="0" w:space="0" w:color="auto"/>
          </w:divBdr>
        </w:div>
        <w:div w:id="403994245">
          <w:marLeft w:val="0"/>
          <w:marRight w:val="0"/>
          <w:marTop w:val="0"/>
          <w:marBottom w:val="0"/>
          <w:divBdr>
            <w:top w:val="none" w:sz="0" w:space="0" w:color="auto"/>
            <w:left w:val="none" w:sz="0" w:space="0" w:color="auto"/>
            <w:bottom w:val="none" w:sz="0" w:space="0" w:color="auto"/>
            <w:right w:val="none" w:sz="0" w:space="0" w:color="auto"/>
          </w:divBdr>
        </w:div>
      </w:divsChild>
    </w:div>
    <w:div w:id="2082362384">
      <w:bodyDiv w:val="1"/>
      <w:marLeft w:val="0"/>
      <w:marRight w:val="0"/>
      <w:marTop w:val="0"/>
      <w:marBottom w:val="0"/>
      <w:divBdr>
        <w:top w:val="none" w:sz="0" w:space="0" w:color="auto"/>
        <w:left w:val="none" w:sz="0" w:space="0" w:color="auto"/>
        <w:bottom w:val="none" w:sz="0" w:space="0" w:color="auto"/>
        <w:right w:val="none" w:sz="0" w:space="0" w:color="auto"/>
      </w:divBdr>
      <w:divsChild>
        <w:div w:id="80866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rcid.org/0000-0002-2640-2265"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11252</Words>
  <Characters>64140</Characters>
  <Application>Microsoft Office Word</Application>
  <DocSecurity>0</DocSecurity>
  <Lines>534</Lines>
  <Paragraphs>150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Victoria Alvarez Sánchez</dc:creator>
  <cp:keywords/>
  <dc:description/>
  <cp:lastModifiedBy>Na Ma</cp:lastModifiedBy>
  <cp:revision>3</cp:revision>
  <cp:lastPrinted>2018-02-24T16:52:00Z</cp:lastPrinted>
  <dcterms:created xsi:type="dcterms:W3CDTF">2018-06-16T05:34:00Z</dcterms:created>
  <dcterms:modified xsi:type="dcterms:W3CDTF">2018-06-16T05:34:00Z</dcterms:modified>
</cp:coreProperties>
</file>