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EE" w:rsidRPr="00754439" w:rsidRDefault="000F1FEE" w:rsidP="000F1FEE">
      <w:pPr>
        <w:spacing w:line="360" w:lineRule="auto"/>
        <w:jc w:val="both"/>
        <w:rPr>
          <w:rFonts w:ascii="Book Antiqua" w:hAnsi="Book Antiqua" w:cs="Times New Roman"/>
        </w:rPr>
      </w:pPr>
    </w:p>
    <w:p w:rsidR="000F1FEE" w:rsidRPr="00754439" w:rsidRDefault="000F1FEE" w:rsidP="000F1FEE">
      <w:pPr>
        <w:spacing w:line="360" w:lineRule="auto"/>
        <w:jc w:val="both"/>
        <w:rPr>
          <w:rFonts w:ascii="Book Antiqua" w:hAnsi="Book Antiqua" w:cs="Times New Roman"/>
        </w:rPr>
      </w:pPr>
      <w:r w:rsidRPr="00754439">
        <w:rPr>
          <w:rFonts w:ascii="Book Antiqua" w:hAnsi="Book Antiqua" w:cs="Times New Roman"/>
        </w:rPr>
        <w:t xml:space="preserve">Supplemental Table 1: Odds ratio for SVR12 </w:t>
      </w:r>
    </w:p>
    <w:tbl>
      <w:tblPr>
        <w:tblStyle w:val="PlainTable41"/>
        <w:tblW w:w="8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560"/>
        <w:gridCol w:w="2340"/>
      </w:tblGrid>
      <w:tr w:rsidR="000F1FEE" w:rsidRPr="00754439" w:rsidTr="008E2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Unadjusted OR (95% CI)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Adjusted OR (95% CI)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Age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1.02 (1.00-1.05)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1.04 (1.00-1.07)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Race/Ethnicity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White</w:t>
            </w:r>
            <w:r w:rsidRPr="00754439">
              <w:rPr>
                <w:rFonts w:ascii="Book Antiqua" w:hAnsi="Book Antiqua" w:cs="Arial"/>
                <w:vertAlign w:val="superscript"/>
              </w:rPr>
              <w:t>†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1.32 (0.90-1.94)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African American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0.77 (0.54-1.11)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0.43 (0.27-0.69)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Hispanic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0.69 (0.43-1.09)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0.73 (0.33-1.64)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Asian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0.89 (0.11-7.44)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0.35 (0.04-3.43)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Other</w:t>
            </w:r>
          </w:p>
        </w:tc>
        <w:tc>
          <w:tcPr>
            <w:tcW w:w="256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0.88 (0.19-4.01)</w:t>
            </w:r>
          </w:p>
        </w:tc>
        <w:tc>
          <w:tcPr>
            <w:tcW w:w="234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Treatment Naïve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1.44 (0.95-2.17)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1.46 (0.90-2.37)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HCV Genotype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1a</w:t>
            </w:r>
            <w:r w:rsidRPr="00754439">
              <w:rPr>
                <w:rFonts w:ascii="Book Antiqua" w:hAnsi="Book Antiqua" w:cs="Arial"/>
                <w:vertAlign w:val="superscript"/>
              </w:rPr>
              <w:t>†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1.18 (0.82-1.69)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1b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1.43 (0.92-2.22)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1.02 (0.54-1.92)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0.5 (0.29-0.88)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2.47 (0.25-24.5)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0.46 (0.26-0.83)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0.32 (0.09-1.04)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754439">
              <w:rPr>
                <w:rFonts w:ascii="Book Antiqua" w:eastAsia="Times New Roman" w:hAnsi="Book Antiqua" w:cs="Times New Roman"/>
              </w:rPr>
              <w:t>4</w:t>
            </w:r>
            <w:r w:rsidRPr="00754439">
              <w:rPr>
                <w:rFonts w:ascii="Book Antiqua" w:hAnsi="Book Antiqua" w:cs="Arial"/>
                <w:vertAlign w:val="superscript"/>
              </w:rPr>
              <w:t>‡</w:t>
            </w:r>
          </w:p>
        </w:tc>
        <w:tc>
          <w:tcPr>
            <w:tcW w:w="256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  <w:tc>
          <w:tcPr>
            <w:tcW w:w="234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6</w:t>
            </w:r>
            <w:r w:rsidRPr="00754439">
              <w:rPr>
                <w:rFonts w:ascii="Book Antiqua" w:hAnsi="Book Antiqua" w:cs="Arial"/>
                <w:vertAlign w:val="superscript"/>
              </w:rPr>
              <w:t>‡</w:t>
            </w:r>
          </w:p>
        </w:tc>
        <w:tc>
          <w:tcPr>
            <w:tcW w:w="256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  <w:tc>
          <w:tcPr>
            <w:tcW w:w="234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 xml:space="preserve">Fib4 </w:t>
            </w:r>
            <w:r w:rsidRPr="00754439">
              <w:rPr>
                <w:rFonts w:ascii="Book Antiqua" w:eastAsia="Arial Unicode MS" w:hAnsi="Book Antiqua" w:cs="Arial Unicode MS"/>
              </w:rPr>
              <w:t>≥</w:t>
            </w:r>
            <w:r w:rsidRPr="00754439">
              <w:rPr>
                <w:rFonts w:ascii="Book Antiqua" w:eastAsia="Times New Roman" w:hAnsi="Book Antiqua" w:cs="Times New Roman"/>
              </w:rPr>
              <w:t>3.25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0.4 (0.28-0.58)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0.40 (0.26-0.68)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Treatment Regimen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0F1FEE">
            <w:pPr>
              <w:spacing w:line="360" w:lineRule="auto"/>
              <w:ind w:firstLineChars="203" w:firstLine="489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754439">
              <w:rPr>
                <w:rFonts w:ascii="Book Antiqua" w:eastAsia="Times New Roman" w:hAnsi="Book Antiqua" w:cs="Times New Roman"/>
              </w:rPr>
              <w:t>PrOD</w:t>
            </w:r>
            <w:proofErr w:type="spellEnd"/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1.66 (0.58-4.70)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0.76 (0.19-2.91)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0F1FEE">
            <w:pPr>
              <w:spacing w:line="360" w:lineRule="auto"/>
              <w:ind w:firstLineChars="203" w:firstLine="489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754439">
              <w:rPr>
                <w:rFonts w:ascii="Book Antiqua" w:eastAsia="Times New Roman" w:hAnsi="Book Antiqua" w:cs="Times New Roman"/>
              </w:rPr>
              <w:t>PrOD</w:t>
            </w:r>
            <w:proofErr w:type="spellEnd"/>
            <w:r w:rsidRPr="00754439">
              <w:rPr>
                <w:rFonts w:ascii="Book Antiqua" w:eastAsia="Times New Roman" w:hAnsi="Book Antiqua" w:cs="Times New Roman"/>
              </w:rPr>
              <w:t>/ Ribavirin (RBV)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0.86 (0.54-1.35)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0.41 (0.18-0.95)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0F1FEE">
            <w:pPr>
              <w:spacing w:line="360" w:lineRule="auto"/>
              <w:ind w:firstLineChars="203" w:firstLine="489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proofErr w:type="spellStart"/>
            <w:r w:rsidRPr="00754439">
              <w:rPr>
                <w:rFonts w:ascii="Book Antiqua" w:eastAsia="Times New Roman" w:hAnsi="Book Antiqua" w:cs="Times New Roman"/>
              </w:rPr>
              <w:t>Sofosbuvir</w:t>
            </w:r>
            <w:proofErr w:type="spellEnd"/>
            <w:r w:rsidRPr="00754439">
              <w:rPr>
                <w:rFonts w:ascii="Book Antiqua" w:eastAsia="Times New Roman" w:hAnsi="Book Antiqua" w:cs="Times New Roman"/>
              </w:rPr>
              <w:t>/</w:t>
            </w:r>
            <w:proofErr w:type="spellStart"/>
            <w:r w:rsidRPr="00754439">
              <w:rPr>
                <w:rFonts w:ascii="Book Antiqua" w:eastAsia="Times New Roman" w:hAnsi="Book Antiqua" w:cs="Times New Roman"/>
              </w:rPr>
              <w:t>Ledipasvir</w:t>
            </w:r>
            <w:proofErr w:type="spellEnd"/>
            <w:r w:rsidRPr="00754439">
              <w:rPr>
                <w:rFonts w:ascii="Book Antiqua" w:hAnsi="Book Antiqua" w:cs="Arial"/>
                <w:vertAlign w:val="superscript"/>
              </w:rPr>
              <w:t>†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2.94 (1.83-4.68)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0F1FEE">
            <w:pPr>
              <w:spacing w:line="360" w:lineRule="auto"/>
              <w:ind w:firstLineChars="203" w:firstLine="489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754439">
              <w:rPr>
                <w:rFonts w:ascii="Book Antiqua" w:eastAsia="Times New Roman" w:hAnsi="Book Antiqua" w:cs="Times New Roman"/>
              </w:rPr>
              <w:t>Sofosbuvir</w:t>
            </w:r>
            <w:proofErr w:type="spellEnd"/>
            <w:r w:rsidRPr="00754439">
              <w:rPr>
                <w:rFonts w:ascii="Book Antiqua" w:eastAsia="Times New Roman" w:hAnsi="Book Antiqua" w:cs="Times New Roman"/>
              </w:rPr>
              <w:t>/</w:t>
            </w:r>
            <w:proofErr w:type="spellStart"/>
            <w:r w:rsidRPr="00754439">
              <w:rPr>
                <w:rFonts w:ascii="Book Antiqua" w:eastAsia="Times New Roman" w:hAnsi="Book Antiqua" w:cs="Times New Roman"/>
              </w:rPr>
              <w:t>Ledipasvir</w:t>
            </w:r>
            <w:proofErr w:type="spellEnd"/>
            <w:r w:rsidRPr="00754439">
              <w:rPr>
                <w:rFonts w:ascii="Book Antiqua" w:eastAsia="Times New Roman" w:hAnsi="Book Antiqua" w:cs="Times New Roman"/>
              </w:rPr>
              <w:t xml:space="preserve"> /RBV 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0.96 (0.57-1.62)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0.80 (0.29-2.18)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754439">
              <w:rPr>
                <w:rFonts w:ascii="Book Antiqua" w:eastAsia="Times New Roman" w:hAnsi="Book Antiqua" w:cs="Times New Roman"/>
              </w:rPr>
              <w:t>Sofosbuvir</w:t>
            </w:r>
            <w:proofErr w:type="spellEnd"/>
            <w:r w:rsidRPr="00754439">
              <w:rPr>
                <w:rFonts w:ascii="Book Antiqua" w:eastAsia="Times New Roman" w:hAnsi="Book Antiqua" w:cs="Times New Roman"/>
              </w:rPr>
              <w:t>/RBV</w:t>
            </w:r>
          </w:p>
        </w:tc>
        <w:tc>
          <w:tcPr>
            <w:tcW w:w="256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0.41 (0.25-0.67)</w:t>
            </w:r>
          </w:p>
        </w:tc>
        <w:tc>
          <w:tcPr>
            <w:tcW w:w="234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0.05 (0.01-0.47)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proofErr w:type="spellStart"/>
            <w:r w:rsidRPr="00754439">
              <w:rPr>
                <w:rFonts w:ascii="Book Antiqua" w:eastAsia="Times New Roman" w:hAnsi="Book Antiqua" w:cs="Times New Roman"/>
              </w:rPr>
              <w:t>Sofosbuvir</w:t>
            </w:r>
            <w:proofErr w:type="spellEnd"/>
            <w:r w:rsidRPr="00754439">
              <w:rPr>
                <w:rFonts w:ascii="Book Antiqua" w:eastAsia="Times New Roman" w:hAnsi="Book Antiqua" w:cs="Times New Roman"/>
              </w:rPr>
              <w:t>/</w:t>
            </w:r>
            <w:proofErr w:type="spellStart"/>
            <w:r w:rsidRPr="00754439">
              <w:rPr>
                <w:rFonts w:ascii="Book Antiqua" w:eastAsia="Times New Roman" w:hAnsi="Book Antiqua" w:cs="Times New Roman"/>
              </w:rPr>
              <w:t>Simeprevir</w:t>
            </w:r>
            <w:proofErr w:type="spellEnd"/>
            <w:r w:rsidRPr="00754439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56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0.52 (0.34-0.79)</w:t>
            </w:r>
          </w:p>
        </w:tc>
        <w:tc>
          <w:tcPr>
            <w:tcW w:w="234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0.10 (0.02-0.58)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lastRenderedPageBreak/>
              <w:t xml:space="preserve">HIV 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1.44 (0.43-4.80)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1.77 (0.48-6.65)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Duration of Treatment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8 weeks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2.41 (1.35-4.28)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0.84 (0.33-2.12)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vertAlign w:val="superscript"/>
              </w:rPr>
            </w:pPr>
            <w:r w:rsidRPr="00754439">
              <w:rPr>
                <w:rFonts w:ascii="Book Antiqua" w:eastAsia="Times New Roman" w:hAnsi="Book Antiqua" w:cs="Times New Roman"/>
              </w:rPr>
              <w:t>12 weeks</w:t>
            </w:r>
            <w:r w:rsidRPr="00754439">
              <w:rPr>
                <w:rFonts w:ascii="Book Antiqua" w:hAnsi="Book Antiqua" w:cs="Arial"/>
                <w:vertAlign w:val="superscript"/>
              </w:rPr>
              <w:t>†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0.83 (0.55-1.27)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--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16 weeks</w:t>
            </w:r>
          </w:p>
        </w:tc>
        <w:tc>
          <w:tcPr>
            <w:tcW w:w="256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0.21 (0.10-0.44)</w:t>
            </w:r>
          </w:p>
        </w:tc>
        <w:tc>
          <w:tcPr>
            <w:tcW w:w="234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0.24 (0.08-0.73)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24 weeks</w:t>
            </w:r>
          </w:p>
        </w:tc>
        <w:tc>
          <w:tcPr>
            <w:tcW w:w="256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0.77 (0.33-1.77)</w:t>
            </w:r>
          </w:p>
        </w:tc>
        <w:tc>
          <w:tcPr>
            <w:tcW w:w="2340" w:type="dxa"/>
            <w:noWrap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3.43 (0.50-23.9)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Obese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0.90 (0.62-1.31)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1.25 (0.82-1.90)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HTN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1.06 (0.74-1.52)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0.81 (0.51-1.28)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HLD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1.42 (0.97-2.10)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1.31 (0.87-1.97)</w:t>
            </w:r>
          </w:p>
        </w:tc>
      </w:tr>
      <w:tr w:rsidR="000F1FEE" w:rsidRPr="00754439" w:rsidTr="008E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T2DM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0.72 (0.48-1.10)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0.82 (0.55-1.09)</w:t>
            </w:r>
          </w:p>
        </w:tc>
      </w:tr>
      <w:tr w:rsidR="000F1FEE" w:rsidRPr="00754439" w:rsidTr="008E29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Metabolic Syndrome</w:t>
            </w:r>
          </w:p>
        </w:tc>
        <w:tc>
          <w:tcPr>
            <w:tcW w:w="256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1.04 (0.68-1.60)</w:t>
            </w:r>
          </w:p>
        </w:tc>
        <w:tc>
          <w:tcPr>
            <w:tcW w:w="2340" w:type="dxa"/>
            <w:noWrap/>
            <w:hideMark/>
          </w:tcPr>
          <w:p w:rsidR="000F1FEE" w:rsidRPr="00754439" w:rsidRDefault="000F1FEE" w:rsidP="008E290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</w:rPr>
            </w:pPr>
            <w:r w:rsidRPr="00754439">
              <w:rPr>
                <w:rFonts w:ascii="Book Antiqua" w:eastAsia="Times New Roman" w:hAnsi="Book Antiqua" w:cs="Times New Roman"/>
              </w:rPr>
              <w:t>1.81 (0.75-4.37)</w:t>
            </w:r>
          </w:p>
        </w:tc>
      </w:tr>
    </w:tbl>
    <w:p w:rsidR="000F1FEE" w:rsidRPr="00754439" w:rsidRDefault="000F1FEE" w:rsidP="000F1FEE">
      <w:pPr>
        <w:spacing w:line="360" w:lineRule="auto"/>
        <w:jc w:val="both"/>
        <w:rPr>
          <w:rFonts w:ascii="Book Antiqua" w:hAnsi="Book Antiqua" w:cs="Times New Roman"/>
        </w:rPr>
      </w:pPr>
      <w:r w:rsidRPr="00754439">
        <w:rPr>
          <w:rFonts w:ascii="Book Antiqua" w:hAnsi="Book Antiqua" w:cs="Times New Roman"/>
        </w:rPr>
        <w:t xml:space="preserve">HCV- Hepatitis C Virus; HIV-Human Immunodeficiency Virus; HTN-Hypertension; HLD-Hyperlipidemia, OR-Odds Ratio; SVR12- Sustained </w:t>
      </w:r>
      <w:proofErr w:type="spellStart"/>
      <w:r w:rsidRPr="00754439">
        <w:rPr>
          <w:rFonts w:ascii="Book Antiqua" w:hAnsi="Book Antiqua" w:cs="Times New Roman"/>
        </w:rPr>
        <w:t>Virologic</w:t>
      </w:r>
      <w:proofErr w:type="spellEnd"/>
      <w:r w:rsidRPr="00754439">
        <w:rPr>
          <w:rFonts w:ascii="Book Antiqua" w:hAnsi="Book Antiqua" w:cs="Times New Roman"/>
        </w:rPr>
        <w:t xml:space="preserve"> Response 12 weeks post-treatment, </w:t>
      </w:r>
      <w:proofErr w:type="spellStart"/>
      <w:r w:rsidRPr="00754439">
        <w:rPr>
          <w:rFonts w:ascii="Book Antiqua" w:hAnsi="Book Antiqua" w:cs="Times New Roman"/>
        </w:rPr>
        <w:t>PrOD</w:t>
      </w:r>
      <w:proofErr w:type="spellEnd"/>
      <w:r w:rsidRPr="00754439">
        <w:rPr>
          <w:rFonts w:ascii="Book Antiqua" w:hAnsi="Book Antiqua" w:cs="Times New Roman"/>
        </w:rPr>
        <w:t xml:space="preserve">- </w:t>
      </w:r>
      <w:proofErr w:type="spellStart"/>
      <w:r w:rsidRPr="00754439">
        <w:rPr>
          <w:rStyle w:val="drugsectionlink"/>
          <w:rFonts w:ascii="Book Antiqua" w:hAnsi="Book Antiqua"/>
        </w:rPr>
        <w:t>Ombitasvir</w:t>
      </w:r>
      <w:proofErr w:type="spellEnd"/>
      <w:r w:rsidRPr="00754439">
        <w:rPr>
          <w:rStyle w:val="drugsectionlink"/>
          <w:rFonts w:ascii="Book Antiqua" w:hAnsi="Book Antiqua"/>
        </w:rPr>
        <w:t>/</w:t>
      </w:r>
      <w:proofErr w:type="spellStart"/>
      <w:r w:rsidRPr="00754439">
        <w:rPr>
          <w:rStyle w:val="drugsectionlink"/>
          <w:rFonts w:ascii="Book Antiqua" w:hAnsi="Book Antiqua"/>
        </w:rPr>
        <w:t>Paritaprevir</w:t>
      </w:r>
      <w:proofErr w:type="spellEnd"/>
      <w:r w:rsidRPr="00754439">
        <w:rPr>
          <w:rStyle w:val="drugsectionlink"/>
          <w:rFonts w:ascii="Book Antiqua" w:hAnsi="Book Antiqua"/>
        </w:rPr>
        <w:t xml:space="preserve">/Ritonavir/ </w:t>
      </w:r>
      <w:proofErr w:type="spellStart"/>
      <w:r w:rsidRPr="00754439">
        <w:rPr>
          <w:rStyle w:val="drugsectionlink"/>
          <w:rFonts w:ascii="Book Antiqua" w:hAnsi="Book Antiqua"/>
        </w:rPr>
        <w:t>Dasabuvir</w:t>
      </w:r>
      <w:proofErr w:type="spellEnd"/>
      <w:r w:rsidRPr="00754439">
        <w:rPr>
          <w:rStyle w:val="drugsectionlink"/>
          <w:rFonts w:ascii="Book Antiqua" w:hAnsi="Book Antiqua"/>
        </w:rPr>
        <w:t>,</w:t>
      </w:r>
    </w:p>
    <w:p w:rsidR="000F1FEE" w:rsidRPr="00754439" w:rsidRDefault="000F1FEE" w:rsidP="000F1FEE">
      <w:pPr>
        <w:spacing w:line="360" w:lineRule="auto"/>
        <w:jc w:val="both"/>
        <w:rPr>
          <w:rFonts w:ascii="Book Antiqua" w:hAnsi="Book Antiqua" w:cs="Times New Roman"/>
        </w:rPr>
      </w:pPr>
      <w:r w:rsidRPr="00754439">
        <w:rPr>
          <w:rFonts w:ascii="Book Antiqua" w:hAnsi="Book Antiqua" w:cs="Arial"/>
          <w:vertAlign w:val="superscript"/>
        </w:rPr>
        <w:t>†</w:t>
      </w:r>
      <w:r w:rsidRPr="00754439">
        <w:rPr>
          <w:rFonts w:ascii="Book Antiqua" w:hAnsi="Book Antiqua" w:cs="Times New Roman"/>
        </w:rPr>
        <w:t xml:space="preserve">Reference group, </w:t>
      </w:r>
      <w:r w:rsidRPr="00754439">
        <w:rPr>
          <w:rFonts w:ascii="Book Antiqua" w:hAnsi="Book Antiqua" w:cs="Arial"/>
          <w:vertAlign w:val="superscript"/>
        </w:rPr>
        <w:t>‡</w:t>
      </w:r>
      <w:proofErr w:type="gramStart"/>
      <w:r w:rsidRPr="00754439">
        <w:rPr>
          <w:rFonts w:ascii="Book Antiqua" w:hAnsi="Book Antiqua" w:cs="Times New Roman"/>
        </w:rPr>
        <w:t>Had</w:t>
      </w:r>
      <w:proofErr w:type="gramEnd"/>
      <w:r w:rsidRPr="00754439">
        <w:rPr>
          <w:rFonts w:ascii="Book Antiqua" w:hAnsi="Book Antiqua" w:cs="Times New Roman"/>
        </w:rPr>
        <w:t xml:space="preserve"> no failures and so OR could not be calculated</w:t>
      </w:r>
    </w:p>
    <w:p w:rsidR="000F1FEE" w:rsidRPr="00754439" w:rsidRDefault="000F1FEE" w:rsidP="000F1FEE">
      <w:pPr>
        <w:spacing w:line="360" w:lineRule="auto"/>
        <w:jc w:val="both"/>
        <w:rPr>
          <w:rFonts w:ascii="Book Antiqua" w:hAnsi="Book Antiqua"/>
        </w:rPr>
      </w:pPr>
    </w:p>
    <w:p w:rsidR="000F1FEE" w:rsidRPr="00754439" w:rsidRDefault="000F1FEE" w:rsidP="000F1FEE">
      <w:pPr>
        <w:spacing w:line="360" w:lineRule="auto"/>
        <w:jc w:val="both"/>
        <w:rPr>
          <w:rFonts w:ascii="Book Antiqua" w:hAnsi="Book Antiqua" w:cs="Times New Roman"/>
        </w:rPr>
      </w:pPr>
    </w:p>
    <w:p w:rsidR="000F1FEE" w:rsidRPr="00754439" w:rsidRDefault="000F1FEE" w:rsidP="000F1FEE">
      <w:pPr>
        <w:spacing w:line="360" w:lineRule="auto"/>
        <w:jc w:val="both"/>
        <w:rPr>
          <w:rFonts w:ascii="Book Antiqua" w:hAnsi="Book Antiqua" w:cs="Times New Roman"/>
        </w:rPr>
      </w:pPr>
    </w:p>
    <w:p w:rsidR="000F1FEE" w:rsidRPr="00754439" w:rsidRDefault="000F1FEE" w:rsidP="000F1FEE">
      <w:pPr>
        <w:spacing w:line="360" w:lineRule="auto"/>
        <w:jc w:val="both"/>
        <w:rPr>
          <w:rFonts w:ascii="Book Antiqua" w:hAnsi="Book Antiqua" w:cs="Times New Roman"/>
        </w:rPr>
      </w:pPr>
    </w:p>
    <w:p w:rsidR="00A21A0D" w:rsidRDefault="001F43A7">
      <w:bookmarkStart w:id="0" w:name="_GoBack"/>
      <w:bookmarkEnd w:id="0"/>
    </w:p>
    <w:sectPr w:rsidR="00A21A0D" w:rsidSect="00A80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A7" w:rsidRDefault="001F43A7" w:rsidP="000F1FEE">
      <w:r>
        <w:separator/>
      </w:r>
    </w:p>
  </w:endnote>
  <w:endnote w:type="continuationSeparator" w:id="0">
    <w:p w:rsidR="001F43A7" w:rsidRDefault="001F43A7" w:rsidP="000F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A7" w:rsidRDefault="001F43A7" w:rsidP="000F1FEE">
      <w:r>
        <w:separator/>
      </w:r>
    </w:p>
  </w:footnote>
  <w:footnote w:type="continuationSeparator" w:id="0">
    <w:p w:rsidR="001F43A7" w:rsidRDefault="001F43A7" w:rsidP="000F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D"/>
    <w:rsid w:val="000F1FEE"/>
    <w:rsid w:val="00120467"/>
    <w:rsid w:val="0012082D"/>
    <w:rsid w:val="001F43A7"/>
    <w:rsid w:val="003B28A5"/>
    <w:rsid w:val="006A0F16"/>
    <w:rsid w:val="009E3F09"/>
    <w:rsid w:val="00B1351D"/>
    <w:rsid w:val="00BC49EB"/>
    <w:rsid w:val="00C64941"/>
    <w:rsid w:val="00F2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EE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F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F1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FEE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F1FEE"/>
    <w:rPr>
      <w:sz w:val="18"/>
      <w:szCs w:val="18"/>
    </w:rPr>
  </w:style>
  <w:style w:type="table" w:customStyle="1" w:styleId="PlainTable41">
    <w:name w:val="Plain Table 41"/>
    <w:basedOn w:val="a1"/>
    <w:uiPriority w:val="99"/>
    <w:rsid w:val="000F1FEE"/>
    <w:rPr>
      <w:kern w:val="0"/>
      <w:sz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character" w:customStyle="1" w:styleId="drugsectionlink">
    <w:name w:val="drug_section_link"/>
    <w:basedOn w:val="a0"/>
    <w:rsid w:val="000F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EE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FE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0F1F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FEE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0F1FEE"/>
    <w:rPr>
      <w:sz w:val="18"/>
      <w:szCs w:val="18"/>
    </w:rPr>
  </w:style>
  <w:style w:type="table" w:customStyle="1" w:styleId="PlainTable41">
    <w:name w:val="Plain Table 41"/>
    <w:basedOn w:val="a1"/>
    <w:uiPriority w:val="99"/>
    <w:rsid w:val="000F1FEE"/>
    <w:rPr>
      <w:kern w:val="0"/>
      <w:sz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BC" w:themeFill="background1" w:themeFillShade="F2"/>
      </w:tcPr>
    </w:tblStylePr>
    <w:tblStylePr w:type="band1Horz">
      <w:tblPr/>
      <w:tcPr>
        <w:shd w:val="clear" w:color="auto" w:fill="B6E7BC" w:themeFill="background1" w:themeFillShade="F2"/>
      </w:tcPr>
    </w:tblStylePr>
  </w:style>
  <w:style w:type="character" w:customStyle="1" w:styleId="drugsectionlink">
    <w:name w:val="drug_section_link"/>
    <w:basedOn w:val="a0"/>
    <w:rsid w:val="000F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微软中国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2018-05-18T01:29:00Z</dcterms:created>
  <dcterms:modified xsi:type="dcterms:W3CDTF">2018-05-18T01:29:00Z</dcterms:modified>
</cp:coreProperties>
</file>