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69685" w14:textId="77777777" w:rsidR="00FB22A9" w:rsidRPr="00343AFF" w:rsidRDefault="00FB22A9" w:rsidP="00FB22A9">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343AFF">
        <w:rPr>
          <w:rFonts w:ascii="Book Antiqua" w:hAnsi="Book Antiqua" w:cs="Times New Roman"/>
          <w:b/>
          <w:color w:val="auto"/>
          <w:sz w:val="24"/>
          <w:szCs w:val="24"/>
          <w:highlight w:val="white"/>
          <w:lang w:val="en-US" w:eastAsia="zh-CN"/>
        </w:rPr>
        <w:t xml:space="preserve">Name of </w:t>
      </w:r>
      <w:r w:rsidRPr="00343AFF">
        <w:rPr>
          <w:rFonts w:ascii="Book Antiqua" w:hAnsi="Book Antiqua" w:cs="Times New Roman"/>
          <w:b/>
          <w:caps/>
          <w:color w:val="auto"/>
          <w:sz w:val="24"/>
          <w:szCs w:val="24"/>
          <w:highlight w:val="white"/>
          <w:lang w:val="en-US" w:eastAsia="zh-CN"/>
        </w:rPr>
        <w:t>j</w:t>
      </w:r>
      <w:r w:rsidRPr="00343AFF">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343AFF">
        <w:rPr>
          <w:rFonts w:ascii="Book Antiqua" w:hAnsi="Book Antiqua" w:cs="Times New Roman"/>
          <w:b/>
          <w:i/>
          <w:color w:val="auto"/>
          <w:sz w:val="24"/>
          <w:szCs w:val="24"/>
          <w:highlight w:val="white"/>
          <w:lang w:val="en-US" w:eastAsia="zh-CN"/>
        </w:rPr>
        <w:t>World Journal of Gastroenterology</w:t>
      </w:r>
      <w:bookmarkEnd w:id="19"/>
      <w:bookmarkEnd w:id="20"/>
    </w:p>
    <w:p w14:paraId="6DE9294E" w14:textId="1752AF3E" w:rsidR="00FB22A9" w:rsidRPr="00343AFF" w:rsidRDefault="00FB22A9" w:rsidP="00FB22A9">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343AFF">
        <w:rPr>
          <w:rFonts w:ascii="Book Antiqua" w:hAnsi="Book Antiqua" w:cs="Times New Roman"/>
          <w:b/>
          <w:color w:val="auto"/>
          <w:sz w:val="24"/>
          <w:szCs w:val="24"/>
          <w:highlight w:val="white"/>
          <w:lang w:eastAsia="zh-CN"/>
        </w:rPr>
        <w:t>Manuscript NO:</w:t>
      </w:r>
      <w:bookmarkEnd w:id="21"/>
      <w:bookmarkEnd w:id="22"/>
      <w:bookmarkEnd w:id="23"/>
      <w:bookmarkEnd w:id="24"/>
      <w:r w:rsidRPr="00343AFF">
        <w:rPr>
          <w:rFonts w:ascii="Book Antiqua" w:hAnsi="Book Antiqua" w:cs="Times New Roman"/>
          <w:b/>
          <w:color w:val="auto"/>
          <w:sz w:val="24"/>
          <w:szCs w:val="24"/>
          <w:highlight w:val="white"/>
          <w:lang w:eastAsia="zh-CN"/>
        </w:rPr>
        <w:t xml:space="preserve"> </w:t>
      </w:r>
      <w:r w:rsidR="0039004A" w:rsidRPr="00343AFF">
        <w:rPr>
          <w:rFonts w:ascii="Book Antiqua" w:hAnsi="Book Antiqua" w:cs="Times New Roman"/>
          <w:b/>
          <w:color w:val="auto"/>
          <w:sz w:val="24"/>
          <w:szCs w:val="24"/>
          <w:highlight w:val="white"/>
          <w:lang w:eastAsia="zh-CN"/>
        </w:rPr>
        <w:t>39561</w:t>
      </w:r>
    </w:p>
    <w:p w14:paraId="24E28FFF" w14:textId="62D2C170" w:rsidR="00FB22A9" w:rsidRPr="004E72CC" w:rsidRDefault="00FB22A9" w:rsidP="00FB22A9">
      <w:pPr>
        <w:snapToGrid w:val="0"/>
        <w:spacing w:line="360" w:lineRule="auto"/>
        <w:jc w:val="both"/>
        <w:rPr>
          <w:rFonts w:ascii="Book Antiqua" w:hAnsi="Book Antiqua"/>
          <w:b/>
          <w:lang w:val="it-IT"/>
        </w:rPr>
      </w:pPr>
      <w:bookmarkStart w:id="27" w:name="OLE_LINK511"/>
      <w:bookmarkStart w:id="28" w:name="OLE_LINK512"/>
      <w:bookmarkEnd w:id="25"/>
      <w:bookmarkEnd w:id="26"/>
      <w:r w:rsidRPr="00343AFF">
        <w:rPr>
          <w:rFonts w:ascii="Book Antiqua" w:hAnsi="Book Antiqua"/>
          <w:b/>
          <w:highlight w:val="white"/>
          <w:lang w:val="it-IT"/>
        </w:rPr>
        <w:t xml:space="preserve">Manuscript </w:t>
      </w:r>
      <w:r w:rsidRPr="004E72CC">
        <w:rPr>
          <w:rFonts w:ascii="Book Antiqua" w:hAnsi="Book Antiqua"/>
          <w:b/>
          <w:caps/>
          <w:highlight w:val="white"/>
        </w:rPr>
        <w:t>t</w:t>
      </w:r>
      <w:r w:rsidRPr="004E72CC">
        <w:rPr>
          <w:rFonts w:ascii="Book Antiqua" w:hAnsi="Book Antiqua"/>
          <w:b/>
          <w:highlight w:val="white"/>
          <w:lang w:val="it-IT"/>
        </w:rPr>
        <w:t>ype</w:t>
      </w:r>
      <w:r w:rsidRPr="004E72CC">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Pr="004E72CC">
        <w:rPr>
          <w:rFonts w:ascii="Book Antiqua" w:hAnsi="Book Antiqua"/>
          <w:b/>
          <w:lang w:val="it-IT"/>
        </w:rPr>
        <w:t xml:space="preserve"> </w:t>
      </w:r>
      <w:r w:rsidR="004E72CC" w:rsidRPr="004E72CC">
        <w:rPr>
          <w:rFonts w:ascii="Book Antiqua" w:hAnsi="Book Antiqua"/>
          <w:b/>
          <w:color w:val="000000"/>
          <w:lang w:val="it-IT"/>
        </w:rPr>
        <w:t>ORIGINAL ARTICLE</w:t>
      </w:r>
    </w:p>
    <w:bookmarkEnd w:id="11"/>
    <w:bookmarkEnd w:id="12"/>
    <w:bookmarkEnd w:id="13"/>
    <w:bookmarkEnd w:id="14"/>
    <w:bookmarkEnd w:id="15"/>
    <w:bookmarkEnd w:id="16"/>
    <w:bookmarkEnd w:id="17"/>
    <w:bookmarkEnd w:id="18"/>
    <w:bookmarkEnd w:id="27"/>
    <w:bookmarkEnd w:id="28"/>
    <w:p w14:paraId="4065024E" w14:textId="77777777" w:rsidR="005E4A4E" w:rsidRPr="004E72CC" w:rsidRDefault="005E4A4E" w:rsidP="008A0A74">
      <w:pPr>
        <w:snapToGrid w:val="0"/>
        <w:spacing w:line="360" w:lineRule="auto"/>
        <w:jc w:val="both"/>
        <w:rPr>
          <w:rFonts w:ascii="Book Antiqua" w:hAnsi="Book Antiqua"/>
          <w:b/>
          <w:lang w:val="en-US"/>
        </w:rPr>
      </w:pPr>
    </w:p>
    <w:p w14:paraId="5799D04E" w14:textId="0FF95F47" w:rsidR="004E72CC" w:rsidRPr="00F75508" w:rsidRDefault="004E72CC" w:rsidP="00F75508">
      <w:pPr>
        <w:spacing w:line="360" w:lineRule="auto"/>
        <w:jc w:val="both"/>
        <w:rPr>
          <w:rFonts w:ascii="Book Antiqua" w:hAnsi="Book Antiqua"/>
          <w:b/>
          <w:i/>
          <w:color w:val="000000"/>
          <w:lang w:val="it-IT"/>
        </w:rPr>
      </w:pPr>
      <w:r w:rsidRPr="00F75508">
        <w:rPr>
          <w:rFonts w:ascii="Book Antiqua" w:eastAsia="YouYuan" w:hAnsi="Book Antiqua"/>
          <w:b/>
          <w:i/>
        </w:rPr>
        <w:t>Retrospective Study</w:t>
      </w:r>
    </w:p>
    <w:p w14:paraId="51487C91" w14:textId="723BAF67" w:rsidR="008A1C7F" w:rsidRPr="00F75508" w:rsidRDefault="00343AFF" w:rsidP="008A1C7F">
      <w:pPr>
        <w:spacing w:line="360" w:lineRule="auto"/>
        <w:jc w:val="both"/>
        <w:rPr>
          <w:rFonts w:ascii="Book Antiqua" w:hAnsi="Book Antiqua"/>
          <w:b/>
          <w:lang w:val="en-US"/>
        </w:rPr>
      </w:pPr>
      <w:r w:rsidRPr="004E72CC">
        <w:rPr>
          <w:rFonts w:ascii="Book Antiqua" w:hAnsi="Book Antiqua"/>
          <w:b/>
          <w:lang w:val="en-US"/>
        </w:rPr>
        <w:t xml:space="preserve">Frequency, types and treatment of anemia in </w:t>
      </w:r>
      <w:r>
        <w:rPr>
          <w:rFonts w:ascii="Book Antiqua" w:hAnsi="Book Antiqua"/>
          <w:b/>
          <w:lang w:val="en-US"/>
        </w:rPr>
        <w:t>T</w:t>
      </w:r>
      <w:r w:rsidRPr="00343AFF">
        <w:rPr>
          <w:rFonts w:ascii="Book Antiqua" w:hAnsi="Book Antiqua"/>
          <w:b/>
          <w:lang w:val="en-US"/>
        </w:rPr>
        <w:t>urkish patients with inflammatory bowel disease</w:t>
      </w:r>
    </w:p>
    <w:p w14:paraId="472711FF" w14:textId="77777777" w:rsidR="008A0A74" w:rsidRPr="004E72CC" w:rsidRDefault="008A0A74" w:rsidP="008A0A74">
      <w:pPr>
        <w:snapToGrid w:val="0"/>
        <w:spacing w:line="360" w:lineRule="auto"/>
        <w:jc w:val="both"/>
        <w:rPr>
          <w:rFonts w:ascii="Book Antiqua" w:hAnsi="Book Antiqua"/>
          <w:b/>
          <w:lang w:val="en-US" w:eastAsia="zh-CN"/>
        </w:rPr>
      </w:pPr>
    </w:p>
    <w:p w14:paraId="08FBFDF5" w14:textId="76C4F26F" w:rsidR="00FB22A9" w:rsidRPr="004E72CC" w:rsidRDefault="00343AFF" w:rsidP="00FB22A9">
      <w:pPr>
        <w:pStyle w:val="1"/>
        <w:snapToGrid w:val="0"/>
        <w:spacing w:line="360" w:lineRule="auto"/>
        <w:jc w:val="both"/>
        <w:rPr>
          <w:rFonts w:ascii="Book Antiqua" w:hAnsi="Book Antiqua" w:cs="Times New Roman"/>
          <w:color w:val="auto"/>
          <w:sz w:val="24"/>
          <w:szCs w:val="24"/>
          <w:highlight w:val="white"/>
          <w:lang w:val="en-US" w:eastAsia="zh-CN"/>
        </w:rPr>
      </w:pPr>
      <w:bookmarkStart w:id="29" w:name="OLE_LINK41"/>
      <w:bookmarkStart w:id="30" w:name="OLE_LINK42"/>
      <w:bookmarkStart w:id="31" w:name="OLE_LINK941"/>
      <w:bookmarkStart w:id="32" w:name="OLE_LINK122"/>
      <w:bookmarkStart w:id="33" w:name="OLE_LINK123"/>
      <w:bookmarkStart w:id="34" w:name="OLE_LINK221"/>
      <w:bookmarkStart w:id="35" w:name="OLE_LINK230"/>
      <w:bookmarkStart w:id="36" w:name="OLE_LINK342"/>
      <w:bookmarkStart w:id="37" w:name="OLE_LINK401"/>
      <w:bookmarkStart w:id="38" w:name="OLE_LINK576"/>
      <w:bookmarkStart w:id="39" w:name="OLE_LINK605"/>
      <w:bookmarkStart w:id="40" w:name="OLE_LINK638"/>
      <w:bookmarkStart w:id="41" w:name="OLE_LINK732"/>
      <w:bookmarkStart w:id="42" w:name="OLE_LINK850"/>
      <w:bookmarkStart w:id="43" w:name="OLE_LINK868"/>
      <w:bookmarkStart w:id="44" w:name="OLE_LINK901"/>
      <w:bookmarkStart w:id="45" w:name="OLE_LINK931"/>
      <w:bookmarkStart w:id="46" w:name="OLE_LINK972"/>
      <w:bookmarkStart w:id="47" w:name="OLE_LINK1002"/>
      <w:bookmarkStart w:id="48" w:name="OLE_LINK1025"/>
      <w:bookmarkStart w:id="49" w:name="OLE_LINK1090"/>
      <w:r w:rsidRPr="00F75508">
        <w:rPr>
          <w:rFonts w:ascii="Book Antiqua" w:hAnsi="Book Antiqua" w:cs="Times New Roman"/>
          <w:color w:val="auto"/>
          <w:sz w:val="24"/>
          <w:szCs w:val="24"/>
          <w:highlight w:val="white"/>
          <w:lang w:val="en-US" w:eastAsia="zh-CN"/>
        </w:rPr>
        <w:t xml:space="preserve">Bengi G </w:t>
      </w:r>
      <w:r w:rsidRPr="00F75508">
        <w:rPr>
          <w:rFonts w:ascii="Book Antiqua" w:hAnsi="Book Antiqua" w:cs="Times New Roman"/>
          <w:i/>
          <w:color w:val="auto"/>
          <w:sz w:val="24"/>
          <w:szCs w:val="24"/>
          <w:highlight w:val="white"/>
          <w:lang w:val="en-US" w:eastAsia="zh-CN"/>
        </w:rPr>
        <w:t>et al</w:t>
      </w:r>
      <w:r w:rsidRPr="00F75508">
        <w:rPr>
          <w:rFonts w:ascii="Book Antiqua" w:hAnsi="Book Antiqua" w:cs="Times New Roman"/>
          <w:color w:val="auto"/>
          <w:sz w:val="24"/>
          <w:szCs w:val="24"/>
          <w:highlight w:val="white"/>
          <w:lang w:val="en-US" w:eastAsia="zh-CN"/>
        </w:rPr>
        <w:t>.</w:t>
      </w:r>
      <w:r>
        <w:rPr>
          <w:rFonts w:ascii="Book Antiqua" w:hAnsi="Book Antiqua" w:cs="Times New Roman"/>
          <w:b/>
          <w:color w:val="auto"/>
          <w:sz w:val="24"/>
          <w:szCs w:val="24"/>
          <w:highlight w:val="white"/>
          <w:lang w:val="en-US" w:eastAsia="zh-CN"/>
        </w:rPr>
        <w:t xml:space="preserve"> </w:t>
      </w:r>
      <w:bookmarkEnd w:id="29"/>
      <w:bookmarkEnd w:id="30"/>
      <w:bookmarkEnd w:id="31"/>
      <w:r w:rsidR="008A1C7F" w:rsidRPr="004E72CC">
        <w:rPr>
          <w:rFonts w:ascii="Book Antiqua" w:hAnsi="Book Antiqua" w:cs="Times New Roman"/>
          <w:color w:val="auto"/>
          <w:sz w:val="24"/>
          <w:szCs w:val="24"/>
          <w:highlight w:val="white"/>
          <w:lang w:val="en-US" w:eastAsia="zh-CN"/>
        </w:rPr>
        <w:t>Frequency</w:t>
      </w:r>
      <w:r w:rsidR="008C65B4" w:rsidRPr="004E72CC">
        <w:rPr>
          <w:rFonts w:ascii="Book Antiqua" w:hAnsi="Book Antiqua" w:cs="Times New Roman"/>
          <w:color w:val="auto"/>
          <w:sz w:val="24"/>
          <w:szCs w:val="24"/>
          <w:highlight w:val="white"/>
          <w:lang w:val="en-US" w:eastAsia="zh-CN"/>
        </w:rPr>
        <w:t xml:space="preserve"> of anemia in patients with IBD </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3CCE5B63" w14:textId="77777777" w:rsidR="00FB22A9" w:rsidRPr="00343AFF" w:rsidRDefault="00FB22A9" w:rsidP="008A0A74">
      <w:pPr>
        <w:snapToGrid w:val="0"/>
        <w:spacing w:line="360" w:lineRule="auto"/>
        <w:jc w:val="both"/>
        <w:rPr>
          <w:rFonts w:ascii="Book Antiqua" w:hAnsi="Book Antiqua"/>
          <w:b/>
          <w:lang w:val="en-US" w:eastAsia="zh-CN"/>
        </w:rPr>
      </w:pPr>
    </w:p>
    <w:p w14:paraId="1FC4FEF0" w14:textId="3E00D080" w:rsidR="005E4A4E" w:rsidRPr="00F75508" w:rsidRDefault="005E4A4E" w:rsidP="008A0A74">
      <w:pPr>
        <w:snapToGrid w:val="0"/>
        <w:spacing w:line="360" w:lineRule="auto"/>
        <w:jc w:val="both"/>
        <w:rPr>
          <w:rFonts w:ascii="Book Antiqua" w:hAnsi="Book Antiqua"/>
          <w:lang w:val="en-US" w:eastAsia="zh-CN"/>
        </w:rPr>
      </w:pPr>
      <w:bookmarkStart w:id="50" w:name="OLE_LINK37"/>
      <w:r w:rsidRPr="00F75508">
        <w:rPr>
          <w:rFonts w:ascii="Book Antiqua" w:hAnsi="Book Antiqua"/>
          <w:lang w:val="en-US"/>
        </w:rPr>
        <w:t>Göksel Bengi</w:t>
      </w:r>
      <w:bookmarkEnd w:id="50"/>
      <w:r w:rsidRPr="00F75508">
        <w:rPr>
          <w:rFonts w:ascii="Book Antiqua" w:hAnsi="Book Antiqua"/>
          <w:lang w:val="en-US"/>
        </w:rPr>
        <w:t xml:space="preserve">, </w:t>
      </w:r>
      <w:bookmarkStart w:id="51" w:name="OLE_LINK38"/>
      <w:r w:rsidRPr="00F75508">
        <w:rPr>
          <w:rFonts w:ascii="Book Antiqua" w:hAnsi="Book Antiqua"/>
          <w:lang w:val="en-US"/>
        </w:rPr>
        <w:t>Hatice Keyvan, Seda Bayrak Durmaz</w:t>
      </w:r>
      <w:bookmarkEnd w:id="51"/>
      <w:r w:rsidRPr="00F75508">
        <w:rPr>
          <w:rFonts w:ascii="Book Antiqua" w:hAnsi="Book Antiqua"/>
          <w:lang w:val="en-US"/>
        </w:rPr>
        <w:t>, Hale Akpınar</w:t>
      </w:r>
      <w:r w:rsidR="00343AFF" w:rsidRPr="00343AFF" w:rsidDel="00343AFF">
        <w:rPr>
          <w:rFonts w:ascii="Book Antiqua" w:hAnsi="Book Antiqua"/>
          <w:vertAlign w:val="superscript"/>
          <w:lang w:val="en-US"/>
        </w:rPr>
        <w:t xml:space="preserve"> </w:t>
      </w:r>
    </w:p>
    <w:p w14:paraId="0EE01F8D" w14:textId="77777777" w:rsidR="008A0A74" w:rsidRPr="00343AFF" w:rsidRDefault="008A0A74" w:rsidP="008A0A74">
      <w:pPr>
        <w:snapToGrid w:val="0"/>
        <w:spacing w:line="360" w:lineRule="auto"/>
        <w:jc w:val="both"/>
        <w:rPr>
          <w:rFonts w:ascii="Book Antiqua" w:hAnsi="Book Antiqua"/>
          <w:b/>
          <w:i/>
          <w:lang w:val="en-US" w:eastAsia="zh-CN"/>
        </w:rPr>
      </w:pPr>
    </w:p>
    <w:p w14:paraId="6374FFF2" w14:textId="44F60F49" w:rsidR="005E4A4E" w:rsidRPr="004E72CC" w:rsidRDefault="00343AFF" w:rsidP="008A0A74">
      <w:pPr>
        <w:snapToGrid w:val="0"/>
        <w:spacing w:line="360" w:lineRule="auto"/>
        <w:jc w:val="both"/>
        <w:rPr>
          <w:rFonts w:ascii="Book Antiqua" w:hAnsi="Book Antiqua"/>
          <w:lang w:val="en-US"/>
        </w:rPr>
      </w:pPr>
      <w:r w:rsidRPr="00F75508">
        <w:rPr>
          <w:rFonts w:ascii="Book Antiqua" w:hAnsi="Book Antiqua"/>
          <w:b/>
          <w:lang w:val="en-US"/>
        </w:rPr>
        <w:t xml:space="preserve">Göksel Bengi, Hale Akpınar, </w:t>
      </w:r>
      <w:r w:rsidR="00B9790B" w:rsidRPr="004E72CC">
        <w:rPr>
          <w:rFonts w:ascii="Book Antiqua" w:hAnsi="Book Antiqua"/>
          <w:lang w:val="en-US"/>
        </w:rPr>
        <w:t>Division of Gastroenterolog</w:t>
      </w:r>
      <w:r w:rsidR="00B9790B" w:rsidRPr="00343AFF">
        <w:rPr>
          <w:rFonts w:ascii="Book Antiqua" w:hAnsi="Book Antiqua"/>
          <w:lang w:val="en-US"/>
        </w:rPr>
        <w:t>,</w:t>
      </w:r>
      <w:r w:rsidR="00B9790B">
        <w:rPr>
          <w:rFonts w:ascii="Book Antiqua" w:hAnsi="Book Antiqua" w:hint="eastAsia"/>
          <w:lang w:val="en-US" w:eastAsia="zh-CN"/>
        </w:rPr>
        <w:t xml:space="preserve"> </w:t>
      </w:r>
      <w:r w:rsidR="00B9790B" w:rsidRPr="004E72CC">
        <w:rPr>
          <w:rFonts w:ascii="Book Antiqua" w:hAnsi="Book Antiqua"/>
          <w:lang w:val="en-US"/>
        </w:rPr>
        <w:t>Department of Internal Medicine,</w:t>
      </w:r>
      <w:r w:rsidR="00B9790B">
        <w:rPr>
          <w:rFonts w:ascii="Book Antiqua" w:hAnsi="Book Antiqua" w:hint="eastAsia"/>
          <w:lang w:val="en-US" w:eastAsia="zh-CN"/>
        </w:rPr>
        <w:t xml:space="preserve"> </w:t>
      </w:r>
      <w:r w:rsidR="00B9790B" w:rsidRPr="004E72CC">
        <w:rPr>
          <w:rFonts w:ascii="Book Antiqua" w:hAnsi="Book Antiqua"/>
          <w:lang w:val="en-US"/>
        </w:rPr>
        <w:t>Faculty of Medicine,</w:t>
      </w:r>
      <w:r w:rsidR="00B9790B">
        <w:rPr>
          <w:rFonts w:ascii="Book Antiqua" w:hAnsi="Book Antiqua" w:hint="eastAsia"/>
          <w:lang w:val="en-US" w:eastAsia="zh-CN"/>
        </w:rPr>
        <w:t xml:space="preserve"> </w:t>
      </w:r>
      <w:r w:rsidR="005E4A4E" w:rsidRPr="004E72CC">
        <w:rPr>
          <w:rFonts w:ascii="Book Antiqua" w:hAnsi="Book Antiqua"/>
          <w:lang w:val="en-US"/>
        </w:rPr>
        <w:t>Dokuz Eylül University</w:t>
      </w:r>
      <w:r w:rsidR="005E4A4E" w:rsidRPr="00343AFF">
        <w:rPr>
          <w:rFonts w:ascii="Book Antiqua" w:hAnsi="Book Antiqua"/>
          <w:lang w:val="en-US"/>
        </w:rPr>
        <w:t>,</w:t>
      </w:r>
      <w:r w:rsidR="008C65B4" w:rsidRPr="004E72CC">
        <w:rPr>
          <w:rFonts w:ascii="Book Antiqua" w:hAnsi="Book Antiqua"/>
          <w:lang w:val="en-US"/>
        </w:rPr>
        <w:t xml:space="preserve"> </w:t>
      </w:r>
      <w:r w:rsidR="00E0787C" w:rsidRPr="00343AFF">
        <w:rPr>
          <w:rFonts w:ascii="Book Antiqua" w:hAnsi="Book Antiqua"/>
          <w:lang w:val="en-US"/>
        </w:rPr>
        <w:t>İzmir</w:t>
      </w:r>
      <w:r>
        <w:rPr>
          <w:rFonts w:ascii="Book Antiqua" w:hAnsi="Book Antiqua"/>
          <w:lang w:val="en-US"/>
        </w:rPr>
        <w:t xml:space="preserve"> </w:t>
      </w:r>
      <w:r w:rsidRPr="00343AFF">
        <w:rPr>
          <w:rFonts w:ascii="Book Antiqua" w:hAnsi="Book Antiqua"/>
          <w:lang w:val="en-US"/>
        </w:rPr>
        <w:t>35360</w:t>
      </w:r>
      <w:r w:rsidR="008C65B4" w:rsidRPr="00343AFF">
        <w:rPr>
          <w:rFonts w:ascii="Book Antiqua" w:hAnsi="Book Antiqua"/>
          <w:lang w:val="en-US"/>
        </w:rPr>
        <w:t xml:space="preserve">, </w:t>
      </w:r>
      <w:r w:rsidR="005E4A4E" w:rsidRPr="004E72CC">
        <w:rPr>
          <w:rFonts w:ascii="Book Antiqua" w:hAnsi="Book Antiqua"/>
          <w:lang w:val="en-US"/>
        </w:rPr>
        <w:t>Turkey</w:t>
      </w:r>
    </w:p>
    <w:p w14:paraId="5BB340B0" w14:textId="77777777" w:rsidR="00343AFF" w:rsidRPr="00F75508" w:rsidRDefault="00343AFF" w:rsidP="008A0A74">
      <w:pPr>
        <w:snapToGrid w:val="0"/>
        <w:spacing w:line="360" w:lineRule="auto"/>
        <w:jc w:val="both"/>
        <w:rPr>
          <w:rFonts w:ascii="Book Antiqua" w:hAnsi="Book Antiqua"/>
          <w:lang w:val="en-US"/>
        </w:rPr>
      </w:pPr>
    </w:p>
    <w:p w14:paraId="1A8BE10D" w14:textId="2EB546F3" w:rsidR="005E4A4E" w:rsidRPr="004E72CC" w:rsidRDefault="00343AFF" w:rsidP="008A0A74">
      <w:pPr>
        <w:snapToGrid w:val="0"/>
        <w:spacing w:line="360" w:lineRule="auto"/>
        <w:jc w:val="both"/>
        <w:rPr>
          <w:rFonts w:ascii="Book Antiqua" w:hAnsi="Book Antiqua"/>
          <w:lang w:val="en-US"/>
        </w:rPr>
      </w:pPr>
      <w:r w:rsidRPr="00F75508">
        <w:rPr>
          <w:rFonts w:ascii="Book Antiqua" w:hAnsi="Book Antiqua"/>
          <w:b/>
          <w:lang w:val="en-US"/>
        </w:rPr>
        <w:t>Hatice Keyvan, Seda Bayrak Durmaz,</w:t>
      </w:r>
      <w:r>
        <w:rPr>
          <w:rFonts w:ascii="Book Antiqua" w:hAnsi="Book Antiqua"/>
          <w:lang w:val="en-US"/>
        </w:rPr>
        <w:t xml:space="preserve"> </w:t>
      </w:r>
      <w:r w:rsidR="00654362" w:rsidRPr="00343AFF">
        <w:rPr>
          <w:rFonts w:ascii="Book Antiqua" w:hAnsi="Book Antiqua"/>
          <w:lang w:val="en-US"/>
        </w:rPr>
        <w:t>Department of Internal Medicine,</w:t>
      </w:r>
      <w:r w:rsidR="00654362">
        <w:rPr>
          <w:rFonts w:ascii="Book Antiqua" w:hAnsi="Book Antiqua" w:hint="eastAsia"/>
          <w:lang w:val="en-US" w:eastAsia="zh-CN"/>
        </w:rPr>
        <w:t xml:space="preserve"> </w:t>
      </w:r>
      <w:r w:rsidR="00654362" w:rsidRPr="00343AFF">
        <w:rPr>
          <w:rFonts w:ascii="Book Antiqua" w:hAnsi="Book Antiqua"/>
          <w:lang w:val="en-US"/>
        </w:rPr>
        <w:t xml:space="preserve">Faculty of Medicine, </w:t>
      </w:r>
      <w:r w:rsidR="005E4A4E" w:rsidRPr="00343AFF">
        <w:rPr>
          <w:rFonts w:ascii="Book Antiqua" w:hAnsi="Book Antiqua"/>
          <w:lang w:val="en-US"/>
        </w:rPr>
        <w:t xml:space="preserve">Dokuz Eylül University, </w:t>
      </w:r>
      <w:r w:rsidR="00E0787C" w:rsidRPr="00343AFF">
        <w:rPr>
          <w:rFonts w:ascii="Book Antiqua" w:hAnsi="Book Antiqua"/>
          <w:lang w:val="en-US"/>
        </w:rPr>
        <w:t>İzmir</w:t>
      </w:r>
      <w:r>
        <w:rPr>
          <w:rFonts w:ascii="Book Antiqua" w:hAnsi="Book Antiqua"/>
          <w:lang w:val="en-US"/>
        </w:rPr>
        <w:t xml:space="preserve"> </w:t>
      </w:r>
      <w:r w:rsidRPr="00343AFF">
        <w:rPr>
          <w:rFonts w:ascii="Book Antiqua" w:hAnsi="Book Antiqua"/>
          <w:lang w:val="en-US"/>
        </w:rPr>
        <w:t>35360</w:t>
      </w:r>
      <w:r w:rsidR="005E4A4E" w:rsidRPr="00343AFF">
        <w:rPr>
          <w:rFonts w:ascii="Book Antiqua" w:hAnsi="Book Antiqua"/>
          <w:lang w:val="en-US"/>
        </w:rPr>
        <w:t>, Turkey</w:t>
      </w:r>
    </w:p>
    <w:p w14:paraId="1868A84A" w14:textId="77777777" w:rsidR="005E4A4E" w:rsidRPr="004E72CC" w:rsidRDefault="005E4A4E" w:rsidP="008A0A74">
      <w:pPr>
        <w:snapToGrid w:val="0"/>
        <w:spacing w:line="360" w:lineRule="auto"/>
        <w:jc w:val="both"/>
        <w:rPr>
          <w:rFonts w:ascii="Book Antiqua" w:hAnsi="Book Antiqua" w:cs="Arial"/>
          <w:b/>
          <w:lang w:val="en-US" w:eastAsia="zh-CN"/>
        </w:rPr>
      </w:pPr>
    </w:p>
    <w:p w14:paraId="5639783E" w14:textId="790BEFE9" w:rsidR="00FB22A9" w:rsidRPr="00343AFF" w:rsidRDefault="00FB22A9" w:rsidP="00FB22A9">
      <w:pPr>
        <w:pStyle w:val="1"/>
        <w:snapToGrid w:val="0"/>
        <w:spacing w:line="360" w:lineRule="auto"/>
        <w:jc w:val="both"/>
        <w:rPr>
          <w:rFonts w:ascii="Book Antiqua" w:hAnsi="Book Antiqua"/>
          <w:sz w:val="24"/>
          <w:szCs w:val="24"/>
          <w:lang w:eastAsia="zh-CN"/>
        </w:rPr>
      </w:pPr>
      <w:r w:rsidRPr="00343AFF">
        <w:rPr>
          <w:rFonts w:ascii="Book Antiqua" w:hAnsi="Book Antiqua"/>
          <w:b/>
          <w:sz w:val="24"/>
          <w:szCs w:val="24"/>
        </w:rPr>
        <w:t>ORCID number:</w:t>
      </w:r>
      <w:r w:rsidRPr="00343AFF">
        <w:rPr>
          <w:rFonts w:ascii="Book Antiqua" w:hAnsi="Book Antiqua"/>
          <w:b/>
          <w:sz w:val="24"/>
          <w:szCs w:val="24"/>
          <w:lang w:eastAsia="zh-CN"/>
        </w:rPr>
        <w:t xml:space="preserve"> </w:t>
      </w:r>
      <w:r w:rsidR="00343AFF" w:rsidRPr="00343AFF">
        <w:rPr>
          <w:rFonts w:ascii="Book Antiqua" w:hAnsi="Book Antiqua"/>
          <w:sz w:val="24"/>
          <w:szCs w:val="24"/>
          <w:lang w:val="en-US"/>
        </w:rPr>
        <w:t>Göksel Bengi</w:t>
      </w:r>
      <w:r w:rsidR="008C65B4" w:rsidRPr="00343AFF">
        <w:rPr>
          <w:rFonts w:ascii="Book Antiqua" w:hAnsi="Book Antiqua"/>
          <w:sz w:val="24"/>
          <w:szCs w:val="24"/>
          <w:lang w:eastAsia="zh-CN"/>
        </w:rPr>
        <w:t xml:space="preserve"> </w:t>
      </w:r>
      <w:r w:rsidR="00343AFF" w:rsidRPr="00343AFF">
        <w:rPr>
          <w:rFonts w:ascii="Book Antiqua" w:hAnsi="Book Antiqua"/>
          <w:sz w:val="24"/>
          <w:szCs w:val="24"/>
          <w:lang w:eastAsia="zh-CN"/>
        </w:rPr>
        <w:t>(</w:t>
      </w:r>
      <w:r w:rsidR="008C65B4" w:rsidRPr="00343AFF">
        <w:rPr>
          <w:rFonts w:ascii="Book Antiqua" w:hAnsi="Book Antiqua"/>
          <w:sz w:val="24"/>
          <w:szCs w:val="24"/>
          <w:lang w:eastAsia="zh-CN"/>
        </w:rPr>
        <w:t>0000-0002-7859-4094</w:t>
      </w:r>
      <w:r w:rsidR="00343AFF" w:rsidRPr="00343AFF">
        <w:rPr>
          <w:rFonts w:ascii="Book Antiqua" w:hAnsi="Book Antiqua"/>
          <w:sz w:val="24"/>
          <w:szCs w:val="24"/>
          <w:lang w:eastAsia="zh-CN"/>
        </w:rPr>
        <w:t xml:space="preserve">); </w:t>
      </w:r>
      <w:r w:rsidR="00343AFF" w:rsidRPr="00343AFF">
        <w:rPr>
          <w:rFonts w:ascii="Book Antiqua" w:hAnsi="Book Antiqua"/>
          <w:sz w:val="24"/>
          <w:szCs w:val="24"/>
          <w:lang w:val="en-US"/>
        </w:rPr>
        <w:t>Hatice Keyvan (0000-0002-7032-6124); Seda Bayrak Durmaz</w:t>
      </w:r>
      <w:r w:rsidR="00343AFF" w:rsidRPr="00F75508">
        <w:rPr>
          <w:rFonts w:ascii="Book Antiqua" w:hAnsi="Book Antiqua"/>
          <w:sz w:val="24"/>
          <w:szCs w:val="24"/>
          <w:lang w:val="en-US"/>
        </w:rPr>
        <w:t xml:space="preserve"> (0000-0001-8272-5686)</w:t>
      </w:r>
      <w:r w:rsidR="00343AFF">
        <w:rPr>
          <w:rFonts w:ascii="Book Antiqua" w:hAnsi="Book Antiqua"/>
          <w:sz w:val="24"/>
          <w:szCs w:val="24"/>
          <w:lang w:val="en-US"/>
        </w:rPr>
        <w:t>;</w:t>
      </w:r>
      <w:r w:rsidR="00343AFF" w:rsidRPr="00343AFF">
        <w:rPr>
          <w:rFonts w:ascii="Book Antiqua" w:hAnsi="Book Antiqua"/>
          <w:sz w:val="24"/>
          <w:szCs w:val="24"/>
          <w:lang w:val="en-US"/>
        </w:rPr>
        <w:t xml:space="preserve"> Hale Akpınar</w:t>
      </w:r>
      <w:r w:rsidR="00343AFF">
        <w:rPr>
          <w:rFonts w:ascii="Book Antiqua" w:hAnsi="Book Antiqua"/>
          <w:sz w:val="24"/>
          <w:szCs w:val="24"/>
          <w:lang w:val="en-US"/>
        </w:rPr>
        <w:t xml:space="preserve"> (</w:t>
      </w:r>
      <w:r w:rsidR="00343AFF" w:rsidRPr="00343AFF">
        <w:rPr>
          <w:rFonts w:ascii="Book Antiqua" w:hAnsi="Book Antiqua"/>
          <w:sz w:val="24"/>
          <w:szCs w:val="24"/>
          <w:lang w:val="en-US"/>
        </w:rPr>
        <w:t>0000-0002-8734-2518</w:t>
      </w:r>
      <w:r w:rsidR="00343AFF">
        <w:rPr>
          <w:rFonts w:ascii="Book Antiqua" w:hAnsi="Book Antiqua"/>
          <w:sz w:val="24"/>
          <w:szCs w:val="24"/>
          <w:lang w:val="en-US"/>
        </w:rPr>
        <w:t>).</w:t>
      </w:r>
    </w:p>
    <w:p w14:paraId="49EC2181" w14:textId="77777777" w:rsidR="00FB22A9" w:rsidRPr="004E72CC" w:rsidRDefault="00FB22A9" w:rsidP="008A0A74">
      <w:pPr>
        <w:snapToGrid w:val="0"/>
        <w:spacing w:line="360" w:lineRule="auto"/>
        <w:jc w:val="both"/>
        <w:rPr>
          <w:rFonts w:ascii="Book Antiqua" w:hAnsi="Book Antiqua" w:cs="Arial"/>
          <w:b/>
          <w:lang w:val="en-US" w:eastAsia="zh-CN"/>
        </w:rPr>
      </w:pPr>
    </w:p>
    <w:p w14:paraId="18C1175F" w14:textId="5453DEDC" w:rsidR="005E4A4E" w:rsidRPr="004E72CC" w:rsidRDefault="005E4A4E" w:rsidP="008A0A74">
      <w:pPr>
        <w:snapToGrid w:val="0"/>
        <w:spacing w:line="360" w:lineRule="auto"/>
        <w:jc w:val="both"/>
        <w:rPr>
          <w:rFonts w:ascii="Book Antiqua" w:hAnsi="Book Antiqua"/>
          <w:lang w:val="en-US"/>
        </w:rPr>
      </w:pPr>
      <w:r w:rsidRPr="004E72CC">
        <w:rPr>
          <w:rFonts w:ascii="Book Antiqua" w:hAnsi="Book Antiqua"/>
          <w:b/>
          <w:lang w:val="en-US"/>
        </w:rPr>
        <w:t>Author contributions:</w:t>
      </w:r>
      <w:r w:rsidRPr="00343AFF">
        <w:rPr>
          <w:rFonts w:ascii="Book Antiqua" w:hAnsi="Book Antiqua"/>
          <w:lang w:val="en-US"/>
        </w:rPr>
        <w:t xml:space="preserve"> Bengi</w:t>
      </w:r>
      <w:r w:rsidR="00343AFF">
        <w:rPr>
          <w:rFonts w:ascii="Book Antiqua" w:hAnsi="Book Antiqua"/>
          <w:lang w:val="en-US"/>
        </w:rPr>
        <w:t xml:space="preserve"> G</w:t>
      </w:r>
      <w:r w:rsidRPr="00343AFF">
        <w:rPr>
          <w:rFonts w:ascii="Book Antiqua" w:hAnsi="Book Antiqua"/>
          <w:lang w:val="en-US"/>
        </w:rPr>
        <w:t>, Keyvan</w:t>
      </w:r>
      <w:r w:rsidR="00343AFF">
        <w:rPr>
          <w:rFonts w:ascii="Book Antiqua" w:hAnsi="Book Antiqua"/>
          <w:lang w:val="en-US"/>
        </w:rPr>
        <w:t xml:space="preserve"> H</w:t>
      </w:r>
      <w:r w:rsidRPr="00343AFF">
        <w:rPr>
          <w:rFonts w:ascii="Book Antiqua" w:hAnsi="Book Antiqua"/>
          <w:lang w:val="en-US"/>
        </w:rPr>
        <w:t xml:space="preserve">, Durmaz </w:t>
      </w:r>
      <w:r w:rsidR="00343AFF">
        <w:rPr>
          <w:rFonts w:ascii="Book Antiqua" w:hAnsi="Book Antiqua"/>
          <w:lang w:val="en-US"/>
        </w:rPr>
        <w:t xml:space="preserve">SB </w:t>
      </w:r>
      <w:r w:rsidRPr="00343AFF">
        <w:rPr>
          <w:rFonts w:ascii="Book Antiqua" w:hAnsi="Book Antiqua"/>
          <w:lang w:val="en-US"/>
        </w:rPr>
        <w:t>and Akpınar</w:t>
      </w:r>
      <w:r w:rsidRPr="004E72CC">
        <w:rPr>
          <w:rFonts w:ascii="Book Antiqua" w:hAnsi="Book Antiqua"/>
          <w:lang w:val="en-US"/>
        </w:rPr>
        <w:t xml:space="preserve"> </w:t>
      </w:r>
      <w:r w:rsidR="00343AFF">
        <w:rPr>
          <w:rFonts w:ascii="Book Antiqua" w:hAnsi="Book Antiqua"/>
          <w:lang w:val="en-US"/>
        </w:rPr>
        <w:t xml:space="preserve">H </w:t>
      </w:r>
      <w:r w:rsidRPr="00343AFF">
        <w:rPr>
          <w:rFonts w:ascii="Book Antiqua" w:hAnsi="Book Antiqua"/>
          <w:lang w:val="en-US"/>
        </w:rPr>
        <w:t xml:space="preserve">contributed equally to this work, designed the research, drafted the manuscript and provided administrative and technical support. </w:t>
      </w:r>
    </w:p>
    <w:p w14:paraId="699E0941" w14:textId="77777777" w:rsidR="005E4A4E" w:rsidRPr="00343AFF" w:rsidRDefault="005E4A4E" w:rsidP="008A0A74">
      <w:pPr>
        <w:snapToGrid w:val="0"/>
        <w:spacing w:line="360" w:lineRule="auto"/>
        <w:jc w:val="both"/>
        <w:rPr>
          <w:rFonts w:ascii="Book Antiqua" w:hAnsi="Book Antiqua"/>
          <w:b/>
          <w:lang w:val="en-US"/>
        </w:rPr>
      </w:pPr>
    </w:p>
    <w:p w14:paraId="1A4ADABD" w14:textId="2A493134" w:rsidR="005E4A4E" w:rsidRPr="004E72CC" w:rsidRDefault="00343AFF" w:rsidP="008A0A74">
      <w:pPr>
        <w:snapToGrid w:val="0"/>
        <w:spacing w:line="360" w:lineRule="auto"/>
        <w:jc w:val="both"/>
        <w:rPr>
          <w:rFonts w:ascii="Book Antiqua" w:hAnsi="Book Antiqua"/>
          <w:lang w:val="en-US"/>
        </w:rPr>
      </w:pPr>
      <w:r w:rsidRPr="009252F9">
        <w:rPr>
          <w:rFonts w:ascii="Book Antiqua" w:hAnsi="Book Antiqua"/>
          <w:b/>
          <w:bCs/>
          <w:iCs/>
          <w:color w:val="000000"/>
          <w:highlight w:val="white"/>
        </w:rPr>
        <w:t>Institutional review board statement</w:t>
      </w:r>
      <w:r w:rsidRPr="009252F9">
        <w:rPr>
          <w:rFonts w:ascii="Book Antiqua" w:hAnsi="Book Antiqua" w:hint="eastAsia"/>
          <w:b/>
          <w:bCs/>
          <w:iCs/>
          <w:color w:val="000000"/>
          <w:highlight w:val="white"/>
        </w:rPr>
        <w:t>:</w:t>
      </w:r>
      <w:r w:rsidR="005E4A4E" w:rsidRPr="004E72CC">
        <w:rPr>
          <w:rFonts w:ascii="Book Antiqua" w:hAnsi="Book Antiqua"/>
          <w:lang w:val="en-US"/>
        </w:rPr>
        <w:t xml:space="preserve"> This study was approved by the Dokuz Eylul University Ethics Committee on June</w:t>
      </w:r>
      <w:r w:rsidR="005E4A4E" w:rsidRPr="00343AFF">
        <w:rPr>
          <w:rFonts w:ascii="Book Antiqua" w:hAnsi="Book Antiqua"/>
          <w:lang w:val="en-US"/>
        </w:rPr>
        <w:t>, 2017.</w:t>
      </w:r>
    </w:p>
    <w:p w14:paraId="214593F9" w14:textId="77777777" w:rsidR="005E4A4E" w:rsidRPr="004E72CC" w:rsidRDefault="005E4A4E" w:rsidP="008A0A74">
      <w:pPr>
        <w:snapToGrid w:val="0"/>
        <w:spacing w:line="360" w:lineRule="auto"/>
        <w:jc w:val="both"/>
        <w:rPr>
          <w:rFonts w:ascii="Book Antiqua" w:hAnsi="Book Antiqua"/>
          <w:b/>
          <w:lang w:val="en-US"/>
        </w:rPr>
      </w:pPr>
    </w:p>
    <w:p w14:paraId="44B6501D" w14:textId="54F156FB" w:rsidR="005E4A4E" w:rsidRPr="004E72CC" w:rsidRDefault="00343AFF" w:rsidP="008A0A74">
      <w:pPr>
        <w:snapToGrid w:val="0"/>
        <w:spacing w:line="360" w:lineRule="auto"/>
        <w:jc w:val="both"/>
        <w:rPr>
          <w:rFonts w:ascii="Book Antiqua" w:hAnsi="Book Antiqua"/>
          <w:lang w:val="en-US"/>
        </w:rPr>
      </w:pPr>
      <w:r w:rsidRPr="009252F9">
        <w:rPr>
          <w:rFonts w:ascii="Book Antiqua" w:hAnsi="Book Antiqua" w:cs="Times New Roman"/>
          <w:b/>
          <w:bCs/>
          <w:iCs/>
          <w:highlight w:val="white"/>
          <w:lang w:val="en-US" w:eastAsia="zh-CN"/>
        </w:rPr>
        <w:t>Informed consent statement</w:t>
      </w:r>
      <w:r w:rsidRPr="009252F9">
        <w:rPr>
          <w:rFonts w:ascii="Book Antiqua" w:hAnsi="Book Antiqua" w:cs="Times New Roman" w:hint="eastAsia"/>
          <w:b/>
          <w:bCs/>
          <w:iCs/>
          <w:highlight w:val="white"/>
          <w:lang w:val="en-US" w:eastAsia="zh-CN"/>
        </w:rPr>
        <w:t>:</w:t>
      </w:r>
      <w:r w:rsidR="005E4A4E" w:rsidRPr="004E72CC">
        <w:rPr>
          <w:rFonts w:ascii="Book Antiqua" w:hAnsi="Book Antiqua"/>
          <w:lang w:val="en-US"/>
        </w:rPr>
        <w:t xml:space="preserve"> Informed consent was provided by all participants.</w:t>
      </w:r>
    </w:p>
    <w:p w14:paraId="16423E7A" w14:textId="77777777" w:rsidR="005E4A4E" w:rsidRPr="004E72CC" w:rsidRDefault="005E4A4E" w:rsidP="008A0A74">
      <w:pPr>
        <w:snapToGrid w:val="0"/>
        <w:spacing w:line="360" w:lineRule="auto"/>
        <w:jc w:val="both"/>
        <w:rPr>
          <w:rFonts w:ascii="Book Antiqua" w:hAnsi="Book Antiqua"/>
          <w:b/>
          <w:lang w:val="en-US"/>
        </w:rPr>
      </w:pPr>
    </w:p>
    <w:p w14:paraId="212C3F01" w14:textId="7B6FB389" w:rsidR="005E4A4E" w:rsidRPr="00F75508" w:rsidRDefault="001C1EB7" w:rsidP="00F75508">
      <w:pPr>
        <w:pStyle w:val="1"/>
        <w:snapToGrid w:val="0"/>
        <w:spacing w:line="360" w:lineRule="auto"/>
        <w:jc w:val="both"/>
        <w:rPr>
          <w:rFonts w:ascii="Book Antiqua" w:hAnsi="Book Antiqua" w:cs="Times New Roman"/>
          <w:b/>
          <w:bCs/>
          <w:iCs/>
          <w:color w:val="FF0000"/>
          <w:highlight w:val="white"/>
          <w:lang w:val="en-US" w:eastAsia="zh-CN"/>
        </w:rPr>
      </w:pPr>
      <w:r w:rsidRPr="001C1EB7">
        <w:rPr>
          <w:rFonts w:ascii="Book Antiqua" w:hAnsi="Book Antiqua"/>
          <w:b/>
          <w:sz w:val="24"/>
          <w:szCs w:val="24"/>
          <w:lang w:val="en-US"/>
        </w:rPr>
        <w:t>Conflict-of-interest statement</w:t>
      </w:r>
      <w:r w:rsidR="005E4A4E" w:rsidRPr="00F75508">
        <w:rPr>
          <w:rFonts w:ascii="Book Antiqua" w:hAnsi="Book Antiqua"/>
          <w:b/>
          <w:sz w:val="24"/>
          <w:szCs w:val="24"/>
          <w:lang w:val="en-US"/>
        </w:rPr>
        <w:t>:</w:t>
      </w:r>
      <w:r w:rsidR="00343AFF" w:rsidRPr="00343AFF">
        <w:rPr>
          <w:rFonts w:ascii="Book Antiqua" w:eastAsia="Times New Roman" w:hAnsi="Book Antiqua"/>
          <w:kern w:val="36"/>
        </w:rPr>
        <w:t xml:space="preserve"> </w:t>
      </w:r>
      <w:r w:rsidR="00343AFF" w:rsidRPr="00831B2E">
        <w:rPr>
          <w:rFonts w:ascii="Book Antiqua" w:eastAsia="Times New Roman" w:hAnsi="Book Antiqua"/>
          <w:kern w:val="36"/>
          <w:sz w:val="24"/>
          <w:szCs w:val="24"/>
        </w:rPr>
        <w:t>The authors have declared no conflicts of interest.</w:t>
      </w:r>
    </w:p>
    <w:p w14:paraId="34CD25E2" w14:textId="77777777" w:rsidR="005E4A4E" w:rsidRDefault="005E4A4E" w:rsidP="008A0A74">
      <w:pPr>
        <w:snapToGrid w:val="0"/>
        <w:spacing w:line="360" w:lineRule="auto"/>
        <w:jc w:val="both"/>
        <w:rPr>
          <w:rFonts w:ascii="Book Antiqua" w:hAnsi="Book Antiqua"/>
          <w:b/>
          <w:lang w:val="en-US"/>
        </w:rPr>
      </w:pPr>
    </w:p>
    <w:p w14:paraId="4FFC8F99" w14:textId="77777777" w:rsidR="00343AFF" w:rsidRDefault="00343AFF" w:rsidP="00343AFF">
      <w:pPr>
        <w:snapToGrid w:val="0"/>
        <w:spacing w:line="360" w:lineRule="auto"/>
        <w:jc w:val="both"/>
        <w:rPr>
          <w:rFonts w:ascii="Book Antiqua" w:hAnsi="Book Antiqua"/>
        </w:rPr>
      </w:pPr>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D7276">
          <w:rPr>
            <w:rStyle w:val="Hyperlink"/>
            <w:rFonts w:ascii="Book Antiqua" w:hAnsi="Book Antiqua"/>
          </w:rPr>
          <w:t>http://creativecommons.org/licenses/by-nc/4.0/</w:t>
        </w:r>
      </w:hyperlink>
    </w:p>
    <w:p w14:paraId="271DB9E6" w14:textId="77777777" w:rsidR="00343AFF" w:rsidRDefault="00343AFF" w:rsidP="00343AFF">
      <w:pPr>
        <w:snapToGrid w:val="0"/>
        <w:spacing w:line="360" w:lineRule="auto"/>
        <w:jc w:val="both"/>
        <w:rPr>
          <w:rFonts w:ascii="Book Antiqua" w:hAnsi="Book Antiqua"/>
        </w:rPr>
      </w:pPr>
    </w:p>
    <w:p w14:paraId="3A7173D0" w14:textId="77777777" w:rsidR="00343AFF" w:rsidRPr="004F57C6" w:rsidRDefault="00343AFF" w:rsidP="00343AFF">
      <w:pPr>
        <w:pStyle w:val="1"/>
        <w:snapToGrid w:val="0"/>
        <w:spacing w:line="360" w:lineRule="auto"/>
        <w:jc w:val="both"/>
        <w:rPr>
          <w:rFonts w:ascii="Book Antiqua" w:hAnsi="Book Antiqua" w:cs="Times New Roman"/>
          <w:b/>
          <w:bCs/>
          <w:color w:val="auto"/>
          <w:sz w:val="24"/>
          <w:szCs w:val="24"/>
          <w:highlight w:val="white"/>
          <w:lang w:val="en-US"/>
        </w:rPr>
      </w:pPr>
      <w:bookmarkStart w:id="52" w:name="OLE_LINK11"/>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52"/>
      <w:r w:rsidRPr="004F57C6">
        <w:rPr>
          <w:rFonts w:ascii="Book Antiqua" w:hAnsi="Book Antiqua" w:cs="Times New Roman"/>
          <w:bCs/>
          <w:color w:val="auto"/>
          <w:sz w:val="24"/>
          <w:szCs w:val="24"/>
          <w:highlight w:val="white"/>
          <w:lang w:val="en-US"/>
        </w:rPr>
        <w:t xml:space="preserve"> </w:t>
      </w:r>
    </w:p>
    <w:p w14:paraId="2D74C270" w14:textId="77777777" w:rsidR="00343AFF" w:rsidRPr="009252F9" w:rsidRDefault="00343AFF" w:rsidP="00343AFF">
      <w:pPr>
        <w:snapToGrid w:val="0"/>
        <w:spacing w:line="360" w:lineRule="auto"/>
        <w:jc w:val="both"/>
        <w:rPr>
          <w:rFonts w:ascii="Book Antiqua" w:hAnsi="Book Antiqua"/>
          <w:b/>
        </w:rPr>
      </w:pPr>
    </w:p>
    <w:p w14:paraId="3979D45E" w14:textId="1D7838A7" w:rsidR="005E4A4E" w:rsidRPr="004E72CC" w:rsidRDefault="005E4A4E" w:rsidP="008A0A74">
      <w:pPr>
        <w:snapToGrid w:val="0"/>
        <w:spacing w:line="360" w:lineRule="auto"/>
        <w:jc w:val="both"/>
        <w:rPr>
          <w:rFonts w:ascii="Book Antiqua" w:hAnsi="Book Antiqua"/>
          <w:lang w:val="en-US"/>
        </w:rPr>
      </w:pPr>
      <w:r w:rsidRPr="004E72CC">
        <w:rPr>
          <w:rFonts w:ascii="Book Antiqua" w:hAnsi="Book Antiqua"/>
          <w:b/>
          <w:lang w:val="en-US"/>
        </w:rPr>
        <w:t>Correspondence to: Göksel Bengi, MD, PhD, Assis</w:t>
      </w:r>
      <w:r w:rsidR="00343AFF">
        <w:rPr>
          <w:rFonts w:ascii="Book Antiqua" w:hAnsi="Book Antiqua"/>
          <w:b/>
          <w:lang w:val="en-US"/>
        </w:rPr>
        <w:t>tant</w:t>
      </w:r>
      <w:r w:rsidRPr="00343AFF">
        <w:rPr>
          <w:rFonts w:ascii="Book Antiqua" w:hAnsi="Book Antiqua"/>
          <w:b/>
          <w:lang w:val="en-US"/>
        </w:rPr>
        <w:t xml:space="preserve"> Prof</w:t>
      </w:r>
      <w:r w:rsidR="00343AFF">
        <w:rPr>
          <w:rFonts w:ascii="Book Antiqua" w:hAnsi="Book Antiqua"/>
          <w:b/>
          <w:lang w:val="en-US"/>
        </w:rPr>
        <w:t>essor</w:t>
      </w:r>
      <w:r w:rsidRPr="00343AFF">
        <w:rPr>
          <w:rFonts w:ascii="Book Antiqua" w:hAnsi="Book Antiqua"/>
          <w:b/>
          <w:lang w:val="en-US"/>
        </w:rPr>
        <w:t xml:space="preserve">, </w:t>
      </w:r>
      <w:r w:rsidRPr="004E72CC">
        <w:rPr>
          <w:rFonts w:ascii="Book Antiqua" w:hAnsi="Book Antiqua"/>
          <w:lang w:val="en-US"/>
        </w:rPr>
        <w:t>Department of Gastroenterology, Dokuz Eylul Universtiy Hospital, İnciraltı,</w:t>
      </w:r>
      <w:r w:rsidRPr="00343AFF">
        <w:rPr>
          <w:rFonts w:ascii="Book Antiqua" w:hAnsi="Book Antiqua"/>
          <w:lang w:val="en-US"/>
        </w:rPr>
        <w:t xml:space="preserve"> İzmir</w:t>
      </w:r>
      <w:r w:rsidR="00343AFF">
        <w:rPr>
          <w:rFonts w:ascii="Book Antiqua" w:hAnsi="Book Antiqua"/>
          <w:lang w:val="en-US"/>
        </w:rPr>
        <w:t xml:space="preserve"> </w:t>
      </w:r>
      <w:r w:rsidR="00343AFF" w:rsidRPr="00343AFF">
        <w:rPr>
          <w:rFonts w:ascii="Book Antiqua" w:hAnsi="Book Antiqua"/>
          <w:lang w:val="en-US"/>
        </w:rPr>
        <w:t>35000</w:t>
      </w:r>
      <w:r w:rsidRPr="00343AFF">
        <w:rPr>
          <w:rFonts w:ascii="Book Antiqua" w:hAnsi="Book Antiqua"/>
          <w:lang w:val="en-US"/>
        </w:rPr>
        <w:t xml:space="preserve">, Turkey. </w:t>
      </w:r>
      <w:r w:rsidR="003D783F" w:rsidRPr="00F75508">
        <w:rPr>
          <w:rFonts w:ascii="Book Antiqua" w:hAnsi="Book Antiqua"/>
        </w:rPr>
        <w:t>goksel.bengi@deu.edu.tr</w:t>
      </w:r>
    </w:p>
    <w:p w14:paraId="11D4ED2C" w14:textId="28222C72" w:rsidR="005E4A4E" w:rsidRPr="004E72CC" w:rsidRDefault="005E4A4E" w:rsidP="008A0A74">
      <w:pPr>
        <w:snapToGrid w:val="0"/>
        <w:spacing w:line="360" w:lineRule="auto"/>
        <w:jc w:val="both"/>
        <w:rPr>
          <w:rFonts w:ascii="Book Antiqua" w:hAnsi="Book Antiqua"/>
          <w:lang w:val="en-US"/>
        </w:rPr>
      </w:pPr>
      <w:r w:rsidRPr="004E72CC">
        <w:rPr>
          <w:rFonts w:ascii="Book Antiqua" w:hAnsi="Book Antiqua"/>
          <w:b/>
          <w:lang w:val="en-US"/>
        </w:rPr>
        <w:t>Telephone:</w:t>
      </w:r>
      <w:r w:rsidRPr="004E72CC">
        <w:rPr>
          <w:rFonts w:ascii="Book Antiqua" w:hAnsi="Book Antiqua"/>
          <w:lang w:val="en-US"/>
        </w:rPr>
        <w:t xml:space="preserve"> +90-532-4626972</w:t>
      </w:r>
    </w:p>
    <w:p w14:paraId="309B6E5A" w14:textId="77777777" w:rsidR="005E4A4E" w:rsidRPr="004E72CC" w:rsidRDefault="005E4A4E" w:rsidP="008A0A74">
      <w:pPr>
        <w:snapToGrid w:val="0"/>
        <w:spacing w:line="360" w:lineRule="auto"/>
        <w:jc w:val="both"/>
        <w:rPr>
          <w:rFonts w:ascii="Book Antiqua" w:hAnsi="Book Antiqua"/>
          <w:lang w:val="en-US"/>
        </w:rPr>
      </w:pPr>
      <w:r w:rsidRPr="004E72CC">
        <w:rPr>
          <w:rFonts w:ascii="Book Antiqua" w:hAnsi="Book Antiqua"/>
          <w:b/>
          <w:lang w:val="en-US"/>
        </w:rPr>
        <w:t>Fax:</w:t>
      </w:r>
      <w:r w:rsidRPr="004E72CC">
        <w:rPr>
          <w:rFonts w:ascii="Book Antiqua" w:hAnsi="Book Antiqua"/>
          <w:lang w:val="en-US"/>
        </w:rPr>
        <w:t xml:space="preserve"> +90-232-4123799</w:t>
      </w:r>
    </w:p>
    <w:p w14:paraId="55E54378" w14:textId="77777777" w:rsidR="005E4A4E" w:rsidRPr="004E72CC" w:rsidRDefault="005E4A4E" w:rsidP="008A0A74">
      <w:pPr>
        <w:autoSpaceDE w:val="0"/>
        <w:autoSpaceDN w:val="0"/>
        <w:adjustRightInd w:val="0"/>
        <w:snapToGrid w:val="0"/>
        <w:spacing w:line="360" w:lineRule="auto"/>
        <w:jc w:val="both"/>
        <w:rPr>
          <w:rFonts w:ascii="Book Antiqua" w:hAnsi="Book Antiqua" w:cs="Times New Roman"/>
          <w:b/>
          <w:lang w:val="en-US"/>
        </w:rPr>
      </w:pPr>
    </w:p>
    <w:p w14:paraId="10AEF450" w14:textId="62737A13" w:rsidR="00E0787C" w:rsidRPr="00A37D48" w:rsidRDefault="00E0787C" w:rsidP="00E0787C">
      <w:pPr>
        <w:adjustRightInd w:val="0"/>
        <w:snapToGrid w:val="0"/>
        <w:spacing w:line="360" w:lineRule="auto"/>
        <w:jc w:val="both"/>
        <w:rPr>
          <w:rFonts w:ascii="Book Antiqua" w:hAnsi="Book Antiqua"/>
          <w:b/>
        </w:rPr>
      </w:pPr>
      <w:bookmarkStart w:id="53" w:name="OLE_LINK14"/>
      <w:bookmarkStart w:id="54" w:name="OLE_LINK16"/>
      <w:bookmarkStart w:id="55" w:name="OLE_LINK51"/>
      <w:r w:rsidRPr="00A37D48">
        <w:rPr>
          <w:rFonts w:ascii="Book Antiqua" w:hAnsi="Book Antiqua"/>
          <w:b/>
        </w:rPr>
        <w:t xml:space="preserve">Received: </w:t>
      </w:r>
      <w:r>
        <w:rPr>
          <w:rFonts w:ascii="Book Antiqua" w:hAnsi="Book Antiqua"/>
        </w:rPr>
        <w:t>May</w:t>
      </w:r>
      <w:r>
        <w:rPr>
          <w:rFonts w:ascii="Book Antiqua" w:eastAsia="DengXian" w:hAnsi="Book Antiqua"/>
        </w:rPr>
        <w:t xml:space="preserve"> 2</w:t>
      </w:r>
      <w:r w:rsidRPr="00697A7B">
        <w:rPr>
          <w:rFonts w:ascii="Book Antiqua" w:eastAsia="DengXian" w:hAnsi="Book Antiqua"/>
        </w:rPr>
        <w:t>, 201</w:t>
      </w:r>
      <w:r>
        <w:rPr>
          <w:rFonts w:ascii="Book Antiqua" w:eastAsia="DengXian" w:hAnsi="Book Antiqua"/>
        </w:rPr>
        <w:t>8</w:t>
      </w:r>
      <w:r w:rsidRPr="00A37D48">
        <w:rPr>
          <w:rFonts w:ascii="Book Antiqua" w:hAnsi="Book Antiqua"/>
          <w:b/>
        </w:rPr>
        <w:t xml:space="preserve">  </w:t>
      </w:r>
    </w:p>
    <w:p w14:paraId="22DF4DB9" w14:textId="5D38A2D1" w:rsidR="00E0787C" w:rsidRPr="00697A7B" w:rsidRDefault="00E0787C" w:rsidP="00E0787C">
      <w:pPr>
        <w:adjustRightInd w:val="0"/>
        <w:snapToGrid w:val="0"/>
        <w:spacing w:line="360" w:lineRule="auto"/>
        <w:jc w:val="both"/>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May</w:t>
      </w:r>
      <w:r>
        <w:rPr>
          <w:rFonts w:ascii="Book Antiqua" w:eastAsia="DengXian" w:hAnsi="Book Antiqua"/>
        </w:rPr>
        <w:t xml:space="preserve"> 2</w:t>
      </w:r>
      <w:r w:rsidRPr="00697A7B">
        <w:rPr>
          <w:rFonts w:ascii="Book Antiqua" w:eastAsia="DengXian" w:hAnsi="Book Antiqua"/>
        </w:rPr>
        <w:t>, 201</w:t>
      </w:r>
      <w:r>
        <w:rPr>
          <w:rFonts w:ascii="Book Antiqua" w:eastAsia="DengXian" w:hAnsi="Book Antiqua"/>
        </w:rPr>
        <w:t>8</w:t>
      </w:r>
    </w:p>
    <w:p w14:paraId="6BB56F92" w14:textId="2F16DF05" w:rsidR="00E0787C" w:rsidRPr="00697A7B" w:rsidRDefault="00E0787C" w:rsidP="00E0787C">
      <w:pPr>
        <w:adjustRightInd w:val="0"/>
        <w:snapToGrid w:val="0"/>
        <w:spacing w:line="360" w:lineRule="auto"/>
        <w:jc w:val="both"/>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June</w:t>
      </w:r>
      <w:r>
        <w:rPr>
          <w:rFonts w:ascii="Book Antiqua" w:eastAsia="DengXian" w:hAnsi="Book Antiqua"/>
        </w:rPr>
        <w:t xml:space="preserve"> 6</w:t>
      </w:r>
      <w:r w:rsidRPr="00697A7B">
        <w:rPr>
          <w:rFonts w:ascii="Book Antiqua" w:eastAsia="DengXian" w:hAnsi="Book Antiqua"/>
        </w:rPr>
        <w:t>, 201</w:t>
      </w:r>
      <w:r>
        <w:rPr>
          <w:rFonts w:ascii="Book Antiqua" w:eastAsia="DengXian" w:hAnsi="Book Antiqua"/>
        </w:rPr>
        <w:t>8</w:t>
      </w:r>
    </w:p>
    <w:p w14:paraId="2A862B2D" w14:textId="2F2E38AC" w:rsidR="00E0787C" w:rsidRPr="00A37D48" w:rsidRDefault="00E0787C" w:rsidP="00E0787C">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July 30, 2018</w:t>
      </w:r>
      <w:r w:rsidRPr="009C1EE2">
        <w:rPr>
          <w:rFonts w:ascii="Book Antiqua" w:hAnsi="Book Antiqua"/>
        </w:rPr>
        <w:t xml:space="preserve"> </w:t>
      </w:r>
    </w:p>
    <w:p w14:paraId="78332FFE" w14:textId="43D18CB9" w:rsidR="00E0787C" w:rsidRPr="003A4B10" w:rsidRDefault="00E0787C" w:rsidP="003A4B10">
      <w:pPr>
        <w:spacing w:line="360" w:lineRule="auto"/>
        <w:rPr>
          <w:rFonts w:ascii="Book Antiqua" w:hAnsi="Book Antiqua"/>
          <w:color w:val="000000"/>
        </w:rPr>
      </w:pPr>
      <w:r w:rsidRPr="00A37D48">
        <w:rPr>
          <w:rFonts w:ascii="Book Antiqua" w:hAnsi="Book Antiqua"/>
          <w:b/>
        </w:rPr>
        <w:t>Accepted:</w:t>
      </w:r>
      <w:r w:rsidR="003A4B10" w:rsidRPr="003A4B10">
        <w:rPr>
          <w:rFonts w:ascii="Book Antiqua" w:hAnsi="Book Antiqua"/>
          <w:color w:val="000000"/>
        </w:rPr>
        <w:t xml:space="preserve"> </w:t>
      </w:r>
      <w:r w:rsidR="003A4B10">
        <w:rPr>
          <w:rFonts w:ascii="Book Antiqua" w:hAnsi="Book Antiqua"/>
          <w:color w:val="000000"/>
        </w:rPr>
        <w:t>August 24, 2018</w:t>
      </w:r>
      <w:r w:rsidRPr="00A37D48">
        <w:rPr>
          <w:rFonts w:ascii="Book Antiqua" w:hAnsi="Book Antiqua"/>
          <w:b/>
        </w:rPr>
        <w:t xml:space="preserve"> </w:t>
      </w:r>
    </w:p>
    <w:p w14:paraId="5EC50A86" w14:textId="77777777" w:rsidR="00E0787C" w:rsidRPr="00A37D48" w:rsidRDefault="00E0787C" w:rsidP="00E0787C">
      <w:pPr>
        <w:adjustRightInd w:val="0"/>
        <w:snapToGrid w:val="0"/>
        <w:spacing w:line="360" w:lineRule="auto"/>
        <w:jc w:val="both"/>
        <w:rPr>
          <w:rFonts w:ascii="Book Antiqua" w:hAnsi="Book Antiqua"/>
          <w:b/>
        </w:rPr>
      </w:pPr>
      <w:r w:rsidRPr="00A37D48">
        <w:rPr>
          <w:rFonts w:ascii="Book Antiqua" w:hAnsi="Book Antiqua"/>
          <w:b/>
        </w:rPr>
        <w:t>Article in press:</w:t>
      </w:r>
    </w:p>
    <w:p w14:paraId="48319C35" w14:textId="77777777" w:rsidR="00E0787C" w:rsidRPr="00831B2E" w:rsidRDefault="00E0787C" w:rsidP="00E0787C">
      <w:pPr>
        <w:snapToGrid w:val="0"/>
        <w:spacing w:line="360" w:lineRule="auto"/>
        <w:jc w:val="both"/>
        <w:rPr>
          <w:rFonts w:ascii="Book Antiqua" w:hAnsi="Book Antiqua"/>
          <w:color w:val="000000"/>
        </w:rPr>
      </w:pPr>
      <w:r w:rsidRPr="00A37D48">
        <w:rPr>
          <w:rFonts w:ascii="Book Antiqua" w:hAnsi="Book Antiqua"/>
          <w:b/>
        </w:rPr>
        <w:t>Published online:</w:t>
      </w:r>
      <w:bookmarkEnd w:id="53"/>
      <w:bookmarkEnd w:id="54"/>
      <w:bookmarkEnd w:id="55"/>
    </w:p>
    <w:p w14:paraId="6DD012F2" w14:textId="77777777" w:rsidR="00FB22A9" w:rsidRPr="004E72CC" w:rsidRDefault="00FB22A9">
      <w:pPr>
        <w:rPr>
          <w:rFonts w:ascii="Book Antiqua" w:hAnsi="Book Antiqua"/>
          <w:b/>
        </w:rPr>
      </w:pPr>
      <w:r w:rsidRPr="004E72CC">
        <w:rPr>
          <w:rFonts w:ascii="Book Antiqua" w:hAnsi="Book Antiqua"/>
          <w:b/>
        </w:rPr>
        <w:br w:type="page"/>
      </w:r>
    </w:p>
    <w:p w14:paraId="4CA5C9F0" w14:textId="2427B4FC" w:rsidR="005E4A4E" w:rsidRPr="004E72CC" w:rsidRDefault="00E0787C" w:rsidP="008A0A74">
      <w:pPr>
        <w:snapToGrid w:val="0"/>
        <w:spacing w:line="360" w:lineRule="auto"/>
        <w:jc w:val="both"/>
        <w:rPr>
          <w:rFonts w:ascii="Book Antiqua" w:hAnsi="Book Antiqua"/>
          <w:b/>
        </w:rPr>
      </w:pPr>
      <w:r w:rsidRPr="00E0787C">
        <w:rPr>
          <w:rFonts w:ascii="Book Antiqua" w:hAnsi="Book Antiqua"/>
          <w:b/>
        </w:rPr>
        <w:lastRenderedPageBreak/>
        <w:t>Abstract</w:t>
      </w:r>
    </w:p>
    <w:p w14:paraId="0588C177" w14:textId="420FD9B8" w:rsidR="00BB5FAC" w:rsidRPr="00F75508" w:rsidRDefault="00E0787C" w:rsidP="008A0A74">
      <w:pPr>
        <w:pStyle w:val="paragraph"/>
        <w:snapToGrid w:val="0"/>
        <w:spacing w:line="360" w:lineRule="auto"/>
        <w:jc w:val="both"/>
        <w:textAlignment w:val="baseline"/>
        <w:rPr>
          <w:rStyle w:val="normaltextrun"/>
          <w:rFonts w:ascii="Book Antiqua" w:hAnsi="Book Antiqua" w:cstheme="minorHAnsi"/>
          <w:b/>
          <w:bCs/>
          <w:i/>
          <w:iCs/>
          <w:lang w:val="en-GB"/>
        </w:rPr>
      </w:pPr>
      <w:r w:rsidRPr="00F75508">
        <w:rPr>
          <w:rStyle w:val="normaltextrun"/>
          <w:rFonts w:ascii="Book Antiqua" w:hAnsi="Book Antiqua" w:cstheme="minorHAnsi"/>
          <w:b/>
          <w:bCs/>
          <w:i/>
          <w:iCs/>
          <w:lang w:val="en-GB"/>
        </w:rPr>
        <w:t>AIM</w:t>
      </w:r>
    </w:p>
    <w:p w14:paraId="6A72B60A" w14:textId="13C6E971" w:rsidR="00BB5FAC" w:rsidRPr="004E72CC" w:rsidRDefault="00BB5FAC" w:rsidP="008A0A74">
      <w:pPr>
        <w:pStyle w:val="paragraph"/>
        <w:snapToGrid w:val="0"/>
        <w:spacing w:line="360" w:lineRule="auto"/>
        <w:jc w:val="both"/>
        <w:textAlignment w:val="baseline"/>
        <w:rPr>
          <w:rFonts w:ascii="Book Antiqua" w:hAnsi="Book Antiqua" w:cstheme="minorHAnsi"/>
          <w:lang w:val="en-GB"/>
        </w:rPr>
      </w:pPr>
      <w:r w:rsidRPr="004E72CC">
        <w:rPr>
          <w:rStyle w:val="normaltextrun"/>
          <w:rFonts w:ascii="Book Antiqua" w:hAnsi="Book Antiqua" w:cstheme="minorHAnsi"/>
          <w:bCs/>
          <w:iCs/>
          <w:caps/>
          <w:lang w:val="en-GB"/>
        </w:rPr>
        <w:t>t</w:t>
      </w:r>
      <w:r w:rsidRPr="004E72CC">
        <w:rPr>
          <w:rStyle w:val="normaltextrun"/>
          <w:rFonts w:ascii="Book Antiqua" w:hAnsi="Book Antiqua" w:cstheme="minorHAnsi"/>
          <w:bCs/>
          <w:iCs/>
          <w:lang w:val="en-GB"/>
        </w:rPr>
        <w:t xml:space="preserve">o specify the type and prevalence of anaemia along with a treatment approach for </w:t>
      </w:r>
      <w:r w:rsidRPr="00E0787C">
        <w:rPr>
          <w:rStyle w:val="normaltextrun"/>
          <w:rFonts w:ascii="Book Antiqua" w:hAnsi="Book Antiqua" w:cstheme="minorHAnsi"/>
          <w:bCs/>
          <w:iCs/>
          <w:lang w:val="en-GB"/>
        </w:rPr>
        <w:t>inflammatory bowel disease (IBD).</w:t>
      </w:r>
    </w:p>
    <w:p w14:paraId="6273CF2A" w14:textId="77777777" w:rsidR="00FB22A9" w:rsidRPr="004E72CC" w:rsidRDefault="00FB22A9" w:rsidP="008A0A74">
      <w:pPr>
        <w:pStyle w:val="paragraph"/>
        <w:snapToGrid w:val="0"/>
        <w:spacing w:line="360" w:lineRule="auto"/>
        <w:jc w:val="both"/>
        <w:textAlignment w:val="baseline"/>
        <w:rPr>
          <w:rStyle w:val="normaltextrun"/>
          <w:rFonts w:ascii="Book Antiqua" w:eastAsiaTheme="minorEastAsia" w:hAnsi="Book Antiqua" w:cstheme="minorHAnsi"/>
          <w:b/>
          <w:bCs/>
          <w:iCs/>
          <w:lang w:val="en-GB" w:eastAsia="zh-CN"/>
        </w:rPr>
      </w:pPr>
    </w:p>
    <w:p w14:paraId="4DBE863B" w14:textId="75204C8B" w:rsidR="00BB5FAC" w:rsidRPr="00F75508" w:rsidRDefault="00E0787C" w:rsidP="008A0A74">
      <w:pPr>
        <w:pStyle w:val="paragraph"/>
        <w:snapToGrid w:val="0"/>
        <w:spacing w:line="360" w:lineRule="auto"/>
        <w:jc w:val="both"/>
        <w:textAlignment w:val="baseline"/>
        <w:rPr>
          <w:rFonts w:ascii="Book Antiqua" w:hAnsi="Book Antiqua" w:cstheme="minorHAnsi"/>
          <w:i/>
          <w:lang w:val="en-GB"/>
        </w:rPr>
      </w:pPr>
      <w:r w:rsidRPr="00F75508">
        <w:rPr>
          <w:rStyle w:val="normaltextrun"/>
          <w:rFonts w:ascii="Book Antiqua" w:hAnsi="Book Antiqua" w:cstheme="minorHAnsi"/>
          <w:b/>
          <w:bCs/>
          <w:i/>
          <w:iCs/>
          <w:lang w:val="en-GB"/>
        </w:rPr>
        <w:t>METHODS</w:t>
      </w:r>
    </w:p>
    <w:p w14:paraId="21307527" w14:textId="0898895E" w:rsidR="00BB5FAC" w:rsidRPr="004E72CC" w:rsidRDefault="00BB5FAC" w:rsidP="008A0A74">
      <w:pPr>
        <w:pStyle w:val="paragraph"/>
        <w:snapToGrid w:val="0"/>
        <w:spacing w:line="360" w:lineRule="auto"/>
        <w:jc w:val="both"/>
        <w:textAlignment w:val="baseline"/>
        <w:rPr>
          <w:rStyle w:val="spellingerror"/>
          <w:rFonts w:ascii="Book Antiqua" w:hAnsi="Book Antiqua" w:cstheme="minorHAnsi"/>
          <w:bCs/>
          <w:lang w:val="en-GB"/>
        </w:rPr>
      </w:pPr>
      <w:r w:rsidRPr="004E72CC">
        <w:rPr>
          <w:rStyle w:val="normaltextrun"/>
          <w:rFonts w:ascii="Book Antiqua" w:hAnsi="Book Antiqua" w:cstheme="minorHAnsi"/>
          <w:bCs/>
          <w:lang w:val="en-GB"/>
        </w:rPr>
        <w:t xml:space="preserve">We conducted a retrospective study on 465 patients, who were diagnosed with IBD and followed up at our hospital from June 2015 to June 2016 </w:t>
      </w:r>
      <w:r w:rsidR="00E0787C">
        <w:rPr>
          <w:rStyle w:val="normaltextrun"/>
          <w:rFonts w:ascii="Book Antiqua" w:hAnsi="Book Antiqua" w:cstheme="minorHAnsi"/>
          <w:bCs/>
          <w:lang w:val="en-GB"/>
        </w:rPr>
        <w:t>[</w:t>
      </w:r>
      <w:r w:rsidRPr="00E0787C">
        <w:rPr>
          <w:rStyle w:val="normaltextrun"/>
          <w:rFonts w:ascii="Book Antiqua" w:hAnsi="Book Antiqua" w:cstheme="minorHAnsi"/>
          <w:bCs/>
          <w:lang w:val="en-GB"/>
        </w:rPr>
        <w:t>male: 25</w:t>
      </w:r>
      <w:r w:rsidRPr="004E72CC">
        <w:rPr>
          <w:rStyle w:val="normaltextrun"/>
          <w:rFonts w:ascii="Book Antiqua" w:hAnsi="Book Antiqua" w:cstheme="minorHAnsi"/>
          <w:bCs/>
          <w:lang w:val="en-GB"/>
        </w:rPr>
        <w:t>4, female: 211, average age: 47</w:t>
      </w:r>
      <w:r w:rsid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w:t>
      </w:r>
      <w:r w:rsid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 xml:space="preserve">14.4, </w:t>
      </w:r>
      <w:r w:rsidR="002A2564" w:rsidRPr="002A2564">
        <w:rPr>
          <w:rFonts w:ascii="Book Antiqua" w:hAnsi="Book Antiqua"/>
          <w:lang w:val="en-US"/>
        </w:rPr>
        <w:t>Crohn's disease</w:t>
      </w:r>
      <w:r w:rsidRPr="00E0787C">
        <w:rPr>
          <w:rStyle w:val="normaltextrun"/>
          <w:rFonts w:ascii="Book Antiqua" w:hAnsi="Book Antiqua" w:cstheme="minorHAnsi"/>
          <w:bCs/>
          <w:lang w:val="en-GB"/>
        </w:rPr>
        <w:t xml:space="preserve"> (CD): 257, </w:t>
      </w:r>
      <w:bookmarkStart w:id="56" w:name="OLE_LINK44"/>
      <w:bookmarkStart w:id="57" w:name="OLE_LINK45"/>
      <w:r w:rsidRPr="00E0787C">
        <w:rPr>
          <w:rStyle w:val="normaltextrun"/>
          <w:rFonts w:ascii="Book Antiqua" w:hAnsi="Book Antiqua" w:cstheme="minorHAnsi"/>
          <w:bCs/>
          <w:lang w:val="en-GB"/>
        </w:rPr>
        <w:t>Ulcerative Colitis (UC)</w:t>
      </w:r>
      <w:bookmarkEnd w:id="56"/>
      <w:bookmarkEnd w:id="57"/>
      <w:r w:rsidRPr="00E0787C">
        <w:rPr>
          <w:rStyle w:val="normaltextrun"/>
          <w:rFonts w:ascii="Book Antiqua" w:hAnsi="Book Antiqua" w:cstheme="minorHAnsi"/>
          <w:bCs/>
          <w:lang w:val="en-GB"/>
        </w:rPr>
        <w:t>: 208</w:t>
      </w:r>
      <w:r w:rsidR="00E0787C">
        <w:rPr>
          <w:rStyle w:val="normaltextrun"/>
          <w:rFonts w:ascii="Book Antiqua" w:hAnsi="Book Antiqua" w:cstheme="minorHAnsi"/>
          <w:bCs/>
          <w:lang w:val="en-GB"/>
        </w:rPr>
        <w:t>]</w:t>
      </w:r>
      <w:r w:rsidRPr="00E0787C">
        <w:rPr>
          <w:rStyle w:val="normaltextrun"/>
          <w:rFonts w:ascii="Book Antiqua" w:hAnsi="Book Antiqua" w:cstheme="minorHAnsi"/>
          <w:bCs/>
          <w:lang w:val="en-GB"/>
        </w:rPr>
        <w:t xml:space="preserve">. </w:t>
      </w:r>
      <w:r w:rsidR="008C65B4" w:rsidRPr="004E72CC">
        <w:rPr>
          <w:rFonts w:ascii="Book Antiqua" w:hAnsi="Book Antiqua"/>
        </w:rPr>
        <w:t>In order to obtain epidemiological and clinical data, for each patient data such as; sex, age, age of diagnosis, type of IBD, disease extension, disease behavior and duration, treatments for IBD and anemia, surgical history</w:t>
      </w:r>
      <w:r w:rsidR="008C65B4" w:rsidRPr="004E72CC">
        <w:rPr>
          <w:rFonts w:ascii="Book Antiqua" w:hAnsi="Book Antiqua"/>
          <w:color w:val="000000" w:themeColor="text1"/>
        </w:rPr>
        <w:t xml:space="preserve">. </w:t>
      </w:r>
      <w:r w:rsidR="008C65B4" w:rsidRPr="004E72CC">
        <w:rPr>
          <w:rFonts w:ascii="Book Antiqua" w:hAnsi="Book Antiqua"/>
        </w:rPr>
        <w:t>In order to diagnose anemia in our IBD patients; according to World Health Organization guidelines, for males hemoglobin value less than 13 g/dL and for females less than 12 g/dL was accepted to be the threshold</w:t>
      </w:r>
    </w:p>
    <w:p w14:paraId="0FDF64D7" w14:textId="77777777" w:rsidR="00FB22A9" w:rsidRPr="00E0787C" w:rsidRDefault="00FB22A9" w:rsidP="008A0A74">
      <w:pPr>
        <w:pStyle w:val="paragraph"/>
        <w:snapToGrid w:val="0"/>
        <w:spacing w:line="360" w:lineRule="auto"/>
        <w:jc w:val="both"/>
        <w:textAlignment w:val="baseline"/>
        <w:rPr>
          <w:rStyle w:val="normaltextrun"/>
          <w:rFonts w:ascii="Book Antiqua" w:eastAsiaTheme="minorEastAsia" w:hAnsi="Book Antiqua" w:cstheme="minorHAnsi"/>
          <w:b/>
          <w:bCs/>
          <w:iCs/>
          <w:lang w:val="en-GB" w:eastAsia="zh-CN"/>
        </w:rPr>
      </w:pPr>
    </w:p>
    <w:p w14:paraId="5B0B2C56" w14:textId="5EDA9DE8" w:rsidR="00BB5FAC" w:rsidRPr="00F75508" w:rsidRDefault="00E0787C" w:rsidP="008A0A74">
      <w:pPr>
        <w:pStyle w:val="paragraph"/>
        <w:snapToGrid w:val="0"/>
        <w:spacing w:line="360" w:lineRule="auto"/>
        <w:jc w:val="both"/>
        <w:textAlignment w:val="baseline"/>
        <w:rPr>
          <w:rFonts w:ascii="Book Antiqua" w:hAnsi="Book Antiqua" w:cstheme="minorHAnsi"/>
          <w:i/>
          <w:lang w:val="en-GB"/>
        </w:rPr>
      </w:pPr>
      <w:r w:rsidRPr="00E0787C">
        <w:rPr>
          <w:rStyle w:val="normaltextrun"/>
          <w:rFonts w:ascii="Book Antiqua" w:hAnsi="Book Antiqua" w:cstheme="minorHAnsi"/>
          <w:b/>
          <w:bCs/>
          <w:i/>
          <w:iCs/>
          <w:lang w:val="en-GB"/>
        </w:rPr>
        <w:t>RESULTS</w:t>
      </w:r>
    </w:p>
    <w:p w14:paraId="584B432D" w14:textId="60C826F9" w:rsidR="00BB5FAC" w:rsidRPr="00F75508" w:rsidRDefault="00BB5FAC" w:rsidP="00F75508">
      <w:pPr>
        <w:pStyle w:val="paragraph"/>
        <w:snapToGrid w:val="0"/>
        <w:spacing w:line="360" w:lineRule="auto"/>
        <w:jc w:val="both"/>
        <w:textAlignment w:val="baseline"/>
        <w:rPr>
          <w:rStyle w:val="normaltextrun"/>
          <w:rFonts w:ascii="Book Antiqua" w:hAnsi="Book Antiqua"/>
          <w:color w:val="000000" w:themeColor="text1"/>
          <w:lang w:val="en-US"/>
        </w:rPr>
      </w:pPr>
      <w:r w:rsidRPr="004E72CC">
        <w:rPr>
          <w:rStyle w:val="normaltextrun"/>
          <w:rFonts w:ascii="Book Antiqua" w:hAnsi="Book Antiqua" w:cstheme="minorHAnsi"/>
          <w:bCs/>
          <w:lang w:val="en-GB"/>
        </w:rPr>
        <w:t xml:space="preserve">In our study, we determined that 51.6% of total 465 patients had anaemia, which was more frequent in women then men (64% </w:t>
      </w:r>
      <w:r w:rsidRPr="00F75508">
        <w:rPr>
          <w:rStyle w:val="normaltextrun"/>
          <w:rFonts w:ascii="Book Antiqua" w:hAnsi="Book Antiqua" w:cstheme="minorHAnsi"/>
          <w:bCs/>
          <w:i/>
          <w:lang w:val="en-GB"/>
        </w:rPr>
        <w:t>vs</w:t>
      </w:r>
      <w:r w:rsidRPr="00E0787C">
        <w:rPr>
          <w:rStyle w:val="normaltextrun"/>
          <w:rFonts w:ascii="Book Antiqua" w:hAnsi="Book Antiqua" w:cstheme="minorHAnsi"/>
          <w:bCs/>
          <w:lang w:val="en-GB"/>
        </w:rPr>
        <w:t xml:space="preserve"> 41.3%, </w:t>
      </w:r>
      <w:r w:rsidR="00E0787C" w:rsidRPr="00E0787C">
        <w:rPr>
          <w:rStyle w:val="normaltextrun"/>
          <w:rFonts w:ascii="Book Antiqua" w:hAnsi="Book Antiqua" w:cstheme="minorHAnsi"/>
          <w:bCs/>
          <w:i/>
          <w:lang w:val="en-GB"/>
        </w:rPr>
        <w:t>P</w:t>
      </w:r>
      <w:r w:rsid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&lt;</w:t>
      </w:r>
      <w:r w:rsid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 xml:space="preserve">0.001). Anaemia frequency was higher in </w:t>
      </w:r>
      <w:r w:rsidR="00DE713F">
        <w:rPr>
          <w:rStyle w:val="normaltextrun"/>
          <w:rFonts w:ascii="Book Antiqua" w:hAnsi="Book Antiqua" w:cstheme="minorHAnsi"/>
          <w:bCs/>
          <w:lang w:val="en-GB"/>
        </w:rPr>
        <w:t>CD</w:t>
      </w:r>
      <w:r w:rsidR="00DE713F" w:rsidRP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cases (57.6%) th</w:t>
      </w:r>
      <w:r w:rsidR="00DE713F">
        <w:rPr>
          <w:rStyle w:val="normaltextrun"/>
          <w:rFonts w:ascii="Book Antiqua" w:hAnsi="Book Antiqua" w:cstheme="minorHAnsi"/>
          <w:bCs/>
          <w:lang w:val="en-GB"/>
        </w:rPr>
        <w:t>a</w:t>
      </w:r>
      <w:r w:rsidRPr="00E0787C">
        <w:rPr>
          <w:rStyle w:val="normaltextrun"/>
          <w:rFonts w:ascii="Book Antiqua" w:hAnsi="Book Antiqua" w:cstheme="minorHAnsi"/>
          <w:bCs/>
          <w:lang w:val="en-GB"/>
        </w:rPr>
        <w:t>n in UC cases (44.2%) (</w:t>
      </w:r>
      <w:r w:rsidR="00E0787C" w:rsidRPr="00E0787C">
        <w:rPr>
          <w:rStyle w:val="normaltextrun"/>
          <w:rFonts w:ascii="Book Antiqua" w:hAnsi="Book Antiqua" w:cstheme="minorHAnsi"/>
          <w:bCs/>
          <w:i/>
          <w:lang w:val="en-GB"/>
        </w:rPr>
        <w:t>P</w:t>
      </w:r>
      <w:r w:rsid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w:t>
      </w:r>
      <w:r w:rsid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0</w:t>
      </w:r>
      <w:r w:rsidR="00E0787C">
        <w:rPr>
          <w:rStyle w:val="normaltextrun"/>
          <w:rFonts w:ascii="Book Antiqua" w:hAnsi="Book Antiqua" w:cstheme="minorHAnsi"/>
          <w:bCs/>
          <w:lang w:val="en-GB"/>
        </w:rPr>
        <w:t>.</w:t>
      </w:r>
      <w:r w:rsidRPr="00E0787C">
        <w:rPr>
          <w:rStyle w:val="normaltextrun"/>
          <w:rFonts w:ascii="Book Antiqua" w:hAnsi="Book Antiqua" w:cstheme="minorHAnsi"/>
          <w:bCs/>
          <w:lang w:val="en-GB"/>
        </w:rPr>
        <w:t xml:space="preserve">004). </w:t>
      </w:r>
      <w:r w:rsidRPr="004E72CC">
        <w:rPr>
          <w:rStyle w:val="normaltextrun"/>
          <w:rFonts w:ascii="Book Antiqua" w:hAnsi="Book Antiqua" w:cstheme="minorHAnsi"/>
          <w:bCs/>
          <w:lang w:val="en-GB"/>
        </w:rPr>
        <w:t>CD involvement</w:t>
      </w:r>
      <w:r w:rsidR="00A009ED" w:rsidRPr="00A009ED">
        <w:rPr>
          <w:rStyle w:val="normaltextrun"/>
          <w:rFonts w:ascii="Book Antiqua" w:eastAsiaTheme="minorEastAsia" w:hAnsi="Book Antiqua" w:cstheme="minorHAnsi"/>
          <w:bCs/>
          <w:lang w:val="en-GB" w:eastAsia="zh-CN"/>
        </w:rPr>
        <w:t>s</w:t>
      </w:r>
      <w:r w:rsidRPr="004E72CC">
        <w:rPr>
          <w:rStyle w:val="normaltextrun"/>
          <w:rFonts w:ascii="Book Antiqua" w:hAnsi="Book Antiqua" w:cstheme="minorHAnsi"/>
          <w:bCs/>
          <w:lang w:val="en-GB"/>
        </w:rPr>
        <w:t xml:space="preserve"> were as follows: 48.2% in ileal involvement, 19% in colonic involvement and 32.8% in ileocolonic involvement</w:t>
      </w:r>
      <w:r w:rsidRPr="004E72CC">
        <w:rPr>
          <w:rStyle w:val="spellingerror"/>
          <w:rFonts w:ascii="Book Antiqua" w:hAnsi="Book Antiqua" w:cstheme="minorHAnsi"/>
          <w:bCs/>
          <w:lang w:val="en-GB"/>
        </w:rPr>
        <w:t>.</w:t>
      </w:r>
      <w:r w:rsidRPr="004E72CC">
        <w:rPr>
          <w:rFonts w:ascii="Book Antiqua" w:hAnsi="Book Antiqua" w:cstheme="minorHAnsi"/>
          <w:color w:val="FF0000"/>
          <w:lang w:val="en-GB"/>
        </w:rPr>
        <w:t xml:space="preserve"> </w:t>
      </w:r>
      <w:r w:rsidRPr="004E72CC">
        <w:rPr>
          <w:rFonts w:ascii="Book Antiqua" w:hAnsi="Book Antiqua" w:cstheme="minorHAnsi"/>
          <w:lang w:val="en-GB"/>
        </w:rPr>
        <w:t>Furthermore, </w:t>
      </w:r>
      <w:r w:rsidRPr="004E72CC">
        <w:rPr>
          <w:rFonts w:ascii="Book Antiqua" w:hAnsi="Book Antiqua" w:cstheme="minorHAnsi"/>
        </w:rPr>
        <w:t>27.5% of UC patients had proctitis (E1) involvement while 41% of them had involvement in left colitis (E2) and 31.5% had pancolitis</w:t>
      </w:r>
      <w:r w:rsidRPr="00DE713F">
        <w:rPr>
          <w:rFonts w:ascii="Book Antiqua" w:hAnsi="Book Antiqua" w:cstheme="minorHAnsi"/>
        </w:rPr>
        <w:t xml:space="preserve"> involvement</w:t>
      </w:r>
      <w:r w:rsidRPr="004E72CC">
        <w:rPr>
          <w:rFonts w:ascii="Book Antiqua" w:hAnsi="Book Antiqua" w:cstheme="minorHAnsi"/>
          <w:lang w:val="en-GB"/>
        </w:rPr>
        <w:t xml:space="preserve">. </w:t>
      </w:r>
      <w:r w:rsidRPr="004E72CC">
        <w:rPr>
          <w:rStyle w:val="normaltextrun"/>
          <w:rFonts w:ascii="Book Antiqua" w:hAnsi="Book Antiqua" w:cstheme="minorHAnsi"/>
          <w:bCs/>
          <w:lang w:val="en-GB"/>
        </w:rPr>
        <w:t>There was no significant relation between anaemia frequency and duration of disease (</w:t>
      </w:r>
      <w:r w:rsidR="00E0787C" w:rsidRPr="00E0787C">
        <w:rPr>
          <w:rStyle w:val="normaltextrun"/>
          <w:rFonts w:ascii="Book Antiqua" w:hAnsi="Book Antiqua" w:cstheme="minorHAnsi"/>
          <w:bCs/>
          <w:i/>
          <w:lang w:val="en-GB"/>
        </w:rPr>
        <w:t>P</w:t>
      </w:r>
      <w:r w:rsid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w:t>
      </w:r>
      <w:r w:rsidR="00E0787C">
        <w:rPr>
          <w:rStyle w:val="normaltextrun"/>
          <w:rFonts w:ascii="Book Antiqua" w:hAnsi="Book Antiqua" w:cstheme="minorHAnsi"/>
          <w:bCs/>
          <w:lang w:val="en-GB"/>
        </w:rPr>
        <w:t xml:space="preserve"> </w:t>
      </w:r>
      <w:r w:rsidRPr="00E0787C">
        <w:rPr>
          <w:rStyle w:val="normaltextrun"/>
          <w:rFonts w:ascii="Book Antiqua" w:hAnsi="Book Antiqua" w:cstheme="minorHAnsi"/>
          <w:bCs/>
          <w:lang w:val="en-GB"/>
        </w:rPr>
        <w:t>0.55).</w:t>
      </w:r>
      <w:r w:rsidRPr="004E72CC">
        <w:rPr>
          <w:rStyle w:val="normaltextrun"/>
          <w:rFonts w:ascii="Book Antiqua" w:hAnsi="Book Antiqua" w:cstheme="minorHAnsi"/>
          <w:b/>
          <w:bCs/>
          <w:lang w:val="en-GB"/>
        </w:rPr>
        <w:t> </w:t>
      </w:r>
      <w:r w:rsidRPr="00E0787C">
        <w:rPr>
          <w:rStyle w:val="normaltextrun"/>
          <w:rFonts w:ascii="Book Antiqua" w:hAnsi="Book Antiqua" w:cstheme="minorHAnsi"/>
          <w:bCs/>
          <w:lang w:val="en-GB"/>
        </w:rPr>
        <w:t xml:space="preserve">We specified the following types of anaemia: </w:t>
      </w:r>
      <w:r w:rsidR="00E0787C" w:rsidRPr="00614FC6">
        <w:rPr>
          <w:rFonts w:ascii="Book Antiqua" w:hAnsi="Book Antiqua" w:cstheme="minorHAnsi"/>
        </w:rPr>
        <w:t>Iron deficiency anemia (IDA)</w:t>
      </w:r>
      <w:r w:rsidRPr="00F75508">
        <w:rPr>
          <w:color w:val="000000" w:themeColor="text1"/>
        </w:rPr>
        <w:t xml:space="preserve"> was the most common type of anemia (29.9%). Moreover, since anemia parameters have not been evaluated during follow-up of 15.3% of patients, the etiology of anemia has not been clarified.</w:t>
      </w:r>
      <w:r w:rsidRPr="00F75508">
        <w:rPr>
          <w:rStyle w:val="normaltextrun"/>
          <w:rFonts w:ascii="Book Antiqua" w:hAnsi="Book Antiqua" w:cstheme="minorHAnsi"/>
          <w:bCs/>
          <w:color w:val="000000" w:themeColor="text1"/>
          <w:lang w:val="en-GB"/>
        </w:rPr>
        <w:t xml:space="preserve"> 50% of patients with anaemia received treatment; 23% of IDA patients had oral iron intake and 41% of them had parenteral iron treatment while 53% of patients who were suffering from megaloblastic anaemia got </w:t>
      </w:r>
      <w:r w:rsidRPr="00F75508">
        <w:rPr>
          <w:rStyle w:val="normaltextrun"/>
          <w:rFonts w:ascii="Book Antiqua" w:hAnsi="Book Antiqua" w:cstheme="minorHAnsi"/>
          <w:bCs/>
          <w:lang w:val="en-GB"/>
        </w:rPr>
        <w:t>B</w:t>
      </w:r>
      <w:r w:rsidRPr="00F75508">
        <w:rPr>
          <w:rStyle w:val="normaltextrun"/>
          <w:rFonts w:ascii="Book Antiqua" w:hAnsi="Book Antiqua" w:cstheme="minorHAnsi"/>
          <w:bCs/>
          <w:vertAlign w:val="subscript"/>
          <w:lang w:val="en-GB"/>
        </w:rPr>
        <w:t>12</w:t>
      </w:r>
      <w:r w:rsidRPr="00F75508">
        <w:rPr>
          <w:rStyle w:val="normaltextrun"/>
          <w:rFonts w:ascii="Book Antiqua" w:hAnsi="Book Antiqua" w:cstheme="minorHAnsi"/>
          <w:bCs/>
          <w:lang w:val="en-GB"/>
        </w:rPr>
        <w:t xml:space="preserve">/ </w:t>
      </w:r>
      <w:r w:rsidRPr="00F75508">
        <w:rPr>
          <w:rStyle w:val="spellingerror"/>
          <w:rFonts w:ascii="Book Antiqua" w:hAnsi="Book Antiqua" w:cstheme="minorHAnsi"/>
          <w:bCs/>
          <w:lang w:val="en-GB"/>
        </w:rPr>
        <w:t>folic</w:t>
      </w:r>
      <w:r w:rsidRPr="00F75508">
        <w:rPr>
          <w:rStyle w:val="normaltextrun"/>
          <w:rFonts w:ascii="Book Antiqua" w:hAnsi="Book Antiqua" w:cstheme="minorHAnsi"/>
          <w:bCs/>
          <w:lang w:val="en-GB"/>
        </w:rPr>
        <w:t xml:space="preserve"> acid treatment.</w:t>
      </w:r>
    </w:p>
    <w:p w14:paraId="082C32C6" w14:textId="77777777" w:rsidR="00FB22A9" w:rsidRPr="00E0787C" w:rsidRDefault="00BB5FAC" w:rsidP="008A0A74">
      <w:pPr>
        <w:pStyle w:val="paragraph"/>
        <w:snapToGrid w:val="0"/>
        <w:spacing w:line="360" w:lineRule="auto"/>
        <w:jc w:val="both"/>
        <w:textAlignment w:val="baseline"/>
        <w:rPr>
          <w:rStyle w:val="eop"/>
          <w:rFonts w:ascii="Book Antiqua" w:eastAsiaTheme="minorEastAsia" w:hAnsi="Book Antiqua" w:cstheme="minorHAnsi"/>
          <w:lang w:val="en-GB" w:eastAsia="zh-CN"/>
        </w:rPr>
      </w:pPr>
      <w:r w:rsidRPr="004E72CC">
        <w:rPr>
          <w:rStyle w:val="eop"/>
          <w:rFonts w:ascii="Book Antiqua" w:hAnsi="Book Antiqua" w:cstheme="minorHAnsi"/>
          <w:lang w:val="en-GB"/>
        </w:rPr>
        <w:lastRenderedPageBreak/>
        <w:t> </w:t>
      </w:r>
    </w:p>
    <w:p w14:paraId="5A5CE897" w14:textId="08E0E7EC" w:rsidR="00BB5FAC" w:rsidRPr="00F75508" w:rsidRDefault="00E0787C" w:rsidP="008A0A74">
      <w:pPr>
        <w:pStyle w:val="paragraph"/>
        <w:snapToGrid w:val="0"/>
        <w:spacing w:line="360" w:lineRule="auto"/>
        <w:jc w:val="both"/>
        <w:textAlignment w:val="baseline"/>
        <w:rPr>
          <w:rFonts w:ascii="Book Antiqua" w:hAnsi="Book Antiqua" w:cstheme="minorHAnsi"/>
          <w:i/>
          <w:lang w:val="en-GB"/>
        </w:rPr>
      </w:pPr>
      <w:r w:rsidRPr="00F75508">
        <w:rPr>
          <w:rStyle w:val="normaltextrun"/>
          <w:rFonts w:ascii="Book Antiqua" w:hAnsi="Book Antiqua" w:cstheme="minorHAnsi"/>
          <w:b/>
          <w:i/>
          <w:iCs/>
          <w:lang w:val="en-GB"/>
        </w:rPr>
        <w:t>CONCLUSION</w:t>
      </w:r>
    </w:p>
    <w:p w14:paraId="3953E17E" w14:textId="77777777" w:rsidR="00BB5FAC" w:rsidRPr="004E72CC" w:rsidRDefault="00BB5FAC" w:rsidP="008A0A74">
      <w:pPr>
        <w:pStyle w:val="paragraph"/>
        <w:snapToGrid w:val="0"/>
        <w:spacing w:line="360" w:lineRule="auto"/>
        <w:jc w:val="both"/>
        <w:textAlignment w:val="baseline"/>
        <w:rPr>
          <w:rFonts w:ascii="Book Antiqua" w:hAnsi="Book Antiqua" w:cstheme="minorHAnsi"/>
          <w:bCs/>
          <w:lang w:val="en-GB"/>
        </w:rPr>
      </w:pPr>
      <w:r w:rsidRPr="004E72CC">
        <w:rPr>
          <w:rStyle w:val="normaltextrun"/>
          <w:rFonts w:ascii="Book Antiqua" w:hAnsi="Book Antiqua" w:cstheme="minorHAnsi"/>
          <w:bCs/>
          <w:lang w:val="en-GB"/>
        </w:rPr>
        <w:t>We found out that almost half of all IBD patients (51.6%), whom we followed up, had anaemia, the most frequent reason of which was IDA. Almost half of these patients received anaemia treatment. We should increase the treatment rate in our IBD patients that have anaemia.</w:t>
      </w:r>
    </w:p>
    <w:p w14:paraId="072B11AF" w14:textId="77777777" w:rsidR="00FB22A9" w:rsidRPr="004E72CC" w:rsidRDefault="00FB22A9" w:rsidP="008A0A74">
      <w:pPr>
        <w:snapToGrid w:val="0"/>
        <w:spacing w:line="360" w:lineRule="auto"/>
        <w:jc w:val="both"/>
        <w:rPr>
          <w:rFonts w:ascii="Book Antiqua" w:hAnsi="Book Antiqua"/>
          <w:b/>
          <w:lang w:eastAsia="zh-CN"/>
        </w:rPr>
      </w:pPr>
    </w:p>
    <w:p w14:paraId="43461466" w14:textId="6F37640C" w:rsidR="005E4A4E" w:rsidRPr="004E72CC" w:rsidRDefault="000A59CE" w:rsidP="008A0A74">
      <w:pPr>
        <w:snapToGrid w:val="0"/>
        <w:spacing w:line="360" w:lineRule="auto"/>
        <w:jc w:val="both"/>
        <w:rPr>
          <w:rFonts w:ascii="Book Antiqua" w:hAnsi="Book Antiqua"/>
        </w:rPr>
      </w:pPr>
      <w:r w:rsidRPr="004E72CC">
        <w:rPr>
          <w:rFonts w:ascii="Book Antiqua" w:hAnsi="Book Antiqua"/>
          <w:b/>
        </w:rPr>
        <w:t xml:space="preserve">Key words: </w:t>
      </w:r>
      <w:r w:rsidRPr="004E72CC">
        <w:rPr>
          <w:rFonts w:ascii="Book Antiqua" w:hAnsi="Book Antiqua"/>
        </w:rPr>
        <w:t>Anemia</w:t>
      </w:r>
      <w:r w:rsidR="00E0787C">
        <w:rPr>
          <w:rFonts w:ascii="Book Antiqua" w:hAnsi="Book Antiqua"/>
        </w:rPr>
        <w:t>;</w:t>
      </w:r>
      <w:r w:rsidRPr="00E0787C">
        <w:rPr>
          <w:rFonts w:ascii="Book Antiqua" w:hAnsi="Book Antiqua"/>
        </w:rPr>
        <w:t xml:space="preserve"> </w:t>
      </w:r>
      <w:r w:rsidR="00E0787C">
        <w:rPr>
          <w:rFonts w:ascii="Book Antiqua" w:hAnsi="Book Antiqua"/>
        </w:rPr>
        <w:t>I</w:t>
      </w:r>
      <w:r w:rsidRPr="00E0787C">
        <w:rPr>
          <w:rFonts w:ascii="Book Antiqua" w:hAnsi="Book Antiqua"/>
        </w:rPr>
        <w:t>nflammatory bowel disease</w:t>
      </w:r>
      <w:r w:rsidR="00E0787C">
        <w:rPr>
          <w:rFonts w:ascii="Book Antiqua" w:hAnsi="Book Antiqua"/>
        </w:rPr>
        <w:t>;</w:t>
      </w:r>
      <w:r w:rsidRPr="00E0787C">
        <w:rPr>
          <w:rFonts w:ascii="Book Antiqua" w:hAnsi="Book Antiqua"/>
        </w:rPr>
        <w:t xml:space="preserve"> </w:t>
      </w:r>
      <w:r w:rsidR="00E0787C">
        <w:rPr>
          <w:rFonts w:ascii="Book Antiqua" w:hAnsi="Book Antiqua"/>
        </w:rPr>
        <w:t>A</w:t>
      </w:r>
      <w:r w:rsidRPr="00E0787C">
        <w:rPr>
          <w:rFonts w:ascii="Book Antiqua" w:hAnsi="Book Antiqua"/>
        </w:rPr>
        <w:t>nemia of iron deficiency</w:t>
      </w:r>
    </w:p>
    <w:p w14:paraId="1CAD4BD2" w14:textId="3F42897C" w:rsidR="005E4A4E" w:rsidRDefault="005E4A4E" w:rsidP="008A0A74">
      <w:pPr>
        <w:snapToGrid w:val="0"/>
        <w:spacing w:line="360" w:lineRule="auto"/>
        <w:jc w:val="both"/>
        <w:rPr>
          <w:rFonts w:ascii="Book Antiqua" w:hAnsi="Book Antiqua"/>
        </w:rPr>
      </w:pPr>
    </w:p>
    <w:p w14:paraId="70046AFB" w14:textId="77777777" w:rsidR="00E0787C" w:rsidRDefault="00E0787C" w:rsidP="00E0787C">
      <w:pPr>
        <w:spacing w:line="360" w:lineRule="auto"/>
        <w:jc w:val="both"/>
        <w:rPr>
          <w:rFonts w:ascii="Book Antiqua" w:hAnsi="Book Antiqua"/>
        </w:rPr>
      </w:pPr>
      <w:bookmarkStart w:id="58" w:name="OLE_LINK58"/>
      <w:bookmarkStart w:id="59" w:name="OLE_LINK59"/>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r w:rsidRPr="00831B2E">
        <w:rPr>
          <w:rFonts w:ascii="Book Antiqua" w:hAnsi="Book Antiqua"/>
        </w:rPr>
        <w:t xml:space="preserve"> </w:t>
      </w:r>
    </w:p>
    <w:bookmarkEnd w:id="58"/>
    <w:bookmarkEnd w:id="59"/>
    <w:p w14:paraId="7B61075D" w14:textId="77777777" w:rsidR="00E0787C" w:rsidRPr="00E0787C" w:rsidRDefault="00E0787C" w:rsidP="008A0A74">
      <w:pPr>
        <w:snapToGrid w:val="0"/>
        <w:spacing w:line="360" w:lineRule="auto"/>
        <w:jc w:val="both"/>
        <w:rPr>
          <w:rFonts w:ascii="Book Antiqua" w:hAnsi="Book Antiqua"/>
        </w:rPr>
      </w:pPr>
    </w:p>
    <w:p w14:paraId="680C5905" w14:textId="03514B6D" w:rsidR="008A1C7F" w:rsidRPr="00F75508" w:rsidRDefault="00FB22A9" w:rsidP="008A1C7F">
      <w:pPr>
        <w:pStyle w:val="paragraph"/>
        <w:spacing w:line="360" w:lineRule="auto"/>
        <w:jc w:val="both"/>
        <w:textAlignment w:val="baseline"/>
        <w:rPr>
          <w:rStyle w:val="normaltextrun"/>
          <w:rFonts w:ascii="Book Antiqua" w:hAnsi="Book Antiqua" w:cstheme="minorHAnsi"/>
          <w:lang w:val="en-GB"/>
        </w:rPr>
      </w:pPr>
      <w:bookmarkStart w:id="60" w:name="OLE_LINK1196"/>
      <w:bookmarkStart w:id="61" w:name="OLE_LINK1154"/>
      <w:bookmarkStart w:id="62" w:name="OLE_LINK1155"/>
      <w:bookmarkStart w:id="63" w:name="OLE_LINK1322"/>
      <w:bookmarkStart w:id="64" w:name="OLE_LINK1044"/>
      <w:bookmarkStart w:id="65" w:name="OLE_LINK1224"/>
      <w:bookmarkStart w:id="66" w:name="OLE_LINK1225"/>
      <w:bookmarkStart w:id="67" w:name="OLE_LINK1634"/>
      <w:bookmarkStart w:id="68" w:name="OLE_LINK1635"/>
      <w:bookmarkStart w:id="69" w:name="OLE_LINK1762"/>
      <w:bookmarkStart w:id="70" w:name="OLE_LINK1763"/>
      <w:bookmarkStart w:id="71" w:name="OLE_LINK1764"/>
      <w:bookmarkStart w:id="72" w:name="OLE_LINK1939"/>
      <w:bookmarkStart w:id="73" w:name="OLE_LINK2194"/>
      <w:bookmarkStart w:id="74" w:name="OLE_LINK2878"/>
      <w:bookmarkStart w:id="75" w:name="OLE_LINK531"/>
      <w:bookmarkStart w:id="76" w:name="OLE_LINK533"/>
      <w:bookmarkStart w:id="77" w:name="OLE_LINK711"/>
      <w:bookmarkStart w:id="78" w:name="OLE_LINK742"/>
      <w:bookmarkStart w:id="79" w:name="OLE_LINK905"/>
      <w:bookmarkStart w:id="80" w:name="OLE_LINK948"/>
      <w:bookmarkStart w:id="81" w:name="OLE_LINK949"/>
      <w:bookmarkStart w:id="82" w:name="OLE_LINK607"/>
      <w:bookmarkStart w:id="83" w:name="OLE_LINK609"/>
      <w:bookmarkStart w:id="84" w:name="OLE_LINK197"/>
      <w:bookmarkStart w:id="85" w:name="OLE_LINK198"/>
      <w:bookmarkStart w:id="86" w:name="OLE_LINK395"/>
      <w:bookmarkStart w:id="87" w:name="OLE_LINK409"/>
      <w:bookmarkStart w:id="88" w:name="OLE_LINK475"/>
      <w:bookmarkStart w:id="89" w:name="OLE_LINK476"/>
      <w:bookmarkStart w:id="90" w:name="OLE_LINK592"/>
      <w:bookmarkStart w:id="91" w:name="OLE_LINK698"/>
      <w:bookmarkStart w:id="92" w:name="OLE_LINK811"/>
      <w:bookmarkStart w:id="93" w:name="OLE_LINK832"/>
      <w:bookmarkStart w:id="94" w:name="OLE_LINK845"/>
      <w:bookmarkStart w:id="95" w:name="OLE_LINK936"/>
      <w:bookmarkStart w:id="96" w:name="OLE_LINK1012"/>
      <w:bookmarkStart w:id="97" w:name="OLE_LINK1033"/>
      <w:bookmarkStart w:id="98" w:name="OLE_LINK1068"/>
      <w:bookmarkStart w:id="99" w:name="OLE_LINK1080"/>
      <w:bookmarkStart w:id="100" w:name="OLE_LINK1085"/>
      <w:r w:rsidRPr="004E72CC">
        <w:rPr>
          <w:rFonts w:ascii="Book Antiqua" w:hAnsi="Book Antiqua"/>
          <w:b/>
          <w:highlight w:val="white"/>
          <w:lang w:val="en-US" w:eastAsia="zh-CN"/>
        </w:rPr>
        <w:t>C</w:t>
      </w:r>
      <w:bookmarkStart w:id="101" w:name="OLE_LINK786"/>
      <w:bookmarkStart w:id="102" w:name="OLE_LINK787"/>
      <w:r w:rsidRPr="004E72CC">
        <w:rPr>
          <w:rFonts w:ascii="Book Antiqua" w:hAnsi="Book Antiqua"/>
          <w:b/>
          <w:highlight w:val="white"/>
          <w:lang w:val="en-US" w:eastAsia="zh-CN"/>
        </w:rPr>
        <w:t>ore tip:</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E72CC">
        <w:rPr>
          <w:rFonts w:ascii="Book Antiqua" w:hAnsi="Book Antiqua"/>
          <w:b/>
          <w:highlight w:val="white"/>
          <w:lang w:val="en-US" w:eastAsia="zh-CN"/>
        </w:rPr>
        <w:t xml:space="preserve"> </w:t>
      </w:r>
      <w:r w:rsidR="008A1C7F" w:rsidRPr="00F75508">
        <w:rPr>
          <w:rStyle w:val="normaltextrun"/>
          <w:rFonts w:ascii="Book Antiqua" w:hAnsi="Book Antiqua" w:cstheme="minorHAnsi"/>
          <w:bCs/>
          <w:lang w:val="en-GB"/>
        </w:rPr>
        <w:t xml:space="preserve">We conducted a retrospective study on 465 patients, who were diagnosed with </w:t>
      </w:r>
      <w:r w:rsidR="00E0787C" w:rsidRPr="00E0787C">
        <w:rPr>
          <w:rStyle w:val="normaltextrun"/>
          <w:rFonts w:ascii="Book Antiqua" w:hAnsi="Book Antiqua" w:cstheme="minorHAnsi"/>
          <w:bCs/>
          <w:iCs/>
          <w:lang w:val="en-GB"/>
        </w:rPr>
        <w:t>inflammatory bowel disease (IBD)</w:t>
      </w:r>
      <w:r w:rsidR="008A1C7F" w:rsidRPr="00F75508">
        <w:rPr>
          <w:rStyle w:val="normaltextrun"/>
          <w:rFonts w:ascii="Book Antiqua" w:hAnsi="Book Antiqua" w:cstheme="minorHAnsi"/>
          <w:bCs/>
          <w:lang w:val="en-GB"/>
        </w:rPr>
        <w:t xml:space="preserve"> and we determined that 51.6% of total 465 patients had anemia, which was more frequent in women then men (64% </w:t>
      </w:r>
      <w:r w:rsidR="008A1C7F" w:rsidRPr="00F75508">
        <w:rPr>
          <w:rStyle w:val="normaltextrun"/>
          <w:rFonts w:ascii="Book Antiqua" w:hAnsi="Book Antiqua" w:cstheme="minorHAnsi"/>
          <w:bCs/>
          <w:i/>
          <w:lang w:val="en-GB"/>
        </w:rPr>
        <w:t>vs</w:t>
      </w:r>
      <w:r w:rsidR="008A1C7F" w:rsidRPr="00F75508">
        <w:rPr>
          <w:rStyle w:val="normaltextrun"/>
          <w:rFonts w:ascii="Book Antiqua" w:hAnsi="Book Antiqua" w:cstheme="minorHAnsi"/>
          <w:bCs/>
          <w:lang w:val="en-GB"/>
        </w:rPr>
        <w:t xml:space="preserve"> 41.3%, </w:t>
      </w:r>
      <w:r w:rsidR="00E0787C" w:rsidRPr="00E0787C">
        <w:rPr>
          <w:rStyle w:val="normaltextrun"/>
          <w:rFonts w:ascii="Book Antiqua" w:hAnsi="Book Antiqua" w:cstheme="minorHAnsi"/>
          <w:bCs/>
          <w:i/>
          <w:lang w:val="en-GB"/>
        </w:rPr>
        <w:t>P</w:t>
      </w:r>
      <w:r w:rsidR="00E0787C">
        <w:rPr>
          <w:rStyle w:val="normaltextrun"/>
          <w:rFonts w:ascii="Book Antiqua" w:hAnsi="Book Antiqua" w:cstheme="minorHAnsi"/>
          <w:bCs/>
          <w:lang w:val="en-GB"/>
        </w:rPr>
        <w:t xml:space="preserve"> </w:t>
      </w:r>
      <w:r w:rsidR="008A1C7F" w:rsidRPr="00F75508">
        <w:rPr>
          <w:rStyle w:val="normaltextrun"/>
          <w:rFonts w:ascii="Book Antiqua" w:hAnsi="Book Antiqua" w:cstheme="minorHAnsi"/>
          <w:bCs/>
          <w:lang w:val="en-GB"/>
        </w:rPr>
        <w:t>&lt;</w:t>
      </w:r>
      <w:r w:rsidR="00E0787C">
        <w:rPr>
          <w:rStyle w:val="normaltextrun"/>
          <w:rFonts w:ascii="Book Antiqua" w:hAnsi="Book Antiqua" w:cstheme="minorHAnsi"/>
          <w:bCs/>
          <w:lang w:val="en-GB"/>
        </w:rPr>
        <w:t xml:space="preserve"> </w:t>
      </w:r>
      <w:r w:rsidR="008A1C7F" w:rsidRPr="00F75508">
        <w:rPr>
          <w:rStyle w:val="normaltextrun"/>
          <w:rFonts w:ascii="Book Antiqua" w:hAnsi="Book Antiqua" w:cstheme="minorHAnsi"/>
          <w:bCs/>
          <w:lang w:val="en-GB"/>
        </w:rPr>
        <w:t xml:space="preserve">0.001). Anemia frequency was higher in </w:t>
      </w:r>
      <w:r w:rsidR="002A2564" w:rsidRPr="002A2564">
        <w:rPr>
          <w:rFonts w:ascii="Book Antiqua" w:hAnsi="Book Antiqua"/>
          <w:lang w:val="en-US"/>
        </w:rPr>
        <w:t>Crohn's disease</w:t>
      </w:r>
      <w:r w:rsidR="003F589C">
        <w:rPr>
          <w:rStyle w:val="normaltextrun"/>
          <w:rFonts w:ascii="Book Antiqua" w:eastAsiaTheme="minorEastAsia" w:hAnsi="Book Antiqua" w:cstheme="minorHAnsi" w:hint="eastAsia"/>
          <w:bCs/>
          <w:lang w:val="en-GB" w:eastAsia="zh-CN"/>
        </w:rPr>
        <w:t xml:space="preserve"> </w:t>
      </w:r>
      <w:r w:rsidR="008A1C7F" w:rsidRPr="00F75508">
        <w:rPr>
          <w:rStyle w:val="normaltextrun"/>
          <w:rFonts w:ascii="Book Antiqua" w:hAnsi="Book Antiqua" w:cstheme="minorHAnsi"/>
          <w:bCs/>
          <w:lang w:val="en-GB"/>
        </w:rPr>
        <w:t>cases (57.6%) th</w:t>
      </w:r>
      <w:r w:rsidR="002A2564">
        <w:rPr>
          <w:rStyle w:val="normaltextrun"/>
          <w:rFonts w:ascii="Book Antiqua" w:hAnsi="Book Antiqua" w:cstheme="minorHAnsi"/>
          <w:bCs/>
          <w:lang w:val="en-GB"/>
        </w:rPr>
        <w:t>a</w:t>
      </w:r>
      <w:r w:rsidR="008A1C7F" w:rsidRPr="00F75508">
        <w:rPr>
          <w:rStyle w:val="normaltextrun"/>
          <w:rFonts w:ascii="Book Antiqua" w:hAnsi="Book Antiqua" w:cstheme="minorHAnsi"/>
          <w:bCs/>
          <w:lang w:val="en-GB"/>
        </w:rPr>
        <w:t xml:space="preserve">n in </w:t>
      </w:r>
      <w:r w:rsidR="002A2564">
        <w:rPr>
          <w:rStyle w:val="normaltextrun"/>
          <w:rFonts w:ascii="Book Antiqua" w:hAnsi="Book Antiqua" w:cstheme="minorHAnsi"/>
          <w:bCs/>
          <w:lang w:val="en-GB"/>
        </w:rPr>
        <w:t>ulcerative c</w:t>
      </w:r>
      <w:r w:rsidR="002A2564" w:rsidRPr="00E0787C">
        <w:rPr>
          <w:rStyle w:val="normaltextrun"/>
          <w:rFonts w:ascii="Book Antiqua" w:hAnsi="Book Antiqua" w:cstheme="minorHAnsi"/>
          <w:bCs/>
          <w:lang w:val="en-GB"/>
        </w:rPr>
        <w:t>olitis</w:t>
      </w:r>
      <w:r w:rsidR="003F589C">
        <w:rPr>
          <w:rStyle w:val="normaltextrun"/>
          <w:rFonts w:ascii="Book Antiqua" w:eastAsiaTheme="minorEastAsia" w:hAnsi="Book Antiqua" w:cstheme="minorHAnsi" w:hint="eastAsia"/>
          <w:bCs/>
          <w:lang w:val="en-GB" w:eastAsia="zh-CN"/>
        </w:rPr>
        <w:t xml:space="preserve"> </w:t>
      </w:r>
      <w:r w:rsidR="008A1C7F" w:rsidRPr="00F75508">
        <w:rPr>
          <w:rStyle w:val="normaltextrun"/>
          <w:rFonts w:ascii="Book Antiqua" w:hAnsi="Book Antiqua" w:cstheme="minorHAnsi"/>
          <w:bCs/>
          <w:lang w:val="en-GB"/>
        </w:rPr>
        <w:t>cases (44.2%) (</w:t>
      </w:r>
      <w:r w:rsidR="00E0787C" w:rsidRPr="00E0787C">
        <w:rPr>
          <w:rStyle w:val="normaltextrun"/>
          <w:rFonts w:ascii="Book Antiqua" w:hAnsi="Book Antiqua" w:cstheme="minorHAnsi"/>
          <w:bCs/>
          <w:i/>
          <w:lang w:val="en-GB"/>
        </w:rPr>
        <w:t>P</w:t>
      </w:r>
      <w:r w:rsidR="00E0787C">
        <w:rPr>
          <w:rStyle w:val="normaltextrun"/>
          <w:rFonts w:ascii="Book Antiqua" w:hAnsi="Book Antiqua" w:cstheme="minorHAnsi"/>
          <w:bCs/>
          <w:lang w:val="en-GB"/>
        </w:rPr>
        <w:t xml:space="preserve"> </w:t>
      </w:r>
      <w:r w:rsidR="008A1C7F" w:rsidRPr="00F75508">
        <w:rPr>
          <w:rStyle w:val="normaltextrun"/>
          <w:rFonts w:ascii="Book Antiqua" w:hAnsi="Book Antiqua" w:cstheme="minorHAnsi"/>
          <w:bCs/>
          <w:lang w:val="en-GB"/>
        </w:rPr>
        <w:t>=</w:t>
      </w:r>
      <w:r w:rsidR="00E0787C">
        <w:rPr>
          <w:rStyle w:val="normaltextrun"/>
          <w:rFonts w:ascii="Book Antiqua" w:hAnsi="Book Antiqua" w:cstheme="minorHAnsi"/>
          <w:bCs/>
          <w:lang w:val="en-GB"/>
        </w:rPr>
        <w:t xml:space="preserve"> </w:t>
      </w:r>
      <w:r w:rsidR="008A1C7F" w:rsidRPr="00F75508">
        <w:rPr>
          <w:rStyle w:val="normaltextrun"/>
          <w:rFonts w:ascii="Book Antiqua" w:hAnsi="Book Antiqua" w:cstheme="minorHAnsi"/>
          <w:bCs/>
          <w:lang w:val="en-GB"/>
        </w:rPr>
        <w:t>0</w:t>
      </w:r>
      <w:r w:rsidR="00E0787C">
        <w:rPr>
          <w:rStyle w:val="normaltextrun"/>
          <w:rFonts w:ascii="Book Antiqua" w:hAnsi="Book Antiqua" w:cstheme="minorHAnsi"/>
          <w:bCs/>
          <w:lang w:val="en-GB"/>
        </w:rPr>
        <w:t>.</w:t>
      </w:r>
      <w:r w:rsidR="008A1C7F" w:rsidRPr="00F75508">
        <w:rPr>
          <w:rStyle w:val="normaltextrun"/>
          <w:rFonts w:ascii="Book Antiqua" w:hAnsi="Book Antiqua" w:cstheme="minorHAnsi"/>
          <w:bCs/>
          <w:lang w:val="en-GB"/>
        </w:rPr>
        <w:t>004).</w:t>
      </w:r>
      <w:r w:rsidR="00E0787C">
        <w:rPr>
          <w:rStyle w:val="normaltextrun"/>
          <w:rFonts w:ascii="Book Antiqua" w:hAnsi="Book Antiqua" w:cstheme="minorHAnsi"/>
          <w:bCs/>
          <w:lang w:val="en-GB"/>
        </w:rPr>
        <w:t xml:space="preserve"> </w:t>
      </w:r>
      <w:r w:rsidR="008A1C7F" w:rsidRPr="00F75508">
        <w:rPr>
          <w:rFonts w:ascii="Book Antiqua" w:hAnsi="Book Antiqua" w:cstheme="minorHAnsi"/>
        </w:rPr>
        <w:t>No</w:t>
      </w:r>
      <w:r w:rsidR="00E0787C">
        <w:rPr>
          <w:rFonts w:ascii="Book Antiqua" w:hAnsi="Book Antiqua" w:cstheme="minorHAnsi"/>
        </w:rPr>
        <w:t xml:space="preserve"> </w:t>
      </w:r>
      <w:r w:rsidR="008A1C7F" w:rsidRPr="00F75508">
        <w:rPr>
          <w:rFonts w:ascii="Book Antiqua" w:hAnsi="Book Antiqua" w:cstheme="minorHAnsi"/>
        </w:rPr>
        <w:t>relation has been found between the presence of anemia and disease duration (</w:t>
      </w:r>
      <w:bookmarkStart w:id="103" w:name="OLE_LINK43"/>
      <w:r w:rsidR="00E0787C" w:rsidRPr="00E0787C">
        <w:rPr>
          <w:rFonts w:ascii="Book Antiqua" w:hAnsi="Book Antiqua" w:cstheme="minorHAnsi"/>
          <w:i/>
        </w:rPr>
        <w:t>P</w:t>
      </w:r>
      <w:r w:rsidR="00E0787C">
        <w:rPr>
          <w:rFonts w:ascii="Book Antiqua" w:hAnsi="Book Antiqua" w:cstheme="minorHAnsi"/>
        </w:rPr>
        <w:t xml:space="preserve"> </w:t>
      </w:r>
      <w:bookmarkEnd w:id="103"/>
      <w:r w:rsidR="008A1C7F" w:rsidRPr="00F75508">
        <w:rPr>
          <w:rFonts w:ascii="Book Antiqua" w:hAnsi="Book Antiqua" w:cstheme="minorHAnsi"/>
        </w:rPr>
        <w:t>=</w:t>
      </w:r>
      <w:r w:rsidR="00E0787C">
        <w:rPr>
          <w:rFonts w:ascii="Book Antiqua" w:hAnsi="Book Antiqua" w:cstheme="minorHAnsi"/>
        </w:rPr>
        <w:t xml:space="preserve"> </w:t>
      </w:r>
      <w:r w:rsidR="008A1C7F" w:rsidRPr="00F75508">
        <w:rPr>
          <w:rFonts w:ascii="Book Antiqua" w:hAnsi="Book Antiqua" w:cstheme="minorHAnsi"/>
        </w:rPr>
        <w:t>0.55). Iron deficiency anemia</w:t>
      </w:r>
      <w:r w:rsidR="008F5F28">
        <w:rPr>
          <w:rFonts w:ascii="Book Antiqua" w:eastAsiaTheme="minorEastAsia" w:hAnsi="Book Antiqua" w:cstheme="minorHAnsi" w:hint="eastAsia"/>
          <w:lang w:eastAsia="zh-CN"/>
        </w:rPr>
        <w:t xml:space="preserve"> </w:t>
      </w:r>
      <w:r w:rsidR="008A1C7F" w:rsidRPr="00F75508">
        <w:rPr>
          <w:rFonts w:ascii="Book Antiqua" w:hAnsi="Book Antiqua" w:cstheme="minorHAnsi"/>
        </w:rPr>
        <w:t xml:space="preserve">was the most common type of anemia (29.9%). The factors that are related to anemia among </w:t>
      </w:r>
      <w:r w:rsidR="00E0787C" w:rsidRPr="00E0787C">
        <w:rPr>
          <w:rStyle w:val="normaltextrun"/>
          <w:rFonts w:ascii="Book Antiqua" w:hAnsi="Book Antiqua" w:cstheme="minorHAnsi"/>
          <w:bCs/>
          <w:iCs/>
          <w:lang w:val="en-GB"/>
        </w:rPr>
        <w:t>IBD</w:t>
      </w:r>
      <w:r w:rsidR="008A1C7F" w:rsidRPr="00F75508">
        <w:rPr>
          <w:rFonts w:ascii="Book Antiqua" w:hAnsi="Book Antiqua" w:cstheme="minorHAnsi"/>
        </w:rPr>
        <w:t xml:space="preserve"> patients are female sex, drug therapy (corticosteroids, AZA/MTX, Anti-TNF) and high C-reactive protein</w:t>
      </w:r>
      <w:r w:rsidR="008F5F28">
        <w:rPr>
          <w:rFonts w:ascii="Book Antiqua" w:eastAsiaTheme="minorEastAsia" w:hAnsi="Book Antiqua" w:cstheme="minorHAnsi" w:hint="eastAsia"/>
          <w:lang w:eastAsia="zh-CN"/>
        </w:rPr>
        <w:t xml:space="preserve"> </w:t>
      </w:r>
      <w:r w:rsidR="008A1C7F" w:rsidRPr="00F75508">
        <w:rPr>
          <w:rFonts w:ascii="Book Antiqua" w:hAnsi="Book Antiqua" w:cstheme="minorHAnsi"/>
        </w:rPr>
        <w:t xml:space="preserve">levels. </w:t>
      </w:r>
      <w:r w:rsidR="008A1C7F" w:rsidRPr="00F75508">
        <w:rPr>
          <w:rStyle w:val="normaltextrun"/>
          <w:rFonts w:ascii="Book Antiqua" w:hAnsi="Book Antiqua" w:cstheme="minorHAnsi"/>
          <w:bCs/>
          <w:lang w:val="en-GB"/>
        </w:rPr>
        <w:t>Fifty percent of patients with anemia received treatment.</w:t>
      </w:r>
    </w:p>
    <w:p w14:paraId="7A557BEF" w14:textId="77777777" w:rsidR="00FB22A9" w:rsidRPr="004A53C1" w:rsidRDefault="00FB22A9" w:rsidP="00FB22A9">
      <w:pPr>
        <w:snapToGrid w:val="0"/>
        <w:spacing w:line="360" w:lineRule="auto"/>
        <w:jc w:val="both"/>
        <w:rPr>
          <w:rFonts w:ascii="Book Antiqua" w:hAnsi="Book Antiqua" w:cs="Times New Roman"/>
          <w:lang w:val="en-GB"/>
        </w:rPr>
      </w:pPr>
      <w:bookmarkStart w:id="104" w:name="OLE_LINK286"/>
      <w:bookmarkStart w:id="105" w:name="OLE_LINK287"/>
      <w:bookmarkStart w:id="106" w:name="OLE_LINK310"/>
      <w:bookmarkStart w:id="107" w:name="OLE_LINK579"/>
      <w:bookmarkStart w:id="108" w:name="OLE_LINK712"/>
      <w:bookmarkStart w:id="109" w:name="OLE_LINK232"/>
      <w:bookmarkStart w:id="110" w:name="OLE_LINK233"/>
      <w:bookmarkStart w:id="111" w:name="OLE_LINK271"/>
      <w:bookmarkStart w:id="112" w:name="OLE_LINK311"/>
      <w:bookmarkStart w:id="113" w:name="OLE_LINK452"/>
      <w:bookmarkStart w:id="114" w:name="OLE_LINK753"/>
      <w:bookmarkStart w:id="115" w:name="OLE_LINK775"/>
      <w:bookmarkStart w:id="116" w:name="OLE_LINK892"/>
      <w:bookmarkStart w:id="117" w:name="OLE_LINK907"/>
      <w:bookmarkStart w:id="118" w:name="OLE_LINK924"/>
      <w:bookmarkStart w:id="119" w:name="OLE_LINK1016"/>
      <w:bookmarkEnd w:id="75"/>
      <w:bookmarkEnd w:id="76"/>
      <w:bookmarkEnd w:id="77"/>
      <w:bookmarkEnd w:id="78"/>
      <w:bookmarkEnd w:id="79"/>
      <w:bookmarkEnd w:id="80"/>
      <w:bookmarkEnd w:id="81"/>
    </w:p>
    <w:p w14:paraId="3C8087F8" w14:textId="69432BA3" w:rsidR="00FB22A9" w:rsidRPr="00F75508" w:rsidRDefault="008A1C7F" w:rsidP="00FB22A9">
      <w:pPr>
        <w:snapToGrid w:val="0"/>
        <w:spacing w:line="360" w:lineRule="auto"/>
        <w:jc w:val="both"/>
        <w:rPr>
          <w:rFonts w:ascii="Book Antiqua" w:hAnsi="Book Antiqua"/>
          <w:lang w:val="en-US" w:eastAsia="zh-CN"/>
        </w:rPr>
      </w:pPr>
      <w:bookmarkStart w:id="120" w:name="OLE_LINK47"/>
      <w:bookmarkStart w:id="121" w:name="OLE_LINK48"/>
      <w:bookmarkStart w:id="122" w:name="OLE_LINK3"/>
      <w:bookmarkStart w:id="123" w:name="OLE_LINK4"/>
      <w:bookmarkStart w:id="124" w:name="OLE_LINK70"/>
      <w:bookmarkStart w:id="125" w:name="OLE_LINK118"/>
      <w:bookmarkStart w:id="126" w:name="OLE_LINK145"/>
      <w:bookmarkStart w:id="127" w:name="OLE_LINK218"/>
      <w:bookmarkStart w:id="128" w:name="OLE_LINK520"/>
      <w:bookmarkStart w:id="129" w:name="OLE_LINK537"/>
      <w:bookmarkStart w:id="130" w:name="OLE_LINK598"/>
      <w:bookmarkStart w:id="131" w:name="OLE_LINK728"/>
      <w:bookmarkStart w:id="132" w:name="OLE_LINK745"/>
      <w:bookmarkEnd w:id="82"/>
      <w:bookmarkEnd w:id="83"/>
      <w:r w:rsidRPr="00F75508">
        <w:rPr>
          <w:rFonts w:ascii="Book Antiqua" w:hAnsi="Book Antiqua" w:cs="Times New Roman"/>
        </w:rPr>
        <w:t xml:space="preserve">Bengi G, Keyvan H, Durmaz SB, Akpınar H. </w:t>
      </w:r>
      <w:r w:rsidR="006E1A1C" w:rsidRPr="00F75508">
        <w:rPr>
          <w:rFonts w:ascii="Book Antiqua" w:hAnsi="Book Antiqua"/>
          <w:lang w:val="en-US"/>
        </w:rPr>
        <w:t>Frequency, types</w:t>
      </w:r>
      <w:r w:rsidRPr="00F75508">
        <w:rPr>
          <w:rFonts w:ascii="Book Antiqua" w:hAnsi="Book Antiqua"/>
          <w:lang w:val="en-US"/>
        </w:rPr>
        <w:t xml:space="preserve"> and treatment of anemia in </w:t>
      </w:r>
      <w:r w:rsidRPr="00F75508">
        <w:rPr>
          <w:rFonts w:ascii="Book Antiqua" w:hAnsi="Book Antiqua"/>
          <w:caps/>
          <w:lang w:val="en-US"/>
        </w:rPr>
        <w:t>t</w:t>
      </w:r>
      <w:r w:rsidRPr="00F75508">
        <w:rPr>
          <w:rFonts w:ascii="Book Antiqua" w:hAnsi="Book Antiqua"/>
          <w:lang w:val="en-US"/>
        </w:rPr>
        <w:t>urkish patients with inflammatory bowel disease</w:t>
      </w:r>
      <w:bookmarkStart w:id="133" w:name="OLE_LINK1105"/>
      <w:bookmarkStart w:id="134" w:name="OLE_LINK1107"/>
      <w:bookmarkStart w:id="135" w:name="OLE_LINK200"/>
      <w:bookmarkStart w:id="136" w:name="OLE_LINK196"/>
      <w:bookmarkStart w:id="137" w:name="OLE_LINK341"/>
      <w:bookmarkStart w:id="138" w:name="OLE_LINK377"/>
      <w:bookmarkStart w:id="139" w:name="OLE_LINK366"/>
      <w:bookmarkStart w:id="140" w:name="OLE_LINK1038"/>
      <w:bookmarkStart w:id="141" w:name="OLE_LINK1166"/>
      <w:r w:rsidRPr="00F75508">
        <w:rPr>
          <w:rFonts w:ascii="Book Antiqua" w:hAnsi="Book Antiqua"/>
          <w:lang w:val="en-US" w:eastAsia="zh-CN"/>
        </w:rPr>
        <w:t xml:space="preserve">. </w:t>
      </w:r>
      <w:r w:rsidR="00FB22A9" w:rsidRPr="00F75508">
        <w:rPr>
          <w:rFonts w:ascii="Book Antiqua" w:hAnsi="Book Antiqua" w:cs="Times New Roman"/>
          <w:i/>
        </w:rPr>
        <w:t xml:space="preserve">World J Gastroenterol </w:t>
      </w:r>
      <w:r w:rsidR="00FB22A9" w:rsidRPr="00F75508">
        <w:rPr>
          <w:rFonts w:ascii="Book Antiqua" w:hAnsi="Book Antiqua" w:cs="Times New Roman"/>
        </w:rPr>
        <w:t>2018; In press</w:t>
      </w:r>
      <w:bookmarkEnd w:id="84"/>
      <w:bookmarkEnd w:id="85"/>
      <w:bookmarkEnd w:id="86"/>
      <w:bookmarkEnd w:id="87"/>
      <w:bookmarkEnd w:id="104"/>
      <w:bookmarkEnd w:id="105"/>
      <w:bookmarkEnd w:id="106"/>
      <w:bookmarkEnd w:id="107"/>
      <w:bookmarkEnd w:id="108"/>
      <w:bookmarkEnd w:id="120"/>
      <w:bookmarkEnd w:id="121"/>
      <w:bookmarkEnd w:id="133"/>
      <w:bookmarkEnd w:id="134"/>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9"/>
    <w:bookmarkEnd w:id="110"/>
    <w:bookmarkEnd w:id="111"/>
    <w:bookmarkEnd w:id="112"/>
    <w:bookmarkEnd w:id="113"/>
    <w:bookmarkEnd w:id="114"/>
    <w:bookmarkEnd w:id="115"/>
    <w:bookmarkEnd w:id="116"/>
    <w:bookmarkEnd w:id="117"/>
    <w:bookmarkEnd w:id="118"/>
    <w:bookmarkEnd w:id="119"/>
    <w:bookmarkEnd w:id="122"/>
    <w:bookmarkEnd w:id="123"/>
    <w:bookmarkEnd w:id="124"/>
    <w:bookmarkEnd w:id="125"/>
    <w:bookmarkEnd w:id="126"/>
    <w:bookmarkEnd w:id="127"/>
    <w:bookmarkEnd w:id="128"/>
    <w:bookmarkEnd w:id="129"/>
    <w:bookmarkEnd w:id="130"/>
    <w:bookmarkEnd w:id="131"/>
    <w:bookmarkEnd w:id="132"/>
    <w:bookmarkEnd w:id="135"/>
    <w:bookmarkEnd w:id="136"/>
    <w:bookmarkEnd w:id="137"/>
    <w:bookmarkEnd w:id="138"/>
    <w:bookmarkEnd w:id="139"/>
    <w:bookmarkEnd w:id="140"/>
    <w:bookmarkEnd w:id="141"/>
    <w:p w14:paraId="6DA6E4A3" w14:textId="77777777" w:rsidR="005E4A4E" w:rsidRPr="004E72CC" w:rsidRDefault="005E4A4E" w:rsidP="008A0A74">
      <w:pPr>
        <w:snapToGrid w:val="0"/>
        <w:spacing w:line="360" w:lineRule="auto"/>
        <w:jc w:val="both"/>
        <w:rPr>
          <w:rFonts w:ascii="Book Antiqua" w:hAnsi="Book Antiqua"/>
        </w:rPr>
      </w:pPr>
    </w:p>
    <w:p w14:paraId="5BF4A86D" w14:textId="77777777" w:rsidR="00FB22A9" w:rsidRPr="004E72CC" w:rsidRDefault="00FB22A9">
      <w:pPr>
        <w:rPr>
          <w:rFonts w:ascii="Book Antiqua" w:hAnsi="Book Antiqua"/>
          <w:b/>
        </w:rPr>
      </w:pPr>
      <w:r w:rsidRPr="004E72CC">
        <w:rPr>
          <w:rFonts w:ascii="Book Antiqua" w:hAnsi="Book Antiqua"/>
          <w:b/>
        </w:rPr>
        <w:br w:type="page"/>
      </w:r>
    </w:p>
    <w:p w14:paraId="7E69AEDA" w14:textId="77777777" w:rsidR="006E1A1C" w:rsidRPr="004E72CC" w:rsidRDefault="006E1A1C" w:rsidP="006E1A1C">
      <w:pPr>
        <w:spacing w:line="360" w:lineRule="auto"/>
        <w:rPr>
          <w:rFonts w:ascii="Book Antiqua" w:hAnsi="Book Antiqua"/>
          <w:b/>
          <w:lang w:val="en-US"/>
        </w:rPr>
      </w:pPr>
      <w:r w:rsidRPr="004E72CC">
        <w:rPr>
          <w:rFonts w:ascii="Book Antiqua" w:hAnsi="Book Antiqua"/>
          <w:b/>
          <w:lang w:val="en-US"/>
        </w:rPr>
        <w:lastRenderedPageBreak/>
        <w:t>INTRODUCTION</w:t>
      </w:r>
    </w:p>
    <w:p w14:paraId="3765D184" w14:textId="21540E60" w:rsidR="006E1A1C" w:rsidRPr="002A2564" w:rsidRDefault="006E1A1C" w:rsidP="006E1A1C">
      <w:pPr>
        <w:spacing w:line="360" w:lineRule="auto"/>
        <w:jc w:val="both"/>
        <w:rPr>
          <w:rFonts w:ascii="Book Antiqua" w:hAnsi="Book Antiqua"/>
          <w:lang w:val="en-US"/>
        </w:rPr>
      </w:pPr>
      <w:r w:rsidRPr="004E72CC">
        <w:rPr>
          <w:rFonts w:ascii="Book Antiqua" w:hAnsi="Book Antiqua"/>
          <w:lang w:val="en-US"/>
        </w:rPr>
        <w:t xml:space="preserve">Inflammatory bowel disease (IBD) is a </w:t>
      </w:r>
      <w:r w:rsidRPr="00E0787C">
        <w:rPr>
          <w:rFonts w:ascii="Book Antiqua" w:hAnsi="Book Antiqua"/>
          <w:lang w:val="en-US"/>
        </w:rPr>
        <w:t>chronic idiopathic disease wit</w:t>
      </w:r>
      <w:r w:rsidRPr="004E72CC">
        <w:rPr>
          <w:rFonts w:ascii="Book Antiqua" w:hAnsi="Book Antiqua"/>
          <w:lang w:val="en-US"/>
        </w:rPr>
        <w:t xml:space="preserve">h a relapsing and remitting course. There are two major types of IBD, including </w:t>
      </w:r>
      <w:r w:rsidRPr="002A2564">
        <w:rPr>
          <w:rFonts w:ascii="Book Antiqua" w:hAnsi="Book Antiqua"/>
          <w:lang w:val="en-US"/>
        </w:rPr>
        <w:t>Crohn's disease (CD) and ulcerative colitis (UC). The most common extra-intestinal finding seen in IBD patients is anemia, whi</w:t>
      </w:r>
      <w:r w:rsidRPr="00E0787C">
        <w:rPr>
          <w:rFonts w:ascii="Book Antiqua" w:hAnsi="Book Antiqua"/>
          <w:lang w:val="en-US"/>
        </w:rPr>
        <w:t>ch decreases both the quality of life and the abil</w:t>
      </w:r>
      <w:r w:rsidRPr="004E72CC">
        <w:rPr>
          <w:rFonts w:ascii="Book Antiqua" w:hAnsi="Book Antiqua"/>
          <w:lang w:val="en-US"/>
        </w:rPr>
        <w:t>ity to work. Fatigue and weakness are the most common complaints reported in IBD-related anemia. Moreover, IBD-related anemia has been associated with frequent hospitalizations, late hospital dis</w:t>
      </w:r>
      <w:r w:rsidRPr="00E0787C">
        <w:rPr>
          <w:rFonts w:ascii="Book Antiqua" w:hAnsi="Book Antiqua"/>
          <w:lang w:val="en-US"/>
        </w:rPr>
        <w:t>charge, increased health expenditures, co-morbidity for other</w:t>
      </w:r>
      <w:r w:rsidRPr="004E72CC">
        <w:rPr>
          <w:rFonts w:ascii="Book Antiqua" w:hAnsi="Book Antiqua"/>
          <w:lang w:val="en-US"/>
        </w:rPr>
        <w:t xml:space="preserve"> diseases </w:t>
      </w:r>
      <w:r w:rsidR="00955743">
        <w:rPr>
          <w:rFonts w:ascii="Book Antiqua" w:hAnsi="Book Antiqua"/>
          <w:lang w:val="en-US"/>
        </w:rPr>
        <w:t>[</w:t>
      </w:r>
      <w:r w:rsidRPr="00F75508">
        <w:rPr>
          <w:rFonts w:ascii="Book Antiqua" w:hAnsi="Book Antiqua"/>
          <w:i/>
          <w:lang w:val="en-US"/>
        </w:rPr>
        <w:t>e.g.</w:t>
      </w:r>
      <w:r w:rsidRPr="002A2564">
        <w:rPr>
          <w:rFonts w:ascii="Book Antiqua" w:hAnsi="Book Antiqua"/>
          <w:lang w:val="en-US"/>
        </w:rPr>
        <w:t>, transfusion-</w:t>
      </w:r>
      <w:r w:rsidRPr="002A2564">
        <w:rPr>
          <w:rFonts w:ascii="Book Antiqua" w:hAnsi="Book Antiqua"/>
        </w:rPr>
        <w:t xml:space="preserve">related Hepatitis C </w:t>
      </w:r>
      <w:r w:rsidR="002A2564">
        <w:rPr>
          <w:rFonts w:ascii="Book Antiqua" w:hAnsi="Book Antiqua"/>
        </w:rPr>
        <w:t xml:space="preserve">virus </w:t>
      </w:r>
      <w:r w:rsidR="002A2564" w:rsidRPr="002A2564">
        <w:rPr>
          <w:rFonts w:ascii="Book Antiqua" w:hAnsi="Book Antiqua"/>
        </w:rPr>
        <w:t>(HCV)</w:t>
      </w:r>
      <w:r w:rsidRPr="002A2564">
        <w:rPr>
          <w:rFonts w:ascii="Book Antiqua" w:hAnsi="Book Antiqua"/>
          <w:lang w:val="en-US"/>
        </w:rPr>
        <w:t xml:space="preserve">, </w:t>
      </w:r>
      <w:r w:rsidRPr="00F75508">
        <w:rPr>
          <w:rFonts w:ascii="Book Antiqua" w:hAnsi="Book Antiqua"/>
          <w:i/>
          <w:lang w:val="en-US"/>
        </w:rPr>
        <w:t>etc.</w:t>
      </w:r>
      <w:r w:rsidR="00955743">
        <w:rPr>
          <w:rFonts w:ascii="Book Antiqua" w:hAnsi="Book Antiqua"/>
          <w:lang w:val="en-US"/>
        </w:rPr>
        <w:t>]</w:t>
      </w:r>
      <w:r w:rsidRPr="002A2564">
        <w:rPr>
          <w:rFonts w:ascii="Book Antiqua" w:hAnsi="Book Antiqua"/>
          <w:lang w:val="en-US"/>
        </w:rPr>
        <w:t>, and most importantly, a significant increase in the risk of mortality</w:t>
      </w:r>
      <w:r w:rsidRPr="00F75508">
        <w:rPr>
          <w:rFonts w:ascii="Book Antiqua" w:hAnsi="Book Antiqua"/>
          <w:vertAlign w:val="superscript"/>
          <w:lang w:val="en-US"/>
        </w:rPr>
        <w:t>[1]</w:t>
      </w:r>
      <w:r w:rsidRPr="002A2564">
        <w:rPr>
          <w:rFonts w:ascii="Book Antiqua" w:hAnsi="Book Antiqua"/>
          <w:lang w:val="en-US"/>
        </w:rPr>
        <w:t xml:space="preserve">. </w:t>
      </w:r>
    </w:p>
    <w:p w14:paraId="58237338" w14:textId="51182E03" w:rsidR="006E1A1C" w:rsidRPr="004B4315" w:rsidRDefault="002A2564" w:rsidP="006E1A1C">
      <w:pPr>
        <w:spacing w:line="360" w:lineRule="auto"/>
        <w:jc w:val="both"/>
        <w:rPr>
          <w:rFonts w:ascii="Book Antiqua" w:hAnsi="Book Antiqua"/>
          <w:lang w:val="en-US"/>
        </w:rPr>
      </w:pPr>
      <w:r>
        <w:rPr>
          <w:rFonts w:ascii="Book Antiqua" w:hAnsi="Book Antiqua"/>
          <w:lang w:val="en-US"/>
        </w:rPr>
        <w:t xml:space="preserve">  </w:t>
      </w:r>
      <w:r w:rsidR="006E1A1C" w:rsidRPr="002A2564">
        <w:rPr>
          <w:rFonts w:ascii="Book Antiqua" w:hAnsi="Book Antiqua"/>
          <w:lang w:val="en-US"/>
        </w:rPr>
        <w:t>The prevalence of anemia is higher in IBD patients than in the general population, and ranges between 6% and 7</w:t>
      </w:r>
      <w:r w:rsidR="006E1A1C" w:rsidRPr="004E72CC">
        <w:rPr>
          <w:rFonts w:ascii="Book Antiqua" w:hAnsi="Book Antiqua"/>
          <w:lang w:val="en-US"/>
        </w:rPr>
        <w:t>4%</w:t>
      </w:r>
      <w:r w:rsidR="006E1A1C" w:rsidRPr="00F75508">
        <w:rPr>
          <w:rFonts w:ascii="Book Antiqua" w:hAnsi="Book Antiqua"/>
          <w:vertAlign w:val="superscript"/>
          <w:lang w:val="en-US"/>
        </w:rPr>
        <w:t>[2,3]</w:t>
      </w:r>
      <w:r w:rsidR="006E1A1C" w:rsidRPr="002A2564">
        <w:rPr>
          <w:rFonts w:ascii="Book Antiqua" w:hAnsi="Book Antiqua"/>
          <w:lang w:val="en-US"/>
        </w:rPr>
        <w:t xml:space="preserve">. According to a review of 22 articles published by Gisbert </w:t>
      </w:r>
      <w:r w:rsidRPr="00F75508">
        <w:rPr>
          <w:rFonts w:ascii="Book Antiqua" w:hAnsi="Book Antiqua"/>
          <w:i/>
          <w:lang w:val="en-US"/>
        </w:rPr>
        <w:t>et al</w:t>
      </w:r>
      <w:r w:rsidRPr="00F75508">
        <w:rPr>
          <w:rFonts w:ascii="Book Antiqua" w:hAnsi="Book Antiqua"/>
          <w:vertAlign w:val="superscript"/>
          <w:lang w:val="en-US"/>
        </w:rPr>
        <w:t>[2]</w:t>
      </w:r>
      <w:r w:rsidR="006E1A1C" w:rsidRPr="002A2564">
        <w:rPr>
          <w:rFonts w:ascii="Book Antiqua" w:hAnsi="Book Antiqua"/>
          <w:lang w:val="en-US"/>
        </w:rPr>
        <w:t>, the mean prevalence of anemia among IBD patients is 17% (95%CI</w:t>
      </w:r>
      <w:r>
        <w:rPr>
          <w:rFonts w:ascii="Book Antiqua" w:hAnsi="Book Antiqua"/>
          <w:lang w:val="en-US"/>
        </w:rPr>
        <w:t>:</w:t>
      </w:r>
      <w:r w:rsidR="006E1A1C" w:rsidRPr="002A2564">
        <w:rPr>
          <w:rFonts w:ascii="Book Antiqua" w:hAnsi="Book Antiqua"/>
          <w:lang w:val="en-US"/>
        </w:rPr>
        <w:t xml:space="preserve"> 16-18). In the meta-analysis by Filmann </w:t>
      </w:r>
      <w:r w:rsidR="006E1A1C" w:rsidRPr="00F75508">
        <w:rPr>
          <w:rFonts w:ascii="Book Antiqua" w:hAnsi="Book Antiqua"/>
          <w:i/>
          <w:lang w:val="en-US"/>
        </w:rPr>
        <w:t>et al</w:t>
      </w:r>
      <w:r w:rsidR="006E1A1C" w:rsidRPr="00F75508">
        <w:rPr>
          <w:rFonts w:ascii="Book Antiqua" w:hAnsi="Book Antiqua"/>
          <w:vertAlign w:val="superscript"/>
          <w:lang w:val="en-US"/>
        </w:rPr>
        <w:t>[4]</w:t>
      </w:r>
      <w:r w:rsidR="006E1A1C" w:rsidRPr="002A2564">
        <w:rPr>
          <w:rFonts w:ascii="Book Antiqua" w:hAnsi="Book Antiqua"/>
          <w:lang w:val="en-US"/>
        </w:rPr>
        <w:t>, the prevalence of anemia in 2192 IBD patients was rep</w:t>
      </w:r>
      <w:r w:rsidR="006E1A1C" w:rsidRPr="004E72CC">
        <w:rPr>
          <w:rFonts w:ascii="Book Antiqua" w:hAnsi="Book Antiqua"/>
          <w:lang w:val="en-US"/>
        </w:rPr>
        <w:t xml:space="preserve">orted as 24% (27% in CD patients and 21% in UC patients). A recent study by Koutroubakis </w:t>
      </w:r>
      <w:bookmarkStart w:id="142" w:name="OLE_LINK46"/>
      <w:r w:rsidR="006E1A1C" w:rsidRPr="00F75508">
        <w:rPr>
          <w:rFonts w:ascii="Book Antiqua" w:hAnsi="Book Antiqua"/>
          <w:i/>
          <w:lang w:val="en-US"/>
        </w:rPr>
        <w:t>et al</w:t>
      </w:r>
      <w:bookmarkEnd w:id="142"/>
      <w:r w:rsidR="006E1A1C" w:rsidRPr="00F75508">
        <w:rPr>
          <w:rFonts w:ascii="Book Antiqua" w:hAnsi="Book Antiqua"/>
          <w:vertAlign w:val="superscript"/>
          <w:lang w:val="en-US"/>
        </w:rPr>
        <w:t>[5]</w:t>
      </w:r>
      <w:r w:rsidR="006E1A1C" w:rsidRPr="004B4315">
        <w:rPr>
          <w:rFonts w:ascii="Book Antiqua" w:hAnsi="Book Antiqua"/>
          <w:lang w:val="en-US"/>
        </w:rPr>
        <w:t xml:space="preserve"> including 1821 patients (1077 CD, 744 UC) reported the prevalence of anemia as 50.1% (CD: 53.3%, UC: 44.7%). The first study to report on the incidence of</w:t>
      </w:r>
      <w:r w:rsidR="006E1A1C" w:rsidRPr="004E72CC">
        <w:rPr>
          <w:rFonts w:ascii="Book Antiqua" w:hAnsi="Book Antiqua"/>
          <w:lang w:val="en-US"/>
        </w:rPr>
        <w:t xml:space="preserve"> anemia in Turkish patients with IBD reported that 58.2% of 941 patients (62.1% of 375 CD patients and 55.7% of 566 UC patients) had anemia at least once during an 18</w:t>
      </w:r>
      <w:r w:rsidR="004B4315">
        <w:rPr>
          <w:rFonts w:ascii="Book Antiqua" w:hAnsi="Book Antiqua"/>
          <w:lang w:val="en-US"/>
        </w:rPr>
        <w:t>-</w:t>
      </w:r>
      <w:r w:rsidR="006E1A1C" w:rsidRPr="004B4315">
        <w:rPr>
          <w:rFonts w:ascii="Book Antiqua" w:hAnsi="Book Antiqua"/>
          <w:lang w:val="en-US"/>
        </w:rPr>
        <w:t>year follow-up period</w:t>
      </w:r>
      <w:r w:rsidR="006E1A1C" w:rsidRPr="00F75508">
        <w:rPr>
          <w:rFonts w:ascii="Book Antiqua" w:hAnsi="Book Antiqua"/>
          <w:vertAlign w:val="superscript"/>
          <w:lang w:val="en-US"/>
        </w:rPr>
        <w:t>[6]</w:t>
      </w:r>
      <w:r w:rsidR="006E1A1C" w:rsidRPr="004B4315">
        <w:rPr>
          <w:rFonts w:ascii="Book Antiqua" w:hAnsi="Book Antiqua"/>
          <w:lang w:val="en-US"/>
        </w:rPr>
        <w:t>.</w:t>
      </w:r>
    </w:p>
    <w:p w14:paraId="63080302" w14:textId="401CB7AF" w:rsidR="006E1A1C" w:rsidRPr="004E72CC" w:rsidRDefault="004B4315" w:rsidP="006E1A1C">
      <w:pPr>
        <w:spacing w:line="360" w:lineRule="auto"/>
        <w:jc w:val="both"/>
        <w:rPr>
          <w:rFonts w:ascii="Book Antiqua" w:hAnsi="Book Antiqua"/>
          <w:lang w:val="en-US"/>
        </w:rPr>
      </w:pPr>
      <w:r>
        <w:rPr>
          <w:rFonts w:ascii="Book Antiqua" w:hAnsi="Book Antiqua"/>
          <w:lang w:val="en-US"/>
        </w:rPr>
        <w:t xml:space="preserve">  </w:t>
      </w:r>
      <w:r w:rsidR="006E1A1C" w:rsidRPr="004B4315">
        <w:rPr>
          <w:rFonts w:ascii="Book Antiqua" w:hAnsi="Book Antiqua"/>
          <w:lang w:val="en-US"/>
        </w:rPr>
        <w:t>The most common causes of anemia in IBD are iron deficiency an</w:t>
      </w:r>
      <w:r w:rsidR="006E1A1C" w:rsidRPr="004E72CC">
        <w:rPr>
          <w:rFonts w:ascii="Book Antiqua" w:hAnsi="Book Antiqua"/>
          <w:lang w:val="en-US"/>
        </w:rPr>
        <w:t xml:space="preserve">emia (IDA) and </w:t>
      </w:r>
      <w:r w:rsidR="006E1A1C" w:rsidRPr="00E0787C">
        <w:rPr>
          <w:rFonts w:ascii="Book Antiqua" w:hAnsi="Book Antiqua"/>
          <w:lang w:val="en-US"/>
        </w:rPr>
        <w:t>chronic disease anemia (CDA)</w:t>
      </w:r>
      <w:r w:rsidR="006E1A1C" w:rsidRPr="00F75508">
        <w:rPr>
          <w:rFonts w:ascii="Book Antiqua" w:hAnsi="Book Antiqua"/>
          <w:vertAlign w:val="superscript"/>
          <w:lang w:val="en-US"/>
        </w:rPr>
        <w:t>[6</w:t>
      </w:r>
      <w:r w:rsidR="00F33877">
        <w:rPr>
          <w:rFonts w:ascii="Book Antiqua" w:hAnsi="Book Antiqua"/>
          <w:vertAlign w:val="superscript"/>
          <w:lang w:val="en-US"/>
        </w:rPr>
        <w:t>-</w:t>
      </w:r>
      <w:r w:rsidR="006E1A1C" w:rsidRPr="00F75508">
        <w:rPr>
          <w:rFonts w:ascii="Book Antiqua" w:hAnsi="Book Antiqua"/>
          <w:vertAlign w:val="superscript"/>
          <w:lang w:val="en-US"/>
        </w:rPr>
        <w:t>10]</w:t>
      </w:r>
      <w:r w:rsidR="006E1A1C" w:rsidRPr="00E0787C">
        <w:rPr>
          <w:rFonts w:ascii="Book Antiqua" w:hAnsi="Book Antiqua"/>
          <w:lang w:val="en-US"/>
        </w:rPr>
        <w:t>. Other causes of anemia in IBD include macrocytic anemias (such as vitamin B</w:t>
      </w:r>
      <w:r w:rsidR="006E1A1C" w:rsidRPr="004E72CC">
        <w:rPr>
          <w:rFonts w:ascii="Book Antiqua" w:hAnsi="Book Antiqua"/>
          <w:vertAlign w:val="subscript"/>
          <w:lang w:val="en-US"/>
        </w:rPr>
        <w:t>12</w:t>
      </w:r>
      <w:r w:rsidR="006E1A1C" w:rsidRPr="004E72CC">
        <w:rPr>
          <w:rFonts w:ascii="Book Antiqua" w:hAnsi="Book Antiqua"/>
          <w:lang w:val="en-US"/>
        </w:rPr>
        <w:t xml:space="preserve"> deficiency and/or folate deficiency), hemolytic anemia, and drug-related bone marrow suppression.  </w:t>
      </w:r>
    </w:p>
    <w:p w14:paraId="4568517F" w14:textId="3E845C93" w:rsidR="006E1A1C" w:rsidRPr="002D6FEF" w:rsidRDefault="004B4315" w:rsidP="006E1A1C">
      <w:pPr>
        <w:spacing w:line="360" w:lineRule="auto"/>
        <w:jc w:val="both"/>
        <w:rPr>
          <w:rFonts w:ascii="Book Antiqua" w:hAnsi="Book Antiqua"/>
          <w:lang w:val="en-US"/>
        </w:rPr>
      </w:pPr>
      <w:r>
        <w:rPr>
          <w:rFonts w:ascii="Book Antiqua" w:hAnsi="Book Antiqua"/>
          <w:lang w:val="en-US"/>
        </w:rPr>
        <w:t xml:space="preserve">  </w:t>
      </w:r>
      <w:r w:rsidR="006E1A1C" w:rsidRPr="004B4315">
        <w:rPr>
          <w:rFonts w:ascii="Book Antiqua" w:hAnsi="Book Antiqua"/>
          <w:lang w:val="en-US"/>
        </w:rPr>
        <w:t>Although IBD-related anemi</w:t>
      </w:r>
      <w:r w:rsidR="006E1A1C" w:rsidRPr="004E72CC">
        <w:rPr>
          <w:rFonts w:ascii="Book Antiqua" w:hAnsi="Book Antiqua"/>
          <w:lang w:val="en-US"/>
        </w:rPr>
        <w:t>a has a relatively high prevalence, its diagnosis and treatment is generally overlooked. Iron therapy is recommended for all patients with IDA-related IBD, and the treatment should aim to return the patient to normal hemoglobin levels and provide adequate iron storag</w:t>
      </w:r>
      <w:r w:rsidR="006E1A1C" w:rsidRPr="00B13CBB">
        <w:rPr>
          <w:rFonts w:ascii="Book Antiqua" w:hAnsi="Book Antiqua"/>
          <w:lang w:val="en-US"/>
        </w:rPr>
        <w:t>e</w:t>
      </w:r>
      <w:r w:rsidR="006E1A1C" w:rsidRPr="00F75508">
        <w:rPr>
          <w:rFonts w:ascii="Book Antiqua" w:hAnsi="Book Antiqua"/>
          <w:vertAlign w:val="superscript"/>
          <w:lang w:val="en-US"/>
        </w:rPr>
        <w:t>[11]</w:t>
      </w:r>
      <w:r w:rsidR="006E1A1C" w:rsidRPr="00B13CBB">
        <w:rPr>
          <w:rFonts w:ascii="Book Antiqua" w:hAnsi="Book Antiqua"/>
          <w:lang w:val="en-US"/>
        </w:rPr>
        <w:t>. Recently, intravenous iron therapy has been recommended for the treatment of IDA-related IBD</w:t>
      </w:r>
      <w:r w:rsidR="006E1A1C" w:rsidRPr="00F75508">
        <w:rPr>
          <w:rFonts w:ascii="Book Antiqua" w:hAnsi="Book Antiqua"/>
          <w:vertAlign w:val="superscript"/>
          <w:lang w:val="en-US"/>
        </w:rPr>
        <w:t>[12]</w:t>
      </w:r>
      <w:r w:rsidR="006E1A1C" w:rsidRPr="00B13CBB">
        <w:rPr>
          <w:rFonts w:ascii="Book Antiqua" w:hAnsi="Book Antiqua"/>
          <w:lang w:val="en-US"/>
        </w:rPr>
        <w:t>. This is because intravenous iron treatment exerts its effects quickly, particularly among those who have active disease, who have been int</w:t>
      </w:r>
      <w:r w:rsidR="006E1A1C" w:rsidRPr="004E72CC">
        <w:rPr>
          <w:rFonts w:ascii="Book Antiqua" w:hAnsi="Book Antiqua"/>
          <w:lang w:val="en-US"/>
        </w:rPr>
        <w:t xml:space="preserve">olerant to previous oral iron </w:t>
      </w:r>
      <w:r w:rsidR="006E1A1C" w:rsidRPr="004E72CC">
        <w:rPr>
          <w:rFonts w:ascii="Book Antiqua" w:hAnsi="Book Antiqua"/>
          <w:lang w:val="en-US"/>
        </w:rPr>
        <w:lastRenderedPageBreak/>
        <w:t>therapy, who have severe anemia (Hb &lt;</w:t>
      </w:r>
      <w:r w:rsidR="002D6FEF">
        <w:rPr>
          <w:rFonts w:ascii="Book Antiqua" w:hAnsi="Book Antiqua"/>
          <w:lang w:val="en-US"/>
        </w:rPr>
        <w:t xml:space="preserve"> </w:t>
      </w:r>
      <w:r w:rsidR="006E1A1C" w:rsidRPr="002D6FEF">
        <w:rPr>
          <w:rFonts w:ascii="Book Antiqua" w:hAnsi="Book Antiqua"/>
          <w:lang w:val="en-US"/>
        </w:rPr>
        <w:t>10 g/dL), and who require erythropoiesis-stimulating agents</w:t>
      </w:r>
      <w:r w:rsidR="006E1A1C" w:rsidRPr="00F75508">
        <w:rPr>
          <w:rFonts w:ascii="Book Antiqua" w:hAnsi="Book Antiqua"/>
          <w:vertAlign w:val="superscript"/>
          <w:lang w:val="en-US"/>
        </w:rPr>
        <w:t>[13]</w:t>
      </w:r>
      <w:r w:rsidR="006E1A1C" w:rsidRPr="002D6FEF">
        <w:rPr>
          <w:rFonts w:ascii="Book Antiqua" w:hAnsi="Book Antiqua"/>
          <w:lang w:val="en-US"/>
        </w:rPr>
        <w:t xml:space="preserve">. </w:t>
      </w:r>
    </w:p>
    <w:p w14:paraId="4E0B52F2" w14:textId="0F594EC6" w:rsidR="006E1A1C" w:rsidRPr="00E0787C" w:rsidRDefault="002D6FEF" w:rsidP="006E1A1C">
      <w:pPr>
        <w:spacing w:line="360" w:lineRule="auto"/>
        <w:jc w:val="both"/>
        <w:rPr>
          <w:rFonts w:ascii="Book Antiqua" w:hAnsi="Book Antiqua"/>
          <w:lang w:val="en-US"/>
        </w:rPr>
      </w:pPr>
      <w:r>
        <w:rPr>
          <w:rFonts w:ascii="Book Antiqua" w:hAnsi="Book Antiqua"/>
          <w:lang w:val="en-US"/>
        </w:rPr>
        <w:t xml:space="preserve">  </w:t>
      </w:r>
      <w:r w:rsidR="006E1A1C" w:rsidRPr="002D6FEF">
        <w:rPr>
          <w:rFonts w:ascii="Book Antiqua" w:hAnsi="Book Antiqua"/>
          <w:lang w:val="en-US"/>
        </w:rPr>
        <w:t>The current study aimed to determine the frequency and types of anemia in IBD patients, to determine the relationship betw</w:t>
      </w:r>
      <w:r w:rsidR="006E1A1C" w:rsidRPr="004E72CC">
        <w:rPr>
          <w:rFonts w:ascii="Book Antiqua" w:hAnsi="Book Antiqua"/>
          <w:lang w:val="en-US"/>
        </w:rPr>
        <w:t xml:space="preserve">een anemia and disease </w:t>
      </w:r>
      <w:r w:rsidR="006E1A1C" w:rsidRPr="00E0787C">
        <w:rPr>
          <w:rFonts w:ascii="Book Antiqua" w:hAnsi="Book Antiqua"/>
          <w:lang w:val="en-US"/>
        </w:rPr>
        <w:t xml:space="preserve">characteristics, and to determine the most effective treatment approach.  </w:t>
      </w:r>
    </w:p>
    <w:p w14:paraId="702FB028" w14:textId="77777777" w:rsidR="002D6FEF" w:rsidRDefault="002D6FEF" w:rsidP="006E1A1C">
      <w:pPr>
        <w:spacing w:line="360" w:lineRule="auto"/>
        <w:jc w:val="both"/>
        <w:rPr>
          <w:rFonts w:ascii="Book Antiqua" w:hAnsi="Book Antiqua"/>
          <w:b/>
          <w:lang w:val="en-US"/>
        </w:rPr>
      </w:pPr>
    </w:p>
    <w:p w14:paraId="2379F7A4" w14:textId="77777777" w:rsidR="006E1A1C" w:rsidRPr="002D6FEF" w:rsidRDefault="006E1A1C" w:rsidP="006E1A1C">
      <w:pPr>
        <w:spacing w:line="360" w:lineRule="auto"/>
        <w:jc w:val="both"/>
        <w:rPr>
          <w:rFonts w:ascii="Book Antiqua" w:hAnsi="Book Antiqua"/>
          <w:b/>
          <w:lang w:val="en-US"/>
        </w:rPr>
      </w:pPr>
      <w:r w:rsidRPr="002D6FEF">
        <w:rPr>
          <w:rFonts w:ascii="Book Antiqua" w:hAnsi="Book Antiqua"/>
          <w:b/>
          <w:lang w:val="en-US"/>
        </w:rPr>
        <w:t>MATERIALS AND METHODS</w:t>
      </w:r>
    </w:p>
    <w:p w14:paraId="191E0D5F" w14:textId="76E05076" w:rsidR="006E1A1C" w:rsidRPr="00F75508" w:rsidRDefault="006E1A1C" w:rsidP="006E1A1C">
      <w:pPr>
        <w:spacing w:line="360" w:lineRule="auto"/>
        <w:jc w:val="both"/>
        <w:rPr>
          <w:rFonts w:ascii="Book Antiqua" w:hAnsi="Book Antiqua"/>
          <w:b/>
          <w:i/>
          <w:lang w:val="en-US"/>
        </w:rPr>
      </w:pPr>
      <w:r w:rsidRPr="00F75508">
        <w:rPr>
          <w:rFonts w:ascii="Book Antiqua" w:hAnsi="Book Antiqua"/>
          <w:b/>
          <w:i/>
          <w:lang w:val="en-US"/>
        </w:rPr>
        <w:t>Study design and data collection</w:t>
      </w:r>
    </w:p>
    <w:p w14:paraId="0FE2F55C" w14:textId="220DC1EE" w:rsidR="006E1A1C" w:rsidRPr="004E72CC" w:rsidRDefault="006E1A1C" w:rsidP="006E1A1C">
      <w:pPr>
        <w:spacing w:line="360" w:lineRule="auto"/>
        <w:jc w:val="both"/>
        <w:rPr>
          <w:rFonts w:ascii="Book Antiqua" w:hAnsi="Book Antiqua"/>
          <w:bCs/>
          <w:lang w:val="en-US"/>
        </w:rPr>
      </w:pPr>
      <w:r w:rsidRPr="002D6FEF">
        <w:rPr>
          <w:rFonts w:ascii="Book Antiqua" w:hAnsi="Book Antiqua"/>
          <w:b/>
          <w:lang w:val="en-US"/>
        </w:rPr>
        <w:t>Patients</w:t>
      </w:r>
      <w:r w:rsidR="002D6FEF">
        <w:rPr>
          <w:rFonts w:ascii="Book Antiqua" w:hAnsi="Book Antiqua"/>
          <w:lang w:val="en-US"/>
        </w:rPr>
        <w:t xml:space="preserve">: </w:t>
      </w:r>
      <w:r w:rsidRPr="002D6FEF">
        <w:rPr>
          <w:rFonts w:ascii="Book Antiqua" w:hAnsi="Book Antiqua"/>
          <w:lang w:val="en-US"/>
        </w:rPr>
        <w:t xml:space="preserve">This study retrospectively evaluated 465 patients (254 male, 211 female, mean age: 47 ± </w:t>
      </w:r>
      <w:r w:rsidRPr="004E72CC">
        <w:rPr>
          <w:rFonts w:ascii="Book Antiqua" w:hAnsi="Book Antiqua"/>
          <w:lang w:val="en-US"/>
        </w:rPr>
        <w:t>14.4 years, 257 CD, 208 UC, &gt;</w:t>
      </w:r>
      <w:r w:rsidR="00ED718F">
        <w:rPr>
          <w:rFonts w:ascii="Book Antiqua" w:hAnsi="Book Antiqua"/>
          <w:lang w:val="en-US"/>
        </w:rPr>
        <w:t xml:space="preserve"> </w:t>
      </w:r>
      <w:r w:rsidRPr="00ED718F">
        <w:rPr>
          <w:rFonts w:ascii="Book Antiqua" w:hAnsi="Book Antiqua"/>
          <w:lang w:val="en-US"/>
        </w:rPr>
        <w:t>18 years of age) who were diagnosed with IBD and followed-up with between June 2015 and June 2016 in the Gastroenterology/IBD out-patient clinic or ward of Dokuz Eylül University, Medical Faculty Hospital.</w:t>
      </w:r>
    </w:p>
    <w:p w14:paraId="10EB847F" w14:textId="04D58668" w:rsidR="006E1A1C" w:rsidRPr="004E72CC" w:rsidRDefault="00ED718F" w:rsidP="006E1A1C">
      <w:pPr>
        <w:spacing w:line="360" w:lineRule="auto"/>
        <w:jc w:val="both"/>
        <w:rPr>
          <w:rFonts w:ascii="Book Antiqua" w:hAnsi="Book Antiqua"/>
          <w:bCs/>
          <w:lang w:val="en-US"/>
        </w:rPr>
      </w:pPr>
      <w:r>
        <w:rPr>
          <w:rFonts w:ascii="Book Antiqua" w:hAnsi="Book Antiqua"/>
          <w:lang w:val="en-US"/>
        </w:rPr>
        <w:t xml:space="preserve">  </w:t>
      </w:r>
      <w:r w:rsidR="006E1A1C" w:rsidRPr="00ED718F">
        <w:rPr>
          <w:rFonts w:ascii="Book Antiqua" w:hAnsi="Book Antiqua"/>
          <w:lang w:val="en-US"/>
        </w:rPr>
        <w:t>The IBD diagnoses wer</w:t>
      </w:r>
      <w:r w:rsidR="006E1A1C" w:rsidRPr="004E72CC">
        <w:rPr>
          <w:rFonts w:ascii="Book Antiqua" w:hAnsi="Book Antiqua"/>
          <w:lang w:val="en-US"/>
        </w:rPr>
        <w:t>e made in accordance with the new European Crohn’s and Colitis Organization (ECCO) guidelines, and were confirmed according to standard clinical, endoscopic, histologic, and radiological criteria</w:t>
      </w:r>
      <w:r w:rsidR="006E1A1C" w:rsidRPr="00F75508">
        <w:rPr>
          <w:rFonts w:ascii="Book Antiqua" w:hAnsi="Book Antiqua"/>
          <w:vertAlign w:val="superscript"/>
          <w:lang w:val="en-US"/>
        </w:rPr>
        <w:t>[14,15]</w:t>
      </w:r>
      <w:r w:rsidR="006E1A1C" w:rsidRPr="00ED718F">
        <w:rPr>
          <w:rFonts w:ascii="Book Antiqua" w:hAnsi="Book Antiqua"/>
          <w:lang w:val="en-US"/>
        </w:rPr>
        <w:t>. In order to obtain epidemiological and clinical dat</w:t>
      </w:r>
      <w:r w:rsidR="006E1A1C" w:rsidRPr="004E72CC">
        <w:rPr>
          <w:rFonts w:ascii="Book Antiqua" w:hAnsi="Book Antiqua"/>
          <w:lang w:val="en-US"/>
        </w:rPr>
        <w:t>a, the following data were recorded for ea</w:t>
      </w:r>
      <w:r w:rsidR="006E1A1C" w:rsidRPr="00E0787C">
        <w:rPr>
          <w:rFonts w:ascii="Book Antiqua" w:hAnsi="Book Antiqua"/>
          <w:lang w:val="en-US"/>
        </w:rPr>
        <w:t>ch patient: sex, age, age at diagnosis, type of IBD, disease extension, disease behavior and duration, treatments for IBD and anemia, and surgical history. Patients were excluded from this study if they had indeter</w:t>
      </w:r>
      <w:r w:rsidR="006E1A1C" w:rsidRPr="004E72CC">
        <w:rPr>
          <w:rFonts w:ascii="Book Antiqua" w:hAnsi="Book Antiqua"/>
          <w:lang w:val="en-US"/>
        </w:rPr>
        <w:t xml:space="preserve">minate colitis, were pregnant, were </w:t>
      </w:r>
      <w:r w:rsidR="006E1A1C" w:rsidRPr="004E72CC">
        <w:rPr>
          <w:rFonts w:ascii="Book Antiqua" w:hAnsi="Book Antiqua"/>
          <w:bCs/>
          <w:lang w:val="en-US"/>
        </w:rPr>
        <w:t>monitored for less than one year, or had diseases su</w:t>
      </w:r>
      <w:r w:rsidR="006E1A1C" w:rsidRPr="00E0787C">
        <w:rPr>
          <w:rFonts w:ascii="Book Antiqua" w:hAnsi="Book Antiqua"/>
          <w:bCs/>
          <w:lang w:val="en-US"/>
        </w:rPr>
        <w:t xml:space="preserve">ch as chronic renal insufficiency, gastrectomy, hematological diseases, </w:t>
      </w:r>
      <w:r w:rsidR="006E1A1C" w:rsidRPr="00F75508">
        <w:rPr>
          <w:rFonts w:ascii="Book Antiqua" w:hAnsi="Book Antiqua"/>
          <w:bCs/>
          <w:i/>
          <w:lang w:val="en-US"/>
        </w:rPr>
        <w:t>etc</w:t>
      </w:r>
      <w:r w:rsidR="006E1A1C" w:rsidRPr="00E0787C">
        <w:rPr>
          <w:rFonts w:ascii="Book Antiqua" w:hAnsi="Book Antiqua"/>
          <w:bCs/>
          <w:lang w:val="en-US"/>
        </w:rPr>
        <w:t xml:space="preserve">. Demographic and clinical data as well as endoscopic activities were obtained from hospital </w:t>
      </w:r>
      <w:r w:rsidR="006E1A1C" w:rsidRPr="004E72CC">
        <w:rPr>
          <w:rFonts w:ascii="Book Antiqua" w:hAnsi="Book Antiqua"/>
          <w:bCs/>
          <w:lang w:val="en-US"/>
        </w:rPr>
        <w:t xml:space="preserve">records. </w:t>
      </w:r>
    </w:p>
    <w:p w14:paraId="761D67A6" w14:textId="77777777" w:rsidR="00ED718F" w:rsidRDefault="00ED718F" w:rsidP="006E1A1C">
      <w:pPr>
        <w:spacing w:line="360" w:lineRule="auto"/>
        <w:jc w:val="both"/>
        <w:rPr>
          <w:rFonts w:ascii="Book Antiqua" w:hAnsi="Book Antiqua"/>
          <w:b/>
          <w:lang w:val="en-US"/>
        </w:rPr>
      </w:pPr>
    </w:p>
    <w:p w14:paraId="4F7B9AD6" w14:textId="42D01150" w:rsidR="006E1A1C" w:rsidRPr="004E72CC" w:rsidRDefault="006E1A1C" w:rsidP="006E1A1C">
      <w:pPr>
        <w:spacing w:line="360" w:lineRule="auto"/>
        <w:jc w:val="both"/>
        <w:rPr>
          <w:rFonts w:ascii="Book Antiqua" w:hAnsi="Book Antiqua"/>
          <w:lang w:val="en-US"/>
        </w:rPr>
      </w:pPr>
      <w:r w:rsidRPr="00ED718F">
        <w:rPr>
          <w:rFonts w:ascii="Book Antiqua" w:hAnsi="Book Antiqua"/>
          <w:b/>
          <w:lang w:val="en-US"/>
        </w:rPr>
        <w:t>Definition of anemia</w:t>
      </w:r>
      <w:r w:rsidR="00ED718F">
        <w:rPr>
          <w:rFonts w:ascii="Book Antiqua" w:hAnsi="Book Antiqua"/>
          <w:lang w:val="en-US"/>
        </w:rPr>
        <w:t xml:space="preserve">: </w:t>
      </w:r>
      <w:r w:rsidRPr="00ED718F">
        <w:rPr>
          <w:rFonts w:ascii="Book Antiqua" w:hAnsi="Book Antiqua"/>
          <w:lang w:val="en-US"/>
        </w:rPr>
        <w:t>We used the World Health Organization guidelines to diagnose anemia in our IBD patients. Males were diagnosed with anemia if they had hemoglobin values less than 13 g/dL, and females were diagnosed if they had hemoglobin v</w:t>
      </w:r>
      <w:r w:rsidRPr="004E72CC">
        <w:rPr>
          <w:rFonts w:ascii="Book Antiqua" w:hAnsi="Book Antiqua"/>
          <w:lang w:val="en-US"/>
        </w:rPr>
        <w:t>alues less than 12 g/dL</w:t>
      </w:r>
      <w:r w:rsidRPr="00F75508">
        <w:rPr>
          <w:rFonts w:ascii="Book Antiqua" w:hAnsi="Book Antiqua"/>
          <w:vertAlign w:val="superscript"/>
          <w:lang w:val="en-US"/>
        </w:rPr>
        <w:t>[16]</w:t>
      </w:r>
      <w:r w:rsidRPr="00ED718F">
        <w:rPr>
          <w:rFonts w:ascii="Book Antiqua" w:hAnsi="Book Antiqua"/>
          <w:lang w:val="en-US"/>
        </w:rPr>
        <w:t>.</w:t>
      </w:r>
      <w:r w:rsidRPr="004E72CC">
        <w:rPr>
          <w:rFonts w:ascii="Book Antiqua" w:hAnsi="Book Antiqua" w:cs="Arial"/>
          <w:lang w:val="en-US"/>
        </w:rPr>
        <w:t xml:space="preserve"> Severe anemia was defined as having Hb values below 10 g/dL for both genders. We evaluated </w:t>
      </w:r>
      <w:r w:rsidRPr="004E72CC">
        <w:rPr>
          <w:rFonts w:ascii="Book Antiqua" w:hAnsi="Book Antiqua"/>
          <w:lang w:val="en-US"/>
        </w:rPr>
        <w:t>the lowest hemoglobin levels of ea</w:t>
      </w:r>
      <w:r w:rsidRPr="00E0787C">
        <w:rPr>
          <w:rFonts w:ascii="Book Antiqua" w:hAnsi="Book Antiqua"/>
          <w:lang w:val="en-US"/>
        </w:rPr>
        <w:t>ch patient during follow-up, as well as iron levels and other anemia parameters. The following were o</w:t>
      </w:r>
      <w:r w:rsidRPr="004E72CC">
        <w:rPr>
          <w:rFonts w:ascii="Book Antiqua" w:hAnsi="Book Antiqua"/>
          <w:lang w:val="en-US"/>
        </w:rPr>
        <w:t>btained from ea</w:t>
      </w:r>
      <w:r w:rsidRPr="00E0787C">
        <w:rPr>
          <w:rFonts w:ascii="Book Antiqua" w:hAnsi="Book Antiqua"/>
          <w:lang w:val="en-US"/>
        </w:rPr>
        <w:t xml:space="preserve">ch patient’s laboratory records: hemoglobin, </w:t>
      </w:r>
      <w:r w:rsidRPr="00E0787C">
        <w:rPr>
          <w:rFonts w:ascii="Book Antiqua" w:hAnsi="Book Antiqua"/>
          <w:lang w:val="en-US"/>
        </w:rPr>
        <w:lastRenderedPageBreak/>
        <w:t>hematocrit, mean corpuscular volume (MCV), mean corpuscular hemoglobin (MCH), mean corpuscular hemoglobin concentration (MCHC), serum ferritin, serum iron level, transferrin saturation (TS), serum</w:t>
      </w:r>
      <w:r w:rsidRPr="004E72CC">
        <w:rPr>
          <w:rFonts w:ascii="Book Antiqua" w:hAnsi="Book Antiqua"/>
          <w:lang w:val="en-US"/>
        </w:rPr>
        <w:t xml:space="preserve"> iron binding capacity (SIBC), folic acid, vitamin B</w:t>
      </w:r>
      <w:r w:rsidRPr="004E72CC">
        <w:rPr>
          <w:rFonts w:ascii="Book Antiqua" w:hAnsi="Book Antiqua"/>
          <w:vertAlign w:val="subscript"/>
          <w:lang w:val="en-US"/>
        </w:rPr>
        <w:t>12</w:t>
      </w:r>
      <w:r w:rsidRPr="004E72CC">
        <w:rPr>
          <w:rFonts w:ascii="Book Antiqua" w:hAnsi="Book Antiqua"/>
          <w:lang w:val="en-US"/>
        </w:rPr>
        <w:t xml:space="preserve">, CRP, albumin. </w:t>
      </w:r>
    </w:p>
    <w:p w14:paraId="53EFF2EF" w14:textId="618501E0" w:rsidR="006E1A1C" w:rsidRPr="004E72CC" w:rsidRDefault="00ED718F" w:rsidP="006E1A1C">
      <w:pPr>
        <w:spacing w:line="360" w:lineRule="auto"/>
        <w:jc w:val="both"/>
        <w:rPr>
          <w:rFonts w:ascii="Book Antiqua" w:hAnsi="Book Antiqua" w:cs="Arial"/>
          <w:lang w:val="en-US"/>
        </w:rPr>
      </w:pPr>
      <w:r>
        <w:rPr>
          <w:rFonts w:ascii="Book Antiqua" w:hAnsi="Book Antiqua"/>
          <w:lang w:val="en-US"/>
        </w:rPr>
        <w:t xml:space="preserve">  </w:t>
      </w:r>
      <w:r w:rsidR="006E1A1C" w:rsidRPr="00ED718F">
        <w:rPr>
          <w:rFonts w:ascii="Book Antiqua" w:hAnsi="Book Antiqua"/>
          <w:lang w:val="en-US"/>
        </w:rPr>
        <w:t>Three main classifications of anemia were selected in accordance with the European consensus on anemia in IBD, including IDA, CDA, and mixed anemia</w:t>
      </w:r>
      <w:r w:rsidR="006E1A1C" w:rsidRPr="00F75508">
        <w:rPr>
          <w:rFonts w:ascii="Book Antiqua" w:hAnsi="Book Antiqua" w:cs="Arial"/>
          <w:vertAlign w:val="superscript"/>
          <w:lang w:val="en-US"/>
        </w:rPr>
        <w:t>[17]</w:t>
      </w:r>
      <w:r w:rsidR="006E1A1C" w:rsidRPr="00ED718F">
        <w:rPr>
          <w:rFonts w:ascii="Book Antiqua" w:hAnsi="Book Antiqua" w:cs="Arial"/>
          <w:lang w:val="en-US"/>
        </w:rPr>
        <w:t xml:space="preserve"> (Table 1). Aside from these, oth</w:t>
      </w:r>
      <w:r w:rsidR="006E1A1C" w:rsidRPr="004E72CC">
        <w:rPr>
          <w:rFonts w:ascii="Book Antiqua" w:hAnsi="Book Antiqua" w:cs="Arial"/>
          <w:lang w:val="en-US"/>
        </w:rPr>
        <w:t xml:space="preserve">er causes of anemia were determined by examining the peripheral smear, and in cases with suspected macrocytic anemia, vitamin </w:t>
      </w:r>
      <w:r w:rsidR="006E1A1C" w:rsidRPr="004E72CC">
        <w:rPr>
          <w:rFonts w:ascii="Book Antiqua" w:hAnsi="Book Antiqua"/>
          <w:lang w:val="en-US"/>
        </w:rPr>
        <w:t>B</w:t>
      </w:r>
      <w:r w:rsidR="006E1A1C" w:rsidRPr="004E72CC">
        <w:rPr>
          <w:rFonts w:ascii="Book Antiqua" w:hAnsi="Book Antiqua"/>
          <w:vertAlign w:val="subscript"/>
          <w:lang w:val="en-US"/>
        </w:rPr>
        <w:t>12</w:t>
      </w:r>
      <w:r w:rsidR="006E1A1C" w:rsidRPr="004E72CC">
        <w:rPr>
          <w:rFonts w:ascii="Book Antiqua" w:hAnsi="Book Antiqua" w:cs="Arial"/>
          <w:lang w:val="en-US"/>
        </w:rPr>
        <w:t xml:space="preserve"> and folic acid levels were evaluated. Additionally, medications that may cause macrocytic anemia (</w:t>
      </w:r>
      <w:r w:rsidR="006E1A1C" w:rsidRPr="00F75508">
        <w:rPr>
          <w:rFonts w:ascii="Book Antiqua" w:hAnsi="Book Antiqua" w:cs="Arial"/>
          <w:i/>
          <w:lang w:val="en-US"/>
        </w:rPr>
        <w:t>i.e.</w:t>
      </w:r>
      <w:r w:rsidR="006E1A1C" w:rsidRPr="00ED718F">
        <w:rPr>
          <w:rFonts w:ascii="Book Antiqua" w:hAnsi="Book Antiqua" w:cs="Arial"/>
          <w:lang w:val="en-US"/>
        </w:rPr>
        <w:t>, thiopurines and sulfas</w:t>
      </w:r>
      <w:r w:rsidR="006E1A1C" w:rsidRPr="004E72CC">
        <w:rPr>
          <w:rFonts w:ascii="Book Antiqua" w:hAnsi="Book Antiqua" w:cs="Arial"/>
          <w:lang w:val="en-US"/>
        </w:rPr>
        <w:t>alazine) were also taken into account. In cases with suspected hemolytic anemia, reticulocyte ratio and haptoglobulin levels were evaluated.</w:t>
      </w:r>
    </w:p>
    <w:p w14:paraId="30AC4962" w14:textId="77777777" w:rsidR="00ED718F" w:rsidRDefault="00ED718F" w:rsidP="006E1A1C">
      <w:pPr>
        <w:spacing w:line="360" w:lineRule="auto"/>
        <w:jc w:val="both"/>
        <w:rPr>
          <w:rFonts w:ascii="Book Antiqua" w:hAnsi="Book Antiqua" w:cs="Arial"/>
          <w:b/>
          <w:lang w:val="en-US"/>
        </w:rPr>
      </w:pPr>
    </w:p>
    <w:p w14:paraId="3747A9F2" w14:textId="64C1AC54" w:rsidR="006E1A1C" w:rsidRPr="00F75508" w:rsidRDefault="006E1A1C" w:rsidP="006E1A1C">
      <w:pPr>
        <w:spacing w:line="360" w:lineRule="auto"/>
        <w:jc w:val="both"/>
        <w:rPr>
          <w:rFonts w:ascii="Book Antiqua" w:hAnsi="Book Antiqua" w:cs="Arial"/>
          <w:b/>
          <w:i/>
          <w:lang w:val="en-US"/>
        </w:rPr>
      </w:pPr>
      <w:r w:rsidRPr="00F75508">
        <w:rPr>
          <w:rFonts w:ascii="Book Antiqua" w:hAnsi="Book Antiqua" w:cs="Arial"/>
          <w:b/>
          <w:i/>
          <w:lang w:val="en-US"/>
        </w:rPr>
        <w:t>Statistical analys</w:t>
      </w:r>
      <w:r w:rsidR="00ED718F">
        <w:rPr>
          <w:rFonts w:ascii="Book Antiqua" w:hAnsi="Book Antiqua" w:cs="Arial"/>
          <w:b/>
          <w:i/>
          <w:lang w:val="en-US"/>
        </w:rPr>
        <w:t>i</w:t>
      </w:r>
      <w:r w:rsidRPr="00F75508">
        <w:rPr>
          <w:rFonts w:ascii="Book Antiqua" w:hAnsi="Book Antiqua" w:cs="Arial"/>
          <w:b/>
          <w:i/>
          <w:lang w:val="en-US"/>
        </w:rPr>
        <w:t>s</w:t>
      </w:r>
    </w:p>
    <w:p w14:paraId="534F6AB3" w14:textId="74FCEC6D" w:rsidR="006E1A1C" w:rsidRPr="00ED718F" w:rsidRDefault="006E1A1C" w:rsidP="006E1A1C">
      <w:pPr>
        <w:pStyle w:val="xmsonormal"/>
        <w:shd w:val="clear" w:color="auto" w:fill="FFFFFF"/>
        <w:spacing w:before="0" w:beforeAutospacing="0" w:after="0" w:afterAutospacing="0" w:line="360" w:lineRule="auto"/>
        <w:jc w:val="both"/>
        <w:rPr>
          <w:rFonts w:ascii="Book Antiqua" w:hAnsi="Book Antiqua" w:cs="Arial"/>
          <w:bCs/>
          <w:lang w:val="en-US"/>
        </w:rPr>
      </w:pPr>
      <w:r w:rsidRPr="004E72CC">
        <w:rPr>
          <w:rFonts w:ascii="Book Antiqua" w:hAnsi="Book Antiqua" w:cs="Calibri"/>
          <w:lang w:val="en-US"/>
        </w:rPr>
        <w:t xml:space="preserve">In our current study, variables indicated by census </w:t>
      </w:r>
      <w:r w:rsidRPr="00ED718F">
        <w:rPr>
          <w:rFonts w:ascii="Book Antiqua" w:hAnsi="Book Antiqua" w:cs="Calibri"/>
          <w:lang w:val="en-US"/>
        </w:rPr>
        <w:t>are presented as percentage distributi</w:t>
      </w:r>
      <w:r w:rsidRPr="004E72CC">
        <w:rPr>
          <w:rFonts w:ascii="Book Antiqua" w:hAnsi="Book Antiqua" w:cs="Calibri"/>
          <w:lang w:val="en-US"/>
        </w:rPr>
        <w:t xml:space="preserve">ons, and variables indicated by measurements are presented as means and standard deviations. In univariate analyses, </w:t>
      </w:r>
      <w:r w:rsidRPr="00E0787C">
        <w:rPr>
          <w:rFonts w:ascii="Book Antiqua" w:hAnsi="Book Antiqua" w:cs="Calibri"/>
          <w:lang w:val="en-US"/>
        </w:rPr>
        <w:t>Chi Square and Fisher's exact test were used to compare the variables indicated by census. The variables indicated by measurement were comp</w:t>
      </w:r>
      <w:r w:rsidRPr="004E72CC">
        <w:rPr>
          <w:rFonts w:ascii="Book Antiqua" w:hAnsi="Book Antiqua" w:cs="Calibri"/>
          <w:lang w:val="en-US"/>
        </w:rPr>
        <w:t xml:space="preserve">ared by Student’s </w:t>
      </w:r>
      <w:r w:rsidRPr="00F75508">
        <w:rPr>
          <w:rFonts w:ascii="Book Antiqua" w:hAnsi="Book Antiqua" w:cs="Calibri"/>
          <w:i/>
          <w:lang w:val="en-US"/>
        </w:rPr>
        <w:t>t</w:t>
      </w:r>
      <w:r w:rsidRPr="00ED718F">
        <w:rPr>
          <w:rFonts w:ascii="Book Antiqua" w:hAnsi="Book Antiqua" w:cs="Calibri"/>
          <w:lang w:val="en-US"/>
        </w:rPr>
        <w:t xml:space="preserve">-test. The logistic regression model was used in multivariate analysis. Values of </w:t>
      </w:r>
      <w:r w:rsidR="00ED718F" w:rsidRPr="00ED718F">
        <w:rPr>
          <w:rFonts w:ascii="Book Antiqua" w:hAnsi="Book Antiqua" w:cs="Calibri"/>
          <w:i/>
          <w:lang w:val="en-US"/>
        </w:rPr>
        <w:t>P</w:t>
      </w:r>
      <w:r w:rsidR="00ED718F">
        <w:rPr>
          <w:rFonts w:ascii="Book Antiqua" w:hAnsi="Book Antiqua" w:cs="Calibri"/>
          <w:lang w:val="en-US"/>
        </w:rPr>
        <w:t xml:space="preserve"> </w:t>
      </w:r>
      <w:r w:rsidRPr="00ED718F">
        <w:rPr>
          <w:rFonts w:ascii="Book Antiqua" w:hAnsi="Book Antiqua" w:cs="Calibri"/>
          <w:lang w:val="en-US"/>
        </w:rPr>
        <w:t>&lt;</w:t>
      </w:r>
      <w:r w:rsidR="00ED718F">
        <w:rPr>
          <w:rFonts w:ascii="Book Antiqua" w:hAnsi="Book Antiqua" w:cs="Calibri"/>
          <w:lang w:val="en-US"/>
        </w:rPr>
        <w:t xml:space="preserve"> </w:t>
      </w:r>
      <w:r w:rsidRPr="00ED718F">
        <w:rPr>
          <w:rFonts w:ascii="Book Antiqua" w:hAnsi="Book Antiqua" w:cs="Calibri"/>
          <w:lang w:val="en-US"/>
        </w:rPr>
        <w:t>0.05 were considered significant.</w:t>
      </w:r>
      <w:r w:rsidRPr="004E72CC">
        <w:rPr>
          <w:rFonts w:ascii="Book Antiqua" w:hAnsi="Book Antiqua" w:cs="Arial"/>
          <w:bCs/>
          <w:lang w:val="en-US"/>
        </w:rPr>
        <w:t xml:space="preserve"> All analyses were made using the Statistical package for the Social Sciences (SPSS) (version 22.0; SPSS Inc., </w:t>
      </w:r>
      <w:r w:rsidRPr="00E0787C">
        <w:rPr>
          <w:rFonts w:ascii="Book Antiqua" w:hAnsi="Book Antiqua" w:cs="Arial"/>
          <w:bCs/>
          <w:lang w:val="en-US"/>
        </w:rPr>
        <w:t xml:space="preserve">Chicago, </w:t>
      </w:r>
      <w:r w:rsidRPr="004E72CC">
        <w:rPr>
          <w:rFonts w:ascii="Book Antiqua" w:hAnsi="Book Antiqua" w:cs="Arial"/>
          <w:bCs/>
          <w:lang w:val="en-US"/>
        </w:rPr>
        <w:t xml:space="preserve">IL, </w:t>
      </w:r>
      <w:r w:rsidR="00ED718F">
        <w:rPr>
          <w:rFonts w:ascii="Book Antiqua" w:hAnsi="Book Antiqua" w:cs="Arial"/>
          <w:bCs/>
          <w:lang w:val="en-US"/>
        </w:rPr>
        <w:t>United States</w:t>
      </w:r>
      <w:r w:rsidRPr="00ED718F">
        <w:rPr>
          <w:rFonts w:ascii="Book Antiqua" w:hAnsi="Book Antiqua" w:cs="Arial"/>
          <w:bCs/>
          <w:lang w:val="en-US"/>
        </w:rPr>
        <w:t xml:space="preserve">). </w:t>
      </w:r>
    </w:p>
    <w:p w14:paraId="44399E10" w14:textId="77777777" w:rsidR="00ED718F" w:rsidRDefault="00ED718F" w:rsidP="006E1A1C">
      <w:pPr>
        <w:spacing w:line="360" w:lineRule="auto"/>
        <w:jc w:val="both"/>
        <w:rPr>
          <w:rFonts w:ascii="Book Antiqua" w:hAnsi="Book Antiqua" w:cs="Arial"/>
          <w:b/>
          <w:lang w:val="en-US"/>
        </w:rPr>
      </w:pPr>
    </w:p>
    <w:p w14:paraId="28BD414D" w14:textId="2607109A" w:rsidR="006E1A1C" w:rsidRPr="00F75508" w:rsidRDefault="006E1A1C" w:rsidP="006E1A1C">
      <w:pPr>
        <w:spacing w:line="360" w:lineRule="auto"/>
        <w:jc w:val="both"/>
        <w:rPr>
          <w:rFonts w:ascii="Book Antiqua" w:hAnsi="Book Antiqua" w:cs="Arial"/>
          <w:b/>
          <w:bCs/>
          <w:i/>
          <w:lang w:val="en-US"/>
        </w:rPr>
      </w:pPr>
      <w:r w:rsidRPr="00F75508">
        <w:rPr>
          <w:rFonts w:ascii="Book Antiqua" w:hAnsi="Book Antiqua" w:cs="Arial"/>
          <w:b/>
          <w:i/>
          <w:lang w:val="en-US"/>
        </w:rPr>
        <w:t>Ethical considerations</w:t>
      </w:r>
    </w:p>
    <w:p w14:paraId="7F7EEC81" w14:textId="7814B949" w:rsidR="006E1A1C" w:rsidRPr="004E72CC" w:rsidRDefault="006E1A1C" w:rsidP="006E1A1C">
      <w:pPr>
        <w:spacing w:line="360" w:lineRule="auto"/>
        <w:jc w:val="both"/>
        <w:rPr>
          <w:rFonts w:ascii="Book Antiqua" w:hAnsi="Book Antiqua" w:cs="Arial"/>
          <w:lang w:val="en-US"/>
        </w:rPr>
      </w:pPr>
      <w:r w:rsidRPr="004E72CC">
        <w:rPr>
          <w:rFonts w:ascii="Book Antiqua" w:hAnsi="Book Antiqua" w:cs="Arial"/>
          <w:lang w:val="en-US"/>
        </w:rPr>
        <w:t>This study was approv</w:t>
      </w:r>
      <w:r w:rsidRPr="00ED718F">
        <w:rPr>
          <w:rFonts w:ascii="Book Antiqua" w:hAnsi="Book Antiqua" w:cs="Arial"/>
          <w:lang w:val="en-US"/>
        </w:rPr>
        <w:t>ed by Dokuz Eylül University S</w:t>
      </w:r>
      <w:r w:rsidRPr="00E0787C">
        <w:rPr>
          <w:rFonts w:ascii="Book Antiqua" w:hAnsi="Book Antiqua" w:cs="Arial"/>
          <w:lang w:val="en-US"/>
        </w:rPr>
        <w:t>chool of Medicine's non-invasive clinical research ethics committee (15.06.2017 3387-GOA)</w:t>
      </w:r>
      <w:r w:rsidRPr="004E72CC">
        <w:rPr>
          <w:rFonts w:ascii="Book Antiqua" w:hAnsi="Book Antiqua" w:cs="Arial"/>
          <w:bCs/>
          <w:lang w:val="en-US"/>
        </w:rPr>
        <w:t>.</w:t>
      </w:r>
      <w:r w:rsidRPr="004E72CC">
        <w:rPr>
          <w:rFonts w:ascii="Book Antiqua" w:hAnsi="Book Antiqua" w:cs="Arial"/>
          <w:lang w:val="en-US"/>
        </w:rPr>
        <w:t xml:space="preserve"> Patient information was kept confidential, and the study was conducted according to the Helsinki declaration. </w:t>
      </w:r>
    </w:p>
    <w:p w14:paraId="71719251" w14:textId="77777777" w:rsidR="00ED718F" w:rsidRDefault="00ED718F" w:rsidP="006E1A1C">
      <w:pPr>
        <w:spacing w:line="360" w:lineRule="auto"/>
        <w:jc w:val="both"/>
        <w:rPr>
          <w:rFonts w:ascii="Book Antiqua" w:hAnsi="Book Antiqua" w:cs="Arial"/>
          <w:lang w:val="en-US"/>
        </w:rPr>
      </w:pPr>
    </w:p>
    <w:p w14:paraId="43440048" w14:textId="4E152173" w:rsidR="006E1A1C" w:rsidRPr="00ED718F" w:rsidRDefault="006E1A1C" w:rsidP="006E1A1C">
      <w:pPr>
        <w:spacing w:line="360" w:lineRule="auto"/>
        <w:jc w:val="both"/>
        <w:rPr>
          <w:rFonts w:ascii="Book Antiqua" w:hAnsi="Book Antiqua" w:cs="Arial"/>
          <w:b/>
          <w:lang w:val="en-US"/>
        </w:rPr>
      </w:pPr>
      <w:r w:rsidRPr="00ED718F">
        <w:rPr>
          <w:rFonts w:ascii="Book Antiqua" w:hAnsi="Book Antiqua" w:cs="Arial"/>
          <w:b/>
          <w:lang w:val="en-US"/>
        </w:rPr>
        <w:t>RESULTS</w:t>
      </w:r>
    </w:p>
    <w:p w14:paraId="22CBA7E5" w14:textId="1BB12341" w:rsidR="006E1A1C" w:rsidRPr="00F75508" w:rsidRDefault="006E1A1C" w:rsidP="006E1A1C">
      <w:pPr>
        <w:spacing w:line="360" w:lineRule="auto"/>
        <w:jc w:val="both"/>
        <w:rPr>
          <w:rFonts w:ascii="Book Antiqua" w:hAnsi="Book Antiqua" w:cs="Arial"/>
          <w:b/>
          <w:bCs/>
          <w:i/>
          <w:lang w:val="en-US"/>
        </w:rPr>
      </w:pPr>
      <w:r w:rsidRPr="00F75508">
        <w:rPr>
          <w:rFonts w:ascii="Book Antiqua" w:hAnsi="Book Antiqua" w:cs="Arial"/>
          <w:b/>
          <w:i/>
          <w:lang w:val="en-US"/>
        </w:rPr>
        <w:t>Patient characteristics</w:t>
      </w:r>
    </w:p>
    <w:p w14:paraId="79F4B895" w14:textId="698CA4A7" w:rsidR="006E1A1C" w:rsidRPr="00ED718F" w:rsidRDefault="006E1A1C" w:rsidP="006E1A1C">
      <w:pPr>
        <w:spacing w:line="360" w:lineRule="auto"/>
        <w:jc w:val="both"/>
        <w:rPr>
          <w:rFonts w:ascii="Book Antiqua" w:hAnsi="Book Antiqua" w:cs="Arial"/>
          <w:bCs/>
          <w:lang w:val="en-US"/>
        </w:rPr>
      </w:pPr>
      <w:r w:rsidRPr="004E72CC">
        <w:rPr>
          <w:rFonts w:ascii="Book Antiqua" w:hAnsi="Book Antiqua" w:cs="Arial"/>
          <w:lang w:val="en-US"/>
        </w:rPr>
        <w:lastRenderedPageBreak/>
        <w:t xml:space="preserve">This study included the data from 465 IBD patients </w:t>
      </w:r>
      <w:r w:rsidR="00ED718F">
        <w:rPr>
          <w:rFonts w:ascii="Book Antiqua" w:hAnsi="Book Antiqua" w:cs="Arial"/>
          <w:lang w:val="en-US"/>
        </w:rPr>
        <w:t>[</w:t>
      </w:r>
      <w:r w:rsidRPr="00ED718F">
        <w:rPr>
          <w:rFonts w:ascii="Book Antiqua" w:hAnsi="Book Antiqua" w:cs="Arial"/>
          <w:lang w:val="en-US"/>
        </w:rPr>
        <w:t>254 male (54.6%) and 211 female (45.4%)</w:t>
      </w:r>
      <w:r w:rsidR="00275486">
        <w:rPr>
          <w:rFonts w:ascii="Book Antiqua" w:hAnsi="Book Antiqua" w:cs="Arial"/>
          <w:lang w:val="en-US"/>
        </w:rPr>
        <w:t>]</w:t>
      </w:r>
      <w:r w:rsidRPr="00ED718F">
        <w:rPr>
          <w:rFonts w:ascii="Book Antiqua" w:hAnsi="Book Antiqua" w:cs="Arial"/>
          <w:lang w:val="en-US"/>
        </w:rPr>
        <w:t xml:space="preserve"> who were newly diagnosed or were being followed-up with in our hospital. Of these patients, </w:t>
      </w:r>
      <w:r w:rsidRPr="004E72CC">
        <w:rPr>
          <w:rFonts w:ascii="Book Antiqua" w:hAnsi="Book Antiqua" w:cs="Arial"/>
          <w:lang w:val="en-US"/>
        </w:rPr>
        <w:t>257 (55.3%) were diagnosed with CD and 208 (44.7%) with UC. The mean age at IBD diagnosis was 40.21</w:t>
      </w:r>
      <w:r w:rsidR="00ED718F">
        <w:rPr>
          <w:rFonts w:ascii="Book Antiqua" w:hAnsi="Book Antiqua" w:cs="Arial"/>
          <w:lang w:val="en-US"/>
        </w:rPr>
        <w:t xml:space="preserve"> </w:t>
      </w:r>
      <w:r w:rsidRPr="00ED718F">
        <w:rPr>
          <w:rFonts w:ascii="Book Antiqua" w:hAnsi="Book Antiqua" w:cs="Arial"/>
          <w:lang w:val="en-US"/>
        </w:rPr>
        <w:t>±</w:t>
      </w:r>
      <w:r w:rsidR="00ED718F">
        <w:rPr>
          <w:rFonts w:ascii="Book Antiqua" w:hAnsi="Book Antiqua" w:cs="Arial"/>
          <w:lang w:val="en-US"/>
        </w:rPr>
        <w:t xml:space="preserve"> </w:t>
      </w:r>
      <w:r w:rsidRPr="00ED718F">
        <w:rPr>
          <w:rFonts w:ascii="Book Antiqua" w:hAnsi="Book Antiqua" w:cs="Arial"/>
          <w:lang w:val="en-US"/>
        </w:rPr>
        <w:t>13.9 y</w:t>
      </w:r>
      <w:r w:rsidR="00ED718F">
        <w:rPr>
          <w:rFonts w:ascii="Book Antiqua" w:hAnsi="Book Antiqua" w:cs="Arial"/>
          <w:lang w:val="en-US"/>
        </w:rPr>
        <w:t>ea</w:t>
      </w:r>
      <w:r w:rsidRPr="00ED718F">
        <w:rPr>
          <w:rFonts w:ascii="Book Antiqua" w:hAnsi="Book Antiqua" w:cs="Arial"/>
          <w:lang w:val="en-US"/>
        </w:rPr>
        <w:t>rs (39.78</w:t>
      </w:r>
      <w:r w:rsidR="00ED718F">
        <w:rPr>
          <w:rFonts w:ascii="Book Antiqua" w:hAnsi="Book Antiqua" w:cs="Arial"/>
          <w:lang w:val="en-US"/>
        </w:rPr>
        <w:t xml:space="preserve"> </w:t>
      </w:r>
      <w:r w:rsidRPr="00ED718F">
        <w:rPr>
          <w:rFonts w:ascii="Book Antiqua" w:hAnsi="Book Antiqua" w:cs="Arial"/>
          <w:lang w:val="en-US"/>
        </w:rPr>
        <w:t>±</w:t>
      </w:r>
      <w:r w:rsidR="00ED718F">
        <w:rPr>
          <w:rFonts w:ascii="Book Antiqua" w:hAnsi="Book Antiqua" w:cs="Arial"/>
          <w:lang w:val="en-US"/>
        </w:rPr>
        <w:t xml:space="preserve"> </w:t>
      </w:r>
      <w:r w:rsidRPr="00ED718F">
        <w:rPr>
          <w:rFonts w:ascii="Book Antiqua" w:hAnsi="Book Antiqua" w:cs="Arial"/>
          <w:lang w:val="en-US"/>
        </w:rPr>
        <w:t>13.7 y</w:t>
      </w:r>
      <w:r w:rsidR="00ED718F">
        <w:rPr>
          <w:rFonts w:ascii="Book Antiqua" w:hAnsi="Book Antiqua" w:cs="Arial"/>
          <w:lang w:val="en-US"/>
        </w:rPr>
        <w:t>ea</w:t>
      </w:r>
      <w:r w:rsidRPr="00ED718F">
        <w:rPr>
          <w:rFonts w:ascii="Book Antiqua" w:hAnsi="Book Antiqua" w:cs="Arial"/>
          <w:lang w:val="en-US"/>
        </w:rPr>
        <w:t>rs in CD patients, 40.74</w:t>
      </w:r>
      <w:r w:rsidR="00ED718F">
        <w:rPr>
          <w:rFonts w:ascii="Book Antiqua" w:hAnsi="Book Antiqua" w:cs="Arial"/>
          <w:lang w:val="en-US"/>
        </w:rPr>
        <w:t xml:space="preserve"> </w:t>
      </w:r>
      <w:r w:rsidRPr="00ED718F">
        <w:rPr>
          <w:rFonts w:ascii="Book Antiqua" w:hAnsi="Book Antiqua" w:cs="Arial"/>
          <w:lang w:val="en-US"/>
        </w:rPr>
        <w:t>±</w:t>
      </w:r>
      <w:r w:rsidR="00ED718F">
        <w:rPr>
          <w:rFonts w:ascii="Book Antiqua" w:hAnsi="Book Antiqua" w:cs="Arial"/>
          <w:lang w:val="en-US"/>
        </w:rPr>
        <w:t xml:space="preserve"> </w:t>
      </w:r>
      <w:r w:rsidRPr="00ED718F">
        <w:rPr>
          <w:rFonts w:ascii="Book Antiqua" w:hAnsi="Book Antiqua" w:cs="Arial"/>
          <w:lang w:val="en-US"/>
        </w:rPr>
        <w:t>14.6 y</w:t>
      </w:r>
      <w:r w:rsidR="00ED718F">
        <w:rPr>
          <w:rFonts w:ascii="Book Antiqua" w:hAnsi="Book Antiqua" w:cs="Arial"/>
          <w:lang w:val="en-US"/>
        </w:rPr>
        <w:t>ea</w:t>
      </w:r>
      <w:r w:rsidRPr="00ED718F">
        <w:rPr>
          <w:rFonts w:ascii="Book Antiqua" w:hAnsi="Book Antiqua" w:cs="Arial"/>
          <w:lang w:val="en-US"/>
        </w:rPr>
        <w:t xml:space="preserve">rs in UC patients, </w:t>
      </w:r>
      <w:r w:rsidR="00ED718F" w:rsidRPr="00ED718F">
        <w:rPr>
          <w:rFonts w:ascii="Book Antiqua" w:hAnsi="Book Antiqua" w:cs="Arial"/>
          <w:bCs/>
          <w:i/>
          <w:lang w:val="en-US"/>
        </w:rPr>
        <w:t>P</w:t>
      </w:r>
      <w:r w:rsidR="00ED718F">
        <w:rPr>
          <w:rFonts w:ascii="Book Antiqua" w:hAnsi="Book Antiqua" w:cs="Arial"/>
          <w:bCs/>
          <w:lang w:val="en-US"/>
        </w:rPr>
        <w:t xml:space="preserve"> </w:t>
      </w:r>
      <w:r w:rsidRPr="00ED718F">
        <w:rPr>
          <w:rFonts w:ascii="Book Antiqua" w:hAnsi="Book Antiqua" w:cs="Arial"/>
          <w:bCs/>
          <w:lang w:val="en-US"/>
        </w:rPr>
        <w:t>=</w:t>
      </w:r>
      <w:r w:rsidR="00ED718F">
        <w:rPr>
          <w:rFonts w:ascii="Book Antiqua" w:hAnsi="Book Antiqua" w:cs="Arial"/>
          <w:bCs/>
          <w:lang w:val="en-US"/>
        </w:rPr>
        <w:t xml:space="preserve"> </w:t>
      </w:r>
      <w:r w:rsidRPr="00ED718F">
        <w:rPr>
          <w:rFonts w:ascii="Book Antiqua" w:hAnsi="Book Antiqua" w:cs="Arial"/>
          <w:bCs/>
          <w:lang w:val="en-US"/>
        </w:rPr>
        <w:t xml:space="preserve">0.46). The patient </w:t>
      </w:r>
      <w:r w:rsidRPr="00E0787C">
        <w:rPr>
          <w:rFonts w:ascii="Book Antiqua" w:hAnsi="Book Antiqua" w:cs="Arial"/>
          <w:bCs/>
          <w:lang w:val="en-US"/>
        </w:rPr>
        <w:t>characteristics are presented in Table 2. There was no signific</w:t>
      </w:r>
      <w:r w:rsidRPr="004E72CC">
        <w:rPr>
          <w:rFonts w:ascii="Book Antiqua" w:hAnsi="Book Antiqua" w:cs="Arial"/>
          <w:bCs/>
          <w:lang w:val="en-US"/>
        </w:rPr>
        <w:t>ant difference between mean disease duration of CD (6.45 years) and UC (7.36 years) (</w:t>
      </w:r>
      <w:bookmarkStart w:id="143" w:name="OLE_LINK49"/>
      <w:r w:rsidR="00ED718F" w:rsidRPr="00ED718F">
        <w:rPr>
          <w:rFonts w:ascii="Book Antiqua" w:hAnsi="Book Antiqua" w:cs="Arial"/>
          <w:bCs/>
          <w:i/>
          <w:lang w:val="en-US"/>
        </w:rPr>
        <w:t>P</w:t>
      </w:r>
      <w:bookmarkEnd w:id="143"/>
      <w:r w:rsidRPr="00ED718F">
        <w:rPr>
          <w:rFonts w:ascii="Book Antiqua" w:hAnsi="Book Antiqua" w:cs="Arial"/>
          <w:bCs/>
          <w:lang w:val="en-US"/>
        </w:rPr>
        <w:t xml:space="preserve"> = 0.07).</w:t>
      </w:r>
    </w:p>
    <w:p w14:paraId="3C5A1567" w14:textId="539595C6" w:rsidR="006E1A1C" w:rsidRPr="004E72CC" w:rsidRDefault="00ED718F" w:rsidP="006E1A1C">
      <w:pPr>
        <w:spacing w:line="360" w:lineRule="auto"/>
        <w:jc w:val="both"/>
        <w:rPr>
          <w:rFonts w:ascii="Book Antiqua" w:hAnsi="Book Antiqua" w:cs="Arial"/>
          <w:bCs/>
          <w:lang w:val="en-US"/>
        </w:rPr>
      </w:pPr>
      <w:r>
        <w:rPr>
          <w:rFonts w:ascii="Book Antiqua" w:hAnsi="Book Antiqua" w:cs="Arial"/>
          <w:lang w:val="en-US"/>
        </w:rPr>
        <w:t xml:space="preserve">  </w:t>
      </w:r>
      <w:r w:rsidR="006E1A1C" w:rsidRPr="00ED718F">
        <w:rPr>
          <w:rFonts w:ascii="Book Antiqua" w:hAnsi="Book Antiqua" w:cs="Arial"/>
          <w:lang w:val="en-US"/>
        </w:rPr>
        <w:t>Among patients with CD, 122 (48.2%) had ileal involvement (L1), 48 (19%) had colonic involvement (L2), and 83 (32.8%) had ileocolonic involvement (L3). Isolate</w:t>
      </w:r>
      <w:r w:rsidR="006E1A1C" w:rsidRPr="004E72CC">
        <w:rPr>
          <w:rFonts w:ascii="Book Antiqua" w:hAnsi="Book Antiqua" w:cs="Arial"/>
          <w:lang w:val="en-US"/>
        </w:rPr>
        <w:t xml:space="preserve">d upper GI involvement (L4) was not observed in any of the patients. In terms of CD behavior, 148 (60.9%) patients had inflammatory type CD (B1), 40 (16.5%) had structuring type CD (B2), and 55 (22.6%) had penetrating </w:t>
      </w:r>
      <w:r w:rsidR="006E1A1C" w:rsidRPr="004E72CC">
        <w:rPr>
          <w:rFonts w:ascii="Book Antiqua" w:hAnsi="Book Antiqua" w:cs="Arial"/>
          <w:bCs/>
          <w:lang w:val="en-US"/>
        </w:rPr>
        <w:t xml:space="preserve">type CD </w:t>
      </w:r>
      <w:r w:rsidR="006E1A1C" w:rsidRPr="004E72CC">
        <w:rPr>
          <w:rFonts w:ascii="Book Antiqua" w:hAnsi="Book Antiqua" w:cs="Arial"/>
          <w:lang w:val="en-US"/>
        </w:rPr>
        <w:t>(B3)</w:t>
      </w:r>
      <w:r w:rsidR="006E1A1C" w:rsidRPr="004E72CC">
        <w:rPr>
          <w:rFonts w:ascii="Book Antiqua" w:hAnsi="Book Antiqua" w:cs="Arial"/>
          <w:bCs/>
          <w:lang w:val="en-US"/>
        </w:rPr>
        <w:t>.</w:t>
      </w:r>
    </w:p>
    <w:p w14:paraId="66F3F233" w14:textId="5CA28EA8" w:rsidR="006E1A1C" w:rsidRPr="004E72CC" w:rsidRDefault="00ED718F" w:rsidP="006E1A1C">
      <w:pPr>
        <w:spacing w:line="360" w:lineRule="auto"/>
        <w:jc w:val="both"/>
        <w:rPr>
          <w:rFonts w:ascii="Book Antiqua" w:hAnsi="Book Antiqua" w:cs="Arial"/>
          <w:bCs/>
          <w:lang w:val="en-US"/>
        </w:rPr>
      </w:pPr>
      <w:r>
        <w:rPr>
          <w:rFonts w:ascii="Book Antiqua" w:hAnsi="Book Antiqua" w:cs="Arial"/>
          <w:lang w:val="en-US"/>
        </w:rPr>
        <w:t xml:space="preserve">  </w:t>
      </w:r>
      <w:r w:rsidR="006E1A1C" w:rsidRPr="00ED718F">
        <w:rPr>
          <w:rFonts w:ascii="Book Antiqua" w:hAnsi="Book Antiqua" w:cs="Arial"/>
          <w:lang w:val="en-US"/>
        </w:rPr>
        <w:t xml:space="preserve">In patients with UC, 49 </w:t>
      </w:r>
      <w:r w:rsidR="006E1A1C" w:rsidRPr="004E72CC">
        <w:rPr>
          <w:rFonts w:ascii="Book Antiqua" w:hAnsi="Book Antiqua" w:cs="Arial"/>
          <w:lang w:val="en-US"/>
        </w:rPr>
        <w:t>(27.5%) had proctitis involvement (E1), 73 (41%) had left colitis involvement (E2), and 56 (31.5%) had pancolitis involvement (Table 2).</w:t>
      </w:r>
    </w:p>
    <w:p w14:paraId="4EBB78C7" w14:textId="77777777" w:rsidR="00ED718F" w:rsidRDefault="00ED718F" w:rsidP="006E1A1C">
      <w:pPr>
        <w:spacing w:line="360" w:lineRule="auto"/>
        <w:jc w:val="both"/>
        <w:rPr>
          <w:rFonts w:ascii="Book Antiqua" w:hAnsi="Book Antiqua" w:cs="Arial"/>
          <w:b/>
          <w:lang w:val="en-US"/>
        </w:rPr>
      </w:pPr>
    </w:p>
    <w:p w14:paraId="379F69F1" w14:textId="2C9FB77B" w:rsidR="006E1A1C" w:rsidRPr="00F75508" w:rsidRDefault="006E1A1C" w:rsidP="006E1A1C">
      <w:pPr>
        <w:spacing w:line="360" w:lineRule="auto"/>
        <w:jc w:val="both"/>
        <w:rPr>
          <w:rFonts w:ascii="Book Antiqua" w:hAnsi="Book Antiqua" w:cs="Arial"/>
          <w:b/>
          <w:bCs/>
          <w:i/>
          <w:lang w:val="en-US"/>
        </w:rPr>
      </w:pPr>
      <w:r w:rsidRPr="00F75508">
        <w:rPr>
          <w:rFonts w:ascii="Book Antiqua" w:hAnsi="Book Antiqua" w:cs="Arial"/>
          <w:b/>
          <w:i/>
          <w:lang w:val="en-US"/>
        </w:rPr>
        <w:t>Frequency and type of anemia among IBD patients</w:t>
      </w:r>
    </w:p>
    <w:p w14:paraId="79B00D1A" w14:textId="129F2C2C" w:rsidR="006E1A1C" w:rsidRPr="004E72CC" w:rsidRDefault="006E1A1C" w:rsidP="006E1A1C">
      <w:pPr>
        <w:spacing w:line="360" w:lineRule="auto"/>
        <w:jc w:val="both"/>
        <w:rPr>
          <w:rFonts w:ascii="Book Antiqua" w:hAnsi="Book Antiqua"/>
          <w:bCs/>
          <w:lang w:val="en-US"/>
        </w:rPr>
      </w:pPr>
      <w:r w:rsidRPr="004E72CC">
        <w:rPr>
          <w:rFonts w:ascii="Book Antiqua" w:hAnsi="Book Antiqua"/>
          <w:lang w:val="en-US"/>
        </w:rPr>
        <w:t>In our current study, 51.6% (</w:t>
      </w:r>
      <w:bookmarkStart w:id="144" w:name="OLE_LINK50"/>
      <w:r w:rsidRPr="00F75508">
        <w:rPr>
          <w:rFonts w:ascii="Book Antiqua" w:hAnsi="Book Antiqua"/>
          <w:i/>
          <w:lang w:val="en-US"/>
        </w:rPr>
        <w:t>n</w:t>
      </w:r>
      <w:bookmarkEnd w:id="144"/>
      <w:r w:rsidRPr="00ED718F">
        <w:rPr>
          <w:rFonts w:ascii="Book Antiqua" w:hAnsi="Book Antiqua"/>
          <w:lang w:val="en-US"/>
        </w:rPr>
        <w:t xml:space="preserve"> = 240) of the 465 IBD patients had an</w:t>
      </w:r>
      <w:r w:rsidRPr="004E72CC">
        <w:rPr>
          <w:rFonts w:ascii="Book Antiqua" w:hAnsi="Book Antiqua"/>
          <w:lang w:val="en-US"/>
        </w:rPr>
        <w:t>emia. Anemia frequency was higher in CD (57.6%) than in UC (44.2%) (</w:t>
      </w:r>
      <w:r w:rsidR="00ED718F" w:rsidRPr="00ED718F">
        <w:rPr>
          <w:rFonts w:ascii="Book Antiqua" w:hAnsi="Book Antiqua"/>
          <w:i/>
          <w:lang w:val="en-US"/>
        </w:rPr>
        <w:t>P</w:t>
      </w:r>
      <w:r w:rsidR="00ED718F">
        <w:rPr>
          <w:rFonts w:ascii="Book Antiqua" w:hAnsi="Book Antiqua"/>
          <w:lang w:val="en-US"/>
        </w:rPr>
        <w:t xml:space="preserve"> </w:t>
      </w:r>
      <w:r w:rsidRPr="00ED718F">
        <w:rPr>
          <w:rFonts w:ascii="Book Antiqua" w:hAnsi="Book Antiqua"/>
          <w:lang w:val="en-US"/>
        </w:rPr>
        <w:t>=</w:t>
      </w:r>
      <w:r w:rsidR="00ED718F">
        <w:rPr>
          <w:rFonts w:ascii="Book Antiqua" w:hAnsi="Book Antiqua"/>
          <w:lang w:val="en-US"/>
        </w:rPr>
        <w:t xml:space="preserve"> </w:t>
      </w:r>
      <w:r w:rsidRPr="00ED718F">
        <w:rPr>
          <w:rFonts w:ascii="Book Antiqua" w:hAnsi="Book Antiqua"/>
          <w:lang w:val="en-US"/>
        </w:rPr>
        <w:t>0.004). The mean hemoglobin concentration was 12.30 g/dL in IBD patients, and was significantly lower in those with CD (12.12 g/</w:t>
      </w:r>
      <w:r w:rsidR="00ED718F" w:rsidRPr="00ED718F">
        <w:rPr>
          <w:rFonts w:ascii="Book Antiqua" w:hAnsi="Book Antiqua"/>
          <w:lang w:val="en-US"/>
        </w:rPr>
        <w:t>d</w:t>
      </w:r>
      <w:r w:rsidR="00ED718F">
        <w:rPr>
          <w:rFonts w:ascii="Book Antiqua" w:hAnsi="Book Antiqua"/>
          <w:lang w:val="en-US"/>
        </w:rPr>
        <w:t>L</w:t>
      </w:r>
      <w:r w:rsidRPr="00ED718F">
        <w:rPr>
          <w:rFonts w:ascii="Book Antiqua" w:hAnsi="Book Antiqua"/>
          <w:lang w:val="en-US"/>
        </w:rPr>
        <w:t>) than in those with UC (12.54 g/</w:t>
      </w:r>
      <w:r w:rsidR="00ED718F" w:rsidRPr="00ED718F">
        <w:rPr>
          <w:rFonts w:ascii="Book Antiqua" w:hAnsi="Book Antiqua"/>
          <w:lang w:val="en-US"/>
        </w:rPr>
        <w:t>d</w:t>
      </w:r>
      <w:r w:rsidR="00ED718F">
        <w:rPr>
          <w:rFonts w:ascii="Book Antiqua" w:hAnsi="Book Antiqua"/>
          <w:lang w:val="en-US"/>
        </w:rPr>
        <w:t>L</w:t>
      </w:r>
      <w:r w:rsidRPr="00ED718F">
        <w:rPr>
          <w:rFonts w:ascii="Book Antiqua" w:hAnsi="Book Antiqua"/>
          <w:lang w:val="en-US"/>
        </w:rPr>
        <w:t>) (</w:t>
      </w:r>
      <w:r w:rsidR="00ED718F" w:rsidRPr="00ED718F">
        <w:rPr>
          <w:rFonts w:ascii="Book Antiqua" w:hAnsi="Book Antiqua"/>
          <w:i/>
          <w:lang w:val="en-US"/>
        </w:rPr>
        <w:t>P</w:t>
      </w:r>
      <w:r w:rsidRPr="00ED718F">
        <w:rPr>
          <w:rFonts w:ascii="Book Antiqua" w:hAnsi="Book Antiqua"/>
          <w:lang w:val="en-US"/>
        </w:rPr>
        <w:t xml:space="preserve"> = 0.03). The fre</w:t>
      </w:r>
      <w:r w:rsidRPr="004E72CC">
        <w:rPr>
          <w:rFonts w:ascii="Book Antiqua" w:hAnsi="Book Antiqua"/>
          <w:lang w:val="en-US"/>
        </w:rPr>
        <w:t xml:space="preserve">quency of anemia and hematological profiles at the time of IBD diagnosis is shown in Table 3. </w:t>
      </w:r>
    </w:p>
    <w:p w14:paraId="71F39461" w14:textId="492612ED" w:rsidR="006E1A1C" w:rsidRPr="00ED718F" w:rsidRDefault="00ED718F" w:rsidP="006E1A1C">
      <w:pPr>
        <w:spacing w:line="360" w:lineRule="auto"/>
        <w:jc w:val="both"/>
        <w:rPr>
          <w:rFonts w:ascii="Book Antiqua" w:hAnsi="Book Antiqua"/>
          <w:lang w:val="en-US"/>
        </w:rPr>
      </w:pPr>
      <w:r>
        <w:rPr>
          <w:rFonts w:ascii="Book Antiqua" w:hAnsi="Book Antiqua"/>
          <w:lang w:val="en-US"/>
        </w:rPr>
        <w:t xml:space="preserve">  </w:t>
      </w:r>
      <w:r w:rsidR="006E1A1C" w:rsidRPr="00ED718F">
        <w:rPr>
          <w:rFonts w:ascii="Book Antiqua" w:hAnsi="Book Antiqua"/>
          <w:lang w:val="en-US"/>
        </w:rPr>
        <w:t xml:space="preserve">Anemia was more common among women with IBD than men (64% </w:t>
      </w:r>
      <w:bookmarkStart w:id="145" w:name="OLE_LINK52"/>
      <w:r w:rsidR="006E1A1C" w:rsidRPr="00F75508">
        <w:rPr>
          <w:rFonts w:ascii="Book Antiqua" w:hAnsi="Book Antiqua"/>
          <w:i/>
          <w:lang w:val="en-US"/>
        </w:rPr>
        <w:t>vs</w:t>
      </w:r>
      <w:bookmarkEnd w:id="145"/>
      <w:r w:rsidR="006E1A1C" w:rsidRPr="00ED718F">
        <w:rPr>
          <w:rFonts w:ascii="Book Antiqua" w:hAnsi="Book Antiqua"/>
          <w:lang w:val="en-US"/>
        </w:rPr>
        <w:t xml:space="preserve"> 41.3%, respectively, </w:t>
      </w:r>
      <w:r w:rsidRPr="00ED718F">
        <w:rPr>
          <w:rFonts w:ascii="Book Antiqua" w:hAnsi="Book Antiqua"/>
          <w:i/>
          <w:lang w:val="en-US"/>
        </w:rPr>
        <w:t>P</w:t>
      </w:r>
      <w:r>
        <w:rPr>
          <w:rFonts w:ascii="Book Antiqua" w:hAnsi="Book Antiqua"/>
          <w:lang w:val="en-US"/>
        </w:rPr>
        <w:t xml:space="preserve"> </w:t>
      </w:r>
      <w:r w:rsidR="006E1A1C" w:rsidRPr="00ED718F">
        <w:rPr>
          <w:rFonts w:ascii="Book Antiqua" w:hAnsi="Book Antiqua"/>
          <w:lang w:val="en-US"/>
        </w:rPr>
        <w:t>&lt;</w:t>
      </w:r>
      <w:r>
        <w:rPr>
          <w:rFonts w:ascii="Book Antiqua" w:hAnsi="Book Antiqua"/>
          <w:lang w:val="en-US"/>
        </w:rPr>
        <w:t xml:space="preserve"> </w:t>
      </w:r>
      <w:r w:rsidR="006E1A1C" w:rsidRPr="00ED718F">
        <w:rPr>
          <w:rFonts w:ascii="Book Antiqua" w:hAnsi="Book Antiqua"/>
          <w:lang w:val="en-US"/>
        </w:rPr>
        <w:t>0.001) (Table 4). Severe anemia (Hb</w:t>
      </w:r>
      <w:r>
        <w:rPr>
          <w:rFonts w:ascii="Book Antiqua" w:hAnsi="Book Antiqua"/>
          <w:lang w:val="en-US"/>
        </w:rPr>
        <w:t xml:space="preserve"> </w:t>
      </w:r>
      <w:r w:rsidR="006E1A1C" w:rsidRPr="00ED718F">
        <w:rPr>
          <w:rFonts w:ascii="Book Antiqua" w:hAnsi="Book Antiqua"/>
          <w:lang w:val="en-US"/>
        </w:rPr>
        <w:t>&lt;</w:t>
      </w:r>
      <w:r>
        <w:rPr>
          <w:rFonts w:ascii="Book Antiqua" w:hAnsi="Book Antiqua"/>
          <w:lang w:val="en-US"/>
        </w:rPr>
        <w:t xml:space="preserve"> </w:t>
      </w:r>
      <w:r w:rsidR="006E1A1C" w:rsidRPr="00ED718F">
        <w:rPr>
          <w:rFonts w:ascii="Book Antiqua" w:hAnsi="Book Antiqua"/>
          <w:lang w:val="en-US"/>
        </w:rPr>
        <w:t>10 g/dL) was observed in 21.6% of patient</w:t>
      </w:r>
      <w:r w:rsidR="006E1A1C" w:rsidRPr="004E72CC">
        <w:rPr>
          <w:rFonts w:ascii="Book Antiqua" w:hAnsi="Book Antiqua"/>
          <w:lang w:val="en-US"/>
        </w:rPr>
        <w:t>s with CD and 9.8% of patients with UC (</w:t>
      </w:r>
      <w:r w:rsidRPr="00ED718F">
        <w:rPr>
          <w:rFonts w:ascii="Book Antiqua" w:hAnsi="Book Antiqua"/>
          <w:i/>
          <w:lang w:val="en-US"/>
        </w:rPr>
        <w:t>P</w:t>
      </w:r>
      <w:r>
        <w:rPr>
          <w:rFonts w:ascii="Book Antiqua" w:hAnsi="Book Antiqua"/>
          <w:lang w:val="en-US"/>
        </w:rPr>
        <w:t xml:space="preserve"> </w:t>
      </w:r>
      <w:r w:rsidR="006E1A1C" w:rsidRPr="00ED718F">
        <w:rPr>
          <w:rFonts w:ascii="Book Antiqua" w:hAnsi="Book Antiqua"/>
          <w:lang w:val="en-US"/>
        </w:rPr>
        <w:t>=</w:t>
      </w:r>
      <w:r>
        <w:rPr>
          <w:rFonts w:ascii="Book Antiqua" w:hAnsi="Book Antiqua"/>
          <w:lang w:val="en-US"/>
        </w:rPr>
        <w:t xml:space="preserve"> </w:t>
      </w:r>
      <w:r w:rsidR="006E1A1C" w:rsidRPr="00ED718F">
        <w:rPr>
          <w:rFonts w:ascii="Book Antiqua" w:hAnsi="Book Antiqua"/>
          <w:lang w:val="en-US"/>
        </w:rPr>
        <w:t>0.002). No relationship was found between the presence of anemia and disease duration (</w:t>
      </w:r>
      <w:bookmarkStart w:id="146" w:name="OLE_LINK53"/>
      <w:bookmarkStart w:id="147" w:name="OLE_LINK54"/>
      <w:r w:rsidRPr="00ED718F">
        <w:rPr>
          <w:rFonts w:ascii="Book Antiqua" w:hAnsi="Book Antiqua"/>
          <w:i/>
          <w:lang w:val="en-US"/>
        </w:rPr>
        <w:t>P</w:t>
      </w:r>
      <w:r>
        <w:rPr>
          <w:rFonts w:ascii="Book Antiqua" w:hAnsi="Book Antiqua"/>
          <w:lang w:val="en-US"/>
        </w:rPr>
        <w:t xml:space="preserve"> </w:t>
      </w:r>
      <w:bookmarkEnd w:id="146"/>
      <w:bookmarkEnd w:id="147"/>
      <w:r w:rsidR="006E1A1C" w:rsidRPr="00ED718F">
        <w:rPr>
          <w:rFonts w:ascii="Book Antiqua" w:hAnsi="Book Antiqua"/>
          <w:lang w:val="en-US"/>
        </w:rPr>
        <w:t>=</w:t>
      </w:r>
      <w:r>
        <w:rPr>
          <w:rFonts w:ascii="Book Antiqua" w:hAnsi="Book Antiqua"/>
          <w:lang w:val="en-US"/>
        </w:rPr>
        <w:t xml:space="preserve"> </w:t>
      </w:r>
      <w:r w:rsidR="006E1A1C" w:rsidRPr="00ED718F">
        <w:rPr>
          <w:rFonts w:ascii="Book Antiqua" w:hAnsi="Book Antiqua"/>
          <w:lang w:val="en-US"/>
        </w:rPr>
        <w:t>0.55).   </w:t>
      </w:r>
    </w:p>
    <w:p w14:paraId="289049D9" w14:textId="24FD15CC" w:rsidR="006E1A1C" w:rsidRPr="004E72CC" w:rsidRDefault="00ED718F" w:rsidP="006E1A1C">
      <w:pPr>
        <w:spacing w:line="360" w:lineRule="auto"/>
        <w:jc w:val="both"/>
        <w:rPr>
          <w:rFonts w:ascii="Book Antiqua" w:hAnsi="Book Antiqua"/>
          <w:lang w:val="en-US"/>
        </w:rPr>
      </w:pPr>
      <w:r>
        <w:rPr>
          <w:rFonts w:ascii="Book Antiqua" w:hAnsi="Book Antiqua"/>
          <w:lang w:val="en-US"/>
        </w:rPr>
        <w:t xml:space="preserve">  </w:t>
      </w:r>
      <w:r w:rsidR="006E1A1C" w:rsidRPr="00ED718F">
        <w:rPr>
          <w:rFonts w:ascii="Book Antiqua" w:hAnsi="Book Antiqua"/>
          <w:lang w:val="en-US"/>
        </w:rPr>
        <w:t>IDA was the most common type of anemia (29.9%). The frequencies of CDA and mixed anemia (IDA + CDA) were 8% and 3.</w:t>
      </w:r>
      <w:r w:rsidR="006E1A1C" w:rsidRPr="004E72CC">
        <w:rPr>
          <w:rFonts w:ascii="Book Antiqua" w:hAnsi="Book Antiqua"/>
          <w:lang w:val="en-US"/>
        </w:rPr>
        <w:t>4%, respectively. In addition, vitamin B</w:t>
      </w:r>
      <w:r w:rsidR="006E1A1C" w:rsidRPr="004E72CC">
        <w:rPr>
          <w:rFonts w:ascii="Book Antiqua" w:hAnsi="Book Antiqua"/>
          <w:vertAlign w:val="subscript"/>
          <w:lang w:val="en-US"/>
        </w:rPr>
        <w:t>12</w:t>
      </w:r>
      <w:r w:rsidR="001E4959">
        <w:rPr>
          <w:rFonts w:ascii="Book Antiqua" w:hAnsi="Book Antiqua"/>
          <w:lang w:val="en-US"/>
        </w:rPr>
        <w:t xml:space="preserve"> /</w:t>
      </w:r>
      <w:r w:rsidR="006E1A1C" w:rsidRPr="004E72CC">
        <w:rPr>
          <w:rFonts w:ascii="Book Antiqua" w:hAnsi="Book Antiqua"/>
          <w:lang w:val="en-US"/>
        </w:rPr>
        <w:t>folic acid deficiency anemia was observed in 14% of the patients (Figure 1). Moreover, since anemia parameters were not evaluated during the follow-up of 15.3% of our IBD patients, the etiology of anemia was not clarified in these patients.</w:t>
      </w:r>
    </w:p>
    <w:p w14:paraId="426DC001" w14:textId="77777777" w:rsidR="006E1A1C" w:rsidRPr="004E72CC" w:rsidRDefault="006E1A1C" w:rsidP="006E1A1C">
      <w:pPr>
        <w:rPr>
          <w:rStyle w:val="Strong"/>
          <w:rFonts w:ascii="Book Antiqua" w:hAnsi="Book Antiqua"/>
          <w:b w:val="0"/>
          <w:lang w:val="en-US"/>
        </w:rPr>
      </w:pPr>
    </w:p>
    <w:p w14:paraId="076BCCB8" w14:textId="440053D1" w:rsidR="006E1A1C" w:rsidRPr="00F75508" w:rsidRDefault="006E1A1C" w:rsidP="006E1A1C">
      <w:pPr>
        <w:spacing w:line="360" w:lineRule="auto"/>
        <w:jc w:val="both"/>
        <w:rPr>
          <w:rFonts w:ascii="Book Antiqua" w:hAnsi="Book Antiqua"/>
          <w:b/>
          <w:i/>
          <w:lang w:val="en-US"/>
        </w:rPr>
      </w:pPr>
      <w:bookmarkStart w:id="148" w:name="OLE_LINK55"/>
      <w:r w:rsidRPr="00F75508">
        <w:rPr>
          <w:rFonts w:ascii="Book Antiqua" w:hAnsi="Book Antiqua"/>
          <w:b/>
          <w:i/>
          <w:lang w:val="en-US"/>
        </w:rPr>
        <w:t>Factors related to anemia among IBD patients</w:t>
      </w:r>
    </w:p>
    <w:bookmarkEnd w:id="148"/>
    <w:p w14:paraId="4D9966F7" w14:textId="68A29B2D" w:rsidR="006E1A1C" w:rsidRPr="00ED718F" w:rsidRDefault="006E1A1C" w:rsidP="006E1A1C">
      <w:pPr>
        <w:spacing w:line="360" w:lineRule="auto"/>
        <w:jc w:val="both"/>
        <w:rPr>
          <w:rFonts w:ascii="Book Antiqua" w:hAnsi="Book Antiqua"/>
          <w:lang w:val="en-US"/>
        </w:rPr>
      </w:pPr>
      <w:r w:rsidRPr="004E72CC">
        <w:rPr>
          <w:rFonts w:ascii="Book Antiqua" w:hAnsi="Book Antiqua"/>
          <w:lang w:val="en-US"/>
        </w:rPr>
        <w:t>Results of the current study indicate that anemia in IBD patients is more common among women than men, regardless of disease type or age. While elevated CRP levels (&gt; 5 mg/L) are indicative of active disease, CD and UC patients with CRP levels &gt;</w:t>
      </w:r>
      <w:r w:rsidR="00ED718F">
        <w:rPr>
          <w:rFonts w:ascii="Book Antiqua" w:hAnsi="Book Antiqua"/>
          <w:lang w:val="en-US"/>
        </w:rPr>
        <w:t xml:space="preserve"> </w:t>
      </w:r>
      <w:r w:rsidRPr="00ED718F">
        <w:rPr>
          <w:rFonts w:ascii="Book Antiqua" w:hAnsi="Book Antiqua"/>
          <w:lang w:val="en-US"/>
        </w:rPr>
        <w:t xml:space="preserve">5 mg/L had significantly higher rates of anemia compared to those with lower levels of CRP (70.4% </w:t>
      </w:r>
      <w:r w:rsidRPr="00F75508">
        <w:rPr>
          <w:rFonts w:ascii="Book Antiqua" w:hAnsi="Book Antiqua"/>
          <w:i/>
          <w:lang w:val="en-US"/>
        </w:rPr>
        <w:t>vs</w:t>
      </w:r>
      <w:r w:rsidRPr="00ED718F">
        <w:rPr>
          <w:rFonts w:ascii="Book Antiqua" w:hAnsi="Book Antiqua"/>
          <w:lang w:val="en-US"/>
        </w:rPr>
        <w:t xml:space="preserve"> 45.8%, respectively, for CD patients, </w:t>
      </w:r>
      <w:r w:rsidR="00ED718F" w:rsidRPr="00ED718F">
        <w:rPr>
          <w:rFonts w:ascii="Book Antiqua" w:hAnsi="Book Antiqua"/>
          <w:i/>
          <w:lang w:val="en-US"/>
        </w:rPr>
        <w:t>P</w:t>
      </w:r>
      <w:r w:rsidR="00ED718F">
        <w:rPr>
          <w:rFonts w:ascii="Book Antiqua" w:hAnsi="Book Antiqua"/>
          <w:lang w:val="en-US"/>
        </w:rPr>
        <w:t xml:space="preserve"> </w:t>
      </w:r>
      <w:r w:rsidRPr="00ED718F">
        <w:rPr>
          <w:rFonts w:ascii="Book Antiqua" w:hAnsi="Book Antiqua"/>
          <w:lang w:val="en-US"/>
        </w:rPr>
        <w:t>&lt;</w:t>
      </w:r>
      <w:r w:rsidR="00ED718F">
        <w:rPr>
          <w:rFonts w:ascii="Book Antiqua" w:hAnsi="Book Antiqua"/>
          <w:lang w:val="en-US"/>
        </w:rPr>
        <w:t xml:space="preserve"> </w:t>
      </w:r>
      <w:r w:rsidRPr="00ED718F">
        <w:rPr>
          <w:rFonts w:ascii="Book Antiqua" w:hAnsi="Book Antiqua"/>
          <w:lang w:val="en-US"/>
        </w:rPr>
        <w:t xml:space="preserve">0.001, and 54.7% </w:t>
      </w:r>
      <w:r w:rsidRPr="00F75508">
        <w:rPr>
          <w:rFonts w:ascii="Book Antiqua" w:hAnsi="Book Antiqua"/>
          <w:i/>
          <w:lang w:val="en-US"/>
        </w:rPr>
        <w:t>vs</w:t>
      </w:r>
      <w:r w:rsidRPr="00ED718F">
        <w:rPr>
          <w:rFonts w:ascii="Book Antiqua" w:hAnsi="Book Antiqua"/>
          <w:lang w:val="en-US"/>
        </w:rPr>
        <w:t xml:space="preserve"> 36.8%, respectively, for UC</w:t>
      </w:r>
      <w:r w:rsidRPr="004E72CC">
        <w:rPr>
          <w:rFonts w:ascii="Book Antiqua" w:hAnsi="Book Antiqua"/>
          <w:lang w:val="en-US"/>
        </w:rPr>
        <w:t xml:space="preserve"> patients, </w:t>
      </w:r>
      <w:bookmarkStart w:id="149" w:name="OLE_LINK56"/>
      <w:r w:rsidR="00ED718F" w:rsidRPr="00ED718F">
        <w:rPr>
          <w:rFonts w:ascii="Book Antiqua" w:hAnsi="Book Antiqua"/>
          <w:i/>
          <w:lang w:val="en-US"/>
        </w:rPr>
        <w:t>P</w:t>
      </w:r>
      <w:bookmarkEnd w:id="149"/>
      <w:r w:rsidR="00ED718F">
        <w:rPr>
          <w:rFonts w:ascii="Book Antiqua" w:hAnsi="Book Antiqua"/>
          <w:lang w:val="en-US"/>
        </w:rPr>
        <w:t xml:space="preserve"> </w:t>
      </w:r>
      <w:r w:rsidRPr="004E72CC">
        <w:rPr>
          <w:rFonts w:ascii="Book Antiqua" w:hAnsi="Book Antiqua"/>
          <w:lang w:val="en-US"/>
        </w:rPr>
        <w:t>=</w:t>
      </w:r>
      <w:r w:rsidR="00ED718F">
        <w:rPr>
          <w:rFonts w:ascii="Book Antiqua" w:hAnsi="Book Antiqua"/>
          <w:lang w:val="en-US"/>
        </w:rPr>
        <w:t xml:space="preserve"> </w:t>
      </w:r>
      <w:r w:rsidRPr="00ED718F">
        <w:rPr>
          <w:rFonts w:ascii="Book Antiqua" w:hAnsi="Book Antiqua"/>
          <w:lang w:val="en-US"/>
        </w:rPr>
        <w:t xml:space="preserve">0.006). The factors related to anemia in IBD are summarized in Table 5. Data from this study indicate that disease type and duration do not have a significant effect on frequency of anemia in CD. </w:t>
      </w:r>
    </w:p>
    <w:p w14:paraId="110FED72" w14:textId="5B9C4D85" w:rsidR="006E1A1C" w:rsidRPr="00ED718F" w:rsidRDefault="00ED718F" w:rsidP="006E1A1C">
      <w:pPr>
        <w:spacing w:line="360" w:lineRule="auto"/>
        <w:jc w:val="both"/>
        <w:rPr>
          <w:rFonts w:ascii="Book Antiqua" w:hAnsi="Book Antiqua"/>
          <w:lang w:val="en-US"/>
        </w:rPr>
      </w:pPr>
      <w:r>
        <w:rPr>
          <w:rFonts w:ascii="Book Antiqua" w:hAnsi="Book Antiqua"/>
          <w:lang w:val="en-US"/>
        </w:rPr>
        <w:t xml:space="preserve">  </w:t>
      </w:r>
      <w:r w:rsidR="006E1A1C" w:rsidRPr="00ED718F">
        <w:rPr>
          <w:rFonts w:ascii="Book Antiqua" w:hAnsi="Book Antiqua"/>
          <w:lang w:val="en-US"/>
        </w:rPr>
        <w:t>Corticosteroid users had a higher frequency of</w:t>
      </w:r>
      <w:r w:rsidR="006E1A1C" w:rsidRPr="004E72CC">
        <w:rPr>
          <w:rFonts w:ascii="Book Antiqua" w:hAnsi="Book Antiqua"/>
          <w:lang w:val="en-US"/>
        </w:rPr>
        <w:t xml:space="preserve"> anemia than non-users (80% </w:t>
      </w:r>
      <w:bookmarkStart w:id="150" w:name="OLE_LINK57"/>
      <w:r w:rsidR="006E1A1C" w:rsidRPr="00F75508">
        <w:rPr>
          <w:rFonts w:ascii="Book Antiqua" w:hAnsi="Book Antiqua"/>
          <w:i/>
          <w:lang w:val="en-US"/>
        </w:rPr>
        <w:t>vs</w:t>
      </w:r>
      <w:bookmarkEnd w:id="150"/>
      <w:r w:rsidR="006E1A1C" w:rsidRPr="00ED718F">
        <w:rPr>
          <w:rFonts w:ascii="Book Antiqua" w:hAnsi="Book Antiqua"/>
          <w:lang w:val="en-US"/>
        </w:rPr>
        <w:t xml:space="preserve"> 47.8%, respectively, </w:t>
      </w:r>
      <w:r w:rsidRPr="00ED718F">
        <w:rPr>
          <w:rFonts w:ascii="Book Antiqua" w:hAnsi="Book Antiqua"/>
          <w:i/>
          <w:lang w:val="en-US"/>
        </w:rPr>
        <w:t>P</w:t>
      </w:r>
      <w:r>
        <w:rPr>
          <w:rFonts w:ascii="Book Antiqua" w:hAnsi="Book Antiqua"/>
          <w:lang w:val="en-US"/>
        </w:rPr>
        <w:t xml:space="preserve"> </w:t>
      </w:r>
      <w:r w:rsidR="006E1A1C" w:rsidRPr="00ED718F">
        <w:rPr>
          <w:rFonts w:ascii="Book Antiqua" w:hAnsi="Book Antiqua"/>
          <w:lang w:val="en-US"/>
        </w:rPr>
        <w:t>&lt;</w:t>
      </w:r>
      <w:r>
        <w:rPr>
          <w:rFonts w:ascii="Book Antiqua" w:hAnsi="Book Antiqua"/>
          <w:lang w:val="en-US"/>
        </w:rPr>
        <w:t xml:space="preserve"> </w:t>
      </w:r>
      <w:r w:rsidR="006E1A1C" w:rsidRPr="00ED718F">
        <w:rPr>
          <w:rFonts w:ascii="Book Antiqua" w:hAnsi="Book Antiqua"/>
          <w:lang w:val="en-US"/>
        </w:rPr>
        <w:t>0.001). Further, those using immunomodulator therapy (su</w:t>
      </w:r>
      <w:r w:rsidR="006E1A1C" w:rsidRPr="00E0787C">
        <w:rPr>
          <w:rFonts w:ascii="Book Antiqua" w:hAnsi="Book Antiqua"/>
          <w:lang w:val="en-US"/>
        </w:rPr>
        <w:t xml:space="preserve">ch as AZA and MTX) also had higher rates of anemia than non-users (64.5% </w:t>
      </w:r>
      <w:bookmarkStart w:id="151" w:name="OLE_LINK60"/>
      <w:bookmarkStart w:id="152" w:name="OLE_LINK61"/>
      <w:r w:rsidR="006E1A1C" w:rsidRPr="00F75508">
        <w:rPr>
          <w:rFonts w:ascii="Book Antiqua" w:hAnsi="Book Antiqua"/>
          <w:i/>
          <w:lang w:val="en-US"/>
        </w:rPr>
        <w:t>vs</w:t>
      </w:r>
      <w:bookmarkEnd w:id="151"/>
      <w:bookmarkEnd w:id="152"/>
      <w:r w:rsidR="006E1A1C" w:rsidRPr="00E0787C">
        <w:rPr>
          <w:rFonts w:ascii="Book Antiqua" w:hAnsi="Book Antiqua"/>
          <w:lang w:val="en-US"/>
        </w:rPr>
        <w:t xml:space="preserve"> 41.9%, respectively, </w:t>
      </w:r>
      <w:r w:rsidRPr="00ED718F">
        <w:rPr>
          <w:rFonts w:ascii="Book Antiqua" w:hAnsi="Book Antiqua"/>
          <w:i/>
          <w:lang w:val="en-US"/>
        </w:rPr>
        <w:t>P</w:t>
      </w:r>
      <w:r w:rsidR="006E1A1C" w:rsidRPr="00E0787C">
        <w:rPr>
          <w:rFonts w:ascii="Book Antiqua" w:hAnsi="Book Antiqua"/>
          <w:lang w:val="en-US"/>
        </w:rPr>
        <w:t xml:space="preserve"> &lt;</w:t>
      </w:r>
      <w:r>
        <w:rPr>
          <w:rFonts w:ascii="Book Antiqua" w:hAnsi="Book Antiqua"/>
          <w:lang w:val="en-US"/>
        </w:rPr>
        <w:t xml:space="preserve"> </w:t>
      </w:r>
      <w:r w:rsidR="006E1A1C" w:rsidRPr="00E0787C">
        <w:rPr>
          <w:rFonts w:ascii="Book Antiqua" w:hAnsi="Book Antiqua"/>
          <w:lang w:val="en-US"/>
        </w:rPr>
        <w:t>0.001). Vitamin B</w:t>
      </w:r>
      <w:r w:rsidR="006E1A1C" w:rsidRPr="004E72CC">
        <w:rPr>
          <w:rFonts w:ascii="Book Antiqua" w:hAnsi="Book Antiqua"/>
          <w:vertAlign w:val="subscript"/>
          <w:lang w:val="en-US"/>
        </w:rPr>
        <w:t>12</w:t>
      </w:r>
      <w:r w:rsidR="006E1A1C" w:rsidRPr="004E72CC">
        <w:rPr>
          <w:rFonts w:ascii="Book Antiqua" w:hAnsi="Book Antiqua"/>
          <w:lang w:val="en-US"/>
        </w:rPr>
        <w:t xml:space="preserve">/folic acid deficiency anemia was the most common type of anemia in this immunomodulator users group. On the other hand, anemia rates were significantly higher among patients who did not use anti-TNF, compared to those who did use anti-TNF (69.1% </w:t>
      </w:r>
      <w:bookmarkStart w:id="153" w:name="OLE_LINK62"/>
      <w:r w:rsidR="006E1A1C" w:rsidRPr="00F75508">
        <w:rPr>
          <w:rFonts w:ascii="Book Antiqua" w:hAnsi="Book Antiqua"/>
          <w:i/>
          <w:lang w:val="en-US"/>
        </w:rPr>
        <w:t>vs</w:t>
      </w:r>
      <w:bookmarkEnd w:id="153"/>
      <w:r w:rsidR="006E1A1C" w:rsidRPr="00ED718F">
        <w:rPr>
          <w:rFonts w:ascii="Book Antiqua" w:hAnsi="Book Antiqua"/>
          <w:lang w:val="en-US"/>
        </w:rPr>
        <w:t xml:space="preserve"> 30.9%, respectively, </w:t>
      </w:r>
      <w:r w:rsidRPr="00ED718F">
        <w:rPr>
          <w:rFonts w:ascii="Book Antiqua" w:hAnsi="Book Antiqua"/>
          <w:i/>
          <w:lang w:val="en-US"/>
        </w:rPr>
        <w:t>P</w:t>
      </w:r>
      <w:r w:rsidR="006E1A1C" w:rsidRPr="00ED718F">
        <w:rPr>
          <w:rFonts w:ascii="Book Antiqua" w:hAnsi="Book Antiqua"/>
          <w:lang w:val="en-US"/>
        </w:rPr>
        <w:t xml:space="preserve"> = 0.001).</w:t>
      </w:r>
      <w:r w:rsidR="006E1A1C" w:rsidRPr="004E72CC">
        <w:rPr>
          <w:rFonts w:ascii="Book Antiqua" w:hAnsi="Book Antiqua"/>
          <w:lang w:val="en-US"/>
        </w:rPr>
        <w:t xml:space="preserve"> Further, those who had undergone previous surgeries had higher rates of anemia than those who did not (62.9 % </w:t>
      </w:r>
      <w:r w:rsidR="006E1A1C" w:rsidRPr="00F75508">
        <w:rPr>
          <w:rFonts w:ascii="Book Antiqua" w:hAnsi="Book Antiqua"/>
          <w:i/>
          <w:lang w:val="en-US"/>
        </w:rPr>
        <w:t>vs</w:t>
      </w:r>
      <w:r w:rsidR="006E1A1C" w:rsidRPr="00ED718F">
        <w:rPr>
          <w:rFonts w:ascii="Book Antiqua" w:hAnsi="Book Antiqua"/>
          <w:lang w:val="en-US"/>
        </w:rPr>
        <w:t xml:space="preserve"> 37.1%, respectively, </w:t>
      </w:r>
      <w:r w:rsidRPr="00ED718F">
        <w:rPr>
          <w:rFonts w:ascii="Book Antiqua" w:hAnsi="Book Antiqua"/>
          <w:i/>
          <w:lang w:val="en-US"/>
        </w:rPr>
        <w:t>P</w:t>
      </w:r>
      <w:r>
        <w:rPr>
          <w:rFonts w:ascii="Book Antiqua" w:hAnsi="Book Antiqua"/>
          <w:lang w:val="en-US"/>
        </w:rPr>
        <w:t xml:space="preserve"> </w:t>
      </w:r>
      <w:r w:rsidR="006E1A1C" w:rsidRPr="00ED718F">
        <w:rPr>
          <w:rFonts w:ascii="Book Antiqua" w:hAnsi="Book Antiqua"/>
          <w:lang w:val="en-US"/>
        </w:rPr>
        <w:t>= 0.04).</w:t>
      </w:r>
    </w:p>
    <w:p w14:paraId="2B14EE7B" w14:textId="46FBA7F7" w:rsidR="006E1A1C" w:rsidRPr="00ED718F" w:rsidRDefault="00ED718F" w:rsidP="006E1A1C">
      <w:pPr>
        <w:spacing w:line="360" w:lineRule="auto"/>
        <w:jc w:val="both"/>
        <w:rPr>
          <w:rFonts w:ascii="Book Antiqua" w:hAnsi="Book Antiqua"/>
          <w:lang w:val="en-US"/>
        </w:rPr>
      </w:pPr>
      <w:r>
        <w:rPr>
          <w:rFonts w:ascii="Book Antiqua" w:hAnsi="Book Antiqua"/>
          <w:lang w:val="en-US"/>
        </w:rPr>
        <w:t xml:space="preserve">  </w:t>
      </w:r>
      <w:r w:rsidR="006E1A1C" w:rsidRPr="00ED718F">
        <w:rPr>
          <w:rFonts w:ascii="Book Antiqua" w:hAnsi="Book Antiqua"/>
          <w:lang w:val="en-US"/>
        </w:rPr>
        <w:t>In UC patients, left colon involvement and pancolitis involvement were associated with a higher incidence of an</w:t>
      </w:r>
      <w:r w:rsidR="006E1A1C" w:rsidRPr="004E72CC">
        <w:rPr>
          <w:rFonts w:ascii="Book Antiqua" w:hAnsi="Book Antiqua"/>
          <w:lang w:val="en-US"/>
        </w:rPr>
        <w:t>emia than proctitis involvement. Also in the UC patients, as disease duration increased, the incidence of anemia significantly increased (</w:t>
      </w:r>
      <w:r w:rsidRPr="00ED718F">
        <w:rPr>
          <w:rFonts w:ascii="Book Antiqua" w:hAnsi="Book Antiqua"/>
          <w:i/>
          <w:lang w:val="en-US"/>
        </w:rPr>
        <w:t>P</w:t>
      </w:r>
      <w:r>
        <w:rPr>
          <w:rFonts w:ascii="Book Antiqua" w:hAnsi="Book Antiqua"/>
          <w:lang w:val="en-US"/>
        </w:rPr>
        <w:t xml:space="preserve"> </w:t>
      </w:r>
      <w:r w:rsidR="006E1A1C" w:rsidRPr="00ED718F">
        <w:rPr>
          <w:rFonts w:ascii="Book Antiqua" w:hAnsi="Book Antiqua"/>
          <w:lang w:val="en-US"/>
        </w:rPr>
        <w:t>=</w:t>
      </w:r>
      <w:r>
        <w:rPr>
          <w:rFonts w:ascii="Book Antiqua" w:hAnsi="Book Antiqua"/>
          <w:lang w:val="en-US"/>
        </w:rPr>
        <w:t xml:space="preserve"> </w:t>
      </w:r>
      <w:r w:rsidR="006E1A1C" w:rsidRPr="00ED718F">
        <w:rPr>
          <w:rFonts w:ascii="Book Antiqua" w:hAnsi="Book Antiqua"/>
          <w:lang w:val="en-US"/>
        </w:rPr>
        <w:t>0.008) (Table 4). IDA is significantly more prevalent in UC with pancolitis involvement compared to other types of d</w:t>
      </w:r>
      <w:r w:rsidR="006E1A1C" w:rsidRPr="004E72CC">
        <w:rPr>
          <w:rFonts w:ascii="Book Antiqua" w:hAnsi="Book Antiqua"/>
          <w:lang w:val="en-US"/>
        </w:rPr>
        <w:t>isease involvement (</w:t>
      </w:r>
      <w:r w:rsidRPr="00ED718F">
        <w:rPr>
          <w:rFonts w:ascii="Book Antiqua" w:hAnsi="Book Antiqua"/>
          <w:i/>
          <w:lang w:val="en-US"/>
        </w:rPr>
        <w:t xml:space="preserve">P </w:t>
      </w:r>
      <w:r w:rsidR="006E1A1C" w:rsidRPr="00ED718F">
        <w:rPr>
          <w:rFonts w:ascii="Book Antiqua" w:hAnsi="Book Antiqua"/>
          <w:lang w:val="en-US"/>
        </w:rPr>
        <w:t>&lt;</w:t>
      </w:r>
      <w:r>
        <w:rPr>
          <w:rFonts w:ascii="Book Antiqua" w:hAnsi="Book Antiqua"/>
          <w:lang w:val="en-US"/>
        </w:rPr>
        <w:t xml:space="preserve"> </w:t>
      </w:r>
      <w:r w:rsidR="006E1A1C" w:rsidRPr="00ED718F">
        <w:rPr>
          <w:rFonts w:ascii="Book Antiqua" w:hAnsi="Book Antiqua"/>
          <w:lang w:val="en-US"/>
        </w:rPr>
        <w:t xml:space="preserve">0.001). </w:t>
      </w:r>
    </w:p>
    <w:p w14:paraId="03B26669" w14:textId="77777777" w:rsidR="00ED718F" w:rsidRDefault="00ED718F" w:rsidP="006E1A1C">
      <w:pPr>
        <w:spacing w:line="360" w:lineRule="auto"/>
        <w:jc w:val="both"/>
        <w:rPr>
          <w:rFonts w:ascii="Book Antiqua" w:hAnsi="Book Antiqua"/>
          <w:b/>
          <w:lang w:val="en-US"/>
        </w:rPr>
      </w:pPr>
    </w:p>
    <w:p w14:paraId="5D0DA3C6" w14:textId="1656C3EE" w:rsidR="006E1A1C" w:rsidRPr="00F75508" w:rsidRDefault="006E1A1C" w:rsidP="006E1A1C">
      <w:pPr>
        <w:spacing w:line="360" w:lineRule="auto"/>
        <w:jc w:val="both"/>
        <w:rPr>
          <w:rFonts w:ascii="Book Antiqua" w:hAnsi="Book Antiqua"/>
          <w:b/>
          <w:bCs/>
          <w:i/>
          <w:lang w:val="en-US"/>
        </w:rPr>
      </w:pPr>
      <w:r w:rsidRPr="00F75508">
        <w:rPr>
          <w:rFonts w:ascii="Book Antiqua" w:hAnsi="Book Antiqua"/>
          <w:b/>
          <w:i/>
          <w:lang w:val="en-US"/>
        </w:rPr>
        <w:t xml:space="preserve">Anemia management in patients with IBD </w:t>
      </w:r>
    </w:p>
    <w:p w14:paraId="6F50BA85" w14:textId="77777777" w:rsidR="006E1A1C" w:rsidRPr="004E72CC" w:rsidRDefault="006E1A1C" w:rsidP="006E1A1C">
      <w:pPr>
        <w:spacing w:line="360" w:lineRule="auto"/>
        <w:jc w:val="both"/>
        <w:rPr>
          <w:rFonts w:ascii="Book Antiqua" w:hAnsi="Book Antiqua"/>
          <w:bCs/>
          <w:lang w:val="en-US"/>
        </w:rPr>
      </w:pPr>
      <w:r w:rsidRPr="004E72CC">
        <w:rPr>
          <w:rFonts w:ascii="Book Antiqua" w:hAnsi="Book Antiqua"/>
          <w:lang w:val="en-US"/>
        </w:rPr>
        <w:t>Approximately 50.4% of all of the IBD patients who were diagnosed with anemia in this study received treatment. Of the patients with IDA, 23% received oral iron therapy and 40.3% received parenteral iron preparations. Of those with B</w:t>
      </w:r>
      <w:r w:rsidRPr="004E72CC">
        <w:rPr>
          <w:rFonts w:ascii="Book Antiqua" w:hAnsi="Book Antiqua"/>
          <w:vertAlign w:val="subscript"/>
          <w:lang w:val="en-US"/>
        </w:rPr>
        <w:t>12</w:t>
      </w:r>
      <w:r w:rsidRPr="004E72CC">
        <w:rPr>
          <w:rFonts w:ascii="Book Antiqua" w:hAnsi="Book Antiqua"/>
          <w:lang w:val="en-US"/>
        </w:rPr>
        <w:t>/ folic acid anemia, 53.3% received B</w:t>
      </w:r>
      <w:r w:rsidRPr="004E72CC">
        <w:rPr>
          <w:rFonts w:ascii="Book Antiqua" w:hAnsi="Book Antiqua"/>
          <w:vertAlign w:val="subscript"/>
          <w:lang w:val="en-US"/>
        </w:rPr>
        <w:t>12</w:t>
      </w:r>
      <w:r w:rsidRPr="004E72CC">
        <w:rPr>
          <w:rFonts w:ascii="Book Antiqua" w:hAnsi="Book Antiqua"/>
          <w:lang w:val="en-US"/>
        </w:rPr>
        <w:t xml:space="preserve">/folic acid treatment. None of the patients in the current study received blood transfusions or were given erythropoiesis stimulant agents. </w:t>
      </w:r>
    </w:p>
    <w:p w14:paraId="78284645" w14:textId="77777777" w:rsidR="00ED718F" w:rsidRDefault="00ED718F" w:rsidP="006E1A1C">
      <w:pPr>
        <w:spacing w:line="360" w:lineRule="auto"/>
        <w:jc w:val="both"/>
        <w:rPr>
          <w:rFonts w:ascii="Book Antiqua" w:hAnsi="Book Antiqua"/>
          <w:b/>
          <w:lang w:val="en-US"/>
        </w:rPr>
      </w:pPr>
    </w:p>
    <w:p w14:paraId="0710671F" w14:textId="77777777" w:rsidR="006E1A1C" w:rsidRPr="00ED718F" w:rsidRDefault="006E1A1C" w:rsidP="006E1A1C">
      <w:pPr>
        <w:spacing w:line="360" w:lineRule="auto"/>
        <w:jc w:val="both"/>
        <w:rPr>
          <w:rFonts w:ascii="Book Antiqua" w:hAnsi="Book Antiqua"/>
          <w:b/>
          <w:lang w:val="en-US"/>
        </w:rPr>
      </w:pPr>
      <w:r w:rsidRPr="00ED718F">
        <w:rPr>
          <w:rFonts w:ascii="Book Antiqua" w:hAnsi="Book Antiqua"/>
          <w:b/>
          <w:lang w:val="en-US"/>
        </w:rPr>
        <w:t>DISCUSSION</w:t>
      </w:r>
    </w:p>
    <w:p w14:paraId="1B50CBD5" w14:textId="31E9351A" w:rsidR="006E1A1C" w:rsidRPr="00673F01" w:rsidRDefault="006E1A1C" w:rsidP="006E1A1C">
      <w:pPr>
        <w:spacing w:line="360" w:lineRule="auto"/>
        <w:jc w:val="both"/>
        <w:rPr>
          <w:rFonts w:ascii="Book Antiqua" w:hAnsi="Book Antiqua"/>
          <w:lang w:val="en-US"/>
        </w:rPr>
      </w:pPr>
      <w:r w:rsidRPr="004E72CC">
        <w:rPr>
          <w:rFonts w:ascii="Book Antiqua" w:hAnsi="Book Antiqua"/>
          <w:lang w:val="en-US"/>
        </w:rPr>
        <w:t>Anemia is the most common extra-intestinal finding in IBD. While anemia significantly impairs quality of life, the majority of IBD patients with anemia are not aware that some of their symptoms and/or complaints may be related to their anemia. In our current study, 52% of the IBD patients had anemia, and the rate of anemia was higher in CD patients (57%) compared to UC patients (44%). These results are similar to those of previous studies</w:t>
      </w:r>
      <w:r w:rsidRPr="00F75508">
        <w:rPr>
          <w:rFonts w:ascii="Book Antiqua" w:hAnsi="Book Antiqua"/>
          <w:vertAlign w:val="superscript"/>
          <w:lang w:val="en-US"/>
        </w:rPr>
        <w:t>[4,5,18,19]</w:t>
      </w:r>
      <w:r w:rsidRPr="00ED718F">
        <w:rPr>
          <w:rFonts w:ascii="Book Antiqua" w:hAnsi="Book Antiqua"/>
          <w:lang w:val="en-US"/>
        </w:rPr>
        <w:t>. In their population-based study including 756 patients (235 CD and 5</w:t>
      </w:r>
      <w:r w:rsidRPr="004E72CC">
        <w:rPr>
          <w:rFonts w:ascii="Book Antiqua" w:hAnsi="Book Antiqua"/>
          <w:lang w:val="en-US"/>
        </w:rPr>
        <w:t xml:space="preserve">19 UC), Hoivik </w:t>
      </w:r>
      <w:r w:rsidRPr="00F75508">
        <w:rPr>
          <w:rFonts w:ascii="Book Antiqua" w:hAnsi="Book Antiqua"/>
          <w:i/>
          <w:lang w:val="en-US"/>
        </w:rPr>
        <w:t>et al</w:t>
      </w:r>
      <w:bookmarkStart w:id="154" w:name="OLE_LINK63"/>
      <w:r w:rsidRPr="00F75508">
        <w:rPr>
          <w:rFonts w:ascii="Book Antiqua" w:hAnsi="Book Antiqua"/>
          <w:vertAlign w:val="superscript"/>
          <w:lang w:val="en-US"/>
        </w:rPr>
        <w:t>[18]</w:t>
      </w:r>
      <w:bookmarkEnd w:id="154"/>
      <w:r w:rsidRPr="00ED718F">
        <w:rPr>
          <w:rFonts w:ascii="Book Antiqua" w:hAnsi="Book Antiqua"/>
          <w:lang w:val="en-US"/>
        </w:rPr>
        <w:t xml:space="preserve"> found that 48.8% of CD patients and 20.2% of UC patients were diagnosed with anemia. Another population-based study</w:t>
      </w:r>
      <w:r w:rsidRPr="00F75508">
        <w:rPr>
          <w:rFonts w:ascii="Book Antiqua" w:hAnsi="Book Antiqua"/>
          <w:vertAlign w:val="superscript"/>
          <w:lang w:val="en-US"/>
        </w:rPr>
        <w:t xml:space="preserve">[6] </w:t>
      </w:r>
      <w:r w:rsidRPr="00ED718F">
        <w:rPr>
          <w:rFonts w:ascii="Book Antiqua" w:hAnsi="Book Antiqua"/>
          <w:lang w:val="en-US"/>
        </w:rPr>
        <w:t>reported that among 749 IBD patients, 30% had anemia, and the rate was higher in CD patients (42%) compared t</w:t>
      </w:r>
      <w:r w:rsidRPr="004E72CC">
        <w:rPr>
          <w:rFonts w:ascii="Book Antiqua" w:hAnsi="Book Antiqua"/>
          <w:lang w:val="en-US"/>
        </w:rPr>
        <w:t>o UC patients (24%). Another study conducted in Spain by Lucendo</w:t>
      </w:r>
      <w:r w:rsidRPr="00F75508">
        <w:rPr>
          <w:rFonts w:ascii="Book Antiqua" w:hAnsi="Book Antiqua"/>
          <w:i/>
          <w:lang w:val="en-US"/>
        </w:rPr>
        <w:t xml:space="preserve"> et al</w:t>
      </w:r>
      <w:r w:rsidR="00ED718F" w:rsidRPr="00F75508">
        <w:rPr>
          <w:rFonts w:ascii="Book Antiqua" w:hAnsi="Book Antiqua"/>
          <w:vertAlign w:val="superscript"/>
          <w:lang w:val="en-US"/>
        </w:rPr>
        <w:t>[</w:t>
      </w:r>
      <w:r w:rsidRPr="00F75508">
        <w:rPr>
          <w:rFonts w:ascii="Book Antiqua" w:hAnsi="Book Antiqua"/>
          <w:vertAlign w:val="superscript"/>
          <w:lang w:val="en-US"/>
        </w:rPr>
        <w:t>19</w:t>
      </w:r>
      <w:r w:rsidR="00ED718F" w:rsidRPr="00F75508">
        <w:rPr>
          <w:rFonts w:ascii="Book Antiqua" w:hAnsi="Book Antiqua"/>
          <w:vertAlign w:val="superscript"/>
          <w:lang w:val="en-US"/>
        </w:rPr>
        <w:t>]</w:t>
      </w:r>
      <w:r w:rsidRPr="00ED718F">
        <w:rPr>
          <w:rFonts w:ascii="Book Antiqua" w:hAnsi="Book Antiqua"/>
          <w:lang w:val="en-US"/>
        </w:rPr>
        <w:t xml:space="preserve"> revealed a similar incidence of anemia in IBD (41.2%); half of the CD patients had anemia, and only one third of the UC patients were anemic. In a study conducted in our country b</w:t>
      </w:r>
      <w:r w:rsidRPr="004E72CC">
        <w:rPr>
          <w:rFonts w:ascii="Book Antiqua" w:hAnsi="Book Antiqua"/>
          <w:lang w:val="en-US"/>
        </w:rPr>
        <w:t xml:space="preserve">y Törüner </w:t>
      </w:r>
      <w:r w:rsidRPr="00F75508">
        <w:rPr>
          <w:rFonts w:ascii="Book Antiqua" w:hAnsi="Book Antiqua"/>
          <w:i/>
          <w:lang w:val="en-US"/>
        </w:rPr>
        <w:t>et al</w:t>
      </w:r>
      <w:r w:rsidRPr="00F75508">
        <w:rPr>
          <w:rFonts w:ascii="Book Antiqua" w:hAnsi="Book Antiqua"/>
          <w:vertAlign w:val="superscript"/>
          <w:lang w:val="en-US"/>
        </w:rPr>
        <w:t>[20]</w:t>
      </w:r>
      <w:r w:rsidRPr="00ED718F">
        <w:rPr>
          <w:rFonts w:ascii="Book Antiqua" w:hAnsi="Book Antiqua"/>
          <w:lang w:val="en-US"/>
        </w:rPr>
        <w:t>, the anemia rate was found to be 22% in UC and 24% in CD among 398 patients with IBD (186 CD and 212 UC). The higher rate of anemia observed repeatedly in CD may be explained not only by increased bleeding, but also by additional me</w:t>
      </w:r>
      <w:r w:rsidRPr="00E0787C">
        <w:rPr>
          <w:rFonts w:ascii="Book Antiqua" w:hAnsi="Book Antiqua"/>
          <w:lang w:val="en-US"/>
        </w:rPr>
        <w:t>ch</w:t>
      </w:r>
      <w:r w:rsidRPr="004E72CC">
        <w:rPr>
          <w:rFonts w:ascii="Book Antiqua" w:hAnsi="Book Antiqua"/>
          <w:lang w:val="en-US"/>
        </w:rPr>
        <w:t>anisms su</w:t>
      </w:r>
      <w:r w:rsidRPr="00E0787C">
        <w:rPr>
          <w:rFonts w:ascii="Book Antiqua" w:hAnsi="Book Antiqua"/>
          <w:lang w:val="en-US"/>
        </w:rPr>
        <w:t xml:space="preserve">ch as systemic inflammation (which can be more severe in CD) and decreased iron absorption (due to involvement of the proximal gastrointestinal tract). However, it is important to note that some studies have reported no difference in anemia rates </w:t>
      </w:r>
      <w:r w:rsidRPr="004E72CC">
        <w:rPr>
          <w:rFonts w:ascii="Book Antiqua" w:hAnsi="Book Antiqua"/>
          <w:lang w:val="en-US"/>
        </w:rPr>
        <w:t>between IBD disease sub-types</w:t>
      </w:r>
      <w:r w:rsidRPr="00F75508">
        <w:rPr>
          <w:rFonts w:ascii="Book Antiqua" w:hAnsi="Book Antiqua"/>
          <w:vertAlign w:val="superscript"/>
          <w:lang w:val="en-US"/>
        </w:rPr>
        <w:t>[21]</w:t>
      </w:r>
      <w:r w:rsidRPr="00673F01">
        <w:rPr>
          <w:rFonts w:ascii="Book Antiqua" w:hAnsi="Book Antiqua"/>
          <w:lang w:val="en-US"/>
        </w:rPr>
        <w:t>.</w:t>
      </w:r>
    </w:p>
    <w:p w14:paraId="05A86D5E" w14:textId="6A2BE087" w:rsidR="006E1A1C" w:rsidRPr="004E72CC" w:rsidRDefault="00673F01" w:rsidP="006E1A1C">
      <w:pPr>
        <w:spacing w:line="360" w:lineRule="auto"/>
        <w:jc w:val="both"/>
        <w:rPr>
          <w:rFonts w:ascii="Book Antiqua" w:hAnsi="Book Antiqua"/>
          <w:bCs/>
          <w:lang w:val="en-US"/>
        </w:rPr>
      </w:pPr>
      <w:r>
        <w:rPr>
          <w:rFonts w:ascii="Book Antiqua" w:hAnsi="Book Antiqua"/>
          <w:lang w:val="en-US"/>
        </w:rPr>
        <w:t xml:space="preserve">  </w:t>
      </w:r>
      <w:r w:rsidR="006E1A1C" w:rsidRPr="00673F01">
        <w:rPr>
          <w:rFonts w:ascii="Book Antiqua" w:hAnsi="Book Antiqua"/>
          <w:lang w:val="en-US"/>
        </w:rPr>
        <w:t>In our patient population, the severe anemia (Hb</w:t>
      </w:r>
      <w:r>
        <w:rPr>
          <w:rFonts w:ascii="Book Antiqua" w:hAnsi="Book Antiqua"/>
          <w:lang w:val="en-US"/>
        </w:rPr>
        <w:t xml:space="preserve"> </w:t>
      </w:r>
      <w:r w:rsidR="006E1A1C" w:rsidRPr="00673F01">
        <w:rPr>
          <w:rFonts w:ascii="Book Antiqua" w:hAnsi="Book Antiqua"/>
          <w:lang w:val="en-US"/>
        </w:rPr>
        <w:t>&lt;</w:t>
      </w:r>
      <w:r>
        <w:rPr>
          <w:rFonts w:ascii="Book Antiqua" w:hAnsi="Book Antiqua"/>
          <w:lang w:val="en-US"/>
        </w:rPr>
        <w:t xml:space="preserve"> </w:t>
      </w:r>
      <w:r w:rsidR="006E1A1C" w:rsidRPr="00673F01">
        <w:rPr>
          <w:rFonts w:ascii="Book Antiqua" w:hAnsi="Book Antiqua"/>
          <w:lang w:val="en-US"/>
        </w:rPr>
        <w:t>10 g/dL) rate was 16.4%. This rate was significantly higher in CD patients (21.6%) compared to UC patients (9.8%) (</w:t>
      </w:r>
      <w:r w:rsidRPr="00673F01">
        <w:rPr>
          <w:rFonts w:ascii="Book Antiqua" w:hAnsi="Book Antiqua"/>
          <w:i/>
          <w:lang w:val="en-US"/>
        </w:rPr>
        <w:t>P</w:t>
      </w:r>
      <w:r>
        <w:rPr>
          <w:rFonts w:ascii="Book Antiqua" w:hAnsi="Book Antiqua"/>
          <w:lang w:val="en-US"/>
        </w:rPr>
        <w:t xml:space="preserve"> </w:t>
      </w:r>
      <w:r w:rsidR="006E1A1C" w:rsidRPr="00673F01">
        <w:rPr>
          <w:rFonts w:ascii="Book Antiqua" w:hAnsi="Book Antiqua"/>
          <w:lang w:val="en-US"/>
        </w:rPr>
        <w:t>=</w:t>
      </w:r>
      <w:r>
        <w:rPr>
          <w:rFonts w:ascii="Book Antiqua" w:hAnsi="Book Antiqua"/>
          <w:lang w:val="en-US"/>
        </w:rPr>
        <w:t xml:space="preserve"> </w:t>
      </w:r>
      <w:r w:rsidR="006E1A1C" w:rsidRPr="00673F01">
        <w:rPr>
          <w:rFonts w:ascii="Book Antiqua" w:hAnsi="Book Antiqua"/>
          <w:lang w:val="en-US"/>
        </w:rPr>
        <w:t>0.002). However, Lucendo</w:t>
      </w:r>
      <w:r>
        <w:rPr>
          <w:rFonts w:ascii="Book Antiqua" w:hAnsi="Book Antiqua"/>
          <w:lang w:val="en-US"/>
        </w:rPr>
        <w:t xml:space="preserve"> </w:t>
      </w:r>
      <w:r w:rsidRPr="00F75508">
        <w:rPr>
          <w:rFonts w:ascii="Book Antiqua" w:hAnsi="Book Antiqua"/>
          <w:i/>
          <w:lang w:val="en-US"/>
        </w:rPr>
        <w:t>et al</w:t>
      </w:r>
      <w:r w:rsidRPr="00F75508">
        <w:rPr>
          <w:rFonts w:ascii="Book Antiqua" w:hAnsi="Book Antiqua"/>
          <w:vertAlign w:val="superscript"/>
          <w:lang w:val="en-US"/>
        </w:rPr>
        <w:t>[19]</w:t>
      </w:r>
      <w:r w:rsidR="006E1A1C" w:rsidRPr="00673F01">
        <w:rPr>
          <w:rFonts w:ascii="Book Antiqua" w:hAnsi="Book Antiqua"/>
          <w:lang w:val="en-US"/>
        </w:rPr>
        <w:t xml:space="preserve"> reported that the rate of se</w:t>
      </w:r>
      <w:r w:rsidR="006E1A1C" w:rsidRPr="004E72CC">
        <w:rPr>
          <w:rFonts w:ascii="Book Antiqua" w:hAnsi="Book Antiqua"/>
          <w:lang w:val="en-US"/>
        </w:rPr>
        <w:t>vere anemia was 5.5%, and that the rate of severe anemia between CD and UC was not significantly different</w:t>
      </w:r>
      <w:r w:rsidR="006E1A1C" w:rsidRPr="00673F01">
        <w:rPr>
          <w:rFonts w:ascii="Book Antiqua" w:hAnsi="Book Antiqua"/>
          <w:lang w:val="en-US"/>
        </w:rPr>
        <w:t>. Another study conducted in Korea reported that the anemia rate in UC was 36.3% (similar to that of Western countries), while the rate in CD pat</w:t>
      </w:r>
      <w:r w:rsidR="006E1A1C" w:rsidRPr="004E72CC">
        <w:rPr>
          <w:rFonts w:ascii="Book Antiqua" w:hAnsi="Book Antiqua"/>
          <w:lang w:val="en-US"/>
        </w:rPr>
        <w:t>ients was 41.6%; however, the severe anemia rates between CD and UC were not significantly different</w:t>
      </w:r>
      <w:r w:rsidR="006E1A1C" w:rsidRPr="00F75508">
        <w:rPr>
          <w:rFonts w:ascii="Book Antiqua" w:hAnsi="Book Antiqua"/>
          <w:vertAlign w:val="superscript"/>
          <w:lang w:val="en-US"/>
        </w:rPr>
        <w:t>[22]</w:t>
      </w:r>
      <w:r w:rsidR="006E1A1C" w:rsidRPr="00E25D33">
        <w:rPr>
          <w:rFonts w:ascii="Book Antiqua" w:hAnsi="Book Antiqua"/>
          <w:lang w:val="en-US"/>
        </w:rPr>
        <w:t>.</w:t>
      </w:r>
    </w:p>
    <w:p w14:paraId="29787176" w14:textId="40E3C96D" w:rsidR="006E1A1C" w:rsidRPr="004E72CC" w:rsidRDefault="00E25D33" w:rsidP="006E1A1C">
      <w:pPr>
        <w:spacing w:line="360" w:lineRule="auto"/>
        <w:jc w:val="both"/>
        <w:rPr>
          <w:rFonts w:ascii="Book Antiqua" w:hAnsi="Book Antiqua"/>
          <w:lang w:val="en-US"/>
        </w:rPr>
      </w:pPr>
      <w:r>
        <w:rPr>
          <w:rFonts w:ascii="Book Antiqua" w:hAnsi="Book Antiqua"/>
          <w:lang w:val="en-US"/>
        </w:rPr>
        <w:lastRenderedPageBreak/>
        <w:t xml:space="preserve">  </w:t>
      </w:r>
      <w:r w:rsidR="006E1A1C" w:rsidRPr="00E25D33">
        <w:rPr>
          <w:rFonts w:ascii="Book Antiqua" w:hAnsi="Book Antiqua"/>
          <w:lang w:val="en-US"/>
        </w:rPr>
        <w:t>While the underlying cause of anemia in IBD patients is most likely multi-factorial, the most common causes are IDA and CDA. Multivariate analyses fr</w:t>
      </w:r>
      <w:r w:rsidR="006E1A1C" w:rsidRPr="004E72CC">
        <w:rPr>
          <w:rFonts w:ascii="Book Antiqua" w:hAnsi="Book Antiqua"/>
          <w:lang w:val="en-US"/>
        </w:rPr>
        <w:t>om published studies have repeatedly shown that female gender</w:t>
      </w:r>
      <w:r w:rsidR="006E1A1C" w:rsidRPr="00F75508">
        <w:rPr>
          <w:rFonts w:ascii="Book Antiqua" w:hAnsi="Book Antiqua"/>
          <w:vertAlign w:val="superscript"/>
          <w:lang w:val="en-US"/>
        </w:rPr>
        <w:t>[5,23,24]</w:t>
      </w:r>
      <w:r w:rsidR="006E1A1C" w:rsidRPr="00E25D33">
        <w:rPr>
          <w:rFonts w:ascii="Book Antiqua" w:hAnsi="Book Antiqua"/>
          <w:lang w:val="en-US"/>
        </w:rPr>
        <w:t xml:space="preserve"> and disease activity</w:t>
      </w:r>
      <w:r w:rsidR="006E1A1C" w:rsidRPr="00F75508">
        <w:rPr>
          <w:rFonts w:ascii="Book Antiqua" w:hAnsi="Book Antiqua"/>
          <w:vertAlign w:val="superscript"/>
          <w:lang w:val="en-US"/>
        </w:rPr>
        <w:t>[18,29]</w:t>
      </w:r>
      <w:r w:rsidR="006E1A1C" w:rsidRPr="00E25D33">
        <w:rPr>
          <w:rFonts w:ascii="Book Antiqua" w:hAnsi="Book Antiqua"/>
          <w:lang w:val="en-US"/>
        </w:rPr>
        <w:t xml:space="preserve"> are the most important determining factors that increase the frequency of anemia in both UC and CD. Consistent with previous studies, results of our curren</w:t>
      </w:r>
      <w:r w:rsidR="006E1A1C" w:rsidRPr="004E72CC">
        <w:rPr>
          <w:rFonts w:ascii="Book Antiqua" w:hAnsi="Book Antiqua"/>
          <w:lang w:val="en-US"/>
        </w:rPr>
        <w:t xml:space="preserve">t study revealed that female gender and disease activity are independent risk factors for anemia. The fact that anemia is more common among young women could be related to blood loss during menstrual cycles, gestation, and lactation. </w:t>
      </w:r>
    </w:p>
    <w:p w14:paraId="0CA58C32" w14:textId="6134243C" w:rsidR="006E1A1C" w:rsidRPr="00E25D33"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In our current study,</w:t>
      </w:r>
      <w:r w:rsidR="006E1A1C" w:rsidRPr="004E72CC">
        <w:rPr>
          <w:rFonts w:ascii="Book Antiqua" w:hAnsi="Book Antiqua"/>
          <w:lang w:val="en-US"/>
        </w:rPr>
        <w:t xml:space="preserve"> anemia was detected at a higher rate in those with active disease (CRP levels higher than 5 mg/L) than in those without (</w:t>
      </w:r>
      <w:r w:rsidRPr="00E25D33">
        <w:rPr>
          <w:rFonts w:ascii="Book Antiqua" w:hAnsi="Book Antiqua"/>
          <w:i/>
          <w:lang w:val="en-US"/>
        </w:rPr>
        <w:t>P</w:t>
      </w:r>
      <w:r>
        <w:rPr>
          <w:rFonts w:ascii="Book Antiqua" w:hAnsi="Book Antiqua"/>
          <w:lang w:val="en-US"/>
        </w:rPr>
        <w:t xml:space="preserve"> </w:t>
      </w:r>
      <w:r w:rsidR="006E1A1C" w:rsidRPr="00E25D33">
        <w:rPr>
          <w:rFonts w:ascii="Book Antiqua" w:hAnsi="Book Antiqua"/>
          <w:lang w:val="en-US"/>
        </w:rPr>
        <w:t>&lt;</w:t>
      </w:r>
      <w:r>
        <w:rPr>
          <w:rFonts w:ascii="Book Antiqua" w:hAnsi="Book Antiqua"/>
          <w:lang w:val="en-US"/>
        </w:rPr>
        <w:t xml:space="preserve"> </w:t>
      </w:r>
      <w:r w:rsidR="006E1A1C" w:rsidRPr="00E25D33">
        <w:rPr>
          <w:rFonts w:ascii="Book Antiqua" w:hAnsi="Book Antiqua"/>
          <w:lang w:val="en-US"/>
        </w:rPr>
        <w:t>0.001). Moreover, CRP level is suggested to be the predictive factor for unresponsiveness to oral iron therapy, and therefore, intra</w:t>
      </w:r>
      <w:r w:rsidR="006E1A1C" w:rsidRPr="004E72CC">
        <w:rPr>
          <w:rFonts w:ascii="Book Antiqua" w:hAnsi="Book Antiqua"/>
          <w:lang w:val="en-US"/>
        </w:rPr>
        <w:t>venous iron therapy is proposed to be the first line therapy in active disease</w:t>
      </w:r>
      <w:r w:rsidR="006E1A1C" w:rsidRPr="00F75508">
        <w:rPr>
          <w:rFonts w:ascii="Book Antiqua" w:hAnsi="Book Antiqua"/>
          <w:vertAlign w:val="superscript"/>
          <w:lang w:val="en-US"/>
        </w:rPr>
        <w:t>[25]</w:t>
      </w:r>
      <w:r w:rsidR="006E1A1C" w:rsidRPr="00E25D33">
        <w:rPr>
          <w:rFonts w:ascii="Book Antiqua" w:hAnsi="Book Antiqua"/>
          <w:lang w:val="en-US"/>
        </w:rPr>
        <w:t>. Similar to our current study, previous reports have shown that the frequency of anemia increases with increased clinical activity in IBD. These data are supported by the r</w:t>
      </w:r>
      <w:r w:rsidR="006E1A1C" w:rsidRPr="004E72CC">
        <w:rPr>
          <w:rFonts w:ascii="Book Antiqua" w:hAnsi="Book Antiqua"/>
          <w:lang w:val="en-US"/>
        </w:rPr>
        <w:t>esults of the current study indicating a high incidence of anemia in patients taking corticosteroids or immunomodulator treatment due to active disease.  Immune system activation and disease-related lesions in the gastrointestinal tract have been shown to contribute to the association between disease activity and anemia. It should be kept in mind that anemia is sometimes seen in IBD patients who are in remission (rate of 18%), and therefore, these patients should be evaluated for anemia as well</w:t>
      </w:r>
      <w:r w:rsidR="006E1A1C" w:rsidRPr="00F75508">
        <w:rPr>
          <w:rFonts w:ascii="Book Antiqua" w:hAnsi="Book Antiqua"/>
          <w:vertAlign w:val="superscript"/>
          <w:lang w:val="en-US"/>
        </w:rPr>
        <w:t>[24]</w:t>
      </w:r>
      <w:r w:rsidR="006E1A1C" w:rsidRPr="00E25D33">
        <w:rPr>
          <w:rFonts w:ascii="Book Antiqua" w:hAnsi="Book Antiqua"/>
          <w:lang w:val="en-US"/>
        </w:rPr>
        <w:t xml:space="preserve">. </w:t>
      </w:r>
    </w:p>
    <w:p w14:paraId="460002DA" w14:textId="4EFA8448" w:rsidR="006E1A1C" w:rsidRPr="004E72CC"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Resul</w:t>
      </w:r>
      <w:r w:rsidR="006E1A1C" w:rsidRPr="004E72CC">
        <w:rPr>
          <w:rFonts w:ascii="Book Antiqua" w:hAnsi="Book Antiqua"/>
          <w:lang w:val="en-US"/>
        </w:rPr>
        <w:t xml:space="preserve">ts of the current study revealed no difference in the frequency of anemia in CD patients with regards to disease behavior. However, in UC, the rate of anemia was significantly increased in parallel with disease duration. The increased rate of anemia in the more extensive disease may be a result of both increased blood loss and increased burden of inflammation. </w:t>
      </w:r>
    </w:p>
    <w:p w14:paraId="097A30E0" w14:textId="5E2C0ABF" w:rsidR="006E1A1C" w:rsidRPr="004E72CC"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Smoking has been shown to have a low risk for causing anemia in IBD patients. This is because these patients often develop compensatory polycythemia</w:t>
      </w:r>
      <w:r w:rsidR="006E1A1C" w:rsidRPr="004E72CC">
        <w:rPr>
          <w:rFonts w:ascii="Book Antiqua" w:hAnsi="Book Antiqua"/>
          <w:lang w:val="en-US"/>
        </w:rPr>
        <w:t xml:space="preserve"> due to increased carbon monoxide consumption</w:t>
      </w:r>
      <w:r w:rsidR="006E1A1C" w:rsidRPr="00F75508">
        <w:rPr>
          <w:rFonts w:ascii="Book Antiqua" w:hAnsi="Book Antiqua"/>
          <w:vertAlign w:val="superscript"/>
          <w:lang w:val="en-US"/>
        </w:rPr>
        <w:t>[18,24]</w:t>
      </w:r>
      <w:r w:rsidR="006E1A1C" w:rsidRPr="00E25D33">
        <w:rPr>
          <w:rFonts w:ascii="Book Antiqua" w:hAnsi="Book Antiqua"/>
          <w:lang w:val="en-US"/>
        </w:rPr>
        <w:t>. Previous studies have reported that while smoking is a risk factor for anemia in CD, it is a protective factor in UC</w:t>
      </w:r>
      <w:r w:rsidR="006E1A1C" w:rsidRPr="00F75508">
        <w:rPr>
          <w:rFonts w:ascii="Book Antiqua" w:hAnsi="Book Antiqua"/>
          <w:vertAlign w:val="superscript"/>
          <w:lang w:val="en-US"/>
        </w:rPr>
        <w:t>[19]</w:t>
      </w:r>
      <w:r w:rsidR="006E1A1C" w:rsidRPr="00E25D33">
        <w:rPr>
          <w:rFonts w:ascii="Book Antiqua" w:hAnsi="Book Antiqua"/>
          <w:lang w:val="en-US"/>
        </w:rPr>
        <w:t xml:space="preserve">. Our </w:t>
      </w:r>
      <w:r w:rsidR="006E1A1C" w:rsidRPr="00E25D33">
        <w:rPr>
          <w:rFonts w:ascii="Book Antiqua" w:hAnsi="Book Antiqua"/>
          <w:lang w:val="en-US"/>
        </w:rPr>
        <w:lastRenderedPageBreak/>
        <w:t xml:space="preserve">current study did not elucidate the role of smoking in the development of </w:t>
      </w:r>
      <w:r w:rsidR="006E1A1C" w:rsidRPr="004E72CC">
        <w:rPr>
          <w:rFonts w:ascii="Book Antiqua" w:hAnsi="Book Antiqua"/>
          <w:lang w:val="en-US"/>
        </w:rPr>
        <w:t xml:space="preserve">anemia in IBD patients. </w:t>
      </w:r>
    </w:p>
    <w:p w14:paraId="2FB1C663" w14:textId="5AA51EAC" w:rsidR="006E1A1C" w:rsidRPr="00E25D33"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Although it is known that the incidence of anemia is higher in hospitalized patients than in out-patients, we could not perform a healthy statistical comparison in our current study due to the low the number of hospitalized patient</w:t>
      </w:r>
      <w:r w:rsidR="006E1A1C" w:rsidRPr="004E72CC">
        <w:rPr>
          <w:rFonts w:ascii="Book Antiqua" w:hAnsi="Book Antiqua"/>
          <w:lang w:val="en-US"/>
        </w:rPr>
        <w:t xml:space="preserve">s. In addition, the current study did not establish a significant relationship between surgery and frequency of anemia. It has been reported that the incidence of anemia decreases as IBD disease duration progresses. However, similar to the study of Koutroubakis </w:t>
      </w:r>
      <w:bookmarkStart w:id="155" w:name="OLE_LINK64"/>
      <w:bookmarkStart w:id="156" w:name="OLE_LINK65"/>
      <w:r w:rsidR="006E1A1C" w:rsidRPr="00F75508">
        <w:rPr>
          <w:rFonts w:ascii="Book Antiqua" w:hAnsi="Book Antiqua"/>
          <w:i/>
          <w:lang w:val="en-US"/>
        </w:rPr>
        <w:t>et al</w:t>
      </w:r>
      <w:bookmarkEnd w:id="155"/>
      <w:bookmarkEnd w:id="156"/>
      <w:r w:rsidR="006E1A1C" w:rsidRPr="00F75508">
        <w:rPr>
          <w:rFonts w:ascii="Book Antiqua" w:hAnsi="Book Antiqua"/>
          <w:vertAlign w:val="superscript"/>
          <w:lang w:val="en-US"/>
        </w:rPr>
        <w:t>[5]</w:t>
      </w:r>
      <w:r w:rsidR="006E1A1C" w:rsidRPr="00E25D33">
        <w:rPr>
          <w:rFonts w:ascii="Book Antiqua" w:hAnsi="Book Antiqua"/>
          <w:lang w:val="en-US"/>
        </w:rPr>
        <w:t>, results of our current study indicate no relationship between disease duration and anemia.</w:t>
      </w:r>
    </w:p>
    <w:p w14:paraId="5214829B" w14:textId="343A9206" w:rsidR="006E1A1C" w:rsidRPr="004E72CC" w:rsidRDefault="00E25D33" w:rsidP="006E1A1C">
      <w:pPr>
        <w:spacing w:line="360" w:lineRule="auto"/>
        <w:jc w:val="both"/>
        <w:rPr>
          <w:rFonts w:ascii="Book Antiqua" w:hAnsi="Book Antiqua"/>
          <w:bCs/>
          <w:lang w:val="en-US"/>
        </w:rPr>
      </w:pPr>
      <w:r>
        <w:rPr>
          <w:rFonts w:ascii="Book Antiqua" w:hAnsi="Book Antiqua"/>
          <w:lang w:val="en-US"/>
        </w:rPr>
        <w:t xml:space="preserve">  </w:t>
      </w:r>
      <w:r w:rsidR="006E1A1C" w:rsidRPr="00E25D33">
        <w:rPr>
          <w:rFonts w:ascii="Book Antiqua" w:hAnsi="Book Antiqua"/>
          <w:lang w:val="en-US"/>
        </w:rPr>
        <w:t>In our current study, the most common cause of anemia was IDA. Similar to a previously published review</w:t>
      </w:r>
      <w:r w:rsidR="006E1A1C" w:rsidRPr="00F75508">
        <w:rPr>
          <w:rFonts w:ascii="Book Antiqua" w:hAnsi="Book Antiqua"/>
          <w:vertAlign w:val="superscript"/>
          <w:lang w:val="en-US"/>
        </w:rPr>
        <w:t>[7]</w:t>
      </w:r>
      <w:r w:rsidR="006E1A1C" w:rsidRPr="00E25D33">
        <w:rPr>
          <w:rFonts w:ascii="Book Antiqua" w:hAnsi="Book Antiqua"/>
          <w:lang w:val="en-US"/>
        </w:rPr>
        <w:t>, results of our current study reveal th</w:t>
      </w:r>
      <w:r w:rsidR="006E1A1C" w:rsidRPr="004E72CC">
        <w:rPr>
          <w:rFonts w:ascii="Book Antiqua" w:hAnsi="Book Antiqua"/>
          <w:lang w:val="en-US"/>
        </w:rPr>
        <w:t>at IDA was more frequent in CD (32%) than in UC (26%) (</w:t>
      </w:r>
      <w:r w:rsidRPr="00E25D33">
        <w:rPr>
          <w:rFonts w:ascii="Book Antiqua" w:hAnsi="Book Antiqua"/>
          <w:i/>
          <w:lang w:val="en-US"/>
        </w:rPr>
        <w:t>P</w:t>
      </w:r>
      <w:r>
        <w:rPr>
          <w:rFonts w:ascii="Book Antiqua" w:hAnsi="Book Antiqua"/>
          <w:lang w:val="en-US"/>
        </w:rPr>
        <w:t xml:space="preserve"> </w:t>
      </w:r>
      <w:r w:rsidR="006E1A1C" w:rsidRPr="00E25D33">
        <w:rPr>
          <w:rFonts w:ascii="Book Antiqua" w:hAnsi="Book Antiqua"/>
          <w:lang w:val="en-US"/>
        </w:rPr>
        <w:t>=</w:t>
      </w:r>
      <w:r>
        <w:rPr>
          <w:rFonts w:ascii="Book Antiqua" w:hAnsi="Book Antiqua"/>
          <w:lang w:val="en-US"/>
        </w:rPr>
        <w:t xml:space="preserve"> </w:t>
      </w:r>
      <w:r w:rsidR="006E1A1C" w:rsidRPr="00E25D33">
        <w:rPr>
          <w:rFonts w:ascii="Book Antiqua" w:hAnsi="Book Antiqua"/>
          <w:lang w:val="en-US"/>
        </w:rPr>
        <w:t>0.005). IDA can develop due to intestinal bleeding, dietary restrictions, or malabsorption</w:t>
      </w:r>
      <w:r w:rsidR="006E1A1C" w:rsidRPr="00F75508">
        <w:rPr>
          <w:rFonts w:ascii="Book Antiqua" w:hAnsi="Book Antiqua"/>
          <w:vertAlign w:val="superscript"/>
          <w:lang w:val="en-US"/>
        </w:rPr>
        <w:t>[26]</w:t>
      </w:r>
      <w:r w:rsidR="006E1A1C" w:rsidRPr="00E25D33">
        <w:rPr>
          <w:rFonts w:ascii="Book Antiqua" w:hAnsi="Book Antiqua"/>
          <w:lang w:val="en-US"/>
        </w:rPr>
        <w:t>. Pro-inflammatory cytokines, su</w:t>
      </w:r>
      <w:r w:rsidR="006E1A1C" w:rsidRPr="00E0787C">
        <w:rPr>
          <w:rFonts w:ascii="Book Antiqua" w:hAnsi="Book Antiqua"/>
          <w:lang w:val="en-US"/>
        </w:rPr>
        <w:t>ch as IL-6 and bone morphogenetic protein, are increased in the circulat</w:t>
      </w:r>
      <w:r w:rsidR="006E1A1C" w:rsidRPr="004E72CC">
        <w:rPr>
          <w:rFonts w:ascii="Book Antiqua" w:hAnsi="Book Antiqua"/>
          <w:lang w:val="en-US"/>
        </w:rPr>
        <w:t>ion in active IBD. This causes increased secretion of hepcidin, whi</w:t>
      </w:r>
      <w:r w:rsidR="006E1A1C" w:rsidRPr="00E0787C">
        <w:rPr>
          <w:rFonts w:ascii="Book Antiqua" w:hAnsi="Book Antiqua"/>
          <w:lang w:val="en-US"/>
        </w:rPr>
        <w:t>ch is produced in the liver and responsible for the absorption of iron. Increased hepcidin levels may cause the degradation of ferroportin channels, which allow iron to be transferred throu</w:t>
      </w:r>
      <w:r w:rsidR="006E1A1C" w:rsidRPr="004E72CC">
        <w:rPr>
          <w:rFonts w:ascii="Book Antiqua" w:hAnsi="Book Antiqua"/>
          <w:lang w:val="en-US"/>
        </w:rPr>
        <w:t xml:space="preserve">gh the basolateral membrane of enterocytes, thus causing malabsorption of iron. In addition, it is known that iron accumulates in macrophages and monocytes. Basseri </w:t>
      </w:r>
      <w:bookmarkStart w:id="157" w:name="OLE_LINK66"/>
      <w:r w:rsidR="006E1A1C" w:rsidRPr="00F75508">
        <w:rPr>
          <w:rFonts w:ascii="Book Antiqua" w:hAnsi="Book Antiqua"/>
          <w:i/>
          <w:lang w:val="en-US"/>
        </w:rPr>
        <w:t>et al</w:t>
      </w:r>
      <w:bookmarkEnd w:id="157"/>
      <w:r w:rsidR="006E1A1C" w:rsidRPr="00F75508">
        <w:rPr>
          <w:rFonts w:ascii="Book Antiqua" w:hAnsi="Book Antiqua"/>
          <w:vertAlign w:val="superscript"/>
          <w:lang w:val="en-US"/>
        </w:rPr>
        <w:t>[27]</w:t>
      </w:r>
      <w:r w:rsidR="006E1A1C" w:rsidRPr="00E25D33">
        <w:rPr>
          <w:rFonts w:ascii="Book Antiqua" w:hAnsi="Book Antiqua"/>
          <w:lang w:val="en-US"/>
        </w:rPr>
        <w:t xml:space="preserve"> revealed that hepcidin expression increases in parallel with increased levels o</w:t>
      </w:r>
      <w:r w:rsidR="006E1A1C" w:rsidRPr="004E72CC">
        <w:rPr>
          <w:rFonts w:ascii="Book Antiqua" w:hAnsi="Book Antiqua"/>
          <w:lang w:val="en-US"/>
        </w:rPr>
        <w:t xml:space="preserve">f IL-6 in CD. Concordant with this finding, Semrin </w:t>
      </w:r>
      <w:r w:rsidR="006E1A1C" w:rsidRPr="00F75508">
        <w:rPr>
          <w:rFonts w:ascii="Book Antiqua" w:hAnsi="Book Antiqua"/>
          <w:i/>
          <w:lang w:val="en-US"/>
        </w:rPr>
        <w:t>et al</w:t>
      </w:r>
      <w:r w:rsidR="006E1A1C" w:rsidRPr="00F75508">
        <w:rPr>
          <w:rFonts w:ascii="Book Antiqua" w:hAnsi="Book Antiqua"/>
          <w:vertAlign w:val="superscript"/>
          <w:lang w:val="en-US"/>
        </w:rPr>
        <w:t>[28]</w:t>
      </w:r>
      <w:r w:rsidR="006E1A1C" w:rsidRPr="00E25D33">
        <w:rPr>
          <w:rFonts w:ascii="Book Antiqua" w:hAnsi="Book Antiqua"/>
          <w:lang w:val="en-US"/>
        </w:rPr>
        <w:t xml:space="preserve"> showed that intestinal iron absorption is decreased in active CD compared to patients in remission.</w:t>
      </w:r>
    </w:p>
    <w:p w14:paraId="77E34873" w14:textId="1CB51E9A" w:rsidR="006E1A1C" w:rsidRPr="00E25D33"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While the diagnosis of IDA is routinely made via low serum ferritin levels (&lt;</w:t>
      </w:r>
      <w:r>
        <w:rPr>
          <w:rFonts w:ascii="Book Antiqua" w:hAnsi="Book Antiqua"/>
          <w:lang w:val="en-US"/>
        </w:rPr>
        <w:t xml:space="preserve"> </w:t>
      </w:r>
      <w:r w:rsidR="006E1A1C" w:rsidRPr="00E25D33">
        <w:rPr>
          <w:rFonts w:ascii="Book Antiqua" w:hAnsi="Book Antiqua"/>
          <w:lang w:val="en-US"/>
        </w:rPr>
        <w:t>30 ng/m</w:t>
      </w:r>
      <w:r>
        <w:rPr>
          <w:rFonts w:ascii="Book Antiqua" w:hAnsi="Book Antiqua"/>
          <w:lang w:val="en-US"/>
        </w:rPr>
        <w:t>L</w:t>
      </w:r>
      <w:r w:rsidR="006E1A1C" w:rsidRPr="00E25D33">
        <w:rPr>
          <w:rFonts w:ascii="Book Antiqua" w:hAnsi="Book Antiqua"/>
          <w:lang w:val="en-US"/>
        </w:rPr>
        <w:t>) as w</w:t>
      </w:r>
      <w:r w:rsidR="006E1A1C" w:rsidRPr="004E72CC">
        <w:rPr>
          <w:rFonts w:ascii="Book Antiqua" w:hAnsi="Book Antiqua"/>
          <w:lang w:val="en-US"/>
        </w:rPr>
        <w:t>ell as a decrease in the TS and MCV indices, these criteria may not be valid in IBD patients, since ferritin is an acute phase reactant. When evaluating IBD patients, TS and disease activity status should always be considered along with ferritin levels</w:t>
      </w:r>
      <w:r w:rsidR="006E1A1C" w:rsidRPr="00F75508">
        <w:rPr>
          <w:rFonts w:ascii="Book Antiqua" w:hAnsi="Book Antiqua"/>
          <w:vertAlign w:val="superscript"/>
          <w:lang w:val="en-US"/>
        </w:rPr>
        <w:t>[29]</w:t>
      </w:r>
      <w:r w:rsidR="006E1A1C" w:rsidRPr="00E25D33">
        <w:rPr>
          <w:rFonts w:ascii="Book Antiqua" w:hAnsi="Book Antiqua"/>
          <w:lang w:val="en-US"/>
        </w:rPr>
        <w:t>. In our current study, no difference was observed between CD and UC in terms of serum iron levels and mean TS; however, serum ferritin and CRP were significantly higher in CD (</w:t>
      </w:r>
      <w:r w:rsidRPr="00E25D33">
        <w:rPr>
          <w:rFonts w:ascii="Book Antiqua" w:hAnsi="Book Antiqua"/>
          <w:i/>
          <w:lang w:val="en-US"/>
        </w:rPr>
        <w:t>P</w:t>
      </w:r>
      <w:r>
        <w:rPr>
          <w:rFonts w:ascii="Book Antiqua" w:hAnsi="Book Antiqua"/>
          <w:lang w:val="en-US"/>
        </w:rPr>
        <w:t xml:space="preserve"> </w:t>
      </w:r>
      <w:r w:rsidR="006E1A1C" w:rsidRPr="00E25D33">
        <w:rPr>
          <w:rFonts w:ascii="Book Antiqua" w:hAnsi="Book Antiqua"/>
          <w:lang w:val="en-US"/>
        </w:rPr>
        <w:t>=</w:t>
      </w:r>
      <w:r>
        <w:rPr>
          <w:rFonts w:ascii="Book Antiqua" w:hAnsi="Book Antiqua"/>
          <w:lang w:val="en-US"/>
        </w:rPr>
        <w:t xml:space="preserve"> </w:t>
      </w:r>
      <w:r w:rsidR="006E1A1C" w:rsidRPr="00E25D33">
        <w:rPr>
          <w:rFonts w:ascii="Book Antiqua" w:hAnsi="Book Antiqua"/>
          <w:lang w:val="en-US"/>
        </w:rPr>
        <w:t xml:space="preserve">0.001) (Table 3). </w:t>
      </w:r>
    </w:p>
    <w:p w14:paraId="655F634E" w14:textId="0698E23F" w:rsidR="006E1A1C" w:rsidRPr="00E25D33" w:rsidRDefault="00E25D33" w:rsidP="006E1A1C">
      <w:pPr>
        <w:spacing w:line="360" w:lineRule="auto"/>
        <w:jc w:val="both"/>
        <w:rPr>
          <w:rFonts w:ascii="Book Antiqua" w:hAnsi="Book Antiqua"/>
          <w:lang w:val="en-US"/>
        </w:rPr>
      </w:pPr>
      <w:r>
        <w:rPr>
          <w:rFonts w:ascii="Book Antiqua" w:hAnsi="Book Antiqua"/>
          <w:lang w:val="en-US"/>
        </w:rPr>
        <w:lastRenderedPageBreak/>
        <w:t xml:space="preserve">  </w:t>
      </w:r>
      <w:r w:rsidR="006E1A1C" w:rsidRPr="00E25D33">
        <w:rPr>
          <w:rFonts w:ascii="Book Antiqua" w:hAnsi="Book Antiqua"/>
          <w:lang w:val="en-US"/>
        </w:rPr>
        <w:t>CDA is the second most common type of anemia in IBD patie</w:t>
      </w:r>
      <w:r w:rsidR="006E1A1C" w:rsidRPr="004E72CC">
        <w:rPr>
          <w:rFonts w:ascii="Book Antiqua" w:hAnsi="Book Antiqua"/>
          <w:lang w:val="en-US"/>
        </w:rPr>
        <w:t xml:space="preserve">nts. In our current study, CDA was seen a rate of 8%, while IDA was seen at a rate of 3.4%. In IBD patients, anemia often develops due to increased levels of cytokines </w:t>
      </w:r>
      <w:r w:rsidR="00AF18B4">
        <w:rPr>
          <w:rFonts w:ascii="Book Antiqua" w:hAnsi="Book Antiqua"/>
          <w:lang w:val="en-US"/>
        </w:rPr>
        <w:t>[</w:t>
      </w:r>
      <w:bookmarkStart w:id="158" w:name="OLE_LINK67"/>
      <w:bookmarkStart w:id="159" w:name="OLE_LINK68"/>
      <w:r w:rsidR="006E1A1C" w:rsidRPr="00F75508">
        <w:rPr>
          <w:rFonts w:ascii="Book Antiqua" w:hAnsi="Book Antiqua"/>
          <w:i/>
          <w:lang w:val="en-US"/>
        </w:rPr>
        <w:t>e.g.</w:t>
      </w:r>
      <w:bookmarkEnd w:id="158"/>
      <w:bookmarkEnd w:id="159"/>
      <w:r w:rsidR="006E1A1C" w:rsidRPr="00E25D33">
        <w:rPr>
          <w:rFonts w:ascii="Book Antiqua" w:hAnsi="Book Antiqua"/>
          <w:lang w:val="en-US"/>
        </w:rPr>
        <w:t>, TNF-α, IL-1, interferon (IFN)-</w:t>
      </w:r>
      <w:r w:rsidR="006E1A1C" w:rsidRPr="004E72CC">
        <w:rPr>
          <w:rFonts w:ascii="Book Antiqua" w:hAnsi="Book Antiqua"/>
          <w:lang w:val="en-US"/>
        </w:rPr>
        <w:sym w:font="Symbol" w:char="F067"/>
      </w:r>
      <w:r w:rsidR="00AF18B4">
        <w:rPr>
          <w:rFonts w:ascii="Book Antiqua" w:hAnsi="Book Antiqua"/>
          <w:lang w:val="en-US"/>
        </w:rPr>
        <w:t>]</w:t>
      </w:r>
      <w:r w:rsidR="006E1A1C" w:rsidRPr="004E72CC">
        <w:rPr>
          <w:rFonts w:ascii="Book Antiqua" w:hAnsi="Book Antiqua"/>
          <w:lang w:val="en-US"/>
        </w:rPr>
        <w:t xml:space="preserve"> and hepcidin, and decreased levels of erythropoietin</w:t>
      </w:r>
      <w:r w:rsidR="006E1A1C" w:rsidRPr="00F75508">
        <w:rPr>
          <w:rFonts w:ascii="Book Antiqua" w:hAnsi="Book Antiqua"/>
          <w:vertAlign w:val="superscript"/>
          <w:lang w:val="en-US"/>
        </w:rPr>
        <w:t>[30,31]</w:t>
      </w:r>
      <w:r w:rsidR="006E1A1C" w:rsidRPr="00E25D33">
        <w:rPr>
          <w:rFonts w:ascii="Book Antiqua" w:hAnsi="Book Antiqua"/>
          <w:lang w:val="en-US"/>
        </w:rPr>
        <w:t>. IFN-</w:t>
      </w:r>
      <w:r w:rsidR="006E1A1C" w:rsidRPr="004E72CC">
        <w:rPr>
          <w:rFonts w:ascii="Book Antiqua" w:hAnsi="Book Antiqua"/>
          <w:lang w:val="en-US"/>
        </w:rPr>
        <w:sym w:font="Symbol" w:char="F067"/>
      </w:r>
      <w:r w:rsidR="006E1A1C" w:rsidRPr="004E72CC">
        <w:rPr>
          <w:rFonts w:ascii="Book Antiqua" w:hAnsi="Book Antiqua"/>
          <w:lang w:val="en-US"/>
        </w:rPr>
        <w:t xml:space="preserve"> is known to inhibit the development of erythroid progenitor cells and enhance erythrocyte destruction in the spleen</w:t>
      </w:r>
      <w:r w:rsidR="006E1A1C" w:rsidRPr="00F75508">
        <w:rPr>
          <w:rFonts w:ascii="Book Antiqua" w:hAnsi="Book Antiqua"/>
          <w:vertAlign w:val="superscript"/>
          <w:lang w:val="en-US"/>
        </w:rPr>
        <w:t>[32]</w:t>
      </w:r>
      <w:r w:rsidR="006E1A1C" w:rsidRPr="00E25D33">
        <w:rPr>
          <w:rFonts w:ascii="Book Antiqua" w:hAnsi="Book Antiqua"/>
          <w:lang w:val="en-US"/>
        </w:rPr>
        <w:t>, while TNF-α causes increased apoptosis in the erythroid progenitor, leading to anemia</w:t>
      </w:r>
      <w:r w:rsidR="006E1A1C" w:rsidRPr="00F75508">
        <w:rPr>
          <w:rFonts w:ascii="Book Antiqua" w:hAnsi="Book Antiqua"/>
          <w:vertAlign w:val="superscript"/>
          <w:lang w:val="en-US"/>
        </w:rPr>
        <w:t>[33]</w:t>
      </w:r>
      <w:r w:rsidR="006E1A1C" w:rsidRPr="00E25D33">
        <w:rPr>
          <w:rFonts w:ascii="Book Antiqua" w:hAnsi="Book Antiqua"/>
          <w:lang w:val="en-US"/>
        </w:rPr>
        <w:t xml:space="preserve">. </w:t>
      </w:r>
    </w:p>
    <w:p w14:paraId="1771872C" w14:textId="63890E83" w:rsidR="006E1A1C" w:rsidRPr="00E0787C"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In CD, vitamin B</w:t>
      </w:r>
      <w:r w:rsidR="006E1A1C" w:rsidRPr="004E72CC">
        <w:rPr>
          <w:rFonts w:ascii="Book Antiqua" w:hAnsi="Book Antiqua"/>
          <w:vertAlign w:val="subscript"/>
          <w:lang w:val="en-US"/>
        </w:rPr>
        <w:t>12</w:t>
      </w:r>
      <w:r w:rsidR="006E1A1C" w:rsidRPr="004E72CC">
        <w:rPr>
          <w:rFonts w:ascii="Book Antiqua" w:hAnsi="Book Antiqua"/>
          <w:lang w:val="en-US"/>
        </w:rPr>
        <w:t xml:space="preserve"> and folic acid deficiency due to malabsorption is reported to be 29</w:t>
      </w:r>
      <w:r>
        <w:rPr>
          <w:rFonts w:ascii="Book Antiqua" w:hAnsi="Book Antiqua"/>
          <w:lang w:val="en-US"/>
        </w:rPr>
        <w:t>%</w:t>
      </w:r>
      <w:r w:rsidR="006E1A1C" w:rsidRPr="00E25D33">
        <w:rPr>
          <w:rFonts w:ascii="Book Antiqua" w:hAnsi="Book Antiqua"/>
          <w:lang w:val="en-US"/>
        </w:rPr>
        <w:t>-33%</w:t>
      </w:r>
      <w:r w:rsidR="006E1A1C" w:rsidRPr="00F75508">
        <w:rPr>
          <w:rFonts w:ascii="Book Antiqua" w:hAnsi="Book Antiqua"/>
          <w:vertAlign w:val="superscript"/>
          <w:lang w:val="en-US"/>
        </w:rPr>
        <w:t>[44]</w:t>
      </w:r>
      <w:r w:rsidR="006E1A1C" w:rsidRPr="00E25D33">
        <w:rPr>
          <w:rFonts w:ascii="Book Antiqua" w:hAnsi="Book Antiqua"/>
          <w:lang w:val="en-US"/>
        </w:rPr>
        <w:t xml:space="preserve">. However, in our current study, this rate was estimated to be 19%. Anemia in CD patients can be caused by dietary restrictions, malabsorption due to ileal inflammation, bacterial </w:t>
      </w:r>
      <w:r w:rsidR="006E1A1C" w:rsidRPr="004E72CC">
        <w:rPr>
          <w:rFonts w:ascii="Book Antiqua" w:hAnsi="Book Antiqua"/>
          <w:lang w:val="en-US"/>
        </w:rPr>
        <w:t>overgrowth, fistula development, and/or surgical resection. In UC, vitamin B</w:t>
      </w:r>
      <w:r w:rsidR="006E1A1C" w:rsidRPr="004E72CC">
        <w:rPr>
          <w:rFonts w:ascii="Book Antiqua" w:hAnsi="Book Antiqua"/>
          <w:vertAlign w:val="subscript"/>
          <w:lang w:val="en-US"/>
        </w:rPr>
        <w:t>12</w:t>
      </w:r>
      <w:r w:rsidR="006E1A1C" w:rsidRPr="004E72CC">
        <w:rPr>
          <w:rFonts w:ascii="Book Antiqua" w:hAnsi="Book Antiqua"/>
          <w:lang w:val="en-US"/>
        </w:rPr>
        <w:t xml:space="preserve"> deficiency has been reported at a rate of 16%, whi</w:t>
      </w:r>
      <w:r w:rsidR="006E1A1C" w:rsidRPr="00E0787C">
        <w:rPr>
          <w:rFonts w:ascii="Book Antiqua" w:hAnsi="Book Antiqua"/>
          <w:lang w:val="en-US"/>
        </w:rPr>
        <w:t>ch is lower than that reported for CD</w:t>
      </w:r>
      <w:r w:rsidR="006E1A1C" w:rsidRPr="00F75508">
        <w:rPr>
          <w:rFonts w:ascii="Book Antiqua" w:hAnsi="Book Antiqua"/>
          <w:vertAlign w:val="superscript"/>
          <w:lang w:val="en-US"/>
        </w:rPr>
        <w:t>[34]</w:t>
      </w:r>
      <w:r w:rsidR="006E1A1C" w:rsidRPr="00E0787C">
        <w:rPr>
          <w:rFonts w:ascii="Book Antiqua" w:hAnsi="Book Antiqua"/>
          <w:lang w:val="en-US"/>
        </w:rPr>
        <w:t>. According to a study conducted in Turkey, there is a higher rate of vitamin B</w:t>
      </w:r>
      <w:r w:rsidR="006E1A1C" w:rsidRPr="004E72CC">
        <w:rPr>
          <w:rFonts w:ascii="Book Antiqua" w:hAnsi="Book Antiqua"/>
          <w:vertAlign w:val="subscript"/>
          <w:lang w:val="en-US"/>
        </w:rPr>
        <w:t xml:space="preserve">12 </w:t>
      </w:r>
      <w:r w:rsidR="006E1A1C" w:rsidRPr="004E72CC">
        <w:rPr>
          <w:rFonts w:ascii="Book Antiqua" w:hAnsi="Book Antiqua"/>
          <w:lang w:val="en-US"/>
        </w:rPr>
        <w:t xml:space="preserve">deficiency in CD than UC (22% </w:t>
      </w:r>
      <w:r w:rsidR="006E1A1C" w:rsidRPr="00F75508">
        <w:rPr>
          <w:rFonts w:ascii="Book Antiqua" w:hAnsi="Book Antiqua"/>
          <w:i/>
          <w:lang w:val="en-US"/>
        </w:rPr>
        <w:t>vs</w:t>
      </w:r>
      <w:r w:rsidR="006E1A1C" w:rsidRPr="00E25D33">
        <w:rPr>
          <w:rFonts w:ascii="Book Antiqua" w:hAnsi="Book Antiqua"/>
          <w:lang w:val="en-US"/>
        </w:rPr>
        <w:t xml:space="preserve"> 7.5%, respectively, </w:t>
      </w:r>
      <w:r w:rsidRPr="00E25D33">
        <w:rPr>
          <w:rFonts w:ascii="Book Antiqua" w:hAnsi="Book Antiqua"/>
          <w:i/>
          <w:lang w:val="en-US"/>
        </w:rPr>
        <w:t>P</w:t>
      </w:r>
      <w:r>
        <w:rPr>
          <w:rFonts w:ascii="Book Antiqua" w:hAnsi="Book Antiqua"/>
          <w:lang w:val="en-US"/>
        </w:rPr>
        <w:t xml:space="preserve"> </w:t>
      </w:r>
      <w:r w:rsidR="006E1A1C" w:rsidRPr="00E25D33">
        <w:rPr>
          <w:rFonts w:ascii="Book Antiqua" w:hAnsi="Book Antiqua"/>
          <w:lang w:val="en-US"/>
        </w:rPr>
        <w:t>=</w:t>
      </w:r>
      <w:r>
        <w:rPr>
          <w:rFonts w:ascii="Book Antiqua" w:hAnsi="Book Antiqua"/>
          <w:lang w:val="en-US"/>
        </w:rPr>
        <w:t xml:space="preserve"> </w:t>
      </w:r>
      <w:r w:rsidR="006E1A1C" w:rsidRPr="00E25D33">
        <w:rPr>
          <w:rFonts w:ascii="Book Antiqua" w:hAnsi="Book Antiqua"/>
          <w:lang w:val="en-US"/>
        </w:rPr>
        <w:t>0.014)</w:t>
      </w:r>
      <w:r w:rsidR="006E1A1C" w:rsidRPr="00F75508">
        <w:rPr>
          <w:rFonts w:ascii="Book Antiqua" w:hAnsi="Book Antiqua"/>
          <w:vertAlign w:val="superscript"/>
          <w:lang w:val="en-US"/>
        </w:rPr>
        <w:t>[35]</w:t>
      </w:r>
      <w:r w:rsidR="006E1A1C" w:rsidRPr="00E25D33">
        <w:rPr>
          <w:rFonts w:ascii="Book Antiqua" w:hAnsi="Book Antiqua"/>
          <w:lang w:val="en-US"/>
        </w:rPr>
        <w:t>. In our current study, the rate of anemia due to vitamin B</w:t>
      </w:r>
      <w:r w:rsidR="006E1A1C" w:rsidRPr="004E72CC">
        <w:rPr>
          <w:rFonts w:ascii="Book Antiqua" w:hAnsi="Book Antiqua"/>
          <w:vertAlign w:val="subscript"/>
          <w:lang w:val="en-US"/>
        </w:rPr>
        <w:t>12</w:t>
      </w:r>
      <w:r w:rsidR="006E1A1C" w:rsidRPr="004E72CC">
        <w:rPr>
          <w:rFonts w:ascii="Book Antiqua" w:hAnsi="Book Antiqua"/>
          <w:lang w:val="en-US"/>
        </w:rPr>
        <w:t xml:space="preserve"> or folic acid deficiency in UC patients</w:t>
      </w:r>
      <w:r w:rsidR="006E1A1C" w:rsidRPr="004E72CC" w:rsidDel="009D32E4">
        <w:rPr>
          <w:rFonts w:ascii="Book Antiqua" w:hAnsi="Book Antiqua"/>
          <w:lang w:val="en-US"/>
        </w:rPr>
        <w:t xml:space="preserve"> </w:t>
      </w:r>
      <w:r w:rsidR="006E1A1C" w:rsidRPr="004E72CC">
        <w:rPr>
          <w:rFonts w:ascii="Book Antiqua" w:hAnsi="Book Antiqua"/>
          <w:lang w:val="en-US"/>
        </w:rPr>
        <w:t>was 7%. The responsible me</w:t>
      </w:r>
      <w:r w:rsidR="006E1A1C" w:rsidRPr="00E0787C">
        <w:rPr>
          <w:rFonts w:ascii="Book Antiqua" w:hAnsi="Book Antiqua"/>
          <w:lang w:val="en-US"/>
        </w:rPr>
        <w:t>chanisms in this situation may include ileal dysfunction followin</w:t>
      </w:r>
      <w:r w:rsidR="006E1A1C" w:rsidRPr="004E72CC">
        <w:rPr>
          <w:rFonts w:ascii="Book Antiqua" w:hAnsi="Book Antiqua"/>
          <w:lang w:val="en-US"/>
        </w:rPr>
        <w:t>g proctocolectomy and ileal pou</w:t>
      </w:r>
      <w:r w:rsidR="006E1A1C" w:rsidRPr="00E0787C">
        <w:rPr>
          <w:rFonts w:ascii="Book Antiqua" w:hAnsi="Book Antiqua"/>
          <w:lang w:val="en-US"/>
        </w:rPr>
        <w:t>ch-anal anastomosis, bacterial overgrowth, and reduced intestinal transit time</w:t>
      </w:r>
      <w:r w:rsidR="006E1A1C" w:rsidRPr="00F75508">
        <w:rPr>
          <w:rFonts w:ascii="Book Antiqua" w:hAnsi="Book Antiqua"/>
          <w:vertAlign w:val="superscript"/>
          <w:lang w:val="en-US"/>
        </w:rPr>
        <w:t>[36]</w:t>
      </w:r>
      <w:r w:rsidR="006E1A1C" w:rsidRPr="00E0787C">
        <w:rPr>
          <w:rFonts w:ascii="Book Antiqua" w:hAnsi="Book Antiqua"/>
          <w:lang w:val="en-US"/>
        </w:rPr>
        <w:t xml:space="preserve">. </w:t>
      </w:r>
    </w:p>
    <w:p w14:paraId="795B62AC" w14:textId="2F8ED641" w:rsidR="006E1A1C" w:rsidRPr="004E72CC"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Anemia may sometimes occur as a side effect of drugs used for the treatment of IBD. Anemia has been reported to occur at a rate of 3% per y</w:t>
      </w:r>
      <w:r w:rsidR="006E1A1C" w:rsidRPr="004E72CC">
        <w:rPr>
          <w:rFonts w:ascii="Book Antiqua" w:hAnsi="Book Antiqua"/>
          <w:lang w:val="en-US"/>
        </w:rPr>
        <w:t>ear due to the toxic effects of thiopurines on bone marrow</w:t>
      </w:r>
      <w:bookmarkStart w:id="160" w:name="OLE_LINK69"/>
      <w:bookmarkStart w:id="161" w:name="OLE_LINK71"/>
      <w:r w:rsidR="006E1A1C" w:rsidRPr="00F75508">
        <w:rPr>
          <w:rFonts w:ascii="Book Antiqua" w:hAnsi="Book Antiqua"/>
          <w:vertAlign w:val="superscript"/>
          <w:lang w:val="en-US"/>
        </w:rPr>
        <w:t>[37]</w:t>
      </w:r>
      <w:bookmarkEnd w:id="160"/>
      <w:bookmarkEnd w:id="161"/>
      <w:r w:rsidR="006E1A1C" w:rsidRPr="00E25D33">
        <w:rPr>
          <w:rFonts w:ascii="Book Antiqua" w:hAnsi="Book Antiqua"/>
          <w:lang w:val="en-US"/>
        </w:rPr>
        <w:t>. Other reports indicate that sulfazalazine is rarely associated with reduced folate absorption, and does not often cause anemia due to aplasia or hemolysis</w:t>
      </w:r>
      <w:r w:rsidR="006E1A1C" w:rsidRPr="00F75508">
        <w:rPr>
          <w:rFonts w:ascii="Book Antiqua" w:hAnsi="Book Antiqua"/>
          <w:vertAlign w:val="superscript"/>
          <w:lang w:val="en-US"/>
        </w:rPr>
        <w:t>[38]</w:t>
      </w:r>
      <w:r w:rsidR="006E1A1C" w:rsidRPr="00E25D33">
        <w:rPr>
          <w:rFonts w:ascii="Book Antiqua" w:hAnsi="Book Antiqua"/>
          <w:lang w:val="en-US"/>
        </w:rPr>
        <w:t>. Results of the current study i</w:t>
      </w:r>
      <w:r w:rsidR="006E1A1C" w:rsidRPr="004E72CC">
        <w:rPr>
          <w:rFonts w:ascii="Book Antiqua" w:hAnsi="Book Antiqua"/>
          <w:lang w:val="en-US"/>
        </w:rPr>
        <w:t>ndicate a 64% anemia rate among AZA users; this is often due to vitamin B</w:t>
      </w:r>
      <w:r w:rsidR="006E1A1C" w:rsidRPr="004E72CC">
        <w:rPr>
          <w:rFonts w:ascii="Book Antiqua" w:hAnsi="Book Antiqua"/>
          <w:vertAlign w:val="subscript"/>
          <w:lang w:val="en-US"/>
        </w:rPr>
        <w:t xml:space="preserve">12 </w:t>
      </w:r>
      <w:r w:rsidR="006E1A1C" w:rsidRPr="004E72CC">
        <w:rPr>
          <w:rFonts w:ascii="Book Antiqua" w:hAnsi="Book Antiqua"/>
          <w:lang w:val="en-US"/>
        </w:rPr>
        <w:t>and folic acid deficiency. The combination of IDA and megaloblastic anemia caused by thiopurines may present as normocytic normo</w:t>
      </w:r>
      <w:r w:rsidR="006E1A1C" w:rsidRPr="00E0787C">
        <w:rPr>
          <w:rFonts w:ascii="Book Antiqua" w:hAnsi="Book Antiqua"/>
          <w:lang w:val="en-US"/>
        </w:rPr>
        <w:t xml:space="preserve">chromic anemia. In the study of Testa </w:t>
      </w:r>
      <w:r w:rsidR="006E1A1C" w:rsidRPr="00F75508">
        <w:rPr>
          <w:rFonts w:ascii="Book Antiqua" w:hAnsi="Book Antiqua"/>
          <w:i/>
          <w:lang w:val="en-US"/>
        </w:rPr>
        <w:t>et al</w:t>
      </w:r>
      <w:r w:rsidR="006E1A1C" w:rsidRPr="00F75508">
        <w:rPr>
          <w:rFonts w:ascii="Book Antiqua" w:hAnsi="Book Antiqua"/>
          <w:vertAlign w:val="superscript"/>
          <w:lang w:val="en-US"/>
        </w:rPr>
        <w:t>[23]</w:t>
      </w:r>
      <w:r w:rsidR="006E1A1C" w:rsidRPr="00E0787C">
        <w:rPr>
          <w:rFonts w:ascii="Book Antiqua" w:hAnsi="Book Antiqua"/>
          <w:lang w:val="en-US"/>
        </w:rPr>
        <w:t>, on</w:t>
      </w:r>
      <w:r w:rsidR="006E1A1C" w:rsidRPr="004E72CC">
        <w:rPr>
          <w:rFonts w:ascii="Book Antiqua" w:hAnsi="Book Antiqua"/>
          <w:lang w:val="en-US"/>
        </w:rPr>
        <w:t xml:space="preserve">ly two UC patients had autoimmune hemolytic anemia due to antibody development caused by cross reaction against erythrocytes as a result of AZA and INF administration. In the current study, we found no evidence of drug-related hemolytic anemia in our patients. </w:t>
      </w:r>
    </w:p>
    <w:p w14:paraId="41E54976" w14:textId="3D43A9F7" w:rsidR="006E1A1C" w:rsidRPr="004E72CC" w:rsidRDefault="00E25D33" w:rsidP="006E1A1C">
      <w:pPr>
        <w:spacing w:line="360" w:lineRule="auto"/>
        <w:jc w:val="both"/>
        <w:rPr>
          <w:rFonts w:ascii="Book Antiqua" w:hAnsi="Book Antiqua"/>
          <w:lang w:val="en-US"/>
        </w:rPr>
      </w:pPr>
      <w:r>
        <w:rPr>
          <w:rFonts w:ascii="Book Antiqua" w:hAnsi="Book Antiqua"/>
          <w:lang w:val="en-US"/>
        </w:rPr>
        <w:lastRenderedPageBreak/>
        <w:t xml:space="preserve">  </w:t>
      </w:r>
      <w:r w:rsidR="006E1A1C" w:rsidRPr="00E25D33">
        <w:rPr>
          <w:rFonts w:ascii="Book Antiqua" w:hAnsi="Book Antiqua"/>
          <w:lang w:val="en-US"/>
        </w:rPr>
        <w:t xml:space="preserve">It is recommended that IBD patients with active inflammation (high inflammatory bio-markers or endoscopic evidence due to disease activity) be evaluated for signs of anemia at least once every three months, while those in remission should be </w:t>
      </w:r>
      <w:r w:rsidR="006E1A1C" w:rsidRPr="00E0787C">
        <w:rPr>
          <w:rFonts w:ascii="Book Antiqua" w:hAnsi="Book Antiqua"/>
          <w:lang w:val="en-US"/>
        </w:rPr>
        <w:t xml:space="preserve">checked </w:t>
      </w:r>
      <w:r w:rsidR="006E1A1C" w:rsidRPr="004E72CC">
        <w:rPr>
          <w:rFonts w:ascii="Book Antiqua" w:hAnsi="Book Antiqua"/>
          <w:lang w:val="en-US"/>
        </w:rPr>
        <w:t>every 6 mo</w:t>
      </w:r>
      <w:r w:rsidR="006E1A1C" w:rsidRPr="00E25D33">
        <w:rPr>
          <w:rFonts w:ascii="Book Antiqua" w:hAnsi="Book Antiqua"/>
          <w:lang w:val="en-US"/>
        </w:rPr>
        <w:t>. If the patient has anemia, further tests should be performed to determine etiology. Regular follow-up is recommended, as there is a risk of B</w:t>
      </w:r>
      <w:r w:rsidR="006E1A1C" w:rsidRPr="004E72CC">
        <w:rPr>
          <w:rFonts w:ascii="Book Antiqua" w:hAnsi="Book Antiqua"/>
          <w:vertAlign w:val="subscript"/>
          <w:lang w:val="en-US"/>
        </w:rPr>
        <w:t>12</w:t>
      </w:r>
      <w:r w:rsidR="006E1A1C" w:rsidRPr="004E72CC">
        <w:rPr>
          <w:rFonts w:ascii="Book Antiqua" w:hAnsi="Book Antiqua"/>
          <w:lang w:val="en-US"/>
        </w:rPr>
        <w:t xml:space="preserve"> or folic acid deficiency in patients with small bowel disease or history of resection</w:t>
      </w:r>
      <w:r w:rsidR="006E1A1C" w:rsidRPr="00F75508">
        <w:rPr>
          <w:rFonts w:ascii="Book Antiqua" w:hAnsi="Book Antiqua"/>
          <w:vertAlign w:val="superscript"/>
          <w:lang w:val="en-US"/>
        </w:rPr>
        <w:t>[12]</w:t>
      </w:r>
      <w:r w:rsidR="006E1A1C" w:rsidRPr="00E25D33">
        <w:rPr>
          <w:rFonts w:ascii="Book Antiqua" w:hAnsi="Book Antiqua"/>
          <w:lang w:val="en-US"/>
        </w:rPr>
        <w:t>. In o</w:t>
      </w:r>
      <w:r w:rsidR="006E1A1C" w:rsidRPr="004E72CC">
        <w:rPr>
          <w:rFonts w:ascii="Book Antiqua" w:hAnsi="Book Antiqua"/>
          <w:lang w:val="en-US"/>
        </w:rPr>
        <w:t>ur current study, further examinations were not performed in 15% of patients during follow-up, and therefore, the etiology of anemia in these patients remains unknown.</w:t>
      </w:r>
    </w:p>
    <w:p w14:paraId="143FF9C7" w14:textId="25C67228" w:rsidR="006E1A1C" w:rsidRPr="004E72CC"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Unfortunately, many clinicians still believe in the concept of asymptomatic anemia, in w</w:t>
      </w:r>
      <w:r w:rsidR="006E1A1C" w:rsidRPr="004E72CC">
        <w:rPr>
          <w:rFonts w:ascii="Book Antiqua" w:hAnsi="Book Antiqua"/>
          <w:lang w:val="en-US"/>
        </w:rPr>
        <w:t>hi</w:t>
      </w:r>
      <w:r w:rsidR="006E1A1C" w:rsidRPr="00E0787C">
        <w:rPr>
          <w:rFonts w:ascii="Book Antiqua" w:hAnsi="Book Antiqua"/>
          <w:lang w:val="en-US"/>
        </w:rPr>
        <w:t>ch anemia in IBD slowly progresses and may resolve once patients adapt to low Hb levels. In these cases, anemia is often not treated until it is severe. Only half of the patients in our follow-up were treated for anemia, which is better than the rates of</w:t>
      </w:r>
      <w:r w:rsidR="006E1A1C" w:rsidRPr="004E72CC">
        <w:rPr>
          <w:rFonts w:ascii="Book Antiqua" w:hAnsi="Book Antiqua"/>
          <w:lang w:val="en-US"/>
        </w:rPr>
        <w:t xml:space="preserve"> previous studies.  </w:t>
      </w:r>
    </w:p>
    <w:p w14:paraId="755E0CD3" w14:textId="08BEC388" w:rsidR="006E1A1C" w:rsidRPr="00E25D33"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 xml:space="preserve">In their 2013 study including gastroenterologists from nine European countries, Stein </w:t>
      </w:r>
      <w:r w:rsidR="006E1A1C" w:rsidRPr="00F75508">
        <w:rPr>
          <w:rFonts w:ascii="Book Antiqua" w:hAnsi="Book Antiqua"/>
          <w:i/>
          <w:lang w:val="en-US"/>
        </w:rPr>
        <w:t>et al</w:t>
      </w:r>
      <w:r w:rsidR="006E1A1C" w:rsidRPr="00F75508">
        <w:rPr>
          <w:rFonts w:ascii="Book Antiqua" w:hAnsi="Book Antiqua"/>
          <w:vertAlign w:val="superscript"/>
          <w:lang w:val="en-US"/>
        </w:rPr>
        <w:t>[8]</w:t>
      </w:r>
      <w:r w:rsidR="006E1A1C" w:rsidRPr="00E25D33">
        <w:rPr>
          <w:rFonts w:ascii="Book Antiqua" w:hAnsi="Book Antiqua"/>
          <w:lang w:val="en-US"/>
        </w:rPr>
        <w:t xml:space="preserve"> reported that patients with IBD were not adequately monitored and treated for anemia. In Stein’s study, the diagnosis of anemia was made b</w:t>
      </w:r>
      <w:r w:rsidR="006E1A1C" w:rsidRPr="004E72CC">
        <w:rPr>
          <w:rFonts w:ascii="Book Antiqua" w:hAnsi="Book Antiqua"/>
          <w:lang w:val="en-US"/>
        </w:rPr>
        <w:t>ased on Hb levels in 88% of patients (</w:t>
      </w:r>
      <w:r w:rsidR="006E1A1C" w:rsidRPr="00F75508">
        <w:rPr>
          <w:rFonts w:ascii="Book Antiqua" w:hAnsi="Book Antiqua"/>
          <w:i/>
          <w:lang w:val="en-US"/>
        </w:rPr>
        <w:t>n</w:t>
      </w:r>
      <w:r>
        <w:rPr>
          <w:rFonts w:ascii="Book Antiqua" w:hAnsi="Book Antiqua"/>
          <w:lang w:val="en-US"/>
        </w:rPr>
        <w:t xml:space="preserve"> </w:t>
      </w:r>
      <w:r w:rsidR="006E1A1C" w:rsidRPr="00E25D33">
        <w:rPr>
          <w:rFonts w:ascii="Book Antiqua" w:hAnsi="Book Antiqua"/>
          <w:lang w:val="en-US"/>
        </w:rPr>
        <w:t>=</w:t>
      </w:r>
      <w:r>
        <w:rPr>
          <w:rFonts w:ascii="Book Antiqua" w:hAnsi="Book Antiqua"/>
          <w:lang w:val="en-US"/>
        </w:rPr>
        <w:t xml:space="preserve"> </w:t>
      </w:r>
      <w:r w:rsidR="006E1A1C" w:rsidRPr="00E25D33">
        <w:rPr>
          <w:rFonts w:ascii="Book Antiqua" w:hAnsi="Book Antiqua"/>
          <w:lang w:val="en-US"/>
        </w:rPr>
        <w:t>1404), serum ferritin levels in 75%, and on TS in 25%. Iron deficiency (ferritin &lt;</w:t>
      </w:r>
      <w:r>
        <w:rPr>
          <w:rFonts w:ascii="Book Antiqua" w:hAnsi="Book Antiqua"/>
          <w:lang w:val="en-US"/>
        </w:rPr>
        <w:t xml:space="preserve"> </w:t>
      </w:r>
      <w:r w:rsidR="006E1A1C" w:rsidRPr="00E25D33">
        <w:rPr>
          <w:rFonts w:ascii="Book Antiqua" w:hAnsi="Book Antiqua"/>
          <w:lang w:val="en-US"/>
        </w:rPr>
        <w:t>30 ng/</w:t>
      </w:r>
      <w:r w:rsidRPr="00E25D33">
        <w:rPr>
          <w:rFonts w:ascii="Book Antiqua" w:hAnsi="Book Antiqua"/>
          <w:lang w:val="en-US"/>
        </w:rPr>
        <w:t>m</w:t>
      </w:r>
      <w:r>
        <w:rPr>
          <w:rFonts w:ascii="Book Antiqua" w:hAnsi="Book Antiqua"/>
          <w:lang w:val="en-US"/>
        </w:rPr>
        <w:t>L</w:t>
      </w:r>
      <w:r w:rsidR="006E1A1C" w:rsidRPr="00E25D33">
        <w:rPr>
          <w:rFonts w:ascii="Book Antiqua" w:hAnsi="Book Antiqua"/>
          <w:lang w:val="en-US"/>
        </w:rPr>
        <w:t>) was detected in 76% of the patients in that study, and only 28% of them were prescribed IV iron therapy.</w:t>
      </w:r>
    </w:p>
    <w:p w14:paraId="341EEA12" w14:textId="2BCB2118" w:rsidR="006E1A1C" w:rsidRPr="00E25D33"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The anemia awarenes</w:t>
      </w:r>
      <w:r w:rsidR="006E1A1C" w:rsidRPr="004E72CC">
        <w:rPr>
          <w:rFonts w:ascii="Book Antiqua" w:hAnsi="Book Antiqua"/>
          <w:lang w:val="en-US"/>
        </w:rPr>
        <w:t xml:space="preserve">s study of Danese </w:t>
      </w:r>
      <w:r w:rsidR="006E1A1C" w:rsidRPr="00F75508">
        <w:rPr>
          <w:rFonts w:ascii="Book Antiqua" w:hAnsi="Book Antiqua"/>
          <w:i/>
          <w:lang w:val="en-US"/>
        </w:rPr>
        <w:t>et al</w:t>
      </w:r>
      <w:r w:rsidR="006E1A1C" w:rsidRPr="00F75508">
        <w:rPr>
          <w:rFonts w:ascii="Book Antiqua" w:hAnsi="Book Antiqua"/>
          <w:vertAlign w:val="superscript"/>
          <w:lang w:val="en-US"/>
        </w:rPr>
        <w:t>[1]</w:t>
      </w:r>
      <w:r w:rsidR="006E1A1C" w:rsidRPr="00E25D33">
        <w:rPr>
          <w:rFonts w:ascii="Book Antiqua" w:hAnsi="Book Antiqua"/>
          <w:lang w:val="en-US"/>
        </w:rPr>
        <w:t xml:space="preserve"> reported that only 33% of IBD patients with anemia were being treated despite having been diagnosed. A recent study including 55 German gastroenterology centers reported that only 43.5% of IBD patients with anemia were treated</w:t>
      </w:r>
      <w:r w:rsidR="006E1A1C" w:rsidRPr="004E72CC">
        <w:rPr>
          <w:rFonts w:ascii="Book Antiqua" w:hAnsi="Book Antiqua"/>
          <w:lang w:val="en-US"/>
        </w:rPr>
        <w:t>, and 56% of those had received oral iron therapy</w:t>
      </w:r>
      <w:r w:rsidR="006E1A1C" w:rsidRPr="00F75508">
        <w:rPr>
          <w:rFonts w:ascii="Book Antiqua" w:hAnsi="Book Antiqua"/>
          <w:vertAlign w:val="superscript"/>
          <w:lang w:val="en-US"/>
        </w:rPr>
        <w:t>[39]</w:t>
      </w:r>
      <w:r w:rsidR="006E1A1C" w:rsidRPr="00E25D33">
        <w:rPr>
          <w:rFonts w:ascii="Book Antiqua" w:hAnsi="Book Antiqua"/>
          <w:lang w:val="en-US"/>
        </w:rPr>
        <w:t xml:space="preserve">. In our current study, IV iron therapy was prescribed more often than oral iron therapy (40.3% </w:t>
      </w:r>
      <w:r w:rsidR="006E1A1C" w:rsidRPr="00F75508">
        <w:rPr>
          <w:rFonts w:ascii="Book Antiqua" w:hAnsi="Book Antiqua"/>
          <w:i/>
          <w:lang w:val="en-US"/>
        </w:rPr>
        <w:t>vs</w:t>
      </w:r>
      <w:r w:rsidR="006E1A1C" w:rsidRPr="00E25D33">
        <w:rPr>
          <w:rFonts w:ascii="Book Antiqua" w:hAnsi="Book Antiqua"/>
          <w:lang w:val="en-US"/>
        </w:rPr>
        <w:t xml:space="preserve"> 23%).</w:t>
      </w:r>
    </w:p>
    <w:p w14:paraId="21069247" w14:textId="13D479EF" w:rsidR="006E1A1C" w:rsidRPr="00E25D33"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 xml:space="preserve">A sufficient response in the treatment of IDA after 4 </w:t>
      </w:r>
      <w:r w:rsidRPr="00E25D33">
        <w:rPr>
          <w:rFonts w:ascii="Book Antiqua" w:hAnsi="Book Antiqua"/>
          <w:lang w:val="en-US"/>
        </w:rPr>
        <w:t>w</w:t>
      </w:r>
      <w:r>
        <w:rPr>
          <w:rFonts w:ascii="Book Antiqua" w:hAnsi="Book Antiqua"/>
          <w:lang w:val="en-US"/>
        </w:rPr>
        <w:t>k</w:t>
      </w:r>
      <w:r w:rsidRPr="00E25D33">
        <w:rPr>
          <w:rFonts w:ascii="Book Antiqua" w:hAnsi="Book Antiqua"/>
          <w:lang w:val="en-US"/>
        </w:rPr>
        <w:t xml:space="preserve"> </w:t>
      </w:r>
      <w:r w:rsidR="006E1A1C" w:rsidRPr="00E25D33">
        <w:rPr>
          <w:rFonts w:ascii="Book Antiqua" w:hAnsi="Book Antiqua"/>
          <w:lang w:val="en-US"/>
        </w:rPr>
        <w:t>of treatment is indicated by an incre</w:t>
      </w:r>
      <w:r w:rsidR="006E1A1C" w:rsidRPr="004E72CC">
        <w:rPr>
          <w:rFonts w:ascii="Book Antiqua" w:hAnsi="Book Antiqua"/>
          <w:lang w:val="en-US"/>
        </w:rPr>
        <w:t>ase of 2</w:t>
      </w:r>
      <w:r>
        <w:rPr>
          <w:rFonts w:ascii="Book Antiqua" w:hAnsi="Book Antiqua"/>
          <w:lang w:val="en-US"/>
        </w:rPr>
        <w:t xml:space="preserve"> </w:t>
      </w:r>
      <w:r w:rsidR="006E1A1C" w:rsidRPr="00E25D33">
        <w:rPr>
          <w:rFonts w:ascii="Book Antiqua" w:hAnsi="Book Antiqua"/>
          <w:lang w:val="en-US"/>
        </w:rPr>
        <w:t>g/dL Hb or a &gt;</w:t>
      </w:r>
      <w:r>
        <w:rPr>
          <w:rFonts w:ascii="Book Antiqua" w:hAnsi="Book Antiqua"/>
          <w:lang w:val="en-US"/>
        </w:rPr>
        <w:t xml:space="preserve"> </w:t>
      </w:r>
      <w:r w:rsidR="006E1A1C" w:rsidRPr="00E25D33">
        <w:rPr>
          <w:rFonts w:ascii="Book Antiqua" w:hAnsi="Book Antiqua"/>
          <w:lang w:val="en-US"/>
        </w:rPr>
        <w:t>30% increase in TS</w:t>
      </w:r>
      <w:r w:rsidR="006E1A1C" w:rsidRPr="00F75508">
        <w:rPr>
          <w:rFonts w:ascii="Book Antiqua" w:hAnsi="Book Antiqua"/>
          <w:vertAlign w:val="superscript"/>
          <w:lang w:val="en-US"/>
        </w:rPr>
        <w:t>[40]</w:t>
      </w:r>
      <w:r w:rsidR="006E1A1C" w:rsidRPr="00E25D33">
        <w:rPr>
          <w:rFonts w:ascii="Book Antiqua" w:hAnsi="Book Antiqua"/>
          <w:lang w:val="en-US"/>
        </w:rPr>
        <w:t>. The target ferritin level in IV iron therapy is 400 µg/L. Oral iron replacement therapy alone is typically only successful in cases with mild disease activity and mild anemia</w:t>
      </w:r>
      <w:r w:rsidR="006E1A1C" w:rsidRPr="00F75508">
        <w:rPr>
          <w:rFonts w:ascii="Book Antiqua" w:hAnsi="Book Antiqua"/>
          <w:vertAlign w:val="superscript"/>
          <w:lang w:val="en-US"/>
        </w:rPr>
        <w:t>[42]</w:t>
      </w:r>
      <w:r w:rsidR="006E1A1C" w:rsidRPr="00E25D33">
        <w:rPr>
          <w:rFonts w:ascii="Book Antiqua" w:hAnsi="Book Antiqua"/>
          <w:lang w:val="en-US"/>
        </w:rPr>
        <w:t>. Due to its low cost and sa</w:t>
      </w:r>
      <w:r w:rsidR="006E1A1C" w:rsidRPr="004E72CC">
        <w:rPr>
          <w:rFonts w:ascii="Book Antiqua" w:hAnsi="Book Antiqua"/>
          <w:lang w:val="en-US"/>
        </w:rPr>
        <w:t xml:space="preserve">fety, oral iron replacement therapy is usually used by clinicians as a first line treatment. However, oral iron therapy has been associated with some side effects and </w:t>
      </w:r>
      <w:r w:rsidR="006E1A1C" w:rsidRPr="004E72CC">
        <w:rPr>
          <w:rFonts w:ascii="Book Antiqua" w:hAnsi="Book Antiqua"/>
          <w:lang w:val="en-US"/>
        </w:rPr>
        <w:lastRenderedPageBreak/>
        <w:t>mucosal injury events, and therefor</w:t>
      </w:r>
      <w:r w:rsidR="006E1A1C" w:rsidRPr="00E25D33">
        <w:rPr>
          <w:rFonts w:ascii="Book Antiqua" w:hAnsi="Book Antiqua"/>
          <w:lang w:val="en-US"/>
        </w:rPr>
        <w:t xml:space="preserve">e, the efficacy and tolerability of this therapy must </w:t>
      </w:r>
      <w:r w:rsidR="006E1A1C" w:rsidRPr="004E72CC">
        <w:rPr>
          <w:rFonts w:ascii="Book Antiqua" w:hAnsi="Book Antiqua"/>
          <w:lang w:val="en-US"/>
        </w:rPr>
        <w:t>be monitored during treatment</w:t>
      </w:r>
      <w:r w:rsidR="006E1A1C" w:rsidRPr="00F75508">
        <w:rPr>
          <w:rFonts w:ascii="Book Antiqua" w:hAnsi="Book Antiqua"/>
          <w:vertAlign w:val="superscript"/>
          <w:lang w:val="en-US"/>
        </w:rPr>
        <w:t>[42]</w:t>
      </w:r>
      <w:r w:rsidR="006E1A1C" w:rsidRPr="00E25D33">
        <w:rPr>
          <w:rFonts w:ascii="Book Antiqua" w:hAnsi="Book Antiqua"/>
          <w:lang w:val="en-US"/>
        </w:rPr>
        <w:t>. In animal studies, oral and rectal iron administration have been shown to increase disease activity, as they increase pro-inflammatory cytokines, su</w:t>
      </w:r>
      <w:r w:rsidR="006E1A1C" w:rsidRPr="00E0787C">
        <w:rPr>
          <w:rFonts w:ascii="Book Antiqua" w:hAnsi="Book Antiqua"/>
          <w:lang w:val="en-US"/>
        </w:rPr>
        <w:t>ch as IL-1, IL-6, TNF-α, and IFN-α</w:t>
      </w:r>
      <w:r w:rsidR="006E1A1C" w:rsidRPr="00F75508">
        <w:rPr>
          <w:rFonts w:ascii="Book Antiqua" w:hAnsi="Book Antiqua"/>
          <w:vertAlign w:val="superscript"/>
          <w:lang w:val="en-US"/>
        </w:rPr>
        <w:t>[43]</w:t>
      </w:r>
      <w:r w:rsidR="006E1A1C" w:rsidRPr="00E0787C">
        <w:rPr>
          <w:rFonts w:ascii="Book Antiqua" w:hAnsi="Book Antiqua"/>
          <w:lang w:val="en-US"/>
        </w:rPr>
        <w:t>. Therefore, IV iron therapy is t</w:t>
      </w:r>
      <w:r w:rsidR="006E1A1C" w:rsidRPr="004E72CC">
        <w:rPr>
          <w:rFonts w:ascii="Book Antiqua" w:hAnsi="Book Antiqua"/>
          <w:lang w:val="en-US"/>
        </w:rPr>
        <w:t>he preferred treatment for IBD patients, especially those with severe anemia who have had an inadequate response to oral iron therapy or cannot tolerate oral iron therapy</w:t>
      </w:r>
      <w:r w:rsidR="006E1A1C" w:rsidRPr="00F75508">
        <w:rPr>
          <w:rFonts w:ascii="Book Antiqua" w:hAnsi="Book Antiqua"/>
          <w:vertAlign w:val="superscript"/>
          <w:lang w:val="en-US"/>
        </w:rPr>
        <w:t>[44]</w:t>
      </w:r>
      <w:r w:rsidR="006E1A1C" w:rsidRPr="00E25D33">
        <w:rPr>
          <w:rFonts w:ascii="Book Antiqua" w:hAnsi="Book Antiqua"/>
          <w:lang w:val="en-US"/>
        </w:rPr>
        <w:t>. The benefits of IV iron therapy include that it improves iron deficiency in a s</w:t>
      </w:r>
      <w:r w:rsidR="006E1A1C" w:rsidRPr="004E72CC">
        <w:rPr>
          <w:rFonts w:ascii="Book Antiqua" w:hAnsi="Book Antiqua"/>
          <w:lang w:val="en-US"/>
        </w:rPr>
        <w:t>horter period, relieves patients' complaints more rapidly, and has a higher rate of treatment satisfaction with patients. Moreover, it has been shown that IV-administered iron has no effect on disease activity</w:t>
      </w:r>
      <w:r w:rsidR="006E1A1C" w:rsidRPr="00F75508">
        <w:rPr>
          <w:rFonts w:ascii="Book Antiqua" w:hAnsi="Book Antiqua"/>
          <w:vertAlign w:val="superscript"/>
          <w:lang w:val="en-US"/>
        </w:rPr>
        <w:t>[45]</w:t>
      </w:r>
      <w:r w:rsidR="006E1A1C" w:rsidRPr="00E25D33">
        <w:rPr>
          <w:rFonts w:ascii="Book Antiqua" w:hAnsi="Book Antiqua"/>
          <w:lang w:val="en-US"/>
        </w:rPr>
        <w:t>. Since IDA has a tendency to recur in IBD</w:t>
      </w:r>
      <w:r w:rsidR="006E1A1C" w:rsidRPr="004E72CC">
        <w:rPr>
          <w:rFonts w:ascii="Book Antiqua" w:hAnsi="Book Antiqua"/>
          <w:lang w:val="en-US"/>
        </w:rPr>
        <w:t>, maintenance treatment should be continued for at least three months</w:t>
      </w:r>
      <w:r w:rsidR="006E1A1C" w:rsidRPr="00F75508">
        <w:rPr>
          <w:rFonts w:ascii="Book Antiqua" w:hAnsi="Book Antiqua"/>
          <w:vertAlign w:val="superscript"/>
          <w:lang w:val="en-US"/>
        </w:rPr>
        <w:t>[46]</w:t>
      </w:r>
      <w:r w:rsidR="006E1A1C" w:rsidRPr="00E25D33">
        <w:rPr>
          <w:rFonts w:ascii="Book Antiqua" w:hAnsi="Book Antiqua"/>
          <w:lang w:val="en-US"/>
        </w:rPr>
        <w:t>. In cases of unresponsiveness to all types of anemia therapies, the patient should be referred to a hematologist</w:t>
      </w:r>
      <w:r w:rsidR="006E1A1C" w:rsidRPr="00F75508">
        <w:rPr>
          <w:rFonts w:ascii="Book Antiqua" w:hAnsi="Book Antiqua"/>
          <w:vertAlign w:val="superscript"/>
          <w:lang w:val="en-US"/>
        </w:rPr>
        <w:t>[40]</w:t>
      </w:r>
      <w:r w:rsidR="006E1A1C" w:rsidRPr="00E25D33">
        <w:rPr>
          <w:rFonts w:ascii="Book Antiqua" w:hAnsi="Book Antiqua"/>
          <w:lang w:val="en-US"/>
        </w:rPr>
        <w:t xml:space="preserve">. </w:t>
      </w:r>
    </w:p>
    <w:p w14:paraId="14266A30" w14:textId="18D934D0" w:rsidR="006E1A1C" w:rsidRPr="00E25D33"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In IBD patients with anemia, it is of utmost importance to tr</w:t>
      </w:r>
      <w:r w:rsidR="006E1A1C" w:rsidRPr="004E72CC">
        <w:rPr>
          <w:rFonts w:ascii="Book Antiqua" w:hAnsi="Book Antiqua"/>
          <w:lang w:val="en-US"/>
        </w:rPr>
        <w:t>eat the underlying cause(s) and to control inflammation. Over time, attacks of inflammation in IBD lead to decreased iron absorption. In addition, TNF-α is known to increase bone marrow suppression. In our current study, there was a lower rate of anemia among patients undergoing anti-TNF therapy compared to other treatment groups. Anti-TNF therapy is becoming an increasingly preferred treatment. That these patients had a lower rate of anemia could be related to the fact that anti-TNF agents suppress adverse effects on bone marrow, decrease inflammation, and provide effective mucosal improvement. Similarly, another study reported that anti-TNF therapy improved anemia by controlling inflammation and disease activity in IBD patients</w:t>
      </w:r>
      <w:r w:rsidR="006E1A1C" w:rsidRPr="00F75508">
        <w:rPr>
          <w:rFonts w:ascii="Book Antiqua" w:hAnsi="Book Antiqua"/>
          <w:vertAlign w:val="superscript"/>
          <w:lang w:val="en-US"/>
        </w:rPr>
        <w:t>[47]</w:t>
      </w:r>
      <w:r w:rsidR="006E1A1C" w:rsidRPr="00E25D33">
        <w:rPr>
          <w:rFonts w:ascii="Book Antiqua" w:hAnsi="Book Antiqua"/>
          <w:lang w:val="en-US"/>
        </w:rPr>
        <w:t>. It has been suggested</w:t>
      </w:r>
      <w:r w:rsidR="006E1A1C" w:rsidRPr="004E72CC">
        <w:rPr>
          <w:rFonts w:ascii="Book Antiqua" w:hAnsi="Book Antiqua"/>
          <w:lang w:val="en-US"/>
        </w:rPr>
        <w:t xml:space="preserve"> that anti-TNF therapy regulates erythropoiesis at various levels. However, some studies have shown that the prevalence of anemia was higher in patients treated with anti-TNF agents than those treated with other drugs (</w:t>
      </w:r>
      <w:r w:rsidR="006E1A1C" w:rsidRPr="00F75508">
        <w:rPr>
          <w:rFonts w:ascii="Book Antiqua" w:hAnsi="Book Antiqua"/>
          <w:i/>
          <w:lang w:val="en-US"/>
        </w:rPr>
        <w:t>e.g.</w:t>
      </w:r>
      <w:r w:rsidR="006E1A1C" w:rsidRPr="00E25D33">
        <w:rPr>
          <w:rFonts w:ascii="Book Antiqua" w:hAnsi="Book Antiqua"/>
          <w:lang w:val="en-US"/>
        </w:rPr>
        <w:t>, immunomodulators, corticosteroi</w:t>
      </w:r>
      <w:r w:rsidR="006E1A1C" w:rsidRPr="004E72CC">
        <w:rPr>
          <w:rFonts w:ascii="Book Antiqua" w:hAnsi="Book Antiqua"/>
          <w:lang w:val="en-US"/>
        </w:rPr>
        <w:t xml:space="preserve">ds, aminosalicylates) (25% </w:t>
      </w:r>
      <w:r w:rsidR="006E1A1C" w:rsidRPr="00F75508">
        <w:rPr>
          <w:rFonts w:ascii="Book Antiqua" w:hAnsi="Book Antiqua"/>
          <w:i/>
          <w:lang w:val="en-US"/>
        </w:rPr>
        <w:t>vs</w:t>
      </w:r>
      <w:r w:rsidR="006E1A1C" w:rsidRPr="00E25D33">
        <w:rPr>
          <w:rFonts w:ascii="Book Antiqua" w:hAnsi="Book Antiqua"/>
          <w:lang w:val="en-US"/>
        </w:rPr>
        <w:t xml:space="preserve"> 5.4%, respectively)</w:t>
      </w:r>
      <w:r w:rsidR="006E1A1C" w:rsidRPr="00F75508">
        <w:rPr>
          <w:rFonts w:ascii="Book Antiqua" w:hAnsi="Book Antiqua"/>
          <w:vertAlign w:val="superscript"/>
          <w:lang w:val="en-US"/>
        </w:rPr>
        <w:t>[48]</w:t>
      </w:r>
      <w:r w:rsidR="006E1A1C" w:rsidRPr="00E25D33">
        <w:rPr>
          <w:rFonts w:ascii="Book Antiqua" w:hAnsi="Book Antiqua"/>
          <w:lang w:val="en-US"/>
        </w:rPr>
        <w:t xml:space="preserve">. The higher prevalence reported in those studies is associated with the fact that these drugs (anti-TNF agents) are often used in patients with increased disease severity. </w:t>
      </w:r>
    </w:p>
    <w:p w14:paraId="20C4765A" w14:textId="6CF34C6D" w:rsidR="006E1A1C" w:rsidRPr="004E72CC"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One of the limitations of ou</w:t>
      </w:r>
      <w:r w:rsidR="006E1A1C" w:rsidRPr="004E72CC">
        <w:rPr>
          <w:rFonts w:ascii="Book Antiqua" w:hAnsi="Book Antiqua"/>
          <w:lang w:val="en-US"/>
        </w:rPr>
        <w:t xml:space="preserve">r current study is that it was retrospective, and therefore, we did not have any information about disease activity or smoking status. </w:t>
      </w:r>
      <w:r w:rsidR="006E1A1C" w:rsidRPr="004E72CC">
        <w:rPr>
          <w:rFonts w:ascii="Book Antiqua" w:hAnsi="Book Antiqua"/>
          <w:lang w:val="en-US"/>
        </w:rPr>
        <w:lastRenderedPageBreak/>
        <w:t xml:space="preserve">However, since we could not obtain or confirm the accuracy of the patients’ clinical activity indices, we utilized CRP levels to interpret disease activity. Moreover, we could not evaluate the etiology of anemia in 15.3% of our patients since their anemia parameters were not evaluated during follow-up. In addition, we did not separately evaluate the anemia rates of pediatric onset IBD and adult onset IBD, and therefore, we could not compare the frequency of anemia between these groups.  Further, we did not evaluate anemia-associated symptom rates or quality of life in this study. Lastly, the current study may not represent the general Turkish patient population as it was conducted with IBD patients with more severe and problematic conditions who were being followed at a tertiary referral university hospital. </w:t>
      </w:r>
    </w:p>
    <w:p w14:paraId="2BFD160A" w14:textId="4CC7EBA8" w:rsidR="006E1A1C" w:rsidRPr="004E72CC" w:rsidRDefault="00E25D33" w:rsidP="006E1A1C">
      <w:pPr>
        <w:spacing w:line="360" w:lineRule="auto"/>
        <w:jc w:val="both"/>
        <w:rPr>
          <w:rFonts w:ascii="Book Antiqua" w:hAnsi="Book Antiqua"/>
          <w:lang w:val="en-US"/>
        </w:rPr>
      </w:pPr>
      <w:r>
        <w:rPr>
          <w:rFonts w:ascii="Book Antiqua" w:hAnsi="Book Antiqua"/>
          <w:lang w:val="en-US"/>
        </w:rPr>
        <w:t xml:space="preserve">  </w:t>
      </w:r>
      <w:r w:rsidR="006E1A1C" w:rsidRPr="00E25D33">
        <w:rPr>
          <w:rFonts w:ascii="Book Antiqua" w:hAnsi="Book Antiqua"/>
          <w:lang w:val="en-US"/>
        </w:rPr>
        <w:t>In conclusion, since almost half of IBD patients have anemia, and be</w:t>
      </w:r>
      <w:r w:rsidR="006E1A1C" w:rsidRPr="004E72CC">
        <w:rPr>
          <w:rFonts w:ascii="Book Antiqua" w:hAnsi="Book Antiqua"/>
          <w:lang w:val="en-US"/>
        </w:rPr>
        <w:t xml:space="preserve">cause anemia causes a multitude of negative effects on patients, its presence should be further examined, and if necessary, treated with regards to disease activity. It should be kept in mind that the most common cause of anemia is iron deficiency. Female gender and disease activity are important risk factors in the development of anemia, and disease involvement is an additional factor in UC. Treatment rates should be increased in IBD patients with anemia. To conclude, anemia should be recognized, investigated, and treated in IBD patients. </w:t>
      </w:r>
    </w:p>
    <w:p w14:paraId="6C1040AB" w14:textId="77777777" w:rsidR="00E25D33" w:rsidRPr="00F75508" w:rsidRDefault="00E25D33" w:rsidP="006E1A1C">
      <w:pPr>
        <w:spacing w:line="360" w:lineRule="auto"/>
        <w:jc w:val="both"/>
        <w:rPr>
          <w:rFonts w:ascii="Book Antiqua" w:hAnsi="Book Antiqua"/>
          <w:b/>
          <w:color w:val="000000"/>
          <w:lang w:val="en-US"/>
        </w:rPr>
      </w:pPr>
    </w:p>
    <w:p w14:paraId="7284FEF9" w14:textId="0FEB46F8" w:rsidR="00BC66FF" w:rsidRPr="00BC66FF" w:rsidRDefault="00BC66FF" w:rsidP="00BC66FF">
      <w:pPr>
        <w:widowControl w:val="0"/>
        <w:adjustRightInd w:val="0"/>
        <w:snapToGrid w:val="0"/>
        <w:spacing w:line="360" w:lineRule="auto"/>
        <w:jc w:val="both"/>
        <w:rPr>
          <w:rFonts w:ascii="Book Antiqua" w:eastAsia="SimSun" w:hAnsi="Book Antiqua"/>
          <w:b/>
          <w:color w:val="000000"/>
          <w:lang w:eastAsia="zh-CN"/>
        </w:rPr>
      </w:pPr>
      <w:r>
        <w:rPr>
          <w:rFonts w:ascii="Book Antiqua" w:hAnsi="Book Antiqua"/>
          <w:b/>
          <w:color w:val="000000"/>
        </w:rPr>
        <w:t xml:space="preserve">ARTICLE HIGHLIGHTS </w:t>
      </w:r>
      <w:bookmarkStart w:id="162" w:name="_GoBack"/>
      <w:bookmarkEnd w:id="162"/>
    </w:p>
    <w:p w14:paraId="06216CC5" w14:textId="77777777" w:rsidR="00264113" w:rsidRPr="00E0787C" w:rsidRDefault="00264113" w:rsidP="00264113">
      <w:pPr>
        <w:snapToGrid w:val="0"/>
        <w:spacing w:line="360" w:lineRule="auto"/>
        <w:jc w:val="both"/>
        <w:rPr>
          <w:rFonts w:ascii="Book Antiqua" w:hAnsi="Book Antiqua"/>
          <w:b/>
          <w:i/>
        </w:rPr>
      </w:pPr>
      <w:r w:rsidRPr="004E72CC">
        <w:rPr>
          <w:rFonts w:ascii="Book Antiqua" w:hAnsi="Book Antiqua"/>
          <w:b/>
          <w:i/>
        </w:rPr>
        <w:t>Resear</w:t>
      </w:r>
      <w:r w:rsidRPr="00E0787C">
        <w:rPr>
          <w:rFonts w:ascii="Book Antiqua" w:hAnsi="Book Antiqua"/>
          <w:b/>
          <w:i/>
        </w:rPr>
        <w:t>ch background</w:t>
      </w:r>
    </w:p>
    <w:p w14:paraId="111D75E0" w14:textId="103746D8" w:rsidR="006E1A1C" w:rsidRPr="00E0787C" w:rsidRDefault="008A1C7F" w:rsidP="006E1A1C">
      <w:pPr>
        <w:spacing w:line="360" w:lineRule="auto"/>
        <w:jc w:val="both"/>
        <w:rPr>
          <w:rFonts w:ascii="Book Antiqua" w:hAnsi="Book Antiqua"/>
          <w:lang w:val="en-US"/>
        </w:rPr>
      </w:pPr>
      <w:r w:rsidRPr="004E72CC">
        <w:rPr>
          <w:rFonts w:ascii="Book Antiqua" w:hAnsi="Book Antiqua"/>
          <w:lang w:val="en-US"/>
        </w:rPr>
        <w:t xml:space="preserve">Inflammatory bowel disease (IBD) is a </w:t>
      </w:r>
      <w:r w:rsidRPr="00E0787C">
        <w:rPr>
          <w:rFonts w:ascii="Book Antiqua" w:hAnsi="Book Antiqua"/>
          <w:lang w:val="en-US"/>
        </w:rPr>
        <w:t>chronic idiopathic disease with a relapsing and remitting course. The most common extra-intestinal finding seen i</w:t>
      </w:r>
      <w:r w:rsidRPr="004E72CC">
        <w:rPr>
          <w:rFonts w:ascii="Book Antiqua" w:hAnsi="Book Antiqua"/>
          <w:lang w:val="en-US"/>
        </w:rPr>
        <w:t>n IBD patients is anemia, whi</w:t>
      </w:r>
      <w:r w:rsidRPr="00E0787C">
        <w:rPr>
          <w:rFonts w:ascii="Book Antiqua" w:hAnsi="Book Antiqua"/>
          <w:lang w:val="en-US"/>
        </w:rPr>
        <w:t>ch decreases both the quality of life and the ability to work. The prevalence of anemia is higher in IBD patients than in the general population, and ranges between 6% and 74%. The first study to report on the incidence of anem</w:t>
      </w:r>
      <w:r w:rsidRPr="004E72CC">
        <w:rPr>
          <w:rFonts w:ascii="Book Antiqua" w:hAnsi="Book Antiqua"/>
          <w:lang w:val="en-US"/>
        </w:rPr>
        <w:t xml:space="preserve">ia in Turkish patients with IBD reported that 58.2% of 941 patients </w:t>
      </w:r>
      <w:r w:rsidR="007B7878">
        <w:rPr>
          <w:rFonts w:ascii="Book Antiqua" w:hAnsi="Book Antiqua" w:hint="eastAsia"/>
          <w:lang w:val="en-US" w:eastAsia="zh-CN"/>
        </w:rPr>
        <w:t>[</w:t>
      </w:r>
      <w:r w:rsidRPr="004E72CC">
        <w:rPr>
          <w:rFonts w:ascii="Book Antiqua" w:hAnsi="Book Antiqua"/>
          <w:lang w:val="en-US"/>
        </w:rPr>
        <w:t xml:space="preserve">62.1% of 375 </w:t>
      </w:r>
      <w:r w:rsidR="007B7878" w:rsidRPr="002A2564">
        <w:rPr>
          <w:rFonts w:ascii="Book Antiqua" w:hAnsi="Book Antiqua"/>
          <w:lang w:val="en-US"/>
        </w:rPr>
        <w:t>Crohn's disease</w:t>
      </w:r>
      <w:r w:rsidR="007B7878" w:rsidRPr="00E0787C">
        <w:rPr>
          <w:rStyle w:val="normaltextrun"/>
          <w:rFonts w:ascii="Book Antiqua" w:hAnsi="Book Antiqua" w:cstheme="minorHAnsi"/>
          <w:bCs/>
          <w:lang w:val="en-GB"/>
        </w:rPr>
        <w:t xml:space="preserve"> (CD)</w:t>
      </w:r>
      <w:r w:rsidRPr="004E72CC">
        <w:rPr>
          <w:rFonts w:ascii="Book Antiqua" w:hAnsi="Book Antiqua"/>
          <w:lang w:val="en-US"/>
        </w:rPr>
        <w:t xml:space="preserve"> patients and 55.7% of 566 </w:t>
      </w:r>
      <w:r w:rsidR="007B7878">
        <w:rPr>
          <w:rFonts w:ascii="Book Antiqua" w:hAnsi="Book Antiqua" w:cs="Arial"/>
          <w:bCs/>
          <w:color w:val="000000" w:themeColor="text1"/>
          <w:lang w:val="en-US"/>
        </w:rPr>
        <w:t>u</w:t>
      </w:r>
      <w:r w:rsidR="007B7878" w:rsidRPr="00F75508">
        <w:rPr>
          <w:rFonts w:ascii="Book Antiqua" w:hAnsi="Book Antiqua" w:cs="Arial"/>
          <w:bCs/>
          <w:color w:val="000000" w:themeColor="text1"/>
          <w:lang w:val="en-US"/>
        </w:rPr>
        <w:t>lcerative colitis</w:t>
      </w:r>
      <w:r w:rsidR="007B7878" w:rsidRPr="004E72CC">
        <w:rPr>
          <w:rFonts w:ascii="Book Antiqua" w:hAnsi="Book Antiqua"/>
          <w:lang w:val="en-US"/>
        </w:rPr>
        <w:t xml:space="preserve"> </w:t>
      </w:r>
      <w:r w:rsidR="007B7878">
        <w:rPr>
          <w:rFonts w:ascii="Book Antiqua" w:hAnsi="Book Antiqua" w:hint="eastAsia"/>
          <w:lang w:val="en-US" w:eastAsia="zh-CN"/>
        </w:rPr>
        <w:t>(</w:t>
      </w:r>
      <w:r w:rsidRPr="004E72CC">
        <w:rPr>
          <w:rFonts w:ascii="Book Antiqua" w:hAnsi="Book Antiqua"/>
          <w:lang w:val="en-US"/>
        </w:rPr>
        <w:t>UC</w:t>
      </w:r>
      <w:r w:rsidR="007B7878">
        <w:rPr>
          <w:rFonts w:ascii="Book Antiqua" w:hAnsi="Book Antiqua" w:hint="eastAsia"/>
          <w:lang w:val="en-US" w:eastAsia="zh-CN"/>
        </w:rPr>
        <w:t>)</w:t>
      </w:r>
      <w:r w:rsidRPr="004E72CC">
        <w:rPr>
          <w:rFonts w:ascii="Book Antiqua" w:hAnsi="Book Antiqua"/>
          <w:lang w:val="en-US"/>
        </w:rPr>
        <w:t xml:space="preserve"> patients</w:t>
      </w:r>
      <w:r w:rsidR="007B7878">
        <w:rPr>
          <w:rFonts w:ascii="Book Antiqua" w:hAnsi="Book Antiqua" w:hint="eastAsia"/>
          <w:lang w:val="en-US" w:eastAsia="zh-CN"/>
        </w:rPr>
        <w:t xml:space="preserve">] </w:t>
      </w:r>
      <w:r w:rsidRPr="004E72CC">
        <w:rPr>
          <w:rFonts w:ascii="Book Antiqua" w:hAnsi="Book Antiqua"/>
          <w:lang w:val="en-US"/>
        </w:rPr>
        <w:t>had anemia at least once during an 18</w:t>
      </w:r>
      <w:r w:rsidR="00E25D33">
        <w:rPr>
          <w:rFonts w:ascii="Book Antiqua" w:hAnsi="Book Antiqua"/>
          <w:lang w:val="en-US"/>
        </w:rPr>
        <w:t>-</w:t>
      </w:r>
      <w:r w:rsidRPr="00E25D33">
        <w:rPr>
          <w:rFonts w:ascii="Book Antiqua" w:hAnsi="Book Antiqua"/>
          <w:lang w:val="en-US"/>
        </w:rPr>
        <w:t>year follow-up period. The most common causes of anemia in IBD are iron deficiency anemia (IDA</w:t>
      </w:r>
      <w:r w:rsidRPr="004E72CC">
        <w:rPr>
          <w:rFonts w:ascii="Book Antiqua" w:hAnsi="Book Antiqua"/>
          <w:lang w:val="en-US"/>
        </w:rPr>
        <w:t xml:space="preserve">) and </w:t>
      </w:r>
      <w:r w:rsidRPr="00E0787C">
        <w:rPr>
          <w:rFonts w:ascii="Book Antiqua" w:hAnsi="Book Antiqua"/>
          <w:lang w:val="en-US"/>
        </w:rPr>
        <w:t xml:space="preserve">chronic disease anemia (CDA). Although IBD-related anemia has a relatively high prevalence, its diagnosis and </w:t>
      </w:r>
      <w:r w:rsidRPr="00E0787C">
        <w:rPr>
          <w:rFonts w:ascii="Book Antiqua" w:hAnsi="Book Antiqua"/>
          <w:lang w:val="en-US"/>
        </w:rPr>
        <w:lastRenderedPageBreak/>
        <w:t xml:space="preserve">treatment is generally overlooked. </w:t>
      </w:r>
      <w:r w:rsidR="006E1A1C" w:rsidRPr="004E72CC">
        <w:rPr>
          <w:rFonts w:ascii="Book Antiqua" w:hAnsi="Book Antiqua"/>
          <w:lang w:val="en-US"/>
        </w:rPr>
        <w:t xml:space="preserve">The current study aimed to determine the frequency and types of anemia in IBD patients, to determine the relationship between anemia and disease </w:t>
      </w:r>
      <w:r w:rsidR="006E1A1C" w:rsidRPr="00E0787C">
        <w:rPr>
          <w:rFonts w:ascii="Book Antiqua" w:hAnsi="Book Antiqua"/>
          <w:lang w:val="en-US"/>
        </w:rPr>
        <w:t xml:space="preserve">characteristics, and to determine the most effective treatment approach.  </w:t>
      </w:r>
    </w:p>
    <w:p w14:paraId="51251E07" w14:textId="77777777" w:rsidR="00264113" w:rsidRPr="004E72CC" w:rsidRDefault="00264113" w:rsidP="00264113">
      <w:pPr>
        <w:snapToGrid w:val="0"/>
        <w:spacing w:line="360" w:lineRule="auto"/>
        <w:jc w:val="both"/>
        <w:rPr>
          <w:rFonts w:ascii="Book Antiqua" w:hAnsi="Book Antiqua"/>
          <w:color w:val="FF0000"/>
        </w:rPr>
      </w:pPr>
    </w:p>
    <w:p w14:paraId="17FDC6FD" w14:textId="77777777" w:rsidR="00264113" w:rsidRPr="00E0787C" w:rsidRDefault="00264113" w:rsidP="00264113">
      <w:pPr>
        <w:snapToGrid w:val="0"/>
        <w:spacing w:line="360" w:lineRule="auto"/>
        <w:jc w:val="both"/>
        <w:rPr>
          <w:rFonts w:ascii="Book Antiqua" w:hAnsi="Book Antiqua"/>
          <w:b/>
          <w:i/>
        </w:rPr>
      </w:pPr>
      <w:r w:rsidRPr="004E72CC">
        <w:rPr>
          <w:rFonts w:ascii="Book Antiqua" w:hAnsi="Book Antiqua"/>
          <w:b/>
          <w:i/>
        </w:rPr>
        <w:t>Resear</w:t>
      </w:r>
      <w:r w:rsidRPr="00E0787C">
        <w:rPr>
          <w:rFonts w:ascii="Book Antiqua" w:hAnsi="Book Antiqua"/>
          <w:b/>
          <w:i/>
        </w:rPr>
        <w:t>ch motivation</w:t>
      </w:r>
    </w:p>
    <w:p w14:paraId="7DC7A695" w14:textId="55B9A723" w:rsidR="00264113" w:rsidRPr="004E72CC" w:rsidRDefault="006E1A1C" w:rsidP="00264113">
      <w:pPr>
        <w:snapToGrid w:val="0"/>
        <w:spacing w:line="360" w:lineRule="auto"/>
        <w:jc w:val="both"/>
        <w:rPr>
          <w:rFonts w:ascii="Book Antiqua" w:hAnsi="Book Antiqua"/>
          <w:color w:val="FF0000"/>
        </w:rPr>
      </w:pPr>
      <w:r w:rsidRPr="004E72CC">
        <w:rPr>
          <w:rFonts w:ascii="Book Antiqua" w:hAnsi="Book Antiqua"/>
          <w:lang w:val="en-US"/>
        </w:rPr>
        <w:t>The prevalence of anemia is higher in IBD patients than in the general population</w:t>
      </w:r>
      <w:r w:rsidRPr="004E72CC">
        <w:rPr>
          <w:rFonts w:ascii="Book Antiqua" w:hAnsi="Book Antiqua"/>
        </w:rPr>
        <w:t xml:space="preserve">. </w:t>
      </w:r>
      <w:r w:rsidRPr="004E72CC">
        <w:rPr>
          <w:rFonts w:ascii="Book Antiqua" w:hAnsi="Book Antiqua"/>
          <w:lang w:val="en-US"/>
        </w:rPr>
        <w:t xml:space="preserve">The most common causes of anemia in IBD are iron deficiency anemia (IDA) and </w:t>
      </w:r>
      <w:r w:rsidRPr="00E0787C">
        <w:rPr>
          <w:rFonts w:ascii="Book Antiqua" w:hAnsi="Book Antiqua"/>
          <w:lang w:val="en-US"/>
        </w:rPr>
        <w:t>chronic disease anemia (CDA). Although IBD-related anemia has a relatively high prevalence, its diagnosis and treatment is generally overlooked.</w:t>
      </w:r>
      <w:r w:rsidRPr="00F75508">
        <w:rPr>
          <w:rFonts w:ascii="Book Antiqua" w:hAnsi="Book Antiqua"/>
          <w:lang w:val="en-US"/>
        </w:rPr>
        <w:t xml:space="preserve"> </w:t>
      </w:r>
    </w:p>
    <w:p w14:paraId="6F4E97B0" w14:textId="77777777" w:rsidR="00264113" w:rsidRPr="004E72CC" w:rsidRDefault="00264113" w:rsidP="00264113">
      <w:pPr>
        <w:snapToGrid w:val="0"/>
        <w:spacing w:line="360" w:lineRule="auto"/>
        <w:jc w:val="both"/>
        <w:rPr>
          <w:rFonts w:ascii="Book Antiqua" w:hAnsi="Book Antiqua"/>
          <w:b/>
          <w:color w:val="FF0000"/>
        </w:rPr>
      </w:pPr>
    </w:p>
    <w:p w14:paraId="351E3AFE" w14:textId="77777777" w:rsidR="00264113" w:rsidRPr="00E0787C" w:rsidRDefault="00264113" w:rsidP="00264113">
      <w:pPr>
        <w:snapToGrid w:val="0"/>
        <w:spacing w:line="360" w:lineRule="auto"/>
        <w:jc w:val="both"/>
        <w:rPr>
          <w:rFonts w:ascii="Book Antiqua" w:hAnsi="Book Antiqua"/>
          <w:b/>
          <w:i/>
        </w:rPr>
      </w:pPr>
      <w:r w:rsidRPr="004E72CC">
        <w:rPr>
          <w:rFonts w:ascii="Book Antiqua" w:hAnsi="Book Antiqua"/>
          <w:b/>
          <w:i/>
        </w:rPr>
        <w:t>Resear</w:t>
      </w:r>
      <w:r w:rsidRPr="00E0787C">
        <w:rPr>
          <w:rFonts w:ascii="Book Antiqua" w:hAnsi="Book Antiqua"/>
          <w:b/>
          <w:i/>
        </w:rPr>
        <w:t>ch objectives</w:t>
      </w:r>
    </w:p>
    <w:p w14:paraId="1281E40F" w14:textId="77777777" w:rsidR="006E1A1C" w:rsidRPr="00E0787C" w:rsidRDefault="006E1A1C" w:rsidP="006E1A1C">
      <w:pPr>
        <w:spacing w:line="360" w:lineRule="auto"/>
        <w:jc w:val="both"/>
        <w:rPr>
          <w:rFonts w:ascii="Book Antiqua" w:hAnsi="Book Antiqua"/>
          <w:lang w:val="en-US"/>
        </w:rPr>
      </w:pPr>
      <w:r w:rsidRPr="004E72CC">
        <w:rPr>
          <w:rFonts w:ascii="Book Antiqua" w:hAnsi="Book Antiqua"/>
          <w:lang w:val="en-US"/>
        </w:rPr>
        <w:t xml:space="preserve">The current study aimed to determine the frequency and types of anemia in IBD patients, to determine the relationship between anemia and disease </w:t>
      </w:r>
      <w:r w:rsidRPr="00E0787C">
        <w:rPr>
          <w:rFonts w:ascii="Book Antiqua" w:hAnsi="Book Antiqua"/>
          <w:lang w:val="en-US"/>
        </w:rPr>
        <w:t xml:space="preserve">characteristics, and to determine the most effective treatment approach.  </w:t>
      </w:r>
    </w:p>
    <w:p w14:paraId="538C9C3A" w14:textId="77777777" w:rsidR="00264113" w:rsidRPr="004E72CC" w:rsidRDefault="00264113" w:rsidP="00264113">
      <w:pPr>
        <w:snapToGrid w:val="0"/>
        <w:spacing w:line="360" w:lineRule="auto"/>
        <w:jc w:val="both"/>
        <w:rPr>
          <w:rFonts w:ascii="Book Antiqua" w:hAnsi="Book Antiqua"/>
          <w:b/>
          <w:color w:val="FF0000"/>
        </w:rPr>
      </w:pPr>
    </w:p>
    <w:p w14:paraId="54524CCA" w14:textId="77777777" w:rsidR="00264113" w:rsidRPr="00E0787C" w:rsidRDefault="00264113" w:rsidP="00264113">
      <w:pPr>
        <w:snapToGrid w:val="0"/>
        <w:spacing w:line="360" w:lineRule="auto"/>
        <w:jc w:val="both"/>
        <w:rPr>
          <w:rFonts w:ascii="Book Antiqua" w:hAnsi="Book Antiqua"/>
          <w:b/>
          <w:i/>
        </w:rPr>
      </w:pPr>
      <w:r w:rsidRPr="004E72CC">
        <w:rPr>
          <w:rFonts w:ascii="Book Antiqua" w:hAnsi="Book Antiqua"/>
          <w:b/>
          <w:i/>
        </w:rPr>
        <w:t>Resear</w:t>
      </w:r>
      <w:r w:rsidRPr="00E0787C">
        <w:rPr>
          <w:rFonts w:ascii="Book Antiqua" w:hAnsi="Book Antiqua"/>
          <w:b/>
          <w:i/>
        </w:rPr>
        <w:t>ch methods</w:t>
      </w:r>
    </w:p>
    <w:p w14:paraId="451BE296" w14:textId="4C341E47" w:rsidR="006E1A1C" w:rsidRPr="004E72CC" w:rsidRDefault="006E1A1C" w:rsidP="008675D0">
      <w:pPr>
        <w:spacing w:line="360" w:lineRule="auto"/>
        <w:jc w:val="both"/>
        <w:rPr>
          <w:rFonts w:ascii="Book Antiqua" w:hAnsi="Book Antiqua" w:cs="Arial"/>
          <w:lang w:val="en-US"/>
        </w:rPr>
      </w:pPr>
      <w:r w:rsidRPr="004E72CC">
        <w:rPr>
          <w:rFonts w:ascii="Book Antiqua" w:hAnsi="Book Antiqua"/>
          <w:lang w:val="en-US"/>
        </w:rPr>
        <w:t>This study retrospectively evaluated 465 patients (254 male, 211 female, mean age: 47 ± 14.4 years, 257 CD, 208 UC, &gt;</w:t>
      </w:r>
      <w:r w:rsidR="00E25D33">
        <w:rPr>
          <w:rFonts w:ascii="Book Antiqua" w:hAnsi="Book Antiqua"/>
          <w:lang w:val="en-US"/>
        </w:rPr>
        <w:t xml:space="preserve"> </w:t>
      </w:r>
      <w:r w:rsidRPr="00E25D33">
        <w:rPr>
          <w:rFonts w:ascii="Book Antiqua" w:hAnsi="Book Antiqua"/>
          <w:lang w:val="en-US"/>
        </w:rPr>
        <w:t>18 years of age) who were diagnosed with IBD and followed-up with between June 2015 and June 2016 in the Gastroenterology/IBD out-patient clinic or ward of Dokuz Eylül University, Medical Faculty Hospital.T</w:t>
      </w:r>
      <w:r w:rsidRPr="004E72CC">
        <w:rPr>
          <w:rFonts w:ascii="Book Antiqua" w:hAnsi="Book Antiqua"/>
          <w:lang w:val="en-US"/>
        </w:rPr>
        <w:t xml:space="preserve">he IBD diagnoses were made in accordance with the new European Crohn’s and Colitis Organization (ECCO) guidelines, and were confirmed according to standard clinical, endoscopic, histologic, and radiological criteria. </w:t>
      </w:r>
      <w:r w:rsidRPr="004E72CC">
        <w:rPr>
          <w:rFonts w:ascii="Book Antiqua" w:hAnsi="Book Antiqua"/>
          <w:bCs/>
          <w:lang w:val="en-US"/>
        </w:rPr>
        <w:t xml:space="preserve">Demographic and clinical data as well as endoscopic activities were obtained from hospital records. </w:t>
      </w:r>
      <w:r w:rsidRPr="004E72CC">
        <w:rPr>
          <w:rFonts w:ascii="Book Antiqua" w:hAnsi="Book Antiqua"/>
          <w:lang w:val="en-US"/>
        </w:rPr>
        <w:t>We used the World Health Organization guidelines to diagnose anemia in our IBD patients. Males were diagnosed with anemia if they had hemoglobin values less than 13 g</w:t>
      </w:r>
      <w:r w:rsidRPr="00E25D33">
        <w:rPr>
          <w:rFonts w:ascii="Book Antiqua" w:hAnsi="Book Antiqua"/>
          <w:lang w:val="en-US"/>
        </w:rPr>
        <w:t>/dL, and females were diagnos</w:t>
      </w:r>
      <w:r w:rsidRPr="004E72CC">
        <w:rPr>
          <w:rFonts w:ascii="Book Antiqua" w:hAnsi="Book Antiqua"/>
          <w:lang w:val="en-US"/>
        </w:rPr>
        <w:t>ed if they had hemoglobin values less than 12 g/dL.</w:t>
      </w:r>
      <w:r w:rsidRPr="004E72CC">
        <w:rPr>
          <w:rFonts w:ascii="Book Antiqua" w:hAnsi="Book Antiqua" w:cs="Arial"/>
          <w:lang w:val="en-US"/>
        </w:rPr>
        <w:t xml:space="preserve"> Severe anemia was defined as having Hb values below 10 g/dL for both genders. We evaluated </w:t>
      </w:r>
      <w:r w:rsidRPr="004E72CC">
        <w:rPr>
          <w:rFonts w:ascii="Book Antiqua" w:hAnsi="Book Antiqua"/>
          <w:lang w:val="en-US"/>
        </w:rPr>
        <w:t>the lowest hemoglobin levels of ea</w:t>
      </w:r>
      <w:r w:rsidRPr="00E0787C">
        <w:rPr>
          <w:rFonts w:ascii="Book Antiqua" w:hAnsi="Book Antiqua"/>
          <w:lang w:val="en-US"/>
        </w:rPr>
        <w:t>ch patient during follow-up, as well as iron levels and other anemia parameters</w:t>
      </w:r>
      <w:r w:rsidRPr="004E72CC">
        <w:rPr>
          <w:rFonts w:ascii="Book Antiqua" w:hAnsi="Book Antiqua"/>
          <w:lang w:val="en-US"/>
        </w:rPr>
        <w:t>. The following were obtained from ea</w:t>
      </w:r>
      <w:r w:rsidRPr="00E0787C">
        <w:rPr>
          <w:rFonts w:ascii="Book Antiqua" w:hAnsi="Book Antiqua"/>
          <w:lang w:val="en-US"/>
        </w:rPr>
        <w:t xml:space="preserve">ch </w:t>
      </w:r>
      <w:r w:rsidRPr="00E0787C">
        <w:rPr>
          <w:rFonts w:ascii="Book Antiqua" w:hAnsi="Book Antiqua"/>
          <w:lang w:val="en-US"/>
        </w:rPr>
        <w:lastRenderedPageBreak/>
        <w:t xml:space="preserve">patient’s laboratory records: hemoglobin, hematocrit, mean corpuscular volume (MCV), mean corpuscular hemoglobin (MCH), mean corpuscular hemoglobin concentration (MCHC), serum ferritin, serum iron level, transferrin </w:t>
      </w:r>
      <w:r w:rsidRPr="004E72CC">
        <w:rPr>
          <w:rFonts w:ascii="Book Antiqua" w:hAnsi="Book Antiqua"/>
          <w:lang w:val="en-US"/>
        </w:rPr>
        <w:t>saturation (TS), serum iron binding capacity (SIBC), folic acid, vitamin B</w:t>
      </w:r>
      <w:r w:rsidRPr="004E72CC">
        <w:rPr>
          <w:rFonts w:ascii="Book Antiqua" w:hAnsi="Book Antiqua"/>
          <w:vertAlign w:val="subscript"/>
          <w:lang w:val="en-US"/>
        </w:rPr>
        <w:t>12</w:t>
      </w:r>
      <w:r w:rsidRPr="004E72CC">
        <w:rPr>
          <w:rFonts w:ascii="Book Antiqua" w:hAnsi="Book Antiqua"/>
          <w:lang w:val="en-US"/>
        </w:rPr>
        <w:t>, CRP, albumin. Three main classifications of anemia were selected in accordance with the European consensus on anemia in IBD, including IDA, CDA, and mixed anemia</w:t>
      </w:r>
      <w:r w:rsidRPr="004E72CC">
        <w:rPr>
          <w:rFonts w:ascii="Book Antiqua" w:hAnsi="Book Antiqua" w:cs="Arial"/>
          <w:lang w:val="en-US"/>
        </w:rPr>
        <w:t xml:space="preserve">. Aside from these, other causes of anemia were determined by examining the peripheral smear, and in cases with suspected macrocytic anemia, vitamin </w:t>
      </w:r>
      <w:r w:rsidRPr="004E72CC">
        <w:rPr>
          <w:rFonts w:ascii="Book Antiqua" w:hAnsi="Book Antiqua"/>
          <w:lang w:val="en-US"/>
        </w:rPr>
        <w:t>B</w:t>
      </w:r>
      <w:r w:rsidRPr="004E72CC">
        <w:rPr>
          <w:rFonts w:ascii="Book Antiqua" w:hAnsi="Book Antiqua"/>
          <w:vertAlign w:val="subscript"/>
          <w:lang w:val="en-US"/>
        </w:rPr>
        <w:t>12</w:t>
      </w:r>
      <w:r w:rsidRPr="004E72CC">
        <w:rPr>
          <w:rFonts w:ascii="Book Antiqua" w:hAnsi="Book Antiqua" w:cs="Arial"/>
          <w:lang w:val="en-US"/>
        </w:rPr>
        <w:t xml:space="preserve"> and folic acid levels were evaluated. </w:t>
      </w:r>
    </w:p>
    <w:p w14:paraId="0A1376E4" w14:textId="77777777" w:rsidR="00264113" w:rsidRPr="004E72CC" w:rsidRDefault="00264113" w:rsidP="00264113">
      <w:pPr>
        <w:snapToGrid w:val="0"/>
        <w:spacing w:line="360" w:lineRule="auto"/>
        <w:jc w:val="both"/>
        <w:rPr>
          <w:rFonts w:ascii="Book Antiqua" w:hAnsi="Book Antiqua"/>
          <w:b/>
          <w:color w:val="FF0000"/>
        </w:rPr>
      </w:pPr>
    </w:p>
    <w:p w14:paraId="27C4D16F" w14:textId="77777777" w:rsidR="00264113" w:rsidRPr="004E72CC" w:rsidRDefault="00264113" w:rsidP="00264113">
      <w:pPr>
        <w:snapToGrid w:val="0"/>
        <w:spacing w:line="360" w:lineRule="auto"/>
        <w:jc w:val="both"/>
        <w:rPr>
          <w:rFonts w:ascii="Book Antiqua" w:hAnsi="Book Antiqua"/>
          <w:b/>
          <w:i/>
          <w:color w:val="FF0000"/>
        </w:rPr>
      </w:pPr>
      <w:r w:rsidRPr="004E72CC">
        <w:rPr>
          <w:rFonts w:ascii="Book Antiqua" w:hAnsi="Book Antiqua"/>
          <w:b/>
          <w:i/>
        </w:rPr>
        <w:t>Resear</w:t>
      </w:r>
      <w:r w:rsidRPr="00E0787C">
        <w:rPr>
          <w:rFonts w:ascii="Book Antiqua" w:hAnsi="Book Antiqua"/>
          <w:b/>
          <w:i/>
        </w:rPr>
        <w:t>ch results</w:t>
      </w:r>
    </w:p>
    <w:p w14:paraId="17CF1109" w14:textId="4545695B" w:rsidR="008675D0" w:rsidRPr="004E72CC" w:rsidRDefault="008675D0" w:rsidP="008675D0">
      <w:pPr>
        <w:spacing w:line="360" w:lineRule="auto"/>
        <w:jc w:val="both"/>
        <w:rPr>
          <w:rFonts w:ascii="Book Antiqua" w:hAnsi="Book Antiqua" w:cs="Arial"/>
          <w:bCs/>
          <w:lang w:val="en-US"/>
        </w:rPr>
      </w:pPr>
      <w:r w:rsidRPr="004E72CC">
        <w:rPr>
          <w:rFonts w:ascii="Book Antiqua" w:hAnsi="Book Antiqua" w:cs="Arial"/>
          <w:lang w:val="en-US"/>
        </w:rPr>
        <w:t xml:space="preserve">This study included the data from 465 IBD patients </w:t>
      </w:r>
      <w:r w:rsidR="008F12DD">
        <w:rPr>
          <w:rFonts w:ascii="Book Antiqua" w:hAnsi="Book Antiqua" w:cs="Arial"/>
          <w:lang w:val="en-US"/>
        </w:rPr>
        <w:t>[</w:t>
      </w:r>
      <w:r w:rsidRPr="008F12DD">
        <w:rPr>
          <w:rFonts w:ascii="Book Antiqua" w:hAnsi="Book Antiqua" w:cs="Arial"/>
          <w:lang w:val="en-US"/>
        </w:rPr>
        <w:t>254 male (5</w:t>
      </w:r>
      <w:r w:rsidRPr="004E72CC">
        <w:rPr>
          <w:rFonts w:ascii="Book Antiqua" w:hAnsi="Book Antiqua" w:cs="Arial"/>
          <w:lang w:val="en-US"/>
        </w:rPr>
        <w:t>4.6%) and 211 female (45.4%)</w:t>
      </w:r>
      <w:r w:rsidR="005509B0">
        <w:rPr>
          <w:rFonts w:ascii="Book Antiqua" w:hAnsi="Book Antiqua" w:cs="Arial"/>
          <w:lang w:val="en-US"/>
        </w:rPr>
        <w:t>]</w:t>
      </w:r>
      <w:r w:rsidRPr="008F12DD">
        <w:rPr>
          <w:rFonts w:ascii="Book Antiqua" w:hAnsi="Book Antiqua" w:cs="Arial"/>
          <w:lang w:val="en-US"/>
        </w:rPr>
        <w:t xml:space="preserve"> who were newly diagnosed or were being followed-up with in our hospital. Of these patients, 257 (55.3%) were diagnosed with CD and 208 (44.7%) with UC. </w:t>
      </w:r>
      <w:r w:rsidRPr="004E72CC">
        <w:rPr>
          <w:rFonts w:ascii="Book Antiqua" w:hAnsi="Book Antiqua"/>
          <w:lang w:val="en-US"/>
        </w:rPr>
        <w:t>In our current study, 51.6% (</w:t>
      </w:r>
      <w:r w:rsidRPr="00F75508">
        <w:rPr>
          <w:rFonts w:ascii="Book Antiqua" w:hAnsi="Book Antiqua"/>
          <w:i/>
          <w:lang w:val="en-US"/>
        </w:rPr>
        <w:t>n</w:t>
      </w:r>
      <w:r w:rsidRPr="008F12DD">
        <w:rPr>
          <w:rFonts w:ascii="Book Antiqua" w:hAnsi="Book Antiqua"/>
          <w:lang w:val="en-US"/>
        </w:rPr>
        <w:t xml:space="preserve"> = 240) of the 465 IBD patients had anemia. </w:t>
      </w:r>
      <w:r w:rsidRPr="004E72CC">
        <w:rPr>
          <w:rFonts w:ascii="Book Antiqua" w:hAnsi="Book Antiqua"/>
          <w:lang w:val="en-US"/>
        </w:rPr>
        <w:t>Anemia frequency was higher in CD (57.6%) than in UC (44.2%) (</w:t>
      </w:r>
      <w:r w:rsidR="008F12DD" w:rsidRPr="008F12DD">
        <w:rPr>
          <w:rFonts w:ascii="Book Antiqua" w:hAnsi="Book Antiqua"/>
          <w:i/>
          <w:lang w:val="en-US"/>
        </w:rPr>
        <w:t>P</w:t>
      </w:r>
      <w:r w:rsidR="008F12DD">
        <w:rPr>
          <w:rFonts w:ascii="Book Antiqua" w:hAnsi="Book Antiqua"/>
          <w:lang w:val="en-US"/>
        </w:rPr>
        <w:t xml:space="preserve"> </w:t>
      </w:r>
      <w:r w:rsidRPr="008F12DD">
        <w:rPr>
          <w:rFonts w:ascii="Book Antiqua" w:hAnsi="Book Antiqua"/>
          <w:lang w:val="en-US"/>
        </w:rPr>
        <w:t>=</w:t>
      </w:r>
      <w:r w:rsidR="008F12DD">
        <w:rPr>
          <w:rFonts w:ascii="Book Antiqua" w:hAnsi="Book Antiqua"/>
          <w:lang w:val="en-US"/>
        </w:rPr>
        <w:t xml:space="preserve"> </w:t>
      </w:r>
      <w:r w:rsidRPr="008F12DD">
        <w:rPr>
          <w:rFonts w:ascii="Book Antiqua" w:hAnsi="Book Antiqua"/>
          <w:lang w:val="en-US"/>
        </w:rPr>
        <w:t>0.004). The mean hemoglobin concentration was 12.30 g/dL in IBD patients, and was significantly lower in those with CD (12.12 g/</w:t>
      </w:r>
      <w:r w:rsidR="0058386F" w:rsidRPr="008F12DD">
        <w:rPr>
          <w:rFonts w:ascii="Book Antiqua" w:hAnsi="Book Antiqua"/>
          <w:lang w:val="en-US"/>
        </w:rPr>
        <w:t>d</w:t>
      </w:r>
      <w:r w:rsidR="0058386F">
        <w:rPr>
          <w:rFonts w:ascii="Book Antiqua" w:hAnsi="Book Antiqua"/>
          <w:lang w:val="en-US"/>
        </w:rPr>
        <w:t>L</w:t>
      </w:r>
      <w:r w:rsidRPr="008F12DD">
        <w:rPr>
          <w:rFonts w:ascii="Book Antiqua" w:hAnsi="Book Antiqua"/>
          <w:lang w:val="en-US"/>
        </w:rPr>
        <w:t>) than in those with UC (12.54 g/</w:t>
      </w:r>
      <w:r w:rsidR="0058386F" w:rsidRPr="008F12DD">
        <w:rPr>
          <w:rFonts w:ascii="Book Antiqua" w:hAnsi="Book Antiqua"/>
          <w:lang w:val="en-US"/>
        </w:rPr>
        <w:t>d</w:t>
      </w:r>
      <w:r w:rsidR="0058386F">
        <w:rPr>
          <w:rFonts w:ascii="Book Antiqua" w:hAnsi="Book Antiqua"/>
          <w:lang w:val="en-US"/>
        </w:rPr>
        <w:t>L</w:t>
      </w:r>
      <w:r w:rsidRPr="008F12DD">
        <w:rPr>
          <w:rFonts w:ascii="Book Antiqua" w:hAnsi="Book Antiqua"/>
          <w:lang w:val="en-US"/>
        </w:rPr>
        <w:t>) (</w:t>
      </w:r>
      <w:bookmarkStart w:id="163" w:name="OLE_LINK72"/>
      <w:r w:rsidR="0058386F" w:rsidRPr="0058386F">
        <w:rPr>
          <w:rFonts w:ascii="Book Antiqua" w:hAnsi="Book Antiqua"/>
          <w:i/>
          <w:lang w:val="en-US"/>
        </w:rPr>
        <w:t>P</w:t>
      </w:r>
      <w:bookmarkEnd w:id="163"/>
      <w:r w:rsidRPr="008F12DD">
        <w:rPr>
          <w:rFonts w:ascii="Book Antiqua" w:hAnsi="Book Antiqua"/>
          <w:lang w:val="en-US"/>
        </w:rPr>
        <w:t xml:space="preserve"> = 0.03).</w:t>
      </w:r>
      <w:r w:rsidRPr="004E72CC">
        <w:rPr>
          <w:rFonts w:ascii="Book Antiqua" w:hAnsi="Book Antiqua" w:cs="Arial"/>
          <w:bCs/>
          <w:lang w:val="en-US"/>
        </w:rPr>
        <w:t xml:space="preserve"> </w:t>
      </w:r>
      <w:r w:rsidRPr="004E72CC">
        <w:rPr>
          <w:rFonts w:ascii="Book Antiqua" w:hAnsi="Book Antiqua"/>
          <w:lang w:val="en-US"/>
        </w:rPr>
        <w:t xml:space="preserve">Anemia was more common among women with IBD than men (64% </w:t>
      </w:r>
      <w:bookmarkStart w:id="164" w:name="OLE_LINK73"/>
      <w:r w:rsidRPr="00F75508">
        <w:rPr>
          <w:rFonts w:ascii="Book Antiqua" w:hAnsi="Book Antiqua"/>
          <w:i/>
          <w:lang w:val="en-US"/>
        </w:rPr>
        <w:t>vs</w:t>
      </w:r>
      <w:bookmarkEnd w:id="164"/>
      <w:r w:rsidRPr="0058386F">
        <w:rPr>
          <w:rFonts w:ascii="Book Antiqua" w:hAnsi="Book Antiqua"/>
          <w:lang w:val="en-US"/>
        </w:rPr>
        <w:t xml:space="preserve"> 41.3%, respectively, </w:t>
      </w:r>
      <w:r w:rsidR="0058386F" w:rsidRPr="0058386F">
        <w:rPr>
          <w:rFonts w:ascii="Book Antiqua" w:hAnsi="Book Antiqua"/>
          <w:i/>
          <w:lang w:val="en-US"/>
        </w:rPr>
        <w:t>P</w:t>
      </w:r>
      <w:r w:rsidR="0058386F">
        <w:rPr>
          <w:rFonts w:ascii="Book Antiqua" w:hAnsi="Book Antiqua"/>
          <w:lang w:val="en-US"/>
        </w:rPr>
        <w:t xml:space="preserve"> </w:t>
      </w:r>
      <w:r w:rsidRPr="0058386F">
        <w:rPr>
          <w:rFonts w:ascii="Book Antiqua" w:hAnsi="Book Antiqua"/>
          <w:lang w:val="en-US"/>
        </w:rPr>
        <w:t>&lt;</w:t>
      </w:r>
      <w:r w:rsidR="0058386F">
        <w:rPr>
          <w:rFonts w:ascii="Book Antiqua" w:hAnsi="Book Antiqua"/>
          <w:lang w:val="en-US"/>
        </w:rPr>
        <w:t xml:space="preserve"> </w:t>
      </w:r>
      <w:r w:rsidRPr="0058386F">
        <w:rPr>
          <w:rFonts w:ascii="Book Antiqua" w:hAnsi="Book Antiqua"/>
          <w:lang w:val="en-US"/>
        </w:rPr>
        <w:t>0.001). Severe anemia (Hb</w:t>
      </w:r>
      <w:r w:rsidR="0058386F">
        <w:rPr>
          <w:rFonts w:ascii="Book Antiqua" w:hAnsi="Book Antiqua"/>
          <w:lang w:val="en-US"/>
        </w:rPr>
        <w:t xml:space="preserve"> </w:t>
      </w:r>
      <w:r w:rsidRPr="0058386F">
        <w:rPr>
          <w:rFonts w:ascii="Book Antiqua" w:hAnsi="Book Antiqua"/>
          <w:lang w:val="en-US"/>
        </w:rPr>
        <w:t>&lt;</w:t>
      </w:r>
      <w:r w:rsidR="0058386F">
        <w:rPr>
          <w:rFonts w:ascii="Book Antiqua" w:hAnsi="Book Antiqua"/>
          <w:lang w:val="en-US"/>
        </w:rPr>
        <w:t xml:space="preserve"> </w:t>
      </w:r>
      <w:r w:rsidRPr="0058386F">
        <w:rPr>
          <w:rFonts w:ascii="Book Antiqua" w:hAnsi="Book Antiqua"/>
          <w:lang w:val="en-US"/>
        </w:rPr>
        <w:t>10 g/dL) was observed in 21.6% of patients with CD and 9.8% of patients with UC (</w:t>
      </w:r>
      <w:r w:rsidR="0058386F" w:rsidRPr="0058386F">
        <w:rPr>
          <w:rFonts w:ascii="Book Antiqua" w:hAnsi="Book Antiqua"/>
          <w:i/>
          <w:lang w:val="en-US"/>
        </w:rPr>
        <w:t>P</w:t>
      </w:r>
      <w:r w:rsidR="0058386F">
        <w:rPr>
          <w:rFonts w:ascii="Book Antiqua" w:hAnsi="Book Antiqua"/>
          <w:lang w:val="en-US"/>
        </w:rPr>
        <w:t xml:space="preserve"> </w:t>
      </w:r>
      <w:r w:rsidRPr="0058386F">
        <w:rPr>
          <w:rFonts w:ascii="Book Antiqua" w:hAnsi="Book Antiqua"/>
          <w:lang w:val="en-US"/>
        </w:rPr>
        <w:t>=</w:t>
      </w:r>
      <w:r w:rsidR="0058386F">
        <w:rPr>
          <w:rFonts w:ascii="Book Antiqua" w:hAnsi="Book Antiqua"/>
          <w:lang w:val="en-US"/>
        </w:rPr>
        <w:t xml:space="preserve"> </w:t>
      </w:r>
      <w:r w:rsidRPr="0058386F">
        <w:rPr>
          <w:rFonts w:ascii="Book Antiqua" w:hAnsi="Book Antiqua"/>
          <w:lang w:val="en-US"/>
        </w:rPr>
        <w:t>0.002). No relationship was found between the presence of anemia and disease</w:t>
      </w:r>
      <w:r w:rsidRPr="004E72CC">
        <w:rPr>
          <w:rFonts w:ascii="Book Antiqua" w:hAnsi="Book Antiqua"/>
          <w:lang w:val="en-US"/>
        </w:rPr>
        <w:t xml:space="preserve"> duration (</w:t>
      </w:r>
      <w:r w:rsidR="0058386F" w:rsidRPr="0058386F">
        <w:rPr>
          <w:rFonts w:ascii="Book Antiqua" w:hAnsi="Book Antiqua"/>
          <w:i/>
          <w:lang w:val="en-US"/>
        </w:rPr>
        <w:t>P</w:t>
      </w:r>
      <w:r w:rsidR="0058386F">
        <w:rPr>
          <w:rFonts w:ascii="Book Antiqua" w:hAnsi="Book Antiqua"/>
          <w:lang w:val="en-US"/>
        </w:rPr>
        <w:t xml:space="preserve"> </w:t>
      </w:r>
      <w:r w:rsidRPr="0058386F">
        <w:rPr>
          <w:rFonts w:ascii="Book Antiqua" w:hAnsi="Book Antiqua"/>
          <w:lang w:val="en-US"/>
        </w:rPr>
        <w:t>=</w:t>
      </w:r>
      <w:r w:rsidR="0058386F">
        <w:rPr>
          <w:rFonts w:ascii="Book Antiqua" w:hAnsi="Book Antiqua"/>
          <w:lang w:val="en-US"/>
        </w:rPr>
        <w:t xml:space="preserve"> </w:t>
      </w:r>
      <w:r w:rsidRPr="0058386F">
        <w:rPr>
          <w:rFonts w:ascii="Book Antiqua" w:hAnsi="Book Antiqua"/>
          <w:lang w:val="en-US"/>
        </w:rPr>
        <w:t>0.55). IDA was the most common type of anemia (29.9%). The frequencies of CDA and mixed anemia (IDA + CDA) were 8% and 3.4%, respectively. In addition, vitamin B</w:t>
      </w:r>
      <w:r w:rsidRPr="004E72CC">
        <w:rPr>
          <w:rFonts w:ascii="Book Antiqua" w:hAnsi="Book Antiqua"/>
          <w:vertAlign w:val="subscript"/>
          <w:lang w:val="en-US"/>
        </w:rPr>
        <w:t>12</w:t>
      </w:r>
      <w:r w:rsidRPr="004E72CC">
        <w:rPr>
          <w:rFonts w:ascii="Book Antiqua" w:hAnsi="Book Antiqua"/>
          <w:lang w:val="en-US"/>
        </w:rPr>
        <w:t xml:space="preserve"> / folic acid deficiency anemia was observed in 14% of the patients. Moreover, since anemia parameters were not evaluated during the follow-up of 15.3% of our IBD patients, the etiology of anemia was not clarified in these patients.</w:t>
      </w:r>
      <w:r w:rsidRPr="004E72CC">
        <w:rPr>
          <w:rFonts w:ascii="Book Antiqua" w:hAnsi="Book Antiqua" w:cs="Arial"/>
          <w:bCs/>
          <w:lang w:val="en-US"/>
        </w:rPr>
        <w:t xml:space="preserve"> </w:t>
      </w:r>
      <w:r w:rsidRPr="004E72CC">
        <w:rPr>
          <w:rFonts w:ascii="Book Antiqua" w:hAnsi="Book Antiqua"/>
          <w:lang w:val="en-US"/>
        </w:rPr>
        <w:t>Results of the current study indicate that anemia in IBD patients is more common among women than men, regardless of disease type or age. While elevated CRP levels (&gt; 5 mg/L) are indicative of active disease, CD and UC patients with CRP levels &gt;</w:t>
      </w:r>
      <w:r w:rsidR="0058386F">
        <w:rPr>
          <w:rFonts w:ascii="Book Antiqua" w:hAnsi="Book Antiqua"/>
          <w:lang w:val="en-US"/>
        </w:rPr>
        <w:t xml:space="preserve"> </w:t>
      </w:r>
      <w:r w:rsidRPr="0058386F">
        <w:rPr>
          <w:rFonts w:ascii="Book Antiqua" w:hAnsi="Book Antiqua"/>
          <w:lang w:val="en-US"/>
        </w:rPr>
        <w:t xml:space="preserve">5 mg/L had significantly higher rates of anemia compared to those with lower levels of CRP </w:t>
      </w:r>
      <w:r w:rsidRPr="0058386F">
        <w:rPr>
          <w:rFonts w:ascii="Book Antiqua" w:hAnsi="Book Antiqua"/>
          <w:lang w:val="en-US"/>
        </w:rPr>
        <w:lastRenderedPageBreak/>
        <w:t xml:space="preserve">(70.4% </w:t>
      </w:r>
      <w:r w:rsidRPr="00F75508">
        <w:rPr>
          <w:rFonts w:ascii="Book Antiqua" w:hAnsi="Book Antiqua"/>
          <w:i/>
          <w:lang w:val="en-US"/>
        </w:rPr>
        <w:t>vs</w:t>
      </w:r>
      <w:r w:rsidRPr="0058386F">
        <w:rPr>
          <w:rFonts w:ascii="Book Antiqua" w:hAnsi="Book Antiqua"/>
          <w:lang w:val="en-US"/>
        </w:rPr>
        <w:t xml:space="preserve"> 45.8%, res</w:t>
      </w:r>
      <w:r w:rsidRPr="004E72CC">
        <w:rPr>
          <w:rFonts w:ascii="Book Antiqua" w:hAnsi="Book Antiqua"/>
          <w:lang w:val="en-US"/>
        </w:rPr>
        <w:t xml:space="preserve">pectively, for CD patients, </w:t>
      </w:r>
      <w:r w:rsidR="0058386F" w:rsidRPr="0058386F">
        <w:rPr>
          <w:rFonts w:ascii="Book Antiqua" w:hAnsi="Book Antiqua"/>
          <w:i/>
          <w:lang w:val="en-US"/>
        </w:rPr>
        <w:t>P</w:t>
      </w:r>
      <w:r w:rsidR="0058386F">
        <w:rPr>
          <w:rFonts w:ascii="Book Antiqua" w:hAnsi="Book Antiqua"/>
          <w:lang w:val="en-US"/>
        </w:rPr>
        <w:t xml:space="preserve"> </w:t>
      </w:r>
      <w:r w:rsidRPr="0058386F">
        <w:rPr>
          <w:rFonts w:ascii="Book Antiqua" w:hAnsi="Book Antiqua"/>
          <w:lang w:val="en-US"/>
        </w:rPr>
        <w:t>&lt;</w:t>
      </w:r>
      <w:r w:rsidR="0058386F">
        <w:rPr>
          <w:rFonts w:ascii="Book Antiqua" w:hAnsi="Book Antiqua"/>
          <w:lang w:val="en-US"/>
        </w:rPr>
        <w:t xml:space="preserve"> </w:t>
      </w:r>
      <w:r w:rsidRPr="0058386F">
        <w:rPr>
          <w:rFonts w:ascii="Book Antiqua" w:hAnsi="Book Antiqua"/>
          <w:lang w:val="en-US"/>
        </w:rPr>
        <w:t xml:space="preserve">0.001, and 54.7% </w:t>
      </w:r>
      <w:r w:rsidRPr="00F75508">
        <w:rPr>
          <w:rFonts w:ascii="Book Antiqua" w:hAnsi="Book Antiqua"/>
          <w:i/>
          <w:lang w:val="en-US"/>
        </w:rPr>
        <w:t>vs</w:t>
      </w:r>
      <w:r w:rsidRPr="0058386F">
        <w:rPr>
          <w:rFonts w:ascii="Book Antiqua" w:hAnsi="Book Antiqua"/>
          <w:lang w:val="en-US"/>
        </w:rPr>
        <w:t xml:space="preserve"> 36.8%, respectively, for UC patients, </w:t>
      </w:r>
      <w:r w:rsidR="0058386F" w:rsidRPr="0058386F">
        <w:rPr>
          <w:rFonts w:ascii="Book Antiqua" w:hAnsi="Book Antiqua"/>
          <w:i/>
          <w:lang w:val="en-US"/>
        </w:rPr>
        <w:t>P</w:t>
      </w:r>
      <w:r w:rsidR="0058386F">
        <w:rPr>
          <w:rFonts w:ascii="Book Antiqua" w:hAnsi="Book Antiqua"/>
          <w:lang w:val="en-US"/>
        </w:rPr>
        <w:t xml:space="preserve"> </w:t>
      </w:r>
      <w:r w:rsidRPr="0058386F">
        <w:rPr>
          <w:rFonts w:ascii="Book Antiqua" w:hAnsi="Book Antiqua"/>
          <w:lang w:val="en-US"/>
        </w:rPr>
        <w:t>=</w:t>
      </w:r>
      <w:r w:rsidR="0058386F">
        <w:rPr>
          <w:rFonts w:ascii="Book Antiqua" w:hAnsi="Book Antiqua"/>
          <w:lang w:val="en-US"/>
        </w:rPr>
        <w:t xml:space="preserve"> </w:t>
      </w:r>
      <w:r w:rsidRPr="0058386F">
        <w:rPr>
          <w:rFonts w:ascii="Book Antiqua" w:hAnsi="Book Antiqua"/>
          <w:lang w:val="en-US"/>
        </w:rPr>
        <w:t xml:space="preserve">0.006). Data from this study indicate that disease type and duration do not have a significant effect on frequency of anemia in CD. Corticosteroid users had a higher </w:t>
      </w:r>
      <w:r w:rsidRPr="004E72CC">
        <w:rPr>
          <w:rFonts w:ascii="Book Antiqua" w:hAnsi="Book Antiqua"/>
          <w:lang w:val="en-US"/>
        </w:rPr>
        <w:t xml:space="preserve">frequency of anemia than non-users (80% </w:t>
      </w:r>
      <w:bookmarkStart w:id="165" w:name="OLE_LINK74"/>
      <w:bookmarkStart w:id="166" w:name="OLE_LINK75"/>
      <w:r w:rsidRPr="00F75508">
        <w:rPr>
          <w:rFonts w:ascii="Book Antiqua" w:hAnsi="Book Antiqua"/>
          <w:i/>
          <w:lang w:val="en-US"/>
        </w:rPr>
        <w:t>vs</w:t>
      </w:r>
      <w:bookmarkEnd w:id="165"/>
      <w:bookmarkEnd w:id="166"/>
      <w:r w:rsidRPr="0058386F">
        <w:rPr>
          <w:rFonts w:ascii="Book Antiqua" w:hAnsi="Book Antiqua"/>
          <w:lang w:val="en-US"/>
        </w:rPr>
        <w:t xml:space="preserve"> 47.8%, respectively, </w:t>
      </w:r>
      <w:r w:rsidR="0058386F" w:rsidRPr="0058386F">
        <w:rPr>
          <w:rFonts w:ascii="Book Antiqua" w:hAnsi="Book Antiqua"/>
          <w:i/>
          <w:lang w:val="en-US"/>
        </w:rPr>
        <w:t>P</w:t>
      </w:r>
      <w:r w:rsidR="0058386F">
        <w:rPr>
          <w:rFonts w:ascii="Book Antiqua" w:hAnsi="Book Antiqua"/>
          <w:lang w:val="en-US"/>
        </w:rPr>
        <w:t xml:space="preserve"> </w:t>
      </w:r>
      <w:r w:rsidRPr="0058386F">
        <w:rPr>
          <w:rFonts w:ascii="Book Antiqua" w:hAnsi="Book Antiqua"/>
          <w:lang w:val="en-US"/>
        </w:rPr>
        <w:t>&lt;</w:t>
      </w:r>
      <w:r w:rsidR="0058386F">
        <w:rPr>
          <w:rFonts w:ascii="Book Antiqua" w:hAnsi="Book Antiqua"/>
          <w:lang w:val="en-US"/>
        </w:rPr>
        <w:t xml:space="preserve"> </w:t>
      </w:r>
      <w:r w:rsidRPr="0058386F">
        <w:rPr>
          <w:rFonts w:ascii="Book Antiqua" w:hAnsi="Book Antiqua"/>
          <w:lang w:val="en-US"/>
        </w:rPr>
        <w:t>0.001). Further, those using immunomodulator therapy (su</w:t>
      </w:r>
      <w:r w:rsidRPr="00E0787C">
        <w:rPr>
          <w:rFonts w:ascii="Book Antiqua" w:hAnsi="Book Antiqua"/>
          <w:lang w:val="en-US"/>
        </w:rPr>
        <w:t xml:space="preserve">ch as AZA and MTX) also had higher rates of anemia than non-users (64.5% </w:t>
      </w:r>
      <w:r w:rsidRPr="00F75508">
        <w:rPr>
          <w:rFonts w:ascii="Book Antiqua" w:hAnsi="Book Antiqua"/>
          <w:i/>
          <w:lang w:val="en-US"/>
        </w:rPr>
        <w:t>vs</w:t>
      </w:r>
      <w:r w:rsidRPr="00E0787C">
        <w:rPr>
          <w:rFonts w:ascii="Book Antiqua" w:hAnsi="Book Antiqua"/>
          <w:lang w:val="en-US"/>
        </w:rPr>
        <w:t xml:space="preserve"> 41.9%, respectively, </w:t>
      </w:r>
      <w:r w:rsidR="0058386F" w:rsidRPr="0058386F">
        <w:rPr>
          <w:rFonts w:ascii="Book Antiqua" w:hAnsi="Book Antiqua"/>
          <w:i/>
          <w:lang w:val="en-US"/>
        </w:rPr>
        <w:t xml:space="preserve">P </w:t>
      </w:r>
      <w:r w:rsidRPr="00E0787C">
        <w:rPr>
          <w:rFonts w:ascii="Book Antiqua" w:hAnsi="Book Antiqua"/>
          <w:lang w:val="en-US"/>
        </w:rPr>
        <w:t>&lt;</w:t>
      </w:r>
      <w:r w:rsidR="0058386F">
        <w:rPr>
          <w:rFonts w:ascii="Book Antiqua" w:hAnsi="Book Antiqua"/>
          <w:lang w:val="en-US"/>
        </w:rPr>
        <w:t xml:space="preserve"> </w:t>
      </w:r>
      <w:r w:rsidRPr="00E0787C">
        <w:rPr>
          <w:rFonts w:ascii="Book Antiqua" w:hAnsi="Book Antiqua"/>
          <w:lang w:val="en-US"/>
        </w:rPr>
        <w:t>0.001). Vitamin B</w:t>
      </w:r>
      <w:r w:rsidRPr="004E72CC">
        <w:rPr>
          <w:rFonts w:ascii="Book Antiqua" w:hAnsi="Book Antiqua"/>
          <w:vertAlign w:val="subscript"/>
          <w:lang w:val="en-US"/>
        </w:rPr>
        <w:t>12</w:t>
      </w:r>
      <w:r w:rsidRPr="004E72CC">
        <w:rPr>
          <w:rFonts w:ascii="Book Antiqua" w:hAnsi="Book Antiqua"/>
          <w:lang w:val="en-US"/>
        </w:rPr>
        <w:t>/folic acid deficiency anemia was the most common type of anemia in this immunomodulator users group. On the other hand, anemia rates were significantly higher among patients who did not use anti-TNF, compa</w:t>
      </w:r>
      <w:r w:rsidRPr="0058386F">
        <w:rPr>
          <w:rFonts w:ascii="Book Antiqua" w:hAnsi="Book Antiqua"/>
          <w:lang w:val="en-US"/>
        </w:rPr>
        <w:t xml:space="preserve">red to those who did use anti-TNF (69.1% </w:t>
      </w:r>
      <w:r w:rsidRPr="00F75508">
        <w:rPr>
          <w:rFonts w:ascii="Book Antiqua" w:hAnsi="Book Antiqua"/>
          <w:i/>
          <w:lang w:val="en-US"/>
        </w:rPr>
        <w:t>vs</w:t>
      </w:r>
      <w:r w:rsidRPr="0058386F">
        <w:rPr>
          <w:rFonts w:ascii="Book Antiqua" w:hAnsi="Book Antiqua"/>
          <w:lang w:val="en-US"/>
        </w:rPr>
        <w:t xml:space="preserve"> 30.9%, respectively,</w:t>
      </w:r>
      <w:r w:rsidRPr="004E72CC">
        <w:rPr>
          <w:rFonts w:ascii="Book Antiqua" w:hAnsi="Book Antiqua"/>
          <w:lang w:val="en-US"/>
        </w:rPr>
        <w:t xml:space="preserve"> </w:t>
      </w:r>
      <w:r w:rsidR="0058386F" w:rsidRPr="0058386F">
        <w:rPr>
          <w:rFonts w:ascii="Book Antiqua" w:hAnsi="Book Antiqua"/>
          <w:i/>
          <w:lang w:val="en-US"/>
        </w:rPr>
        <w:t>P</w:t>
      </w:r>
      <w:r w:rsidRPr="0058386F">
        <w:rPr>
          <w:rFonts w:ascii="Book Antiqua" w:hAnsi="Book Antiqua"/>
          <w:lang w:val="en-US"/>
        </w:rPr>
        <w:t xml:space="preserve"> = 0.001). In UC patients, left colon involvement and pancolitis involvement were associated with a higher incidence of anemia than proctitis involvement. IDA is significantly more prevalent in UC with pancolitis involvement compared to other types of di</w:t>
      </w:r>
      <w:r w:rsidRPr="004E72CC">
        <w:rPr>
          <w:rFonts w:ascii="Book Antiqua" w:hAnsi="Book Antiqua"/>
          <w:lang w:val="en-US"/>
        </w:rPr>
        <w:t>sease involvement (</w:t>
      </w:r>
      <w:r w:rsidR="0058386F" w:rsidRPr="0058386F">
        <w:rPr>
          <w:rFonts w:ascii="Book Antiqua" w:hAnsi="Book Antiqua"/>
          <w:i/>
          <w:lang w:val="en-US"/>
        </w:rPr>
        <w:t>P</w:t>
      </w:r>
      <w:r w:rsidR="0058386F">
        <w:rPr>
          <w:rFonts w:ascii="Book Antiqua" w:hAnsi="Book Antiqua"/>
          <w:lang w:val="en-US"/>
        </w:rPr>
        <w:t xml:space="preserve"> </w:t>
      </w:r>
      <w:r w:rsidRPr="0058386F">
        <w:rPr>
          <w:rFonts w:ascii="Book Antiqua" w:hAnsi="Book Antiqua"/>
          <w:lang w:val="en-US"/>
        </w:rPr>
        <w:t>&lt;</w:t>
      </w:r>
      <w:r w:rsidR="0058386F">
        <w:rPr>
          <w:rFonts w:ascii="Book Antiqua" w:hAnsi="Book Antiqua"/>
          <w:lang w:val="en-US"/>
        </w:rPr>
        <w:t xml:space="preserve"> </w:t>
      </w:r>
      <w:r w:rsidRPr="0058386F">
        <w:rPr>
          <w:rFonts w:ascii="Book Antiqua" w:hAnsi="Book Antiqua"/>
          <w:lang w:val="en-US"/>
        </w:rPr>
        <w:t>0.001).</w:t>
      </w:r>
    </w:p>
    <w:p w14:paraId="7DCD347F" w14:textId="28F1E5F7" w:rsidR="008675D0" w:rsidRPr="00F75508" w:rsidRDefault="0058386F" w:rsidP="008675D0">
      <w:pPr>
        <w:spacing w:line="360" w:lineRule="auto"/>
        <w:jc w:val="both"/>
        <w:rPr>
          <w:rFonts w:ascii="Book Antiqua" w:hAnsi="Book Antiqua"/>
          <w:bCs/>
          <w:lang w:val="en-US"/>
        </w:rPr>
      </w:pPr>
      <w:r>
        <w:rPr>
          <w:rFonts w:ascii="Book Antiqua" w:hAnsi="Book Antiqua"/>
          <w:lang w:val="en-US"/>
        </w:rPr>
        <w:t xml:space="preserve">  </w:t>
      </w:r>
      <w:r w:rsidR="008675D0" w:rsidRPr="0058386F">
        <w:rPr>
          <w:rFonts w:ascii="Book Antiqua" w:hAnsi="Book Antiqua"/>
          <w:lang w:val="en-US"/>
        </w:rPr>
        <w:t xml:space="preserve">Approximately 50.4% of all of the IBD patients who were diagnosed with anemia in this study received treatment. Of the patients with IDA, 23% received oral iron therapy and 40.3% received parenteral iron preparations. Of those </w:t>
      </w:r>
      <w:r w:rsidR="008675D0" w:rsidRPr="004E72CC">
        <w:rPr>
          <w:rFonts w:ascii="Book Antiqua" w:hAnsi="Book Antiqua"/>
          <w:lang w:val="en-US"/>
        </w:rPr>
        <w:t>with B</w:t>
      </w:r>
      <w:r w:rsidR="008675D0" w:rsidRPr="004E72CC">
        <w:rPr>
          <w:rFonts w:ascii="Book Antiqua" w:hAnsi="Book Antiqua"/>
          <w:vertAlign w:val="subscript"/>
          <w:lang w:val="en-US"/>
        </w:rPr>
        <w:t>12</w:t>
      </w:r>
      <w:r w:rsidR="008675D0" w:rsidRPr="004E72CC">
        <w:rPr>
          <w:rFonts w:ascii="Book Antiqua" w:hAnsi="Book Antiqua"/>
          <w:lang w:val="en-US"/>
        </w:rPr>
        <w:t>/ folic acid anemia, 53.3% received B</w:t>
      </w:r>
      <w:r w:rsidR="008675D0" w:rsidRPr="004E72CC">
        <w:rPr>
          <w:rFonts w:ascii="Book Antiqua" w:hAnsi="Book Antiqua"/>
          <w:vertAlign w:val="subscript"/>
          <w:lang w:val="en-US"/>
        </w:rPr>
        <w:t>12</w:t>
      </w:r>
      <w:r w:rsidR="008675D0" w:rsidRPr="004E72CC">
        <w:rPr>
          <w:rFonts w:ascii="Book Antiqua" w:hAnsi="Book Antiqua"/>
          <w:lang w:val="en-US"/>
        </w:rPr>
        <w:t xml:space="preserve">/folic acid treatment. None of the patients in the current study received blood transfusions or were given erythropoiesis stimulant agents. </w:t>
      </w:r>
    </w:p>
    <w:p w14:paraId="4C14A148" w14:textId="77777777" w:rsidR="00264113" w:rsidRPr="004E72CC" w:rsidRDefault="00264113" w:rsidP="00264113">
      <w:pPr>
        <w:snapToGrid w:val="0"/>
        <w:spacing w:line="360" w:lineRule="auto"/>
        <w:ind w:left="1"/>
        <w:jc w:val="both"/>
        <w:rPr>
          <w:rFonts w:ascii="Book Antiqua" w:hAnsi="Book Antiqua" w:cs="Segoe UI"/>
          <w:shd w:val="clear" w:color="auto" w:fill="FFFFFF"/>
        </w:rPr>
      </w:pPr>
    </w:p>
    <w:p w14:paraId="4E7C324E" w14:textId="46AB253F" w:rsidR="00264113" w:rsidRPr="004E72CC" w:rsidRDefault="00264113" w:rsidP="00264113">
      <w:pPr>
        <w:snapToGrid w:val="0"/>
        <w:spacing w:line="360" w:lineRule="auto"/>
        <w:jc w:val="both"/>
        <w:rPr>
          <w:rFonts w:ascii="Book Antiqua" w:hAnsi="Book Antiqua" w:cs="Segoe UI"/>
          <w:b/>
          <w:i/>
          <w:color w:val="FF0000"/>
          <w:shd w:val="clear" w:color="auto" w:fill="FFFFFF"/>
        </w:rPr>
      </w:pPr>
      <w:r w:rsidRPr="004E72CC">
        <w:rPr>
          <w:rFonts w:ascii="Book Antiqua" w:hAnsi="Book Antiqua"/>
          <w:b/>
          <w:i/>
        </w:rPr>
        <w:t>Resear</w:t>
      </w:r>
      <w:r w:rsidRPr="00E0787C">
        <w:rPr>
          <w:rFonts w:ascii="Book Antiqua" w:hAnsi="Book Antiqua"/>
          <w:b/>
          <w:i/>
        </w:rPr>
        <w:t>ch conclusions</w:t>
      </w:r>
    </w:p>
    <w:p w14:paraId="35631DAB" w14:textId="12E7A0C7" w:rsidR="008675D0" w:rsidRPr="004E72CC" w:rsidRDefault="008675D0" w:rsidP="008675D0">
      <w:pPr>
        <w:spacing w:line="360" w:lineRule="auto"/>
        <w:jc w:val="both"/>
        <w:rPr>
          <w:rFonts w:ascii="Book Antiqua" w:hAnsi="Book Antiqua"/>
          <w:lang w:val="en-US"/>
        </w:rPr>
      </w:pPr>
      <w:r w:rsidRPr="0058386F">
        <w:rPr>
          <w:rFonts w:ascii="Book Antiqua" w:hAnsi="Book Antiqua"/>
          <w:lang w:val="en-US"/>
        </w:rPr>
        <w:t>Since almost half of IBD patients have anem</w:t>
      </w:r>
      <w:r w:rsidRPr="004E72CC">
        <w:rPr>
          <w:rFonts w:ascii="Book Antiqua" w:hAnsi="Book Antiqua"/>
          <w:lang w:val="en-US"/>
        </w:rPr>
        <w:t xml:space="preserve">ia, and because anemia causes a multitude of negative effects on patients, its presence should be further examined, and if necessary, treated with regards to disease activity. It should be kept in mind that the most common cause of anemia is iron deficiency. Female gender and disease activity are important risk factors in the development of anemia, and disease involvement is an additional factor in UC. Treatment rates should be increased in IBD patients with anemia. To conclude, anemia should be recognized, investigated, and treated in IBD patients. </w:t>
      </w:r>
    </w:p>
    <w:p w14:paraId="230AB580" w14:textId="77777777" w:rsidR="00264113" w:rsidRPr="004E72CC" w:rsidRDefault="00264113" w:rsidP="00264113">
      <w:pPr>
        <w:snapToGrid w:val="0"/>
        <w:spacing w:line="360" w:lineRule="auto"/>
        <w:jc w:val="both"/>
        <w:rPr>
          <w:rFonts w:ascii="Book Antiqua" w:hAnsi="Book Antiqua" w:cs="Segoe UI"/>
          <w:color w:val="FF0000"/>
          <w:shd w:val="clear" w:color="auto" w:fill="FFFFFF"/>
        </w:rPr>
      </w:pPr>
    </w:p>
    <w:p w14:paraId="6CE1A51C" w14:textId="77777777" w:rsidR="00264113" w:rsidRPr="00E0787C" w:rsidRDefault="00264113" w:rsidP="00264113">
      <w:pPr>
        <w:snapToGrid w:val="0"/>
        <w:spacing w:line="360" w:lineRule="auto"/>
        <w:rPr>
          <w:rFonts w:ascii="Book Antiqua" w:hAnsi="Book Antiqua" w:cs="Segoe UI"/>
          <w:b/>
          <w:i/>
          <w:shd w:val="clear" w:color="auto" w:fill="FFFFFF"/>
        </w:rPr>
      </w:pPr>
      <w:r w:rsidRPr="004E72CC">
        <w:rPr>
          <w:rFonts w:ascii="Book Antiqua" w:hAnsi="Book Antiqua" w:cs="Segoe UI"/>
          <w:b/>
          <w:i/>
          <w:shd w:val="clear" w:color="auto" w:fill="FFFFFF"/>
        </w:rPr>
        <w:lastRenderedPageBreak/>
        <w:t>Resear</w:t>
      </w:r>
      <w:r w:rsidRPr="00E0787C">
        <w:rPr>
          <w:rFonts w:ascii="Book Antiqua" w:hAnsi="Book Antiqua" w:cs="Segoe UI"/>
          <w:b/>
          <w:i/>
          <w:shd w:val="clear" w:color="auto" w:fill="FFFFFF"/>
        </w:rPr>
        <w:t>ch perspectives</w:t>
      </w:r>
    </w:p>
    <w:p w14:paraId="1ECB2AD8" w14:textId="5B0FA82A" w:rsidR="008675D0" w:rsidRPr="004E72CC" w:rsidRDefault="008675D0" w:rsidP="008675D0">
      <w:pPr>
        <w:spacing w:line="360" w:lineRule="auto"/>
        <w:jc w:val="both"/>
        <w:rPr>
          <w:rFonts w:ascii="Book Antiqua" w:hAnsi="Book Antiqua"/>
          <w:lang w:val="en-US"/>
        </w:rPr>
      </w:pPr>
      <w:r w:rsidRPr="004E72CC">
        <w:rPr>
          <w:rFonts w:ascii="Book Antiqua" w:hAnsi="Book Antiqua"/>
          <w:lang w:val="en-US"/>
        </w:rPr>
        <w:t xml:space="preserve">One of the limitations of our current study is that it was retrospective, and therefore, we did not have any information about disease activity or smoking status. However, since we could not obtain or confirm the accuracy of the patients’ clinical activity indices, we utilized CRP levels to interpret disease activity. Moreover, we could not evaluate the etiology of anemia in 15.3% of our patients since their anemia parameters were not evaluated during follow-up. In addition, we did not separately evaluate the anemia rates of pediatric onset IBD and adult onset IBD, and therefore, we could not compare the frequency of anemia between these groups. Further, we did not evaluate anemia-associated symptom rates or quality of life in this study. Lastly, the current study may not represent the general Turkish patient population as it was conducted with IBD patients with more severe and problematic conditions who were being followed at a tertiary referral university hospital. </w:t>
      </w:r>
    </w:p>
    <w:p w14:paraId="6561DD65" w14:textId="77777777" w:rsidR="00A2273F" w:rsidRPr="004E72CC" w:rsidRDefault="00A2273F">
      <w:pPr>
        <w:rPr>
          <w:rFonts w:ascii="Book Antiqua" w:hAnsi="Book Antiqua"/>
          <w:b/>
          <w:color w:val="000000" w:themeColor="text1"/>
          <w:lang w:val="en-US"/>
        </w:rPr>
      </w:pPr>
      <w:r w:rsidRPr="004E72CC">
        <w:rPr>
          <w:rFonts w:ascii="Book Antiqua" w:hAnsi="Book Antiqua"/>
          <w:b/>
          <w:color w:val="000000" w:themeColor="text1"/>
          <w:lang w:val="en-US"/>
        </w:rPr>
        <w:br w:type="page"/>
      </w:r>
    </w:p>
    <w:p w14:paraId="5C261383" w14:textId="48D3188E" w:rsidR="005B0D5E" w:rsidRPr="004E72CC" w:rsidRDefault="00006144" w:rsidP="008A0A74">
      <w:pPr>
        <w:snapToGrid w:val="0"/>
        <w:spacing w:line="360" w:lineRule="auto"/>
        <w:jc w:val="both"/>
        <w:rPr>
          <w:rFonts w:ascii="Book Antiqua" w:hAnsi="Book Antiqua"/>
          <w:b/>
          <w:color w:val="000000" w:themeColor="text1"/>
          <w:lang w:val="en-US"/>
        </w:rPr>
      </w:pPr>
      <w:r w:rsidRPr="004E72CC">
        <w:rPr>
          <w:rFonts w:ascii="Book Antiqua" w:hAnsi="Book Antiqua"/>
          <w:b/>
          <w:color w:val="000000" w:themeColor="text1"/>
          <w:lang w:val="en-US"/>
        </w:rPr>
        <w:lastRenderedPageBreak/>
        <w:t>REFERENCES</w:t>
      </w:r>
    </w:p>
    <w:p w14:paraId="5A0FE193"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1 </w:t>
      </w:r>
      <w:r w:rsidRPr="00DF14B8">
        <w:rPr>
          <w:rFonts w:ascii="Book Antiqua" w:hAnsi="Book Antiqua"/>
          <w:b/>
          <w:bCs/>
          <w:color w:val="000000" w:themeColor="text1"/>
          <w:lang w:val="en-US"/>
        </w:rPr>
        <w:t>Danese S</w:t>
      </w:r>
      <w:r w:rsidRPr="00DF14B8">
        <w:rPr>
          <w:rFonts w:ascii="Book Antiqua" w:hAnsi="Book Antiqua"/>
          <w:color w:val="000000" w:themeColor="text1"/>
          <w:lang w:val="en-US"/>
        </w:rPr>
        <w:t>, Hoffman C, Vel S, Greco M, Szabo H, Wilson B, Avedano L. Anaemia from a patient perspective in inflammatory bowel disease: results from the European Federation of Crohn's and Ulcerative Colitis Association's online survey. </w:t>
      </w:r>
      <w:r w:rsidRPr="00DF14B8">
        <w:rPr>
          <w:rFonts w:ascii="Book Antiqua" w:hAnsi="Book Antiqua"/>
          <w:i/>
          <w:iCs/>
          <w:color w:val="000000" w:themeColor="text1"/>
          <w:lang w:val="en-US"/>
        </w:rPr>
        <w:t>Eur J Gastroenterol Hepatol</w:t>
      </w:r>
      <w:r w:rsidRPr="00DF14B8">
        <w:rPr>
          <w:rFonts w:ascii="Book Antiqua" w:hAnsi="Book Antiqua"/>
          <w:color w:val="000000" w:themeColor="text1"/>
          <w:lang w:val="en-US"/>
        </w:rPr>
        <w:t> 2014; </w:t>
      </w:r>
      <w:r w:rsidRPr="00DF14B8">
        <w:rPr>
          <w:rFonts w:ascii="Book Antiqua" w:hAnsi="Book Antiqua"/>
          <w:b/>
          <w:bCs/>
          <w:color w:val="000000" w:themeColor="text1"/>
          <w:lang w:val="en-US"/>
        </w:rPr>
        <w:t>26</w:t>
      </w:r>
      <w:r w:rsidRPr="00DF14B8">
        <w:rPr>
          <w:rFonts w:ascii="Book Antiqua" w:hAnsi="Book Antiqua"/>
          <w:color w:val="000000" w:themeColor="text1"/>
          <w:lang w:val="en-US"/>
        </w:rPr>
        <w:t>: 1385-1391 [PMID: 25264983 DOI: 10.1097/MEG.0000000000000200]</w:t>
      </w:r>
    </w:p>
    <w:p w14:paraId="2E4DA6A2"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2 </w:t>
      </w:r>
      <w:r w:rsidRPr="00DF14B8">
        <w:rPr>
          <w:rFonts w:ascii="Book Antiqua" w:hAnsi="Book Antiqua"/>
          <w:b/>
          <w:bCs/>
          <w:color w:val="000000" w:themeColor="text1"/>
          <w:lang w:val="en-US"/>
        </w:rPr>
        <w:t>Gisbert JP</w:t>
      </w:r>
      <w:r w:rsidRPr="00DF14B8">
        <w:rPr>
          <w:rFonts w:ascii="Book Antiqua" w:hAnsi="Book Antiqua"/>
          <w:color w:val="000000" w:themeColor="text1"/>
          <w:lang w:val="en-US"/>
        </w:rPr>
        <w:t>, Gomollón F. Common misconceptions in the diagnosis and management of anemia in inflammatory bowel disease. </w:t>
      </w:r>
      <w:r w:rsidRPr="00DF14B8">
        <w:rPr>
          <w:rFonts w:ascii="Book Antiqua" w:hAnsi="Book Antiqua"/>
          <w:i/>
          <w:iCs/>
          <w:color w:val="000000" w:themeColor="text1"/>
          <w:lang w:val="en-US"/>
        </w:rPr>
        <w:t>Am J Gastroenterol</w:t>
      </w:r>
      <w:r w:rsidRPr="00DF14B8">
        <w:rPr>
          <w:rFonts w:ascii="Book Antiqua" w:hAnsi="Book Antiqua"/>
          <w:color w:val="000000" w:themeColor="text1"/>
          <w:lang w:val="en-US"/>
        </w:rPr>
        <w:t> 2008; </w:t>
      </w:r>
      <w:r w:rsidRPr="00DF14B8">
        <w:rPr>
          <w:rFonts w:ascii="Book Antiqua" w:hAnsi="Book Antiqua"/>
          <w:b/>
          <w:bCs/>
          <w:color w:val="000000" w:themeColor="text1"/>
          <w:lang w:val="en-US"/>
        </w:rPr>
        <w:t>103</w:t>
      </w:r>
      <w:r w:rsidRPr="00DF14B8">
        <w:rPr>
          <w:rFonts w:ascii="Book Antiqua" w:hAnsi="Book Antiqua"/>
          <w:color w:val="000000" w:themeColor="text1"/>
          <w:lang w:val="en-US"/>
        </w:rPr>
        <w:t>: 1299-1307 [PMID: 18477354 DOI: 10.1111/j.1572-0241.2008.01846.x]</w:t>
      </w:r>
    </w:p>
    <w:p w14:paraId="73FE73B5"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3 </w:t>
      </w:r>
      <w:r w:rsidRPr="00DF14B8">
        <w:rPr>
          <w:rFonts w:ascii="Book Antiqua" w:hAnsi="Book Antiqua"/>
          <w:b/>
          <w:bCs/>
          <w:color w:val="000000" w:themeColor="text1"/>
          <w:lang w:val="en-US"/>
        </w:rPr>
        <w:t>Kulnigg S</w:t>
      </w:r>
      <w:r w:rsidRPr="00DF14B8">
        <w:rPr>
          <w:rFonts w:ascii="Book Antiqua" w:hAnsi="Book Antiqua"/>
          <w:color w:val="000000" w:themeColor="text1"/>
          <w:lang w:val="en-US"/>
        </w:rPr>
        <w:t>, Gasche C. Systematic review: managing anaemia in Crohn's disease. </w:t>
      </w:r>
      <w:r w:rsidRPr="00DF14B8">
        <w:rPr>
          <w:rFonts w:ascii="Book Antiqua" w:hAnsi="Book Antiqua"/>
          <w:i/>
          <w:iCs/>
          <w:color w:val="000000" w:themeColor="text1"/>
          <w:lang w:val="en-US"/>
        </w:rPr>
        <w:t>Aliment Pharmacol Ther</w:t>
      </w:r>
      <w:r w:rsidRPr="00DF14B8">
        <w:rPr>
          <w:rFonts w:ascii="Book Antiqua" w:hAnsi="Book Antiqua"/>
          <w:color w:val="000000" w:themeColor="text1"/>
          <w:lang w:val="en-US"/>
        </w:rPr>
        <w:t> 2006; </w:t>
      </w:r>
      <w:r w:rsidRPr="00DF14B8">
        <w:rPr>
          <w:rFonts w:ascii="Book Antiqua" w:hAnsi="Book Antiqua"/>
          <w:b/>
          <w:bCs/>
          <w:color w:val="000000" w:themeColor="text1"/>
          <w:lang w:val="en-US"/>
        </w:rPr>
        <w:t>24</w:t>
      </w:r>
      <w:r w:rsidRPr="00DF14B8">
        <w:rPr>
          <w:rFonts w:ascii="Book Antiqua" w:hAnsi="Book Antiqua"/>
          <w:color w:val="000000" w:themeColor="text1"/>
          <w:lang w:val="en-US"/>
        </w:rPr>
        <w:t>: 1507-1523 [PMID: 17206940 DOI: 10.1111/j.1365-2036.2006.03146.x]</w:t>
      </w:r>
    </w:p>
    <w:p w14:paraId="03A9E550"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4 </w:t>
      </w:r>
      <w:r w:rsidRPr="00DF14B8">
        <w:rPr>
          <w:rFonts w:ascii="Book Antiqua" w:hAnsi="Book Antiqua"/>
          <w:b/>
          <w:bCs/>
          <w:color w:val="000000" w:themeColor="text1"/>
          <w:lang w:val="en-US"/>
        </w:rPr>
        <w:t>Filmann N</w:t>
      </w:r>
      <w:r w:rsidRPr="00DF14B8">
        <w:rPr>
          <w:rFonts w:ascii="Book Antiqua" w:hAnsi="Book Antiqua"/>
          <w:color w:val="000000" w:themeColor="text1"/>
          <w:lang w:val="en-US"/>
        </w:rPr>
        <w:t>, Rey J, Schneeweiss S, Ardizzone S, Bager P, Bergamaschi G, Koutroubakis I, Lindgren S, Morena Fde L, Moum B, Vavricka SR, Schröder O, Herrmann E, Blumenstein I. Prevalence of anemia in inflammatory bowel diseases in european countries: a systematic review and individual patient data meta-analysis. </w:t>
      </w:r>
      <w:r w:rsidRPr="00DF14B8">
        <w:rPr>
          <w:rFonts w:ascii="Book Antiqua" w:hAnsi="Book Antiqua"/>
          <w:i/>
          <w:iCs/>
          <w:color w:val="000000" w:themeColor="text1"/>
          <w:lang w:val="en-US"/>
        </w:rPr>
        <w:t>Inflamm Bowel Dis</w:t>
      </w:r>
      <w:r w:rsidRPr="00DF14B8">
        <w:rPr>
          <w:rFonts w:ascii="Book Antiqua" w:hAnsi="Book Antiqua"/>
          <w:color w:val="000000" w:themeColor="text1"/>
          <w:lang w:val="en-US"/>
        </w:rPr>
        <w:t> 2014; </w:t>
      </w:r>
      <w:r w:rsidRPr="00DF14B8">
        <w:rPr>
          <w:rFonts w:ascii="Book Antiqua" w:hAnsi="Book Antiqua"/>
          <w:b/>
          <w:bCs/>
          <w:color w:val="000000" w:themeColor="text1"/>
          <w:lang w:val="en-US"/>
        </w:rPr>
        <w:t>20</w:t>
      </w:r>
      <w:r w:rsidRPr="00DF14B8">
        <w:rPr>
          <w:rFonts w:ascii="Book Antiqua" w:hAnsi="Book Antiqua"/>
          <w:color w:val="000000" w:themeColor="text1"/>
          <w:lang w:val="en-US"/>
        </w:rPr>
        <w:t>: 936-945 [PMID: 24572205 DOI: 10.1097/01.MIB.0000442728.74340.fd]</w:t>
      </w:r>
    </w:p>
    <w:p w14:paraId="27CED999"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5 </w:t>
      </w:r>
      <w:r w:rsidRPr="00DF14B8">
        <w:rPr>
          <w:rFonts w:ascii="Book Antiqua" w:hAnsi="Book Antiqua"/>
          <w:b/>
          <w:bCs/>
          <w:color w:val="000000" w:themeColor="text1"/>
          <w:lang w:val="en-US"/>
        </w:rPr>
        <w:t>Koutroubakis IE</w:t>
      </w:r>
      <w:r w:rsidRPr="00DF14B8">
        <w:rPr>
          <w:rFonts w:ascii="Book Antiqua" w:hAnsi="Book Antiqua"/>
          <w:color w:val="000000" w:themeColor="text1"/>
          <w:lang w:val="en-US"/>
        </w:rPr>
        <w:t>, Ramos-Rivers C, Regueiro M, Koutroumpakis E, Click B, Schwartz M, Swoger J, Baidoo L, Hashash JG, Barrie A, Dunn MA, Binion DG. Five-Year Period Prevalence and Characteristics of Anemia in a Large US Inflammatory Bowel Disease Cohort. </w:t>
      </w:r>
      <w:r w:rsidRPr="00DF14B8">
        <w:rPr>
          <w:rFonts w:ascii="Book Antiqua" w:hAnsi="Book Antiqua"/>
          <w:i/>
          <w:iCs/>
          <w:color w:val="000000" w:themeColor="text1"/>
          <w:lang w:val="en-US"/>
        </w:rPr>
        <w:t>J Clin Gastroenterol</w:t>
      </w:r>
      <w:r w:rsidRPr="00DF14B8">
        <w:rPr>
          <w:rFonts w:ascii="Book Antiqua" w:hAnsi="Book Antiqua"/>
          <w:color w:val="000000" w:themeColor="text1"/>
          <w:lang w:val="en-US"/>
        </w:rPr>
        <w:t> 2016; </w:t>
      </w:r>
      <w:r w:rsidRPr="00DF14B8">
        <w:rPr>
          <w:rFonts w:ascii="Book Antiqua" w:hAnsi="Book Antiqua"/>
          <w:b/>
          <w:bCs/>
          <w:color w:val="000000" w:themeColor="text1"/>
          <w:lang w:val="en-US"/>
        </w:rPr>
        <w:t>50</w:t>
      </w:r>
      <w:r w:rsidRPr="00DF14B8">
        <w:rPr>
          <w:rFonts w:ascii="Book Antiqua" w:hAnsi="Book Antiqua"/>
          <w:color w:val="000000" w:themeColor="text1"/>
          <w:lang w:val="en-US"/>
        </w:rPr>
        <w:t>: 638-643 [PMID: 26485103 DOI: 10.1097/MCG.0000000000000417]</w:t>
      </w:r>
    </w:p>
    <w:p w14:paraId="457E8A83"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6 </w:t>
      </w:r>
      <w:r w:rsidRPr="00DF14B8">
        <w:rPr>
          <w:rFonts w:ascii="Book Antiqua" w:hAnsi="Book Antiqua"/>
          <w:b/>
          <w:bCs/>
          <w:color w:val="000000" w:themeColor="text1"/>
          <w:lang w:val="en-US"/>
        </w:rPr>
        <w:t>Atuğ Ö</w:t>
      </w:r>
      <w:r w:rsidRPr="00DF14B8">
        <w:rPr>
          <w:rFonts w:ascii="Book Antiqua" w:hAnsi="Book Antiqua"/>
          <w:color w:val="000000" w:themeColor="text1"/>
          <w:lang w:val="en-US"/>
        </w:rPr>
        <w:t>, Kani HT, Banzragch M, İmeryüz N, Akın H. Incidence rate of anemia in inflammatory bowel diseases. </w:t>
      </w:r>
      <w:r w:rsidRPr="00DF14B8">
        <w:rPr>
          <w:rFonts w:ascii="Book Antiqua" w:hAnsi="Book Antiqua"/>
          <w:i/>
          <w:iCs/>
          <w:color w:val="000000" w:themeColor="text1"/>
          <w:lang w:val="en-US"/>
        </w:rPr>
        <w:t>Turk J Gastroenterol</w:t>
      </w:r>
      <w:r w:rsidRPr="00DF14B8">
        <w:rPr>
          <w:rFonts w:ascii="Book Antiqua" w:hAnsi="Book Antiqua"/>
          <w:color w:val="000000" w:themeColor="text1"/>
          <w:lang w:val="en-US"/>
        </w:rPr>
        <w:t> 2016; </w:t>
      </w:r>
      <w:r w:rsidRPr="00DF14B8">
        <w:rPr>
          <w:rFonts w:ascii="Book Antiqua" w:hAnsi="Book Antiqua"/>
          <w:b/>
          <w:bCs/>
          <w:color w:val="000000" w:themeColor="text1"/>
          <w:lang w:val="en-US"/>
        </w:rPr>
        <w:t>27</w:t>
      </w:r>
      <w:r w:rsidRPr="00DF14B8">
        <w:rPr>
          <w:rFonts w:ascii="Book Antiqua" w:hAnsi="Book Antiqua"/>
          <w:color w:val="000000" w:themeColor="text1"/>
          <w:lang w:val="en-US"/>
        </w:rPr>
        <w:t>: 143-148 [PMID: 27015619 DOI: 10.5152/tjg.2016.16011]</w:t>
      </w:r>
    </w:p>
    <w:p w14:paraId="2294ABD1"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7 </w:t>
      </w:r>
      <w:r w:rsidRPr="00DF14B8">
        <w:rPr>
          <w:rFonts w:ascii="Book Antiqua" w:hAnsi="Book Antiqua"/>
          <w:b/>
          <w:bCs/>
          <w:color w:val="000000" w:themeColor="text1"/>
          <w:lang w:val="en-US"/>
        </w:rPr>
        <w:t>Gomollón F</w:t>
      </w:r>
      <w:r w:rsidRPr="00DF14B8">
        <w:rPr>
          <w:rFonts w:ascii="Book Antiqua" w:hAnsi="Book Antiqua"/>
          <w:color w:val="000000" w:themeColor="text1"/>
          <w:lang w:val="en-US"/>
        </w:rPr>
        <w:t>, Gisbert JP. Anemia and inflammatory bowel diseases. </w:t>
      </w:r>
      <w:r w:rsidRPr="00DF14B8">
        <w:rPr>
          <w:rFonts w:ascii="Book Antiqua" w:hAnsi="Book Antiqua"/>
          <w:i/>
          <w:iCs/>
          <w:color w:val="000000" w:themeColor="text1"/>
          <w:lang w:val="en-US"/>
        </w:rPr>
        <w:t>World J Gastroenterol</w:t>
      </w:r>
      <w:r w:rsidRPr="00DF14B8">
        <w:rPr>
          <w:rFonts w:ascii="Book Antiqua" w:hAnsi="Book Antiqua"/>
          <w:color w:val="000000" w:themeColor="text1"/>
          <w:lang w:val="en-US"/>
        </w:rPr>
        <w:t> 2009; </w:t>
      </w:r>
      <w:r w:rsidRPr="00DF14B8">
        <w:rPr>
          <w:rFonts w:ascii="Book Antiqua" w:hAnsi="Book Antiqua"/>
          <w:b/>
          <w:bCs/>
          <w:color w:val="000000" w:themeColor="text1"/>
          <w:lang w:val="en-US"/>
        </w:rPr>
        <w:t>15</w:t>
      </w:r>
      <w:r w:rsidRPr="00DF14B8">
        <w:rPr>
          <w:rFonts w:ascii="Book Antiqua" w:hAnsi="Book Antiqua"/>
          <w:color w:val="000000" w:themeColor="text1"/>
          <w:lang w:val="en-US"/>
        </w:rPr>
        <w:t>: 4659-4665 [PMID: 19787829]</w:t>
      </w:r>
    </w:p>
    <w:p w14:paraId="3C903DCE"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8 </w:t>
      </w:r>
      <w:r w:rsidRPr="00DF14B8">
        <w:rPr>
          <w:rFonts w:ascii="Book Antiqua" w:hAnsi="Book Antiqua"/>
          <w:b/>
          <w:bCs/>
          <w:color w:val="000000" w:themeColor="text1"/>
          <w:lang w:val="en-US"/>
        </w:rPr>
        <w:t>Stein J</w:t>
      </w:r>
      <w:r w:rsidRPr="00DF14B8">
        <w:rPr>
          <w:rFonts w:ascii="Book Antiqua" w:hAnsi="Book Antiqua"/>
          <w:color w:val="000000" w:themeColor="text1"/>
          <w:lang w:val="en-US"/>
        </w:rPr>
        <w:t>, Hartmann F, Dignass AU. Diagnosis and management of iron deficiency anemia in patients with IBD. </w:t>
      </w:r>
      <w:r w:rsidRPr="00DF14B8">
        <w:rPr>
          <w:rFonts w:ascii="Book Antiqua" w:hAnsi="Book Antiqua"/>
          <w:i/>
          <w:iCs/>
          <w:color w:val="000000" w:themeColor="text1"/>
          <w:lang w:val="en-US"/>
        </w:rPr>
        <w:t>Nat Rev Gastroenterol Hepatol</w:t>
      </w:r>
      <w:r w:rsidRPr="00DF14B8">
        <w:rPr>
          <w:rFonts w:ascii="Book Antiqua" w:hAnsi="Book Antiqua"/>
          <w:color w:val="000000" w:themeColor="text1"/>
          <w:lang w:val="en-US"/>
        </w:rPr>
        <w:t> 2010; </w:t>
      </w:r>
      <w:r w:rsidRPr="00DF14B8">
        <w:rPr>
          <w:rFonts w:ascii="Book Antiqua" w:hAnsi="Book Antiqua"/>
          <w:b/>
          <w:bCs/>
          <w:color w:val="000000" w:themeColor="text1"/>
          <w:lang w:val="en-US"/>
        </w:rPr>
        <w:t>7</w:t>
      </w:r>
      <w:r w:rsidRPr="00DF14B8">
        <w:rPr>
          <w:rFonts w:ascii="Book Antiqua" w:hAnsi="Book Antiqua"/>
          <w:color w:val="000000" w:themeColor="text1"/>
          <w:lang w:val="en-US"/>
        </w:rPr>
        <w:t>: 599-610 [PMID: 20924367 DOI: 10.1038/nrgastro.2010.151]</w:t>
      </w:r>
    </w:p>
    <w:p w14:paraId="049FC941"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lastRenderedPageBreak/>
        <w:t>9 </w:t>
      </w:r>
      <w:r w:rsidRPr="00DF14B8">
        <w:rPr>
          <w:rFonts w:ascii="Book Antiqua" w:hAnsi="Book Antiqua"/>
          <w:b/>
          <w:bCs/>
          <w:color w:val="000000" w:themeColor="text1"/>
          <w:lang w:val="en-US"/>
        </w:rPr>
        <w:t>Ott C</w:t>
      </w:r>
      <w:r w:rsidRPr="00DF14B8">
        <w:rPr>
          <w:rFonts w:ascii="Book Antiqua" w:hAnsi="Book Antiqua"/>
          <w:color w:val="000000" w:themeColor="text1"/>
          <w:lang w:val="en-US"/>
        </w:rPr>
        <w:t>, Schölmerich J. Extraintestinal manifestations and complications in IBD. </w:t>
      </w:r>
      <w:r w:rsidRPr="00DF14B8">
        <w:rPr>
          <w:rFonts w:ascii="Book Antiqua" w:hAnsi="Book Antiqua"/>
          <w:i/>
          <w:iCs/>
          <w:color w:val="000000" w:themeColor="text1"/>
          <w:lang w:val="en-US"/>
        </w:rPr>
        <w:t>Nat Rev Gastroenterol Hepatol</w:t>
      </w:r>
      <w:r w:rsidRPr="00DF14B8">
        <w:rPr>
          <w:rFonts w:ascii="Book Antiqua" w:hAnsi="Book Antiqua"/>
          <w:color w:val="000000" w:themeColor="text1"/>
          <w:lang w:val="en-US"/>
        </w:rPr>
        <w:t> 2013; </w:t>
      </w:r>
      <w:r w:rsidRPr="00DF14B8">
        <w:rPr>
          <w:rFonts w:ascii="Book Antiqua" w:hAnsi="Book Antiqua"/>
          <w:b/>
          <w:bCs/>
          <w:color w:val="000000" w:themeColor="text1"/>
          <w:lang w:val="en-US"/>
        </w:rPr>
        <w:t>10</w:t>
      </w:r>
      <w:r w:rsidRPr="00DF14B8">
        <w:rPr>
          <w:rFonts w:ascii="Book Antiqua" w:hAnsi="Book Antiqua"/>
          <w:color w:val="000000" w:themeColor="text1"/>
          <w:lang w:val="en-US"/>
        </w:rPr>
        <w:t>: 585-595 [PMID: 23835489 DOI: 10.1038/nrgastro.2013.117]</w:t>
      </w:r>
    </w:p>
    <w:p w14:paraId="00F865AF" w14:textId="339803E1"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10 </w:t>
      </w:r>
      <w:r w:rsidRPr="00DF14B8">
        <w:rPr>
          <w:rFonts w:ascii="Book Antiqua" w:hAnsi="Book Antiqua"/>
          <w:b/>
          <w:bCs/>
          <w:color w:val="000000" w:themeColor="text1"/>
          <w:lang w:val="en-US"/>
        </w:rPr>
        <w:t>Reinisch W</w:t>
      </w:r>
      <w:r w:rsidRPr="00DF14B8">
        <w:rPr>
          <w:rFonts w:ascii="Book Antiqua" w:hAnsi="Book Antiqua"/>
          <w:color w:val="000000" w:themeColor="text1"/>
          <w:lang w:val="en-US"/>
        </w:rPr>
        <w:t>, Staun M, Bhandari S, Muñoz M. State of the iron: how to diagnose and efficiently treat iron deficiency anemia in inflammatory bowel disease. </w:t>
      </w:r>
      <w:r w:rsidRPr="00DF14B8">
        <w:rPr>
          <w:rFonts w:ascii="Book Antiqua" w:hAnsi="Book Antiqua"/>
          <w:i/>
          <w:iCs/>
          <w:color w:val="000000" w:themeColor="text1"/>
          <w:lang w:val="en-US"/>
        </w:rPr>
        <w:t>J Crohns Colitis</w:t>
      </w:r>
      <w:r w:rsidRPr="00DF14B8">
        <w:rPr>
          <w:rFonts w:ascii="Book Antiqua" w:hAnsi="Book Antiqua"/>
          <w:color w:val="000000" w:themeColor="text1"/>
          <w:lang w:val="en-US"/>
        </w:rPr>
        <w:t> 2013; </w:t>
      </w:r>
      <w:r w:rsidRPr="00DF14B8">
        <w:rPr>
          <w:rFonts w:ascii="Book Antiqua" w:hAnsi="Book Antiqua"/>
          <w:b/>
          <w:bCs/>
          <w:color w:val="000000" w:themeColor="text1"/>
          <w:lang w:val="en-US"/>
        </w:rPr>
        <w:t>7</w:t>
      </w:r>
      <w:r w:rsidRPr="00DF14B8">
        <w:rPr>
          <w:rFonts w:ascii="Book Antiqua" w:hAnsi="Book Antiqua"/>
          <w:color w:val="000000" w:themeColor="text1"/>
          <w:lang w:val="en-US"/>
        </w:rPr>
        <w:t xml:space="preserve">: 429-440 [PMID: 22917870 DOI: </w:t>
      </w:r>
      <w:r w:rsidR="006031A1" w:rsidRPr="006031A1">
        <w:rPr>
          <w:rFonts w:ascii="Book Antiqua" w:hAnsi="Book Antiqua"/>
          <w:color w:val="000000" w:themeColor="text1"/>
          <w:lang w:val="en-US"/>
        </w:rPr>
        <w:t>10.1016/j.crohns.2012.07.031</w:t>
      </w:r>
      <w:r w:rsidRPr="00DF14B8">
        <w:rPr>
          <w:rFonts w:ascii="Book Antiqua" w:hAnsi="Book Antiqua"/>
          <w:color w:val="000000" w:themeColor="text1"/>
          <w:lang w:val="en-US"/>
        </w:rPr>
        <w:t>]</w:t>
      </w:r>
    </w:p>
    <w:p w14:paraId="54619E59"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11 </w:t>
      </w:r>
      <w:r w:rsidRPr="00DF14B8">
        <w:rPr>
          <w:rFonts w:ascii="Book Antiqua" w:hAnsi="Book Antiqua"/>
          <w:b/>
          <w:bCs/>
          <w:color w:val="000000" w:themeColor="text1"/>
          <w:lang w:val="en-US"/>
        </w:rPr>
        <w:t>de Silva AD</w:t>
      </w:r>
      <w:r w:rsidRPr="00DF14B8">
        <w:rPr>
          <w:rFonts w:ascii="Book Antiqua" w:hAnsi="Book Antiqua"/>
          <w:color w:val="000000" w:themeColor="text1"/>
          <w:lang w:val="en-US"/>
        </w:rPr>
        <w:t>, Mylonaki M, Rampton DS. Oral iron therapy in inflammatory bowel disease: usage, tolerance, and efficacy. </w:t>
      </w:r>
      <w:r w:rsidRPr="00DF14B8">
        <w:rPr>
          <w:rFonts w:ascii="Book Antiqua" w:hAnsi="Book Antiqua"/>
          <w:i/>
          <w:iCs/>
          <w:color w:val="000000" w:themeColor="text1"/>
          <w:lang w:val="en-US"/>
        </w:rPr>
        <w:t>Inflamm Bowel Dis</w:t>
      </w:r>
      <w:r w:rsidRPr="00DF14B8">
        <w:rPr>
          <w:rFonts w:ascii="Book Antiqua" w:hAnsi="Book Antiqua"/>
          <w:color w:val="000000" w:themeColor="text1"/>
          <w:lang w:val="en-US"/>
        </w:rPr>
        <w:t> 2003; </w:t>
      </w:r>
      <w:r w:rsidRPr="00DF14B8">
        <w:rPr>
          <w:rFonts w:ascii="Book Antiqua" w:hAnsi="Book Antiqua"/>
          <w:b/>
          <w:bCs/>
          <w:color w:val="000000" w:themeColor="text1"/>
          <w:lang w:val="en-US"/>
        </w:rPr>
        <w:t>9</w:t>
      </w:r>
      <w:r w:rsidRPr="00DF14B8">
        <w:rPr>
          <w:rFonts w:ascii="Book Antiqua" w:hAnsi="Book Antiqua"/>
          <w:color w:val="000000" w:themeColor="text1"/>
          <w:lang w:val="en-US"/>
        </w:rPr>
        <w:t>: 316-320 [PMID: 14555915]</w:t>
      </w:r>
    </w:p>
    <w:p w14:paraId="4004A9E1"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12 </w:t>
      </w:r>
      <w:r w:rsidRPr="00DF14B8">
        <w:rPr>
          <w:rFonts w:ascii="Book Antiqua" w:hAnsi="Book Antiqua"/>
          <w:b/>
          <w:bCs/>
          <w:color w:val="000000" w:themeColor="text1"/>
          <w:lang w:val="en-US"/>
        </w:rPr>
        <w:t>Gasche C</w:t>
      </w:r>
      <w:r w:rsidRPr="00DF14B8">
        <w:rPr>
          <w:rFonts w:ascii="Book Antiqua" w:hAnsi="Book Antiqua"/>
          <w:color w:val="000000" w:themeColor="text1"/>
          <w:lang w:val="en-US"/>
        </w:rPr>
        <w:t>, Berstad A, Befrits R, Beglinger C, Dignass A, Erichsen K, Gomollon F, Hjortswang H, Koutroubakis I, Kulnigg S, Oldenburg B, Rampton D, Schroeder O, Stein J, Travis S, Van Assche G. Guidelines on the diagnosis and management of iron deficiency and anemia in inflammatory bowel diseases. </w:t>
      </w:r>
      <w:r w:rsidRPr="00DF14B8">
        <w:rPr>
          <w:rFonts w:ascii="Book Antiqua" w:hAnsi="Book Antiqua"/>
          <w:i/>
          <w:iCs/>
          <w:color w:val="000000" w:themeColor="text1"/>
          <w:lang w:val="en-US"/>
        </w:rPr>
        <w:t>Inflamm Bowel Dis</w:t>
      </w:r>
      <w:r w:rsidRPr="00DF14B8">
        <w:rPr>
          <w:rFonts w:ascii="Book Antiqua" w:hAnsi="Book Antiqua"/>
          <w:color w:val="000000" w:themeColor="text1"/>
          <w:lang w:val="en-US"/>
        </w:rPr>
        <w:t> 2007; </w:t>
      </w:r>
      <w:r w:rsidRPr="00DF14B8">
        <w:rPr>
          <w:rFonts w:ascii="Book Antiqua" w:hAnsi="Book Antiqua"/>
          <w:b/>
          <w:bCs/>
          <w:color w:val="000000" w:themeColor="text1"/>
          <w:lang w:val="en-US"/>
        </w:rPr>
        <w:t>13</w:t>
      </w:r>
      <w:r w:rsidRPr="00DF14B8">
        <w:rPr>
          <w:rFonts w:ascii="Book Antiqua" w:hAnsi="Book Antiqua"/>
          <w:color w:val="000000" w:themeColor="text1"/>
          <w:lang w:val="en-US"/>
        </w:rPr>
        <w:t>: 1545-1553 [PMID: 17985376 DOI: 10.1002/ibd.20285]</w:t>
      </w:r>
    </w:p>
    <w:p w14:paraId="0DF5F11C" w14:textId="7E7CB8AC"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13 </w:t>
      </w:r>
      <w:r w:rsidRPr="00DF14B8">
        <w:rPr>
          <w:rFonts w:ascii="Book Antiqua" w:hAnsi="Book Antiqua"/>
          <w:b/>
          <w:bCs/>
          <w:color w:val="000000" w:themeColor="text1"/>
          <w:lang w:val="en-US"/>
        </w:rPr>
        <w:t>Dignass AU</w:t>
      </w:r>
      <w:r w:rsidRPr="00DF14B8">
        <w:rPr>
          <w:rFonts w:ascii="Book Antiqua" w:hAnsi="Book Antiqua"/>
          <w:color w:val="000000" w:themeColor="text1"/>
          <w:lang w:val="en-US"/>
        </w:rPr>
        <w:t>, Gasche C, Bettenworth D, Birgegård G, Danese S, Gisbert JP, Gomollon F, Iqbal T, Katsanos K, Koutroubakis I, Magro F, Savoye G, Stein J, Vavricka S; European Crohn’s and Colitis Organisation [ECCO]. European consensus on the diagnosis and management of iron deficiency and anaemia in inflammatory bowel diseases. </w:t>
      </w:r>
      <w:r w:rsidRPr="00DF14B8">
        <w:rPr>
          <w:rFonts w:ascii="Book Antiqua" w:hAnsi="Book Antiqua"/>
          <w:i/>
          <w:iCs/>
          <w:color w:val="000000" w:themeColor="text1"/>
          <w:lang w:val="en-US"/>
        </w:rPr>
        <w:t>J Crohns Colitis</w:t>
      </w:r>
      <w:r w:rsidRPr="00DF14B8">
        <w:rPr>
          <w:rFonts w:ascii="Book Antiqua" w:hAnsi="Book Antiqua"/>
          <w:color w:val="000000" w:themeColor="text1"/>
          <w:lang w:val="en-US"/>
        </w:rPr>
        <w:t> 2015; </w:t>
      </w:r>
      <w:r w:rsidRPr="00DF14B8">
        <w:rPr>
          <w:rFonts w:ascii="Book Antiqua" w:hAnsi="Book Antiqua"/>
          <w:b/>
          <w:bCs/>
          <w:color w:val="000000" w:themeColor="text1"/>
          <w:lang w:val="en-US"/>
        </w:rPr>
        <w:t>9</w:t>
      </w:r>
      <w:r w:rsidRPr="00DF14B8">
        <w:rPr>
          <w:rFonts w:ascii="Book Antiqua" w:hAnsi="Book Antiqua"/>
          <w:color w:val="000000" w:themeColor="text1"/>
          <w:lang w:val="en-US"/>
        </w:rPr>
        <w:t xml:space="preserve">: 211-222 [PMID: 25518052 DOI: </w:t>
      </w:r>
      <w:r w:rsidR="006031A1" w:rsidRPr="006031A1">
        <w:rPr>
          <w:rFonts w:ascii="Book Antiqua" w:hAnsi="Book Antiqua"/>
          <w:color w:val="000000" w:themeColor="text1"/>
          <w:lang w:val="en-US"/>
        </w:rPr>
        <w:t>10.1093/ecco-jcc/jju009</w:t>
      </w:r>
      <w:r w:rsidRPr="00DF14B8">
        <w:rPr>
          <w:rFonts w:ascii="Book Antiqua" w:hAnsi="Book Antiqua"/>
          <w:color w:val="000000" w:themeColor="text1"/>
          <w:lang w:val="en-US"/>
        </w:rPr>
        <w:t>]</w:t>
      </w:r>
    </w:p>
    <w:p w14:paraId="2F2F86E1"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14 </w:t>
      </w:r>
      <w:r w:rsidRPr="00DF14B8">
        <w:rPr>
          <w:rFonts w:ascii="Book Antiqua" w:hAnsi="Book Antiqua"/>
          <w:b/>
          <w:bCs/>
          <w:color w:val="000000" w:themeColor="text1"/>
          <w:lang w:val="en-US"/>
        </w:rPr>
        <w:t>Van Assche G</w:t>
      </w:r>
      <w:r w:rsidRPr="00DF14B8">
        <w:rPr>
          <w:rFonts w:ascii="Book Antiqua" w:hAnsi="Book Antiqua"/>
          <w:color w:val="000000" w:themeColor="text1"/>
          <w:lang w:val="en-US"/>
        </w:rPr>
        <w:t>, Dignass A, Panes J, Beaugerie L, Karagiannis J, Allez M, Ochsenkühn T, Orchard T, Rogler G, Louis E, Kupcinskas L, Mantzaris G, Travis S, Stange E; European Crohn's and Colitis Organisation (ECCO). The second European evidence-based Consensus on the diagnosis and management of Crohn's disease: Definitions and diagnosis. </w:t>
      </w:r>
      <w:r w:rsidRPr="00DF14B8">
        <w:rPr>
          <w:rFonts w:ascii="Book Antiqua" w:hAnsi="Book Antiqua"/>
          <w:i/>
          <w:iCs/>
          <w:color w:val="000000" w:themeColor="text1"/>
          <w:lang w:val="en-US"/>
        </w:rPr>
        <w:t>J Crohns Colitis</w:t>
      </w:r>
      <w:r w:rsidRPr="00DF14B8">
        <w:rPr>
          <w:rFonts w:ascii="Book Antiqua" w:hAnsi="Book Antiqua"/>
          <w:color w:val="000000" w:themeColor="text1"/>
          <w:lang w:val="en-US"/>
        </w:rPr>
        <w:t> 2010; </w:t>
      </w:r>
      <w:r w:rsidRPr="00DF14B8">
        <w:rPr>
          <w:rFonts w:ascii="Book Antiqua" w:hAnsi="Book Antiqua"/>
          <w:b/>
          <w:bCs/>
          <w:color w:val="000000" w:themeColor="text1"/>
          <w:lang w:val="en-US"/>
        </w:rPr>
        <w:t>4</w:t>
      </w:r>
      <w:r w:rsidRPr="00DF14B8">
        <w:rPr>
          <w:rFonts w:ascii="Book Antiqua" w:hAnsi="Book Antiqua"/>
          <w:color w:val="000000" w:themeColor="text1"/>
          <w:lang w:val="en-US"/>
        </w:rPr>
        <w:t>: 7-27 [PMID: 21122488 DOI: 10.1016/j.crohns.2009.12.003]</w:t>
      </w:r>
    </w:p>
    <w:p w14:paraId="4D56390F"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15 </w:t>
      </w:r>
      <w:r w:rsidRPr="00DF14B8">
        <w:rPr>
          <w:rFonts w:ascii="Book Antiqua" w:hAnsi="Book Antiqua"/>
          <w:b/>
          <w:bCs/>
          <w:color w:val="000000" w:themeColor="text1"/>
          <w:lang w:val="en-US"/>
        </w:rPr>
        <w:t>Dignass A</w:t>
      </w:r>
      <w:r w:rsidRPr="00DF14B8">
        <w:rPr>
          <w:rFonts w:ascii="Book Antiqua" w:hAnsi="Book Antiqua"/>
          <w:color w:val="000000" w:themeColor="text1"/>
          <w:lang w:val="en-US"/>
        </w:rPr>
        <w:t>, Eliakim R, Magro F, Maaser C, Chowers Y, Geboes K, Mantzaris G, Reinisch W, Colombel JF, Vermeire S, Travis S, Lindsay JO, Van Assche G. Second European evidence-based consensus on the diagnosis and management of ulcerative colitis part 1: definitions and diagnosis. </w:t>
      </w:r>
      <w:r w:rsidRPr="00DF14B8">
        <w:rPr>
          <w:rFonts w:ascii="Book Antiqua" w:hAnsi="Book Antiqua"/>
          <w:i/>
          <w:iCs/>
          <w:color w:val="000000" w:themeColor="text1"/>
          <w:lang w:val="en-US"/>
        </w:rPr>
        <w:t>J Crohns Colitis</w:t>
      </w:r>
      <w:r w:rsidRPr="00DF14B8">
        <w:rPr>
          <w:rFonts w:ascii="Book Antiqua" w:hAnsi="Book Antiqua"/>
          <w:color w:val="000000" w:themeColor="text1"/>
          <w:lang w:val="en-US"/>
        </w:rPr>
        <w:t> 2012; </w:t>
      </w:r>
      <w:r w:rsidRPr="00DF14B8">
        <w:rPr>
          <w:rFonts w:ascii="Book Antiqua" w:hAnsi="Book Antiqua"/>
          <w:b/>
          <w:bCs/>
          <w:color w:val="000000" w:themeColor="text1"/>
          <w:lang w:val="en-US"/>
        </w:rPr>
        <w:t>6</w:t>
      </w:r>
      <w:r w:rsidRPr="00DF14B8">
        <w:rPr>
          <w:rFonts w:ascii="Book Antiqua" w:hAnsi="Book Antiqua"/>
          <w:color w:val="000000" w:themeColor="text1"/>
          <w:lang w:val="en-US"/>
        </w:rPr>
        <w:t>: 965-990 [PMID: 23040452 DOI: 10.1016/j.crohns.2012.09.003]</w:t>
      </w:r>
    </w:p>
    <w:p w14:paraId="7FD7CDAF" w14:textId="2C270066" w:rsidR="00DF14B8" w:rsidRPr="00DF14B8" w:rsidRDefault="00DF14B8" w:rsidP="00DF14B8">
      <w:pPr>
        <w:snapToGrid w:val="0"/>
        <w:spacing w:line="360" w:lineRule="auto"/>
        <w:jc w:val="both"/>
        <w:rPr>
          <w:rFonts w:ascii="Book Antiqua" w:hAnsi="Book Antiqua"/>
          <w:color w:val="000000" w:themeColor="text1"/>
          <w:lang w:val="en-US"/>
        </w:rPr>
      </w:pPr>
      <w:r w:rsidRPr="00713E1C">
        <w:rPr>
          <w:rFonts w:ascii="Book Antiqua" w:hAnsi="Book Antiqua"/>
          <w:color w:val="000000" w:themeColor="text1"/>
          <w:lang w:val="en-US"/>
        </w:rPr>
        <w:lastRenderedPageBreak/>
        <w:t>16 </w:t>
      </w:r>
      <w:r w:rsidRPr="00713E1C">
        <w:rPr>
          <w:rFonts w:ascii="Book Antiqua" w:hAnsi="Book Antiqua"/>
          <w:b/>
          <w:bCs/>
          <w:color w:val="000000" w:themeColor="text1"/>
          <w:lang w:val="en-US"/>
        </w:rPr>
        <w:t>WHO,</w:t>
      </w:r>
      <w:r w:rsidRPr="00713E1C">
        <w:rPr>
          <w:rFonts w:ascii="Book Antiqua" w:hAnsi="Book Antiqua"/>
          <w:color w:val="000000" w:themeColor="text1"/>
          <w:lang w:val="en-US"/>
        </w:rPr>
        <w:t> UNICEF, UNU. Iron deficiency anemia: assessment, prevention and control. Report of a joint WHO/UNICEF/UNU consultation. Geneva: World Health Organization; 1998</w:t>
      </w:r>
    </w:p>
    <w:p w14:paraId="14FABF98"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17 </w:t>
      </w:r>
      <w:r w:rsidRPr="00DF14B8">
        <w:rPr>
          <w:rFonts w:ascii="Book Antiqua" w:hAnsi="Book Antiqua"/>
          <w:b/>
          <w:bCs/>
          <w:color w:val="000000" w:themeColor="text1"/>
          <w:lang w:val="en-US"/>
        </w:rPr>
        <w:t>Weiss G</w:t>
      </w:r>
      <w:r w:rsidRPr="00DF14B8">
        <w:rPr>
          <w:rFonts w:ascii="Book Antiqua" w:hAnsi="Book Antiqua"/>
          <w:color w:val="000000" w:themeColor="text1"/>
          <w:lang w:val="en-US"/>
        </w:rPr>
        <w:t>. Anemia of Chronic Disorders: New Diagnostic Tools and New Treatment Strategies. </w:t>
      </w:r>
      <w:r w:rsidRPr="00DF14B8">
        <w:rPr>
          <w:rFonts w:ascii="Book Antiqua" w:hAnsi="Book Antiqua"/>
          <w:i/>
          <w:iCs/>
          <w:color w:val="000000" w:themeColor="text1"/>
          <w:lang w:val="en-US"/>
        </w:rPr>
        <w:t>Semin Hematol</w:t>
      </w:r>
      <w:r w:rsidRPr="00DF14B8">
        <w:rPr>
          <w:rFonts w:ascii="Book Antiqua" w:hAnsi="Book Antiqua"/>
          <w:color w:val="000000" w:themeColor="text1"/>
          <w:lang w:val="en-US"/>
        </w:rPr>
        <w:t> 2015; </w:t>
      </w:r>
      <w:r w:rsidRPr="00DF14B8">
        <w:rPr>
          <w:rFonts w:ascii="Book Antiqua" w:hAnsi="Book Antiqua"/>
          <w:b/>
          <w:bCs/>
          <w:color w:val="000000" w:themeColor="text1"/>
          <w:lang w:val="en-US"/>
        </w:rPr>
        <w:t>52</w:t>
      </w:r>
      <w:r w:rsidRPr="00DF14B8">
        <w:rPr>
          <w:rFonts w:ascii="Book Antiqua" w:hAnsi="Book Antiqua"/>
          <w:color w:val="000000" w:themeColor="text1"/>
          <w:lang w:val="en-US"/>
        </w:rPr>
        <w:t>: 313-320 [PMID: 26404443 DOI: 10.1053/j.seminhematol.2015.07.004]</w:t>
      </w:r>
    </w:p>
    <w:p w14:paraId="7294D7FF"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18 </w:t>
      </w:r>
      <w:r w:rsidRPr="00DF14B8">
        <w:rPr>
          <w:rFonts w:ascii="Book Antiqua" w:hAnsi="Book Antiqua"/>
          <w:b/>
          <w:bCs/>
          <w:color w:val="000000" w:themeColor="text1"/>
          <w:lang w:val="en-US"/>
        </w:rPr>
        <w:t>Høivik ML</w:t>
      </w:r>
      <w:r w:rsidRPr="00DF14B8">
        <w:rPr>
          <w:rFonts w:ascii="Book Antiqua" w:hAnsi="Book Antiqua"/>
          <w:color w:val="000000" w:themeColor="text1"/>
          <w:lang w:val="en-US"/>
        </w:rPr>
        <w:t>, Reinisch W, Cvancarova M, Moum B; IBSEN study group. Anaemia in inflammatory bowel disease: a population-based 10-year follow-up. </w:t>
      </w:r>
      <w:r w:rsidRPr="00DF14B8">
        <w:rPr>
          <w:rFonts w:ascii="Book Antiqua" w:hAnsi="Book Antiqua"/>
          <w:i/>
          <w:iCs/>
          <w:color w:val="000000" w:themeColor="text1"/>
          <w:lang w:val="en-US"/>
        </w:rPr>
        <w:t>Aliment Pharmacol Ther</w:t>
      </w:r>
      <w:r w:rsidRPr="00DF14B8">
        <w:rPr>
          <w:rFonts w:ascii="Book Antiqua" w:hAnsi="Book Antiqua"/>
          <w:color w:val="000000" w:themeColor="text1"/>
          <w:lang w:val="en-US"/>
        </w:rPr>
        <w:t> 2014; </w:t>
      </w:r>
      <w:r w:rsidRPr="00DF14B8">
        <w:rPr>
          <w:rFonts w:ascii="Book Antiqua" w:hAnsi="Book Antiqua"/>
          <w:b/>
          <w:bCs/>
          <w:color w:val="000000" w:themeColor="text1"/>
          <w:lang w:val="en-US"/>
        </w:rPr>
        <w:t>39</w:t>
      </w:r>
      <w:r w:rsidRPr="00DF14B8">
        <w:rPr>
          <w:rFonts w:ascii="Book Antiqua" w:hAnsi="Book Antiqua"/>
          <w:color w:val="000000" w:themeColor="text1"/>
          <w:lang w:val="en-US"/>
        </w:rPr>
        <w:t>: 69-76 [PMID: 24172277 DOI: 10.1111/apt.12541]</w:t>
      </w:r>
    </w:p>
    <w:p w14:paraId="532F512A"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19 </w:t>
      </w:r>
      <w:r w:rsidRPr="00DF14B8">
        <w:rPr>
          <w:rFonts w:ascii="Book Antiqua" w:hAnsi="Book Antiqua"/>
          <w:b/>
          <w:bCs/>
          <w:color w:val="000000" w:themeColor="text1"/>
          <w:lang w:val="en-US"/>
        </w:rPr>
        <w:t>Lucendo AJ</w:t>
      </w:r>
      <w:r w:rsidRPr="00DF14B8">
        <w:rPr>
          <w:rFonts w:ascii="Book Antiqua" w:hAnsi="Book Antiqua"/>
          <w:color w:val="000000" w:themeColor="text1"/>
          <w:lang w:val="en-US"/>
        </w:rPr>
        <w:t>, Arias Á, Roncero Ó, Hervías D, Verdejo C, Naveas-Polo C, Bouhmidi A, Lorente R, Alcázar LM, Salueña I, García-Quiñones JA, Carrillo-Ramos MJ. Anemia at the time of diagnosis of inflammatory bowel disease: Prevalence and associated factors in adolescent and adult patients. </w:t>
      </w:r>
      <w:r w:rsidRPr="00DF14B8">
        <w:rPr>
          <w:rFonts w:ascii="Book Antiqua" w:hAnsi="Book Antiqua"/>
          <w:i/>
          <w:iCs/>
          <w:color w:val="000000" w:themeColor="text1"/>
          <w:lang w:val="en-US"/>
        </w:rPr>
        <w:t>Dig Liver Dis</w:t>
      </w:r>
      <w:r w:rsidRPr="00DF14B8">
        <w:rPr>
          <w:rFonts w:ascii="Book Antiqua" w:hAnsi="Book Antiqua"/>
          <w:color w:val="000000" w:themeColor="text1"/>
          <w:lang w:val="en-US"/>
        </w:rPr>
        <w:t> 2017; </w:t>
      </w:r>
      <w:r w:rsidRPr="00DF14B8">
        <w:rPr>
          <w:rFonts w:ascii="Book Antiqua" w:hAnsi="Book Antiqua"/>
          <w:b/>
          <w:bCs/>
          <w:color w:val="000000" w:themeColor="text1"/>
          <w:lang w:val="en-US"/>
        </w:rPr>
        <w:t>49</w:t>
      </w:r>
      <w:r w:rsidRPr="00DF14B8">
        <w:rPr>
          <w:rFonts w:ascii="Book Antiqua" w:hAnsi="Book Antiqua"/>
          <w:color w:val="000000" w:themeColor="text1"/>
          <w:lang w:val="en-US"/>
        </w:rPr>
        <w:t>: 405-411 [PMID: 28096058 DOI: 10.1016/j.dld.2016.12.005]</w:t>
      </w:r>
    </w:p>
    <w:p w14:paraId="59499817" w14:textId="72E73D49" w:rsidR="00DF14B8" w:rsidRPr="00DF14B8" w:rsidRDefault="00DF14B8" w:rsidP="00DF14B8">
      <w:pPr>
        <w:snapToGrid w:val="0"/>
        <w:spacing w:line="360" w:lineRule="auto"/>
        <w:jc w:val="both"/>
        <w:rPr>
          <w:rFonts w:ascii="Book Antiqua" w:hAnsi="Book Antiqua"/>
          <w:color w:val="000000" w:themeColor="text1"/>
          <w:lang w:val="en-US"/>
        </w:rPr>
      </w:pPr>
      <w:r w:rsidRPr="00E06485">
        <w:rPr>
          <w:rFonts w:ascii="Book Antiqua" w:hAnsi="Book Antiqua"/>
          <w:color w:val="000000" w:themeColor="text1"/>
          <w:lang w:val="en-US"/>
        </w:rPr>
        <w:t>20 </w:t>
      </w:r>
      <w:r w:rsidRPr="00E06485">
        <w:rPr>
          <w:rFonts w:ascii="Book Antiqua" w:hAnsi="Book Antiqua"/>
          <w:b/>
          <w:bCs/>
          <w:color w:val="000000" w:themeColor="text1"/>
          <w:lang w:val="en-US"/>
        </w:rPr>
        <w:t>Toruner M,</w:t>
      </w:r>
      <w:r w:rsidRPr="00E06485">
        <w:rPr>
          <w:rFonts w:ascii="Book Antiqua" w:hAnsi="Book Antiqua"/>
          <w:color w:val="000000" w:themeColor="text1"/>
          <w:lang w:val="en-US"/>
        </w:rPr>
        <w:t xml:space="preserve"> Kalkan C, Keskin O, Cetinkaya H, Soykan I. P599. Prevalence of iron deficiency anemia and iron deficiency in a single center Turkish IBD cohort. J Crohns Colitis 2014; </w:t>
      </w:r>
      <w:r w:rsidRPr="00F75508">
        <w:rPr>
          <w:rFonts w:ascii="Book Antiqua" w:hAnsi="Book Antiqua"/>
          <w:b/>
          <w:color w:val="000000" w:themeColor="text1"/>
          <w:lang w:val="en-US"/>
        </w:rPr>
        <w:t>8</w:t>
      </w:r>
      <w:r w:rsidRPr="00E06485">
        <w:rPr>
          <w:rFonts w:ascii="Book Antiqua" w:hAnsi="Book Antiqua"/>
          <w:color w:val="000000" w:themeColor="text1"/>
          <w:lang w:val="en-US"/>
        </w:rPr>
        <w:t>: S318-</w:t>
      </w:r>
      <w:r w:rsidR="00942DE0" w:rsidRPr="00F75508">
        <w:rPr>
          <w:rFonts w:ascii="Book Antiqua" w:hAnsi="Book Antiqua"/>
          <w:color w:val="000000" w:themeColor="text1"/>
          <w:lang w:val="en-US"/>
        </w:rPr>
        <w:t xml:space="preserve"> S31</w:t>
      </w:r>
      <w:r w:rsidRPr="00E06485">
        <w:rPr>
          <w:rFonts w:ascii="Book Antiqua" w:hAnsi="Book Antiqua"/>
          <w:color w:val="000000" w:themeColor="text1"/>
          <w:lang w:val="en-US"/>
        </w:rPr>
        <w:t>9</w:t>
      </w:r>
    </w:p>
    <w:p w14:paraId="775C9068"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21 </w:t>
      </w:r>
      <w:r w:rsidRPr="00DF14B8">
        <w:rPr>
          <w:rFonts w:ascii="Book Antiqua" w:hAnsi="Book Antiqua"/>
          <w:b/>
          <w:bCs/>
          <w:color w:val="000000" w:themeColor="text1"/>
          <w:lang w:val="en-US"/>
        </w:rPr>
        <w:t>Portela F</w:t>
      </w:r>
      <w:r w:rsidRPr="00DF14B8">
        <w:rPr>
          <w:rFonts w:ascii="Book Antiqua" w:hAnsi="Book Antiqua"/>
          <w:color w:val="000000" w:themeColor="text1"/>
          <w:lang w:val="en-US"/>
        </w:rPr>
        <w:t>, Lago P, Cotter J, Gonçalves R, Vasconcelos H, Ministro P, Lopes S, Eusébio M, Morna H, Cravo M, Peixe P, Cremmers I, Sousa H, Deus J, Duarte M, Magro F; CAPOR Investigators and GEDII. Anaemia in Patients with Inflammatory Bowel Disease - A Nationwide Cross-Sectional Study. </w:t>
      </w:r>
      <w:r w:rsidRPr="00DF14B8">
        <w:rPr>
          <w:rFonts w:ascii="Book Antiqua" w:hAnsi="Book Antiqua"/>
          <w:i/>
          <w:iCs/>
          <w:color w:val="000000" w:themeColor="text1"/>
          <w:lang w:val="en-US"/>
        </w:rPr>
        <w:t>Digestion</w:t>
      </w:r>
      <w:r w:rsidRPr="00DF14B8">
        <w:rPr>
          <w:rFonts w:ascii="Book Antiqua" w:hAnsi="Book Antiqua"/>
          <w:color w:val="000000" w:themeColor="text1"/>
          <w:lang w:val="en-US"/>
        </w:rPr>
        <w:t> 2016; </w:t>
      </w:r>
      <w:r w:rsidRPr="00DF14B8">
        <w:rPr>
          <w:rFonts w:ascii="Book Antiqua" w:hAnsi="Book Antiqua"/>
          <w:b/>
          <w:bCs/>
          <w:color w:val="000000" w:themeColor="text1"/>
          <w:lang w:val="en-US"/>
        </w:rPr>
        <w:t>93</w:t>
      </w:r>
      <w:r w:rsidRPr="00DF14B8">
        <w:rPr>
          <w:rFonts w:ascii="Book Antiqua" w:hAnsi="Book Antiqua"/>
          <w:color w:val="000000" w:themeColor="text1"/>
          <w:lang w:val="en-US"/>
        </w:rPr>
        <w:t>: 214-220 [PMID: 27022722 DOI: 10.1159/000443927]</w:t>
      </w:r>
    </w:p>
    <w:p w14:paraId="351CCEC2"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22 </w:t>
      </w:r>
      <w:r w:rsidRPr="00DF14B8">
        <w:rPr>
          <w:rFonts w:ascii="Book Antiqua" w:hAnsi="Book Antiqua"/>
          <w:b/>
          <w:bCs/>
          <w:color w:val="000000" w:themeColor="text1"/>
          <w:lang w:val="en-US"/>
        </w:rPr>
        <w:t>Lee DS</w:t>
      </w:r>
      <w:r w:rsidRPr="00DF14B8">
        <w:rPr>
          <w:rFonts w:ascii="Book Antiqua" w:hAnsi="Book Antiqua"/>
          <w:color w:val="000000" w:themeColor="text1"/>
          <w:lang w:val="en-US"/>
        </w:rPr>
        <w:t>, Bang KB, Kim JY, Jung YS, Park JH, Kim HJ, Cho YK, Sohn CI, Jeon WK, Kim BI, Choi KY, Park DI. The prevalence and clinical characteristics of anemia in Korean patients with inflammatory bowel disease. </w:t>
      </w:r>
      <w:r w:rsidRPr="00DF14B8">
        <w:rPr>
          <w:rFonts w:ascii="Book Antiqua" w:hAnsi="Book Antiqua"/>
          <w:i/>
          <w:iCs/>
          <w:color w:val="000000" w:themeColor="text1"/>
          <w:lang w:val="en-US"/>
        </w:rPr>
        <w:t>Intest Res</w:t>
      </w:r>
      <w:r w:rsidRPr="00DF14B8">
        <w:rPr>
          <w:rFonts w:ascii="Book Antiqua" w:hAnsi="Book Antiqua"/>
          <w:color w:val="000000" w:themeColor="text1"/>
          <w:lang w:val="en-US"/>
        </w:rPr>
        <w:t> 2016; </w:t>
      </w:r>
      <w:r w:rsidRPr="00DF14B8">
        <w:rPr>
          <w:rFonts w:ascii="Book Antiqua" w:hAnsi="Book Antiqua"/>
          <w:b/>
          <w:bCs/>
          <w:color w:val="000000" w:themeColor="text1"/>
          <w:lang w:val="en-US"/>
        </w:rPr>
        <w:t>14</w:t>
      </w:r>
      <w:r w:rsidRPr="00DF14B8">
        <w:rPr>
          <w:rFonts w:ascii="Book Antiqua" w:hAnsi="Book Antiqua"/>
          <w:color w:val="000000" w:themeColor="text1"/>
          <w:lang w:val="en-US"/>
        </w:rPr>
        <w:t>: 43-49 [PMID: 26884734 DOI: 10.5217/ir.2016.14.1.43]</w:t>
      </w:r>
    </w:p>
    <w:p w14:paraId="2D34AE63"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23 </w:t>
      </w:r>
      <w:r w:rsidRPr="00DF14B8">
        <w:rPr>
          <w:rFonts w:ascii="Book Antiqua" w:hAnsi="Book Antiqua"/>
          <w:b/>
          <w:bCs/>
          <w:color w:val="000000" w:themeColor="text1"/>
          <w:lang w:val="en-US"/>
        </w:rPr>
        <w:t>Testa A</w:t>
      </w:r>
      <w:r w:rsidRPr="00DF14B8">
        <w:rPr>
          <w:rFonts w:ascii="Book Antiqua" w:hAnsi="Book Antiqua"/>
          <w:color w:val="000000" w:themeColor="text1"/>
          <w:lang w:val="en-US"/>
        </w:rPr>
        <w:t>, Rispo A, Romano M, Riegler G, Selvaggi F, Bottiglieri E, Martorano M, Rea M, Gravina A, Nardone OM, Patturelli M, Pellino G, Miranda A, Caporaso N, Castiglione F. The burden of anaemia in patients with inflammatory bowel diseases. </w:t>
      </w:r>
      <w:r w:rsidRPr="00DF14B8">
        <w:rPr>
          <w:rFonts w:ascii="Book Antiqua" w:hAnsi="Book Antiqua"/>
          <w:i/>
          <w:iCs/>
          <w:color w:val="000000" w:themeColor="text1"/>
          <w:lang w:val="en-US"/>
        </w:rPr>
        <w:t>Dig Liver Dis</w:t>
      </w:r>
      <w:r w:rsidRPr="00DF14B8">
        <w:rPr>
          <w:rFonts w:ascii="Book Antiqua" w:hAnsi="Book Antiqua"/>
          <w:color w:val="000000" w:themeColor="text1"/>
          <w:lang w:val="en-US"/>
        </w:rPr>
        <w:t> 2016; </w:t>
      </w:r>
      <w:r w:rsidRPr="00DF14B8">
        <w:rPr>
          <w:rFonts w:ascii="Book Antiqua" w:hAnsi="Book Antiqua"/>
          <w:b/>
          <w:bCs/>
          <w:color w:val="000000" w:themeColor="text1"/>
          <w:lang w:val="en-US"/>
        </w:rPr>
        <w:t>48</w:t>
      </w:r>
      <w:r w:rsidRPr="00DF14B8">
        <w:rPr>
          <w:rFonts w:ascii="Book Antiqua" w:hAnsi="Book Antiqua"/>
          <w:color w:val="000000" w:themeColor="text1"/>
          <w:lang w:val="en-US"/>
        </w:rPr>
        <w:t>: 267-270 [PMID: 26698411 DOI: 10.1016/j.dld.2015.10.012]</w:t>
      </w:r>
    </w:p>
    <w:p w14:paraId="5912D17F"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lastRenderedPageBreak/>
        <w:t>24 </w:t>
      </w:r>
      <w:r w:rsidRPr="00DF14B8">
        <w:rPr>
          <w:rFonts w:ascii="Book Antiqua" w:hAnsi="Book Antiqua"/>
          <w:b/>
          <w:bCs/>
          <w:color w:val="000000" w:themeColor="text1"/>
          <w:lang w:val="en-US"/>
        </w:rPr>
        <w:t>Antunes CV</w:t>
      </w:r>
      <w:r w:rsidRPr="00DF14B8">
        <w:rPr>
          <w:rFonts w:ascii="Book Antiqua" w:hAnsi="Book Antiqua"/>
          <w:color w:val="000000" w:themeColor="text1"/>
          <w:lang w:val="en-US"/>
        </w:rPr>
        <w:t>, Hallack Neto AE, Nascimento CR, Chebli LA, Moutinho IL, Pinheiro Bdo V, Reboredo MM, Malaguti C, Castro AC, Chebli JM. Anemia in inflammatory bowel disease outpatients: prevalence, risk factors, and etiology. </w:t>
      </w:r>
      <w:r w:rsidRPr="00DF14B8">
        <w:rPr>
          <w:rFonts w:ascii="Book Antiqua" w:hAnsi="Book Antiqua"/>
          <w:i/>
          <w:iCs/>
          <w:color w:val="000000" w:themeColor="text1"/>
          <w:lang w:val="en-US"/>
        </w:rPr>
        <w:t>Biomed Res Int</w:t>
      </w:r>
      <w:r w:rsidRPr="00DF14B8">
        <w:rPr>
          <w:rFonts w:ascii="Book Antiqua" w:hAnsi="Book Antiqua"/>
          <w:color w:val="000000" w:themeColor="text1"/>
          <w:lang w:val="en-US"/>
        </w:rPr>
        <w:t> 2015; </w:t>
      </w:r>
      <w:r w:rsidRPr="00DF14B8">
        <w:rPr>
          <w:rFonts w:ascii="Book Antiqua" w:hAnsi="Book Antiqua"/>
          <w:b/>
          <w:bCs/>
          <w:color w:val="000000" w:themeColor="text1"/>
          <w:lang w:val="en-US"/>
        </w:rPr>
        <w:t>2015</w:t>
      </w:r>
      <w:r w:rsidRPr="00DF14B8">
        <w:rPr>
          <w:rFonts w:ascii="Book Antiqua" w:hAnsi="Book Antiqua"/>
          <w:color w:val="000000" w:themeColor="text1"/>
          <w:lang w:val="en-US"/>
        </w:rPr>
        <w:t>: 728925 [PMID: 25705682 DOI: 10.1155/2015/728925]</w:t>
      </w:r>
    </w:p>
    <w:p w14:paraId="41FBE48E" w14:textId="6EEF9B22"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25 </w:t>
      </w:r>
      <w:r w:rsidRPr="00DF14B8">
        <w:rPr>
          <w:rFonts w:ascii="Book Antiqua" w:hAnsi="Book Antiqua"/>
          <w:b/>
          <w:bCs/>
          <w:color w:val="000000" w:themeColor="text1"/>
          <w:lang w:val="en-US"/>
        </w:rPr>
        <w:t>Herrera-deGuise C</w:t>
      </w:r>
      <w:r w:rsidRPr="00DF14B8">
        <w:rPr>
          <w:rFonts w:ascii="Book Antiqua" w:hAnsi="Book Antiqua"/>
          <w:color w:val="000000" w:themeColor="text1"/>
          <w:lang w:val="en-US"/>
        </w:rPr>
        <w:t>, Casellas F, Robles V, Navarro E, Borruel N. Iron Deficiency in the Absence of Anemia Impairs the Perception of Health-Related Quality of Life of Patients with Inflammatory Bowel Disease. </w:t>
      </w:r>
      <w:r w:rsidRPr="00DF14B8">
        <w:rPr>
          <w:rFonts w:ascii="Book Antiqua" w:hAnsi="Book Antiqua"/>
          <w:i/>
          <w:iCs/>
          <w:color w:val="000000" w:themeColor="text1"/>
          <w:lang w:val="en-US"/>
        </w:rPr>
        <w:t>Inflamm Bowel Dis</w:t>
      </w:r>
      <w:r w:rsidRPr="00DF14B8">
        <w:rPr>
          <w:rFonts w:ascii="Book Antiqua" w:hAnsi="Book Antiqua"/>
          <w:color w:val="000000" w:themeColor="text1"/>
          <w:lang w:val="en-US"/>
        </w:rPr>
        <w:t>2016; </w:t>
      </w:r>
      <w:r w:rsidRPr="00DF14B8">
        <w:rPr>
          <w:rFonts w:ascii="Book Antiqua" w:hAnsi="Book Antiqua"/>
          <w:b/>
          <w:bCs/>
          <w:color w:val="000000" w:themeColor="text1"/>
          <w:lang w:val="en-US"/>
        </w:rPr>
        <w:t>22</w:t>
      </w:r>
      <w:r w:rsidRPr="00DF14B8">
        <w:rPr>
          <w:rFonts w:ascii="Book Antiqua" w:hAnsi="Book Antiqua"/>
          <w:color w:val="000000" w:themeColor="text1"/>
          <w:lang w:val="en-US"/>
        </w:rPr>
        <w:t xml:space="preserve">: 1450-1455 [PMID: 27057682 DOI: </w:t>
      </w:r>
      <w:r w:rsidR="006031A1" w:rsidRPr="006031A1">
        <w:rPr>
          <w:rFonts w:ascii="Book Antiqua" w:hAnsi="Book Antiqua"/>
          <w:color w:val="000000" w:themeColor="text1"/>
          <w:lang w:val="en-US"/>
        </w:rPr>
        <w:t>10.1097/MIB.0000000000000768</w:t>
      </w:r>
      <w:r w:rsidRPr="00DF14B8">
        <w:rPr>
          <w:rFonts w:ascii="Book Antiqua" w:hAnsi="Book Antiqua"/>
          <w:color w:val="000000" w:themeColor="text1"/>
          <w:lang w:val="en-US"/>
        </w:rPr>
        <w:t>]</w:t>
      </w:r>
    </w:p>
    <w:p w14:paraId="777BF93E" w14:textId="07354F34"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26 </w:t>
      </w:r>
      <w:r w:rsidRPr="00DF14B8">
        <w:rPr>
          <w:rFonts w:ascii="Book Antiqua" w:hAnsi="Book Antiqua"/>
          <w:b/>
          <w:bCs/>
          <w:color w:val="000000" w:themeColor="text1"/>
          <w:lang w:val="en-US"/>
        </w:rPr>
        <w:t>Murawska N</w:t>
      </w:r>
      <w:r w:rsidRPr="00DF14B8">
        <w:rPr>
          <w:rFonts w:ascii="Book Antiqua" w:hAnsi="Book Antiqua"/>
          <w:color w:val="000000" w:themeColor="text1"/>
          <w:lang w:val="en-US"/>
        </w:rPr>
        <w:t>, Fabisiak A, Fichna J. Anemia of Chronic Disease and Iron Deficiency Anemia in Inflammatory Bowel Diseases: Pathophysiology, Diagnosis, and Treatment. </w:t>
      </w:r>
      <w:r w:rsidRPr="00DF14B8">
        <w:rPr>
          <w:rFonts w:ascii="Book Antiqua" w:hAnsi="Book Antiqua"/>
          <w:i/>
          <w:iCs/>
          <w:color w:val="000000" w:themeColor="text1"/>
          <w:lang w:val="en-US"/>
        </w:rPr>
        <w:t>Inflamm Bowel Dis</w:t>
      </w:r>
      <w:r w:rsidRPr="00DF14B8">
        <w:rPr>
          <w:rFonts w:ascii="Book Antiqua" w:hAnsi="Book Antiqua"/>
          <w:color w:val="000000" w:themeColor="text1"/>
          <w:lang w:val="en-US"/>
        </w:rPr>
        <w:t> 2016; </w:t>
      </w:r>
      <w:r w:rsidRPr="00DF14B8">
        <w:rPr>
          <w:rFonts w:ascii="Book Antiqua" w:hAnsi="Book Antiqua"/>
          <w:b/>
          <w:bCs/>
          <w:color w:val="000000" w:themeColor="text1"/>
          <w:lang w:val="en-US"/>
        </w:rPr>
        <w:t>22</w:t>
      </w:r>
      <w:r w:rsidRPr="00DF14B8">
        <w:rPr>
          <w:rFonts w:ascii="Book Antiqua" w:hAnsi="Book Antiqua"/>
          <w:color w:val="000000" w:themeColor="text1"/>
          <w:lang w:val="en-US"/>
        </w:rPr>
        <w:t xml:space="preserve">: 1198-1208 [PMID: 26818422 DOI: </w:t>
      </w:r>
      <w:r w:rsidR="006031A1" w:rsidRPr="006031A1">
        <w:rPr>
          <w:rFonts w:ascii="Book Antiqua" w:hAnsi="Book Antiqua"/>
          <w:color w:val="000000" w:themeColor="text1"/>
          <w:lang w:val="en-US"/>
        </w:rPr>
        <w:t>10.1097/MIB.0000000000000648</w:t>
      </w:r>
      <w:r w:rsidRPr="00DF14B8">
        <w:rPr>
          <w:rFonts w:ascii="Book Antiqua" w:hAnsi="Book Antiqua"/>
          <w:color w:val="000000" w:themeColor="text1"/>
          <w:lang w:val="en-US"/>
        </w:rPr>
        <w:t>]</w:t>
      </w:r>
    </w:p>
    <w:p w14:paraId="6A15C1AC"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27 </w:t>
      </w:r>
      <w:r w:rsidRPr="00DF14B8">
        <w:rPr>
          <w:rFonts w:ascii="Book Antiqua" w:hAnsi="Book Antiqua"/>
          <w:b/>
          <w:bCs/>
          <w:color w:val="000000" w:themeColor="text1"/>
          <w:lang w:val="en-US"/>
        </w:rPr>
        <w:t>Basseri RJ</w:t>
      </w:r>
      <w:r w:rsidRPr="00DF14B8">
        <w:rPr>
          <w:rFonts w:ascii="Book Antiqua" w:hAnsi="Book Antiqua"/>
          <w:color w:val="000000" w:themeColor="text1"/>
          <w:lang w:val="en-US"/>
        </w:rPr>
        <w:t>, Nemeth E, Vassilaki ME, Basseri B, Enayati P, Shaye O, Bourikas LA, Ganz T, Papadakis KA. Hepcidin is a key mediator of anemia of inflammation in Crohn's disease. </w:t>
      </w:r>
      <w:r w:rsidRPr="00DF14B8">
        <w:rPr>
          <w:rFonts w:ascii="Book Antiqua" w:hAnsi="Book Antiqua"/>
          <w:i/>
          <w:iCs/>
          <w:color w:val="000000" w:themeColor="text1"/>
          <w:lang w:val="en-US"/>
        </w:rPr>
        <w:t>J Crohns Colitis</w:t>
      </w:r>
      <w:r w:rsidRPr="00DF14B8">
        <w:rPr>
          <w:rFonts w:ascii="Book Antiqua" w:hAnsi="Book Antiqua"/>
          <w:color w:val="000000" w:themeColor="text1"/>
          <w:lang w:val="en-US"/>
        </w:rPr>
        <w:t> 2013; </w:t>
      </w:r>
      <w:r w:rsidRPr="00DF14B8">
        <w:rPr>
          <w:rFonts w:ascii="Book Antiqua" w:hAnsi="Book Antiqua"/>
          <w:b/>
          <w:bCs/>
          <w:color w:val="000000" w:themeColor="text1"/>
          <w:lang w:val="en-US"/>
        </w:rPr>
        <w:t>7</w:t>
      </w:r>
      <w:r w:rsidRPr="00DF14B8">
        <w:rPr>
          <w:rFonts w:ascii="Book Antiqua" w:hAnsi="Book Antiqua"/>
          <w:color w:val="000000" w:themeColor="text1"/>
          <w:lang w:val="en-US"/>
        </w:rPr>
        <w:t>: e286-e291 [PMID: 23219355 DOI: 10.1016/j.crohns.2012.10.013]</w:t>
      </w:r>
    </w:p>
    <w:p w14:paraId="5FB3D0F4"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28 </w:t>
      </w:r>
      <w:r w:rsidRPr="00DF14B8">
        <w:rPr>
          <w:rFonts w:ascii="Book Antiqua" w:hAnsi="Book Antiqua"/>
          <w:b/>
          <w:bCs/>
          <w:color w:val="000000" w:themeColor="text1"/>
          <w:lang w:val="en-US"/>
        </w:rPr>
        <w:t>Semrin G</w:t>
      </w:r>
      <w:r w:rsidRPr="00DF14B8">
        <w:rPr>
          <w:rFonts w:ascii="Book Antiqua" w:hAnsi="Book Antiqua"/>
          <w:color w:val="000000" w:themeColor="text1"/>
          <w:lang w:val="en-US"/>
        </w:rPr>
        <w:t>, Fishman DS, Bousvaros A, Zholudev A, Saunders AC, Correia CE, Nemeth E, Grand RJ, Weinstein DA. Impaired intestinal iron absorption in Crohn's disease correlates with disease activity and markers of inflammation. </w:t>
      </w:r>
      <w:r w:rsidRPr="00DF14B8">
        <w:rPr>
          <w:rFonts w:ascii="Book Antiqua" w:hAnsi="Book Antiqua"/>
          <w:i/>
          <w:iCs/>
          <w:color w:val="000000" w:themeColor="text1"/>
          <w:lang w:val="en-US"/>
        </w:rPr>
        <w:t>Inflamm Bowel Dis</w:t>
      </w:r>
      <w:r w:rsidRPr="00DF14B8">
        <w:rPr>
          <w:rFonts w:ascii="Book Antiqua" w:hAnsi="Book Antiqua"/>
          <w:color w:val="000000" w:themeColor="text1"/>
          <w:lang w:val="en-US"/>
        </w:rPr>
        <w:t> 2006; </w:t>
      </w:r>
      <w:r w:rsidRPr="00DF14B8">
        <w:rPr>
          <w:rFonts w:ascii="Book Antiqua" w:hAnsi="Book Antiqua"/>
          <w:b/>
          <w:bCs/>
          <w:color w:val="000000" w:themeColor="text1"/>
          <w:lang w:val="en-US"/>
        </w:rPr>
        <w:t>12</w:t>
      </w:r>
      <w:r w:rsidRPr="00DF14B8">
        <w:rPr>
          <w:rFonts w:ascii="Book Antiqua" w:hAnsi="Book Antiqua"/>
          <w:color w:val="000000" w:themeColor="text1"/>
          <w:lang w:val="en-US"/>
        </w:rPr>
        <w:t>: 1101-1106 [PMID: 17119383 DOI: 10.1097/01.mib.0000235097.86360.04]</w:t>
      </w:r>
    </w:p>
    <w:p w14:paraId="106408F2"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29 </w:t>
      </w:r>
      <w:r w:rsidRPr="00DF14B8">
        <w:rPr>
          <w:rFonts w:ascii="Book Antiqua" w:hAnsi="Book Antiqua"/>
          <w:b/>
          <w:bCs/>
          <w:color w:val="000000" w:themeColor="text1"/>
          <w:lang w:val="en-US"/>
        </w:rPr>
        <w:t>Gasche C</w:t>
      </w:r>
      <w:r w:rsidRPr="00DF14B8">
        <w:rPr>
          <w:rFonts w:ascii="Book Antiqua" w:hAnsi="Book Antiqua"/>
          <w:color w:val="000000" w:themeColor="text1"/>
          <w:lang w:val="en-US"/>
        </w:rPr>
        <w:t>, Lomer MC, Cavill I, Weiss G. Iron, anaemia, and inflammatory bowel diseases. </w:t>
      </w:r>
      <w:r w:rsidRPr="00DF14B8">
        <w:rPr>
          <w:rFonts w:ascii="Book Antiqua" w:hAnsi="Book Antiqua"/>
          <w:i/>
          <w:iCs/>
          <w:color w:val="000000" w:themeColor="text1"/>
          <w:lang w:val="en-US"/>
        </w:rPr>
        <w:t>Gut</w:t>
      </w:r>
      <w:r w:rsidRPr="00DF14B8">
        <w:rPr>
          <w:rFonts w:ascii="Book Antiqua" w:hAnsi="Book Antiqua"/>
          <w:color w:val="000000" w:themeColor="text1"/>
          <w:lang w:val="en-US"/>
        </w:rPr>
        <w:t> 2004; </w:t>
      </w:r>
      <w:r w:rsidRPr="00DF14B8">
        <w:rPr>
          <w:rFonts w:ascii="Book Antiqua" w:hAnsi="Book Antiqua"/>
          <w:b/>
          <w:bCs/>
          <w:color w:val="000000" w:themeColor="text1"/>
          <w:lang w:val="en-US"/>
        </w:rPr>
        <w:t>53</w:t>
      </w:r>
      <w:r w:rsidRPr="00DF14B8">
        <w:rPr>
          <w:rFonts w:ascii="Book Antiqua" w:hAnsi="Book Antiqua"/>
          <w:color w:val="000000" w:themeColor="text1"/>
          <w:lang w:val="en-US"/>
        </w:rPr>
        <w:t>: 1190-1197 [PMID: 15247190 DOI: 10.1136/gut.2003.035758]</w:t>
      </w:r>
    </w:p>
    <w:p w14:paraId="68B7D965"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30 </w:t>
      </w:r>
      <w:r w:rsidRPr="00DF14B8">
        <w:rPr>
          <w:rFonts w:ascii="Book Antiqua" w:hAnsi="Book Antiqua"/>
          <w:b/>
          <w:bCs/>
          <w:color w:val="000000" w:themeColor="text1"/>
          <w:lang w:val="en-US"/>
        </w:rPr>
        <w:t>Jelkmann W</w:t>
      </w:r>
      <w:r w:rsidRPr="00DF14B8">
        <w:rPr>
          <w:rFonts w:ascii="Book Antiqua" w:hAnsi="Book Antiqua"/>
          <w:color w:val="000000" w:themeColor="text1"/>
          <w:lang w:val="en-US"/>
        </w:rPr>
        <w:t>. Proinflammatory cytokines lowering erythropoietin production. </w:t>
      </w:r>
      <w:r w:rsidRPr="00DF14B8">
        <w:rPr>
          <w:rFonts w:ascii="Book Antiqua" w:hAnsi="Book Antiqua"/>
          <w:i/>
          <w:iCs/>
          <w:color w:val="000000" w:themeColor="text1"/>
          <w:lang w:val="en-US"/>
        </w:rPr>
        <w:t>J Interferon Cytokine Res</w:t>
      </w:r>
      <w:r w:rsidRPr="00DF14B8">
        <w:rPr>
          <w:rFonts w:ascii="Book Antiqua" w:hAnsi="Book Antiqua"/>
          <w:color w:val="000000" w:themeColor="text1"/>
          <w:lang w:val="en-US"/>
        </w:rPr>
        <w:t> 1998; </w:t>
      </w:r>
      <w:r w:rsidRPr="00DF14B8">
        <w:rPr>
          <w:rFonts w:ascii="Book Antiqua" w:hAnsi="Book Antiqua"/>
          <w:b/>
          <w:bCs/>
          <w:color w:val="000000" w:themeColor="text1"/>
          <w:lang w:val="en-US"/>
        </w:rPr>
        <w:t>18</w:t>
      </w:r>
      <w:r w:rsidRPr="00DF14B8">
        <w:rPr>
          <w:rFonts w:ascii="Book Antiqua" w:hAnsi="Book Antiqua"/>
          <w:color w:val="000000" w:themeColor="text1"/>
          <w:lang w:val="en-US"/>
        </w:rPr>
        <w:t>: 555-559 [PMID: 9726435 DOI: 10.1089/jir.1998.18.555]</w:t>
      </w:r>
    </w:p>
    <w:p w14:paraId="701BDB58"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31 </w:t>
      </w:r>
      <w:r w:rsidRPr="00DF14B8">
        <w:rPr>
          <w:rFonts w:ascii="Book Antiqua" w:hAnsi="Book Antiqua"/>
          <w:b/>
          <w:bCs/>
          <w:color w:val="000000" w:themeColor="text1"/>
          <w:lang w:val="en-US"/>
        </w:rPr>
        <w:t>Dallalio G</w:t>
      </w:r>
      <w:r w:rsidRPr="00DF14B8">
        <w:rPr>
          <w:rFonts w:ascii="Book Antiqua" w:hAnsi="Book Antiqua"/>
          <w:color w:val="000000" w:themeColor="text1"/>
          <w:lang w:val="en-US"/>
        </w:rPr>
        <w:t>, Law E, Means RT Jr. Hepcidin inhibits in vitro erythroid colony formation at reduced erythropoietin concentrations. </w:t>
      </w:r>
      <w:r w:rsidRPr="00DF14B8">
        <w:rPr>
          <w:rFonts w:ascii="Book Antiqua" w:hAnsi="Book Antiqua"/>
          <w:i/>
          <w:iCs/>
          <w:color w:val="000000" w:themeColor="text1"/>
          <w:lang w:val="en-US"/>
        </w:rPr>
        <w:t>Blood</w:t>
      </w:r>
      <w:r w:rsidRPr="00DF14B8">
        <w:rPr>
          <w:rFonts w:ascii="Book Antiqua" w:hAnsi="Book Antiqua"/>
          <w:color w:val="000000" w:themeColor="text1"/>
          <w:lang w:val="en-US"/>
        </w:rPr>
        <w:t> 2006; </w:t>
      </w:r>
      <w:r w:rsidRPr="00DF14B8">
        <w:rPr>
          <w:rFonts w:ascii="Book Antiqua" w:hAnsi="Book Antiqua"/>
          <w:b/>
          <w:bCs/>
          <w:color w:val="000000" w:themeColor="text1"/>
          <w:lang w:val="en-US"/>
        </w:rPr>
        <w:t>107</w:t>
      </w:r>
      <w:r w:rsidRPr="00DF14B8">
        <w:rPr>
          <w:rFonts w:ascii="Book Antiqua" w:hAnsi="Book Antiqua"/>
          <w:color w:val="000000" w:themeColor="text1"/>
          <w:lang w:val="en-US"/>
        </w:rPr>
        <w:t>: 2702-2704 [PMID: 16332970 DOI: 10.1182/blood-2005-07-2854]</w:t>
      </w:r>
    </w:p>
    <w:p w14:paraId="77BAAF22"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32 </w:t>
      </w:r>
      <w:r w:rsidRPr="00DF14B8">
        <w:rPr>
          <w:rFonts w:ascii="Book Antiqua" w:hAnsi="Book Antiqua"/>
          <w:b/>
          <w:bCs/>
          <w:color w:val="000000" w:themeColor="text1"/>
          <w:lang w:val="en-US"/>
        </w:rPr>
        <w:t>Libregts SF</w:t>
      </w:r>
      <w:r w:rsidRPr="00DF14B8">
        <w:rPr>
          <w:rFonts w:ascii="Book Antiqua" w:hAnsi="Book Antiqua"/>
          <w:color w:val="000000" w:themeColor="text1"/>
          <w:lang w:val="en-US"/>
        </w:rPr>
        <w:t xml:space="preserve">, Gutiérrez L, de Bruin AM, Wensveen FM, Papadopoulos P, van Ijcken W, Ozgür Z, Philipsen S, Nolte MA. Chronic IFN-γ production in mice induces anemia by reducing erythrocyte life span and inhibiting erythropoiesis through an </w:t>
      </w:r>
      <w:r w:rsidRPr="00DF14B8">
        <w:rPr>
          <w:rFonts w:ascii="Book Antiqua" w:hAnsi="Book Antiqua"/>
          <w:color w:val="000000" w:themeColor="text1"/>
          <w:lang w:val="en-US"/>
        </w:rPr>
        <w:lastRenderedPageBreak/>
        <w:t>IRF-1/PU.1 axis. </w:t>
      </w:r>
      <w:r w:rsidRPr="00DF14B8">
        <w:rPr>
          <w:rFonts w:ascii="Book Antiqua" w:hAnsi="Book Antiqua"/>
          <w:i/>
          <w:iCs/>
          <w:color w:val="000000" w:themeColor="text1"/>
          <w:lang w:val="en-US"/>
        </w:rPr>
        <w:t>Blood</w:t>
      </w:r>
      <w:r w:rsidRPr="00DF14B8">
        <w:rPr>
          <w:rFonts w:ascii="Book Antiqua" w:hAnsi="Book Antiqua"/>
          <w:color w:val="000000" w:themeColor="text1"/>
          <w:lang w:val="en-US"/>
        </w:rPr>
        <w:t> 2011; </w:t>
      </w:r>
      <w:r w:rsidRPr="00DF14B8">
        <w:rPr>
          <w:rFonts w:ascii="Book Antiqua" w:hAnsi="Book Antiqua"/>
          <w:b/>
          <w:bCs/>
          <w:color w:val="000000" w:themeColor="text1"/>
          <w:lang w:val="en-US"/>
        </w:rPr>
        <w:t>118</w:t>
      </w:r>
      <w:r w:rsidRPr="00DF14B8">
        <w:rPr>
          <w:rFonts w:ascii="Book Antiqua" w:hAnsi="Book Antiqua"/>
          <w:color w:val="000000" w:themeColor="text1"/>
          <w:lang w:val="en-US"/>
        </w:rPr>
        <w:t>: 2578-2588 [PMID: 21725055 DOI: 10.1182/blood-2010-10-315218]</w:t>
      </w:r>
    </w:p>
    <w:p w14:paraId="4FDDA868"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33 </w:t>
      </w:r>
      <w:r w:rsidRPr="00DF14B8">
        <w:rPr>
          <w:rFonts w:ascii="Book Antiqua" w:hAnsi="Book Antiqua"/>
          <w:b/>
          <w:bCs/>
          <w:color w:val="000000" w:themeColor="text1"/>
          <w:lang w:val="en-US"/>
        </w:rPr>
        <w:t>Felli N</w:t>
      </w:r>
      <w:r w:rsidRPr="00DF14B8">
        <w:rPr>
          <w:rFonts w:ascii="Book Antiqua" w:hAnsi="Book Antiqua"/>
          <w:color w:val="000000" w:themeColor="text1"/>
          <w:lang w:val="en-US"/>
        </w:rPr>
        <w:t>, Pedini F, Zeuner A, Petrucci E, Testa U, Conticello C, Biffoni M, Di Cataldo A, Winkles JA, Peschle C, De Maria R. Multiple members of the TNF superfamily contribute to IFN-gamma-mediated inhibition of erythropoiesis. </w:t>
      </w:r>
      <w:r w:rsidRPr="00DF14B8">
        <w:rPr>
          <w:rFonts w:ascii="Book Antiqua" w:hAnsi="Book Antiqua"/>
          <w:i/>
          <w:iCs/>
          <w:color w:val="000000" w:themeColor="text1"/>
          <w:lang w:val="en-US"/>
        </w:rPr>
        <w:t>J Immunol</w:t>
      </w:r>
      <w:r w:rsidRPr="00DF14B8">
        <w:rPr>
          <w:rFonts w:ascii="Book Antiqua" w:hAnsi="Book Antiqua"/>
          <w:color w:val="000000" w:themeColor="text1"/>
          <w:lang w:val="en-US"/>
        </w:rPr>
        <w:t> 2005; </w:t>
      </w:r>
      <w:r w:rsidRPr="00DF14B8">
        <w:rPr>
          <w:rFonts w:ascii="Book Antiqua" w:hAnsi="Book Antiqua"/>
          <w:b/>
          <w:bCs/>
          <w:color w:val="000000" w:themeColor="text1"/>
          <w:lang w:val="en-US"/>
        </w:rPr>
        <w:t>175</w:t>
      </w:r>
      <w:r w:rsidRPr="00DF14B8">
        <w:rPr>
          <w:rFonts w:ascii="Book Antiqua" w:hAnsi="Book Antiqua"/>
          <w:color w:val="000000" w:themeColor="text1"/>
          <w:lang w:val="en-US"/>
        </w:rPr>
        <w:t>: 1464-1472 [PMID: 16034083]</w:t>
      </w:r>
    </w:p>
    <w:p w14:paraId="05927DC5"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34 </w:t>
      </w:r>
      <w:r w:rsidRPr="00DF14B8">
        <w:rPr>
          <w:rFonts w:ascii="Book Antiqua" w:hAnsi="Book Antiqua"/>
          <w:b/>
          <w:bCs/>
          <w:color w:val="000000" w:themeColor="text1"/>
          <w:lang w:val="en-US"/>
        </w:rPr>
        <w:t>Ward MG</w:t>
      </w:r>
      <w:r w:rsidRPr="00DF14B8">
        <w:rPr>
          <w:rFonts w:ascii="Book Antiqua" w:hAnsi="Book Antiqua"/>
          <w:color w:val="000000" w:themeColor="text1"/>
          <w:lang w:val="en-US"/>
        </w:rPr>
        <w:t>, Kariyawasam VC, Mogan SB, Patel KV, Pantelidou M, Sobczyńska-Malefora A, Porté F, Griffin N, Anderson SH, Sanderson JD, Harrington DJ, Irving PM. Prevalence and Risk Factors for Functional Vitamin B12 Deficiency in Patients with Crohn's Disease. </w:t>
      </w:r>
      <w:r w:rsidRPr="00DF14B8">
        <w:rPr>
          <w:rFonts w:ascii="Book Antiqua" w:hAnsi="Book Antiqua"/>
          <w:i/>
          <w:iCs/>
          <w:color w:val="000000" w:themeColor="text1"/>
          <w:lang w:val="en-US"/>
        </w:rPr>
        <w:t>Inflamm Bowel Dis</w:t>
      </w:r>
      <w:r w:rsidRPr="00DF14B8">
        <w:rPr>
          <w:rFonts w:ascii="Book Antiqua" w:hAnsi="Book Antiqua"/>
          <w:color w:val="000000" w:themeColor="text1"/>
          <w:lang w:val="en-US"/>
        </w:rPr>
        <w:t> 2015; </w:t>
      </w:r>
      <w:r w:rsidRPr="00DF14B8">
        <w:rPr>
          <w:rFonts w:ascii="Book Antiqua" w:hAnsi="Book Antiqua"/>
          <w:b/>
          <w:bCs/>
          <w:color w:val="000000" w:themeColor="text1"/>
          <w:lang w:val="en-US"/>
        </w:rPr>
        <w:t>21</w:t>
      </w:r>
      <w:r w:rsidRPr="00DF14B8">
        <w:rPr>
          <w:rFonts w:ascii="Book Antiqua" w:hAnsi="Book Antiqua"/>
          <w:color w:val="000000" w:themeColor="text1"/>
          <w:lang w:val="en-US"/>
        </w:rPr>
        <w:t>: 2839-2847 [PMID: 26296064 DOI: 10.1097/MIB.0000000000000559]</w:t>
      </w:r>
    </w:p>
    <w:p w14:paraId="5FEF95D4"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35 </w:t>
      </w:r>
      <w:r w:rsidRPr="00DF14B8">
        <w:rPr>
          <w:rFonts w:ascii="Book Antiqua" w:hAnsi="Book Antiqua"/>
          <w:b/>
          <w:bCs/>
          <w:color w:val="000000" w:themeColor="text1"/>
          <w:lang w:val="en-US"/>
        </w:rPr>
        <w:t>Yakut M</w:t>
      </w:r>
      <w:r w:rsidRPr="00DF14B8">
        <w:rPr>
          <w:rFonts w:ascii="Book Antiqua" w:hAnsi="Book Antiqua"/>
          <w:color w:val="000000" w:themeColor="text1"/>
          <w:lang w:val="en-US"/>
        </w:rPr>
        <w:t>, Ustün Y, Kabaçam G, Soykan I. Serum vitamin B12 and folate status in patients with inflammatory bowel diseases. </w:t>
      </w:r>
      <w:r w:rsidRPr="00DF14B8">
        <w:rPr>
          <w:rFonts w:ascii="Book Antiqua" w:hAnsi="Book Antiqua"/>
          <w:i/>
          <w:iCs/>
          <w:color w:val="000000" w:themeColor="text1"/>
          <w:lang w:val="en-US"/>
        </w:rPr>
        <w:t>Eur J Intern Med</w:t>
      </w:r>
      <w:r w:rsidRPr="00DF14B8">
        <w:rPr>
          <w:rFonts w:ascii="Book Antiqua" w:hAnsi="Book Antiqua"/>
          <w:color w:val="000000" w:themeColor="text1"/>
          <w:lang w:val="en-US"/>
        </w:rPr>
        <w:t> 2010; </w:t>
      </w:r>
      <w:r w:rsidRPr="00DF14B8">
        <w:rPr>
          <w:rFonts w:ascii="Book Antiqua" w:hAnsi="Book Antiqua"/>
          <w:b/>
          <w:bCs/>
          <w:color w:val="000000" w:themeColor="text1"/>
          <w:lang w:val="en-US"/>
        </w:rPr>
        <w:t>21</w:t>
      </w:r>
      <w:r w:rsidRPr="00DF14B8">
        <w:rPr>
          <w:rFonts w:ascii="Book Antiqua" w:hAnsi="Book Antiqua"/>
          <w:color w:val="000000" w:themeColor="text1"/>
          <w:lang w:val="en-US"/>
        </w:rPr>
        <w:t>: 320-323 [PMID: 20603044 DOI: 10.1016/j.ejim.2010.05.007]</w:t>
      </w:r>
    </w:p>
    <w:p w14:paraId="0553C6C1"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36 </w:t>
      </w:r>
      <w:r w:rsidRPr="00DF14B8">
        <w:rPr>
          <w:rFonts w:ascii="Book Antiqua" w:hAnsi="Book Antiqua"/>
          <w:b/>
          <w:bCs/>
          <w:color w:val="000000" w:themeColor="text1"/>
          <w:lang w:val="en-US"/>
        </w:rPr>
        <w:t>M'Koma AE</w:t>
      </w:r>
      <w:r w:rsidRPr="00DF14B8">
        <w:rPr>
          <w:rFonts w:ascii="Book Antiqua" w:hAnsi="Book Antiqua"/>
          <w:color w:val="000000" w:themeColor="text1"/>
          <w:lang w:val="en-US"/>
        </w:rPr>
        <w:t>. Follow-up results of hematology data before and after restorative proctocolectomy. Clinical outcome. </w:t>
      </w:r>
      <w:r w:rsidRPr="00DF14B8">
        <w:rPr>
          <w:rFonts w:ascii="Book Antiqua" w:hAnsi="Book Antiqua"/>
          <w:i/>
          <w:iCs/>
          <w:color w:val="000000" w:themeColor="text1"/>
          <w:lang w:val="en-US"/>
        </w:rPr>
        <w:t>Dis Colon Rectum</w:t>
      </w:r>
      <w:r w:rsidRPr="00DF14B8">
        <w:rPr>
          <w:rFonts w:ascii="Book Antiqua" w:hAnsi="Book Antiqua"/>
          <w:color w:val="000000" w:themeColor="text1"/>
          <w:lang w:val="en-US"/>
        </w:rPr>
        <w:t> 1994; </w:t>
      </w:r>
      <w:r w:rsidRPr="00DF14B8">
        <w:rPr>
          <w:rFonts w:ascii="Book Antiqua" w:hAnsi="Book Antiqua"/>
          <w:b/>
          <w:bCs/>
          <w:color w:val="000000" w:themeColor="text1"/>
          <w:lang w:val="en-US"/>
        </w:rPr>
        <w:t>37</w:t>
      </w:r>
      <w:r w:rsidRPr="00DF14B8">
        <w:rPr>
          <w:rFonts w:ascii="Book Antiqua" w:hAnsi="Book Antiqua"/>
          <w:color w:val="000000" w:themeColor="text1"/>
          <w:lang w:val="en-US"/>
        </w:rPr>
        <w:t>: 932-937 [PMID: 8076494]</w:t>
      </w:r>
    </w:p>
    <w:p w14:paraId="79FC7A54"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37 </w:t>
      </w:r>
      <w:r w:rsidRPr="00DF14B8">
        <w:rPr>
          <w:rFonts w:ascii="Book Antiqua" w:hAnsi="Book Antiqua"/>
          <w:b/>
          <w:bCs/>
          <w:color w:val="000000" w:themeColor="text1"/>
          <w:lang w:val="en-US"/>
        </w:rPr>
        <w:t>Gisbert JP</w:t>
      </w:r>
      <w:r w:rsidRPr="00DF14B8">
        <w:rPr>
          <w:rFonts w:ascii="Book Antiqua" w:hAnsi="Book Antiqua"/>
          <w:color w:val="000000" w:themeColor="text1"/>
          <w:lang w:val="en-US"/>
        </w:rPr>
        <w:t>, Gomollón F. Thiopurine-induced myelotoxicity in patients with inflammatory bowel disease: a review. </w:t>
      </w:r>
      <w:r w:rsidRPr="00DF14B8">
        <w:rPr>
          <w:rFonts w:ascii="Book Antiqua" w:hAnsi="Book Antiqua"/>
          <w:i/>
          <w:iCs/>
          <w:color w:val="000000" w:themeColor="text1"/>
          <w:lang w:val="en-US"/>
        </w:rPr>
        <w:t>Am J Gastroenterol</w:t>
      </w:r>
      <w:r w:rsidRPr="00DF14B8">
        <w:rPr>
          <w:rFonts w:ascii="Book Antiqua" w:hAnsi="Book Antiqua"/>
          <w:color w:val="000000" w:themeColor="text1"/>
          <w:lang w:val="en-US"/>
        </w:rPr>
        <w:t> 2008; </w:t>
      </w:r>
      <w:r w:rsidRPr="00DF14B8">
        <w:rPr>
          <w:rFonts w:ascii="Book Antiqua" w:hAnsi="Book Antiqua"/>
          <w:b/>
          <w:bCs/>
          <w:color w:val="000000" w:themeColor="text1"/>
          <w:lang w:val="en-US"/>
        </w:rPr>
        <w:t>103</w:t>
      </w:r>
      <w:r w:rsidRPr="00DF14B8">
        <w:rPr>
          <w:rFonts w:ascii="Book Antiqua" w:hAnsi="Book Antiqua"/>
          <w:color w:val="000000" w:themeColor="text1"/>
          <w:lang w:val="en-US"/>
        </w:rPr>
        <w:t>: 1783-1800 [PMID: 18557712 DOI: 10.1111/j.1572-0241.2008.01848.x]</w:t>
      </w:r>
    </w:p>
    <w:p w14:paraId="65EDECC3"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38 </w:t>
      </w:r>
      <w:r w:rsidRPr="00DF14B8">
        <w:rPr>
          <w:rFonts w:ascii="Book Antiqua" w:hAnsi="Book Antiqua"/>
          <w:b/>
          <w:bCs/>
          <w:color w:val="000000" w:themeColor="text1"/>
          <w:lang w:val="en-US"/>
        </w:rPr>
        <w:t>Ransford RA</w:t>
      </w:r>
      <w:r w:rsidRPr="00DF14B8">
        <w:rPr>
          <w:rFonts w:ascii="Book Antiqua" w:hAnsi="Book Antiqua"/>
          <w:color w:val="000000" w:themeColor="text1"/>
          <w:lang w:val="en-US"/>
        </w:rPr>
        <w:t>, Langman MJ. Sulphasalazine and mesalazine: serious adverse reactions re-evaluated on the basis of suspected adverse reaction reports to the Committee on Safety of Medicines. </w:t>
      </w:r>
      <w:r w:rsidRPr="00DF14B8">
        <w:rPr>
          <w:rFonts w:ascii="Book Antiqua" w:hAnsi="Book Antiqua"/>
          <w:i/>
          <w:iCs/>
          <w:color w:val="000000" w:themeColor="text1"/>
          <w:lang w:val="en-US"/>
        </w:rPr>
        <w:t>Gut</w:t>
      </w:r>
      <w:r w:rsidRPr="00DF14B8">
        <w:rPr>
          <w:rFonts w:ascii="Book Antiqua" w:hAnsi="Book Antiqua"/>
          <w:color w:val="000000" w:themeColor="text1"/>
          <w:lang w:val="en-US"/>
        </w:rPr>
        <w:t> 2002; </w:t>
      </w:r>
      <w:r w:rsidRPr="00DF14B8">
        <w:rPr>
          <w:rFonts w:ascii="Book Antiqua" w:hAnsi="Book Antiqua"/>
          <w:b/>
          <w:bCs/>
          <w:color w:val="000000" w:themeColor="text1"/>
          <w:lang w:val="en-US"/>
        </w:rPr>
        <w:t>51</w:t>
      </w:r>
      <w:r w:rsidRPr="00DF14B8">
        <w:rPr>
          <w:rFonts w:ascii="Book Antiqua" w:hAnsi="Book Antiqua"/>
          <w:color w:val="000000" w:themeColor="text1"/>
          <w:lang w:val="en-US"/>
        </w:rPr>
        <w:t>: 536-539 [PMID: 12235076]</w:t>
      </w:r>
    </w:p>
    <w:p w14:paraId="73A0E59B"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39 </w:t>
      </w:r>
      <w:r w:rsidRPr="00DF14B8">
        <w:rPr>
          <w:rFonts w:ascii="Book Antiqua" w:hAnsi="Book Antiqua"/>
          <w:b/>
          <w:bCs/>
          <w:color w:val="000000" w:themeColor="text1"/>
          <w:lang w:val="en-US"/>
        </w:rPr>
        <w:t>Blumenstein I</w:t>
      </w:r>
      <w:r w:rsidRPr="00DF14B8">
        <w:rPr>
          <w:rFonts w:ascii="Book Antiqua" w:hAnsi="Book Antiqua"/>
          <w:color w:val="000000" w:themeColor="text1"/>
          <w:lang w:val="en-US"/>
        </w:rPr>
        <w:t>, Dignass A, Vollmer S, Klemm W, Weber-Mangal S, Stein J. Current practice in the diagnosis and management of IBD-associated anaemia and iron deficiency in Germany: the German AnaemIBD Study. </w:t>
      </w:r>
      <w:r w:rsidRPr="00DF14B8">
        <w:rPr>
          <w:rFonts w:ascii="Book Antiqua" w:hAnsi="Book Antiqua"/>
          <w:i/>
          <w:iCs/>
          <w:color w:val="000000" w:themeColor="text1"/>
          <w:lang w:val="en-US"/>
        </w:rPr>
        <w:t>J Crohns Colitis</w:t>
      </w:r>
      <w:r w:rsidRPr="00DF14B8">
        <w:rPr>
          <w:rFonts w:ascii="Book Antiqua" w:hAnsi="Book Antiqua"/>
          <w:color w:val="000000" w:themeColor="text1"/>
          <w:lang w:val="en-US"/>
        </w:rPr>
        <w:t> 2014; </w:t>
      </w:r>
      <w:r w:rsidRPr="00DF14B8">
        <w:rPr>
          <w:rFonts w:ascii="Book Antiqua" w:hAnsi="Book Antiqua"/>
          <w:b/>
          <w:bCs/>
          <w:color w:val="000000" w:themeColor="text1"/>
          <w:lang w:val="en-US"/>
        </w:rPr>
        <w:t>8</w:t>
      </w:r>
      <w:r w:rsidRPr="00DF14B8">
        <w:rPr>
          <w:rFonts w:ascii="Book Antiqua" w:hAnsi="Book Antiqua"/>
          <w:color w:val="000000" w:themeColor="text1"/>
          <w:lang w:val="en-US"/>
        </w:rPr>
        <w:t>: 1308-1314 [PMID: 24721157 DOI: 10.1016/j.crohns.2014.03.010]</w:t>
      </w:r>
    </w:p>
    <w:p w14:paraId="7E95534E"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40 </w:t>
      </w:r>
      <w:r w:rsidRPr="00DF14B8">
        <w:rPr>
          <w:rFonts w:ascii="Book Antiqua" w:hAnsi="Book Antiqua"/>
          <w:b/>
          <w:bCs/>
          <w:color w:val="000000" w:themeColor="text1"/>
          <w:lang w:val="en-US"/>
        </w:rPr>
        <w:t>Akpınar H</w:t>
      </w:r>
      <w:r w:rsidRPr="00DF14B8">
        <w:rPr>
          <w:rFonts w:ascii="Book Antiqua" w:hAnsi="Book Antiqua"/>
          <w:color w:val="000000" w:themeColor="text1"/>
          <w:lang w:val="en-US"/>
        </w:rPr>
        <w:t xml:space="preserve">, Çetiner M, Keshav S, Örmeci N, Törüner M. Diagnosis and treatment of iron deficiency anemia in patients with inflammatory bowel disease and gastrointestinal bleeding: iron deficiency anemia working group consensus </w:t>
      </w:r>
      <w:r w:rsidRPr="00DF14B8">
        <w:rPr>
          <w:rFonts w:ascii="Book Antiqua" w:hAnsi="Book Antiqua"/>
          <w:color w:val="000000" w:themeColor="text1"/>
          <w:lang w:val="en-US"/>
        </w:rPr>
        <w:lastRenderedPageBreak/>
        <w:t>report. </w:t>
      </w:r>
      <w:r w:rsidRPr="00DF14B8">
        <w:rPr>
          <w:rFonts w:ascii="Book Antiqua" w:hAnsi="Book Antiqua"/>
          <w:i/>
          <w:iCs/>
          <w:color w:val="000000" w:themeColor="text1"/>
          <w:lang w:val="en-US"/>
        </w:rPr>
        <w:t>Turk J Gastroenterol</w:t>
      </w:r>
      <w:r w:rsidRPr="00DF14B8">
        <w:rPr>
          <w:rFonts w:ascii="Book Antiqua" w:hAnsi="Book Antiqua"/>
          <w:color w:val="000000" w:themeColor="text1"/>
          <w:lang w:val="en-US"/>
        </w:rPr>
        <w:t> 2017; </w:t>
      </w:r>
      <w:r w:rsidRPr="00DF14B8">
        <w:rPr>
          <w:rFonts w:ascii="Book Antiqua" w:hAnsi="Book Antiqua"/>
          <w:b/>
          <w:bCs/>
          <w:color w:val="000000" w:themeColor="text1"/>
          <w:lang w:val="en-US"/>
        </w:rPr>
        <w:t>28</w:t>
      </w:r>
      <w:r w:rsidRPr="00DF14B8">
        <w:rPr>
          <w:rFonts w:ascii="Book Antiqua" w:hAnsi="Book Antiqua"/>
          <w:color w:val="000000" w:themeColor="text1"/>
          <w:lang w:val="en-US"/>
        </w:rPr>
        <w:t>: 81-87 [PMID: 28119272 DOI: 10.5152/tjg.2017.17593]</w:t>
      </w:r>
    </w:p>
    <w:p w14:paraId="41A9DC09"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41 </w:t>
      </w:r>
      <w:r w:rsidRPr="00DF14B8">
        <w:rPr>
          <w:rFonts w:ascii="Book Antiqua" w:hAnsi="Book Antiqua"/>
          <w:b/>
          <w:bCs/>
          <w:color w:val="000000" w:themeColor="text1"/>
          <w:lang w:val="en-US"/>
        </w:rPr>
        <w:t>Kulnigg S</w:t>
      </w:r>
      <w:r w:rsidRPr="00DF14B8">
        <w:rPr>
          <w:rFonts w:ascii="Book Antiqua" w:hAnsi="Book Antiqua"/>
          <w:color w:val="000000" w:themeColor="text1"/>
          <w:lang w:val="en-US"/>
        </w:rPr>
        <w:t>, Stoinov S, Simanenkov V, Dudar LV, Karnafel W, Garcia LC, Sambuelli AM, D'Haens G, Gasche C. A novel intravenous iron formulation for treatment of anemia in inflammatory bowel disease: the ferric carboxymaltose (FERINJECT) randomized controlled trial. </w:t>
      </w:r>
      <w:r w:rsidRPr="00DF14B8">
        <w:rPr>
          <w:rFonts w:ascii="Book Antiqua" w:hAnsi="Book Antiqua"/>
          <w:i/>
          <w:iCs/>
          <w:color w:val="000000" w:themeColor="text1"/>
          <w:lang w:val="en-US"/>
        </w:rPr>
        <w:t>Am J Gastroenterol</w:t>
      </w:r>
      <w:r w:rsidRPr="00DF14B8">
        <w:rPr>
          <w:rFonts w:ascii="Book Antiqua" w:hAnsi="Book Antiqua"/>
          <w:color w:val="000000" w:themeColor="text1"/>
          <w:lang w:val="en-US"/>
        </w:rPr>
        <w:t> 2008; </w:t>
      </w:r>
      <w:r w:rsidRPr="00DF14B8">
        <w:rPr>
          <w:rFonts w:ascii="Book Antiqua" w:hAnsi="Book Antiqua"/>
          <w:b/>
          <w:bCs/>
          <w:color w:val="000000" w:themeColor="text1"/>
          <w:lang w:val="en-US"/>
        </w:rPr>
        <w:t>103</w:t>
      </w:r>
      <w:r w:rsidRPr="00DF14B8">
        <w:rPr>
          <w:rFonts w:ascii="Book Antiqua" w:hAnsi="Book Antiqua"/>
          <w:color w:val="000000" w:themeColor="text1"/>
          <w:lang w:val="en-US"/>
        </w:rPr>
        <w:t>: 1182-1192 [PMID: 18371137 DOI: 10.1111/j.1572-0241.2007.01744.x]</w:t>
      </w:r>
    </w:p>
    <w:p w14:paraId="2C6B131F"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42 </w:t>
      </w:r>
      <w:r w:rsidRPr="00DF14B8">
        <w:rPr>
          <w:rFonts w:ascii="Book Antiqua" w:hAnsi="Book Antiqua"/>
          <w:b/>
          <w:bCs/>
          <w:color w:val="000000" w:themeColor="text1"/>
          <w:lang w:val="en-US"/>
        </w:rPr>
        <w:t>Lugg S</w:t>
      </w:r>
      <w:r w:rsidRPr="00DF14B8">
        <w:rPr>
          <w:rFonts w:ascii="Book Antiqua" w:hAnsi="Book Antiqua"/>
          <w:color w:val="000000" w:themeColor="text1"/>
          <w:lang w:val="en-US"/>
        </w:rPr>
        <w:t>, Beal F, Nightingale P, Bhala N, Iqbal T. Iron treatment and inflammatory bowel disease: what happens in real practice? </w:t>
      </w:r>
      <w:r w:rsidRPr="00DF14B8">
        <w:rPr>
          <w:rFonts w:ascii="Book Antiqua" w:hAnsi="Book Antiqua"/>
          <w:i/>
          <w:iCs/>
          <w:color w:val="000000" w:themeColor="text1"/>
          <w:lang w:val="en-US"/>
        </w:rPr>
        <w:t>J Crohns Colitis</w:t>
      </w:r>
      <w:r w:rsidRPr="00DF14B8">
        <w:rPr>
          <w:rFonts w:ascii="Book Antiqua" w:hAnsi="Book Antiqua"/>
          <w:color w:val="000000" w:themeColor="text1"/>
          <w:lang w:val="en-US"/>
        </w:rPr>
        <w:t> 2014; </w:t>
      </w:r>
      <w:r w:rsidRPr="00DF14B8">
        <w:rPr>
          <w:rFonts w:ascii="Book Antiqua" w:hAnsi="Book Antiqua"/>
          <w:b/>
          <w:bCs/>
          <w:color w:val="000000" w:themeColor="text1"/>
          <w:lang w:val="en-US"/>
        </w:rPr>
        <w:t>8</w:t>
      </w:r>
      <w:r w:rsidRPr="00DF14B8">
        <w:rPr>
          <w:rFonts w:ascii="Book Antiqua" w:hAnsi="Book Antiqua"/>
          <w:color w:val="000000" w:themeColor="text1"/>
          <w:lang w:val="en-US"/>
        </w:rPr>
        <w:t>: 876-880 [PMID: 24486177 DOI: 10.1016/j.crohns.2014.01.011]</w:t>
      </w:r>
    </w:p>
    <w:p w14:paraId="22C95B8A"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43 </w:t>
      </w:r>
      <w:r w:rsidRPr="00DF14B8">
        <w:rPr>
          <w:rFonts w:ascii="Book Antiqua" w:hAnsi="Book Antiqua"/>
          <w:b/>
          <w:bCs/>
          <w:color w:val="000000" w:themeColor="text1"/>
          <w:lang w:val="en-US"/>
        </w:rPr>
        <w:t>Oldenburg B</w:t>
      </w:r>
      <w:r w:rsidRPr="00DF14B8">
        <w:rPr>
          <w:rFonts w:ascii="Book Antiqua" w:hAnsi="Book Antiqua"/>
          <w:color w:val="000000" w:themeColor="text1"/>
          <w:lang w:val="en-US"/>
        </w:rPr>
        <w:t>, van Berge Henegouwen GP, Rennick D, Van Asbeck BS, Koningsberger JC. Iron supplementation affects the production of pro-inflammatory cytokines in IL-10 deficient mice. </w:t>
      </w:r>
      <w:r w:rsidRPr="00DF14B8">
        <w:rPr>
          <w:rFonts w:ascii="Book Antiqua" w:hAnsi="Book Antiqua"/>
          <w:i/>
          <w:iCs/>
          <w:color w:val="000000" w:themeColor="text1"/>
          <w:lang w:val="en-US"/>
        </w:rPr>
        <w:t>Eur J Clin Invest</w:t>
      </w:r>
      <w:r w:rsidRPr="00DF14B8">
        <w:rPr>
          <w:rFonts w:ascii="Book Antiqua" w:hAnsi="Book Antiqua"/>
          <w:color w:val="000000" w:themeColor="text1"/>
          <w:lang w:val="en-US"/>
        </w:rPr>
        <w:t> 2000; </w:t>
      </w:r>
      <w:r w:rsidRPr="00DF14B8">
        <w:rPr>
          <w:rFonts w:ascii="Book Antiqua" w:hAnsi="Book Antiqua"/>
          <w:b/>
          <w:bCs/>
          <w:color w:val="000000" w:themeColor="text1"/>
          <w:lang w:val="en-US"/>
        </w:rPr>
        <w:t>30</w:t>
      </w:r>
      <w:r w:rsidRPr="00DF14B8">
        <w:rPr>
          <w:rFonts w:ascii="Book Antiqua" w:hAnsi="Book Antiqua"/>
          <w:color w:val="000000" w:themeColor="text1"/>
          <w:lang w:val="en-US"/>
        </w:rPr>
        <w:t>: 505-510 [PMID: 10849019]</w:t>
      </w:r>
    </w:p>
    <w:p w14:paraId="21C9775B"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44 </w:t>
      </w:r>
      <w:r w:rsidRPr="00DF14B8">
        <w:rPr>
          <w:rFonts w:ascii="Book Antiqua" w:hAnsi="Book Antiqua"/>
          <w:b/>
          <w:bCs/>
          <w:color w:val="000000" w:themeColor="text1"/>
          <w:lang w:val="en-US"/>
        </w:rPr>
        <w:t>Lee TW</w:t>
      </w:r>
      <w:r w:rsidRPr="00DF14B8">
        <w:rPr>
          <w:rFonts w:ascii="Book Antiqua" w:hAnsi="Book Antiqua"/>
          <w:color w:val="000000" w:themeColor="text1"/>
          <w:lang w:val="en-US"/>
        </w:rPr>
        <w:t>, Kolber MR, Fedorak RN, van Zanten SV. Iron replacement therapy in inflammatory bowel disease patients with iron deficiency anemia: a systematic review and meta-analysis. </w:t>
      </w:r>
      <w:r w:rsidRPr="00DF14B8">
        <w:rPr>
          <w:rFonts w:ascii="Book Antiqua" w:hAnsi="Book Antiqua"/>
          <w:i/>
          <w:iCs/>
          <w:color w:val="000000" w:themeColor="text1"/>
          <w:lang w:val="en-US"/>
        </w:rPr>
        <w:t>J Crohns Colitis</w:t>
      </w:r>
      <w:r w:rsidRPr="00DF14B8">
        <w:rPr>
          <w:rFonts w:ascii="Book Antiqua" w:hAnsi="Book Antiqua"/>
          <w:color w:val="000000" w:themeColor="text1"/>
          <w:lang w:val="en-US"/>
        </w:rPr>
        <w:t> 2012; </w:t>
      </w:r>
      <w:r w:rsidRPr="00DF14B8">
        <w:rPr>
          <w:rFonts w:ascii="Book Antiqua" w:hAnsi="Book Antiqua"/>
          <w:b/>
          <w:bCs/>
          <w:color w:val="000000" w:themeColor="text1"/>
          <w:lang w:val="en-US"/>
        </w:rPr>
        <w:t>6</w:t>
      </w:r>
      <w:r w:rsidRPr="00DF14B8">
        <w:rPr>
          <w:rFonts w:ascii="Book Antiqua" w:hAnsi="Book Antiqua"/>
          <w:color w:val="000000" w:themeColor="text1"/>
          <w:lang w:val="en-US"/>
        </w:rPr>
        <w:t>: 267-275 [PMID: 22405161 DOI: 10.1016/j.crohns.2011.09.010]</w:t>
      </w:r>
    </w:p>
    <w:p w14:paraId="48F496B4"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45 </w:t>
      </w:r>
      <w:r w:rsidRPr="00DF14B8">
        <w:rPr>
          <w:rFonts w:ascii="Book Antiqua" w:hAnsi="Book Antiqua"/>
          <w:b/>
          <w:bCs/>
          <w:color w:val="000000" w:themeColor="text1"/>
          <w:lang w:val="en-US"/>
        </w:rPr>
        <w:t>Schröder O</w:t>
      </w:r>
      <w:r w:rsidRPr="00DF14B8">
        <w:rPr>
          <w:rFonts w:ascii="Book Antiqua" w:hAnsi="Book Antiqua"/>
          <w:color w:val="000000" w:themeColor="text1"/>
          <w:lang w:val="en-US"/>
        </w:rPr>
        <w:t>, Mickisch O, Seidler U, de Weerth A, Dignass AU, Herfarth H, Reinshagen M, Schreiber S, Junge U, Schrott M, Stein J. Intravenous iron sucrose versus oral iron supplementation for the treatment of iron deficiency anemia in patients with inflammatory bowel disease--a randomized, controlled, open-label, multicenter study. </w:t>
      </w:r>
      <w:r w:rsidRPr="00DF14B8">
        <w:rPr>
          <w:rFonts w:ascii="Book Antiqua" w:hAnsi="Book Antiqua"/>
          <w:i/>
          <w:iCs/>
          <w:color w:val="000000" w:themeColor="text1"/>
          <w:lang w:val="en-US"/>
        </w:rPr>
        <w:t>Am J Gastroenterol</w:t>
      </w:r>
      <w:r w:rsidRPr="00DF14B8">
        <w:rPr>
          <w:rFonts w:ascii="Book Antiqua" w:hAnsi="Book Antiqua"/>
          <w:color w:val="000000" w:themeColor="text1"/>
          <w:lang w:val="en-US"/>
        </w:rPr>
        <w:t> 2005; </w:t>
      </w:r>
      <w:r w:rsidRPr="00DF14B8">
        <w:rPr>
          <w:rFonts w:ascii="Book Antiqua" w:hAnsi="Book Antiqua"/>
          <w:b/>
          <w:bCs/>
          <w:color w:val="000000" w:themeColor="text1"/>
          <w:lang w:val="en-US"/>
        </w:rPr>
        <w:t>100</w:t>
      </w:r>
      <w:r w:rsidRPr="00DF14B8">
        <w:rPr>
          <w:rFonts w:ascii="Book Antiqua" w:hAnsi="Book Antiqua"/>
          <w:color w:val="000000" w:themeColor="text1"/>
          <w:lang w:val="en-US"/>
        </w:rPr>
        <w:t>: 2503-2509 [PMID: 16279906 DOI: 10.1111/j.1572-0241.2005.00250.x]</w:t>
      </w:r>
    </w:p>
    <w:p w14:paraId="6A465D84"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46 </w:t>
      </w:r>
      <w:r w:rsidRPr="00DF14B8">
        <w:rPr>
          <w:rFonts w:ascii="Book Antiqua" w:hAnsi="Book Antiqua"/>
          <w:b/>
          <w:bCs/>
          <w:color w:val="000000" w:themeColor="text1"/>
          <w:lang w:val="en-US"/>
        </w:rPr>
        <w:t>Schmidt C</w:t>
      </w:r>
      <w:r w:rsidRPr="00DF14B8">
        <w:rPr>
          <w:rFonts w:ascii="Book Antiqua" w:hAnsi="Book Antiqua"/>
          <w:color w:val="000000" w:themeColor="text1"/>
          <w:lang w:val="en-US"/>
        </w:rPr>
        <w:t>, Ahmad T, Tulassay Z, Baumgart DC, Bokemeyer B, Howaldt S, Stallmach A, Büning C; AEGIS Study Group. Ferric maltol therapy for iron deficiency anaemia in patients with inflammatory bowel disease: long-term extension data from a Phase 3 study. </w:t>
      </w:r>
      <w:r w:rsidRPr="00DF14B8">
        <w:rPr>
          <w:rFonts w:ascii="Book Antiqua" w:hAnsi="Book Antiqua"/>
          <w:i/>
          <w:iCs/>
          <w:color w:val="000000" w:themeColor="text1"/>
          <w:lang w:val="en-US"/>
        </w:rPr>
        <w:t>Aliment Pharmacol Ther</w:t>
      </w:r>
      <w:r w:rsidRPr="00DF14B8">
        <w:rPr>
          <w:rFonts w:ascii="Book Antiqua" w:hAnsi="Book Antiqua"/>
          <w:color w:val="000000" w:themeColor="text1"/>
          <w:lang w:val="en-US"/>
        </w:rPr>
        <w:t> 2016; </w:t>
      </w:r>
      <w:r w:rsidRPr="00DF14B8">
        <w:rPr>
          <w:rFonts w:ascii="Book Antiqua" w:hAnsi="Book Antiqua"/>
          <w:b/>
          <w:bCs/>
          <w:color w:val="000000" w:themeColor="text1"/>
          <w:lang w:val="en-US"/>
        </w:rPr>
        <w:t>44</w:t>
      </w:r>
      <w:r w:rsidRPr="00DF14B8">
        <w:rPr>
          <w:rFonts w:ascii="Book Antiqua" w:hAnsi="Book Antiqua"/>
          <w:color w:val="000000" w:themeColor="text1"/>
          <w:lang w:val="en-US"/>
        </w:rPr>
        <w:t>: 259-270 [PMID: 27237709 DOI: 10.1111/apt.13665]</w:t>
      </w:r>
    </w:p>
    <w:p w14:paraId="287E80E6"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47 </w:t>
      </w:r>
      <w:r w:rsidRPr="00DF14B8">
        <w:rPr>
          <w:rFonts w:ascii="Book Antiqua" w:hAnsi="Book Antiqua"/>
          <w:b/>
          <w:bCs/>
          <w:color w:val="000000" w:themeColor="text1"/>
          <w:lang w:val="en-US"/>
        </w:rPr>
        <w:t>Bergamaschi G</w:t>
      </w:r>
      <w:r w:rsidRPr="00DF14B8">
        <w:rPr>
          <w:rFonts w:ascii="Book Antiqua" w:hAnsi="Book Antiqua"/>
          <w:color w:val="000000" w:themeColor="text1"/>
          <w:lang w:val="en-US"/>
        </w:rPr>
        <w:t xml:space="preserve">, Di Sabatino A, Albertini R, Ardizzone S, Biancheri P, Bonetti E, Cassinotti A, Cazzola P, Markopoulos K, Massari A, Rosti V, Porro GB, Corazza GR. Prevalence and pathogenesis of anemia in inflammatory bowel disease. Influence of </w:t>
      </w:r>
      <w:r w:rsidRPr="00DF14B8">
        <w:rPr>
          <w:rFonts w:ascii="Book Antiqua" w:hAnsi="Book Antiqua"/>
          <w:color w:val="000000" w:themeColor="text1"/>
          <w:lang w:val="en-US"/>
        </w:rPr>
        <w:lastRenderedPageBreak/>
        <w:t>anti-tumor necrosis factor-alpha treatment. </w:t>
      </w:r>
      <w:r w:rsidRPr="00DF14B8">
        <w:rPr>
          <w:rFonts w:ascii="Book Antiqua" w:hAnsi="Book Antiqua"/>
          <w:i/>
          <w:iCs/>
          <w:color w:val="000000" w:themeColor="text1"/>
          <w:lang w:val="en-US"/>
        </w:rPr>
        <w:t>Haematologica</w:t>
      </w:r>
      <w:r w:rsidRPr="00DF14B8">
        <w:rPr>
          <w:rFonts w:ascii="Book Antiqua" w:hAnsi="Book Antiqua"/>
          <w:color w:val="000000" w:themeColor="text1"/>
          <w:lang w:val="en-US"/>
        </w:rPr>
        <w:t> 2010; </w:t>
      </w:r>
      <w:r w:rsidRPr="00DF14B8">
        <w:rPr>
          <w:rFonts w:ascii="Book Antiqua" w:hAnsi="Book Antiqua"/>
          <w:b/>
          <w:bCs/>
          <w:color w:val="000000" w:themeColor="text1"/>
          <w:lang w:val="en-US"/>
        </w:rPr>
        <w:t>95</w:t>
      </w:r>
      <w:r w:rsidRPr="00DF14B8">
        <w:rPr>
          <w:rFonts w:ascii="Book Antiqua" w:hAnsi="Book Antiqua"/>
          <w:color w:val="000000" w:themeColor="text1"/>
          <w:lang w:val="en-US"/>
        </w:rPr>
        <w:t>: 199-205 [PMID: 19815838 DOI: 10.3324/haematol.2009.009985]</w:t>
      </w:r>
    </w:p>
    <w:p w14:paraId="1823B945" w14:textId="77777777" w:rsidR="00DF14B8" w:rsidRPr="00DF14B8" w:rsidRDefault="00DF14B8" w:rsidP="00DF14B8">
      <w:pPr>
        <w:snapToGrid w:val="0"/>
        <w:spacing w:line="360" w:lineRule="auto"/>
        <w:jc w:val="both"/>
        <w:rPr>
          <w:rFonts w:ascii="Book Antiqua" w:hAnsi="Book Antiqua"/>
          <w:color w:val="000000" w:themeColor="text1"/>
          <w:lang w:val="en-US"/>
        </w:rPr>
      </w:pPr>
      <w:r w:rsidRPr="00DF14B8">
        <w:rPr>
          <w:rFonts w:ascii="Book Antiqua" w:hAnsi="Book Antiqua"/>
          <w:color w:val="000000" w:themeColor="text1"/>
          <w:lang w:val="en-US"/>
        </w:rPr>
        <w:t>48 </w:t>
      </w:r>
      <w:r w:rsidRPr="00DF14B8">
        <w:rPr>
          <w:rFonts w:ascii="Book Antiqua" w:hAnsi="Book Antiqua"/>
          <w:b/>
          <w:bCs/>
          <w:color w:val="000000" w:themeColor="text1"/>
          <w:lang w:val="en-US"/>
        </w:rPr>
        <w:t>Magro F</w:t>
      </w:r>
      <w:r w:rsidRPr="00DF14B8">
        <w:rPr>
          <w:rFonts w:ascii="Book Antiqua" w:hAnsi="Book Antiqua"/>
          <w:color w:val="000000" w:themeColor="text1"/>
          <w:lang w:val="en-US"/>
        </w:rPr>
        <w:t>, Ramos J, Correia L, Lago P, Peixe P, Gonçalves AR, Rodrigues Ã, Vieira C, Ferreira D, Pereira Silva J, Túlio MA, Salgueiro P, Fernandes S. [Portuguese Consensus on the Diagnosis, Prevention and Treatment of Anaemia in Inflammatory Bowel Disease]. </w:t>
      </w:r>
      <w:r w:rsidRPr="00DF14B8">
        <w:rPr>
          <w:rFonts w:ascii="Book Antiqua" w:hAnsi="Book Antiqua"/>
          <w:i/>
          <w:iCs/>
          <w:color w:val="000000" w:themeColor="text1"/>
          <w:lang w:val="en-US"/>
        </w:rPr>
        <w:t>Acta Med Port</w:t>
      </w:r>
      <w:r w:rsidRPr="00DF14B8">
        <w:rPr>
          <w:rFonts w:ascii="Book Antiqua" w:hAnsi="Book Antiqua"/>
          <w:color w:val="000000" w:themeColor="text1"/>
          <w:lang w:val="en-US"/>
        </w:rPr>
        <w:t> 2016; </w:t>
      </w:r>
      <w:r w:rsidRPr="00DF14B8">
        <w:rPr>
          <w:rFonts w:ascii="Book Antiqua" w:hAnsi="Book Antiqua"/>
          <w:b/>
          <w:bCs/>
          <w:color w:val="000000" w:themeColor="text1"/>
          <w:lang w:val="en-US"/>
        </w:rPr>
        <w:t>29</w:t>
      </w:r>
      <w:r w:rsidRPr="00DF14B8">
        <w:rPr>
          <w:rFonts w:ascii="Book Antiqua" w:hAnsi="Book Antiqua"/>
          <w:color w:val="000000" w:themeColor="text1"/>
          <w:lang w:val="en-US"/>
        </w:rPr>
        <w:t>: 144-156 [PMID: 27234956]</w:t>
      </w:r>
    </w:p>
    <w:p w14:paraId="47BE760C" w14:textId="62AC29C5" w:rsidR="00DF14B8" w:rsidRDefault="000619E5" w:rsidP="00DF14B8">
      <w:pPr>
        <w:wordWrap w:val="0"/>
        <w:snapToGrid w:val="0"/>
        <w:spacing w:line="360" w:lineRule="auto"/>
        <w:jc w:val="right"/>
        <w:rPr>
          <w:rFonts w:ascii="Book Antiqua" w:hAnsi="Book Antiqua"/>
          <w:b/>
          <w:bCs/>
        </w:rPr>
      </w:pPr>
      <w:r w:rsidRPr="00DF14B8">
        <w:rPr>
          <w:rFonts w:ascii="Book Antiqua" w:hAnsi="Book Antiqua"/>
          <w:color w:val="0070C0"/>
          <w:lang w:val="en-US"/>
        </w:rPr>
        <w:t> </w:t>
      </w:r>
      <w:bookmarkStart w:id="167" w:name="OLE_LINK148"/>
      <w:bookmarkStart w:id="168" w:name="OLE_LINK320"/>
      <w:bookmarkStart w:id="169" w:name="OLE_LINK387"/>
      <w:bookmarkStart w:id="170" w:name="OLE_LINK254"/>
      <w:bookmarkStart w:id="171" w:name="OLE_LINK149"/>
      <w:bookmarkStart w:id="172" w:name="OLE_LINK225"/>
      <w:bookmarkStart w:id="173" w:name="OLE_LINK207"/>
      <w:bookmarkStart w:id="174" w:name="OLE_LINK226"/>
      <w:bookmarkStart w:id="175" w:name="OLE_LINK212"/>
      <w:bookmarkStart w:id="176" w:name="OLE_LINK250"/>
      <w:bookmarkStart w:id="177" w:name="OLE_LINK281"/>
      <w:bookmarkStart w:id="178" w:name="OLE_LINK282"/>
      <w:bookmarkStart w:id="179" w:name="OLE_LINK313"/>
      <w:bookmarkStart w:id="180" w:name="OLE_LINK304"/>
      <w:bookmarkStart w:id="181" w:name="OLE_LINK321"/>
      <w:bookmarkStart w:id="182" w:name="OLE_LINK385"/>
      <w:bookmarkStart w:id="183" w:name="OLE_LINK400"/>
      <w:bookmarkStart w:id="184" w:name="OLE_LINK346"/>
      <w:bookmarkStart w:id="185" w:name="OLE_LINK371"/>
      <w:bookmarkStart w:id="186" w:name="OLE_LINK334"/>
      <w:bookmarkStart w:id="187" w:name="OLE_LINK1830"/>
      <w:bookmarkStart w:id="188" w:name="OLE_LINK457"/>
      <w:bookmarkStart w:id="189" w:name="OLE_LINK288"/>
      <w:bookmarkStart w:id="190" w:name="OLE_LINK384"/>
      <w:bookmarkStart w:id="191" w:name="OLE_LINK379"/>
      <w:bookmarkStart w:id="192" w:name="OLE_LINK303"/>
      <w:bookmarkStart w:id="193" w:name="OLE_LINK450"/>
      <w:bookmarkStart w:id="194" w:name="OLE_LINK489"/>
      <w:bookmarkStart w:id="195" w:name="OLE_LINK535"/>
      <w:bookmarkStart w:id="196" w:name="OLE_LINK648"/>
      <w:bookmarkStart w:id="197" w:name="OLE_LINK686"/>
      <w:bookmarkStart w:id="198" w:name="OLE_LINK471"/>
      <w:bookmarkStart w:id="199" w:name="OLE_LINK462"/>
      <w:bookmarkStart w:id="200" w:name="OLE_LINK519"/>
      <w:bookmarkStart w:id="201" w:name="OLE_LINK575"/>
      <w:bookmarkStart w:id="202" w:name="OLE_LINK491"/>
      <w:bookmarkStart w:id="203" w:name="OLE_LINK532"/>
      <w:bookmarkStart w:id="204" w:name="OLE_LINK572"/>
      <w:bookmarkStart w:id="205" w:name="OLE_LINK574"/>
      <w:bookmarkStart w:id="206" w:name="OLE_LINK480"/>
      <w:bookmarkStart w:id="207" w:name="OLE_LINK567"/>
      <w:bookmarkStart w:id="208" w:name="OLE_LINK2700"/>
      <w:bookmarkStart w:id="209" w:name="OLE_LINK581"/>
      <w:bookmarkStart w:id="210" w:name="OLE_LINK639"/>
      <w:bookmarkStart w:id="211" w:name="OLE_LINK688"/>
      <w:bookmarkStart w:id="212" w:name="OLE_LINK722"/>
      <w:bookmarkStart w:id="213" w:name="OLE_LINK542"/>
      <w:bookmarkStart w:id="214" w:name="OLE_LINK589"/>
      <w:bookmarkStart w:id="215" w:name="OLE_LINK582"/>
      <w:bookmarkStart w:id="216" w:name="OLE_LINK640"/>
      <w:bookmarkStart w:id="217" w:name="OLE_LINK714"/>
      <w:bookmarkStart w:id="218" w:name="OLE_LINK593"/>
      <w:bookmarkStart w:id="219" w:name="OLE_LINK716"/>
      <w:bookmarkStart w:id="220" w:name="OLE_LINK770"/>
      <w:bookmarkStart w:id="221" w:name="OLE_LINK801"/>
      <w:bookmarkStart w:id="222" w:name="OLE_LINK660"/>
      <w:bookmarkStart w:id="223" w:name="OLE_LINK781"/>
      <w:bookmarkStart w:id="224" w:name="OLE_LINK833"/>
      <w:bookmarkStart w:id="225" w:name="OLE_LINK642"/>
      <w:bookmarkStart w:id="226" w:name="OLE_LINK700"/>
      <w:bookmarkStart w:id="227" w:name="OLE_LINK792"/>
      <w:bookmarkStart w:id="228" w:name="OLE_LINK2882"/>
      <w:bookmarkStart w:id="229" w:name="OLE_LINK836"/>
      <w:bookmarkStart w:id="230" w:name="OLE_LINK889"/>
      <w:bookmarkStart w:id="231" w:name="OLE_LINK782"/>
      <w:bookmarkStart w:id="232" w:name="OLE_LINK826"/>
      <w:bookmarkStart w:id="233" w:name="OLE_LINK865"/>
      <w:bookmarkStart w:id="234" w:name="OLE_LINK856"/>
      <w:bookmarkStart w:id="235" w:name="OLE_LINK908"/>
      <w:bookmarkStart w:id="236" w:name="OLE_LINK980"/>
      <w:bookmarkStart w:id="237" w:name="OLE_LINK1018"/>
      <w:bookmarkStart w:id="238" w:name="OLE_LINK1049"/>
      <w:bookmarkStart w:id="239" w:name="OLE_LINK1076"/>
      <w:bookmarkStart w:id="240" w:name="OLE_LINK1106"/>
      <w:bookmarkStart w:id="241" w:name="OLE_LINK891"/>
      <w:bookmarkStart w:id="242" w:name="OLE_LINK943"/>
      <w:bookmarkStart w:id="243" w:name="OLE_LINK981"/>
      <w:bookmarkStart w:id="244" w:name="OLE_LINK1030"/>
      <w:bookmarkStart w:id="245" w:name="OLE_LINK847"/>
      <w:bookmarkStart w:id="246" w:name="OLE_LINK909"/>
      <w:bookmarkStart w:id="247" w:name="OLE_LINK906"/>
      <w:bookmarkStart w:id="248" w:name="OLE_LINK992"/>
      <w:bookmarkStart w:id="249" w:name="OLE_LINK993"/>
      <w:bookmarkStart w:id="250" w:name="OLE_LINK1052"/>
      <w:bookmarkStart w:id="251" w:name="OLE_LINK946"/>
      <w:bookmarkStart w:id="252" w:name="OLE_LINK911"/>
      <w:bookmarkStart w:id="253" w:name="OLE_LINK930"/>
      <w:bookmarkStart w:id="254" w:name="OLE_LINK1059"/>
      <w:bookmarkStart w:id="255" w:name="OLE_LINK1174"/>
      <w:bookmarkStart w:id="256" w:name="OLE_LINK1137"/>
      <w:bookmarkStart w:id="257" w:name="OLE_LINK1167"/>
      <w:bookmarkStart w:id="258" w:name="OLE_LINK1200"/>
      <w:bookmarkStart w:id="259" w:name="OLE_LINK1241"/>
      <w:bookmarkStart w:id="260" w:name="OLE_LINK1288"/>
      <w:bookmarkStart w:id="261" w:name="OLE_LINK1056"/>
      <w:bookmarkStart w:id="262" w:name="OLE_LINK1158"/>
      <w:bookmarkStart w:id="263" w:name="OLE_LINK1175"/>
      <w:bookmarkStart w:id="264" w:name="OLE_LINK1074"/>
      <w:bookmarkStart w:id="265" w:name="OLE_LINK1169"/>
      <w:r w:rsidR="00DF14B8" w:rsidRPr="004F57C6">
        <w:rPr>
          <w:rFonts w:ascii="Book Antiqua" w:hAnsi="Book Antiqua"/>
          <w:b/>
          <w:bCs/>
        </w:rPr>
        <w:t>P-Reviewer:</w:t>
      </w:r>
      <w:r w:rsidR="00DF14B8" w:rsidRPr="004F57C6">
        <w:rPr>
          <w:rFonts w:ascii="Book Antiqua" w:hAnsi="Book Antiqua" w:hint="eastAsia"/>
          <w:b/>
          <w:bCs/>
        </w:rPr>
        <w:t xml:space="preserve"> </w:t>
      </w:r>
      <w:r w:rsidR="00DF14B8" w:rsidRPr="00DF14B8">
        <w:rPr>
          <w:rFonts w:ascii="Book Antiqua" w:hAnsi="Book Antiqua"/>
          <w:bCs/>
        </w:rPr>
        <w:t>Chiba</w:t>
      </w:r>
      <w:r w:rsidR="00DF14B8">
        <w:rPr>
          <w:rFonts w:ascii="Book Antiqua" w:hAnsi="Book Antiqua" w:hint="eastAsia"/>
          <w:bCs/>
        </w:rPr>
        <w:t xml:space="preserve"> T</w:t>
      </w:r>
      <w:r w:rsidR="00DF14B8" w:rsidRPr="0053246E">
        <w:rPr>
          <w:rFonts w:ascii="Book Antiqua" w:hAnsi="Book Antiqua" w:hint="eastAsia"/>
          <w:bCs/>
        </w:rPr>
        <w:t xml:space="preserve">, </w:t>
      </w:r>
      <w:r w:rsidR="00DF14B8" w:rsidRPr="00DF14B8">
        <w:rPr>
          <w:rFonts w:ascii="Book Antiqua" w:hAnsi="Book Antiqua"/>
          <w:bCs/>
        </w:rPr>
        <w:t>Lin</w:t>
      </w:r>
      <w:r w:rsidR="00DF14B8">
        <w:rPr>
          <w:rFonts w:ascii="Book Antiqua" w:hAnsi="Book Antiqua" w:hint="eastAsia"/>
          <w:bCs/>
        </w:rPr>
        <w:t xml:space="preserve"> </w:t>
      </w:r>
      <w:r w:rsidR="00DF14B8">
        <w:rPr>
          <w:rFonts w:ascii="Book Antiqua" w:hAnsi="Book Antiqua"/>
          <w:bCs/>
        </w:rPr>
        <w:t>J</w:t>
      </w:r>
      <w:r w:rsidR="00DF14B8" w:rsidRPr="0053246E">
        <w:rPr>
          <w:rFonts w:ascii="Book Antiqua" w:hAnsi="Book Antiqua" w:hint="eastAsia"/>
          <w:bCs/>
        </w:rPr>
        <w:t>,</w:t>
      </w:r>
      <w:r w:rsidR="00DF14B8" w:rsidRPr="00DF14B8">
        <w:t xml:space="preserve"> </w:t>
      </w:r>
      <w:r w:rsidR="00DF14B8" w:rsidRPr="00DF14B8">
        <w:rPr>
          <w:rFonts w:ascii="Book Antiqua" w:hAnsi="Book Antiqua"/>
          <w:bCs/>
        </w:rPr>
        <w:t>Serban</w:t>
      </w:r>
      <w:r w:rsidR="00DF14B8">
        <w:rPr>
          <w:rFonts w:ascii="Book Antiqua" w:hAnsi="Book Antiqua"/>
          <w:bCs/>
        </w:rPr>
        <w:t xml:space="preserve"> ED, </w:t>
      </w:r>
      <w:r w:rsidR="00DF14B8" w:rsidRPr="00DF14B8">
        <w:rPr>
          <w:rFonts w:ascii="Book Antiqua" w:hAnsi="Book Antiqua"/>
          <w:bCs/>
        </w:rPr>
        <w:t>Sergi</w:t>
      </w:r>
      <w:r w:rsidR="00DF14B8">
        <w:rPr>
          <w:rFonts w:ascii="Book Antiqua" w:hAnsi="Book Antiqua"/>
          <w:bCs/>
        </w:rPr>
        <w:t xml:space="preserve"> CM, Y</w:t>
      </w:r>
      <w:r w:rsidR="00DF14B8" w:rsidRPr="00DF14B8">
        <w:rPr>
          <w:rFonts w:ascii="Book Antiqua" w:hAnsi="Book Antiqua"/>
          <w:bCs/>
        </w:rPr>
        <w:t>ücel</w:t>
      </w:r>
      <w:r w:rsidR="00DF14B8">
        <w:rPr>
          <w:rFonts w:ascii="Book Antiqua" w:hAnsi="Book Antiqua"/>
          <w:bCs/>
        </w:rPr>
        <w:t xml:space="preserve"> O</w:t>
      </w:r>
    </w:p>
    <w:p w14:paraId="70C384CC" w14:textId="77777777" w:rsidR="00DF14B8" w:rsidRPr="0053246E" w:rsidRDefault="00DF14B8" w:rsidP="00DF14B8">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Gong ZM</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17CA692B" w14:textId="77777777" w:rsidR="00DF14B8" w:rsidRPr="004F57C6" w:rsidRDefault="00DF14B8" w:rsidP="00DF14B8">
      <w:pPr>
        <w:shd w:val="clear" w:color="auto" w:fill="FFFFFF"/>
        <w:snapToGrid w:val="0"/>
        <w:spacing w:line="360" w:lineRule="auto"/>
        <w:jc w:val="both"/>
        <w:rPr>
          <w:rFonts w:ascii="Book Antiqua" w:hAnsi="Book Antiqua" w:cs="Helvetica"/>
          <w:b/>
        </w:rPr>
      </w:pPr>
      <w:bookmarkStart w:id="266" w:name="OLE_LINK880"/>
      <w:bookmarkStart w:id="267" w:name="OLE_LINK88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4B314F31" w14:textId="6E7C3668" w:rsidR="00DF14B8" w:rsidRPr="004F57C6" w:rsidRDefault="00DF14B8" w:rsidP="00DF14B8">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Turkey</w:t>
      </w:r>
    </w:p>
    <w:p w14:paraId="3DB7E9F6" w14:textId="77777777" w:rsidR="00DF14B8" w:rsidRPr="004F57C6" w:rsidRDefault="00DF14B8" w:rsidP="00DF14B8">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53975011" w14:textId="77777777" w:rsidR="00DF14B8" w:rsidRPr="004F57C6" w:rsidRDefault="00DF14B8" w:rsidP="00DF14B8">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6EE783E0" w14:textId="091E46F5" w:rsidR="00DF14B8" w:rsidRPr="004F57C6" w:rsidRDefault="00DF14B8" w:rsidP="00DF14B8">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rPr>
        <w:t>0</w:t>
      </w:r>
    </w:p>
    <w:p w14:paraId="42BB1133" w14:textId="278C600D" w:rsidR="00DF14B8" w:rsidRPr="004F57C6" w:rsidRDefault="00DF14B8" w:rsidP="00DF14B8">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sidRPr="004F57C6">
        <w:rPr>
          <w:rFonts w:ascii="Book Antiqua" w:hAnsi="Book Antiqua" w:cs="Helvetica" w:hint="eastAsia"/>
        </w:rPr>
        <w:t>C, C</w:t>
      </w:r>
      <w:r>
        <w:rPr>
          <w:rFonts w:ascii="Book Antiqua" w:hAnsi="Book Antiqua" w:cs="Helvetica"/>
        </w:rPr>
        <w:t>, C, C, C</w:t>
      </w:r>
    </w:p>
    <w:p w14:paraId="1D8FAFDD" w14:textId="77777777" w:rsidR="00DF14B8" w:rsidRPr="004F57C6" w:rsidRDefault="00DF14B8" w:rsidP="00DF14B8">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2C5A7F10" w14:textId="77777777" w:rsidR="00DF14B8" w:rsidRPr="005C3163" w:rsidRDefault="00DF14B8" w:rsidP="00DF14B8">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266"/>
      <w:bookmarkEnd w:id="267"/>
    </w:p>
    <w:p w14:paraId="028149B7" w14:textId="77777777" w:rsidR="00FB22A9" w:rsidRPr="00F75508" w:rsidRDefault="00FB22A9" w:rsidP="00FB22A9">
      <w:pPr>
        <w:snapToGrid w:val="0"/>
        <w:spacing w:line="360" w:lineRule="auto"/>
        <w:jc w:val="both"/>
        <w:rPr>
          <w:rFonts w:ascii="Book Antiqua" w:hAnsi="Book Antiqua"/>
          <w:color w:val="0070C0"/>
        </w:rPr>
      </w:pPr>
    </w:p>
    <w:p w14:paraId="50418B9B" w14:textId="77777777" w:rsidR="00FB22A9" w:rsidRPr="004E72CC" w:rsidRDefault="00FB22A9">
      <w:pPr>
        <w:rPr>
          <w:rFonts w:ascii="Book Antiqua" w:hAnsi="Book Antiqua"/>
          <w:color w:val="0070C0"/>
          <w:lang w:val="en-US"/>
        </w:rPr>
      </w:pPr>
      <w:r w:rsidRPr="004E72CC">
        <w:rPr>
          <w:rFonts w:ascii="Book Antiqua" w:hAnsi="Book Antiqua"/>
          <w:color w:val="0070C0"/>
          <w:lang w:val="en-US"/>
        </w:rPr>
        <w:br w:type="page"/>
      </w:r>
    </w:p>
    <w:p w14:paraId="123E4753" w14:textId="519D1CA2" w:rsidR="00442E2E" w:rsidRPr="004E72CC" w:rsidRDefault="00442E2E" w:rsidP="00FB22A9">
      <w:pPr>
        <w:snapToGrid w:val="0"/>
        <w:spacing w:line="360" w:lineRule="auto"/>
        <w:jc w:val="both"/>
        <w:rPr>
          <w:rFonts w:ascii="Book Antiqua" w:hAnsi="Book Antiqua" w:cs="Arial"/>
          <w:b/>
          <w:lang w:val="en-US"/>
        </w:rPr>
      </w:pPr>
      <w:r w:rsidRPr="004E72CC">
        <w:rPr>
          <w:rFonts w:ascii="Book Antiqua" w:hAnsi="Book Antiqua"/>
          <w:b/>
          <w:lang w:val="en-US"/>
        </w:rPr>
        <w:lastRenderedPageBreak/>
        <w:t xml:space="preserve">Table 1 Types of anemia according to iron parameters </w:t>
      </w:r>
    </w:p>
    <w:tbl>
      <w:tblPr>
        <w:tblStyle w:val="TabloKlavuzuAk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65"/>
        <w:gridCol w:w="2276"/>
        <w:gridCol w:w="2256"/>
      </w:tblGrid>
      <w:tr w:rsidR="00D15257" w:rsidRPr="004E72CC" w14:paraId="55682D6F" w14:textId="77777777" w:rsidTr="00F75508">
        <w:tc>
          <w:tcPr>
            <w:tcW w:w="2259" w:type="dxa"/>
            <w:tcBorders>
              <w:top w:val="single" w:sz="4" w:space="0" w:color="auto"/>
              <w:bottom w:val="single" w:sz="4" w:space="0" w:color="auto"/>
            </w:tcBorders>
          </w:tcPr>
          <w:p w14:paraId="7A42F405" w14:textId="77777777" w:rsidR="00442E2E" w:rsidRPr="004E72CC" w:rsidRDefault="00442E2E" w:rsidP="008A0A74">
            <w:pPr>
              <w:snapToGrid w:val="0"/>
              <w:spacing w:line="360" w:lineRule="auto"/>
              <w:jc w:val="both"/>
              <w:rPr>
                <w:rFonts w:ascii="Book Antiqua" w:hAnsi="Book Antiqua" w:cs="Arial"/>
                <w:b/>
                <w:lang w:val="en-US"/>
              </w:rPr>
            </w:pPr>
          </w:p>
        </w:tc>
        <w:tc>
          <w:tcPr>
            <w:tcW w:w="2265" w:type="dxa"/>
            <w:tcBorders>
              <w:top w:val="single" w:sz="4" w:space="0" w:color="auto"/>
              <w:bottom w:val="single" w:sz="4" w:space="0" w:color="auto"/>
            </w:tcBorders>
          </w:tcPr>
          <w:p w14:paraId="75985ED9" w14:textId="1360414E" w:rsidR="00442E2E" w:rsidRPr="004E72CC" w:rsidRDefault="00442E2E" w:rsidP="00F75508">
            <w:pPr>
              <w:snapToGrid w:val="0"/>
              <w:spacing w:line="360" w:lineRule="auto"/>
              <w:jc w:val="center"/>
              <w:rPr>
                <w:rFonts w:ascii="Book Antiqua" w:hAnsi="Book Antiqua" w:cs="Arial"/>
                <w:b/>
                <w:lang w:val="en-US"/>
              </w:rPr>
            </w:pPr>
            <w:r w:rsidRPr="004E72CC">
              <w:rPr>
                <w:rFonts w:ascii="Book Antiqua" w:hAnsi="Book Antiqua" w:cs="Arial"/>
                <w:b/>
                <w:lang w:val="en-US"/>
              </w:rPr>
              <w:t>Ferritin (</w:t>
            </w:r>
            <w:r w:rsidRPr="004E72CC">
              <w:rPr>
                <w:rFonts w:ascii="Book Antiqua" w:hAnsi="Book Antiqua"/>
                <w:b/>
                <w:color w:val="000000" w:themeColor="text1"/>
                <w:lang w:val="en-US"/>
              </w:rPr>
              <w:t>ng/m</w:t>
            </w:r>
            <w:r w:rsidR="00FF2123">
              <w:rPr>
                <w:rFonts w:ascii="Book Antiqua" w:hAnsi="Book Antiqua"/>
                <w:b/>
                <w:color w:val="000000" w:themeColor="text1"/>
                <w:lang w:val="en-US"/>
              </w:rPr>
              <w:t>L</w:t>
            </w:r>
            <w:r w:rsidRPr="004E72CC">
              <w:rPr>
                <w:rFonts w:ascii="Book Antiqua" w:hAnsi="Book Antiqua"/>
                <w:b/>
                <w:color w:val="000000" w:themeColor="text1"/>
                <w:lang w:val="en-US"/>
              </w:rPr>
              <w:t>)</w:t>
            </w:r>
          </w:p>
        </w:tc>
        <w:tc>
          <w:tcPr>
            <w:tcW w:w="2276" w:type="dxa"/>
            <w:tcBorders>
              <w:top w:val="single" w:sz="4" w:space="0" w:color="auto"/>
              <w:bottom w:val="single" w:sz="4" w:space="0" w:color="auto"/>
            </w:tcBorders>
          </w:tcPr>
          <w:p w14:paraId="717B8E8F" w14:textId="77777777" w:rsidR="00442E2E" w:rsidRPr="004E72CC" w:rsidRDefault="00442E2E" w:rsidP="00F75508">
            <w:pPr>
              <w:snapToGrid w:val="0"/>
              <w:spacing w:line="360" w:lineRule="auto"/>
              <w:jc w:val="center"/>
              <w:rPr>
                <w:rFonts w:ascii="Book Antiqua" w:hAnsi="Book Antiqua" w:cs="Arial"/>
                <w:b/>
                <w:lang w:val="en-US"/>
              </w:rPr>
            </w:pPr>
            <w:r w:rsidRPr="004E72CC">
              <w:rPr>
                <w:rFonts w:ascii="Book Antiqua" w:hAnsi="Book Antiqua" w:cs="Arial"/>
                <w:b/>
                <w:lang w:val="en-US"/>
              </w:rPr>
              <w:t>Transferrin saturation (%)</w:t>
            </w:r>
          </w:p>
        </w:tc>
        <w:tc>
          <w:tcPr>
            <w:tcW w:w="2256" w:type="dxa"/>
            <w:tcBorders>
              <w:top w:val="single" w:sz="4" w:space="0" w:color="auto"/>
              <w:bottom w:val="single" w:sz="4" w:space="0" w:color="auto"/>
            </w:tcBorders>
          </w:tcPr>
          <w:p w14:paraId="2C18FB29" w14:textId="77777777" w:rsidR="00442E2E" w:rsidRPr="004E72CC" w:rsidRDefault="00442E2E" w:rsidP="00F75508">
            <w:pPr>
              <w:snapToGrid w:val="0"/>
              <w:spacing w:line="360" w:lineRule="auto"/>
              <w:jc w:val="center"/>
              <w:rPr>
                <w:rFonts w:ascii="Book Antiqua" w:hAnsi="Book Antiqua" w:cs="Arial"/>
                <w:b/>
                <w:lang w:val="en-US"/>
              </w:rPr>
            </w:pPr>
            <w:r w:rsidRPr="004E72CC">
              <w:rPr>
                <w:rFonts w:ascii="Book Antiqua" w:hAnsi="Book Antiqua" w:cs="Arial"/>
                <w:b/>
                <w:lang w:val="en-US"/>
              </w:rPr>
              <w:t>CRP (</w:t>
            </w:r>
            <w:r w:rsidRPr="004E72CC">
              <w:rPr>
                <w:rFonts w:ascii="Book Antiqua" w:hAnsi="Book Antiqua" w:cs="Arial"/>
                <w:b/>
                <w:color w:val="000000" w:themeColor="text1"/>
                <w:lang w:val="en-US"/>
              </w:rPr>
              <w:t>5 mg/L)</w:t>
            </w:r>
          </w:p>
        </w:tc>
      </w:tr>
      <w:tr w:rsidR="00D15257" w:rsidRPr="004E72CC" w14:paraId="2093506E" w14:textId="77777777" w:rsidTr="00F75508">
        <w:tc>
          <w:tcPr>
            <w:tcW w:w="2259" w:type="dxa"/>
            <w:tcBorders>
              <w:top w:val="single" w:sz="4" w:space="0" w:color="auto"/>
            </w:tcBorders>
          </w:tcPr>
          <w:p w14:paraId="18A3D77D" w14:textId="77777777" w:rsidR="00442E2E" w:rsidRPr="00F75508" w:rsidRDefault="00442E2E" w:rsidP="008A0A74">
            <w:pPr>
              <w:snapToGrid w:val="0"/>
              <w:spacing w:line="360" w:lineRule="auto"/>
              <w:jc w:val="both"/>
              <w:rPr>
                <w:rFonts w:ascii="Book Antiqua" w:hAnsi="Book Antiqua" w:cs="Arial"/>
                <w:lang w:val="en-US"/>
              </w:rPr>
            </w:pPr>
            <w:r w:rsidRPr="00F75508">
              <w:rPr>
                <w:rFonts w:ascii="Book Antiqua" w:hAnsi="Book Antiqua" w:cs="Arial"/>
                <w:lang w:val="en-US"/>
              </w:rPr>
              <w:t>IDA</w:t>
            </w:r>
          </w:p>
        </w:tc>
        <w:tc>
          <w:tcPr>
            <w:tcW w:w="2265" w:type="dxa"/>
            <w:tcBorders>
              <w:top w:val="single" w:sz="4" w:space="0" w:color="auto"/>
            </w:tcBorders>
          </w:tcPr>
          <w:p w14:paraId="608E99EB" w14:textId="183C3853" w:rsidR="00442E2E" w:rsidRPr="004E72CC" w:rsidRDefault="00442E2E" w:rsidP="00F75508">
            <w:pPr>
              <w:snapToGrid w:val="0"/>
              <w:spacing w:line="360" w:lineRule="auto"/>
              <w:jc w:val="center"/>
              <w:rPr>
                <w:rFonts w:ascii="Book Antiqua" w:hAnsi="Book Antiqua" w:cs="Arial"/>
                <w:lang w:val="en-US"/>
              </w:rPr>
            </w:pPr>
            <w:r w:rsidRPr="004E72CC">
              <w:rPr>
                <w:rFonts w:ascii="Book Antiqua" w:hAnsi="Book Antiqua" w:cs="Arial"/>
                <w:lang w:val="en-US"/>
              </w:rPr>
              <w:t>&lt;</w:t>
            </w:r>
            <w:r w:rsidR="00FF2123">
              <w:rPr>
                <w:rFonts w:ascii="Book Antiqua" w:hAnsi="Book Antiqua" w:cs="Arial"/>
                <w:lang w:val="en-US"/>
              </w:rPr>
              <w:t xml:space="preserve"> </w:t>
            </w:r>
            <w:r w:rsidRPr="004E72CC">
              <w:rPr>
                <w:rFonts w:ascii="Book Antiqua" w:hAnsi="Book Antiqua" w:cs="Arial"/>
                <w:lang w:val="en-US"/>
              </w:rPr>
              <w:t>30</w:t>
            </w:r>
          </w:p>
        </w:tc>
        <w:tc>
          <w:tcPr>
            <w:tcW w:w="2276" w:type="dxa"/>
            <w:tcBorders>
              <w:top w:val="single" w:sz="4" w:space="0" w:color="auto"/>
            </w:tcBorders>
          </w:tcPr>
          <w:p w14:paraId="59B3BF76" w14:textId="0009E00B" w:rsidR="00442E2E" w:rsidRPr="004E72CC" w:rsidRDefault="00442E2E" w:rsidP="00F75508">
            <w:pPr>
              <w:snapToGrid w:val="0"/>
              <w:spacing w:line="360" w:lineRule="auto"/>
              <w:jc w:val="center"/>
              <w:rPr>
                <w:rFonts w:ascii="Book Antiqua" w:hAnsi="Book Antiqua" w:cs="Arial"/>
                <w:lang w:val="en-US"/>
              </w:rPr>
            </w:pPr>
            <w:r w:rsidRPr="004E72CC">
              <w:rPr>
                <w:rFonts w:ascii="Book Antiqua" w:hAnsi="Book Antiqua" w:cs="Arial"/>
                <w:lang w:val="en-US"/>
              </w:rPr>
              <w:t>&lt;</w:t>
            </w:r>
            <w:r w:rsidR="00FF2123">
              <w:rPr>
                <w:rFonts w:ascii="Book Antiqua" w:hAnsi="Book Antiqua" w:cs="Arial"/>
                <w:lang w:val="en-US"/>
              </w:rPr>
              <w:t xml:space="preserve"> </w:t>
            </w:r>
            <w:r w:rsidRPr="004E72CC">
              <w:rPr>
                <w:rFonts w:ascii="Book Antiqua" w:hAnsi="Book Antiqua" w:cs="Arial"/>
                <w:lang w:val="en-US"/>
              </w:rPr>
              <w:t>20</w:t>
            </w:r>
          </w:p>
        </w:tc>
        <w:tc>
          <w:tcPr>
            <w:tcW w:w="2256" w:type="dxa"/>
            <w:tcBorders>
              <w:top w:val="single" w:sz="4" w:space="0" w:color="auto"/>
            </w:tcBorders>
          </w:tcPr>
          <w:p w14:paraId="5FC4EBB4" w14:textId="77777777" w:rsidR="00442E2E" w:rsidRPr="004E72CC" w:rsidRDefault="00442E2E" w:rsidP="00F75508">
            <w:pPr>
              <w:snapToGrid w:val="0"/>
              <w:spacing w:line="360" w:lineRule="auto"/>
              <w:jc w:val="center"/>
              <w:rPr>
                <w:rFonts w:ascii="Book Antiqua" w:hAnsi="Book Antiqua" w:cs="Arial"/>
                <w:lang w:val="en-US"/>
              </w:rPr>
            </w:pPr>
            <w:r w:rsidRPr="004E72CC">
              <w:rPr>
                <w:rFonts w:ascii="Book Antiqua" w:hAnsi="Book Antiqua" w:cs="Arial"/>
                <w:lang w:val="en-US"/>
              </w:rPr>
              <w:t>-</w:t>
            </w:r>
          </w:p>
        </w:tc>
      </w:tr>
      <w:tr w:rsidR="00D15257" w:rsidRPr="004E72CC" w14:paraId="369A1CEC" w14:textId="77777777" w:rsidTr="00D15257">
        <w:tc>
          <w:tcPr>
            <w:tcW w:w="2259" w:type="dxa"/>
          </w:tcPr>
          <w:p w14:paraId="4E813EFD" w14:textId="77777777" w:rsidR="00442E2E" w:rsidRPr="00F75508" w:rsidRDefault="00442E2E" w:rsidP="008A0A74">
            <w:pPr>
              <w:snapToGrid w:val="0"/>
              <w:spacing w:line="360" w:lineRule="auto"/>
              <w:jc w:val="both"/>
              <w:rPr>
                <w:rFonts w:ascii="Book Antiqua" w:hAnsi="Book Antiqua" w:cs="Arial"/>
                <w:lang w:val="en-US"/>
              </w:rPr>
            </w:pPr>
            <w:r w:rsidRPr="00F75508">
              <w:rPr>
                <w:rFonts w:ascii="Book Antiqua" w:hAnsi="Book Antiqua" w:cs="Arial"/>
                <w:lang w:val="en-US"/>
              </w:rPr>
              <w:t>CDA</w:t>
            </w:r>
          </w:p>
        </w:tc>
        <w:tc>
          <w:tcPr>
            <w:tcW w:w="2265" w:type="dxa"/>
          </w:tcPr>
          <w:p w14:paraId="4F5A3E22" w14:textId="7404568D" w:rsidR="00442E2E" w:rsidRPr="004E72CC" w:rsidRDefault="00442E2E" w:rsidP="00F75508">
            <w:pPr>
              <w:snapToGrid w:val="0"/>
              <w:spacing w:line="360" w:lineRule="auto"/>
              <w:jc w:val="center"/>
              <w:rPr>
                <w:rFonts w:ascii="Book Antiqua" w:hAnsi="Book Antiqua" w:cs="Arial"/>
                <w:lang w:val="en-US"/>
              </w:rPr>
            </w:pPr>
            <w:r w:rsidRPr="004E72CC">
              <w:rPr>
                <w:rFonts w:ascii="Book Antiqua" w:hAnsi="Book Antiqua" w:cs="Arial"/>
                <w:lang w:val="en-US"/>
              </w:rPr>
              <w:t>&gt;</w:t>
            </w:r>
            <w:r w:rsidR="00FF2123">
              <w:rPr>
                <w:rFonts w:ascii="Book Antiqua" w:hAnsi="Book Antiqua" w:cs="Arial"/>
                <w:lang w:val="en-US"/>
              </w:rPr>
              <w:t xml:space="preserve"> </w:t>
            </w:r>
            <w:r w:rsidRPr="004E72CC">
              <w:rPr>
                <w:rFonts w:ascii="Book Antiqua" w:hAnsi="Book Antiqua" w:cs="Arial"/>
                <w:lang w:val="en-US"/>
              </w:rPr>
              <w:t>100</w:t>
            </w:r>
          </w:p>
        </w:tc>
        <w:tc>
          <w:tcPr>
            <w:tcW w:w="2276" w:type="dxa"/>
          </w:tcPr>
          <w:p w14:paraId="540E9077" w14:textId="15E4A71E" w:rsidR="00442E2E" w:rsidRPr="004E72CC" w:rsidRDefault="00442E2E" w:rsidP="00F75508">
            <w:pPr>
              <w:snapToGrid w:val="0"/>
              <w:spacing w:line="360" w:lineRule="auto"/>
              <w:jc w:val="center"/>
              <w:rPr>
                <w:rFonts w:ascii="Book Antiqua" w:hAnsi="Book Antiqua" w:cs="Arial"/>
                <w:lang w:val="en-US"/>
              </w:rPr>
            </w:pPr>
            <w:r w:rsidRPr="004E72CC">
              <w:rPr>
                <w:rFonts w:ascii="Book Antiqua" w:hAnsi="Book Antiqua" w:cs="Arial"/>
                <w:lang w:val="en-US"/>
              </w:rPr>
              <w:t>&lt;</w:t>
            </w:r>
            <w:r w:rsidR="00FF2123">
              <w:rPr>
                <w:rFonts w:ascii="Book Antiqua" w:hAnsi="Book Antiqua" w:cs="Arial"/>
                <w:lang w:val="en-US"/>
              </w:rPr>
              <w:t xml:space="preserve"> </w:t>
            </w:r>
            <w:r w:rsidRPr="004E72CC">
              <w:rPr>
                <w:rFonts w:ascii="Book Antiqua" w:hAnsi="Book Antiqua" w:cs="Arial"/>
                <w:lang w:val="en-US"/>
              </w:rPr>
              <w:t>20</w:t>
            </w:r>
          </w:p>
        </w:tc>
        <w:tc>
          <w:tcPr>
            <w:tcW w:w="2256" w:type="dxa"/>
          </w:tcPr>
          <w:p w14:paraId="4DC91792" w14:textId="6430888B" w:rsidR="00442E2E" w:rsidRPr="004E72CC" w:rsidRDefault="00442E2E" w:rsidP="00F75508">
            <w:pPr>
              <w:snapToGrid w:val="0"/>
              <w:spacing w:line="360" w:lineRule="auto"/>
              <w:jc w:val="center"/>
              <w:rPr>
                <w:rFonts w:ascii="Book Antiqua" w:hAnsi="Book Antiqua" w:cs="Arial"/>
                <w:lang w:val="en-US"/>
              </w:rPr>
            </w:pPr>
            <w:r w:rsidRPr="004E72CC">
              <w:rPr>
                <w:rFonts w:ascii="Book Antiqua" w:hAnsi="Book Antiqua" w:cs="Arial"/>
                <w:lang w:val="en-US"/>
              </w:rPr>
              <w:t>&gt;</w:t>
            </w:r>
            <w:r w:rsidR="00FF2123">
              <w:rPr>
                <w:rFonts w:ascii="Book Antiqua" w:hAnsi="Book Antiqua" w:cs="Arial"/>
                <w:lang w:val="en-US"/>
              </w:rPr>
              <w:t xml:space="preserve"> </w:t>
            </w:r>
            <w:r w:rsidRPr="004E72CC">
              <w:rPr>
                <w:rFonts w:ascii="Book Antiqua" w:hAnsi="Book Antiqua" w:cs="Arial"/>
                <w:lang w:val="en-US"/>
              </w:rPr>
              <w:t>5</w:t>
            </w:r>
          </w:p>
        </w:tc>
      </w:tr>
      <w:tr w:rsidR="00D15257" w:rsidRPr="004E72CC" w14:paraId="0E2989BE" w14:textId="77777777" w:rsidTr="00D15257">
        <w:tc>
          <w:tcPr>
            <w:tcW w:w="2259" w:type="dxa"/>
          </w:tcPr>
          <w:p w14:paraId="51545E41" w14:textId="77777777" w:rsidR="00442E2E" w:rsidRPr="00F75508" w:rsidRDefault="00442E2E" w:rsidP="008A0A74">
            <w:pPr>
              <w:snapToGrid w:val="0"/>
              <w:spacing w:line="360" w:lineRule="auto"/>
              <w:jc w:val="both"/>
              <w:rPr>
                <w:rFonts w:ascii="Book Antiqua" w:hAnsi="Book Antiqua" w:cs="Arial"/>
                <w:lang w:val="en-US"/>
              </w:rPr>
            </w:pPr>
            <w:r w:rsidRPr="00F75508">
              <w:rPr>
                <w:rFonts w:ascii="Book Antiqua" w:hAnsi="Book Antiqua" w:cs="Arial"/>
                <w:lang w:val="en-US"/>
              </w:rPr>
              <w:t xml:space="preserve">Mixed anemia </w:t>
            </w:r>
          </w:p>
          <w:p w14:paraId="2CB0B942" w14:textId="77777777" w:rsidR="00442E2E" w:rsidRPr="00F75508" w:rsidRDefault="00442E2E" w:rsidP="008A0A74">
            <w:pPr>
              <w:snapToGrid w:val="0"/>
              <w:spacing w:line="360" w:lineRule="auto"/>
              <w:jc w:val="both"/>
              <w:rPr>
                <w:rFonts w:ascii="Book Antiqua" w:hAnsi="Book Antiqua" w:cs="Arial"/>
                <w:lang w:val="en-US"/>
              </w:rPr>
            </w:pPr>
            <w:r w:rsidRPr="00F75508">
              <w:rPr>
                <w:rFonts w:ascii="Book Antiqua" w:hAnsi="Book Antiqua" w:cs="Arial"/>
                <w:lang w:val="en-US"/>
              </w:rPr>
              <w:t xml:space="preserve">(IDA + CDA) </w:t>
            </w:r>
          </w:p>
        </w:tc>
        <w:tc>
          <w:tcPr>
            <w:tcW w:w="2265" w:type="dxa"/>
          </w:tcPr>
          <w:p w14:paraId="12BFE40F" w14:textId="0ECA3BB8" w:rsidR="00442E2E" w:rsidRPr="004E72CC" w:rsidRDefault="00442E2E" w:rsidP="00F75508">
            <w:pPr>
              <w:snapToGrid w:val="0"/>
              <w:spacing w:line="360" w:lineRule="auto"/>
              <w:jc w:val="center"/>
              <w:rPr>
                <w:rFonts w:ascii="Book Antiqua" w:hAnsi="Book Antiqua" w:cs="Arial"/>
                <w:lang w:val="en-US"/>
              </w:rPr>
            </w:pPr>
            <w:r w:rsidRPr="004E72CC">
              <w:rPr>
                <w:rFonts w:ascii="Book Antiqua" w:hAnsi="Book Antiqua" w:cs="Arial"/>
                <w:lang w:val="en-US"/>
              </w:rPr>
              <w:t>&gt;</w:t>
            </w:r>
            <w:r w:rsidR="00FF2123">
              <w:rPr>
                <w:rFonts w:ascii="Book Antiqua" w:hAnsi="Book Antiqua" w:cs="Arial"/>
                <w:lang w:val="en-US"/>
              </w:rPr>
              <w:t xml:space="preserve"> </w:t>
            </w:r>
            <w:r w:rsidRPr="004E72CC">
              <w:rPr>
                <w:rFonts w:ascii="Book Antiqua" w:hAnsi="Book Antiqua" w:cs="Arial"/>
                <w:lang w:val="en-US"/>
              </w:rPr>
              <w:t>30 and &lt;</w:t>
            </w:r>
            <w:r w:rsidR="00FF2123">
              <w:rPr>
                <w:rFonts w:ascii="Book Antiqua" w:hAnsi="Book Antiqua" w:cs="Arial"/>
                <w:lang w:val="en-US"/>
              </w:rPr>
              <w:t xml:space="preserve"> </w:t>
            </w:r>
            <w:r w:rsidRPr="004E72CC">
              <w:rPr>
                <w:rFonts w:ascii="Book Antiqua" w:hAnsi="Book Antiqua" w:cs="Arial"/>
                <w:lang w:val="en-US"/>
              </w:rPr>
              <w:t>100</w:t>
            </w:r>
          </w:p>
        </w:tc>
        <w:tc>
          <w:tcPr>
            <w:tcW w:w="2276" w:type="dxa"/>
          </w:tcPr>
          <w:p w14:paraId="669CC713" w14:textId="7FEBE850" w:rsidR="00442E2E" w:rsidRPr="004E72CC" w:rsidRDefault="00442E2E" w:rsidP="00F75508">
            <w:pPr>
              <w:snapToGrid w:val="0"/>
              <w:spacing w:line="360" w:lineRule="auto"/>
              <w:jc w:val="center"/>
              <w:rPr>
                <w:rFonts w:ascii="Book Antiqua" w:hAnsi="Book Antiqua" w:cs="Arial"/>
                <w:lang w:val="en-US"/>
              </w:rPr>
            </w:pPr>
            <w:r w:rsidRPr="004E72CC">
              <w:rPr>
                <w:rFonts w:ascii="Book Antiqua" w:hAnsi="Book Antiqua" w:cs="Arial"/>
                <w:lang w:val="en-US"/>
              </w:rPr>
              <w:t>&lt;</w:t>
            </w:r>
            <w:r w:rsidR="00FF2123">
              <w:rPr>
                <w:rFonts w:ascii="Book Antiqua" w:hAnsi="Book Antiqua" w:cs="Arial"/>
                <w:lang w:val="en-US"/>
              </w:rPr>
              <w:t xml:space="preserve"> </w:t>
            </w:r>
            <w:r w:rsidRPr="004E72CC">
              <w:rPr>
                <w:rFonts w:ascii="Book Antiqua" w:hAnsi="Book Antiqua" w:cs="Arial"/>
                <w:lang w:val="en-US"/>
              </w:rPr>
              <w:t>20</w:t>
            </w:r>
          </w:p>
        </w:tc>
        <w:tc>
          <w:tcPr>
            <w:tcW w:w="2256" w:type="dxa"/>
          </w:tcPr>
          <w:p w14:paraId="278E0383" w14:textId="77777777" w:rsidR="00442E2E" w:rsidRPr="004E72CC" w:rsidRDefault="00442E2E" w:rsidP="00F75508">
            <w:pPr>
              <w:snapToGrid w:val="0"/>
              <w:spacing w:line="360" w:lineRule="auto"/>
              <w:jc w:val="center"/>
              <w:rPr>
                <w:rFonts w:ascii="Book Antiqua" w:hAnsi="Book Antiqua" w:cs="Arial"/>
                <w:lang w:val="en-US"/>
              </w:rPr>
            </w:pPr>
          </w:p>
        </w:tc>
      </w:tr>
    </w:tbl>
    <w:p w14:paraId="6A95E6A2" w14:textId="21798E42" w:rsidR="00442E2E" w:rsidRPr="00E0787C" w:rsidRDefault="00442E2E" w:rsidP="008A0A74">
      <w:pPr>
        <w:snapToGrid w:val="0"/>
        <w:spacing w:line="360" w:lineRule="auto"/>
        <w:jc w:val="both"/>
        <w:rPr>
          <w:rFonts w:ascii="Book Antiqua" w:hAnsi="Book Antiqua" w:cs="Arial"/>
          <w:lang w:val="en-US"/>
        </w:rPr>
      </w:pPr>
      <w:r w:rsidRPr="004E72CC">
        <w:rPr>
          <w:rFonts w:ascii="Book Antiqua" w:hAnsi="Book Antiqua" w:cs="Arial"/>
          <w:lang w:val="en-US"/>
        </w:rPr>
        <w:t xml:space="preserve">IDA: Iron </w:t>
      </w:r>
      <w:r w:rsidR="00FF2123">
        <w:rPr>
          <w:rFonts w:ascii="Book Antiqua" w:hAnsi="Book Antiqua" w:cs="Arial"/>
          <w:lang w:val="en-US"/>
        </w:rPr>
        <w:t>d</w:t>
      </w:r>
      <w:r w:rsidR="00FF2123" w:rsidRPr="004E72CC">
        <w:rPr>
          <w:rFonts w:ascii="Book Antiqua" w:hAnsi="Book Antiqua" w:cs="Arial"/>
          <w:lang w:val="en-US"/>
        </w:rPr>
        <w:t xml:space="preserve">eficiency </w:t>
      </w:r>
      <w:r w:rsidR="00FF2123">
        <w:rPr>
          <w:rFonts w:ascii="Book Antiqua" w:hAnsi="Book Antiqua" w:cs="Arial"/>
          <w:lang w:val="en-US"/>
        </w:rPr>
        <w:t>a</w:t>
      </w:r>
      <w:r w:rsidRPr="004E72CC">
        <w:rPr>
          <w:rFonts w:ascii="Book Antiqua" w:hAnsi="Book Antiqua" w:cs="Arial"/>
          <w:lang w:val="en-US"/>
        </w:rPr>
        <w:t xml:space="preserve">nemia; CDA: </w:t>
      </w:r>
      <w:r w:rsidRPr="00E0787C">
        <w:rPr>
          <w:rFonts w:ascii="Book Antiqua" w:hAnsi="Book Antiqua" w:cs="Arial"/>
          <w:lang w:val="en-US"/>
        </w:rPr>
        <w:t xml:space="preserve">Chronic </w:t>
      </w:r>
      <w:r w:rsidR="00FF2123">
        <w:rPr>
          <w:rFonts w:ascii="Book Antiqua" w:hAnsi="Book Antiqua" w:cs="Arial"/>
          <w:lang w:val="en-US"/>
        </w:rPr>
        <w:t>d</w:t>
      </w:r>
      <w:r w:rsidRPr="00E0787C">
        <w:rPr>
          <w:rFonts w:ascii="Book Antiqua" w:hAnsi="Book Antiqua" w:cs="Arial"/>
          <w:lang w:val="en-US"/>
        </w:rPr>
        <w:t xml:space="preserve">isease </w:t>
      </w:r>
      <w:r w:rsidR="00FF2123">
        <w:rPr>
          <w:rFonts w:ascii="Book Antiqua" w:hAnsi="Book Antiqua" w:cs="Arial"/>
          <w:lang w:val="en-US"/>
        </w:rPr>
        <w:t>a</w:t>
      </w:r>
      <w:r w:rsidRPr="00E0787C">
        <w:rPr>
          <w:rFonts w:ascii="Book Antiqua" w:hAnsi="Book Antiqua" w:cs="Arial"/>
          <w:lang w:val="en-US"/>
        </w:rPr>
        <w:t xml:space="preserve">nemia; CRP: C </w:t>
      </w:r>
      <w:r w:rsidR="00FF2123">
        <w:rPr>
          <w:rFonts w:ascii="Book Antiqua" w:hAnsi="Book Antiqua" w:cs="Arial"/>
          <w:lang w:val="en-US"/>
        </w:rPr>
        <w:t>r</w:t>
      </w:r>
      <w:r w:rsidRPr="00E0787C">
        <w:rPr>
          <w:rFonts w:ascii="Book Antiqua" w:hAnsi="Book Antiqua" w:cs="Arial"/>
          <w:lang w:val="en-US"/>
        </w:rPr>
        <w:t xml:space="preserve">eactive </w:t>
      </w:r>
      <w:r w:rsidR="00FF2123">
        <w:rPr>
          <w:rFonts w:ascii="Book Antiqua" w:hAnsi="Book Antiqua" w:cs="Arial"/>
          <w:lang w:val="en-US"/>
        </w:rPr>
        <w:t>p</w:t>
      </w:r>
      <w:r w:rsidRPr="00E0787C">
        <w:rPr>
          <w:rFonts w:ascii="Book Antiqua" w:hAnsi="Book Antiqua" w:cs="Arial"/>
          <w:lang w:val="en-US"/>
        </w:rPr>
        <w:t>rotein</w:t>
      </w:r>
      <w:r w:rsidR="00FF2123">
        <w:rPr>
          <w:rFonts w:ascii="Book Antiqua" w:hAnsi="Book Antiqua" w:cs="Arial"/>
          <w:lang w:val="en-US"/>
        </w:rPr>
        <w:t>.</w:t>
      </w:r>
    </w:p>
    <w:p w14:paraId="68E1D76B" w14:textId="77777777" w:rsidR="00FB22A9" w:rsidRPr="004E72CC" w:rsidRDefault="00FB22A9">
      <w:pPr>
        <w:rPr>
          <w:rFonts w:ascii="Book Antiqua" w:hAnsi="Book Antiqua" w:cs="Arial"/>
          <w:lang w:val="en-US"/>
        </w:rPr>
      </w:pPr>
      <w:r w:rsidRPr="004E72CC">
        <w:rPr>
          <w:rFonts w:ascii="Book Antiqua" w:hAnsi="Book Antiqua" w:cs="Arial"/>
          <w:lang w:val="en-US"/>
        </w:rPr>
        <w:br w:type="page"/>
      </w:r>
    </w:p>
    <w:p w14:paraId="570F073C" w14:textId="3B9B36FF" w:rsidR="00442E2E" w:rsidRPr="00F75508" w:rsidRDefault="00442E2E" w:rsidP="00F75508">
      <w:pPr>
        <w:pStyle w:val="paragraph"/>
        <w:snapToGrid w:val="0"/>
        <w:spacing w:line="360" w:lineRule="auto"/>
        <w:jc w:val="both"/>
        <w:textAlignment w:val="baseline"/>
        <w:rPr>
          <w:lang w:val="en-GB"/>
        </w:rPr>
      </w:pPr>
      <w:r w:rsidRPr="00F75508">
        <w:rPr>
          <w:rFonts w:ascii="Book Antiqua" w:hAnsi="Book Antiqua" w:cstheme="minorHAnsi"/>
          <w:b/>
        </w:rPr>
        <w:lastRenderedPageBreak/>
        <w:t xml:space="preserve">Table 2 </w:t>
      </w:r>
      <w:r w:rsidRPr="004E72CC">
        <w:rPr>
          <w:rFonts w:ascii="Book Antiqua" w:hAnsi="Book Antiqua" w:cstheme="minorHAnsi"/>
          <w:b/>
          <w:color w:val="000000" w:themeColor="text1"/>
          <w:lang w:val="en-US"/>
        </w:rPr>
        <w:t xml:space="preserve">Demographic data of </w:t>
      </w:r>
      <w:r w:rsidR="00AB34BC">
        <w:rPr>
          <w:rFonts w:ascii="Book Antiqua" w:hAnsi="Book Antiqua" w:cstheme="minorHAnsi"/>
          <w:b/>
          <w:color w:val="000000" w:themeColor="text1"/>
          <w:lang w:val="en-US"/>
        </w:rPr>
        <w:t>inflammatory bowel disease</w:t>
      </w:r>
      <w:r w:rsidR="00AB34BC" w:rsidRPr="004E72CC">
        <w:rPr>
          <w:rFonts w:ascii="Book Antiqua" w:hAnsi="Book Antiqua" w:cstheme="minorHAnsi"/>
          <w:b/>
          <w:color w:val="000000" w:themeColor="text1"/>
          <w:lang w:val="en-US"/>
        </w:rPr>
        <w:t xml:space="preserve"> </w:t>
      </w:r>
      <w:r w:rsidRPr="004E72CC">
        <w:rPr>
          <w:rFonts w:ascii="Book Antiqua" w:hAnsi="Book Antiqua" w:cstheme="minorHAnsi"/>
          <w:b/>
          <w:color w:val="000000" w:themeColor="text1"/>
          <w:lang w:val="en-US"/>
        </w:rPr>
        <w:t>patients</w:t>
      </w:r>
      <w:r w:rsidR="00AB34BC">
        <w:rPr>
          <w:rFonts w:ascii="Book Antiqua" w:hAnsi="Book Antiqua" w:cstheme="minorHAnsi"/>
          <w:b/>
          <w:color w:val="000000" w:themeColor="text1"/>
          <w:lang w:val="en-US"/>
        </w:rPr>
        <w:t xml:space="preserve"> </w:t>
      </w:r>
      <w:r w:rsidR="00AB34BC" w:rsidRPr="00F75508">
        <w:rPr>
          <w:rStyle w:val="Strong"/>
          <w:rFonts w:ascii="Book Antiqua" w:hAnsi="Book Antiqua" w:cstheme="minorHAnsi"/>
          <w:i/>
          <w:lang w:val="en-US"/>
        </w:rPr>
        <w:t>n</w:t>
      </w:r>
      <w:r w:rsidR="00AB34BC" w:rsidRPr="004E72CC">
        <w:rPr>
          <w:rStyle w:val="Strong"/>
          <w:rFonts w:ascii="Book Antiqua" w:hAnsi="Book Antiqua" w:cstheme="minorHAnsi"/>
          <w:lang w:val="en-US"/>
        </w:rPr>
        <w:t xml:space="preserve"> (%)</w:t>
      </w:r>
    </w:p>
    <w:tbl>
      <w:tblPr>
        <w:tblStyle w:val="TableGrid"/>
        <w:tblW w:w="100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605"/>
        <w:gridCol w:w="1938"/>
        <w:gridCol w:w="1945"/>
        <w:gridCol w:w="1965"/>
        <w:gridCol w:w="1156"/>
      </w:tblGrid>
      <w:tr w:rsidR="008A79A0" w:rsidRPr="004E72CC" w14:paraId="21FA63F5" w14:textId="77777777" w:rsidTr="004232C9">
        <w:tc>
          <w:tcPr>
            <w:tcW w:w="2487" w:type="dxa"/>
            <w:tcBorders>
              <w:top w:val="single" w:sz="4" w:space="0" w:color="auto"/>
              <w:bottom w:val="single" w:sz="4" w:space="0" w:color="auto"/>
            </w:tcBorders>
            <w:shd w:val="clear" w:color="auto" w:fill="auto"/>
          </w:tcPr>
          <w:p w14:paraId="23EEA854" w14:textId="77777777" w:rsidR="00442E2E" w:rsidRPr="004E72CC" w:rsidRDefault="00442E2E" w:rsidP="008A0A74">
            <w:pPr>
              <w:snapToGrid w:val="0"/>
              <w:spacing w:line="360" w:lineRule="auto"/>
              <w:jc w:val="both"/>
              <w:rPr>
                <w:rStyle w:val="Strong"/>
                <w:rFonts w:ascii="Book Antiqua" w:hAnsi="Book Antiqua" w:cstheme="minorHAnsi"/>
                <w:sz w:val="24"/>
                <w:szCs w:val="24"/>
                <w:lang w:val="en-US"/>
              </w:rPr>
            </w:pPr>
          </w:p>
        </w:tc>
        <w:tc>
          <w:tcPr>
            <w:tcW w:w="605" w:type="dxa"/>
            <w:tcBorders>
              <w:top w:val="single" w:sz="4" w:space="0" w:color="auto"/>
              <w:bottom w:val="single" w:sz="4" w:space="0" w:color="auto"/>
            </w:tcBorders>
            <w:shd w:val="clear" w:color="auto" w:fill="auto"/>
          </w:tcPr>
          <w:p w14:paraId="15BC663A"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p>
        </w:tc>
        <w:tc>
          <w:tcPr>
            <w:tcW w:w="1938" w:type="dxa"/>
            <w:tcBorders>
              <w:top w:val="single" w:sz="4" w:space="0" w:color="auto"/>
              <w:bottom w:val="single" w:sz="4" w:space="0" w:color="auto"/>
            </w:tcBorders>
            <w:shd w:val="clear" w:color="auto" w:fill="auto"/>
          </w:tcPr>
          <w:p w14:paraId="5FFF21C8" w14:textId="0747981E" w:rsidR="00442E2E" w:rsidRPr="004E72CC" w:rsidRDefault="00442E2E" w:rsidP="001E0A8D">
            <w:pPr>
              <w:snapToGrid w:val="0"/>
              <w:spacing w:line="360" w:lineRule="auto"/>
              <w:jc w:val="center"/>
              <w:rPr>
                <w:rStyle w:val="Strong"/>
                <w:rFonts w:ascii="Book Antiqua" w:hAnsi="Book Antiqua" w:cstheme="minorHAnsi"/>
                <w:sz w:val="24"/>
                <w:szCs w:val="24"/>
                <w:lang w:val="en-US" w:eastAsia="zh-CN"/>
              </w:rPr>
            </w:pPr>
            <w:r w:rsidRPr="004E72CC">
              <w:rPr>
                <w:rStyle w:val="Strong"/>
                <w:rFonts w:ascii="Book Antiqua" w:hAnsi="Book Antiqua" w:cstheme="minorHAnsi"/>
                <w:lang w:val="en-US"/>
              </w:rPr>
              <w:t>IBD overall</w:t>
            </w:r>
          </w:p>
        </w:tc>
        <w:tc>
          <w:tcPr>
            <w:tcW w:w="1945" w:type="dxa"/>
            <w:tcBorders>
              <w:top w:val="single" w:sz="4" w:space="0" w:color="auto"/>
              <w:bottom w:val="single" w:sz="4" w:space="0" w:color="auto"/>
            </w:tcBorders>
            <w:shd w:val="clear" w:color="auto" w:fill="auto"/>
          </w:tcPr>
          <w:p w14:paraId="59BFDC62"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r w:rsidRPr="004E72CC">
              <w:rPr>
                <w:rStyle w:val="Strong"/>
                <w:rFonts w:ascii="Book Antiqua" w:hAnsi="Book Antiqua" w:cstheme="minorHAnsi"/>
                <w:lang w:val="en-US"/>
              </w:rPr>
              <w:t>Crohn’s disease</w:t>
            </w:r>
          </w:p>
        </w:tc>
        <w:tc>
          <w:tcPr>
            <w:tcW w:w="1965" w:type="dxa"/>
            <w:tcBorders>
              <w:top w:val="single" w:sz="4" w:space="0" w:color="auto"/>
              <w:bottom w:val="single" w:sz="4" w:space="0" w:color="auto"/>
            </w:tcBorders>
            <w:shd w:val="clear" w:color="auto" w:fill="auto"/>
          </w:tcPr>
          <w:p w14:paraId="30767691"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r w:rsidRPr="004E72CC">
              <w:rPr>
                <w:rStyle w:val="Strong"/>
                <w:rFonts w:ascii="Book Antiqua" w:hAnsi="Book Antiqua" w:cstheme="minorHAnsi"/>
                <w:lang w:val="en-US"/>
              </w:rPr>
              <w:t>Ulcerative colitis</w:t>
            </w:r>
          </w:p>
        </w:tc>
        <w:tc>
          <w:tcPr>
            <w:tcW w:w="1156" w:type="dxa"/>
            <w:tcBorders>
              <w:top w:val="single" w:sz="4" w:space="0" w:color="auto"/>
              <w:bottom w:val="single" w:sz="4" w:space="0" w:color="auto"/>
            </w:tcBorders>
            <w:shd w:val="clear" w:color="auto" w:fill="auto"/>
          </w:tcPr>
          <w:p w14:paraId="4BAF5FC8" w14:textId="79976B31" w:rsidR="00442E2E" w:rsidRPr="00AB34BC" w:rsidRDefault="00AB34BC" w:rsidP="00F75508">
            <w:pPr>
              <w:snapToGrid w:val="0"/>
              <w:spacing w:line="360" w:lineRule="auto"/>
              <w:jc w:val="center"/>
              <w:rPr>
                <w:rStyle w:val="Strong"/>
                <w:rFonts w:ascii="Book Antiqua" w:hAnsi="Book Antiqua" w:cstheme="minorHAnsi"/>
                <w:sz w:val="24"/>
                <w:szCs w:val="24"/>
                <w:lang w:val="en-US"/>
              </w:rPr>
            </w:pPr>
            <w:r w:rsidRPr="00ED7FCF">
              <w:rPr>
                <w:rStyle w:val="Strong"/>
                <w:rFonts w:ascii="Book Antiqua" w:hAnsi="Book Antiqua" w:cstheme="minorHAnsi"/>
                <w:i/>
                <w:lang w:val="en-US"/>
              </w:rPr>
              <w:t>P</w:t>
            </w:r>
            <w:r>
              <w:rPr>
                <w:rStyle w:val="Strong"/>
                <w:rFonts w:ascii="Book Antiqua" w:hAnsi="Book Antiqua" w:cstheme="minorHAnsi"/>
                <w:i/>
                <w:lang w:val="en-US"/>
              </w:rPr>
              <w:t xml:space="preserve"> </w:t>
            </w:r>
            <w:r>
              <w:rPr>
                <w:rStyle w:val="Strong"/>
                <w:rFonts w:ascii="Book Antiqua" w:hAnsi="Book Antiqua" w:cstheme="minorHAnsi"/>
                <w:lang w:val="en-US"/>
              </w:rPr>
              <w:t>value</w:t>
            </w:r>
          </w:p>
        </w:tc>
      </w:tr>
      <w:tr w:rsidR="008A79A0" w:rsidRPr="004E72CC" w14:paraId="112F9FDB" w14:textId="77777777" w:rsidTr="004232C9">
        <w:trPr>
          <w:trHeight w:val="274"/>
        </w:trPr>
        <w:tc>
          <w:tcPr>
            <w:tcW w:w="2487" w:type="dxa"/>
            <w:tcBorders>
              <w:top w:val="single" w:sz="4" w:space="0" w:color="auto"/>
            </w:tcBorders>
            <w:shd w:val="clear" w:color="auto" w:fill="auto"/>
          </w:tcPr>
          <w:p w14:paraId="1DD981DA" w14:textId="4C99966C" w:rsidR="00442E2E" w:rsidRPr="00F75508" w:rsidRDefault="008A79A0" w:rsidP="008A0A74">
            <w:pPr>
              <w:snapToGrid w:val="0"/>
              <w:spacing w:line="360" w:lineRule="auto"/>
              <w:jc w:val="both"/>
              <w:rPr>
                <w:rStyle w:val="Strong"/>
                <w:rFonts w:ascii="Book Antiqua" w:hAnsi="Book Antiqua" w:cstheme="minorHAnsi"/>
                <w:b w:val="0"/>
                <w:i/>
                <w:sz w:val="24"/>
                <w:szCs w:val="24"/>
                <w:lang w:val="en-US"/>
              </w:rPr>
            </w:pPr>
            <w:r w:rsidRPr="00F75508">
              <w:rPr>
                <w:rStyle w:val="Strong"/>
                <w:rFonts w:ascii="Book Antiqua" w:hAnsi="Book Antiqua" w:cstheme="minorHAnsi"/>
                <w:b w:val="0"/>
                <w:i/>
                <w:lang w:val="en-US"/>
              </w:rPr>
              <w:t>n</w:t>
            </w:r>
          </w:p>
        </w:tc>
        <w:tc>
          <w:tcPr>
            <w:tcW w:w="605" w:type="dxa"/>
            <w:tcBorders>
              <w:top w:val="single" w:sz="4" w:space="0" w:color="auto"/>
            </w:tcBorders>
            <w:shd w:val="clear" w:color="auto" w:fill="auto"/>
          </w:tcPr>
          <w:p w14:paraId="3C57457D"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38" w:type="dxa"/>
            <w:tcBorders>
              <w:top w:val="single" w:sz="4" w:space="0" w:color="auto"/>
            </w:tcBorders>
            <w:shd w:val="clear" w:color="auto" w:fill="auto"/>
          </w:tcPr>
          <w:p w14:paraId="7B119636"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465</w:t>
            </w:r>
          </w:p>
        </w:tc>
        <w:tc>
          <w:tcPr>
            <w:tcW w:w="1945" w:type="dxa"/>
            <w:tcBorders>
              <w:top w:val="single" w:sz="4" w:space="0" w:color="auto"/>
            </w:tcBorders>
            <w:shd w:val="clear" w:color="auto" w:fill="auto"/>
          </w:tcPr>
          <w:p w14:paraId="6CBC9298"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257 (55.3)</w:t>
            </w:r>
          </w:p>
        </w:tc>
        <w:tc>
          <w:tcPr>
            <w:tcW w:w="1965" w:type="dxa"/>
            <w:tcBorders>
              <w:top w:val="single" w:sz="4" w:space="0" w:color="auto"/>
            </w:tcBorders>
            <w:shd w:val="clear" w:color="auto" w:fill="auto"/>
          </w:tcPr>
          <w:p w14:paraId="1950D086"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208 (44.7)</w:t>
            </w:r>
          </w:p>
        </w:tc>
        <w:tc>
          <w:tcPr>
            <w:tcW w:w="1156" w:type="dxa"/>
            <w:tcBorders>
              <w:top w:val="single" w:sz="4" w:space="0" w:color="auto"/>
              <w:left w:val="nil"/>
            </w:tcBorders>
            <w:shd w:val="clear" w:color="auto" w:fill="auto"/>
          </w:tcPr>
          <w:p w14:paraId="4C5C6F88"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p>
        </w:tc>
      </w:tr>
      <w:tr w:rsidR="008A79A0" w:rsidRPr="004E72CC" w14:paraId="3A6919AA" w14:textId="77777777" w:rsidTr="004232C9">
        <w:trPr>
          <w:trHeight w:val="841"/>
        </w:trPr>
        <w:tc>
          <w:tcPr>
            <w:tcW w:w="2487" w:type="dxa"/>
            <w:shd w:val="clear" w:color="auto" w:fill="auto"/>
          </w:tcPr>
          <w:p w14:paraId="6B145A2A"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p w14:paraId="06D3F3A6" w14:textId="2CB4B31C" w:rsidR="00442E2E" w:rsidRPr="00F75508" w:rsidRDefault="00442E2E" w:rsidP="008A0A74">
            <w:pPr>
              <w:snapToGrid w:val="0"/>
              <w:spacing w:line="360" w:lineRule="auto"/>
              <w:jc w:val="both"/>
              <w:rPr>
                <w:rStyle w:val="Strong"/>
                <w:rFonts w:ascii="Book Antiqua" w:hAnsi="Book Antiqua" w:cstheme="minorHAnsi"/>
                <w:b w:val="0"/>
                <w:color w:val="2E74B5" w:themeColor="accent1" w:themeShade="BF"/>
                <w:sz w:val="24"/>
                <w:szCs w:val="24"/>
                <w:lang w:val="en-US"/>
              </w:rPr>
            </w:pPr>
            <w:r w:rsidRPr="00F75508">
              <w:rPr>
                <w:rStyle w:val="Strong"/>
                <w:rFonts w:ascii="Book Antiqua" w:hAnsi="Book Antiqua" w:cstheme="minorHAnsi"/>
                <w:b w:val="0"/>
                <w:lang w:val="en-US"/>
              </w:rPr>
              <w:t xml:space="preserve">Age </w:t>
            </w:r>
            <w:r w:rsidR="00B354F1">
              <w:rPr>
                <w:rStyle w:val="Strong"/>
                <w:rFonts w:ascii="Book Antiqua" w:hAnsi="Book Antiqua" w:cstheme="minorHAnsi"/>
                <w:b w:val="0"/>
                <w:lang w:val="en-US"/>
              </w:rPr>
              <w:t>(yr)</w:t>
            </w:r>
          </w:p>
          <w:p w14:paraId="0C36DA7C" w14:textId="77777777" w:rsidR="00442E2E" w:rsidRPr="00F75508" w:rsidRDefault="00442E2E" w:rsidP="008A0A74">
            <w:pPr>
              <w:snapToGrid w:val="0"/>
              <w:spacing w:line="360" w:lineRule="auto"/>
              <w:jc w:val="both"/>
              <w:rPr>
                <w:rStyle w:val="Strong"/>
                <w:rFonts w:ascii="Book Antiqua" w:hAnsi="Book Antiqua" w:cstheme="minorHAnsi"/>
                <w:b w:val="0"/>
                <w:color w:val="000000" w:themeColor="text1"/>
                <w:sz w:val="24"/>
                <w:szCs w:val="24"/>
                <w:lang w:val="en-US"/>
              </w:rPr>
            </w:pPr>
            <w:r w:rsidRPr="00F75508">
              <w:rPr>
                <w:rStyle w:val="Strong"/>
                <w:rFonts w:ascii="Book Antiqua" w:hAnsi="Book Antiqua" w:cstheme="minorHAnsi"/>
                <w:b w:val="0"/>
                <w:color w:val="000000" w:themeColor="text1"/>
                <w:lang w:val="en-US"/>
              </w:rPr>
              <w:t xml:space="preserve">mean (SD; range) </w:t>
            </w:r>
          </w:p>
          <w:p w14:paraId="2F687CD9"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tc>
        <w:tc>
          <w:tcPr>
            <w:tcW w:w="605" w:type="dxa"/>
            <w:shd w:val="clear" w:color="auto" w:fill="auto"/>
          </w:tcPr>
          <w:p w14:paraId="568A5457"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38" w:type="dxa"/>
            <w:shd w:val="clear" w:color="auto" w:fill="auto"/>
          </w:tcPr>
          <w:p w14:paraId="13D280B3"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0DA00682" w14:textId="3F8CCDE8"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47.09</w:t>
            </w:r>
          </w:p>
          <w:p w14:paraId="4F265489"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(14.3; 18-83)</w:t>
            </w:r>
          </w:p>
        </w:tc>
        <w:tc>
          <w:tcPr>
            <w:tcW w:w="1945" w:type="dxa"/>
            <w:shd w:val="clear" w:color="auto" w:fill="auto"/>
          </w:tcPr>
          <w:p w14:paraId="0C85E52A"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07B52420"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46.2</w:t>
            </w:r>
          </w:p>
          <w:p w14:paraId="4B378504"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(13.42; 17-78)</w:t>
            </w:r>
          </w:p>
        </w:tc>
        <w:tc>
          <w:tcPr>
            <w:tcW w:w="1965" w:type="dxa"/>
            <w:shd w:val="clear" w:color="auto" w:fill="auto"/>
          </w:tcPr>
          <w:p w14:paraId="2BF6B66F"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32C17AD8" w14:textId="17C4176C"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48</w:t>
            </w:r>
          </w:p>
          <w:p w14:paraId="439284FD"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(15.3; 12-83)</w:t>
            </w:r>
          </w:p>
        </w:tc>
        <w:tc>
          <w:tcPr>
            <w:tcW w:w="1156" w:type="dxa"/>
            <w:shd w:val="clear" w:color="auto" w:fill="auto"/>
          </w:tcPr>
          <w:p w14:paraId="6704B38D" w14:textId="58C3516A"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0.183</w:t>
            </w:r>
          </w:p>
        </w:tc>
      </w:tr>
      <w:tr w:rsidR="008A79A0" w:rsidRPr="004E72CC" w14:paraId="6923CB3F" w14:textId="77777777" w:rsidTr="004232C9">
        <w:trPr>
          <w:trHeight w:val="637"/>
        </w:trPr>
        <w:tc>
          <w:tcPr>
            <w:tcW w:w="2487" w:type="dxa"/>
            <w:shd w:val="clear" w:color="auto" w:fill="auto"/>
          </w:tcPr>
          <w:p w14:paraId="6D0A68BF"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Sex (male/female)</w:t>
            </w:r>
          </w:p>
          <w:p w14:paraId="436146FF"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tc>
        <w:tc>
          <w:tcPr>
            <w:tcW w:w="605" w:type="dxa"/>
            <w:shd w:val="clear" w:color="auto" w:fill="auto"/>
          </w:tcPr>
          <w:p w14:paraId="05ED75CA"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38" w:type="dxa"/>
            <w:shd w:val="clear" w:color="auto" w:fill="auto"/>
          </w:tcPr>
          <w:p w14:paraId="01CC6F00"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254 (54.6) / 211 (45.4)</w:t>
            </w:r>
          </w:p>
        </w:tc>
        <w:tc>
          <w:tcPr>
            <w:tcW w:w="1945" w:type="dxa"/>
            <w:shd w:val="clear" w:color="auto" w:fill="auto"/>
          </w:tcPr>
          <w:p w14:paraId="1ACAF159"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153 (59.5) / 104 (40.5)</w:t>
            </w:r>
          </w:p>
        </w:tc>
        <w:tc>
          <w:tcPr>
            <w:tcW w:w="1965" w:type="dxa"/>
            <w:shd w:val="clear" w:color="auto" w:fill="auto"/>
          </w:tcPr>
          <w:p w14:paraId="7699AC76"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101 (48.6) / 107 (51.4)</w:t>
            </w:r>
          </w:p>
        </w:tc>
        <w:tc>
          <w:tcPr>
            <w:tcW w:w="1156" w:type="dxa"/>
            <w:shd w:val="clear" w:color="auto" w:fill="auto"/>
          </w:tcPr>
          <w:p w14:paraId="007A2681"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r w:rsidRPr="004E72CC">
              <w:rPr>
                <w:rStyle w:val="Strong"/>
                <w:rFonts w:ascii="Book Antiqua" w:hAnsi="Book Antiqua" w:cstheme="minorHAnsi"/>
                <w:lang w:val="en-US"/>
              </w:rPr>
              <w:t>0.019</w:t>
            </w:r>
          </w:p>
        </w:tc>
      </w:tr>
      <w:tr w:rsidR="008A79A0" w:rsidRPr="004E72CC" w14:paraId="3AA2D181" w14:textId="77777777" w:rsidTr="004232C9">
        <w:trPr>
          <w:trHeight w:val="637"/>
        </w:trPr>
        <w:tc>
          <w:tcPr>
            <w:tcW w:w="10096" w:type="dxa"/>
            <w:gridSpan w:val="6"/>
            <w:shd w:val="clear" w:color="auto" w:fill="auto"/>
          </w:tcPr>
          <w:p w14:paraId="1D392C6C" w14:textId="77777777" w:rsidR="00442E2E" w:rsidRPr="004E72CC" w:rsidRDefault="00442E2E" w:rsidP="008A0A74">
            <w:pPr>
              <w:snapToGrid w:val="0"/>
              <w:spacing w:line="360" w:lineRule="auto"/>
              <w:jc w:val="both"/>
              <w:rPr>
                <w:rFonts w:ascii="Book Antiqua" w:hAnsi="Book Antiqua" w:cstheme="minorHAnsi"/>
                <w:b/>
                <w:bCs/>
                <w:i/>
                <w:sz w:val="24"/>
                <w:szCs w:val="24"/>
                <w:lang w:val="en-US"/>
              </w:rPr>
            </w:pPr>
          </w:p>
          <w:p w14:paraId="3569E5D4"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Fonts w:ascii="Book Antiqua" w:hAnsi="Book Antiqua" w:cstheme="minorHAnsi"/>
                <w:lang w:val="en-US"/>
              </w:rPr>
              <w:t>Disease characteristics</w:t>
            </w:r>
          </w:p>
        </w:tc>
      </w:tr>
      <w:tr w:rsidR="008A79A0" w:rsidRPr="004E72CC" w14:paraId="5B48ABAD" w14:textId="77777777" w:rsidTr="004232C9">
        <w:trPr>
          <w:trHeight w:val="837"/>
        </w:trPr>
        <w:tc>
          <w:tcPr>
            <w:tcW w:w="2487" w:type="dxa"/>
            <w:shd w:val="clear" w:color="auto" w:fill="auto"/>
          </w:tcPr>
          <w:p w14:paraId="134C1363" w14:textId="51B69B25"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 xml:space="preserve">Age at diagnosis </w:t>
            </w:r>
            <w:r w:rsidR="00B354F1">
              <w:rPr>
                <w:rStyle w:val="Strong"/>
                <w:rFonts w:ascii="Book Antiqua" w:hAnsi="Book Antiqua" w:cstheme="minorHAnsi"/>
                <w:b w:val="0"/>
                <w:lang w:val="en-US"/>
              </w:rPr>
              <w:t>(yr)</w:t>
            </w:r>
          </w:p>
        </w:tc>
        <w:tc>
          <w:tcPr>
            <w:tcW w:w="605" w:type="dxa"/>
            <w:shd w:val="clear" w:color="auto" w:fill="auto"/>
          </w:tcPr>
          <w:p w14:paraId="6890886A"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38" w:type="dxa"/>
            <w:shd w:val="clear" w:color="auto" w:fill="auto"/>
          </w:tcPr>
          <w:p w14:paraId="0BCE4758"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40.21</w:t>
            </w:r>
          </w:p>
        </w:tc>
        <w:tc>
          <w:tcPr>
            <w:tcW w:w="1945" w:type="dxa"/>
            <w:shd w:val="clear" w:color="auto" w:fill="auto"/>
          </w:tcPr>
          <w:p w14:paraId="03939F9D"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39.7</w:t>
            </w:r>
          </w:p>
        </w:tc>
        <w:tc>
          <w:tcPr>
            <w:tcW w:w="1965" w:type="dxa"/>
            <w:shd w:val="clear" w:color="auto" w:fill="auto"/>
          </w:tcPr>
          <w:p w14:paraId="515EF6B1"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40.7</w:t>
            </w:r>
          </w:p>
        </w:tc>
        <w:tc>
          <w:tcPr>
            <w:tcW w:w="1156" w:type="dxa"/>
            <w:shd w:val="clear" w:color="auto" w:fill="auto"/>
          </w:tcPr>
          <w:p w14:paraId="432AC808"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0.46</w:t>
            </w:r>
          </w:p>
        </w:tc>
      </w:tr>
      <w:tr w:rsidR="008A79A0" w:rsidRPr="004E72CC" w14:paraId="0AF08D0F" w14:textId="77777777" w:rsidTr="004232C9">
        <w:trPr>
          <w:trHeight w:val="1126"/>
        </w:trPr>
        <w:tc>
          <w:tcPr>
            <w:tcW w:w="2487" w:type="dxa"/>
            <w:shd w:val="clear" w:color="auto" w:fill="auto"/>
          </w:tcPr>
          <w:p w14:paraId="0DEF04B6" w14:textId="3B2C9982"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Location of the disease</w:t>
            </w:r>
          </w:p>
          <w:p w14:paraId="25946D12"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p w14:paraId="4A2912CC"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tc>
        <w:tc>
          <w:tcPr>
            <w:tcW w:w="605" w:type="dxa"/>
            <w:shd w:val="clear" w:color="auto" w:fill="auto"/>
          </w:tcPr>
          <w:p w14:paraId="24C2EBFC"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L1</w:t>
            </w:r>
          </w:p>
          <w:p w14:paraId="64E3EE26"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L2</w:t>
            </w:r>
          </w:p>
          <w:p w14:paraId="17340C36"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L3</w:t>
            </w:r>
          </w:p>
          <w:p w14:paraId="42C53661"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L4</w:t>
            </w:r>
          </w:p>
        </w:tc>
        <w:tc>
          <w:tcPr>
            <w:tcW w:w="1938" w:type="dxa"/>
            <w:shd w:val="clear" w:color="auto" w:fill="auto"/>
          </w:tcPr>
          <w:p w14:paraId="22C3FB03"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45" w:type="dxa"/>
            <w:shd w:val="clear" w:color="auto" w:fill="auto"/>
          </w:tcPr>
          <w:p w14:paraId="53815869"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F75508">
              <w:rPr>
                <w:rFonts w:ascii="Book Antiqua" w:hAnsi="Book Antiqua" w:cstheme="minorHAnsi"/>
                <w:lang w:val="en-US"/>
              </w:rPr>
              <w:t>122 (48.2)</w:t>
            </w:r>
          </w:p>
          <w:p w14:paraId="2429A86F"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48 (19)</w:t>
            </w:r>
          </w:p>
          <w:p w14:paraId="6D2F8090" w14:textId="1FAEF10F"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83 (32.8)</w:t>
            </w:r>
          </w:p>
          <w:p w14:paraId="52641723"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w:t>
            </w:r>
          </w:p>
        </w:tc>
        <w:tc>
          <w:tcPr>
            <w:tcW w:w="1965" w:type="dxa"/>
            <w:shd w:val="clear" w:color="auto" w:fill="auto"/>
          </w:tcPr>
          <w:p w14:paraId="64D8793F"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156" w:type="dxa"/>
            <w:shd w:val="clear" w:color="auto" w:fill="auto"/>
          </w:tcPr>
          <w:p w14:paraId="5FB0566D"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p>
        </w:tc>
      </w:tr>
      <w:tr w:rsidR="008A79A0" w:rsidRPr="004E72CC" w14:paraId="07B1F350" w14:textId="77777777" w:rsidTr="004232C9">
        <w:trPr>
          <w:trHeight w:val="859"/>
        </w:trPr>
        <w:tc>
          <w:tcPr>
            <w:tcW w:w="2487" w:type="dxa"/>
            <w:shd w:val="clear" w:color="auto" w:fill="auto"/>
          </w:tcPr>
          <w:p w14:paraId="49603CC9" w14:textId="3909D5C3"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 xml:space="preserve">Disease behaviour </w:t>
            </w:r>
          </w:p>
          <w:p w14:paraId="0C08B7AD" w14:textId="77777777" w:rsidR="00442E2E" w:rsidRPr="008A79A0" w:rsidRDefault="00442E2E" w:rsidP="008A0A74">
            <w:pPr>
              <w:snapToGrid w:val="0"/>
              <w:spacing w:line="360" w:lineRule="auto"/>
              <w:jc w:val="both"/>
              <w:rPr>
                <w:rFonts w:ascii="Book Antiqua" w:hAnsi="Book Antiqua" w:cstheme="minorHAnsi"/>
                <w:sz w:val="24"/>
                <w:szCs w:val="24"/>
              </w:rPr>
            </w:pPr>
          </w:p>
        </w:tc>
        <w:tc>
          <w:tcPr>
            <w:tcW w:w="605" w:type="dxa"/>
            <w:shd w:val="clear" w:color="auto" w:fill="auto"/>
          </w:tcPr>
          <w:p w14:paraId="457B145B"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B1</w:t>
            </w:r>
          </w:p>
          <w:p w14:paraId="1DC8BCDB"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B2</w:t>
            </w:r>
          </w:p>
          <w:p w14:paraId="3901D036"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B3</w:t>
            </w:r>
          </w:p>
        </w:tc>
        <w:tc>
          <w:tcPr>
            <w:tcW w:w="1938" w:type="dxa"/>
            <w:shd w:val="clear" w:color="auto" w:fill="auto"/>
          </w:tcPr>
          <w:p w14:paraId="159D795E"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45" w:type="dxa"/>
            <w:shd w:val="clear" w:color="auto" w:fill="auto"/>
          </w:tcPr>
          <w:p w14:paraId="5545C524"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F75508">
              <w:rPr>
                <w:rFonts w:ascii="Book Antiqua" w:hAnsi="Book Antiqua" w:cstheme="minorHAnsi"/>
                <w:lang w:val="en-US"/>
              </w:rPr>
              <w:t>148 (60.9)</w:t>
            </w:r>
          </w:p>
          <w:p w14:paraId="70A8E68B" w14:textId="0275CEDF" w:rsidR="00442E2E" w:rsidRPr="004E72CC" w:rsidRDefault="00442E2E" w:rsidP="00F75508">
            <w:pPr>
              <w:snapToGrid w:val="0"/>
              <w:spacing w:line="360" w:lineRule="auto"/>
              <w:jc w:val="center"/>
              <w:rPr>
                <w:rFonts w:ascii="Book Antiqua" w:hAnsi="Book Antiqua" w:cstheme="minorHAnsi"/>
                <w:sz w:val="24"/>
                <w:szCs w:val="24"/>
                <w:lang w:val="en-US"/>
              </w:rPr>
            </w:pPr>
            <w:r w:rsidRPr="004E72CC">
              <w:rPr>
                <w:rFonts w:ascii="Book Antiqua" w:hAnsi="Book Antiqua" w:cstheme="minorHAnsi"/>
                <w:lang w:val="en-US"/>
              </w:rPr>
              <w:t>40 (16.5)</w:t>
            </w:r>
          </w:p>
          <w:p w14:paraId="1AA154FD" w14:textId="7C8DFB8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55 (22.6)</w:t>
            </w:r>
          </w:p>
          <w:p w14:paraId="3A46365E"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65" w:type="dxa"/>
            <w:shd w:val="clear" w:color="auto" w:fill="auto"/>
          </w:tcPr>
          <w:p w14:paraId="32A0806D"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156" w:type="dxa"/>
            <w:shd w:val="clear" w:color="auto" w:fill="auto"/>
          </w:tcPr>
          <w:p w14:paraId="526BABFD"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p>
        </w:tc>
      </w:tr>
      <w:tr w:rsidR="008A79A0" w:rsidRPr="004E72CC" w14:paraId="603B1130" w14:textId="77777777" w:rsidTr="004232C9">
        <w:trPr>
          <w:trHeight w:val="843"/>
        </w:trPr>
        <w:tc>
          <w:tcPr>
            <w:tcW w:w="2487" w:type="dxa"/>
            <w:shd w:val="clear" w:color="auto" w:fill="auto"/>
          </w:tcPr>
          <w:p w14:paraId="50CFF4D7" w14:textId="495A62E5" w:rsidR="00442E2E" w:rsidRPr="00F75508" w:rsidRDefault="00442E2E">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Disease extension</w:t>
            </w:r>
          </w:p>
        </w:tc>
        <w:tc>
          <w:tcPr>
            <w:tcW w:w="605" w:type="dxa"/>
            <w:shd w:val="clear" w:color="auto" w:fill="auto"/>
          </w:tcPr>
          <w:p w14:paraId="54F0BF76"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E1</w:t>
            </w:r>
          </w:p>
          <w:p w14:paraId="32EDE62A"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E2</w:t>
            </w:r>
          </w:p>
          <w:p w14:paraId="6BA399FE"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E3</w:t>
            </w:r>
          </w:p>
        </w:tc>
        <w:tc>
          <w:tcPr>
            <w:tcW w:w="1938" w:type="dxa"/>
            <w:shd w:val="clear" w:color="auto" w:fill="auto"/>
          </w:tcPr>
          <w:p w14:paraId="7E57A313"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45" w:type="dxa"/>
            <w:shd w:val="clear" w:color="auto" w:fill="auto"/>
          </w:tcPr>
          <w:p w14:paraId="03180F36"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965" w:type="dxa"/>
            <w:shd w:val="clear" w:color="auto" w:fill="auto"/>
          </w:tcPr>
          <w:p w14:paraId="4D0C2F1B"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F75508">
              <w:rPr>
                <w:rFonts w:ascii="Book Antiqua" w:hAnsi="Book Antiqua" w:cstheme="minorHAnsi"/>
                <w:lang w:val="en-US"/>
              </w:rPr>
              <w:t>49 (27.5)</w:t>
            </w:r>
          </w:p>
          <w:p w14:paraId="67780A42"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73 (41)</w:t>
            </w:r>
          </w:p>
          <w:p w14:paraId="032E6298"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56 (31.5)</w:t>
            </w:r>
          </w:p>
          <w:p w14:paraId="258901D1"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tc>
        <w:tc>
          <w:tcPr>
            <w:tcW w:w="1156" w:type="dxa"/>
            <w:shd w:val="clear" w:color="auto" w:fill="auto"/>
          </w:tcPr>
          <w:p w14:paraId="141762EE"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p>
        </w:tc>
      </w:tr>
      <w:tr w:rsidR="008A79A0" w:rsidRPr="004E72CC" w14:paraId="43EECD77" w14:textId="77777777" w:rsidTr="004232C9">
        <w:trPr>
          <w:trHeight w:val="293"/>
        </w:trPr>
        <w:tc>
          <w:tcPr>
            <w:tcW w:w="10096" w:type="dxa"/>
            <w:gridSpan w:val="6"/>
            <w:shd w:val="clear" w:color="auto" w:fill="auto"/>
          </w:tcPr>
          <w:p w14:paraId="550F3847"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Drugs</w:t>
            </w:r>
          </w:p>
        </w:tc>
      </w:tr>
      <w:tr w:rsidR="008A79A0" w:rsidRPr="004E72CC" w14:paraId="46A3368B" w14:textId="77777777" w:rsidTr="004232C9">
        <w:trPr>
          <w:trHeight w:val="1665"/>
        </w:trPr>
        <w:tc>
          <w:tcPr>
            <w:tcW w:w="2487" w:type="dxa"/>
            <w:tcBorders>
              <w:bottom w:val="single" w:sz="4" w:space="0" w:color="auto"/>
            </w:tcBorders>
            <w:shd w:val="clear" w:color="auto" w:fill="auto"/>
          </w:tcPr>
          <w:p w14:paraId="3B4D279F"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SZP/ 5-ASA</w:t>
            </w:r>
          </w:p>
          <w:p w14:paraId="19F5CCFD"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p w14:paraId="05C5D1AB"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Corticosteroids</w:t>
            </w:r>
          </w:p>
          <w:p w14:paraId="110932BD"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p w14:paraId="28EC372E"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 xml:space="preserve">Budenoside </w:t>
            </w:r>
          </w:p>
          <w:p w14:paraId="090DB43C"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p w14:paraId="6DC81113"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 xml:space="preserve">AZA / MTX </w:t>
            </w:r>
          </w:p>
          <w:p w14:paraId="2F43F758"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p w14:paraId="5D74C51B"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 xml:space="preserve">IFX/ADA </w:t>
            </w:r>
          </w:p>
          <w:p w14:paraId="63BA8A5A"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p w14:paraId="065A8DF8"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 xml:space="preserve">Antibiotic </w:t>
            </w:r>
          </w:p>
          <w:p w14:paraId="5B050C74" w14:textId="77777777" w:rsidR="00442E2E" w:rsidRPr="00F75508" w:rsidRDefault="00442E2E" w:rsidP="008A0A74">
            <w:pPr>
              <w:snapToGrid w:val="0"/>
              <w:spacing w:line="360" w:lineRule="auto"/>
              <w:jc w:val="both"/>
              <w:rPr>
                <w:rStyle w:val="Strong"/>
                <w:rFonts w:ascii="Book Antiqua" w:hAnsi="Book Antiqua" w:cstheme="minorHAnsi"/>
                <w:b w:val="0"/>
                <w:sz w:val="24"/>
                <w:szCs w:val="24"/>
                <w:lang w:val="en-US"/>
              </w:rPr>
            </w:pPr>
          </w:p>
          <w:p w14:paraId="6BBBA22B" w14:textId="77777777" w:rsidR="00442E2E" w:rsidRPr="00F75508" w:rsidRDefault="00442E2E" w:rsidP="008A0A74">
            <w:pPr>
              <w:snapToGrid w:val="0"/>
              <w:spacing w:line="360" w:lineRule="auto"/>
              <w:jc w:val="both"/>
              <w:rPr>
                <w:rStyle w:val="Strong"/>
                <w:rFonts w:ascii="Book Antiqua" w:hAnsi="Book Antiqua" w:cstheme="minorHAnsi"/>
                <w:b w:val="0"/>
                <w:i/>
                <w:sz w:val="24"/>
                <w:szCs w:val="24"/>
                <w:lang w:val="en-US"/>
              </w:rPr>
            </w:pPr>
            <w:r w:rsidRPr="00F75508">
              <w:rPr>
                <w:rStyle w:val="Strong"/>
                <w:rFonts w:ascii="Book Antiqua" w:hAnsi="Book Antiqua" w:cstheme="minorHAnsi"/>
                <w:b w:val="0"/>
                <w:lang w:val="en-US"/>
              </w:rPr>
              <w:t>Surgery</w:t>
            </w:r>
            <w:r w:rsidRPr="00F75508">
              <w:rPr>
                <w:rStyle w:val="Strong"/>
                <w:rFonts w:ascii="Book Antiqua" w:hAnsi="Book Antiqua" w:cstheme="minorHAnsi"/>
                <w:b w:val="0"/>
                <w:i/>
                <w:lang w:val="en-US"/>
              </w:rPr>
              <w:t xml:space="preserve"> </w:t>
            </w:r>
          </w:p>
        </w:tc>
        <w:tc>
          <w:tcPr>
            <w:tcW w:w="605" w:type="dxa"/>
            <w:tcBorders>
              <w:bottom w:val="single" w:sz="4" w:space="0" w:color="auto"/>
            </w:tcBorders>
            <w:shd w:val="clear" w:color="auto" w:fill="auto"/>
          </w:tcPr>
          <w:p w14:paraId="18493845" w14:textId="77777777" w:rsidR="00442E2E" w:rsidRPr="004E72CC" w:rsidRDefault="00442E2E" w:rsidP="00F75508">
            <w:pPr>
              <w:snapToGrid w:val="0"/>
              <w:spacing w:line="360" w:lineRule="auto"/>
              <w:jc w:val="center"/>
              <w:rPr>
                <w:rStyle w:val="Strong"/>
                <w:rFonts w:ascii="Book Antiqua" w:hAnsi="Book Antiqua" w:cstheme="minorHAnsi"/>
                <w:sz w:val="24"/>
                <w:szCs w:val="24"/>
                <w:lang w:val="en-US"/>
              </w:rPr>
            </w:pPr>
          </w:p>
        </w:tc>
        <w:tc>
          <w:tcPr>
            <w:tcW w:w="1938" w:type="dxa"/>
            <w:tcBorders>
              <w:bottom w:val="single" w:sz="4" w:space="0" w:color="auto"/>
            </w:tcBorders>
            <w:shd w:val="clear" w:color="auto" w:fill="auto"/>
          </w:tcPr>
          <w:p w14:paraId="4C00713A"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360 (77.4)</w:t>
            </w:r>
          </w:p>
          <w:p w14:paraId="4804A6D2"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75809D94"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55 (11.8)</w:t>
            </w:r>
          </w:p>
          <w:p w14:paraId="622A280E"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064F9381"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17 (3.7)</w:t>
            </w:r>
          </w:p>
          <w:p w14:paraId="35DA7D5A"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1A07B619"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200 (43)</w:t>
            </w:r>
          </w:p>
          <w:p w14:paraId="34E18CBD"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4BE0F637"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81 (17.4)</w:t>
            </w:r>
          </w:p>
          <w:p w14:paraId="105287BB"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492DCC0D"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92 (19.8)</w:t>
            </w:r>
          </w:p>
          <w:p w14:paraId="7CF9F49F"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1C2A792A"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70 (15.1)</w:t>
            </w:r>
          </w:p>
        </w:tc>
        <w:tc>
          <w:tcPr>
            <w:tcW w:w="1945" w:type="dxa"/>
            <w:tcBorders>
              <w:bottom w:val="single" w:sz="4" w:space="0" w:color="auto"/>
            </w:tcBorders>
            <w:shd w:val="clear" w:color="auto" w:fill="auto"/>
          </w:tcPr>
          <w:p w14:paraId="24770E69"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lastRenderedPageBreak/>
              <w:t>171 (66,5)</w:t>
            </w:r>
          </w:p>
          <w:p w14:paraId="067096EF"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285AF890"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30 (11.7)</w:t>
            </w:r>
          </w:p>
          <w:p w14:paraId="44FE6675"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6EAD6E8B"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15 (5.8)</w:t>
            </w:r>
          </w:p>
          <w:p w14:paraId="0E76B4BF"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7B00CCBD"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155 (60.3)</w:t>
            </w:r>
          </w:p>
          <w:p w14:paraId="68BB6831"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7899119D"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72 (28)</w:t>
            </w:r>
          </w:p>
          <w:p w14:paraId="2345B0DE"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439EFFCD"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68 (26.5)</w:t>
            </w:r>
          </w:p>
          <w:p w14:paraId="45C83C6E"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p>
          <w:p w14:paraId="2DC32373" w14:textId="77777777" w:rsidR="00442E2E" w:rsidRPr="004E72CC" w:rsidRDefault="00442E2E" w:rsidP="00F75508">
            <w:pPr>
              <w:snapToGrid w:val="0"/>
              <w:spacing w:line="360" w:lineRule="auto"/>
              <w:jc w:val="center"/>
              <w:rPr>
                <w:rStyle w:val="Strong"/>
                <w:rFonts w:ascii="Book Antiqua" w:hAnsi="Book Antiqua" w:cstheme="minorHAnsi"/>
                <w:b w:val="0"/>
                <w:sz w:val="24"/>
                <w:szCs w:val="24"/>
                <w:lang w:val="en-US"/>
              </w:rPr>
            </w:pPr>
            <w:r w:rsidRPr="004E72CC">
              <w:rPr>
                <w:rStyle w:val="Strong"/>
                <w:rFonts w:ascii="Book Antiqua" w:hAnsi="Book Antiqua" w:cstheme="minorHAnsi"/>
                <w:b w:val="0"/>
                <w:lang w:val="en-US"/>
              </w:rPr>
              <w:t>60 (23.3)</w:t>
            </w:r>
          </w:p>
        </w:tc>
        <w:tc>
          <w:tcPr>
            <w:tcW w:w="1965" w:type="dxa"/>
            <w:tcBorders>
              <w:bottom w:val="single" w:sz="4" w:space="0" w:color="auto"/>
            </w:tcBorders>
            <w:shd w:val="clear" w:color="auto" w:fill="auto"/>
          </w:tcPr>
          <w:p w14:paraId="3233C44D"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lastRenderedPageBreak/>
              <w:t>189 (90,6)</w:t>
            </w:r>
          </w:p>
          <w:p w14:paraId="06FE896E"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p>
          <w:p w14:paraId="6DEAF110"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25 (12)</w:t>
            </w:r>
          </w:p>
          <w:p w14:paraId="692EE42D"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p>
          <w:p w14:paraId="46F48BCE"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2 (1)</w:t>
            </w:r>
          </w:p>
          <w:p w14:paraId="2EA44889"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p>
          <w:p w14:paraId="6F7F7C6B"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45 (21.6)</w:t>
            </w:r>
          </w:p>
          <w:p w14:paraId="08D50E1C"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p>
          <w:p w14:paraId="708AF7C0"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9 (4.3)</w:t>
            </w:r>
          </w:p>
          <w:p w14:paraId="1E4F67B4"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p>
          <w:p w14:paraId="674A2E0B"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24 (11.5)</w:t>
            </w:r>
          </w:p>
          <w:p w14:paraId="23D54B0B"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p>
          <w:p w14:paraId="48AC9FD1" w14:textId="77777777" w:rsidR="00442E2E" w:rsidRPr="004E72CC" w:rsidRDefault="00442E2E" w:rsidP="00F75508">
            <w:pPr>
              <w:snapToGrid w:val="0"/>
              <w:spacing w:line="360" w:lineRule="auto"/>
              <w:jc w:val="center"/>
              <w:rPr>
                <w:rFonts w:ascii="Book Antiqua" w:hAnsi="Book Antiqua" w:cstheme="minorHAnsi"/>
                <w:bCs/>
                <w:sz w:val="24"/>
                <w:szCs w:val="24"/>
                <w:lang w:val="en-US"/>
              </w:rPr>
            </w:pPr>
            <w:r w:rsidRPr="004E72CC">
              <w:rPr>
                <w:rFonts w:ascii="Book Antiqua" w:hAnsi="Book Antiqua" w:cstheme="minorHAnsi"/>
                <w:lang w:val="en-US"/>
              </w:rPr>
              <w:t>10 (4.8)</w:t>
            </w:r>
          </w:p>
        </w:tc>
        <w:tc>
          <w:tcPr>
            <w:tcW w:w="1156" w:type="dxa"/>
            <w:tcBorders>
              <w:bottom w:val="single" w:sz="4" w:space="0" w:color="auto"/>
            </w:tcBorders>
            <w:shd w:val="clear" w:color="auto" w:fill="auto"/>
          </w:tcPr>
          <w:p w14:paraId="217BDEF5" w14:textId="6DF764ED"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lastRenderedPageBreak/>
              <w:t>&lt;</w:t>
            </w:r>
            <w:r w:rsidR="008A79A0" w:rsidRPr="00F75508">
              <w:rPr>
                <w:rStyle w:val="Strong"/>
                <w:rFonts w:ascii="Book Antiqua" w:hAnsi="Book Antiqua" w:cstheme="minorHAnsi"/>
                <w:b w:val="0"/>
                <w:lang w:val="en-US"/>
              </w:rPr>
              <w:t xml:space="preserve"> </w:t>
            </w:r>
            <w:r w:rsidRPr="00F75508">
              <w:rPr>
                <w:rStyle w:val="Strong"/>
                <w:rFonts w:ascii="Book Antiqua" w:hAnsi="Book Antiqua" w:cstheme="minorHAnsi"/>
                <w:b w:val="0"/>
                <w:lang w:val="en-US"/>
              </w:rPr>
              <w:t>0.001</w:t>
            </w:r>
          </w:p>
          <w:p w14:paraId="2825222A"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p w14:paraId="339C71D6" w14:textId="77777777" w:rsidR="00442E2E" w:rsidRPr="008A79A0" w:rsidRDefault="00442E2E" w:rsidP="00F75508">
            <w:pPr>
              <w:snapToGrid w:val="0"/>
              <w:spacing w:line="360" w:lineRule="auto"/>
              <w:jc w:val="center"/>
              <w:rPr>
                <w:rStyle w:val="Strong"/>
                <w:rFonts w:ascii="Book Antiqua" w:hAnsi="Book Antiqua" w:cstheme="minorHAnsi"/>
                <w:b w:val="0"/>
                <w:sz w:val="24"/>
                <w:szCs w:val="24"/>
                <w:lang w:val="en-US"/>
              </w:rPr>
            </w:pPr>
            <w:r w:rsidRPr="008A79A0">
              <w:rPr>
                <w:rStyle w:val="Strong"/>
                <w:rFonts w:ascii="Book Antiqua" w:hAnsi="Book Antiqua" w:cstheme="minorHAnsi"/>
                <w:b w:val="0"/>
                <w:lang w:val="en-US"/>
              </w:rPr>
              <w:t>0.90</w:t>
            </w:r>
          </w:p>
          <w:p w14:paraId="13C7EAA6"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p w14:paraId="778195DA"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0.005</w:t>
            </w:r>
          </w:p>
          <w:p w14:paraId="415ECB33"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p w14:paraId="6CA638DE" w14:textId="46E7C4D2"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&lt;</w:t>
            </w:r>
            <w:r w:rsidR="008A79A0">
              <w:rPr>
                <w:rStyle w:val="Strong"/>
                <w:rFonts w:ascii="Book Antiqua" w:hAnsi="Book Antiqua" w:cstheme="minorHAnsi"/>
                <w:b w:val="0"/>
                <w:lang w:val="en-US"/>
              </w:rPr>
              <w:t xml:space="preserve"> </w:t>
            </w:r>
            <w:r w:rsidRPr="00F75508">
              <w:rPr>
                <w:rStyle w:val="Strong"/>
                <w:rFonts w:ascii="Book Antiqua" w:hAnsi="Book Antiqua" w:cstheme="minorHAnsi"/>
                <w:b w:val="0"/>
                <w:lang w:val="en-US"/>
              </w:rPr>
              <w:t>0.001</w:t>
            </w:r>
          </w:p>
          <w:p w14:paraId="3FE09895"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p w14:paraId="264A5064" w14:textId="44767558"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&lt;</w:t>
            </w:r>
            <w:r w:rsidR="008A79A0">
              <w:rPr>
                <w:rStyle w:val="Strong"/>
                <w:rFonts w:ascii="Book Antiqua" w:hAnsi="Book Antiqua" w:cstheme="minorHAnsi"/>
                <w:b w:val="0"/>
                <w:lang w:val="en-US"/>
              </w:rPr>
              <w:t xml:space="preserve"> </w:t>
            </w:r>
            <w:r w:rsidRPr="00F75508">
              <w:rPr>
                <w:rStyle w:val="Strong"/>
                <w:rFonts w:ascii="Book Antiqua" w:hAnsi="Book Antiqua" w:cstheme="minorHAnsi"/>
                <w:b w:val="0"/>
                <w:lang w:val="en-US"/>
              </w:rPr>
              <w:t>0.001</w:t>
            </w:r>
          </w:p>
          <w:p w14:paraId="0BFAD204"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p w14:paraId="30579415" w14:textId="0F808EA2"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r w:rsidRPr="00F75508">
              <w:rPr>
                <w:rStyle w:val="Strong"/>
                <w:rFonts w:ascii="Book Antiqua" w:hAnsi="Book Antiqua" w:cstheme="minorHAnsi"/>
                <w:b w:val="0"/>
                <w:lang w:val="en-US"/>
              </w:rPr>
              <w:t>&lt;</w:t>
            </w:r>
            <w:r w:rsidR="008A79A0">
              <w:rPr>
                <w:rStyle w:val="Strong"/>
                <w:rFonts w:ascii="Book Antiqua" w:hAnsi="Book Antiqua" w:cstheme="minorHAnsi"/>
                <w:b w:val="0"/>
                <w:lang w:val="en-US"/>
              </w:rPr>
              <w:t xml:space="preserve"> </w:t>
            </w:r>
            <w:r w:rsidRPr="00F75508">
              <w:rPr>
                <w:rStyle w:val="Strong"/>
                <w:rFonts w:ascii="Book Antiqua" w:hAnsi="Book Antiqua" w:cstheme="minorHAnsi"/>
                <w:b w:val="0"/>
                <w:lang w:val="en-US"/>
              </w:rPr>
              <w:t>0.001</w:t>
            </w:r>
          </w:p>
          <w:p w14:paraId="2AD8BF0C" w14:textId="77777777" w:rsidR="00442E2E" w:rsidRPr="00F75508" w:rsidRDefault="00442E2E" w:rsidP="00F75508">
            <w:pPr>
              <w:snapToGrid w:val="0"/>
              <w:spacing w:line="360" w:lineRule="auto"/>
              <w:jc w:val="center"/>
              <w:rPr>
                <w:rStyle w:val="Strong"/>
                <w:rFonts w:ascii="Book Antiqua" w:hAnsi="Book Antiqua" w:cstheme="minorHAnsi"/>
                <w:b w:val="0"/>
                <w:sz w:val="24"/>
                <w:szCs w:val="24"/>
                <w:lang w:val="en-US"/>
              </w:rPr>
            </w:pPr>
          </w:p>
          <w:p w14:paraId="58260BE5" w14:textId="51EC9246" w:rsidR="00442E2E" w:rsidRPr="004E72CC" w:rsidRDefault="00442E2E" w:rsidP="00F75508">
            <w:pPr>
              <w:snapToGrid w:val="0"/>
              <w:spacing w:line="360" w:lineRule="auto"/>
              <w:jc w:val="center"/>
              <w:rPr>
                <w:rStyle w:val="Strong"/>
                <w:rFonts w:ascii="Book Antiqua" w:hAnsi="Book Antiqua" w:cstheme="minorHAnsi"/>
                <w:sz w:val="24"/>
                <w:szCs w:val="24"/>
                <w:lang w:val="en-US"/>
              </w:rPr>
            </w:pPr>
            <w:r w:rsidRPr="00F75508">
              <w:rPr>
                <w:rStyle w:val="Strong"/>
                <w:rFonts w:ascii="Book Antiqua" w:hAnsi="Book Antiqua" w:cstheme="minorHAnsi"/>
                <w:b w:val="0"/>
                <w:lang w:val="en-US"/>
              </w:rPr>
              <w:t>&lt;</w:t>
            </w:r>
            <w:r w:rsidR="008A79A0">
              <w:rPr>
                <w:rStyle w:val="Strong"/>
                <w:rFonts w:ascii="Book Antiqua" w:hAnsi="Book Antiqua" w:cstheme="minorHAnsi"/>
                <w:b w:val="0"/>
                <w:lang w:val="en-US"/>
              </w:rPr>
              <w:t xml:space="preserve"> </w:t>
            </w:r>
            <w:r w:rsidRPr="00F75508">
              <w:rPr>
                <w:rStyle w:val="Strong"/>
                <w:rFonts w:ascii="Book Antiqua" w:hAnsi="Book Antiqua" w:cstheme="minorHAnsi"/>
                <w:b w:val="0"/>
                <w:lang w:val="en-US"/>
              </w:rPr>
              <w:t>0.001</w:t>
            </w:r>
          </w:p>
        </w:tc>
      </w:tr>
    </w:tbl>
    <w:p w14:paraId="35DF88E6" w14:textId="04CC5F88" w:rsidR="00442E2E" w:rsidRPr="004E72CC" w:rsidRDefault="00442E2E" w:rsidP="008A0A74">
      <w:pPr>
        <w:snapToGrid w:val="0"/>
        <w:spacing w:line="360" w:lineRule="auto"/>
        <w:jc w:val="both"/>
        <w:rPr>
          <w:rFonts w:ascii="Book Antiqua" w:hAnsi="Book Antiqua" w:cstheme="minorHAnsi"/>
          <w:color w:val="000000" w:themeColor="text1"/>
          <w:lang w:val="en-US"/>
        </w:rPr>
      </w:pPr>
      <w:r w:rsidRPr="00F75508">
        <w:rPr>
          <w:rFonts w:ascii="Book Antiqua" w:hAnsi="Book Antiqua" w:cstheme="minorHAnsi"/>
          <w:color w:val="000000" w:themeColor="text1"/>
          <w:lang w:val="en-US"/>
        </w:rPr>
        <w:lastRenderedPageBreak/>
        <w:t xml:space="preserve">IBD: </w:t>
      </w:r>
      <w:r w:rsidR="00B354F1">
        <w:rPr>
          <w:rFonts w:ascii="Book Antiqua" w:hAnsi="Book Antiqua" w:cstheme="minorHAnsi"/>
          <w:color w:val="000000" w:themeColor="text1"/>
          <w:lang w:val="en-US"/>
        </w:rPr>
        <w:t>I</w:t>
      </w:r>
      <w:r w:rsidRPr="00F75508">
        <w:rPr>
          <w:rFonts w:ascii="Book Antiqua" w:hAnsi="Book Antiqua" w:cstheme="minorHAnsi"/>
          <w:color w:val="000000" w:themeColor="text1"/>
          <w:lang w:val="en-US"/>
        </w:rPr>
        <w:t xml:space="preserve">nflammatory bowel disease; L: </w:t>
      </w:r>
      <w:r w:rsidR="00B354F1">
        <w:rPr>
          <w:rFonts w:ascii="Book Antiqua" w:hAnsi="Book Antiqua" w:cstheme="minorHAnsi"/>
          <w:color w:val="000000" w:themeColor="text1"/>
          <w:lang w:val="en-US"/>
        </w:rPr>
        <w:t>D</w:t>
      </w:r>
      <w:r w:rsidRPr="00F75508">
        <w:rPr>
          <w:rFonts w:ascii="Book Antiqua" w:hAnsi="Book Antiqua" w:cstheme="minorHAnsi"/>
          <w:color w:val="000000" w:themeColor="text1"/>
          <w:lang w:val="en-US"/>
        </w:rPr>
        <w:t xml:space="preserve">isease location (for Crohn’s disease); L1: </w:t>
      </w:r>
      <w:r w:rsidR="00B354F1">
        <w:rPr>
          <w:rFonts w:ascii="Book Antiqua" w:hAnsi="Book Antiqua" w:cstheme="minorHAnsi"/>
          <w:color w:val="000000" w:themeColor="text1"/>
          <w:lang w:val="en-US"/>
        </w:rPr>
        <w:t>I</w:t>
      </w:r>
      <w:r w:rsidRPr="004E72CC">
        <w:rPr>
          <w:rFonts w:ascii="Book Antiqua" w:hAnsi="Book Antiqua" w:cstheme="minorHAnsi"/>
          <w:color w:val="000000" w:themeColor="text1"/>
          <w:lang w:val="en-US"/>
        </w:rPr>
        <w:t xml:space="preserve">leal disease; L2: </w:t>
      </w:r>
      <w:r w:rsidR="00B354F1">
        <w:rPr>
          <w:rFonts w:ascii="Book Antiqua" w:hAnsi="Book Antiqua" w:cstheme="minorHAnsi"/>
          <w:color w:val="000000" w:themeColor="text1"/>
          <w:lang w:val="en-US"/>
        </w:rPr>
        <w:t>C</w:t>
      </w:r>
      <w:r w:rsidRPr="004E72CC">
        <w:rPr>
          <w:rFonts w:ascii="Book Antiqua" w:hAnsi="Book Antiqua" w:cstheme="minorHAnsi"/>
          <w:color w:val="000000" w:themeColor="text1"/>
          <w:lang w:val="en-US"/>
        </w:rPr>
        <w:t xml:space="preserve">olonic disease; L3: </w:t>
      </w:r>
      <w:r w:rsidR="00B354F1">
        <w:rPr>
          <w:rFonts w:ascii="Book Antiqua" w:hAnsi="Book Antiqua" w:cstheme="minorHAnsi"/>
          <w:color w:val="000000" w:themeColor="text1"/>
          <w:lang w:val="en-US"/>
        </w:rPr>
        <w:t>I</w:t>
      </w:r>
      <w:r w:rsidRPr="004E72CC">
        <w:rPr>
          <w:rFonts w:ascii="Book Antiqua" w:hAnsi="Book Antiqua" w:cstheme="minorHAnsi"/>
          <w:color w:val="000000" w:themeColor="text1"/>
          <w:lang w:val="en-US"/>
        </w:rPr>
        <w:t xml:space="preserve">leocolonic disease; L4: </w:t>
      </w:r>
      <w:r w:rsidR="00B354F1">
        <w:rPr>
          <w:rFonts w:ascii="Book Antiqua" w:hAnsi="Book Antiqua" w:cstheme="minorHAnsi"/>
          <w:color w:val="000000" w:themeColor="text1"/>
          <w:lang w:val="en-US"/>
        </w:rPr>
        <w:t>U</w:t>
      </w:r>
      <w:r w:rsidRPr="004E72CC">
        <w:rPr>
          <w:rFonts w:ascii="Book Antiqua" w:hAnsi="Book Antiqua" w:cstheme="minorHAnsi"/>
          <w:color w:val="000000" w:themeColor="text1"/>
          <w:lang w:val="en-US"/>
        </w:rPr>
        <w:t xml:space="preserve">pper gastrointestinal tract disease; B: </w:t>
      </w:r>
      <w:r w:rsidR="00B354F1">
        <w:rPr>
          <w:rFonts w:ascii="Book Antiqua" w:hAnsi="Book Antiqua" w:cstheme="minorHAnsi"/>
          <w:color w:val="000000" w:themeColor="text1"/>
          <w:lang w:val="en-US"/>
        </w:rPr>
        <w:t>D</w:t>
      </w:r>
      <w:r w:rsidRPr="004E72CC">
        <w:rPr>
          <w:rFonts w:ascii="Book Antiqua" w:hAnsi="Book Antiqua" w:cstheme="minorHAnsi"/>
          <w:color w:val="000000" w:themeColor="text1"/>
          <w:lang w:val="en-US"/>
        </w:rPr>
        <w:t xml:space="preserve">isease behaviour (for Crohn’s disease ); B1: </w:t>
      </w:r>
      <w:r w:rsidR="00B354F1">
        <w:rPr>
          <w:rFonts w:ascii="Book Antiqua" w:hAnsi="Book Antiqua" w:cstheme="minorHAnsi"/>
          <w:color w:val="000000" w:themeColor="text1"/>
          <w:lang w:val="en-US"/>
        </w:rPr>
        <w:t>I</w:t>
      </w:r>
      <w:r w:rsidRPr="004E72CC">
        <w:rPr>
          <w:rFonts w:ascii="Book Antiqua" w:hAnsi="Book Antiqua" w:cstheme="minorHAnsi"/>
          <w:color w:val="000000" w:themeColor="text1"/>
          <w:lang w:val="en-US"/>
        </w:rPr>
        <w:t xml:space="preserve">nflammatory disease; B2: </w:t>
      </w:r>
      <w:r w:rsidR="00B354F1">
        <w:rPr>
          <w:rFonts w:ascii="Book Antiqua" w:hAnsi="Book Antiqua" w:cstheme="minorHAnsi"/>
          <w:color w:val="000000" w:themeColor="text1"/>
          <w:lang w:val="en-US"/>
        </w:rPr>
        <w:t>S</w:t>
      </w:r>
      <w:r w:rsidRPr="004E72CC">
        <w:rPr>
          <w:rFonts w:ascii="Book Antiqua" w:hAnsi="Book Antiqua" w:cstheme="minorHAnsi"/>
          <w:color w:val="000000" w:themeColor="text1"/>
          <w:lang w:val="en-US"/>
        </w:rPr>
        <w:t xml:space="preserve">tricturing disease; B3: </w:t>
      </w:r>
      <w:r w:rsidR="00B354F1">
        <w:rPr>
          <w:rFonts w:ascii="Book Antiqua" w:hAnsi="Book Antiqua" w:cstheme="minorHAnsi"/>
          <w:color w:val="000000" w:themeColor="text1"/>
          <w:lang w:val="en-US"/>
        </w:rPr>
        <w:t>P</w:t>
      </w:r>
      <w:r w:rsidRPr="004E72CC">
        <w:rPr>
          <w:rFonts w:ascii="Book Antiqua" w:hAnsi="Book Antiqua" w:cstheme="minorHAnsi"/>
          <w:color w:val="000000" w:themeColor="text1"/>
          <w:lang w:val="en-US"/>
        </w:rPr>
        <w:t xml:space="preserve">enetrating disease; E: </w:t>
      </w:r>
      <w:r w:rsidR="00B354F1">
        <w:rPr>
          <w:rFonts w:ascii="Book Antiqua" w:hAnsi="Book Antiqua" w:cstheme="minorHAnsi"/>
          <w:color w:val="000000" w:themeColor="text1"/>
          <w:lang w:val="en-US"/>
        </w:rPr>
        <w:t>D</w:t>
      </w:r>
      <w:r w:rsidRPr="004E72CC">
        <w:rPr>
          <w:rFonts w:ascii="Book Antiqua" w:hAnsi="Book Antiqua" w:cstheme="minorHAnsi"/>
          <w:color w:val="000000" w:themeColor="text1"/>
          <w:lang w:val="en-US"/>
        </w:rPr>
        <w:t xml:space="preserve">isease extension (for ulcerative colitis); E1: </w:t>
      </w:r>
      <w:r w:rsidR="00B354F1">
        <w:rPr>
          <w:rFonts w:ascii="Book Antiqua" w:hAnsi="Book Antiqua" w:cstheme="minorHAnsi"/>
          <w:color w:val="000000" w:themeColor="text1"/>
          <w:lang w:val="en-US"/>
        </w:rPr>
        <w:t>U</w:t>
      </w:r>
      <w:r w:rsidRPr="004E72CC">
        <w:rPr>
          <w:rFonts w:ascii="Book Antiqua" w:hAnsi="Book Antiqua" w:cstheme="minorHAnsi"/>
          <w:color w:val="000000" w:themeColor="text1"/>
          <w:lang w:val="en-US"/>
        </w:rPr>
        <w:t xml:space="preserve">lcerative proctitis; E2: </w:t>
      </w:r>
      <w:r w:rsidR="00B354F1">
        <w:rPr>
          <w:rFonts w:ascii="Book Antiqua" w:hAnsi="Book Antiqua" w:cstheme="minorHAnsi"/>
          <w:color w:val="000000" w:themeColor="text1"/>
          <w:lang w:val="en-US"/>
        </w:rPr>
        <w:t>L</w:t>
      </w:r>
      <w:r w:rsidRPr="004E72CC">
        <w:rPr>
          <w:rFonts w:ascii="Book Antiqua" w:hAnsi="Book Antiqua" w:cstheme="minorHAnsi"/>
          <w:color w:val="000000" w:themeColor="text1"/>
          <w:lang w:val="en-US"/>
        </w:rPr>
        <w:t xml:space="preserve">eft-sided ulcerative colitis; E3: </w:t>
      </w:r>
      <w:r w:rsidR="00B354F1">
        <w:rPr>
          <w:rFonts w:ascii="Book Antiqua" w:hAnsi="Book Antiqua" w:cstheme="minorHAnsi"/>
          <w:color w:val="000000" w:themeColor="text1"/>
          <w:lang w:val="en-US"/>
        </w:rPr>
        <w:t>E</w:t>
      </w:r>
      <w:r w:rsidRPr="004E72CC">
        <w:rPr>
          <w:rFonts w:ascii="Book Antiqua" w:hAnsi="Book Antiqua" w:cstheme="minorHAnsi"/>
          <w:color w:val="000000" w:themeColor="text1"/>
          <w:lang w:val="en-US"/>
        </w:rPr>
        <w:t>xtensive disease</w:t>
      </w:r>
      <w:r w:rsidRPr="004E72CC">
        <w:rPr>
          <w:rFonts w:ascii="Book Antiqua" w:hAnsi="Book Antiqua" w:cstheme="minorHAnsi"/>
          <w:bCs/>
          <w:lang w:val="en-US"/>
        </w:rPr>
        <w:t>; SZP: Sulphasalazine</w:t>
      </w:r>
      <w:r w:rsidR="00AE580C">
        <w:rPr>
          <w:rFonts w:ascii="Book Antiqua" w:hAnsi="Book Antiqua" w:cstheme="minorHAnsi"/>
          <w:color w:val="000000" w:themeColor="text1"/>
          <w:lang w:val="en-US"/>
        </w:rPr>
        <w:t xml:space="preserve">p; </w:t>
      </w:r>
      <w:r w:rsidRPr="004E72CC">
        <w:rPr>
          <w:rFonts w:ascii="Book Antiqua" w:hAnsi="Book Antiqua" w:cstheme="minorHAnsi"/>
          <w:color w:val="000000" w:themeColor="text1"/>
          <w:lang w:val="en-US"/>
        </w:rPr>
        <w:t>5-ASA: 5-aminosalicyclate; AZA: Azathiopurine; MTX: Methotrexate; IFX: Infliximab; ADA: Adalimumab</w:t>
      </w:r>
      <w:r w:rsidR="00B354F1">
        <w:rPr>
          <w:rFonts w:ascii="Book Antiqua" w:hAnsi="Book Antiqua" w:cstheme="minorHAnsi"/>
          <w:color w:val="000000" w:themeColor="text1"/>
          <w:lang w:val="en-US"/>
        </w:rPr>
        <w:t>.</w:t>
      </w:r>
      <w:r w:rsidRPr="004E72CC">
        <w:rPr>
          <w:rFonts w:ascii="Book Antiqua" w:hAnsi="Book Antiqua" w:cstheme="minorHAnsi"/>
          <w:color w:val="000000" w:themeColor="text1"/>
          <w:lang w:val="en-US"/>
        </w:rPr>
        <w:t xml:space="preserve"> </w:t>
      </w:r>
    </w:p>
    <w:p w14:paraId="7DABB089" w14:textId="77777777" w:rsidR="005A45B6" w:rsidRPr="004E72CC" w:rsidRDefault="005A45B6" w:rsidP="008A0A74">
      <w:pPr>
        <w:snapToGrid w:val="0"/>
        <w:spacing w:line="360" w:lineRule="auto"/>
        <w:jc w:val="both"/>
        <w:rPr>
          <w:rFonts w:ascii="Book Antiqua" w:hAnsi="Book Antiqua"/>
          <w:b/>
          <w:lang w:val="en-US" w:eastAsia="zh-CN"/>
        </w:rPr>
      </w:pPr>
    </w:p>
    <w:p w14:paraId="4D3655ED" w14:textId="77777777" w:rsidR="00B354F1" w:rsidRDefault="00B354F1">
      <w:pPr>
        <w:rPr>
          <w:rFonts w:ascii="Book Antiqua" w:hAnsi="Book Antiqua"/>
          <w:b/>
          <w:lang w:val="en-US"/>
        </w:rPr>
      </w:pPr>
      <w:r>
        <w:rPr>
          <w:rFonts w:ascii="Book Antiqua" w:hAnsi="Book Antiqua"/>
          <w:b/>
          <w:lang w:val="en-US"/>
        </w:rPr>
        <w:br w:type="page"/>
      </w:r>
    </w:p>
    <w:p w14:paraId="1374F29A" w14:textId="683D19D4" w:rsidR="00D91B24" w:rsidRPr="004E72CC" w:rsidRDefault="00D91B24" w:rsidP="008A0A74">
      <w:pPr>
        <w:snapToGrid w:val="0"/>
        <w:spacing w:line="360" w:lineRule="auto"/>
        <w:jc w:val="both"/>
        <w:rPr>
          <w:rStyle w:val="Strong"/>
          <w:rFonts w:ascii="Book Antiqua" w:hAnsi="Book Antiqua"/>
          <w:lang w:val="en-US"/>
        </w:rPr>
      </w:pPr>
      <w:r w:rsidRPr="004E72CC">
        <w:rPr>
          <w:rFonts w:ascii="Book Antiqua" w:hAnsi="Book Antiqua"/>
          <w:b/>
          <w:lang w:val="en-US"/>
        </w:rPr>
        <w:lastRenderedPageBreak/>
        <w:t>Table 3 Prevalence of anemia and hematological profile at the time of diagnosis in patients with inflammatory bowel disease</w:t>
      </w:r>
      <w:r w:rsidR="00857C0D">
        <w:rPr>
          <w:rFonts w:ascii="Book Antiqua" w:hAnsi="Book Antiqua"/>
          <w:b/>
          <w:lang w:val="en-US"/>
        </w:rPr>
        <w:t xml:space="preserve"> </w:t>
      </w:r>
      <w:r w:rsidR="00857C0D" w:rsidRPr="00F75508">
        <w:rPr>
          <w:rStyle w:val="Strong"/>
          <w:rFonts w:ascii="Book Antiqua" w:hAnsi="Book Antiqua"/>
          <w:i/>
          <w:lang w:val="en-US"/>
        </w:rPr>
        <w:t>n</w:t>
      </w:r>
      <w:r w:rsidR="00857C0D" w:rsidRPr="004E72CC">
        <w:rPr>
          <w:rStyle w:val="Strong"/>
          <w:rFonts w:ascii="Book Antiqua" w:hAnsi="Book Antiqua"/>
          <w:lang w:val="en-US"/>
        </w:rPr>
        <w:t xml:space="preserve"> (%)</w:t>
      </w:r>
    </w:p>
    <w:tbl>
      <w:tblPr>
        <w:tblStyle w:val="TabloKlavuzuAk1"/>
        <w:tblW w:w="0" w:type="auto"/>
        <w:tblInd w:w="-601" w:type="dxa"/>
        <w:tblBorders>
          <w:insideH w:val="none" w:sz="0" w:space="0" w:color="auto"/>
          <w:insideV w:val="none" w:sz="0" w:space="0" w:color="auto"/>
        </w:tblBorders>
        <w:tblLook w:val="04A0" w:firstRow="1" w:lastRow="0" w:firstColumn="1" w:lastColumn="0" w:noHBand="0" w:noVBand="1"/>
      </w:tblPr>
      <w:tblGrid>
        <w:gridCol w:w="2412"/>
        <w:gridCol w:w="1811"/>
        <w:gridCol w:w="1811"/>
        <w:gridCol w:w="1812"/>
        <w:gridCol w:w="1811"/>
      </w:tblGrid>
      <w:tr w:rsidR="00D91B24" w:rsidRPr="004E72CC" w14:paraId="52838F5D" w14:textId="77777777" w:rsidTr="004232C9">
        <w:tc>
          <w:tcPr>
            <w:tcW w:w="2412" w:type="dxa"/>
            <w:tcBorders>
              <w:top w:val="single" w:sz="4" w:space="0" w:color="auto"/>
              <w:left w:val="nil"/>
              <w:bottom w:val="single" w:sz="4" w:space="0" w:color="auto"/>
            </w:tcBorders>
          </w:tcPr>
          <w:p w14:paraId="27C46655" w14:textId="77777777" w:rsidR="00D91B24" w:rsidRPr="004E72CC" w:rsidRDefault="00D91B24" w:rsidP="008A0A74">
            <w:pPr>
              <w:snapToGrid w:val="0"/>
              <w:spacing w:line="360" w:lineRule="auto"/>
              <w:jc w:val="both"/>
              <w:rPr>
                <w:rStyle w:val="Strong"/>
                <w:rFonts w:ascii="Book Antiqua" w:hAnsi="Book Antiqua"/>
                <w:b w:val="0"/>
                <w:bCs w:val="0"/>
                <w:lang w:val="en-US"/>
              </w:rPr>
            </w:pPr>
          </w:p>
        </w:tc>
        <w:tc>
          <w:tcPr>
            <w:tcW w:w="1811" w:type="dxa"/>
            <w:tcBorders>
              <w:top w:val="single" w:sz="4" w:space="0" w:color="auto"/>
              <w:bottom w:val="single" w:sz="4" w:space="0" w:color="auto"/>
            </w:tcBorders>
          </w:tcPr>
          <w:p w14:paraId="34969A74" w14:textId="77777777"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lang w:val="en-US"/>
              </w:rPr>
              <w:t>IBD overall</w:t>
            </w:r>
          </w:p>
        </w:tc>
        <w:tc>
          <w:tcPr>
            <w:tcW w:w="1811" w:type="dxa"/>
            <w:tcBorders>
              <w:top w:val="single" w:sz="4" w:space="0" w:color="auto"/>
              <w:bottom w:val="single" w:sz="4" w:space="0" w:color="auto"/>
            </w:tcBorders>
          </w:tcPr>
          <w:p w14:paraId="10B02A3D" w14:textId="77777777"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lang w:val="en-US"/>
              </w:rPr>
              <w:t>Crohn’s disease</w:t>
            </w:r>
          </w:p>
        </w:tc>
        <w:tc>
          <w:tcPr>
            <w:tcW w:w="1812" w:type="dxa"/>
            <w:tcBorders>
              <w:top w:val="single" w:sz="4" w:space="0" w:color="auto"/>
              <w:bottom w:val="single" w:sz="4" w:space="0" w:color="auto"/>
            </w:tcBorders>
          </w:tcPr>
          <w:p w14:paraId="51510E52" w14:textId="77777777"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lang w:val="en-US"/>
              </w:rPr>
              <w:t>Ulcerative colitis</w:t>
            </w:r>
          </w:p>
        </w:tc>
        <w:tc>
          <w:tcPr>
            <w:tcW w:w="1811" w:type="dxa"/>
            <w:tcBorders>
              <w:top w:val="single" w:sz="4" w:space="0" w:color="auto"/>
              <w:bottom w:val="single" w:sz="4" w:space="0" w:color="auto"/>
              <w:right w:val="nil"/>
            </w:tcBorders>
          </w:tcPr>
          <w:p w14:paraId="2D9F476B" w14:textId="6FD7DC54" w:rsidR="00D91B24" w:rsidRPr="004E72CC" w:rsidRDefault="00857C0D"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i/>
                <w:lang w:val="en-US"/>
              </w:rPr>
              <w:t>P</w:t>
            </w:r>
            <w:r>
              <w:rPr>
                <w:rStyle w:val="Strong"/>
                <w:rFonts w:ascii="Book Antiqua" w:hAnsi="Book Antiqua"/>
                <w:lang w:val="en-US"/>
              </w:rPr>
              <w:t xml:space="preserve"> value</w:t>
            </w:r>
          </w:p>
        </w:tc>
      </w:tr>
      <w:tr w:rsidR="00D91B24" w:rsidRPr="004E72CC" w14:paraId="028C057C" w14:textId="77777777" w:rsidTr="004232C9">
        <w:tc>
          <w:tcPr>
            <w:tcW w:w="2412" w:type="dxa"/>
            <w:tcBorders>
              <w:top w:val="single" w:sz="4" w:space="0" w:color="auto"/>
              <w:left w:val="nil"/>
            </w:tcBorders>
          </w:tcPr>
          <w:p w14:paraId="1C1FC52B"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Anemia</w:t>
            </w:r>
          </w:p>
        </w:tc>
        <w:tc>
          <w:tcPr>
            <w:tcW w:w="1811" w:type="dxa"/>
            <w:tcBorders>
              <w:top w:val="single" w:sz="4" w:space="0" w:color="auto"/>
            </w:tcBorders>
          </w:tcPr>
          <w:p w14:paraId="09DBC90F" w14:textId="77777777"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240 (51.6)</w:t>
            </w:r>
          </w:p>
        </w:tc>
        <w:tc>
          <w:tcPr>
            <w:tcW w:w="1811" w:type="dxa"/>
            <w:tcBorders>
              <w:top w:val="single" w:sz="4" w:space="0" w:color="auto"/>
            </w:tcBorders>
          </w:tcPr>
          <w:p w14:paraId="4FBCEE09" w14:textId="77777777"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148 (57.6)</w:t>
            </w:r>
          </w:p>
        </w:tc>
        <w:tc>
          <w:tcPr>
            <w:tcW w:w="1812" w:type="dxa"/>
            <w:tcBorders>
              <w:top w:val="single" w:sz="4" w:space="0" w:color="auto"/>
            </w:tcBorders>
          </w:tcPr>
          <w:p w14:paraId="1E04A1D8"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 xml:space="preserve"> 92 (44.2) </w:t>
            </w:r>
          </w:p>
        </w:tc>
        <w:tc>
          <w:tcPr>
            <w:tcW w:w="1811" w:type="dxa"/>
            <w:tcBorders>
              <w:top w:val="single" w:sz="4" w:space="0" w:color="auto"/>
              <w:right w:val="nil"/>
            </w:tcBorders>
          </w:tcPr>
          <w:p w14:paraId="478CE077" w14:textId="60A3686D" w:rsidR="00D91B24" w:rsidRPr="00F75508" w:rsidRDefault="00D91B24" w:rsidP="008A0A74">
            <w:pPr>
              <w:snapToGrid w:val="0"/>
              <w:spacing w:line="360" w:lineRule="auto"/>
              <w:jc w:val="both"/>
              <w:rPr>
                <w:rStyle w:val="Strong"/>
                <w:rFonts w:ascii="Book Antiqua" w:hAnsi="Book Antiqua"/>
                <w:b w:val="0"/>
                <w:bCs w:val="0"/>
                <w:lang w:val="en-US" w:eastAsia="zh-CN"/>
              </w:rPr>
            </w:pPr>
            <w:r w:rsidRPr="00F75508">
              <w:rPr>
                <w:rStyle w:val="Strong"/>
                <w:rFonts w:ascii="Book Antiqua" w:hAnsi="Book Antiqua"/>
                <w:b w:val="0"/>
                <w:lang w:val="en-US"/>
              </w:rPr>
              <w:t>0.005</w:t>
            </w:r>
          </w:p>
        </w:tc>
      </w:tr>
      <w:tr w:rsidR="00D91B24" w:rsidRPr="004E72CC" w14:paraId="7AAC9BEF" w14:textId="77777777" w:rsidTr="004232C9">
        <w:tc>
          <w:tcPr>
            <w:tcW w:w="2412" w:type="dxa"/>
            <w:tcBorders>
              <w:left w:val="nil"/>
            </w:tcBorders>
          </w:tcPr>
          <w:p w14:paraId="50BB07C4"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 xml:space="preserve">Severe anemia </w:t>
            </w:r>
          </w:p>
        </w:tc>
        <w:tc>
          <w:tcPr>
            <w:tcW w:w="1811" w:type="dxa"/>
          </w:tcPr>
          <w:p w14:paraId="3225BA01" w14:textId="77777777"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64 (16.4)</w:t>
            </w:r>
          </w:p>
        </w:tc>
        <w:tc>
          <w:tcPr>
            <w:tcW w:w="1811" w:type="dxa"/>
          </w:tcPr>
          <w:p w14:paraId="6C5D9400" w14:textId="77777777"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47 (21.6)</w:t>
            </w:r>
          </w:p>
        </w:tc>
        <w:tc>
          <w:tcPr>
            <w:tcW w:w="1812" w:type="dxa"/>
          </w:tcPr>
          <w:p w14:paraId="5D03A375"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 xml:space="preserve"> 17 (9.8)</w:t>
            </w:r>
          </w:p>
        </w:tc>
        <w:tc>
          <w:tcPr>
            <w:tcW w:w="1811" w:type="dxa"/>
            <w:tcBorders>
              <w:right w:val="nil"/>
            </w:tcBorders>
          </w:tcPr>
          <w:p w14:paraId="4E42FB39" w14:textId="77E9F9E8" w:rsidR="00D91B24" w:rsidRPr="00F75508" w:rsidRDefault="00D91B24" w:rsidP="008A0A74">
            <w:pPr>
              <w:snapToGrid w:val="0"/>
              <w:spacing w:line="360" w:lineRule="auto"/>
              <w:jc w:val="both"/>
              <w:rPr>
                <w:rStyle w:val="Strong"/>
                <w:rFonts w:ascii="Book Antiqua" w:hAnsi="Book Antiqua"/>
                <w:b w:val="0"/>
                <w:bCs w:val="0"/>
                <w:lang w:val="en-US" w:eastAsia="zh-CN"/>
              </w:rPr>
            </w:pPr>
            <w:r w:rsidRPr="00F75508">
              <w:rPr>
                <w:rStyle w:val="Strong"/>
                <w:rFonts w:ascii="Book Antiqua" w:hAnsi="Book Antiqua"/>
                <w:b w:val="0"/>
                <w:lang w:val="en-US"/>
              </w:rPr>
              <w:t>0.002</w:t>
            </w:r>
          </w:p>
        </w:tc>
      </w:tr>
      <w:tr w:rsidR="00D91B24" w:rsidRPr="004E72CC" w14:paraId="7E500EDD" w14:textId="77777777" w:rsidTr="004232C9">
        <w:tc>
          <w:tcPr>
            <w:tcW w:w="2412" w:type="dxa"/>
            <w:tcBorders>
              <w:left w:val="nil"/>
            </w:tcBorders>
          </w:tcPr>
          <w:p w14:paraId="4AE7250C"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Hemoglobin (g/dL) mean (SD; range)</w:t>
            </w:r>
          </w:p>
        </w:tc>
        <w:tc>
          <w:tcPr>
            <w:tcW w:w="1811" w:type="dxa"/>
          </w:tcPr>
          <w:p w14:paraId="208515B4"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12.30 </w:t>
            </w:r>
          </w:p>
          <w:p w14:paraId="2C9E53CA" w14:textId="027B0C58"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(2.1;</w:t>
            </w:r>
            <w:r w:rsidR="00857C0D">
              <w:rPr>
                <w:rStyle w:val="Strong"/>
                <w:rFonts w:ascii="Book Antiqua" w:hAnsi="Book Antiqua"/>
                <w:b w:val="0"/>
                <w:lang w:val="en-US"/>
              </w:rPr>
              <w:t xml:space="preserve"> </w:t>
            </w:r>
            <w:r w:rsidRPr="004E72CC">
              <w:rPr>
                <w:rStyle w:val="Strong"/>
                <w:rFonts w:ascii="Book Antiqua" w:hAnsi="Book Antiqua"/>
                <w:b w:val="0"/>
                <w:lang w:val="en-US"/>
              </w:rPr>
              <w:t>5.3-17.9)</w:t>
            </w:r>
          </w:p>
        </w:tc>
        <w:tc>
          <w:tcPr>
            <w:tcW w:w="1811" w:type="dxa"/>
          </w:tcPr>
          <w:p w14:paraId="5101251A" w14:textId="77777777"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bCs w:val="0"/>
                <w:lang w:val="en-US"/>
              </w:rPr>
              <w:t>12.12</w:t>
            </w:r>
          </w:p>
          <w:p w14:paraId="33F9438B" w14:textId="45953734" w:rsidR="00D91B24" w:rsidRPr="004E72CC" w:rsidRDefault="00D91B24" w:rsidP="008A0A74">
            <w:pPr>
              <w:snapToGrid w:val="0"/>
              <w:spacing w:line="360" w:lineRule="auto"/>
              <w:jc w:val="both"/>
              <w:rPr>
                <w:rStyle w:val="Strong"/>
                <w:rFonts w:ascii="Book Antiqua" w:hAnsi="Book Antiqua" w:cstheme="minorHAnsi"/>
                <w:b w:val="0"/>
                <w:bCs w:val="0"/>
                <w:lang w:val="en-US"/>
              </w:rPr>
            </w:pPr>
            <w:r w:rsidRPr="00F75508">
              <w:rPr>
                <w:rFonts w:ascii="Book Antiqua" w:hAnsi="Book Antiqua" w:cs="Arial"/>
                <w:color w:val="000000"/>
                <w:lang w:val="en-US"/>
              </w:rPr>
              <w:t>(</w:t>
            </w:r>
            <w:r w:rsidRPr="004E72CC">
              <w:rPr>
                <w:rFonts w:ascii="Book Antiqua" w:hAnsi="Book Antiqua" w:cstheme="minorHAnsi"/>
                <w:color w:val="000000"/>
                <w:lang w:val="en-US"/>
              </w:rPr>
              <w:t>2.2;</w:t>
            </w:r>
            <w:r w:rsidR="00857C0D">
              <w:rPr>
                <w:rFonts w:ascii="Book Antiqua" w:hAnsi="Book Antiqua" w:cstheme="minorHAnsi"/>
                <w:color w:val="000000"/>
                <w:lang w:val="en-US"/>
              </w:rPr>
              <w:t xml:space="preserve"> </w:t>
            </w:r>
            <w:r w:rsidRPr="004E72CC">
              <w:rPr>
                <w:rFonts w:ascii="Book Antiqua" w:hAnsi="Book Antiqua" w:cstheme="minorHAnsi"/>
                <w:color w:val="000000"/>
                <w:lang w:val="en-US"/>
              </w:rPr>
              <w:t>5.3-16.8)</w:t>
            </w:r>
          </w:p>
        </w:tc>
        <w:tc>
          <w:tcPr>
            <w:tcW w:w="1812" w:type="dxa"/>
          </w:tcPr>
          <w:p w14:paraId="7CA0F0F4" w14:textId="77777777" w:rsidR="00D91B24" w:rsidRPr="00857C0D" w:rsidRDefault="00D91B24" w:rsidP="008A0A74">
            <w:pPr>
              <w:snapToGrid w:val="0"/>
              <w:spacing w:line="360" w:lineRule="auto"/>
              <w:jc w:val="both"/>
              <w:rPr>
                <w:rStyle w:val="Strong"/>
                <w:rFonts w:ascii="Book Antiqua" w:hAnsi="Book Antiqua"/>
                <w:b w:val="0"/>
                <w:lang w:val="en-US"/>
              </w:rPr>
            </w:pPr>
            <w:r w:rsidRPr="00857C0D">
              <w:rPr>
                <w:rStyle w:val="Strong"/>
                <w:rFonts w:ascii="Book Antiqua" w:hAnsi="Book Antiqua"/>
                <w:b w:val="0"/>
                <w:lang w:val="en-US"/>
              </w:rPr>
              <w:t xml:space="preserve">12.54 </w:t>
            </w:r>
          </w:p>
          <w:p w14:paraId="4548A917" w14:textId="08739851"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(1.9;</w:t>
            </w:r>
            <w:r w:rsidR="00857C0D">
              <w:rPr>
                <w:rStyle w:val="Strong"/>
                <w:rFonts w:ascii="Book Antiqua" w:hAnsi="Book Antiqua"/>
                <w:b w:val="0"/>
                <w:lang w:val="en-US"/>
              </w:rPr>
              <w:t xml:space="preserve"> </w:t>
            </w:r>
            <w:r w:rsidRPr="00857C0D">
              <w:rPr>
                <w:rStyle w:val="Strong"/>
                <w:rFonts w:ascii="Book Antiqua" w:hAnsi="Book Antiqua"/>
                <w:b w:val="0"/>
                <w:lang w:val="en-US"/>
              </w:rPr>
              <w:t>7.1-17.9)</w:t>
            </w:r>
          </w:p>
        </w:tc>
        <w:tc>
          <w:tcPr>
            <w:tcW w:w="1811" w:type="dxa"/>
            <w:tcBorders>
              <w:right w:val="nil"/>
            </w:tcBorders>
          </w:tcPr>
          <w:p w14:paraId="0F8BB94A" w14:textId="77777777" w:rsidR="00D91B24" w:rsidRPr="00F75508"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0.03</w:t>
            </w:r>
          </w:p>
        </w:tc>
      </w:tr>
      <w:tr w:rsidR="00D91B24" w:rsidRPr="004E72CC" w14:paraId="25234857" w14:textId="77777777" w:rsidTr="004232C9">
        <w:tc>
          <w:tcPr>
            <w:tcW w:w="2412" w:type="dxa"/>
            <w:tcBorders>
              <w:left w:val="nil"/>
            </w:tcBorders>
          </w:tcPr>
          <w:p w14:paraId="60574352"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Hematocrit (%) mean (SD; range)</w:t>
            </w:r>
          </w:p>
        </w:tc>
        <w:tc>
          <w:tcPr>
            <w:tcW w:w="1811" w:type="dxa"/>
          </w:tcPr>
          <w:p w14:paraId="0EBE978E"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37.41</w:t>
            </w:r>
          </w:p>
          <w:p w14:paraId="40C8D23E" w14:textId="55A71E69"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(6.1;</w:t>
            </w:r>
            <w:r w:rsidR="00857C0D">
              <w:rPr>
                <w:rStyle w:val="Strong"/>
                <w:rFonts w:ascii="Book Antiqua" w:hAnsi="Book Antiqua"/>
                <w:b w:val="0"/>
                <w:lang w:val="en-US"/>
              </w:rPr>
              <w:t xml:space="preserve"> </w:t>
            </w:r>
            <w:r w:rsidRPr="004E72CC">
              <w:rPr>
                <w:rStyle w:val="Strong"/>
                <w:rFonts w:ascii="Book Antiqua" w:hAnsi="Book Antiqua"/>
                <w:b w:val="0"/>
                <w:lang w:val="en-US"/>
              </w:rPr>
              <w:t>10-53)</w:t>
            </w:r>
          </w:p>
        </w:tc>
        <w:tc>
          <w:tcPr>
            <w:tcW w:w="1811" w:type="dxa"/>
          </w:tcPr>
          <w:p w14:paraId="73365C14"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36.80 </w:t>
            </w:r>
          </w:p>
          <w:p w14:paraId="07775704" w14:textId="07468AD3"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(6.6;</w:t>
            </w:r>
            <w:r w:rsidR="00857C0D">
              <w:rPr>
                <w:rStyle w:val="Strong"/>
                <w:rFonts w:ascii="Book Antiqua" w:hAnsi="Book Antiqua"/>
                <w:b w:val="0"/>
                <w:lang w:val="en-US"/>
              </w:rPr>
              <w:t xml:space="preserve"> </w:t>
            </w:r>
            <w:r w:rsidRPr="004E72CC">
              <w:rPr>
                <w:rStyle w:val="Strong"/>
                <w:rFonts w:ascii="Book Antiqua" w:hAnsi="Book Antiqua"/>
                <w:b w:val="0"/>
                <w:lang w:val="en-US"/>
              </w:rPr>
              <w:t>10-52)</w:t>
            </w:r>
          </w:p>
        </w:tc>
        <w:tc>
          <w:tcPr>
            <w:tcW w:w="1812" w:type="dxa"/>
          </w:tcPr>
          <w:p w14:paraId="0851EFBA" w14:textId="77777777" w:rsidR="00D91B24" w:rsidRPr="00857C0D" w:rsidRDefault="00D91B24" w:rsidP="008A0A74">
            <w:pPr>
              <w:snapToGrid w:val="0"/>
              <w:spacing w:line="360" w:lineRule="auto"/>
              <w:jc w:val="both"/>
              <w:rPr>
                <w:rStyle w:val="Strong"/>
                <w:rFonts w:ascii="Book Antiqua" w:hAnsi="Book Antiqua"/>
                <w:b w:val="0"/>
                <w:lang w:val="en-US"/>
              </w:rPr>
            </w:pPr>
            <w:r w:rsidRPr="00857C0D">
              <w:rPr>
                <w:rStyle w:val="Strong"/>
                <w:rFonts w:ascii="Book Antiqua" w:hAnsi="Book Antiqua"/>
                <w:b w:val="0"/>
                <w:lang w:val="en-US"/>
              </w:rPr>
              <w:t xml:space="preserve">38.16 </w:t>
            </w:r>
          </w:p>
          <w:p w14:paraId="4A6659AF" w14:textId="38486A9D"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(5.3;</w:t>
            </w:r>
            <w:r w:rsidR="00857C0D">
              <w:rPr>
                <w:rStyle w:val="Strong"/>
                <w:rFonts w:ascii="Book Antiqua" w:hAnsi="Book Antiqua"/>
                <w:b w:val="0"/>
                <w:lang w:val="en-US"/>
              </w:rPr>
              <w:t xml:space="preserve"> </w:t>
            </w:r>
            <w:r w:rsidRPr="00857C0D">
              <w:rPr>
                <w:rStyle w:val="Strong"/>
                <w:rFonts w:ascii="Book Antiqua" w:hAnsi="Book Antiqua"/>
                <w:b w:val="0"/>
                <w:lang w:val="en-US"/>
              </w:rPr>
              <w:t>22-53)</w:t>
            </w:r>
          </w:p>
        </w:tc>
        <w:tc>
          <w:tcPr>
            <w:tcW w:w="1811" w:type="dxa"/>
            <w:tcBorders>
              <w:right w:val="nil"/>
            </w:tcBorders>
          </w:tcPr>
          <w:p w14:paraId="538B615E" w14:textId="77777777" w:rsidR="00D91B24" w:rsidRPr="00F75508"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0.02</w:t>
            </w:r>
          </w:p>
        </w:tc>
      </w:tr>
      <w:tr w:rsidR="00D91B24" w:rsidRPr="004E72CC" w14:paraId="7132CCEC" w14:textId="77777777" w:rsidTr="004232C9">
        <w:tc>
          <w:tcPr>
            <w:tcW w:w="2412" w:type="dxa"/>
            <w:tcBorders>
              <w:left w:val="nil"/>
            </w:tcBorders>
          </w:tcPr>
          <w:p w14:paraId="559AE861"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 xml:space="preserve">MCV (fL) </w:t>
            </w:r>
          </w:p>
          <w:p w14:paraId="32D1A29D"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mean (SD; range)</w:t>
            </w:r>
          </w:p>
        </w:tc>
        <w:tc>
          <w:tcPr>
            <w:tcW w:w="1811" w:type="dxa"/>
          </w:tcPr>
          <w:p w14:paraId="2F581E8D"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84.54 </w:t>
            </w:r>
          </w:p>
          <w:p w14:paraId="6298E5EE" w14:textId="4D2ED816"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(7.7;</w:t>
            </w:r>
            <w:r w:rsidR="00857C0D">
              <w:rPr>
                <w:rStyle w:val="Strong"/>
                <w:rFonts w:ascii="Book Antiqua" w:hAnsi="Book Antiqua"/>
                <w:b w:val="0"/>
                <w:lang w:val="en-US"/>
              </w:rPr>
              <w:t xml:space="preserve"> </w:t>
            </w:r>
            <w:r w:rsidRPr="004E72CC">
              <w:rPr>
                <w:rStyle w:val="Strong"/>
                <w:rFonts w:ascii="Book Antiqua" w:hAnsi="Book Antiqua"/>
                <w:b w:val="0"/>
                <w:lang w:val="en-US"/>
              </w:rPr>
              <w:t>57-112)</w:t>
            </w:r>
          </w:p>
        </w:tc>
        <w:tc>
          <w:tcPr>
            <w:tcW w:w="1811" w:type="dxa"/>
          </w:tcPr>
          <w:p w14:paraId="1EB9CC15"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84.75 </w:t>
            </w:r>
          </w:p>
          <w:p w14:paraId="58D6F554" w14:textId="19248FAC"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(8.3;</w:t>
            </w:r>
            <w:r w:rsidR="00857C0D">
              <w:rPr>
                <w:rStyle w:val="Strong"/>
                <w:rFonts w:ascii="Book Antiqua" w:hAnsi="Book Antiqua"/>
                <w:b w:val="0"/>
                <w:lang w:val="en-US"/>
              </w:rPr>
              <w:t xml:space="preserve"> </w:t>
            </w:r>
            <w:r w:rsidRPr="004E72CC">
              <w:rPr>
                <w:rStyle w:val="Strong"/>
                <w:rFonts w:ascii="Book Antiqua" w:hAnsi="Book Antiqua"/>
                <w:b w:val="0"/>
                <w:lang w:val="en-US"/>
              </w:rPr>
              <w:t>58-112)</w:t>
            </w:r>
          </w:p>
        </w:tc>
        <w:tc>
          <w:tcPr>
            <w:tcW w:w="1812" w:type="dxa"/>
          </w:tcPr>
          <w:p w14:paraId="498E7E18" w14:textId="77777777" w:rsidR="00D91B24" w:rsidRPr="00857C0D" w:rsidRDefault="00D91B24" w:rsidP="008A0A74">
            <w:pPr>
              <w:snapToGrid w:val="0"/>
              <w:spacing w:line="360" w:lineRule="auto"/>
              <w:jc w:val="both"/>
              <w:rPr>
                <w:rStyle w:val="Strong"/>
                <w:rFonts w:ascii="Book Antiqua" w:hAnsi="Book Antiqua"/>
                <w:b w:val="0"/>
                <w:lang w:val="en-US"/>
              </w:rPr>
            </w:pPr>
            <w:r w:rsidRPr="00857C0D">
              <w:rPr>
                <w:rStyle w:val="Strong"/>
                <w:rFonts w:ascii="Book Antiqua" w:hAnsi="Book Antiqua"/>
                <w:b w:val="0"/>
                <w:lang w:val="en-US"/>
              </w:rPr>
              <w:t xml:space="preserve">84.28 </w:t>
            </w:r>
          </w:p>
          <w:p w14:paraId="7A882BBE" w14:textId="2AA87E7F"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(7;</w:t>
            </w:r>
            <w:r w:rsidR="00857C0D">
              <w:rPr>
                <w:rStyle w:val="Strong"/>
                <w:rFonts w:ascii="Book Antiqua" w:hAnsi="Book Antiqua"/>
                <w:b w:val="0"/>
                <w:lang w:val="en-US"/>
              </w:rPr>
              <w:t xml:space="preserve"> </w:t>
            </w:r>
            <w:r w:rsidRPr="00857C0D">
              <w:rPr>
                <w:rStyle w:val="Strong"/>
                <w:rFonts w:ascii="Book Antiqua" w:hAnsi="Book Antiqua"/>
                <w:b w:val="0"/>
                <w:lang w:val="en-US"/>
              </w:rPr>
              <w:t>57-100)</w:t>
            </w:r>
          </w:p>
        </w:tc>
        <w:tc>
          <w:tcPr>
            <w:tcW w:w="1811" w:type="dxa"/>
            <w:tcBorders>
              <w:right w:val="nil"/>
            </w:tcBorders>
          </w:tcPr>
          <w:p w14:paraId="55030DBC"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0.46</w:t>
            </w:r>
          </w:p>
        </w:tc>
      </w:tr>
      <w:tr w:rsidR="00D91B24" w:rsidRPr="004E72CC" w14:paraId="554E8DCA" w14:textId="77777777" w:rsidTr="004232C9">
        <w:tc>
          <w:tcPr>
            <w:tcW w:w="2412" w:type="dxa"/>
            <w:tcBorders>
              <w:left w:val="nil"/>
            </w:tcBorders>
          </w:tcPr>
          <w:p w14:paraId="44EC5B97" w14:textId="0B14D700"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Iron (</w:t>
            </w:r>
            <w:r w:rsidRPr="00F75508">
              <w:rPr>
                <w:rStyle w:val="Strong"/>
                <w:rFonts w:ascii="Book Antiqua" w:hAnsi="Book Antiqua" w:cstheme="minorHAnsi"/>
                <w:b w:val="0"/>
                <w:lang w:val="en-US"/>
              </w:rPr>
              <w:t>µ</w:t>
            </w:r>
            <w:r w:rsidRPr="00F75508">
              <w:rPr>
                <w:rStyle w:val="Strong"/>
                <w:rFonts w:ascii="Book Antiqua" w:hAnsi="Book Antiqua"/>
                <w:b w:val="0"/>
                <w:lang w:val="en-US"/>
              </w:rPr>
              <w:t>g/</w:t>
            </w:r>
            <w:r w:rsidR="00857C0D" w:rsidRPr="00F75508">
              <w:rPr>
                <w:rStyle w:val="Strong"/>
                <w:rFonts w:ascii="Book Antiqua" w:hAnsi="Book Antiqua"/>
                <w:b w:val="0"/>
                <w:lang w:val="en-US"/>
              </w:rPr>
              <w:t>d</w:t>
            </w:r>
            <w:r w:rsidR="00857C0D">
              <w:rPr>
                <w:rStyle w:val="Strong"/>
                <w:rFonts w:ascii="Book Antiqua" w:hAnsi="Book Antiqua"/>
                <w:b w:val="0"/>
                <w:lang w:val="en-US"/>
              </w:rPr>
              <w:t>L</w:t>
            </w:r>
            <w:r w:rsidRPr="00F75508">
              <w:rPr>
                <w:rStyle w:val="Strong"/>
                <w:rFonts w:ascii="Book Antiqua" w:hAnsi="Book Antiqua"/>
                <w:b w:val="0"/>
                <w:lang w:val="en-US"/>
              </w:rPr>
              <w:t xml:space="preserve">) </w:t>
            </w:r>
          </w:p>
          <w:p w14:paraId="3A829263"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mean (SD; range)</w:t>
            </w:r>
          </w:p>
        </w:tc>
        <w:tc>
          <w:tcPr>
            <w:tcW w:w="1811" w:type="dxa"/>
          </w:tcPr>
          <w:p w14:paraId="3E36B456"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43.76 </w:t>
            </w:r>
          </w:p>
          <w:p w14:paraId="53B10EF3" w14:textId="1C24D92D"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(30.3;</w:t>
            </w:r>
            <w:r w:rsidR="00857C0D">
              <w:rPr>
                <w:rStyle w:val="Strong"/>
                <w:rFonts w:ascii="Book Antiqua" w:hAnsi="Book Antiqua"/>
                <w:b w:val="0"/>
                <w:lang w:val="en-US"/>
              </w:rPr>
              <w:t xml:space="preserve"> </w:t>
            </w:r>
            <w:r w:rsidRPr="004E72CC">
              <w:rPr>
                <w:rStyle w:val="Strong"/>
                <w:rFonts w:ascii="Book Antiqua" w:hAnsi="Book Antiqua"/>
                <w:b w:val="0"/>
                <w:lang w:val="en-US"/>
              </w:rPr>
              <w:t>4-160)</w:t>
            </w:r>
          </w:p>
        </w:tc>
        <w:tc>
          <w:tcPr>
            <w:tcW w:w="1811" w:type="dxa"/>
          </w:tcPr>
          <w:p w14:paraId="4A975399"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43.26 </w:t>
            </w:r>
          </w:p>
          <w:p w14:paraId="2A6EEDD3" w14:textId="4CAC4938"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(30.4;</w:t>
            </w:r>
            <w:r w:rsidR="00857C0D">
              <w:rPr>
                <w:rStyle w:val="Strong"/>
                <w:rFonts w:ascii="Book Antiqua" w:hAnsi="Book Antiqua"/>
                <w:b w:val="0"/>
                <w:lang w:val="en-US"/>
              </w:rPr>
              <w:t xml:space="preserve"> </w:t>
            </w:r>
            <w:r w:rsidRPr="004E72CC">
              <w:rPr>
                <w:rStyle w:val="Strong"/>
                <w:rFonts w:ascii="Book Antiqua" w:hAnsi="Book Antiqua"/>
                <w:b w:val="0"/>
                <w:lang w:val="en-US"/>
              </w:rPr>
              <w:t>4-126)</w:t>
            </w:r>
          </w:p>
        </w:tc>
        <w:tc>
          <w:tcPr>
            <w:tcW w:w="1812" w:type="dxa"/>
          </w:tcPr>
          <w:p w14:paraId="7CA677F0" w14:textId="77777777" w:rsidR="00D91B24" w:rsidRPr="00857C0D" w:rsidRDefault="00D91B24" w:rsidP="008A0A74">
            <w:pPr>
              <w:snapToGrid w:val="0"/>
              <w:spacing w:line="360" w:lineRule="auto"/>
              <w:jc w:val="both"/>
              <w:rPr>
                <w:rStyle w:val="Strong"/>
                <w:rFonts w:ascii="Book Antiqua" w:hAnsi="Book Antiqua"/>
                <w:b w:val="0"/>
                <w:lang w:val="en-US"/>
              </w:rPr>
            </w:pPr>
            <w:r w:rsidRPr="00857C0D">
              <w:rPr>
                <w:rStyle w:val="Strong"/>
                <w:rFonts w:ascii="Book Antiqua" w:hAnsi="Book Antiqua"/>
                <w:b w:val="0"/>
                <w:lang w:val="en-US"/>
              </w:rPr>
              <w:t xml:space="preserve">44.50 </w:t>
            </w:r>
          </w:p>
          <w:p w14:paraId="19542C8C" w14:textId="0881DA31"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(30;</w:t>
            </w:r>
            <w:r w:rsidR="00857C0D">
              <w:rPr>
                <w:rStyle w:val="Strong"/>
                <w:rFonts w:ascii="Book Antiqua" w:hAnsi="Book Antiqua"/>
                <w:b w:val="0"/>
                <w:lang w:val="en-US"/>
              </w:rPr>
              <w:t xml:space="preserve"> </w:t>
            </w:r>
            <w:r w:rsidRPr="00857C0D">
              <w:rPr>
                <w:rStyle w:val="Strong"/>
                <w:rFonts w:ascii="Book Antiqua" w:hAnsi="Book Antiqua"/>
                <w:b w:val="0"/>
                <w:lang w:val="en-US"/>
              </w:rPr>
              <w:t>4-160)</w:t>
            </w:r>
          </w:p>
        </w:tc>
        <w:tc>
          <w:tcPr>
            <w:tcW w:w="1811" w:type="dxa"/>
            <w:tcBorders>
              <w:right w:val="nil"/>
            </w:tcBorders>
          </w:tcPr>
          <w:p w14:paraId="4D3DC229"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0.73</w:t>
            </w:r>
          </w:p>
        </w:tc>
      </w:tr>
      <w:tr w:rsidR="00D91B24" w:rsidRPr="004E72CC" w14:paraId="7169F6AB" w14:textId="77777777" w:rsidTr="004232C9">
        <w:tc>
          <w:tcPr>
            <w:tcW w:w="2412" w:type="dxa"/>
            <w:tcBorders>
              <w:left w:val="nil"/>
            </w:tcBorders>
          </w:tcPr>
          <w:p w14:paraId="41A251A1" w14:textId="3988CD94"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Ferritin (</w:t>
            </w:r>
            <w:r w:rsidRPr="00F75508">
              <w:rPr>
                <w:rStyle w:val="Strong"/>
                <w:rFonts w:ascii="Book Antiqua" w:hAnsi="Book Antiqua" w:cstheme="minorHAnsi"/>
                <w:b w:val="0"/>
                <w:lang w:val="en-US"/>
              </w:rPr>
              <w:t>µ</w:t>
            </w:r>
            <w:r w:rsidRPr="00F75508">
              <w:rPr>
                <w:rStyle w:val="Strong"/>
                <w:rFonts w:ascii="Book Antiqua" w:hAnsi="Book Antiqua"/>
                <w:b w:val="0"/>
                <w:lang w:val="en-US"/>
              </w:rPr>
              <w:t>g/</w:t>
            </w:r>
            <w:r w:rsidR="00834823" w:rsidRPr="00F75508">
              <w:rPr>
                <w:rStyle w:val="Strong"/>
                <w:rFonts w:ascii="Book Antiqua" w:hAnsi="Book Antiqua"/>
                <w:b w:val="0"/>
                <w:lang w:val="en-US"/>
              </w:rPr>
              <w:t>d</w:t>
            </w:r>
            <w:r w:rsidR="00834823">
              <w:rPr>
                <w:rStyle w:val="Strong"/>
                <w:rFonts w:ascii="Book Antiqua" w:hAnsi="Book Antiqua"/>
                <w:b w:val="0"/>
                <w:lang w:val="en-US"/>
              </w:rPr>
              <w:t>L</w:t>
            </w:r>
            <w:r w:rsidRPr="00F75508">
              <w:rPr>
                <w:rStyle w:val="Strong"/>
                <w:rFonts w:ascii="Book Antiqua" w:hAnsi="Book Antiqua"/>
                <w:b w:val="0"/>
                <w:lang w:val="en-US"/>
              </w:rPr>
              <w:t xml:space="preserve">) </w:t>
            </w:r>
          </w:p>
          <w:p w14:paraId="0B225FC3"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mean (SD; range)</w:t>
            </w:r>
          </w:p>
        </w:tc>
        <w:tc>
          <w:tcPr>
            <w:tcW w:w="1811" w:type="dxa"/>
          </w:tcPr>
          <w:p w14:paraId="40C08040"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40.30 </w:t>
            </w:r>
          </w:p>
          <w:p w14:paraId="3404EADF" w14:textId="789C2C0A"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(74;</w:t>
            </w:r>
            <w:r w:rsidR="00857C0D">
              <w:rPr>
                <w:rStyle w:val="Strong"/>
                <w:rFonts w:ascii="Book Antiqua" w:hAnsi="Book Antiqua"/>
                <w:b w:val="0"/>
                <w:lang w:val="en-US"/>
              </w:rPr>
              <w:t xml:space="preserve"> </w:t>
            </w:r>
            <w:r w:rsidRPr="004E72CC">
              <w:rPr>
                <w:rStyle w:val="Strong"/>
                <w:rFonts w:ascii="Book Antiqua" w:hAnsi="Book Antiqua"/>
                <w:b w:val="0"/>
                <w:lang w:val="en-US"/>
              </w:rPr>
              <w:t>2-754)</w:t>
            </w:r>
          </w:p>
        </w:tc>
        <w:tc>
          <w:tcPr>
            <w:tcW w:w="1811" w:type="dxa"/>
          </w:tcPr>
          <w:p w14:paraId="3BB33BC3"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48.96</w:t>
            </w:r>
          </w:p>
          <w:p w14:paraId="66087E01" w14:textId="1A527C36"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(91;</w:t>
            </w:r>
            <w:r w:rsidR="00857C0D">
              <w:rPr>
                <w:rStyle w:val="Strong"/>
                <w:rFonts w:ascii="Book Antiqua" w:hAnsi="Book Antiqua"/>
                <w:b w:val="0"/>
                <w:lang w:val="en-US"/>
              </w:rPr>
              <w:t xml:space="preserve"> </w:t>
            </w:r>
            <w:r w:rsidRPr="004E72CC">
              <w:rPr>
                <w:rStyle w:val="Strong"/>
                <w:rFonts w:ascii="Book Antiqua" w:hAnsi="Book Antiqua"/>
                <w:b w:val="0"/>
                <w:lang w:val="en-US"/>
              </w:rPr>
              <w:t>2-754)</w:t>
            </w:r>
          </w:p>
        </w:tc>
        <w:tc>
          <w:tcPr>
            <w:tcW w:w="1812" w:type="dxa"/>
          </w:tcPr>
          <w:p w14:paraId="6ED6E838" w14:textId="77777777" w:rsidR="00D91B24" w:rsidRPr="00857C0D" w:rsidRDefault="00D91B24" w:rsidP="008A0A74">
            <w:pPr>
              <w:snapToGrid w:val="0"/>
              <w:spacing w:line="360" w:lineRule="auto"/>
              <w:jc w:val="both"/>
              <w:rPr>
                <w:rStyle w:val="Strong"/>
                <w:rFonts w:ascii="Book Antiqua" w:hAnsi="Book Antiqua"/>
                <w:b w:val="0"/>
                <w:lang w:val="en-US"/>
              </w:rPr>
            </w:pPr>
            <w:r w:rsidRPr="00857C0D">
              <w:rPr>
                <w:rStyle w:val="Strong"/>
                <w:rFonts w:ascii="Book Antiqua" w:hAnsi="Book Antiqua"/>
                <w:b w:val="0"/>
                <w:lang w:val="en-US"/>
              </w:rPr>
              <w:t>27.26</w:t>
            </w:r>
          </w:p>
          <w:p w14:paraId="45978FD9" w14:textId="6973F1C4"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(37;</w:t>
            </w:r>
            <w:r w:rsidR="00857C0D">
              <w:rPr>
                <w:rStyle w:val="Strong"/>
                <w:rFonts w:ascii="Book Antiqua" w:hAnsi="Book Antiqua"/>
                <w:b w:val="0"/>
                <w:lang w:val="en-US"/>
              </w:rPr>
              <w:t xml:space="preserve"> </w:t>
            </w:r>
            <w:r w:rsidRPr="00857C0D">
              <w:rPr>
                <w:rStyle w:val="Strong"/>
                <w:rFonts w:ascii="Book Antiqua" w:hAnsi="Book Antiqua"/>
                <w:b w:val="0"/>
                <w:lang w:val="en-US"/>
              </w:rPr>
              <w:t>2-167)</w:t>
            </w:r>
          </w:p>
        </w:tc>
        <w:tc>
          <w:tcPr>
            <w:tcW w:w="1811" w:type="dxa"/>
            <w:tcBorders>
              <w:right w:val="nil"/>
            </w:tcBorders>
          </w:tcPr>
          <w:p w14:paraId="62765A10" w14:textId="77777777" w:rsidR="00D91B24" w:rsidRPr="00F75508"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0.01</w:t>
            </w:r>
          </w:p>
        </w:tc>
      </w:tr>
      <w:tr w:rsidR="00D91B24" w:rsidRPr="004E72CC" w14:paraId="286E1E8B" w14:textId="77777777" w:rsidTr="004232C9">
        <w:tc>
          <w:tcPr>
            <w:tcW w:w="2412" w:type="dxa"/>
            <w:tcBorders>
              <w:left w:val="nil"/>
            </w:tcBorders>
          </w:tcPr>
          <w:p w14:paraId="0928FCAE"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TS (%)</w:t>
            </w:r>
          </w:p>
          <w:p w14:paraId="04724AC0"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mean (SD; range)</w:t>
            </w:r>
          </w:p>
        </w:tc>
        <w:tc>
          <w:tcPr>
            <w:tcW w:w="1811" w:type="dxa"/>
          </w:tcPr>
          <w:p w14:paraId="2FAA4952"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15.35 </w:t>
            </w:r>
          </w:p>
          <w:p w14:paraId="32CB90A7" w14:textId="200ED75A"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(13;</w:t>
            </w:r>
            <w:r w:rsidR="00857C0D">
              <w:rPr>
                <w:rStyle w:val="Strong"/>
                <w:rFonts w:ascii="Book Antiqua" w:hAnsi="Book Antiqua"/>
                <w:b w:val="0"/>
                <w:lang w:val="en-US"/>
              </w:rPr>
              <w:t xml:space="preserve"> </w:t>
            </w:r>
            <w:r w:rsidRPr="004E72CC">
              <w:rPr>
                <w:rStyle w:val="Strong"/>
                <w:rFonts w:ascii="Book Antiqua" w:hAnsi="Book Antiqua"/>
                <w:b w:val="0"/>
                <w:lang w:val="en-US"/>
              </w:rPr>
              <w:t>2-2-100)</w:t>
            </w:r>
          </w:p>
        </w:tc>
        <w:tc>
          <w:tcPr>
            <w:tcW w:w="1811" w:type="dxa"/>
          </w:tcPr>
          <w:p w14:paraId="4679238B"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15.14 </w:t>
            </w:r>
          </w:p>
          <w:p w14:paraId="30557346" w14:textId="746867CA"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(12.7;</w:t>
            </w:r>
            <w:r w:rsidR="00857C0D">
              <w:rPr>
                <w:rStyle w:val="Strong"/>
                <w:rFonts w:ascii="Book Antiqua" w:hAnsi="Book Antiqua"/>
                <w:b w:val="0"/>
                <w:lang w:val="en-US"/>
              </w:rPr>
              <w:t xml:space="preserve"> </w:t>
            </w:r>
            <w:r w:rsidRPr="004E72CC">
              <w:rPr>
                <w:rStyle w:val="Strong"/>
                <w:rFonts w:ascii="Book Antiqua" w:hAnsi="Book Antiqua"/>
                <w:b w:val="0"/>
                <w:lang w:val="en-US"/>
              </w:rPr>
              <w:t>2-100)</w:t>
            </w:r>
          </w:p>
        </w:tc>
        <w:tc>
          <w:tcPr>
            <w:tcW w:w="1812" w:type="dxa"/>
          </w:tcPr>
          <w:p w14:paraId="59340DDC" w14:textId="77777777" w:rsidR="00D91B24" w:rsidRPr="00857C0D" w:rsidRDefault="00D91B24" w:rsidP="008A0A74">
            <w:pPr>
              <w:snapToGrid w:val="0"/>
              <w:spacing w:line="360" w:lineRule="auto"/>
              <w:jc w:val="both"/>
              <w:rPr>
                <w:rStyle w:val="Strong"/>
                <w:rFonts w:ascii="Book Antiqua" w:hAnsi="Book Antiqua"/>
                <w:b w:val="0"/>
                <w:lang w:val="en-US"/>
              </w:rPr>
            </w:pPr>
            <w:r w:rsidRPr="00857C0D">
              <w:rPr>
                <w:rStyle w:val="Strong"/>
                <w:rFonts w:ascii="Book Antiqua" w:hAnsi="Book Antiqua"/>
                <w:b w:val="0"/>
                <w:lang w:val="en-US"/>
              </w:rPr>
              <w:t xml:space="preserve">15.67 </w:t>
            </w:r>
          </w:p>
          <w:p w14:paraId="3D048B10" w14:textId="6462B740"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(12;</w:t>
            </w:r>
            <w:r w:rsidR="00857C0D">
              <w:rPr>
                <w:rStyle w:val="Strong"/>
                <w:rFonts w:ascii="Book Antiqua" w:hAnsi="Book Antiqua"/>
                <w:b w:val="0"/>
                <w:lang w:val="en-US"/>
              </w:rPr>
              <w:t xml:space="preserve"> </w:t>
            </w:r>
            <w:r w:rsidRPr="00857C0D">
              <w:rPr>
                <w:rStyle w:val="Strong"/>
                <w:rFonts w:ascii="Book Antiqua" w:hAnsi="Book Antiqua"/>
                <w:b w:val="0"/>
                <w:lang w:val="en-US"/>
              </w:rPr>
              <w:t>2-92)</w:t>
            </w:r>
          </w:p>
        </w:tc>
        <w:tc>
          <w:tcPr>
            <w:tcW w:w="1811" w:type="dxa"/>
            <w:tcBorders>
              <w:right w:val="nil"/>
            </w:tcBorders>
          </w:tcPr>
          <w:p w14:paraId="7257ABFE"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0.9</w:t>
            </w:r>
          </w:p>
        </w:tc>
      </w:tr>
      <w:tr w:rsidR="00D91B24" w:rsidRPr="004E72CC" w14:paraId="77DCCAF6" w14:textId="77777777" w:rsidTr="004232C9">
        <w:tc>
          <w:tcPr>
            <w:tcW w:w="2412" w:type="dxa"/>
            <w:tcBorders>
              <w:left w:val="nil"/>
            </w:tcBorders>
          </w:tcPr>
          <w:p w14:paraId="23968A4C"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CRP (mg/L)</w:t>
            </w:r>
          </w:p>
          <w:p w14:paraId="61444A3E"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mean (SD; range)</w:t>
            </w:r>
          </w:p>
        </w:tc>
        <w:tc>
          <w:tcPr>
            <w:tcW w:w="1811" w:type="dxa"/>
          </w:tcPr>
          <w:p w14:paraId="13E1150D"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12.99 </w:t>
            </w:r>
          </w:p>
          <w:p w14:paraId="3CF1561C" w14:textId="3A1D10A8"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(29;</w:t>
            </w:r>
            <w:r w:rsidR="00857C0D">
              <w:rPr>
                <w:rStyle w:val="Strong"/>
                <w:rFonts w:ascii="Book Antiqua" w:hAnsi="Book Antiqua"/>
                <w:b w:val="0"/>
                <w:lang w:val="en-US"/>
              </w:rPr>
              <w:t xml:space="preserve"> </w:t>
            </w:r>
            <w:r w:rsidRPr="004E72CC">
              <w:rPr>
                <w:rStyle w:val="Strong"/>
                <w:rFonts w:ascii="Book Antiqua" w:hAnsi="Book Antiqua"/>
                <w:b w:val="0"/>
                <w:lang w:val="en-US"/>
              </w:rPr>
              <w:t>1-289)</w:t>
            </w:r>
          </w:p>
        </w:tc>
        <w:tc>
          <w:tcPr>
            <w:tcW w:w="1811" w:type="dxa"/>
          </w:tcPr>
          <w:p w14:paraId="11814777"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17.12 </w:t>
            </w:r>
          </w:p>
          <w:p w14:paraId="279F6B29" w14:textId="0814C0EC"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(32.8;</w:t>
            </w:r>
            <w:r w:rsidR="00857C0D">
              <w:rPr>
                <w:rStyle w:val="Strong"/>
                <w:rFonts w:ascii="Book Antiqua" w:hAnsi="Book Antiqua"/>
                <w:b w:val="0"/>
                <w:lang w:val="en-US"/>
              </w:rPr>
              <w:t xml:space="preserve"> </w:t>
            </w:r>
            <w:r w:rsidRPr="004E72CC">
              <w:rPr>
                <w:rStyle w:val="Strong"/>
                <w:rFonts w:ascii="Book Antiqua" w:hAnsi="Book Antiqua"/>
                <w:b w:val="0"/>
                <w:lang w:val="en-US"/>
              </w:rPr>
              <w:t>0-289)</w:t>
            </w:r>
          </w:p>
        </w:tc>
        <w:tc>
          <w:tcPr>
            <w:tcW w:w="1812" w:type="dxa"/>
          </w:tcPr>
          <w:p w14:paraId="29DECFF3" w14:textId="77777777" w:rsidR="00D91B24" w:rsidRPr="00857C0D" w:rsidRDefault="00D91B24" w:rsidP="008A0A74">
            <w:pPr>
              <w:snapToGrid w:val="0"/>
              <w:spacing w:line="360" w:lineRule="auto"/>
              <w:jc w:val="both"/>
              <w:rPr>
                <w:rStyle w:val="Strong"/>
                <w:rFonts w:ascii="Book Antiqua" w:hAnsi="Book Antiqua"/>
                <w:b w:val="0"/>
                <w:lang w:val="en-US"/>
              </w:rPr>
            </w:pPr>
            <w:r w:rsidRPr="00857C0D">
              <w:rPr>
                <w:rStyle w:val="Strong"/>
                <w:rFonts w:ascii="Book Antiqua" w:hAnsi="Book Antiqua"/>
                <w:b w:val="0"/>
                <w:lang w:val="en-US"/>
              </w:rPr>
              <w:t xml:space="preserve">7.93 </w:t>
            </w:r>
          </w:p>
          <w:p w14:paraId="63DC5EC3" w14:textId="1F39C094"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(7.93;</w:t>
            </w:r>
            <w:r w:rsidR="00857C0D">
              <w:rPr>
                <w:rStyle w:val="Strong"/>
                <w:rFonts w:ascii="Book Antiqua" w:hAnsi="Book Antiqua"/>
                <w:b w:val="0"/>
                <w:lang w:val="en-US"/>
              </w:rPr>
              <w:t xml:space="preserve"> </w:t>
            </w:r>
            <w:r w:rsidRPr="00857C0D">
              <w:rPr>
                <w:rStyle w:val="Strong"/>
                <w:rFonts w:ascii="Book Antiqua" w:hAnsi="Book Antiqua"/>
                <w:b w:val="0"/>
                <w:lang w:val="en-US"/>
              </w:rPr>
              <w:t>1-242)</w:t>
            </w:r>
          </w:p>
        </w:tc>
        <w:tc>
          <w:tcPr>
            <w:tcW w:w="1811" w:type="dxa"/>
            <w:tcBorders>
              <w:right w:val="nil"/>
            </w:tcBorders>
          </w:tcPr>
          <w:p w14:paraId="182C559B" w14:textId="77777777" w:rsidR="00D91B24" w:rsidRPr="00F75508"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0.001</w:t>
            </w:r>
          </w:p>
        </w:tc>
      </w:tr>
      <w:tr w:rsidR="00D91B24" w:rsidRPr="004E72CC" w14:paraId="2906BDB0" w14:textId="77777777" w:rsidTr="004232C9">
        <w:trPr>
          <w:trHeight w:val="839"/>
        </w:trPr>
        <w:tc>
          <w:tcPr>
            <w:tcW w:w="2412" w:type="dxa"/>
            <w:tcBorders>
              <w:left w:val="nil"/>
              <w:bottom w:val="single" w:sz="4" w:space="0" w:color="auto"/>
            </w:tcBorders>
          </w:tcPr>
          <w:p w14:paraId="6C632D49"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 xml:space="preserve">Albumin </w:t>
            </w:r>
          </w:p>
          <w:p w14:paraId="33CD3558"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F75508">
              <w:rPr>
                <w:rStyle w:val="Strong"/>
                <w:rFonts w:ascii="Book Antiqua" w:hAnsi="Book Antiqua"/>
                <w:b w:val="0"/>
                <w:lang w:val="en-US"/>
              </w:rPr>
              <w:t>mean (SD; range)</w:t>
            </w:r>
          </w:p>
        </w:tc>
        <w:tc>
          <w:tcPr>
            <w:tcW w:w="1811" w:type="dxa"/>
            <w:tcBorders>
              <w:bottom w:val="single" w:sz="4" w:space="0" w:color="auto"/>
            </w:tcBorders>
          </w:tcPr>
          <w:p w14:paraId="62843321"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 xml:space="preserve">4.21 </w:t>
            </w:r>
          </w:p>
          <w:p w14:paraId="04AA61BE" w14:textId="059DB301"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(0.4;</w:t>
            </w:r>
            <w:r w:rsidR="00857C0D">
              <w:rPr>
                <w:rStyle w:val="Strong"/>
                <w:rFonts w:ascii="Book Antiqua" w:hAnsi="Book Antiqua"/>
                <w:b w:val="0"/>
                <w:lang w:val="en-US"/>
              </w:rPr>
              <w:t xml:space="preserve"> </w:t>
            </w:r>
            <w:r w:rsidRPr="004E72CC">
              <w:rPr>
                <w:rStyle w:val="Strong"/>
                <w:rFonts w:ascii="Book Antiqua" w:hAnsi="Book Antiqua"/>
                <w:b w:val="0"/>
                <w:lang w:val="en-US"/>
              </w:rPr>
              <w:t>1.88-5.0)</w:t>
            </w:r>
          </w:p>
        </w:tc>
        <w:tc>
          <w:tcPr>
            <w:tcW w:w="1811" w:type="dxa"/>
            <w:tcBorders>
              <w:bottom w:val="single" w:sz="4" w:space="0" w:color="auto"/>
            </w:tcBorders>
          </w:tcPr>
          <w:p w14:paraId="177466F4" w14:textId="77777777" w:rsidR="00D91B24" w:rsidRPr="004E72CC" w:rsidRDefault="00D91B24" w:rsidP="008A0A74">
            <w:pPr>
              <w:snapToGrid w:val="0"/>
              <w:spacing w:line="360" w:lineRule="auto"/>
              <w:jc w:val="both"/>
              <w:rPr>
                <w:rStyle w:val="Strong"/>
                <w:rFonts w:ascii="Book Antiqua" w:hAnsi="Book Antiqua"/>
                <w:b w:val="0"/>
                <w:lang w:val="en-US"/>
              </w:rPr>
            </w:pPr>
            <w:r w:rsidRPr="004E72CC">
              <w:rPr>
                <w:rStyle w:val="Strong"/>
                <w:rFonts w:ascii="Book Antiqua" w:hAnsi="Book Antiqua"/>
                <w:b w:val="0"/>
                <w:lang w:val="en-US"/>
              </w:rPr>
              <w:t>4.11</w:t>
            </w:r>
          </w:p>
          <w:p w14:paraId="679E6991" w14:textId="0DE8DA8C" w:rsidR="00D91B24" w:rsidRPr="004E72CC" w:rsidRDefault="00D91B24" w:rsidP="008A0A74">
            <w:pPr>
              <w:snapToGrid w:val="0"/>
              <w:spacing w:line="360" w:lineRule="auto"/>
              <w:jc w:val="both"/>
              <w:rPr>
                <w:rStyle w:val="Strong"/>
                <w:rFonts w:ascii="Book Antiqua" w:hAnsi="Book Antiqua"/>
                <w:b w:val="0"/>
                <w:bCs w:val="0"/>
                <w:lang w:val="en-US"/>
              </w:rPr>
            </w:pPr>
            <w:r w:rsidRPr="004E72CC">
              <w:rPr>
                <w:rStyle w:val="Strong"/>
                <w:rFonts w:ascii="Book Antiqua" w:hAnsi="Book Antiqua"/>
                <w:b w:val="0"/>
                <w:lang w:val="en-US"/>
              </w:rPr>
              <w:t>(0.4;</w:t>
            </w:r>
            <w:r w:rsidR="00857C0D">
              <w:rPr>
                <w:rStyle w:val="Strong"/>
                <w:rFonts w:ascii="Book Antiqua" w:hAnsi="Book Antiqua"/>
                <w:b w:val="0"/>
                <w:lang w:val="en-US"/>
              </w:rPr>
              <w:t xml:space="preserve"> </w:t>
            </w:r>
            <w:r w:rsidRPr="004E72CC">
              <w:rPr>
                <w:rStyle w:val="Strong"/>
                <w:rFonts w:ascii="Book Antiqua" w:hAnsi="Book Antiqua"/>
                <w:b w:val="0"/>
                <w:lang w:val="en-US"/>
              </w:rPr>
              <w:t>1.88-4.90)</w:t>
            </w:r>
          </w:p>
        </w:tc>
        <w:tc>
          <w:tcPr>
            <w:tcW w:w="1812" w:type="dxa"/>
            <w:tcBorders>
              <w:bottom w:val="single" w:sz="4" w:space="0" w:color="auto"/>
            </w:tcBorders>
          </w:tcPr>
          <w:p w14:paraId="4344D217" w14:textId="77777777" w:rsidR="00D91B24" w:rsidRPr="00857C0D" w:rsidRDefault="00D91B24" w:rsidP="008A0A74">
            <w:pPr>
              <w:snapToGrid w:val="0"/>
              <w:spacing w:line="360" w:lineRule="auto"/>
              <w:jc w:val="both"/>
              <w:rPr>
                <w:rStyle w:val="Strong"/>
                <w:rFonts w:ascii="Book Antiqua" w:hAnsi="Book Antiqua"/>
                <w:b w:val="0"/>
                <w:lang w:val="en-US"/>
              </w:rPr>
            </w:pPr>
            <w:r w:rsidRPr="00857C0D">
              <w:rPr>
                <w:rStyle w:val="Strong"/>
                <w:rFonts w:ascii="Book Antiqua" w:hAnsi="Book Antiqua"/>
                <w:b w:val="0"/>
                <w:lang w:val="en-US"/>
              </w:rPr>
              <w:t xml:space="preserve">4.07 </w:t>
            </w:r>
          </w:p>
          <w:p w14:paraId="423CA435" w14:textId="3914F4A4"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(0.4;</w:t>
            </w:r>
            <w:r w:rsidR="00857C0D">
              <w:rPr>
                <w:rStyle w:val="Strong"/>
                <w:rFonts w:ascii="Book Antiqua" w:hAnsi="Book Antiqua"/>
                <w:b w:val="0"/>
                <w:lang w:val="en-US"/>
              </w:rPr>
              <w:t xml:space="preserve"> </w:t>
            </w:r>
            <w:r w:rsidRPr="00857C0D">
              <w:rPr>
                <w:rStyle w:val="Strong"/>
                <w:rFonts w:ascii="Book Antiqua" w:hAnsi="Book Antiqua"/>
                <w:b w:val="0"/>
                <w:lang w:val="en-US"/>
              </w:rPr>
              <w:t>2.00-5.0)</w:t>
            </w:r>
          </w:p>
        </w:tc>
        <w:tc>
          <w:tcPr>
            <w:tcW w:w="1811" w:type="dxa"/>
            <w:tcBorders>
              <w:bottom w:val="single" w:sz="4" w:space="0" w:color="auto"/>
              <w:right w:val="nil"/>
            </w:tcBorders>
          </w:tcPr>
          <w:p w14:paraId="2B7455A7" w14:textId="77777777" w:rsidR="00D91B24" w:rsidRPr="00857C0D" w:rsidRDefault="00D91B24" w:rsidP="008A0A74">
            <w:pPr>
              <w:snapToGrid w:val="0"/>
              <w:spacing w:line="360" w:lineRule="auto"/>
              <w:jc w:val="both"/>
              <w:rPr>
                <w:rStyle w:val="Strong"/>
                <w:rFonts w:ascii="Book Antiqua" w:hAnsi="Book Antiqua"/>
                <w:b w:val="0"/>
                <w:bCs w:val="0"/>
                <w:lang w:val="en-US"/>
              </w:rPr>
            </w:pPr>
            <w:r w:rsidRPr="00857C0D">
              <w:rPr>
                <w:rStyle w:val="Strong"/>
                <w:rFonts w:ascii="Book Antiqua" w:hAnsi="Book Antiqua"/>
                <w:b w:val="0"/>
                <w:lang w:val="en-US"/>
              </w:rPr>
              <w:t>0.17</w:t>
            </w:r>
          </w:p>
        </w:tc>
      </w:tr>
    </w:tbl>
    <w:p w14:paraId="56DD7BBA" w14:textId="058317DE" w:rsidR="00FB22A9" w:rsidRPr="004E72CC" w:rsidRDefault="00857C0D" w:rsidP="008A0A74">
      <w:pPr>
        <w:snapToGrid w:val="0"/>
        <w:spacing w:line="360" w:lineRule="auto"/>
        <w:jc w:val="both"/>
        <w:rPr>
          <w:rFonts w:ascii="Book Antiqua" w:hAnsi="Book Antiqua" w:cs="Arial"/>
          <w:b/>
          <w:bCs/>
          <w:color w:val="3333FF"/>
          <w:lang w:val="en-US"/>
        </w:rPr>
      </w:pPr>
      <w:r w:rsidRPr="00E0787C">
        <w:rPr>
          <w:rFonts w:ascii="Book Antiqua" w:hAnsi="Book Antiqua"/>
          <w:lang w:val="en-US"/>
        </w:rPr>
        <w:t>MCV</w:t>
      </w:r>
      <w:r>
        <w:rPr>
          <w:rFonts w:ascii="Book Antiqua" w:hAnsi="Book Antiqua"/>
          <w:lang w:val="en-US"/>
        </w:rPr>
        <w:t>:</w:t>
      </w:r>
      <w:r w:rsidRPr="00E0787C">
        <w:rPr>
          <w:rFonts w:ascii="Book Antiqua" w:hAnsi="Book Antiqua"/>
          <w:lang w:val="en-US"/>
        </w:rPr>
        <w:t xml:space="preserve"> </w:t>
      </w:r>
      <w:r>
        <w:rPr>
          <w:rFonts w:ascii="Book Antiqua" w:hAnsi="Book Antiqua"/>
          <w:lang w:val="en-US"/>
        </w:rPr>
        <w:t>M</w:t>
      </w:r>
      <w:r w:rsidRPr="00E0787C">
        <w:rPr>
          <w:rFonts w:ascii="Book Antiqua" w:hAnsi="Book Antiqua"/>
          <w:lang w:val="en-US"/>
        </w:rPr>
        <w:t>ean corpuscular volume</w:t>
      </w:r>
      <w:r>
        <w:rPr>
          <w:rFonts w:ascii="Book Antiqua" w:hAnsi="Book Antiqua"/>
          <w:lang w:val="en-US"/>
        </w:rPr>
        <w:t>; TS: T</w:t>
      </w:r>
      <w:r w:rsidRPr="00E0787C">
        <w:rPr>
          <w:rFonts w:ascii="Book Antiqua" w:hAnsi="Book Antiqua"/>
          <w:lang w:val="en-US"/>
        </w:rPr>
        <w:t>ransferrin saturation</w:t>
      </w:r>
      <w:r>
        <w:rPr>
          <w:rFonts w:ascii="Book Antiqua" w:hAnsi="Book Antiqua"/>
          <w:lang w:val="en-US"/>
        </w:rPr>
        <w:t xml:space="preserve">; </w:t>
      </w:r>
      <w:r w:rsidRPr="00E0787C">
        <w:rPr>
          <w:rFonts w:ascii="Book Antiqua" w:hAnsi="Book Antiqua" w:cs="Arial"/>
          <w:lang w:val="en-US"/>
        </w:rPr>
        <w:t xml:space="preserve">CRP: C </w:t>
      </w:r>
      <w:r>
        <w:rPr>
          <w:rFonts w:ascii="Book Antiqua" w:hAnsi="Book Antiqua" w:cs="Arial"/>
          <w:lang w:val="en-US"/>
        </w:rPr>
        <w:t>r</w:t>
      </w:r>
      <w:r w:rsidRPr="00E0787C">
        <w:rPr>
          <w:rFonts w:ascii="Book Antiqua" w:hAnsi="Book Antiqua" w:cs="Arial"/>
          <w:lang w:val="en-US"/>
        </w:rPr>
        <w:t xml:space="preserve">eactive </w:t>
      </w:r>
      <w:r>
        <w:rPr>
          <w:rFonts w:ascii="Book Antiqua" w:hAnsi="Book Antiqua" w:cs="Arial"/>
          <w:lang w:val="en-US"/>
        </w:rPr>
        <w:t>p</w:t>
      </w:r>
      <w:r w:rsidRPr="00E0787C">
        <w:rPr>
          <w:rFonts w:ascii="Book Antiqua" w:hAnsi="Book Antiqua" w:cs="Arial"/>
          <w:lang w:val="en-US"/>
        </w:rPr>
        <w:t>rotein</w:t>
      </w:r>
      <w:r>
        <w:rPr>
          <w:rFonts w:ascii="Book Antiqua" w:hAnsi="Book Antiqua" w:cs="Arial"/>
          <w:lang w:val="en-US"/>
        </w:rPr>
        <w:t>.</w:t>
      </w:r>
    </w:p>
    <w:p w14:paraId="7FD6240A" w14:textId="77777777" w:rsidR="00FB22A9" w:rsidRPr="004E72CC" w:rsidRDefault="00FB22A9">
      <w:pPr>
        <w:rPr>
          <w:rFonts w:ascii="Book Antiqua" w:hAnsi="Book Antiqua" w:cs="Arial"/>
          <w:b/>
          <w:bCs/>
          <w:color w:val="3333FF"/>
          <w:lang w:val="en-US"/>
        </w:rPr>
      </w:pPr>
      <w:r w:rsidRPr="004E72CC">
        <w:rPr>
          <w:rFonts w:ascii="Book Antiqua" w:hAnsi="Book Antiqua" w:cs="Arial"/>
          <w:b/>
          <w:bCs/>
          <w:color w:val="3333FF"/>
          <w:lang w:val="en-US"/>
        </w:rPr>
        <w:br w:type="page"/>
      </w:r>
    </w:p>
    <w:p w14:paraId="586E98CD" w14:textId="4667C5FA" w:rsidR="00D91B24" w:rsidRPr="004E72CC" w:rsidRDefault="00D91B24" w:rsidP="008A0A74">
      <w:pPr>
        <w:snapToGrid w:val="0"/>
        <w:spacing w:line="360" w:lineRule="auto"/>
        <w:jc w:val="both"/>
        <w:rPr>
          <w:rFonts w:ascii="Book Antiqua" w:hAnsi="Book Antiqua" w:cs="Arial"/>
          <w:b/>
          <w:bCs/>
          <w:lang w:val="en-US"/>
        </w:rPr>
      </w:pPr>
      <w:r w:rsidRPr="004E72CC">
        <w:rPr>
          <w:rFonts w:ascii="Book Antiqua" w:hAnsi="Book Antiqua" w:cs="Arial"/>
          <w:b/>
          <w:color w:val="000000" w:themeColor="text1"/>
          <w:lang w:val="en-US"/>
        </w:rPr>
        <w:lastRenderedPageBreak/>
        <w:t>T</w:t>
      </w:r>
      <w:r w:rsidRPr="004E72CC">
        <w:rPr>
          <w:rFonts w:ascii="Book Antiqua" w:hAnsi="Book Antiqua" w:cs="Arial"/>
          <w:b/>
          <w:bCs/>
          <w:lang w:val="en-US"/>
        </w:rPr>
        <w:t xml:space="preserve">able 4 Evaluation of disease characteristics according to types of anemia in </w:t>
      </w:r>
      <w:r w:rsidR="00834823">
        <w:rPr>
          <w:rFonts w:ascii="Book Antiqua" w:hAnsi="Book Antiqua" w:cs="Arial"/>
          <w:b/>
          <w:bCs/>
          <w:lang w:val="en-US"/>
        </w:rPr>
        <w:t>inflammatory bowel disease</w:t>
      </w:r>
      <w:r w:rsidR="001B1167">
        <w:rPr>
          <w:rFonts w:ascii="Book Antiqua" w:hAnsi="Book Antiqua" w:cs="Arial"/>
          <w:b/>
          <w:bCs/>
          <w:lang w:val="en-US"/>
        </w:rPr>
        <w:t xml:space="preserve"> </w:t>
      </w:r>
      <w:r w:rsidR="001B1167" w:rsidRPr="00ED7FCF">
        <w:rPr>
          <w:rStyle w:val="Strong"/>
          <w:rFonts w:ascii="Book Antiqua" w:hAnsi="Book Antiqua"/>
          <w:i/>
          <w:lang w:val="en-US"/>
        </w:rPr>
        <w:t>n</w:t>
      </w:r>
      <w:r w:rsidR="001B1167" w:rsidRPr="004E72CC">
        <w:rPr>
          <w:rStyle w:val="Strong"/>
          <w:rFonts w:ascii="Book Antiqua" w:hAnsi="Book Antiqua"/>
          <w:lang w:val="en-US"/>
        </w:rPr>
        <w:t xml:space="preserve"> (%)</w:t>
      </w:r>
    </w:p>
    <w:tbl>
      <w:tblPr>
        <w:tblStyle w:val="TabloKlavuzuAk1"/>
        <w:tblW w:w="10099" w:type="dxa"/>
        <w:tblInd w:w="-60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850"/>
        <w:gridCol w:w="1276"/>
        <w:gridCol w:w="1276"/>
        <w:gridCol w:w="1134"/>
        <w:gridCol w:w="1134"/>
        <w:gridCol w:w="1134"/>
        <w:gridCol w:w="1281"/>
      </w:tblGrid>
      <w:tr w:rsidR="00D91B24" w:rsidRPr="004E72CC" w14:paraId="219B2719" w14:textId="77777777" w:rsidTr="004232C9">
        <w:tc>
          <w:tcPr>
            <w:tcW w:w="2014" w:type="dxa"/>
            <w:tcBorders>
              <w:top w:val="single" w:sz="4" w:space="0" w:color="auto"/>
              <w:bottom w:val="single" w:sz="4" w:space="0" w:color="auto"/>
            </w:tcBorders>
          </w:tcPr>
          <w:p w14:paraId="25E8C704" w14:textId="77777777" w:rsidR="00D91B24" w:rsidRPr="004E72CC" w:rsidRDefault="00D91B24" w:rsidP="008A0A74">
            <w:pPr>
              <w:snapToGrid w:val="0"/>
              <w:spacing w:line="360" w:lineRule="auto"/>
              <w:jc w:val="both"/>
              <w:rPr>
                <w:rStyle w:val="Strong"/>
                <w:rFonts w:ascii="Book Antiqua" w:hAnsi="Book Antiqua"/>
                <w:lang w:val="en-US"/>
              </w:rPr>
            </w:pPr>
          </w:p>
        </w:tc>
        <w:tc>
          <w:tcPr>
            <w:tcW w:w="850" w:type="dxa"/>
            <w:tcBorders>
              <w:top w:val="single" w:sz="4" w:space="0" w:color="auto"/>
              <w:bottom w:val="single" w:sz="4" w:space="0" w:color="auto"/>
            </w:tcBorders>
          </w:tcPr>
          <w:p w14:paraId="6E27B66C" w14:textId="77777777" w:rsidR="00D91B24" w:rsidRPr="004E72CC" w:rsidRDefault="00D91B24" w:rsidP="00F75508">
            <w:pPr>
              <w:snapToGrid w:val="0"/>
              <w:spacing w:line="360" w:lineRule="auto"/>
              <w:jc w:val="center"/>
              <w:rPr>
                <w:rStyle w:val="Strong"/>
                <w:rFonts w:ascii="Book Antiqua" w:hAnsi="Book Antiqua"/>
                <w:lang w:val="en-US"/>
              </w:rPr>
            </w:pPr>
          </w:p>
        </w:tc>
        <w:tc>
          <w:tcPr>
            <w:tcW w:w="1276" w:type="dxa"/>
            <w:tcBorders>
              <w:top w:val="single" w:sz="4" w:space="0" w:color="auto"/>
              <w:bottom w:val="single" w:sz="4" w:space="0" w:color="auto"/>
            </w:tcBorders>
          </w:tcPr>
          <w:p w14:paraId="048E4280" w14:textId="77777777" w:rsidR="00D91B24" w:rsidRPr="004E72CC" w:rsidRDefault="00D91B24" w:rsidP="00F75508">
            <w:pPr>
              <w:snapToGrid w:val="0"/>
              <w:spacing w:line="360" w:lineRule="auto"/>
              <w:jc w:val="center"/>
              <w:rPr>
                <w:rStyle w:val="Strong"/>
                <w:rFonts w:ascii="Book Antiqua" w:hAnsi="Book Antiqua"/>
                <w:color w:val="000000" w:themeColor="text1"/>
                <w:lang w:val="en-US"/>
              </w:rPr>
            </w:pPr>
            <w:r w:rsidRPr="004E72CC">
              <w:rPr>
                <w:rStyle w:val="Strong"/>
                <w:rFonts w:ascii="Book Antiqua" w:hAnsi="Book Antiqua"/>
                <w:color w:val="000000" w:themeColor="text1"/>
                <w:lang w:val="en-US"/>
              </w:rPr>
              <w:t>Anemia</w:t>
            </w:r>
          </w:p>
          <w:p w14:paraId="6099E650" w14:textId="1622D18D" w:rsidR="00D91B24" w:rsidRPr="004E72CC" w:rsidRDefault="00D91B24" w:rsidP="00F75508">
            <w:pPr>
              <w:snapToGrid w:val="0"/>
              <w:spacing w:line="360" w:lineRule="auto"/>
              <w:jc w:val="center"/>
              <w:rPr>
                <w:rStyle w:val="Strong"/>
                <w:rFonts w:ascii="Book Antiqua" w:hAnsi="Book Antiqua"/>
                <w:color w:val="000000" w:themeColor="text1"/>
                <w:lang w:val="en-US"/>
              </w:rPr>
            </w:pPr>
          </w:p>
        </w:tc>
        <w:tc>
          <w:tcPr>
            <w:tcW w:w="1276" w:type="dxa"/>
            <w:tcBorders>
              <w:top w:val="single" w:sz="4" w:space="0" w:color="auto"/>
              <w:bottom w:val="single" w:sz="4" w:space="0" w:color="auto"/>
            </w:tcBorders>
          </w:tcPr>
          <w:p w14:paraId="0B2585A6" w14:textId="09DC45B7" w:rsidR="00D91B24" w:rsidRPr="004E72CC" w:rsidRDefault="00D91B24" w:rsidP="00F75508">
            <w:pPr>
              <w:snapToGrid w:val="0"/>
              <w:spacing w:line="360" w:lineRule="auto"/>
              <w:jc w:val="center"/>
              <w:rPr>
                <w:rStyle w:val="Strong"/>
                <w:rFonts w:ascii="Book Antiqua" w:hAnsi="Book Antiqua"/>
                <w:color w:val="000000" w:themeColor="text1"/>
                <w:lang w:val="en-US"/>
              </w:rPr>
            </w:pPr>
            <w:r w:rsidRPr="004E72CC">
              <w:rPr>
                <w:rStyle w:val="Strong"/>
                <w:rFonts w:ascii="Book Antiqua" w:hAnsi="Book Antiqua"/>
                <w:color w:val="000000" w:themeColor="text1"/>
                <w:lang w:val="en-US"/>
              </w:rPr>
              <w:t>IDA</w:t>
            </w:r>
          </w:p>
          <w:p w14:paraId="3984EB13" w14:textId="50CDDDDF" w:rsidR="00D91B24" w:rsidRPr="004E72CC" w:rsidRDefault="00D91B24" w:rsidP="00F75508">
            <w:pPr>
              <w:snapToGrid w:val="0"/>
              <w:spacing w:line="360" w:lineRule="auto"/>
              <w:jc w:val="center"/>
              <w:rPr>
                <w:rStyle w:val="Strong"/>
                <w:rFonts w:ascii="Book Antiqua" w:hAnsi="Book Antiqua"/>
                <w:color w:val="000000" w:themeColor="text1"/>
                <w:lang w:val="en-US"/>
              </w:rPr>
            </w:pPr>
          </w:p>
        </w:tc>
        <w:tc>
          <w:tcPr>
            <w:tcW w:w="1134" w:type="dxa"/>
            <w:tcBorders>
              <w:top w:val="single" w:sz="4" w:space="0" w:color="auto"/>
              <w:bottom w:val="single" w:sz="4" w:space="0" w:color="auto"/>
            </w:tcBorders>
          </w:tcPr>
          <w:p w14:paraId="3B3B1377" w14:textId="04C59114" w:rsidR="00D91B24" w:rsidRPr="004E72CC" w:rsidRDefault="00D91B24" w:rsidP="00F75508">
            <w:pPr>
              <w:snapToGrid w:val="0"/>
              <w:spacing w:line="360" w:lineRule="auto"/>
              <w:jc w:val="center"/>
              <w:rPr>
                <w:rStyle w:val="Strong"/>
                <w:rFonts w:ascii="Book Antiqua" w:hAnsi="Book Antiqua"/>
                <w:color w:val="000000" w:themeColor="text1"/>
                <w:lang w:val="en-US"/>
              </w:rPr>
            </w:pPr>
            <w:r w:rsidRPr="004E72CC">
              <w:rPr>
                <w:rStyle w:val="Strong"/>
                <w:rFonts w:ascii="Book Antiqua" w:hAnsi="Book Antiqua"/>
                <w:color w:val="000000" w:themeColor="text1"/>
                <w:lang w:val="en-US"/>
              </w:rPr>
              <w:t xml:space="preserve">CDA </w:t>
            </w:r>
          </w:p>
        </w:tc>
        <w:tc>
          <w:tcPr>
            <w:tcW w:w="1134" w:type="dxa"/>
            <w:tcBorders>
              <w:top w:val="single" w:sz="4" w:space="0" w:color="auto"/>
              <w:bottom w:val="single" w:sz="4" w:space="0" w:color="auto"/>
            </w:tcBorders>
          </w:tcPr>
          <w:p w14:paraId="646694B8" w14:textId="0C24A857" w:rsidR="00D91B24" w:rsidRPr="004E72CC" w:rsidRDefault="00D91B24" w:rsidP="00F75508">
            <w:pPr>
              <w:snapToGrid w:val="0"/>
              <w:spacing w:line="360" w:lineRule="auto"/>
              <w:jc w:val="center"/>
              <w:rPr>
                <w:rStyle w:val="Strong"/>
                <w:rFonts w:ascii="Book Antiqua" w:hAnsi="Book Antiqua"/>
                <w:color w:val="000000" w:themeColor="text1"/>
                <w:lang w:val="en-US"/>
              </w:rPr>
            </w:pPr>
            <w:r w:rsidRPr="004E72CC">
              <w:rPr>
                <w:rStyle w:val="Strong"/>
                <w:rFonts w:ascii="Book Antiqua" w:hAnsi="Book Antiqua"/>
                <w:color w:val="000000" w:themeColor="text1"/>
                <w:lang w:val="en-US"/>
              </w:rPr>
              <w:t xml:space="preserve">Mixed </w:t>
            </w:r>
            <w:r w:rsidR="001B1167">
              <w:rPr>
                <w:rStyle w:val="Strong"/>
                <w:rFonts w:ascii="Book Antiqua" w:hAnsi="Book Antiqua"/>
                <w:color w:val="000000" w:themeColor="text1"/>
                <w:lang w:val="en-US"/>
              </w:rPr>
              <w:t>a</w:t>
            </w:r>
            <w:r w:rsidRPr="004E72CC">
              <w:rPr>
                <w:rStyle w:val="Strong"/>
                <w:rFonts w:ascii="Book Antiqua" w:hAnsi="Book Antiqua"/>
                <w:color w:val="000000" w:themeColor="text1"/>
                <w:lang w:val="en-US"/>
              </w:rPr>
              <w:t xml:space="preserve">nemia </w:t>
            </w:r>
          </w:p>
          <w:p w14:paraId="4E64448A" w14:textId="77777777" w:rsidR="00D91B24" w:rsidRPr="004E72CC" w:rsidRDefault="00D91B24" w:rsidP="00F75508">
            <w:pPr>
              <w:snapToGrid w:val="0"/>
              <w:spacing w:line="360" w:lineRule="auto"/>
              <w:jc w:val="center"/>
              <w:rPr>
                <w:rStyle w:val="Strong"/>
                <w:rFonts w:ascii="Book Antiqua" w:hAnsi="Book Antiqua"/>
                <w:color w:val="000000" w:themeColor="text1"/>
                <w:lang w:val="en-US"/>
              </w:rPr>
            </w:pPr>
          </w:p>
        </w:tc>
        <w:tc>
          <w:tcPr>
            <w:tcW w:w="1134" w:type="dxa"/>
            <w:tcBorders>
              <w:top w:val="single" w:sz="4" w:space="0" w:color="auto"/>
              <w:bottom w:val="single" w:sz="4" w:space="0" w:color="auto"/>
            </w:tcBorders>
          </w:tcPr>
          <w:p w14:paraId="77A638F9" w14:textId="49C59CCD" w:rsidR="00D91B24" w:rsidRPr="004E72CC" w:rsidRDefault="00D91B24" w:rsidP="00F75508">
            <w:pPr>
              <w:snapToGrid w:val="0"/>
              <w:spacing w:line="360" w:lineRule="auto"/>
              <w:jc w:val="center"/>
              <w:rPr>
                <w:rStyle w:val="Strong"/>
                <w:rFonts w:ascii="Book Antiqua" w:hAnsi="Book Antiqua"/>
                <w:color w:val="000000" w:themeColor="text1"/>
                <w:lang w:val="en-US"/>
              </w:rPr>
            </w:pPr>
            <w:r w:rsidRPr="00F75508">
              <w:rPr>
                <w:rFonts w:ascii="Book Antiqua" w:hAnsi="Book Antiqua"/>
                <w:b/>
                <w:color w:val="000000" w:themeColor="text1"/>
              </w:rPr>
              <w:t>B</w:t>
            </w:r>
            <w:r w:rsidRPr="004E72CC">
              <w:rPr>
                <w:rFonts w:ascii="Book Antiqua" w:hAnsi="Book Antiqua"/>
                <w:b/>
                <w:color w:val="000000" w:themeColor="text1"/>
                <w:vertAlign w:val="subscript"/>
                <w:lang w:val="en-US"/>
              </w:rPr>
              <w:t>12</w:t>
            </w:r>
            <w:r w:rsidRPr="004E72CC">
              <w:rPr>
                <w:rStyle w:val="Strong"/>
                <w:rFonts w:ascii="Book Antiqua" w:hAnsi="Book Antiqua"/>
                <w:color w:val="000000" w:themeColor="text1"/>
                <w:lang w:val="en-US"/>
              </w:rPr>
              <w:t xml:space="preserve">/Folic </w:t>
            </w:r>
            <w:r w:rsidR="001B1167">
              <w:rPr>
                <w:rStyle w:val="Strong"/>
                <w:rFonts w:ascii="Book Antiqua" w:hAnsi="Book Antiqua"/>
                <w:color w:val="000000" w:themeColor="text1"/>
                <w:lang w:val="en-US"/>
              </w:rPr>
              <w:t>a</w:t>
            </w:r>
            <w:r w:rsidRPr="004E72CC">
              <w:rPr>
                <w:rStyle w:val="Strong"/>
                <w:rFonts w:ascii="Book Antiqua" w:hAnsi="Book Antiqua"/>
                <w:color w:val="000000" w:themeColor="text1"/>
                <w:lang w:val="en-US"/>
              </w:rPr>
              <w:t xml:space="preserve">cid </w:t>
            </w:r>
            <w:r w:rsidR="001B1167">
              <w:rPr>
                <w:rStyle w:val="Strong"/>
                <w:rFonts w:ascii="Book Antiqua" w:hAnsi="Book Antiqua"/>
                <w:color w:val="000000" w:themeColor="text1"/>
                <w:lang w:val="en-US"/>
              </w:rPr>
              <w:t>a</w:t>
            </w:r>
            <w:r w:rsidRPr="004E72CC">
              <w:rPr>
                <w:rStyle w:val="Strong"/>
                <w:rFonts w:ascii="Book Antiqua" w:hAnsi="Book Antiqua"/>
                <w:color w:val="000000" w:themeColor="text1"/>
                <w:lang w:val="en-US"/>
              </w:rPr>
              <w:t xml:space="preserve">nemia </w:t>
            </w:r>
          </w:p>
        </w:tc>
        <w:tc>
          <w:tcPr>
            <w:tcW w:w="1281" w:type="dxa"/>
            <w:tcBorders>
              <w:top w:val="single" w:sz="4" w:space="0" w:color="auto"/>
              <w:bottom w:val="single" w:sz="4" w:space="0" w:color="auto"/>
            </w:tcBorders>
          </w:tcPr>
          <w:p w14:paraId="3EE4964D" w14:textId="3D1D492D" w:rsidR="00D91B24" w:rsidRPr="004E72CC" w:rsidRDefault="00D91B24" w:rsidP="00F75508">
            <w:pPr>
              <w:snapToGrid w:val="0"/>
              <w:spacing w:line="360" w:lineRule="auto"/>
              <w:jc w:val="center"/>
              <w:rPr>
                <w:rStyle w:val="Strong"/>
                <w:rFonts w:ascii="Book Antiqua" w:hAnsi="Book Antiqua"/>
                <w:color w:val="000000" w:themeColor="text1"/>
                <w:lang w:val="en-US"/>
              </w:rPr>
            </w:pPr>
            <w:r w:rsidRPr="004E72CC">
              <w:rPr>
                <w:rStyle w:val="Strong"/>
                <w:rFonts w:ascii="Book Antiqua" w:hAnsi="Book Antiqua"/>
                <w:color w:val="000000" w:themeColor="text1"/>
                <w:lang w:val="en-US"/>
              </w:rPr>
              <w:t xml:space="preserve">Other </w:t>
            </w:r>
            <w:r w:rsidR="001B1167">
              <w:rPr>
                <w:rStyle w:val="Strong"/>
                <w:rFonts w:ascii="Book Antiqua" w:hAnsi="Book Antiqua"/>
                <w:color w:val="000000" w:themeColor="text1"/>
                <w:lang w:val="en-US"/>
              </w:rPr>
              <w:t>a</w:t>
            </w:r>
            <w:r w:rsidRPr="004E72CC">
              <w:rPr>
                <w:rStyle w:val="Strong"/>
                <w:rFonts w:ascii="Book Antiqua" w:hAnsi="Book Antiqua"/>
                <w:color w:val="000000" w:themeColor="text1"/>
                <w:lang w:val="en-US"/>
              </w:rPr>
              <w:t>nemia</w:t>
            </w:r>
          </w:p>
          <w:p w14:paraId="6266ECE6" w14:textId="278D21FC" w:rsidR="00D91B24" w:rsidRPr="004E72CC" w:rsidRDefault="00D91B24" w:rsidP="00F75508">
            <w:pPr>
              <w:snapToGrid w:val="0"/>
              <w:spacing w:line="360" w:lineRule="auto"/>
              <w:jc w:val="center"/>
              <w:rPr>
                <w:rStyle w:val="Strong"/>
                <w:rFonts w:ascii="Book Antiqua" w:hAnsi="Book Antiqua"/>
                <w:color w:val="000000" w:themeColor="text1"/>
                <w:lang w:val="en-US"/>
              </w:rPr>
            </w:pPr>
          </w:p>
        </w:tc>
      </w:tr>
      <w:tr w:rsidR="00D91B24" w:rsidRPr="004E72CC" w14:paraId="7D8E025E" w14:textId="77777777" w:rsidTr="004232C9">
        <w:tc>
          <w:tcPr>
            <w:tcW w:w="2014" w:type="dxa"/>
            <w:tcBorders>
              <w:top w:val="single" w:sz="4" w:space="0" w:color="auto"/>
            </w:tcBorders>
          </w:tcPr>
          <w:p w14:paraId="5837A101"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Sex</w:t>
            </w:r>
          </w:p>
        </w:tc>
        <w:tc>
          <w:tcPr>
            <w:tcW w:w="850" w:type="dxa"/>
            <w:tcBorders>
              <w:top w:val="single" w:sz="4" w:space="0" w:color="auto"/>
            </w:tcBorders>
          </w:tcPr>
          <w:p w14:paraId="692882AB"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M</w:t>
            </w:r>
          </w:p>
          <w:p w14:paraId="5229DC1F"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F</w:t>
            </w:r>
          </w:p>
          <w:p w14:paraId="2AEE70B9" w14:textId="591D000E" w:rsidR="00D91B24" w:rsidRPr="00F75508" w:rsidRDefault="001B1167" w:rsidP="00F75508">
            <w:pPr>
              <w:snapToGrid w:val="0"/>
              <w:spacing w:line="360" w:lineRule="auto"/>
              <w:jc w:val="center"/>
              <w:rPr>
                <w:rStyle w:val="Strong"/>
                <w:rFonts w:ascii="Book Antiqua" w:hAnsi="Book Antiqua"/>
                <w:b w:val="0"/>
                <w:i/>
                <w:color w:val="000000" w:themeColor="text1"/>
                <w:lang w:val="en-US"/>
              </w:rPr>
            </w:pPr>
            <w:r w:rsidRPr="001B1167">
              <w:rPr>
                <w:rStyle w:val="Strong"/>
                <w:rFonts w:ascii="Book Antiqua" w:hAnsi="Book Antiqua"/>
                <w:b w:val="0"/>
                <w:i/>
                <w:color w:val="000000" w:themeColor="text1"/>
                <w:lang w:val="en-US"/>
              </w:rPr>
              <w:t>P</w:t>
            </w:r>
          </w:p>
        </w:tc>
        <w:tc>
          <w:tcPr>
            <w:tcW w:w="1276" w:type="dxa"/>
            <w:tcBorders>
              <w:top w:val="single" w:sz="4" w:space="0" w:color="auto"/>
            </w:tcBorders>
          </w:tcPr>
          <w:p w14:paraId="18672C6C"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105 (41.3)</w:t>
            </w:r>
          </w:p>
          <w:p w14:paraId="491FDC16"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135 (64)</w:t>
            </w:r>
          </w:p>
          <w:p w14:paraId="664B2250" w14:textId="25C6A449"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&lt;</w:t>
            </w:r>
            <w:r w:rsidR="001B1167">
              <w:rPr>
                <w:rStyle w:val="Strong"/>
                <w:rFonts w:ascii="Book Antiqua" w:hAnsi="Book Antiqua"/>
                <w:b w:val="0"/>
                <w:color w:val="000000" w:themeColor="text1"/>
                <w:lang w:val="en-US"/>
              </w:rPr>
              <w:t xml:space="preserve"> </w:t>
            </w:r>
            <w:r w:rsidRPr="00F75508">
              <w:rPr>
                <w:rStyle w:val="Strong"/>
                <w:rFonts w:ascii="Book Antiqua" w:hAnsi="Book Antiqua"/>
                <w:b w:val="0"/>
                <w:color w:val="000000" w:themeColor="text1"/>
                <w:lang w:val="en-US"/>
              </w:rPr>
              <w:t>0.001</w:t>
            </w:r>
          </w:p>
        </w:tc>
        <w:tc>
          <w:tcPr>
            <w:tcW w:w="1276" w:type="dxa"/>
            <w:tcBorders>
              <w:top w:val="single" w:sz="4" w:space="0" w:color="auto"/>
            </w:tcBorders>
          </w:tcPr>
          <w:p w14:paraId="6B704D99"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48 (18.9)</w:t>
            </w:r>
          </w:p>
          <w:p w14:paraId="4E5DCE0F"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91 (43.1)</w:t>
            </w:r>
          </w:p>
          <w:p w14:paraId="7FB6E971" w14:textId="50993FB6"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&lt;</w:t>
            </w:r>
            <w:r w:rsidR="001B1167">
              <w:rPr>
                <w:rStyle w:val="Strong"/>
                <w:rFonts w:ascii="Book Antiqua" w:hAnsi="Book Antiqua"/>
                <w:b w:val="0"/>
                <w:color w:val="000000" w:themeColor="text1"/>
                <w:lang w:val="en-US"/>
              </w:rPr>
              <w:t xml:space="preserve"> </w:t>
            </w:r>
            <w:r w:rsidRPr="00F75508">
              <w:rPr>
                <w:rStyle w:val="Strong"/>
                <w:rFonts w:ascii="Book Antiqua" w:hAnsi="Book Antiqua"/>
                <w:b w:val="0"/>
                <w:color w:val="000000" w:themeColor="text1"/>
                <w:lang w:val="en-US"/>
              </w:rPr>
              <w:t>0.001</w:t>
            </w:r>
          </w:p>
        </w:tc>
        <w:tc>
          <w:tcPr>
            <w:tcW w:w="1134" w:type="dxa"/>
            <w:tcBorders>
              <w:top w:val="single" w:sz="4" w:space="0" w:color="auto"/>
            </w:tcBorders>
          </w:tcPr>
          <w:p w14:paraId="272685A5"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18 (7.1)</w:t>
            </w:r>
          </w:p>
          <w:p w14:paraId="0BE1CC82"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19 (9)</w:t>
            </w:r>
          </w:p>
          <w:p w14:paraId="706F483A"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0.44</w:t>
            </w:r>
          </w:p>
        </w:tc>
        <w:tc>
          <w:tcPr>
            <w:tcW w:w="1134" w:type="dxa"/>
            <w:tcBorders>
              <w:top w:val="single" w:sz="4" w:space="0" w:color="auto"/>
            </w:tcBorders>
          </w:tcPr>
          <w:p w14:paraId="7832D154"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8 (3.8)</w:t>
            </w:r>
          </w:p>
          <w:p w14:paraId="509571E2"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8 (3.1)</w:t>
            </w:r>
          </w:p>
          <w:p w14:paraId="103EDA60"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0.70</w:t>
            </w:r>
          </w:p>
        </w:tc>
        <w:tc>
          <w:tcPr>
            <w:tcW w:w="1134" w:type="dxa"/>
            <w:tcBorders>
              <w:top w:val="single" w:sz="4" w:space="0" w:color="auto"/>
            </w:tcBorders>
          </w:tcPr>
          <w:p w14:paraId="564C3E3C"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34 (13.4)</w:t>
            </w:r>
          </w:p>
          <w:p w14:paraId="45FC67D3"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31 (14.6)</w:t>
            </w:r>
          </w:p>
          <w:p w14:paraId="7F27F64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0.60</w:t>
            </w:r>
          </w:p>
        </w:tc>
        <w:tc>
          <w:tcPr>
            <w:tcW w:w="1281" w:type="dxa"/>
            <w:tcBorders>
              <w:top w:val="single" w:sz="4" w:space="0" w:color="auto"/>
            </w:tcBorders>
          </w:tcPr>
          <w:p w14:paraId="3B20A9FC"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35 (13.8)</w:t>
            </w:r>
          </w:p>
          <w:p w14:paraId="6F26036F"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36 (17.1)</w:t>
            </w:r>
          </w:p>
          <w:p w14:paraId="205E9FD4"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0.32</w:t>
            </w:r>
          </w:p>
          <w:p w14:paraId="69264E12"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p>
        </w:tc>
      </w:tr>
      <w:tr w:rsidR="00D91B24" w:rsidRPr="004E72CC" w14:paraId="0FE6811C" w14:textId="77777777" w:rsidTr="004232C9">
        <w:tc>
          <w:tcPr>
            <w:tcW w:w="2014" w:type="dxa"/>
          </w:tcPr>
          <w:p w14:paraId="4BFDDDB0" w14:textId="6C5D83D5" w:rsidR="00D91B24" w:rsidRPr="00F75508" w:rsidRDefault="00D91B2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Disease duration (</w:t>
            </w:r>
            <w:r w:rsidR="001B1167" w:rsidRPr="00F75508">
              <w:rPr>
                <w:rStyle w:val="Strong"/>
                <w:rFonts w:ascii="Book Antiqua" w:hAnsi="Book Antiqua"/>
                <w:b w:val="0"/>
                <w:lang w:val="en-US"/>
              </w:rPr>
              <w:t>y</w:t>
            </w:r>
            <w:r w:rsidR="001B1167">
              <w:rPr>
                <w:rStyle w:val="Strong"/>
                <w:rFonts w:ascii="Book Antiqua" w:hAnsi="Book Antiqua"/>
                <w:b w:val="0"/>
                <w:lang w:val="en-US"/>
              </w:rPr>
              <w:t>r</w:t>
            </w:r>
            <w:r w:rsidRPr="00F75508">
              <w:rPr>
                <w:rStyle w:val="Strong"/>
                <w:rFonts w:ascii="Book Antiqua" w:hAnsi="Book Antiqua"/>
                <w:b w:val="0"/>
                <w:lang w:val="en-US"/>
              </w:rPr>
              <w:t>)</w:t>
            </w:r>
          </w:p>
        </w:tc>
        <w:tc>
          <w:tcPr>
            <w:tcW w:w="850" w:type="dxa"/>
          </w:tcPr>
          <w:p w14:paraId="652E876C"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A</w:t>
            </w:r>
            <w:r w:rsidRPr="00F75508">
              <w:rPr>
                <w:rStyle w:val="Strong"/>
                <w:rFonts w:ascii="Book Antiqua" w:hAnsi="Book Antiqua"/>
                <w:b w:val="0"/>
                <w:color w:val="000000" w:themeColor="text1"/>
                <w:lang w:val="en-US"/>
              </w:rPr>
              <w:sym w:font="Symbol" w:char="F02B"/>
            </w:r>
          </w:p>
          <w:p w14:paraId="450E15F2" w14:textId="626B226B"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A -</w:t>
            </w:r>
          </w:p>
          <w:p w14:paraId="486CCB57" w14:textId="267875E0" w:rsidR="00D91B24" w:rsidRPr="00F75508" w:rsidRDefault="001B1167" w:rsidP="00F75508">
            <w:pPr>
              <w:snapToGrid w:val="0"/>
              <w:spacing w:line="360" w:lineRule="auto"/>
              <w:jc w:val="center"/>
              <w:rPr>
                <w:rStyle w:val="Strong"/>
                <w:rFonts w:ascii="Book Antiqua" w:hAnsi="Book Antiqua"/>
                <w:b w:val="0"/>
                <w:i/>
                <w:color w:val="000000" w:themeColor="text1"/>
                <w:lang w:val="en-US"/>
              </w:rPr>
            </w:pPr>
            <w:r w:rsidRPr="001B1167">
              <w:rPr>
                <w:rStyle w:val="Strong"/>
                <w:rFonts w:ascii="Book Antiqua" w:hAnsi="Book Antiqua"/>
                <w:b w:val="0"/>
                <w:i/>
                <w:color w:val="000000" w:themeColor="text1"/>
                <w:lang w:val="en-US"/>
              </w:rPr>
              <w:t>P</w:t>
            </w:r>
          </w:p>
        </w:tc>
        <w:tc>
          <w:tcPr>
            <w:tcW w:w="1276" w:type="dxa"/>
          </w:tcPr>
          <w:p w14:paraId="10C1AE10"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6.60</w:t>
            </w:r>
          </w:p>
          <w:p w14:paraId="713F4D0A"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7.10</w:t>
            </w:r>
          </w:p>
          <w:p w14:paraId="247B5F70"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0.55</w:t>
            </w:r>
          </w:p>
        </w:tc>
        <w:tc>
          <w:tcPr>
            <w:tcW w:w="1276" w:type="dxa"/>
          </w:tcPr>
          <w:p w14:paraId="2C090742"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6.74</w:t>
            </w:r>
          </w:p>
          <w:p w14:paraId="716831F6"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6.89</w:t>
            </w:r>
          </w:p>
          <w:p w14:paraId="4551930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0.45</w:t>
            </w:r>
          </w:p>
        </w:tc>
        <w:tc>
          <w:tcPr>
            <w:tcW w:w="1134" w:type="dxa"/>
          </w:tcPr>
          <w:p w14:paraId="6582DD64"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6.08</w:t>
            </w:r>
          </w:p>
          <w:p w14:paraId="687441B5"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6.91</w:t>
            </w:r>
          </w:p>
          <w:p w14:paraId="4F09AAAC"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0.31</w:t>
            </w:r>
          </w:p>
        </w:tc>
        <w:tc>
          <w:tcPr>
            <w:tcW w:w="1134" w:type="dxa"/>
          </w:tcPr>
          <w:p w14:paraId="40E5743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5.88</w:t>
            </w:r>
          </w:p>
          <w:p w14:paraId="3DA8DCEA"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6.88</w:t>
            </w:r>
          </w:p>
          <w:p w14:paraId="122FE2EA"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p>
          <w:p w14:paraId="5220DFAE"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p>
        </w:tc>
        <w:tc>
          <w:tcPr>
            <w:tcW w:w="1134" w:type="dxa"/>
          </w:tcPr>
          <w:p w14:paraId="52320AA6"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5.92</w:t>
            </w:r>
          </w:p>
          <w:p w14:paraId="64CF667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6.98</w:t>
            </w:r>
          </w:p>
          <w:p w14:paraId="039B7745"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0.14</w:t>
            </w:r>
          </w:p>
        </w:tc>
        <w:tc>
          <w:tcPr>
            <w:tcW w:w="1281" w:type="dxa"/>
          </w:tcPr>
          <w:p w14:paraId="7E3B4BD5"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6.76</w:t>
            </w:r>
          </w:p>
          <w:p w14:paraId="43D92C4E"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6.86</w:t>
            </w:r>
          </w:p>
          <w:p w14:paraId="7D8584F9"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0.36</w:t>
            </w:r>
          </w:p>
          <w:p w14:paraId="064B4018"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p>
        </w:tc>
      </w:tr>
      <w:tr w:rsidR="00D91B24" w:rsidRPr="004E72CC" w14:paraId="17B32A7E" w14:textId="77777777" w:rsidTr="004232C9">
        <w:tc>
          <w:tcPr>
            <w:tcW w:w="2014" w:type="dxa"/>
          </w:tcPr>
          <w:p w14:paraId="18F3BEFB"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Disease type</w:t>
            </w:r>
          </w:p>
        </w:tc>
        <w:tc>
          <w:tcPr>
            <w:tcW w:w="850" w:type="dxa"/>
          </w:tcPr>
          <w:p w14:paraId="59F25250"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CD</w:t>
            </w:r>
          </w:p>
          <w:p w14:paraId="404CAA91"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UC</w:t>
            </w:r>
          </w:p>
          <w:p w14:paraId="58385EE8" w14:textId="3D81FE8C" w:rsidR="00D91B24" w:rsidRPr="00F75508" w:rsidRDefault="001B1167" w:rsidP="00F75508">
            <w:pPr>
              <w:snapToGrid w:val="0"/>
              <w:spacing w:line="360" w:lineRule="auto"/>
              <w:jc w:val="center"/>
              <w:rPr>
                <w:rStyle w:val="Strong"/>
                <w:rFonts w:ascii="Book Antiqua" w:hAnsi="Book Antiqua"/>
                <w:b w:val="0"/>
                <w:i/>
                <w:color w:val="000000" w:themeColor="text1"/>
                <w:lang w:val="en-US"/>
              </w:rPr>
            </w:pPr>
            <w:r w:rsidRPr="001B1167">
              <w:rPr>
                <w:rStyle w:val="Strong"/>
                <w:rFonts w:ascii="Book Antiqua" w:hAnsi="Book Antiqua"/>
                <w:b w:val="0"/>
                <w:i/>
                <w:color w:val="000000" w:themeColor="text1"/>
                <w:lang w:val="en-US"/>
              </w:rPr>
              <w:t>P</w:t>
            </w:r>
          </w:p>
        </w:tc>
        <w:tc>
          <w:tcPr>
            <w:tcW w:w="1276" w:type="dxa"/>
          </w:tcPr>
          <w:p w14:paraId="059DC925"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148 (57.6)</w:t>
            </w:r>
          </w:p>
          <w:p w14:paraId="113A4246"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92 (44.2)</w:t>
            </w:r>
          </w:p>
          <w:p w14:paraId="030D22E4"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0.004</w:t>
            </w:r>
          </w:p>
        </w:tc>
        <w:tc>
          <w:tcPr>
            <w:tcW w:w="1276" w:type="dxa"/>
          </w:tcPr>
          <w:p w14:paraId="2A0045C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84 (32.7)</w:t>
            </w:r>
          </w:p>
          <w:p w14:paraId="678242B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55 (26.4)</w:t>
            </w:r>
          </w:p>
          <w:p w14:paraId="0B46E371"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0.14</w:t>
            </w:r>
          </w:p>
        </w:tc>
        <w:tc>
          <w:tcPr>
            <w:tcW w:w="1134" w:type="dxa"/>
          </w:tcPr>
          <w:p w14:paraId="399021E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31 (12.1)</w:t>
            </w:r>
          </w:p>
          <w:p w14:paraId="6972133A"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 (2.9)</w:t>
            </w:r>
          </w:p>
          <w:p w14:paraId="5858969F" w14:textId="764ED762"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&lt;</w:t>
            </w:r>
            <w:r w:rsidR="001B1167">
              <w:rPr>
                <w:rStyle w:val="Strong"/>
                <w:rFonts w:ascii="Book Antiqua" w:hAnsi="Book Antiqua"/>
                <w:b w:val="0"/>
                <w:color w:val="000000" w:themeColor="text1"/>
                <w:lang w:val="en-US"/>
              </w:rPr>
              <w:t xml:space="preserve"> </w:t>
            </w:r>
            <w:r w:rsidRPr="00F75508">
              <w:rPr>
                <w:rStyle w:val="Strong"/>
                <w:rFonts w:ascii="Book Antiqua" w:hAnsi="Book Antiqua"/>
                <w:b w:val="0"/>
                <w:color w:val="000000" w:themeColor="text1"/>
                <w:lang w:val="en-US"/>
              </w:rPr>
              <w:t>0.001</w:t>
            </w:r>
          </w:p>
        </w:tc>
        <w:tc>
          <w:tcPr>
            <w:tcW w:w="1134" w:type="dxa"/>
          </w:tcPr>
          <w:p w14:paraId="599749F2"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13 (5.1)</w:t>
            </w:r>
          </w:p>
          <w:p w14:paraId="1BFCB03E"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 (1.4)</w:t>
            </w:r>
          </w:p>
          <w:p w14:paraId="48020082"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0.03</w:t>
            </w:r>
          </w:p>
        </w:tc>
        <w:tc>
          <w:tcPr>
            <w:tcW w:w="1134" w:type="dxa"/>
          </w:tcPr>
          <w:p w14:paraId="0FDA47B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50 (19.4)</w:t>
            </w:r>
          </w:p>
          <w:p w14:paraId="43FE95DE"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15 (7.2)</w:t>
            </w:r>
          </w:p>
          <w:p w14:paraId="18C843B0"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0.001</w:t>
            </w:r>
          </w:p>
        </w:tc>
        <w:tc>
          <w:tcPr>
            <w:tcW w:w="1281" w:type="dxa"/>
          </w:tcPr>
          <w:p w14:paraId="55D968D7"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39 (15.2)</w:t>
            </w:r>
          </w:p>
          <w:p w14:paraId="1097D8E6"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32 (15.4)</w:t>
            </w:r>
          </w:p>
          <w:p w14:paraId="2C68AC66"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0.95</w:t>
            </w:r>
          </w:p>
          <w:p w14:paraId="46AA8B6A"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p>
        </w:tc>
      </w:tr>
      <w:tr w:rsidR="00D91B24" w:rsidRPr="004E72CC" w14:paraId="6071E012" w14:textId="77777777" w:rsidTr="004232C9">
        <w:tc>
          <w:tcPr>
            <w:tcW w:w="2014" w:type="dxa"/>
          </w:tcPr>
          <w:p w14:paraId="4F71D41A"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Disease localization</w:t>
            </w:r>
          </w:p>
        </w:tc>
        <w:tc>
          <w:tcPr>
            <w:tcW w:w="850" w:type="dxa"/>
          </w:tcPr>
          <w:p w14:paraId="5CE2C95A"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L1</w:t>
            </w:r>
          </w:p>
          <w:p w14:paraId="03536EB8"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L2</w:t>
            </w:r>
          </w:p>
          <w:p w14:paraId="32CB4756"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L3</w:t>
            </w:r>
          </w:p>
          <w:p w14:paraId="3B7C7474" w14:textId="56842BE1" w:rsidR="00D91B24" w:rsidRPr="00F75508" w:rsidRDefault="001B1167" w:rsidP="00F75508">
            <w:pPr>
              <w:snapToGrid w:val="0"/>
              <w:spacing w:line="360" w:lineRule="auto"/>
              <w:jc w:val="center"/>
              <w:rPr>
                <w:rStyle w:val="Strong"/>
                <w:rFonts w:ascii="Book Antiqua" w:hAnsi="Book Antiqua"/>
                <w:b w:val="0"/>
                <w:i/>
                <w:color w:val="000000" w:themeColor="text1"/>
                <w:lang w:val="en-US"/>
              </w:rPr>
            </w:pPr>
            <w:r w:rsidRPr="001B1167">
              <w:rPr>
                <w:rStyle w:val="Strong"/>
                <w:rFonts w:ascii="Book Antiqua" w:hAnsi="Book Antiqua"/>
                <w:b w:val="0"/>
                <w:i/>
                <w:color w:val="000000" w:themeColor="text1"/>
                <w:lang w:val="en-US"/>
              </w:rPr>
              <w:t>P</w:t>
            </w:r>
          </w:p>
        </w:tc>
        <w:tc>
          <w:tcPr>
            <w:tcW w:w="1276" w:type="dxa"/>
          </w:tcPr>
          <w:p w14:paraId="308C5830"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66 (54.1)</w:t>
            </w:r>
          </w:p>
          <w:p w14:paraId="131FFF4F"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29 (60.4)</w:t>
            </w:r>
          </w:p>
          <w:p w14:paraId="4D923352"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50 (60.2)</w:t>
            </w:r>
          </w:p>
          <w:p w14:paraId="7CC79E69"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0.6</w:t>
            </w:r>
          </w:p>
        </w:tc>
        <w:tc>
          <w:tcPr>
            <w:tcW w:w="1276" w:type="dxa"/>
          </w:tcPr>
          <w:p w14:paraId="1115293E"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34 (27.9)</w:t>
            </w:r>
          </w:p>
          <w:p w14:paraId="73DBF62E"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17 (35.4)</w:t>
            </w:r>
          </w:p>
          <w:p w14:paraId="58802790"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31 (37.3)</w:t>
            </w:r>
          </w:p>
          <w:p w14:paraId="477AAC09"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0.32</w:t>
            </w:r>
          </w:p>
        </w:tc>
        <w:tc>
          <w:tcPr>
            <w:tcW w:w="1134" w:type="dxa"/>
          </w:tcPr>
          <w:p w14:paraId="48269E40"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13 (10.7)</w:t>
            </w:r>
          </w:p>
          <w:p w14:paraId="0C91D3F2"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8 (16.7)</w:t>
            </w:r>
          </w:p>
          <w:p w14:paraId="517CA475"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9 (13.8)</w:t>
            </w:r>
          </w:p>
          <w:p w14:paraId="35BE0987"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0.51</w:t>
            </w:r>
          </w:p>
        </w:tc>
        <w:tc>
          <w:tcPr>
            <w:tcW w:w="1134" w:type="dxa"/>
          </w:tcPr>
          <w:p w14:paraId="56803E88"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5 (4.1)</w:t>
            </w:r>
          </w:p>
          <w:p w14:paraId="10EBD3F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 (2.1)</w:t>
            </w:r>
          </w:p>
          <w:p w14:paraId="422FFF3A"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6 (7.2)</w:t>
            </w:r>
          </w:p>
        </w:tc>
        <w:tc>
          <w:tcPr>
            <w:tcW w:w="1134" w:type="dxa"/>
          </w:tcPr>
          <w:p w14:paraId="465F3301"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25 (20.5)</w:t>
            </w:r>
          </w:p>
          <w:p w14:paraId="4D348C86"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3 (6.3)</w:t>
            </w:r>
          </w:p>
          <w:p w14:paraId="73FFBE61"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22 (26.5)</w:t>
            </w:r>
          </w:p>
          <w:p w14:paraId="353776F1"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0.02</w:t>
            </w:r>
          </w:p>
        </w:tc>
        <w:tc>
          <w:tcPr>
            <w:tcW w:w="1281" w:type="dxa"/>
          </w:tcPr>
          <w:p w14:paraId="2BDABE04"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19 (15.6)</w:t>
            </w:r>
          </w:p>
          <w:p w14:paraId="01B8575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9 (18.8)</w:t>
            </w:r>
          </w:p>
          <w:p w14:paraId="17FBDE81"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10 (12)</w:t>
            </w:r>
          </w:p>
          <w:p w14:paraId="3493C74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0.56</w:t>
            </w:r>
          </w:p>
          <w:p w14:paraId="24515D37"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p>
        </w:tc>
      </w:tr>
      <w:tr w:rsidR="00D91B24" w:rsidRPr="004E72CC" w14:paraId="728DEAB8" w14:textId="77777777" w:rsidTr="004232C9">
        <w:tc>
          <w:tcPr>
            <w:tcW w:w="2014" w:type="dxa"/>
          </w:tcPr>
          <w:p w14:paraId="0BADEB42"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Disease behavior</w:t>
            </w:r>
          </w:p>
        </w:tc>
        <w:tc>
          <w:tcPr>
            <w:tcW w:w="850" w:type="dxa"/>
          </w:tcPr>
          <w:p w14:paraId="2A26F8DA"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B1</w:t>
            </w:r>
          </w:p>
          <w:p w14:paraId="34258DAD"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B2</w:t>
            </w:r>
          </w:p>
          <w:p w14:paraId="1FB8EE75"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B3</w:t>
            </w:r>
          </w:p>
          <w:p w14:paraId="14A0B25B" w14:textId="66833F17" w:rsidR="00D91B24" w:rsidRPr="00F75508" w:rsidRDefault="001B1167" w:rsidP="00F75508">
            <w:pPr>
              <w:snapToGrid w:val="0"/>
              <w:spacing w:line="360" w:lineRule="auto"/>
              <w:jc w:val="center"/>
              <w:rPr>
                <w:rFonts w:ascii="Book Antiqua" w:hAnsi="Book Antiqua"/>
                <w:i/>
                <w:lang w:val="en-US"/>
              </w:rPr>
            </w:pPr>
            <w:r w:rsidRPr="001B1167">
              <w:rPr>
                <w:rFonts w:ascii="Book Antiqua" w:hAnsi="Book Antiqua"/>
                <w:i/>
                <w:lang w:val="en-US"/>
              </w:rPr>
              <w:t>P</w:t>
            </w:r>
          </w:p>
        </w:tc>
        <w:tc>
          <w:tcPr>
            <w:tcW w:w="1276" w:type="dxa"/>
          </w:tcPr>
          <w:p w14:paraId="73E71B35"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90 (60.8)</w:t>
            </w:r>
          </w:p>
          <w:p w14:paraId="040BAB68"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27 (67.5)</w:t>
            </w:r>
          </w:p>
          <w:p w14:paraId="4EBB5EAA"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26 (47.3)</w:t>
            </w:r>
          </w:p>
          <w:p w14:paraId="052B8E35"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0.10</w:t>
            </w:r>
          </w:p>
        </w:tc>
        <w:tc>
          <w:tcPr>
            <w:tcW w:w="1276" w:type="dxa"/>
          </w:tcPr>
          <w:p w14:paraId="72FB30B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53 (35.8)</w:t>
            </w:r>
          </w:p>
          <w:p w14:paraId="2987BAF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12 (30)</w:t>
            </w:r>
          </w:p>
          <w:p w14:paraId="571B4B59"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16 (29.1)</w:t>
            </w:r>
          </w:p>
          <w:p w14:paraId="4D267E15"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0.59</w:t>
            </w:r>
          </w:p>
        </w:tc>
        <w:tc>
          <w:tcPr>
            <w:tcW w:w="1134" w:type="dxa"/>
          </w:tcPr>
          <w:p w14:paraId="58BFC2EB"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18 (12.2)</w:t>
            </w:r>
          </w:p>
          <w:p w14:paraId="4FA5A2A9"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5 (12.5)</w:t>
            </w:r>
          </w:p>
          <w:p w14:paraId="205E1FD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8 (14.5)</w:t>
            </w:r>
          </w:p>
          <w:p w14:paraId="55F7300C"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0.90</w:t>
            </w:r>
          </w:p>
        </w:tc>
        <w:tc>
          <w:tcPr>
            <w:tcW w:w="1134" w:type="dxa"/>
          </w:tcPr>
          <w:p w14:paraId="06FB332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8 (5.4)</w:t>
            </w:r>
          </w:p>
          <w:p w14:paraId="6DE50247"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 (2.5)</w:t>
            </w:r>
          </w:p>
          <w:p w14:paraId="05954BB7"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4 (7.3)</w:t>
            </w:r>
          </w:p>
          <w:p w14:paraId="4B8670F0" w14:textId="77777777" w:rsidR="00D91B24" w:rsidRPr="001B1167" w:rsidRDefault="00D91B24" w:rsidP="00F75508">
            <w:pPr>
              <w:snapToGrid w:val="0"/>
              <w:spacing w:line="360" w:lineRule="auto"/>
              <w:jc w:val="center"/>
              <w:rPr>
                <w:rStyle w:val="Strong"/>
                <w:rFonts w:ascii="Book Antiqua" w:hAnsi="Book Antiqua"/>
                <w:b w:val="0"/>
                <w:lang w:val="en-US"/>
              </w:rPr>
            </w:pPr>
          </w:p>
        </w:tc>
        <w:tc>
          <w:tcPr>
            <w:tcW w:w="1134" w:type="dxa"/>
          </w:tcPr>
          <w:p w14:paraId="7FA78FA2"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23 (15.6)</w:t>
            </w:r>
          </w:p>
          <w:p w14:paraId="5A3E41FF"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14 (35)</w:t>
            </w:r>
          </w:p>
          <w:p w14:paraId="2176AF2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12 (21.8)</w:t>
            </w:r>
          </w:p>
          <w:p w14:paraId="61293025"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0.02</w:t>
            </w:r>
          </w:p>
        </w:tc>
        <w:tc>
          <w:tcPr>
            <w:tcW w:w="1281" w:type="dxa"/>
          </w:tcPr>
          <w:p w14:paraId="0428ED43"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25 (16.9)</w:t>
            </w:r>
          </w:p>
          <w:p w14:paraId="3122D372"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 (15)</w:t>
            </w:r>
          </w:p>
          <w:p w14:paraId="2016876B"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 (10.9)</w:t>
            </w:r>
          </w:p>
          <w:p w14:paraId="1B55E6E5"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0.57</w:t>
            </w:r>
          </w:p>
          <w:p w14:paraId="49879C8F" w14:textId="77777777" w:rsidR="00D91B24" w:rsidRPr="001B1167" w:rsidRDefault="00D91B24" w:rsidP="00F75508">
            <w:pPr>
              <w:snapToGrid w:val="0"/>
              <w:spacing w:line="360" w:lineRule="auto"/>
              <w:jc w:val="center"/>
              <w:rPr>
                <w:rStyle w:val="Strong"/>
                <w:rFonts w:ascii="Book Antiqua" w:hAnsi="Book Antiqua"/>
                <w:b w:val="0"/>
                <w:lang w:val="en-US"/>
              </w:rPr>
            </w:pPr>
          </w:p>
        </w:tc>
      </w:tr>
      <w:tr w:rsidR="00D91B24" w:rsidRPr="004E72CC" w14:paraId="14F20F2E" w14:textId="77777777" w:rsidTr="004232C9">
        <w:tc>
          <w:tcPr>
            <w:tcW w:w="2014" w:type="dxa"/>
          </w:tcPr>
          <w:p w14:paraId="49728DB4"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Disease extension</w:t>
            </w:r>
          </w:p>
        </w:tc>
        <w:tc>
          <w:tcPr>
            <w:tcW w:w="850" w:type="dxa"/>
          </w:tcPr>
          <w:p w14:paraId="4AB30BC8"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E1</w:t>
            </w:r>
          </w:p>
          <w:p w14:paraId="51D7C5E1"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E2</w:t>
            </w:r>
          </w:p>
          <w:p w14:paraId="5DCF3ADA"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E3</w:t>
            </w:r>
          </w:p>
          <w:p w14:paraId="7211AF88" w14:textId="137AC64D" w:rsidR="00D91B24" w:rsidRPr="00F75508" w:rsidRDefault="001B1167" w:rsidP="00F75508">
            <w:pPr>
              <w:snapToGrid w:val="0"/>
              <w:spacing w:line="360" w:lineRule="auto"/>
              <w:jc w:val="center"/>
              <w:rPr>
                <w:rStyle w:val="Strong"/>
                <w:rFonts w:ascii="Book Antiqua" w:hAnsi="Book Antiqua"/>
                <w:b w:val="0"/>
                <w:i/>
                <w:lang w:val="en-US"/>
              </w:rPr>
            </w:pPr>
            <w:r w:rsidRPr="001B1167">
              <w:rPr>
                <w:rStyle w:val="Strong"/>
                <w:rFonts w:ascii="Book Antiqua" w:hAnsi="Book Antiqua"/>
                <w:b w:val="0"/>
                <w:i/>
                <w:lang w:val="en-US"/>
              </w:rPr>
              <w:t>P</w:t>
            </w:r>
          </w:p>
        </w:tc>
        <w:tc>
          <w:tcPr>
            <w:tcW w:w="1276" w:type="dxa"/>
          </w:tcPr>
          <w:p w14:paraId="2B87FBA7"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16 (32.7)</w:t>
            </w:r>
          </w:p>
          <w:p w14:paraId="1ACE0A4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32 (48.8)</w:t>
            </w:r>
          </w:p>
          <w:p w14:paraId="6D6C88F3"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35 (62.5)</w:t>
            </w:r>
          </w:p>
          <w:p w14:paraId="77CEBF98"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0.008</w:t>
            </w:r>
          </w:p>
        </w:tc>
        <w:tc>
          <w:tcPr>
            <w:tcW w:w="1276" w:type="dxa"/>
          </w:tcPr>
          <w:p w14:paraId="51992B05"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 (12.2)</w:t>
            </w:r>
          </w:p>
          <w:p w14:paraId="7C1441F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19 (26)</w:t>
            </w:r>
          </w:p>
          <w:p w14:paraId="3032C6AB"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26 (46.4)</w:t>
            </w:r>
          </w:p>
          <w:p w14:paraId="26FC5B60" w14:textId="681630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&lt;</w:t>
            </w:r>
            <w:r w:rsidR="001B1167">
              <w:rPr>
                <w:rStyle w:val="Strong"/>
                <w:rFonts w:ascii="Book Antiqua" w:hAnsi="Book Antiqua"/>
                <w:b w:val="0"/>
                <w:lang w:val="en-US"/>
              </w:rPr>
              <w:t xml:space="preserve"> </w:t>
            </w:r>
            <w:r w:rsidRPr="00F75508">
              <w:rPr>
                <w:rStyle w:val="Strong"/>
                <w:rFonts w:ascii="Book Antiqua" w:hAnsi="Book Antiqua"/>
                <w:b w:val="0"/>
                <w:lang w:val="en-US"/>
              </w:rPr>
              <w:t>0.001</w:t>
            </w:r>
          </w:p>
        </w:tc>
        <w:tc>
          <w:tcPr>
            <w:tcW w:w="1134" w:type="dxa"/>
          </w:tcPr>
          <w:p w14:paraId="3A4A2FC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 (2)</w:t>
            </w:r>
          </w:p>
          <w:p w14:paraId="4B174D6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 (2.7)</w:t>
            </w:r>
          </w:p>
          <w:p w14:paraId="5800D157"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 (5.4)</w:t>
            </w:r>
          </w:p>
          <w:p w14:paraId="326BD28B" w14:textId="77777777" w:rsidR="00D91B24" w:rsidRPr="001B1167" w:rsidRDefault="00D91B24" w:rsidP="00F75508">
            <w:pPr>
              <w:snapToGrid w:val="0"/>
              <w:spacing w:line="360" w:lineRule="auto"/>
              <w:jc w:val="center"/>
              <w:rPr>
                <w:rStyle w:val="Strong"/>
                <w:rFonts w:ascii="Book Antiqua" w:hAnsi="Book Antiqua"/>
                <w:b w:val="0"/>
                <w:lang w:val="en-US"/>
              </w:rPr>
            </w:pPr>
          </w:p>
        </w:tc>
        <w:tc>
          <w:tcPr>
            <w:tcW w:w="1134" w:type="dxa"/>
          </w:tcPr>
          <w:p w14:paraId="6D78F376"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w:t>
            </w:r>
          </w:p>
          <w:p w14:paraId="5420F552"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 (2.7)</w:t>
            </w:r>
          </w:p>
          <w:p w14:paraId="0F702395"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 (1.8)</w:t>
            </w:r>
          </w:p>
          <w:p w14:paraId="5C11C7F8" w14:textId="77777777" w:rsidR="00D91B24" w:rsidRPr="001B1167" w:rsidRDefault="00D91B24" w:rsidP="00F75508">
            <w:pPr>
              <w:snapToGrid w:val="0"/>
              <w:spacing w:line="360" w:lineRule="auto"/>
              <w:jc w:val="center"/>
              <w:rPr>
                <w:rStyle w:val="Strong"/>
                <w:rFonts w:ascii="Book Antiqua" w:hAnsi="Book Antiqua"/>
                <w:b w:val="0"/>
                <w:lang w:val="en-US"/>
              </w:rPr>
            </w:pPr>
          </w:p>
        </w:tc>
        <w:tc>
          <w:tcPr>
            <w:tcW w:w="1134" w:type="dxa"/>
          </w:tcPr>
          <w:p w14:paraId="313161D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 (4.1)</w:t>
            </w:r>
          </w:p>
          <w:p w14:paraId="4E8257E8"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 (8.2)</w:t>
            </w:r>
          </w:p>
          <w:p w14:paraId="797335F8"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 (10.7)</w:t>
            </w:r>
          </w:p>
          <w:p w14:paraId="53EA715D" w14:textId="77777777" w:rsidR="00D91B24" w:rsidRPr="001B1167" w:rsidRDefault="00D91B24" w:rsidP="00F75508">
            <w:pPr>
              <w:snapToGrid w:val="0"/>
              <w:spacing w:line="360" w:lineRule="auto"/>
              <w:jc w:val="center"/>
              <w:rPr>
                <w:rStyle w:val="Strong"/>
                <w:rFonts w:ascii="Book Antiqua" w:hAnsi="Book Antiqua"/>
                <w:b w:val="0"/>
                <w:lang w:val="en-US"/>
              </w:rPr>
            </w:pPr>
          </w:p>
        </w:tc>
        <w:tc>
          <w:tcPr>
            <w:tcW w:w="1281" w:type="dxa"/>
          </w:tcPr>
          <w:p w14:paraId="640BE9CE"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9 (18.4)</w:t>
            </w:r>
          </w:p>
          <w:p w14:paraId="381568B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12 (16.4)</w:t>
            </w:r>
          </w:p>
          <w:p w14:paraId="285E1483"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 (10.7)</w:t>
            </w:r>
          </w:p>
          <w:p w14:paraId="3C45A0A2"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0.51</w:t>
            </w:r>
          </w:p>
          <w:p w14:paraId="563045C9" w14:textId="77777777" w:rsidR="00D91B24" w:rsidRPr="001B1167" w:rsidRDefault="00D91B24" w:rsidP="00F75508">
            <w:pPr>
              <w:snapToGrid w:val="0"/>
              <w:spacing w:line="360" w:lineRule="auto"/>
              <w:jc w:val="center"/>
              <w:rPr>
                <w:rStyle w:val="Strong"/>
                <w:rFonts w:ascii="Book Antiqua" w:hAnsi="Book Antiqua"/>
                <w:b w:val="0"/>
                <w:lang w:val="en-US"/>
              </w:rPr>
            </w:pPr>
          </w:p>
        </w:tc>
      </w:tr>
      <w:tr w:rsidR="00D91B24" w:rsidRPr="004E72CC" w14:paraId="54FCCA24" w14:textId="77777777" w:rsidTr="004232C9">
        <w:tc>
          <w:tcPr>
            <w:tcW w:w="2014" w:type="dxa"/>
          </w:tcPr>
          <w:p w14:paraId="253D256A"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lastRenderedPageBreak/>
              <w:t>Corticosteroid use</w:t>
            </w:r>
          </w:p>
          <w:p w14:paraId="35D114D9" w14:textId="77777777" w:rsidR="00D91B24" w:rsidRPr="00F75508" w:rsidRDefault="00D91B24" w:rsidP="008A0A74">
            <w:pPr>
              <w:snapToGrid w:val="0"/>
              <w:spacing w:line="360" w:lineRule="auto"/>
              <w:jc w:val="both"/>
              <w:rPr>
                <w:rStyle w:val="Strong"/>
                <w:rFonts w:ascii="Book Antiqua" w:hAnsi="Book Antiqua"/>
                <w:b w:val="0"/>
                <w:lang w:val="en-US"/>
              </w:rPr>
            </w:pPr>
          </w:p>
        </w:tc>
        <w:tc>
          <w:tcPr>
            <w:tcW w:w="850" w:type="dxa"/>
          </w:tcPr>
          <w:p w14:paraId="31198B4B"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sym w:font="Symbol" w:char="F02B"/>
            </w:r>
          </w:p>
          <w:p w14:paraId="3C019A82" w14:textId="431451C4"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None</w:t>
            </w:r>
          </w:p>
          <w:p w14:paraId="24913409" w14:textId="34BE6AB7" w:rsidR="00D91B24" w:rsidRPr="00F75508" w:rsidRDefault="001B1167" w:rsidP="00F75508">
            <w:pPr>
              <w:snapToGrid w:val="0"/>
              <w:spacing w:line="360" w:lineRule="auto"/>
              <w:jc w:val="center"/>
              <w:rPr>
                <w:rStyle w:val="Strong"/>
                <w:rFonts w:ascii="Book Antiqua" w:hAnsi="Book Antiqua"/>
                <w:b w:val="0"/>
                <w:i/>
                <w:color w:val="000000" w:themeColor="text1"/>
                <w:lang w:val="en-US"/>
              </w:rPr>
            </w:pPr>
            <w:r w:rsidRPr="001B1167">
              <w:rPr>
                <w:rStyle w:val="Strong"/>
                <w:rFonts w:ascii="Book Antiqua" w:hAnsi="Book Antiqua"/>
                <w:b w:val="0"/>
                <w:i/>
                <w:color w:val="000000" w:themeColor="text1"/>
                <w:lang w:val="en-US"/>
              </w:rPr>
              <w:t>P</w:t>
            </w:r>
          </w:p>
        </w:tc>
        <w:tc>
          <w:tcPr>
            <w:tcW w:w="1276" w:type="dxa"/>
          </w:tcPr>
          <w:p w14:paraId="718609B2"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44 (80)</w:t>
            </w:r>
          </w:p>
          <w:p w14:paraId="3E2ED5FE"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196 (47.8)</w:t>
            </w:r>
          </w:p>
          <w:p w14:paraId="25D45382" w14:textId="0810CCE5"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&lt;</w:t>
            </w:r>
            <w:r w:rsidR="001B1167">
              <w:rPr>
                <w:rStyle w:val="Strong"/>
                <w:rFonts w:ascii="Book Antiqua" w:hAnsi="Book Antiqua"/>
                <w:b w:val="0"/>
                <w:color w:val="000000" w:themeColor="text1"/>
                <w:lang w:val="en-US"/>
              </w:rPr>
              <w:t xml:space="preserve"> </w:t>
            </w:r>
            <w:r w:rsidRPr="00F75508">
              <w:rPr>
                <w:rStyle w:val="Strong"/>
                <w:rFonts w:ascii="Book Antiqua" w:hAnsi="Book Antiqua"/>
                <w:b w:val="0"/>
                <w:color w:val="000000" w:themeColor="text1"/>
                <w:lang w:val="en-US"/>
              </w:rPr>
              <w:t>0.001</w:t>
            </w:r>
          </w:p>
        </w:tc>
        <w:tc>
          <w:tcPr>
            <w:tcW w:w="1276" w:type="dxa"/>
          </w:tcPr>
          <w:p w14:paraId="5D945AB9"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28 (50.9)</w:t>
            </w:r>
          </w:p>
          <w:p w14:paraId="1F694366"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111 (27.1)</w:t>
            </w:r>
          </w:p>
          <w:p w14:paraId="244B71E1" w14:textId="07911B93"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&lt;</w:t>
            </w:r>
            <w:r w:rsidR="001B1167">
              <w:rPr>
                <w:rStyle w:val="Strong"/>
                <w:rFonts w:ascii="Book Antiqua" w:hAnsi="Book Antiqua"/>
                <w:b w:val="0"/>
                <w:lang w:val="en-US"/>
              </w:rPr>
              <w:t xml:space="preserve"> </w:t>
            </w:r>
            <w:r w:rsidRPr="00F75508">
              <w:rPr>
                <w:rStyle w:val="Strong"/>
                <w:rFonts w:ascii="Book Antiqua" w:hAnsi="Book Antiqua"/>
                <w:b w:val="0"/>
                <w:lang w:val="en-US"/>
              </w:rPr>
              <w:t>0.001</w:t>
            </w:r>
          </w:p>
        </w:tc>
        <w:tc>
          <w:tcPr>
            <w:tcW w:w="1134" w:type="dxa"/>
          </w:tcPr>
          <w:p w14:paraId="7D5C85B3"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10 (18.2)</w:t>
            </w:r>
          </w:p>
          <w:p w14:paraId="6182105F"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27 (6.6)</w:t>
            </w:r>
          </w:p>
          <w:p w14:paraId="55BAFF87"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0.003</w:t>
            </w:r>
          </w:p>
        </w:tc>
        <w:tc>
          <w:tcPr>
            <w:tcW w:w="1134" w:type="dxa"/>
          </w:tcPr>
          <w:p w14:paraId="01E9B0EB"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4 (7.3)</w:t>
            </w:r>
          </w:p>
          <w:p w14:paraId="7D34D6CC"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12 (2.9)</w:t>
            </w:r>
          </w:p>
          <w:p w14:paraId="6F214F7D"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0.097</w:t>
            </w:r>
          </w:p>
        </w:tc>
        <w:tc>
          <w:tcPr>
            <w:tcW w:w="1134" w:type="dxa"/>
          </w:tcPr>
          <w:p w14:paraId="6BF3573C"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15 (27.3)</w:t>
            </w:r>
          </w:p>
          <w:p w14:paraId="7166772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50 (12.2)</w:t>
            </w:r>
          </w:p>
          <w:p w14:paraId="02F52135"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0.003</w:t>
            </w:r>
          </w:p>
        </w:tc>
        <w:tc>
          <w:tcPr>
            <w:tcW w:w="1281" w:type="dxa"/>
          </w:tcPr>
          <w:p w14:paraId="1107973E"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10 (18.2)</w:t>
            </w:r>
          </w:p>
          <w:p w14:paraId="6B41E6B6"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61 (14.9)</w:t>
            </w:r>
          </w:p>
          <w:p w14:paraId="5A3CC602"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0.52</w:t>
            </w:r>
          </w:p>
          <w:p w14:paraId="68851829" w14:textId="77777777" w:rsidR="00D91B24" w:rsidRPr="001B1167" w:rsidRDefault="00D91B24" w:rsidP="00F75508">
            <w:pPr>
              <w:snapToGrid w:val="0"/>
              <w:spacing w:line="360" w:lineRule="auto"/>
              <w:jc w:val="center"/>
              <w:rPr>
                <w:rStyle w:val="Strong"/>
                <w:rFonts w:ascii="Book Antiqua" w:hAnsi="Book Antiqua"/>
                <w:b w:val="0"/>
                <w:lang w:val="en-US"/>
              </w:rPr>
            </w:pPr>
          </w:p>
        </w:tc>
      </w:tr>
      <w:tr w:rsidR="00D91B24" w:rsidRPr="004E72CC" w14:paraId="4E9B3243" w14:textId="77777777" w:rsidTr="004232C9">
        <w:tc>
          <w:tcPr>
            <w:tcW w:w="2014" w:type="dxa"/>
          </w:tcPr>
          <w:p w14:paraId="00E39A7A"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 xml:space="preserve">AZA/MTX use </w:t>
            </w:r>
          </w:p>
        </w:tc>
        <w:tc>
          <w:tcPr>
            <w:tcW w:w="850" w:type="dxa"/>
          </w:tcPr>
          <w:p w14:paraId="36A9F42A"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sym w:font="Symbol" w:char="F02B"/>
            </w:r>
          </w:p>
          <w:p w14:paraId="3108D1CA"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None</w:t>
            </w:r>
          </w:p>
          <w:p w14:paraId="3A651237" w14:textId="78891B8D" w:rsidR="00D91B24" w:rsidRPr="00F75508" w:rsidRDefault="001B1167" w:rsidP="00F75508">
            <w:pPr>
              <w:snapToGrid w:val="0"/>
              <w:spacing w:line="360" w:lineRule="auto"/>
              <w:jc w:val="center"/>
              <w:rPr>
                <w:rStyle w:val="Strong"/>
                <w:rFonts w:ascii="Book Antiqua" w:hAnsi="Book Antiqua"/>
                <w:b w:val="0"/>
                <w:i/>
                <w:color w:val="000000" w:themeColor="text1"/>
                <w:lang w:val="en-US"/>
              </w:rPr>
            </w:pPr>
            <w:r w:rsidRPr="001B1167">
              <w:rPr>
                <w:rStyle w:val="Strong"/>
                <w:rFonts w:ascii="Book Antiqua" w:hAnsi="Book Antiqua"/>
                <w:b w:val="0"/>
                <w:i/>
                <w:color w:val="000000" w:themeColor="text1"/>
                <w:lang w:val="en-US"/>
              </w:rPr>
              <w:t>P</w:t>
            </w:r>
          </w:p>
        </w:tc>
        <w:tc>
          <w:tcPr>
            <w:tcW w:w="1276" w:type="dxa"/>
          </w:tcPr>
          <w:p w14:paraId="5278AE08"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129 (64.5)</w:t>
            </w:r>
          </w:p>
          <w:p w14:paraId="7AB951E1"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111 (41.9)</w:t>
            </w:r>
          </w:p>
          <w:p w14:paraId="328710F0" w14:textId="64DB9A96"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&lt;</w:t>
            </w:r>
            <w:r w:rsidR="001B1167">
              <w:rPr>
                <w:rStyle w:val="Strong"/>
                <w:rFonts w:ascii="Book Antiqua" w:hAnsi="Book Antiqua"/>
                <w:b w:val="0"/>
                <w:color w:val="000000" w:themeColor="text1"/>
                <w:lang w:val="en-US"/>
              </w:rPr>
              <w:t xml:space="preserve"> </w:t>
            </w:r>
            <w:r w:rsidRPr="00F75508">
              <w:rPr>
                <w:rStyle w:val="Strong"/>
                <w:rFonts w:ascii="Book Antiqua" w:hAnsi="Book Antiqua"/>
                <w:b w:val="0"/>
                <w:color w:val="000000" w:themeColor="text1"/>
                <w:lang w:val="en-US"/>
              </w:rPr>
              <w:t>0.001</w:t>
            </w:r>
          </w:p>
        </w:tc>
        <w:tc>
          <w:tcPr>
            <w:tcW w:w="1276" w:type="dxa"/>
          </w:tcPr>
          <w:p w14:paraId="02A185C2"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73 (36.5)</w:t>
            </w:r>
          </w:p>
          <w:p w14:paraId="09950A4B"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66 (24.5)</w:t>
            </w:r>
          </w:p>
          <w:p w14:paraId="35B8962C"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0.007</w:t>
            </w:r>
          </w:p>
        </w:tc>
        <w:tc>
          <w:tcPr>
            <w:tcW w:w="1134" w:type="dxa"/>
          </w:tcPr>
          <w:p w14:paraId="0565E5ED"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25 (12.5)</w:t>
            </w:r>
          </w:p>
          <w:p w14:paraId="31327862"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12 (4.5)</w:t>
            </w:r>
          </w:p>
          <w:p w14:paraId="784125C9"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0.002</w:t>
            </w:r>
          </w:p>
        </w:tc>
        <w:tc>
          <w:tcPr>
            <w:tcW w:w="1134" w:type="dxa"/>
          </w:tcPr>
          <w:p w14:paraId="76537638"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11 (5.5)</w:t>
            </w:r>
          </w:p>
          <w:p w14:paraId="7AEB394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5 (1.9)</w:t>
            </w:r>
          </w:p>
          <w:p w14:paraId="2D0056A5"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0.03</w:t>
            </w:r>
          </w:p>
        </w:tc>
        <w:tc>
          <w:tcPr>
            <w:tcW w:w="1134" w:type="dxa"/>
          </w:tcPr>
          <w:p w14:paraId="0108BE4E"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45 (22.5)</w:t>
            </w:r>
          </w:p>
          <w:p w14:paraId="477958F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20 (7.5)</w:t>
            </w:r>
          </w:p>
          <w:p w14:paraId="15565F56" w14:textId="3EF2DDEB"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&lt;</w:t>
            </w:r>
            <w:r w:rsidR="001B1167">
              <w:rPr>
                <w:rStyle w:val="Strong"/>
                <w:rFonts w:ascii="Book Antiqua" w:hAnsi="Book Antiqua"/>
                <w:b w:val="0"/>
                <w:lang w:val="en-US"/>
              </w:rPr>
              <w:t xml:space="preserve"> </w:t>
            </w:r>
            <w:r w:rsidRPr="00F75508">
              <w:rPr>
                <w:rStyle w:val="Strong"/>
                <w:rFonts w:ascii="Book Antiqua" w:hAnsi="Book Antiqua"/>
                <w:b w:val="0"/>
                <w:lang w:val="en-US"/>
              </w:rPr>
              <w:t>0.001</w:t>
            </w:r>
          </w:p>
        </w:tc>
        <w:tc>
          <w:tcPr>
            <w:tcW w:w="1281" w:type="dxa"/>
          </w:tcPr>
          <w:p w14:paraId="2D942B4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36 (18)</w:t>
            </w:r>
          </w:p>
          <w:p w14:paraId="284C1B4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35 (13.2)</w:t>
            </w:r>
          </w:p>
          <w:p w14:paraId="0ABE60C3"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0.15</w:t>
            </w:r>
          </w:p>
          <w:p w14:paraId="4492CBA4" w14:textId="77777777" w:rsidR="00D91B24" w:rsidRPr="001B1167" w:rsidRDefault="00D91B24" w:rsidP="00F75508">
            <w:pPr>
              <w:snapToGrid w:val="0"/>
              <w:spacing w:line="360" w:lineRule="auto"/>
              <w:jc w:val="center"/>
              <w:rPr>
                <w:rStyle w:val="Strong"/>
                <w:rFonts w:ascii="Book Antiqua" w:hAnsi="Book Antiqua"/>
                <w:b w:val="0"/>
                <w:lang w:val="en-US"/>
              </w:rPr>
            </w:pPr>
          </w:p>
        </w:tc>
      </w:tr>
      <w:tr w:rsidR="00D91B24" w:rsidRPr="004E72CC" w14:paraId="2DD5426E" w14:textId="77777777" w:rsidTr="004232C9">
        <w:tc>
          <w:tcPr>
            <w:tcW w:w="2014" w:type="dxa"/>
          </w:tcPr>
          <w:p w14:paraId="32E40C75"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color w:val="000000" w:themeColor="text1"/>
                <w:lang w:val="en-US"/>
              </w:rPr>
              <w:t>Anti-TNF use</w:t>
            </w:r>
          </w:p>
        </w:tc>
        <w:tc>
          <w:tcPr>
            <w:tcW w:w="850" w:type="dxa"/>
          </w:tcPr>
          <w:p w14:paraId="71BEAF5B"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sym w:font="Symbol" w:char="F02B"/>
            </w:r>
          </w:p>
          <w:p w14:paraId="3B5A2182" w14:textId="7D919F72"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None</w:t>
            </w:r>
          </w:p>
          <w:p w14:paraId="0BC43DFD" w14:textId="3880ACBD" w:rsidR="00D91B24" w:rsidRPr="00F75508" w:rsidRDefault="001B1167" w:rsidP="00F75508">
            <w:pPr>
              <w:snapToGrid w:val="0"/>
              <w:spacing w:line="360" w:lineRule="auto"/>
              <w:jc w:val="center"/>
              <w:rPr>
                <w:rFonts w:ascii="Book Antiqua" w:hAnsi="Book Antiqua"/>
                <w:i/>
                <w:color w:val="000000" w:themeColor="text1"/>
                <w:lang w:val="en-US"/>
              </w:rPr>
            </w:pPr>
            <w:r w:rsidRPr="001B1167">
              <w:rPr>
                <w:rFonts w:ascii="Book Antiqua" w:hAnsi="Book Antiqua"/>
                <w:i/>
                <w:color w:val="000000" w:themeColor="text1"/>
                <w:lang w:val="en-US"/>
              </w:rPr>
              <w:t>P</w:t>
            </w:r>
          </w:p>
        </w:tc>
        <w:tc>
          <w:tcPr>
            <w:tcW w:w="1276" w:type="dxa"/>
          </w:tcPr>
          <w:p w14:paraId="028ACA83"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56 (69.1)</w:t>
            </w:r>
          </w:p>
          <w:p w14:paraId="2187AE87"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184 (47.9)</w:t>
            </w:r>
          </w:p>
          <w:p w14:paraId="6D3F2797"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0.001</w:t>
            </w:r>
          </w:p>
        </w:tc>
        <w:tc>
          <w:tcPr>
            <w:tcW w:w="1276" w:type="dxa"/>
          </w:tcPr>
          <w:p w14:paraId="2ADEC5B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38 (46.9)</w:t>
            </w:r>
          </w:p>
          <w:p w14:paraId="3F52D84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101 (26.3)</w:t>
            </w:r>
          </w:p>
          <w:p w14:paraId="683F6EAF" w14:textId="3B6FB15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&lt;</w:t>
            </w:r>
            <w:r w:rsidR="001B1167">
              <w:rPr>
                <w:rStyle w:val="Strong"/>
                <w:rFonts w:ascii="Book Antiqua" w:hAnsi="Book Antiqua"/>
                <w:b w:val="0"/>
                <w:lang w:val="en-US"/>
              </w:rPr>
              <w:t xml:space="preserve"> </w:t>
            </w:r>
            <w:r w:rsidRPr="00F75508">
              <w:rPr>
                <w:rStyle w:val="Strong"/>
                <w:rFonts w:ascii="Book Antiqua" w:hAnsi="Book Antiqua"/>
                <w:b w:val="0"/>
                <w:lang w:val="en-US"/>
              </w:rPr>
              <w:t>0.001</w:t>
            </w:r>
          </w:p>
        </w:tc>
        <w:tc>
          <w:tcPr>
            <w:tcW w:w="1134" w:type="dxa"/>
          </w:tcPr>
          <w:p w14:paraId="6486227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13 (16)</w:t>
            </w:r>
          </w:p>
          <w:p w14:paraId="08E40DFD"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24 (6.3)</w:t>
            </w:r>
          </w:p>
          <w:p w14:paraId="2FF95A95"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0.003</w:t>
            </w:r>
          </w:p>
        </w:tc>
        <w:tc>
          <w:tcPr>
            <w:tcW w:w="1134" w:type="dxa"/>
          </w:tcPr>
          <w:p w14:paraId="0C14DE66"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7 (8.6)</w:t>
            </w:r>
          </w:p>
          <w:p w14:paraId="17A4A17C"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9 (2.3)</w:t>
            </w:r>
          </w:p>
          <w:p w14:paraId="21D3CEE4"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0.01</w:t>
            </w:r>
          </w:p>
        </w:tc>
        <w:tc>
          <w:tcPr>
            <w:tcW w:w="1134" w:type="dxa"/>
          </w:tcPr>
          <w:p w14:paraId="55B4C72F"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21 (26)</w:t>
            </w:r>
          </w:p>
          <w:p w14:paraId="134A456C"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44 (11.5)</w:t>
            </w:r>
          </w:p>
          <w:p w14:paraId="2355F091"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0.002</w:t>
            </w:r>
          </w:p>
        </w:tc>
        <w:tc>
          <w:tcPr>
            <w:tcW w:w="1281" w:type="dxa"/>
          </w:tcPr>
          <w:p w14:paraId="32FAA439"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11 (13.6)</w:t>
            </w:r>
          </w:p>
          <w:p w14:paraId="547AE55D"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60 (15.6)</w:t>
            </w:r>
          </w:p>
          <w:p w14:paraId="09BE05A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0.64</w:t>
            </w:r>
          </w:p>
          <w:p w14:paraId="59EB2AC9" w14:textId="77777777" w:rsidR="00D91B24" w:rsidRPr="001B1167" w:rsidRDefault="00D91B24" w:rsidP="00F75508">
            <w:pPr>
              <w:snapToGrid w:val="0"/>
              <w:spacing w:line="360" w:lineRule="auto"/>
              <w:jc w:val="center"/>
              <w:rPr>
                <w:rStyle w:val="Strong"/>
                <w:rFonts w:ascii="Book Antiqua" w:hAnsi="Book Antiqua"/>
                <w:b w:val="0"/>
                <w:lang w:val="en-US"/>
              </w:rPr>
            </w:pPr>
          </w:p>
        </w:tc>
      </w:tr>
      <w:tr w:rsidR="00D91B24" w:rsidRPr="004E72CC" w14:paraId="0A5B18DA" w14:textId="77777777" w:rsidTr="004232C9">
        <w:trPr>
          <w:trHeight w:val="992"/>
        </w:trPr>
        <w:tc>
          <w:tcPr>
            <w:tcW w:w="2014" w:type="dxa"/>
          </w:tcPr>
          <w:p w14:paraId="69622E88" w14:textId="7777777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 xml:space="preserve">Surgery </w:t>
            </w:r>
          </w:p>
        </w:tc>
        <w:tc>
          <w:tcPr>
            <w:tcW w:w="850" w:type="dxa"/>
          </w:tcPr>
          <w:p w14:paraId="769FF690"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sym w:font="Symbol" w:char="F02B"/>
            </w:r>
          </w:p>
          <w:p w14:paraId="71C2E660"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None</w:t>
            </w:r>
          </w:p>
          <w:p w14:paraId="5D0CD8A6" w14:textId="77777777" w:rsidR="00D91B24" w:rsidRPr="00F75508" w:rsidRDefault="00D91B24" w:rsidP="00F75508">
            <w:pPr>
              <w:snapToGrid w:val="0"/>
              <w:spacing w:line="360" w:lineRule="auto"/>
              <w:jc w:val="center"/>
              <w:rPr>
                <w:rStyle w:val="Strong"/>
                <w:rFonts w:ascii="Book Antiqua" w:hAnsi="Book Antiqua"/>
                <w:b w:val="0"/>
                <w:i/>
                <w:color w:val="000000" w:themeColor="text1"/>
                <w:lang w:val="en-US"/>
              </w:rPr>
            </w:pPr>
            <w:r w:rsidRPr="00F75508">
              <w:rPr>
                <w:rStyle w:val="Strong"/>
                <w:rFonts w:ascii="Book Antiqua" w:hAnsi="Book Antiqua"/>
                <w:b w:val="0"/>
                <w:i/>
                <w:color w:val="000000" w:themeColor="text1"/>
                <w:lang w:val="en-US"/>
              </w:rPr>
              <w:t>P</w:t>
            </w:r>
          </w:p>
        </w:tc>
        <w:tc>
          <w:tcPr>
            <w:tcW w:w="1276" w:type="dxa"/>
          </w:tcPr>
          <w:p w14:paraId="50E0482C"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44 (62.9)</w:t>
            </w:r>
          </w:p>
          <w:p w14:paraId="473DA117"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196 (49.6)</w:t>
            </w:r>
          </w:p>
          <w:p w14:paraId="2259D8C8"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0.041</w:t>
            </w:r>
          </w:p>
        </w:tc>
        <w:tc>
          <w:tcPr>
            <w:tcW w:w="1276" w:type="dxa"/>
          </w:tcPr>
          <w:p w14:paraId="6BDE39EF"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23 (32.9)</w:t>
            </w:r>
          </w:p>
          <w:p w14:paraId="4761786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116 (29.4)</w:t>
            </w:r>
          </w:p>
          <w:p w14:paraId="015463D5"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0.55</w:t>
            </w:r>
          </w:p>
        </w:tc>
        <w:tc>
          <w:tcPr>
            <w:tcW w:w="1134" w:type="dxa"/>
          </w:tcPr>
          <w:p w14:paraId="1D868B2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11 (15.7)</w:t>
            </w:r>
          </w:p>
          <w:p w14:paraId="4D94B6BA"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26 (6.6)</w:t>
            </w:r>
          </w:p>
          <w:p w14:paraId="5D32C9F5"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0.009</w:t>
            </w:r>
          </w:p>
        </w:tc>
        <w:tc>
          <w:tcPr>
            <w:tcW w:w="1134" w:type="dxa"/>
          </w:tcPr>
          <w:p w14:paraId="007AAFFF"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5 (7.19)</w:t>
            </w:r>
          </w:p>
          <w:p w14:paraId="7DBE840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11 (2.8)</w:t>
            </w:r>
          </w:p>
          <w:p w14:paraId="10DB0750"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0.07</w:t>
            </w:r>
          </w:p>
        </w:tc>
        <w:tc>
          <w:tcPr>
            <w:tcW w:w="1134" w:type="dxa"/>
          </w:tcPr>
          <w:p w14:paraId="3DB44B2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15 (21.4)</w:t>
            </w:r>
          </w:p>
          <w:p w14:paraId="48B2D3E8"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50 (12.6)</w:t>
            </w:r>
          </w:p>
          <w:p w14:paraId="0F78377D"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0.55</w:t>
            </w:r>
          </w:p>
        </w:tc>
        <w:tc>
          <w:tcPr>
            <w:tcW w:w="1281" w:type="dxa"/>
          </w:tcPr>
          <w:p w14:paraId="11F55F79"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14 (20)</w:t>
            </w:r>
          </w:p>
          <w:p w14:paraId="0D5C6D1E"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57 (14.4)</w:t>
            </w:r>
          </w:p>
          <w:p w14:paraId="2DD2C84E"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0.23</w:t>
            </w:r>
          </w:p>
        </w:tc>
      </w:tr>
      <w:tr w:rsidR="00D91B24" w:rsidRPr="004E72CC" w14:paraId="6BF20189" w14:textId="77777777" w:rsidTr="004232C9">
        <w:tc>
          <w:tcPr>
            <w:tcW w:w="2014" w:type="dxa"/>
          </w:tcPr>
          <w:p w14:paraId="03155C2A" w14:textId="66253117" w:rsidR="00D91B24" w:rsidRPr="00F75508" w:rsidRDefault="00D91B24" w:rsidP="008A0A74">
            <w:pPr>
              <w:snapToGrid w:val="0"/>
              <w:spacing w:line="360" w:lineRule="auto"/>
              <w:jc w:val="both"/>
              <w:rPr>
                <w:rStyle w:val="Strong"/>
                <w:rFonts w:ascii="Book Antiqua" w:hAnsi="Book Antiqua"/>
                <w:b w:val="0"/>
                <w:lang w:val="en-US"/>
              </w:rPr>
            </w:pPr>
            <w:r w:rsidRPr="00F75508">
              <w:rPr>
                <w:rStyle w:val="Strong"/>
                <w:rFonts w:ascii="Book Antiqua" w:hAnsi="Book Antiqua"/>
                <w:b w:val="0"/>
                <w:lang w:val="en-US"/>
              </w:rPr>
              <w:t>CRP (mg/L)</w:t>
            </w:r>
          </w:p>
        </w:tc>
        <w:tc>
          <w:tcPr>
            <w:tcW w:w="850" w:type="dxa"/>
          </w:tcPr>
          <w:p w14:paraId="657D79F1" w14:textId="46F338E9"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&lt;</w:t>
            </w:r>
            <w:r w:rsidR="001B1167">
              <w:rPr>
                <w:rStyle w:val="Strong"/>
                <w:rFonts w:ascii="Book Antiqua" w:hAnsi="Book Antiqua"/>
                <w:b w:val="0"/>
                <w:color w:val="000000" w:themeColor="text1"/>
                <w:lang w:val="en-US"/>
              </w:rPr>
              <w:t xml:space="preserve"> </w:t>
            </w:r>
            <w:r w:rsidRPr="00F75508">
              <w:rPr>
                <w:rStyle w:val="Strong"/>
                <w:rFonts w:ascii="Book Antiqua" w:hAnsi="Book Antiqua"/>
                <w:b w:val="0"/>
                <w:color w:val="000000" w:themeColor="text1"/>
                <w:lang w:val="en-US"/>
              </w:rPr>
              <w:t>5</w:t>
            </w:r>
          </w:p>
          <w:p w14:paraId="19BC05B8" w14:textId="21AC7E0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&gt;</w:t>
            </w:r>
            <w:r w:rsidR="001B1167">
              <w:rPr>
                <w:rStyle w:val="Strong"/>
                <w:rFonts w:ascii="Book Antiqua" w:hAnsi="Book Antiqua"/>
                <w:b w:val="0"/>
                <w:color w:val="000000" w:themeColor="text1"/>
                <w:lang w:val="en-US"/>
              </w:rPr>
              <w:t xml:space="preserve"> </w:t>
            </w:r>
            <w:r w:rsidRPr="00F75508">
              <w:rPr>
                <w:rStyle w:val="Strong"/>
                <w:rFonts w:ascii="Book Antiqua" w:hAnsi="Book Antiqua"/>
                <w:b w:val="0"/>
                <w:color w:val="000000" w:themeColor="text1"/>
                <w:lang w:val="en-US"/>
              </w:rPr>
              <w:t>5</w:t>
            </w:r>
          </w:p>
          <w:p w14:paraId="5D34354A" w14:textId="7C8FF227" w:rsidR="00D91B24" w:rsidRPr="00F75508" w:rsidRDefault="001B1167" w:rsidP="00F75508">
            <w:pPr>
              <w:snapToGrid w:val="0"/>
              <w:spacing w:line="360" w:lineRule="auto"/>
              <w:jc w:val="center"/>
              <w:rPr>
                <w:rStyle w:val="Strong"/>
                <w:rFonts w:ascii="Book Antiqua" w:hAnsi="Book Antiqua"/>
                <w:b w:val="0"/>
                <w:i/>
                <w:color w:val="000000" w:themeColor="text1"/>
                <w:lang w:val="en-US"/>
              </w:rPr>
            </w:pPr>
            <w:r w:rsidRPr="001B1167">
              <w:rPr>
                <w:rStyle w:val="Strong"/>
                <w:rFonts w:ascii="Book Antiqua" w:hAnsi="Book Antiqua"/>
                <w:b w:val="0"/>
                <w:i/>
                <w:color w:val="000000" w:themeColor="text1"/>
                <w:lang w:val="en-US"/>
              </w:rPr>
              <w:t>P</w:t>
            </w:r>
          </w:p>
        </w:tc>
        <w:tc>
          <w:tcPr>
            <w:tcW w:w="1276" w:type="dxa"/>
          </w:tcPr>
          <w:p w14:paraId="36ED42BB"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109 (41.3)</w:t>
            </w:r>
          </w:p>
          <w:p w14:paraId="4725DA86" w14:textId="77777777" w:rsidR="00D91B24" w:rsidRPr="001B1167" w:rsidRDefault="00D91B24" w:rsidP="00F75508">
            <w:pPr>
              <w:snapToGrid w:val="0"/>
              <w:spacing w:line="360" w:lineRule="auto"/>
              <w:jc w:val="center"/>
              <w:rPr>
                <w:rStyle w:val="Strong"/>
                <w:rFonts w:ascii="Book Antiqua" w:hAnsi="Book Antiqua"/>
                <w:b w:val="0"/>
                <w:color w:val="000000" w:themeColor="text1"/>
                <w:lang w:val="en-US"/>
              </w:rPr>
            </w:pPr>
            <w:r w:rsidRPr="001B1167">
              <w:rPr>
                <w:rStyle w:val="Strong"/>
                <w:rFonts w:ascii="Book Antiqua" w:hAnsi="Book Antiqua"/>
                <w:b w:val="0"/>
                <w:color w:val="000000" w:themeColor="text1"/>
                <w:lang w:val="en-US"/>
              </w:rPr>
              <w:t>120 (65.6)</w:t>
            </w:r>
          </w:p>
          <w:p w14:paraId="123D1150" w14:textId="77777777" w:rsidR="00D91B24" w:rsidRPr="00F75508" w:rsidRDefault="00D91B24" w:rsidP="00F75508">
            <w:pPr>
              <w:snapToGrid w:val="0"/>
              <w:spacing w:line="360" w:lineRule="auto"/>
              <w:jc w:val="center"/>
              <w:rPr>
                <w:rStyle w:val="Strong"/>
                <w:rFonts w:ascii="Book Antiqua" w:hAnsi="Book Antiqua"/>
                <w:b w:val="0"/>
                <w:color w:val="000000" w:themeColor="text1"/>
                <w:lang w:val="en-US"/>
              </w:rPr>
            </w:pPr>
            <w:r w:rsidRPr="00F75508">
              <w:rPr>
                <w:rStyle w:val="Strong"/>
                <w:rFonts w:ascii="Book Antiqua" w:hAnsi="Book Antiqua"/>
                <w:b w:val="0"/>
                <w:color w:val="000000" w:themeColor="text1"/>
                <w:lang w:val="en-US"/>
              </w:rPr>
              <w:t>0.001</w:t>
            </w:r>
          </w:p>
        </w:tc>
        <w:tc>
          <w:tcPr>
            <w:tcW w:w="1276" w:type="dxa"/>
          </w:tcPr>
          <w:p w14:paraId="4BCDDA3E"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70 (26.5)</w:t>
            </w:r>
          </w:p>
          <w:p w14:paraId="333A4E7F"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63 (34.4)</w:t>
            </w:r>
          </w:p>
          <w:p w14:paraId="5EE22D09"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0.07</w:t>
            </w:r>
          </w:p>
        </w:tc>
        <w:tc>
          <w:tcPr>
            <w:tcW w:w="1134" w:type="dxa"/>
          </w:tcPr>
          <w:p w14:paraId="25E69660"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7 (2.7)</w:t>
            </w:r>
          </w:p>
          <w:p w14:paraId="1A23AE21"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29 (15.8)</w:t>
            </w:r>
          </w:p>
          <w:p w14:paraId="65DBE5E1"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0.001</w:t>
            </w:r>
          </w:p>
        </w:tc>
        <w:tc>
          <w:tcPr>
            <w:tcW w:w="1134" w:type="dxa"/>
          </w:tcPr>
          <w:p w14:paraId="400EC3ED"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 (1.1)</w:t>
            </w:r>
          </w:p>
          <w:p w14:paraId="117F371D"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12 (6.6)</w:t>
            </w:r>
          </w:p>
          <w:p w14:paraId="5872091C"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0.002</w:t>
            </w:r>
          </w:p>
        </w:tc>
        <w:tc>
          <w:tcPr>
            <w:tcW w:w="1134" w:type="dxa"/>
          </w:tcPr>
          <w:p w14:paraId="29D44C24"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31 (11.8)</w:t>
            </w:r>
          </w:p>
          <w:p w14:paraId="5079DA2B"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30 (16.4)</w:t>
            </w:r>
          </w:p>
          <w:p w14:paraId="6DB37C55"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0.37</w:t>
            </w:r>
          </w:p>
        </w:tc>
        <w:tc>
          <w:tcPr>
            <w:tcW w:w="1281" w:type="dxa"/>
          </w:tcPr>
          <w:p w14:paraId="19B5CB7B"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29 (11)</w:t>
            </w:r>
          </w:p>
          <w:p w14:paraId="6E4BF83C" w14:textId="77777777" w:rsidR="00D91B24" w:rsidRPr="001B1167" w:rsidRDefault="00D91B24" w:rsidP="00F75508">
            <w:pPr>
              <w:snapToGrid w:val="0"/>
              <w:spacing w:line="360" w:lineRule="auto"/>
              <w:jc w:val="center"/>
              <w:rPr>
                <w:rStyle w:val="Strong"/>
                <w:rFonts w:ascii="Book Antiqua" w:hAnsi="Book Antiqua"/>
                <w:b w:val="0"/>
                <w:lang w:val="en-US"/>
              </w:rPr>
            </w:pPr>
            <w:r w:rsidRPr="001B1167">
              <w:rPr>
                <w:rStyle w:val="Strong"/>
                <w:rFonts w:ascii="Book Antiqua" w:hAnsi="Book Antiqua"/>
                <w:b w:val="0"/>
                <w:lang w:val="en-US"/>
              </w:rPr>
              <w:t>39 (21.3)</w:t>
            </w:r>
          </w:p>
          <w:p w14:paraId="737F0BBB" w14:textId="77777777" w:rsidR="00D91B24" w:rsidRPr="00F75508" w:rsidRDefault="00D91B24" w:rsidP="00F75508">
            <w:pPr>
              <w:snapToGrid w:val="0"/>
              <w:spacing w:line="360" w:lineRule="auto"/>
              <w:jc w:val="center"/>
              <w:rPr>
                <w:rStyle w:val="Strong"/>
                <w:rFonts w:ascii="Book Antiqua" w:hAnsi="Book Antiqua"/>
                <w:b w:val="0"/>
                <w:lang w:val="en-US"/>
              </w:rPr>
            </w:pPr>
            <w:r w:rsidRPr="00F75508">
              <w:rPr>
                <w:rStyle w:val="Strong"/>
                <w:rFonts w:ascii="Book Antiqua" w:hAnsi="Book Antiqua"/>
                <w:b w:val="0"/>
                <w:lang w:val="en-US"/>
              </w:rPr>
              <w:t>0.003</w:t>
            </w:r>
          </w:p>
        </w:tc>
      </w:tr>
    </w:tbl>
    <w:p w14:paraId="1B91718D" w14:textId="5D0448C5" w:rsidR="00D91B24" w:rsidRPr="004E72CC" w:rsidRDefault="00D91B24" w:rsidP="008A0A74">
      <w:pPr>
        <w:snapToGrid w:val="0"/>
        <w:spacing w:line="360" w:lineRule="auto"/>
        <w:jc w:val="both"/>
        <w:rPr>
          <w:rFonts w:ascii="Book Antiqua" w:hAnsi="Book Antiqua" w:cs="Arial"/>
          <w:bCs/>
          <w:color w:val="000000" w:themeColor="text1"/>
          <w:lang w:val="en-US"/>
        </w:rPr>
      </w:pPr>
      <w:r w:rsidRPr="004E72CC">
        <w:rPr>
          <w:rFonts w:ascii="Book Antiqua" w:hAnsi="Book Antiqua" w:cs="Arial"/>
          <w:color w:val="000000" w:themeColor="text1"/>
          <w:lang w:val="en-US"/>
        </w:rPr>
        <w:t>M: Male;</w:t>
      </w:r>
      <w:r w:rsidR="001B1167">
        <w:rPr>
          <w:rFonts w:ascii="Book Antiqua" w:hAnsi="Book Antiqua" w:cs="Arial"/>
          <w:color w:val="000000" w:themeColor="text1"/>
          <w:lang w:val="en-US"/>
        </w:rPr>
        <w:t xml:space="preserve"> </w:t>
      </w:r>
      <w:r w:rsidRPr="004E72CC">
        <w:rPr>
          <w:rFonts w:ascii="Book Antiqua" w:hAnsi="Book Antiqua" w:cs="Arial"/>
          <w:color w:val="000000" w:themeColor="text1"/>
          <w:lang w:val="en-US"/>
        </w:rPr>
        <w:t>F: Female; A</w:t>
      </w:r>
      <w:r w:rsidRPr="004E72CC">
        <w:rPr>
          <w:rFonts w:ascii="Book Antiqua" w:hAnsi="Book Antiqua" w:cs="Arial"/>
          <w:color w:val="000000" w:themeColor="text1"/>
          <w:lang w:val="en-US"/>
        </w:rPr>
        <w:sym w:font="Symbol" w:char="F02B"/>
      </w:r>
      <w:r w:rsidRPr="004E72CC">
        <w:rPr>
          <w:rFonts w:ascii="Book Antiqua" w:hAnsi="Book Antiqua" w:cs="Arial"/>
          <w:color w:val="000000" w:themeColor="text1"/>
          <w:lang w:val="en-US"/>
        </w:rPr>
        <w:t>: Anemia present</w:t>
      </w:r>
      <w:r w:rsidR="001B1167">
        <w:rPr>
          <w:rFonts w:ascii="Book Antiqua" w:hAnsi="Book Antiqua" w:cs="Arial"/>
          <w:color w:val="000000" w:themeColor="text1"/>
          <w:lang w:val="en-US"/>
        </w:rPr>
        <w:t>;</w:t>
      </w:r>
      <w:r w:rsidRPr="004E72CC">
        <w:rPr>
          <w:rFonts w:ascii="Book Antiqua" w:hAnsi="Book Antiqua" w:cs="Arial"/>
          <w:color w:val="000000" w:themeColor="text1"/>
          <w:lang w:val="en-US"/>
        </w:rPr>
        <w:t xml:space="preserve"> A-: Anemia absent; IBD: </w:t>
      </w:r>
      <w:r w:rsidR="001B1167">
        <w:rPr>
          <w:rFonts w:ascii="Book Antiqua" w:hAnsi="Book Antiqua" w:cs="Arial"/>
          <w:color w:val="000000" w:themeColor="text1"/>
          <w:lang w:val="en-US"/>
        </w:rPr>
        <w:t>I</w:t>
      </w:r>
      <w:r w:rsidRPr="004E72CC">
        <w:rPr>
          <w:rFonts w:ascii="Book Antiqua" w:hAnsi="Book Antiqua" w:cs="Arial"/>
          <w:color w:val="000000" w:themeColor="text1"/>
          <w:lang w:val="en-US"/>
        </w:rPr>
        <w:t xml:space="preserve">nflammatory bowel disease; L: </w:t>
      </w:r>
      <w:r w:rsidR="001B1167">
        <w:rPr>
          <w:rFonts w:ascii="Book Antiqua" w:hAnsi="Book Antiqua" w:cs="Arial"/>
          <w:color w:val="000000" w:themeColor="text1"/>
          <w:lang w:val="en-US"/>
        </w:rPr>
        <w:t>D</w:t>
      </w:r>
      <w:r w:rsidRPr="004E72CC">
        <w:rPr>
          <w:rFonts w:ascii="Book Antiqua" w:hAnsi="Book Antiqua" w:cs="Arial"/>
          <w:color w:val="000000" w:themeColor="text1"/>
          <w:lang w:val="en-US"/>
        </w:rPr>
        <w:t xml:space="preserve">isease location (for Crohn’s disease); L1: </w:t>
      </w:r>
      <w:r w:rsidR="001B1167">
        <w:rPr>
          <w:rFonts w:ascii="Book Antiqua" w:hAnsi="Book Antiqua" w:cs="Arial"/>
          <w:color w:val="000000" w:themeColor="text1"/>
          <w:lang w:val="en-US"/>
        </w:rPr>
        <w:t>I</w:t>
      </w:r>
      <w:r w:rsidRPr="004E72CC">
        <w:rPr>
          <w:rFonts w:ascii="Book Antiqua" w:hAnsi="Book Antiqua" w:cs="Arial"/>
          <w:color w:val="000000" w:themeColor="text1"/>
          <w:lang w:val="en-US"/>
        </w:rPr>
        <w:t xml:space="preserve">leal disease; L2: </w:t>
      </w:r>
      <w:r w:rsidR="001B1167">
        <w:rPr>
          <w:rFonts w:ascii="Book Antiqua" w:hAnsi="Book Antiqua" w:cs="Arial"/>
          <w:color w:val="000000" w:themeColor="text1"/>
          <w:lang w:val="en-US"/>
        </w:rPr>
        <w:t>C</w:t>
      </w:r>
      <w:r w:rsidRPr="004E72CC">
        <w:rPr>
          <w:rFonts w:ascii="Book Antiqua" w:hAnsi="Book Antiqua" w:cs="Arial"/>
          <w:color w:val="000000" w:themeColor="text1"/>
          <w:lang w:val="en-US"/>
        </w:rPr>
        <w:t xml:space="preserve">olonic disease; L3: </w:t>
      </w:r>
      <w:r w:rsidR="001B1167">
        <w:rPr>
          <w:rFonts w:ascii="Book Antiqua" w:hAnsi="Book Antiqua" w:cs="Arial"/>
          <w:color w:val="000000" w:themeColor="text1"/>
          <w:lang w:val="en-US"/>
        </w:rPr>
        <w:t>I</w:t>
      </w:r>
      <w:r w:rsidRPr="004E72CC">
        <w:rPr>
          <w:rFonts w:ascii="Book Antiqua" w:hAnsi="Book Antiqua" w:cs="Arial"/>
          <w:color w:val="000000" w:themeColor="text1"/>
          <w:lang w:val="en-US"/>
        </w:rPr>
        <w:t xml:space="preserve">leocolonic disease; L4: </w:t>
      </w:r>
      <w:r w:rsidR="001B1167">
        <w:rPr>
          <w:rFonts w:ascii="Book Antiqua" w:hAnsi="Book Antiqua" w:cs="Arial"/>
          <w:color w:val="000000" w:themeColor="text1"/>
          <w:lang w:val="en-US"/>
        </w:rPr>
        <w:t>U</w:t>
      </w:r>
      <w:r w:rsidRPr="004E72CC">
        <w:rPr>
          <w:rFonts w:ascii="Book Antiqua" w:hAnsi="Book Antiqua" w:cs="Arial"/>
          <w:color w:val="000000" w:themeColor="text1"/>
          <w:lang w:val="en-US"/>
        </w:rPr>
        <w:t xml:space="preserve">pper gastrointestinal tract disease; B: </w:t>
      </w:r>
      <w:r w:rsidR="001B1167">
        <w:rPr>
          <w:rFonts w:ascii="Book Antiqua" w:hAnsi="Book Antiqua" w:cs="Arial"/>
          <w:color w:val="000000" w:themeColor="text1"/>
          <w:lang w:val="en-US"/>
        </w:rPr>
        <w:t>D</w:t>
      </w:r>
      <w:r w:rsidRPr="004E72CC">
        <w:rPr>
          <w:rFonts w:ascii="Book Antiqua" w:hAnsi="Book Antiqua" w:cs="Arial"/>
          <w:color w:val="000000" w:themeColor="text1"/>
          <w:lang w:val="en-US"/>
        </w:rPr>
        <w:t xml:space="preserve">isease behaviour (for Crohn’s disease); B1: </w:t>
      </w:r>
      <w:r w:rsidR="001B1167">
        <w:rPr>
          <w:rFonts w:ascii="Book Antiqua" w:hAnsi="Book Antiqua" w:cs="Arial"/>
          <w:color w:val="000000" w:themeColor="text1"/>
          <w:lang w:val="en-US"/>
        </w:rPr>
        <w:t>I</w:t>
      </w:r>
      <w:r w:rsidRPr="004E72CC">
        <w:rPr>
          <w:rFonts w:ascii="Book Antiqua" w:hAnsi="Book Antiqua" w:cs="Arial"/>
          <w:color w:val="000000" w:themeColor="text1"/>
          <w:lang w:val="en-US"/>
        </w:rPr>
        <w:t xml:space="preserve">nflammatory disease; B2: </w:t>
      </w:r>
      <w:r w:rsidR="001B1167">
        <w:rPr>
          <w:rFonts w:ascii="Book Antiqua" w:hAnsi="Book Antiqua" w:cs="Arial"/>
          <w:color w:val="000000" w:themeColor="text1"/>
          <w:lang w:val="en-US"/>
        </w:rPr>
        <w:t>S</w:t>
      </w:r>
      <w:r w:rsidRPr="004E72CC">
        <w:rPr>
          <w:rFonts w:ascii="Book Antiqua" w:hAnsi="Book Antiqua" w:cs="Arial"/>
          <w:color w:val="000000" w:themeColor="text1"/>
          <w:lang w:val="en-US"/>
        </w:rPr>
        <w:t xml:space="preserve">tricturing disease; B3: </w:t>
      </w:r>
      <w:r w:rsidR="001B1167">
        <w:rPr>
          <w:rFonts w:ascii="Book Antiqua" w:hAnsi="Book Antiqua" w:cs="Arial"/>
          <w:color w:val="000000" w:themeColor="text1"/>
          <w:lang w:val="en-US"/>
        </w:rPr>
        <w:t>P</w:t>
      </w:r>
      <w:r w:rsidRPr="004E72CC">
        <w:rPr>
          <w:rFonts w:ascii="Book Antiqua" w:hAnsi="Book Antiqua" w:cs="Arial"/>
          <w:color w:val="000000" w:themeColor="text1"/>
          <w:lang w:val="en-US"/>
        </w:rPr>
        <w:t xml:space="preserve">enetrating disease; E: </w:t>
      </w:r>
      <w:r w:rsidR="001B1167">
        <w:rPr>
          <w:rFonts w:ascii="Book Antiqua" w:hAnsi="Book Antiqua" w:cs="Arial"/>
          <w:color w:val="000000" w:themeColor="text1"/>
          <w:lang w:val="en-US"/>
        </w:rPr>
        <w:t>D</w:t>
      </w:r>
      <w:r w:rsidRPr="004E72CC">
        <w:rPr>
          <w:rFonts w:ascii="Book Antiqua" w:hAnsi="Book Antiqua" w:cs="Arial"/>
          <w:color w:val="000000" w:themeColor="text1"/>
          <w:lang w:val="en-US"/>
        </w:rPr>
        <w:t xml:space="preserve">isease extension (for ulcerative colitis); E1: </w:t>
      </w:r>
      <w:r w:rsidR="001B1167">
        <w:rPr>
          <w:rFonts w:ascii="Book Antiqua" w:hAnsi="Book Antiqua" w:cs="Arial"/>
          <w:color w:val="000000" w:themeColor="text1"/>
          <w:lang w:val="en-US"/>
        </w:rPr>
        <w:t>U</w:t>
      </w:r>
      <w:r w:rsidRPr="004E72CC">
        <w:rPr>
          <w:rFonts w:ascii="Book Antiqua" w:hAnsi="Book Antiqua" w:cs="Arial"/>
          <w:color w:val="000000" w:themeColor="text1"/>
          <w:lang w:val="en-US"/>
        </w:rPr>
        <w:t xml:space="preserve">lcerative proctitis; E2: </w:t>
      </w:r>
      <w:r w:rsidR="001B1167">
        <w:rPr>
          <w:rFonts w:ascii="Book Antiqua" w:hAnsi="Book Antiqua" w:cs="Arial"/>
          <w:color w:val="000000" w:themeColor="text1"/>
          <w:lang w:val="en-US"/>
        </w:rPr>
        <w:t>L</w:t>
      </w:r>
      <w:r w:rsidRPr="004E72CC">
        <w:rPr>
          <w:rFonts w:ascii="Book Antiqua" w:hAnsi="Book Antiqua" w:cs="Arial"/>
          <w:color w:val="000000" w:themeColor="text1"/>
          <w:lang w:val="en-US"/>
        </w:rPr>
        <w:t xml:space="preserve">eft-sided ulcerative colitis; E3: </w:t>
      </w:r>
      <w:r w:rsidR="001B1167">
        <w:rPr>
          <w:rFonts w:ascii="Book Antiqua" w:hAnsi="Book Antiqua" w:cs="Arial"/>
          <w:color w:val="000000" w:themeColor="text1"/>
          <w:lang w:val="en-US"/>
        </w:rPr>
        <w:t>E</w:t>
      </w:r>
      <w:r w:rsidRPr="004E72CC">
        <w:rPr>
          <w:rFonts w:ascii="Book Antiqua" w:hAnsi="Book Antiqua" w:cs="Arial"/>
          <w:color w:val="000000" w:themeColor="text1"/>
          <w:lang w:val="en-US"/>
        </w:rPr>
        <w:t>xtensive disease</w:t>
      </w:r>
      <w:r w:rsidRPr="004E72CC">
        <w:rPr>
          <w:rFonts w:ascii="Book Antiqua" w:hAnsi="Book Antiqua" w:cs="Arial"/>
          <w:bCs/>
          <w:lang w:val="en-US"/>
        </w:rPr>
        <w:t>; SZP: Sulphasalazine</w:t>
      </w:r>
      <w:r w:rsidR="001B1167">
        <w:rPr>
          <w:rFonts w:ascii="Book Antiqua" w:hAnsi="Book Antiqua" w:cs="Arial"/>
          <w:color w:val="000000" w:themeColor="text1"/>
          <w:lang w:val="en-US"/>
        </w:rPr>
        <w:t>;</w:t>
      </w:r>
      <w:r w:rsidRPr="004E72CC">
        <w:rPr>
          <w:rFonts w:ascii="Book Antiqua" w:hAnsi="Book Antiqua" w:cs="Arial"/>
          <w:color w:val="000000" w:themeColor="text1"/>
          <w:lang w:val="en-US"/>
        </w:rPr>
        <w:t xml:space="preserve"> 5-ASA: 5-aminosalicyclate; AZA: Azathiopurine; MTX: Methotrexate; IFX: Infliximab; ADA: Adalimumab</w:t>
      </w:r>
      <w:r w:rsidR="001B1167">
        <w:rPr>
          <w:rFonts w:ascii="Book Antiqua" w:hAnsi="Book Antiqua" w:cs="Arial"/>
          <w:color w:val="000000" w:themeColor="text1"/>
          <w:lang w:val="en-US"/>
        </w:rPr>
        <w:t>.</w:t>
      </w:r>
      <w:r w:rsidRPr="004E72CC">
        <w:rPr>
          <w:rFonts w:ascii="Book Antiqua" w:hAnsi="Book Antiqua" w:cs="Arial"/>
          <w:color w:val="000000" w:themeColor="text1"/>
          <w:lang w:val="en-US"/>
        </w:rPr>
        <w:t xml:space="preserve"> </w:t>
      </w:r>
    </w:p>
    <w:p w14:paraId="6AF63D0F" w14:textId="77777777" w:rsidR="00D022F3" w:rsidRPr="004E72CC" w:rsidRDefault="00D022F3" w:rsidP="008A0A74">
      <w:pPr>
        <w:snapToGrid w:val="0"/>
        <w:spacing w:line="360" w:lineRule="auto"/>
        <w:jc w:val="both"/>
        <w:rPr>
          <w:rFonts w:ascii="Book Antiqua" w:hAnsi="Book Antiqua" w:cs="Arial"/>
          <w:bCs/>
          <w:color w:val="FF0000"/>
          <w:lang w:val="en-US" w:eastAsia="zh-CN"/>
        </w:rPr>
      </w:pPr>
    </w:p>
    <w:p w14:paraId="55C81575" w14:textId="77777777" w:rsidR="00437951" w:rsidRDefault="00437951">
      <w:pPr>
        <w:rPr>
          <w:rFonts w:ascii="Book Antiqua" w:hAnsi="Book Antiqua"/>
          <w:b/>
          <w:color w:val="000000" w:themeColor="text1"/>
          <w:lang w:val="en-US"/>
        </w:rPr>
      </w:pPr>
      <w:r>
        <w:rPr>
          <w:rFonts w:ascii="Book Antiqua" w:hAnsi="Book Antiqua"/>
          <w:b/>
          <w:color w:val="000000" w:themeColor="text1"/>
          <w:lang w:val="en-US"/>
        </w:rPr>
        <w:br w:type="page"/>
      </w:r>
    </w:p>
    <w:p w14:paraId="4A7214FF" w14:textId="2D47B0A5" w:rsidR="00D91B24" w:rsidRPr="004E72CC" w:rsidRDefault="00D91B24" w:rsidP="00F75508">
      <w:pPr>
        <w:snapToGrid w:val="0"/>
        <w:spacing w:line="360" w:lineRule="auto"/>
        <w:jc w:val="both"/>
        <w:rPr>
          <w:rFonts w:ascii="Book Antiqua" w:hAnsi="Book Antiqua" w:cs="Times New Roman"/>
          <w:lang w:val="en-US"/>
        </w:rPr>
      </w:pPr>
      <w:r w:rsidRPr="00F75508">
        <w:rPr>
          <w:rFonts w:ascii="Book Antiqua" w:hAnsi="Book Antiqua"/>
          <w:b/>
          <w:color w:val="000000" w:themeColor="text1"/>
          <w:lang w:val="en-US"/>
        </w:rPr>
        <w:lastRenderedPageBreak/>
        <w:t xml:space="preserve">Table 5 Factors associated with anemia by logistic regression in patients with Crohn’s disease and ulcerative </w:t>
      </w:r>
      <w:r w:rsidRPr="004E72CC">
        <w:rPr>
          <w:rFonts w:ascii="Book Antiqua" w:hAnsi="Book Antiqua"/>
          <w:b/>
          <w:lang w:val="en-US"/>
        </w:rPr>
        <w:t>colitis at the diagnosis</w:t>
      </w:r>
    </w:p>
    <w:tbl>
      <w:tblPr>
        <w:tblStyle w:val="DzTablo21"/>
        <w:tblW w:w="0" w:type="auto"/>
        <w:tblInd w:w="-743" w:type="dxa"/>
        <w:tblBorders>
          <w:top w:val="single" w:sz="4" w:space="0" w:color="auto"/>
          <w:bottom w:val="single" w:sz="4" w:space="0" w:color="auto"/>
        </w:tblBorders>
        <w:tblLook w:val="04A0" w:firstRow="1" w:lastRow="0" w:firstColumn="1" w:lastColumn="0" w:noHBand="0" w:noVBand="1"/>
      </w:tblPr>
      <w:tblGrid>
        <w:gridCol w:w="3008"/>
        <w:gridCol w:w="2265"/>
        <w:gridCol w:w="2266"/>
        <w:gridCol w:w="2266"/>
      </w:tblGrid>
      <w:tr w:rsidR="00D91B24" w:rsidRPr="004E72CC" w14:paraId="1527747C" w14:textId="77777777" w:rsidTr="00423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bottom w:val="single" w:sz="4" w:space="0" w:color="auto"/>
            </w:tcBorders>
          </w:tcPr>
          <w:p w14:paraId="159C50A8" w14:textId="77777777" w:rsidR="00D91B24" w:rsidRPr="00F75508" w:rsidRDefault="00D91B24" w:rsidP="008A0A74">
            <w:pPr>
              <w:snapToGrid w:val="0"/>
              <w:spacing w:line="360" w:lineRule="auto"/>
              <w:jc w:val="both"/>
              <w:rPr>
                <w:rStyle w:val="Strong"/>
                <w:rFonts w:ascii="Book Antiqua" w:hAnsi="Book Antiqua"/>
                <w:b/>
                <w:i/>
                <w:lang w:val="en-US"/>
              </w:rPr>
            </w:pPr>
          </w:p>
        </w:tc>
        <w:tc>
          <w:tcPr>
            <w:tcW w:w="2265" w:type="dxa"/>
            <w:tcBorders>
              <w:top w:val="single" w:sz="4" w:space="0" w:color="auto"/>
              <w:bottom w:val="single" w:sz="4" w:space="0" w:color="auto"/>
            </w:tcBorders>
          </w:tcPr>
          <w:p w14:paraId="28CF0497" w14:textId="77777777" w:rsidR="00D91B24" w:rsidRPr="001E4959" w:rsidRDefault="00D91B24" w:rsidP="006755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Style w:val="Strong"/>
                <w:rFonts w:ascii="Book Antiqua" w:hAnsi="Book Antiqua"/>
                <w:b/>
                <w:bCs/>
                <w:lang w:val="en-US"/>
              </w:rPr>
            </w:pPr>
            <w:r w:rsidRPr="001E4959">
              <w:rPr>
                <w:rStyle w:val="Strong"/>
                <w:rFonts w:ascii="Book Antiqua" w:hAnsi="Book Antiqua"/>
                <w:b/>
                <w:lang w:val="en-US"/>
              </w:rPr>
              <w:t>Odds ratio</w:t>
            </w:r>
          </w:p>
        </w:tc>
        <w:tc>
          <w:tcPr>
            <w:tcW w:w="2266" w:type="dxa"/>
            <w:tcBorders>
              <w:top w:val="single" w:sz="4" w:space="0" w:color="auto"/>
              <w:bottom w:val="single" w:sz="4" w:space="0" w:color="auto"/>
            </w:tcBorders>
          </w:tcPr>
          <w:p w14:paraId="28EFDA3E" w14:textId="1537C75A" w:rsidR="00D91B24" w:rsidRPr="001E4959" w:rsidRDefault="00D91B24" w:rsidP="006755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Style w:val="Strong"/>
                <w:rFonts w:ascii="Book Antiqua" w:hAnsi="Book Antiqua"/>
                <w:b/>
                <w:lang w:val="en-US"/>
              </w:rPr>
            </w:pPr>
            <w:r w:rsidRPr="001E4959">
              <w:rPr>
                <w:rStyle w:val="Strong"/>
                <w:rFonts w:ascii="Book Antiqua" w:hAnsi="Book Antiqua"/>
                <w:b/>
                <w:lang w:val="en-US"/>
              </w:rPr>
              <w:t>95%</w:t>
            </w:r>
            <w:r w:rsidR="000B4AAC" w:rsidRPr="001E4959">
              <w:rPr>
                <w:rStyle w:val="Strong"/>
                <w:rFonts w:ascii="Book Antiqua" w:hAnsi="Book Antiqua"/>
                <w:b/>
                <w:lang w:val="en-US"/>
              </w:rPr>
              <w:t>C</w:t>
            </w:r>
            <w:r w:rsidR="00F75508" w:rsidRPr="001E4959">
              <w:rPr>
                <w:rStyle w:val="Strong"/>
                <w:rFonts w:ascii="Book Antiqua" w:hAnsi="Book Antiqua"/>
                <w:b/>
                <w:lang w:val="en-US" w:eastAsia="zh-CN"/>
              </w:rPr>
              <w:t>I</w:t>
            </w:r>
          </w:p>
        </w:tc>
        <w:tc>
          <w:tcPr>
            <w:tcW w:w="2266" w:type="dxa"/>
            <w:tcBorders>
              <w:top w:val="single" w:sz="4" w:space="0" w:color="auto"/>
              <w:bottom w:val="single" w:sz="4" w:space="0" w:color="auto"/>
            </w:tcBorders>
          </w:tcPr>
          <w:p w14:paraId="149437A5" w14:textId="31BAA0C8" w:rsidR="00D91B24" w:rsidRPr="001E4959" w:rsidRDefault="0047000C" w:rsidP="0067554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Style w:val="Strong"/>
                <w:rFonts w:ascii="Book Antiqua" w:hAnsi="Book Antiqua"/>
                <w:b/>
                <w:lang w:val="en-US"/>
              </w:rPr>
            </w:pPr>
            <w:r w:rsidRPr="001E4959">
              <w:rPr>
                <w:rStyle w:val="Strong"/>
                <w:rFonts w:ascii="Book Antiqua" w:hAnsi="Book Antiqua"/>
                <w:b/>
                <w:i/>
                <w:lang w:val="en-US"/>
              </w:rPr>
              <w:t xml:space="preserve">P </w:t>
            </w:r>
            <w:r w:rsidRPr="001E4959">
              <w:rPr>
                <w:rStyle w:val="Strong"/>
                <w:rFonts w:ascii="Book Antiqua" w:hAnsi="Book Antiqua"/>
                <w:b/>
                <w:lang w:val="en-US"/>
              </w:rPr>
              <w:t>value</w:t>
            </w:r>
          </w:p>
        </w:tc>
      </w:tr>
      <w:tr w:rsidR="00D91B24" w:rsidRPr="004E72CC" w14:paraId="0F904801"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bottom w:val="none" w:sz="0" w:space="0" w:color="auto"/>
            </w:tcBorders>
          </w:tcPr>
          <w:p w14:paraId="25AC6DB9" w14:textId="3DF9B534" w:rsidR="00D91B24" w:rsidRPr="00F75508" w:rsidRDefault="00D91B24" w:rsidP="008A0A74">
            <w:pPr>
              <w:snapToGrid w:val="0"/>
              <w:spacing w:line="360" w:lineRule="auto"/>
              <w:jc w:val="both"/>
              <w:rPr>
                <w:rStyle w:val="Strong"/>
                <w:rFonts w:ascii="Book Antiqua" w:hAnsi="Book Antiqua"/>
                <w:b/>
                <w:lang w:val="en-US"/>
              </w:rPr>
            </w:pPr>
            <w:r w:rsidRPr="00F75508">
              <w:rPr>
                <w:rStyle w:val="Strong"/>
                <w:rFonts w:ascii="Book Antiqua" w:hAnsi="Book Antiqua"/>
                <w:lang w:val="en-US"/>
              </w:rPr>
              <w:t xml:space="preserve">All IBD </w:t>
            </w:r>
            <w:r w:rsidR="00F75508" w:rsidRPr="00F75508">
              <w:rPr>
                <w:rStyle w:val="Strong"/>
                <w:rFonts w:ascii="Book Antiqua" w:hAnsi="Book Antiqua"/>
                <w:lang w:val="en-US"/>
              </w:rPr>
              <w:t>p</w:t>
            </w:r>
            <w:r w:rsidRPr="00F75508">
              <w:rPr>
                <w:rStyle w:val="Strong"/>
                <w:rFonts w:ascii="Book Antiqua" w:hAnsi="Book Antiqua"/>
                <w:lang w:val="en-US"/>
              </w:rPr>
              <w:t>atients</w:t>
            </w:r>
          </w:p>
        </w:tc>
        <w:tc>
          <w:tcPr>
            <w:tcW w:w="2265" w:type="dxa"/>
            <w:tcBorders>
              <w:top w:val="single" w:sz="4" w:space="0" w:color="auto"/>
              <w:bottom w:val="none" w:sz="0" w:space="0" w:color="auto"/>
            </w:tcBorders>
          </w:tcPr>
          <w:p w14:paraId="62FA2048"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lang w:val="en-US"/>
              </w:rPr>
            </w:pPr>
          </w:p>
        </w:tc>
        <w:tc>
          <w:tcPr>
            <w:tcW w:w="2266" w:type="dxa"/>
            <w:tcBorders>
              <w:top w:val="single" w:sz="4" w:space="0" w:color="auto"/>
              <w:bottom w:val="none" w:sz="0" w:space="0" w:color="auto"/>
            </w:tcBorders>
          </w:tcPr>
          <w:p w14:paraId="30B54E56"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lang w:val="en-US"/>
              </w:rPr>
            </w:pPr>
          </w:p>
        </w:tc>
        <w:tc>
          <w:tcPr>
            <w:tcW w:w="2266" w:type="dxa"/>
            <w:tcBorders>
              <w:top w:val="single" w:sz="4" w:space="0" w:color="auto"/>
              <w:bottom w:val="none" w:sz="0" w:space="0" w:color="auto"/>
            </w:tcBorders>
          </w:tcPr>
          <w:p w14:paraId="368B0D76"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lang w:val="en-US"/>
              </w:rPr>
            </w:pPr>
          </w:p>
        </w:tc>
      </w:tr>
      <w:tr w:rsidR="00D91B24" w:rsidRPr="004E72CC" w14:paraId="15BDA9B7" w14:textId="77777777" w:rsidTr="004232C9">
        <w:tc>
          <w:tcPr>
            <w:cnfStyle w:val="001000000000" w:firstRow="0" w:lastRow="0" w:firstColumn="1" w:lastColumn="0" w:oddVBand="0" w:evenVBand="0" w:oddHBand="0" w:evenHBand="0" w:firstRowFirstColumn="0" w:firstRowLastColumn="0" w:lastRowFirstColumn="0" w:lastRowLastColumn="0"/>
            <w:tcW w:w="3008" w:type="dxa"/>
          </w:tcPr>
          <w:p w14:paraId="2D270390"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Sex (female)</w:t>
            </w:r>
          </w:p>
        </w:tc>
        <w:tc>
          <w:tcPr>
            <w:tcW w:w="2265" w:type="dxa"/>
          </w:tcPr>
          <w:p w14:paraId="4CC083CD"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3.19</w:t>
            </w:r>
          </w:p>
        </w:tc>
        <w:tc>
          <w:tcPr>
            <w:tcW w:w="2266" w:type="dxa"/>
          </w:tcPr>
          <w:p w14:paraId="108D3D2C"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2.07-4.91</w:t>
            </w:r>
          </w:p>
        </w:tc>
        <w:tc>
          <w:tcPr>
            <w:tcW w:w="2266" w:type="dxa"/>
          </w:tcPr>
          <w:p w14:paraId="15707177" w14:textId="7E87E47E" w:rsidR="00D91B24" w:rsidRPr="00F75508"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&lt;</w:t>
            </w:r>
            <w:r w:rsidR="00691893">
              <w:rPr>
                <w:rStyle w:val="Strong"/>
                <w:rFonts w:ascii="Book Antiqua" w:hAnsi="Book Antiqua"/>
                <w:b w:val="0"/>
                <w:lang w:val="en-US"/>
              </w:rPr>
              <w:t xml:space="preserve"> </w:t>
            </w:r>
            <w:r w:rsidRPr="00F75508">
              <w:rPr>
                <w:rStyle w:val="Strong"/>
                <w:rFonts w:ascii="Book Antiqua" w:hAnsi="Book Antiqua"/>
                <w:b w:val="0"/>
                <w:lang w:val="en-US"/>
              </w:rPr>
              <w:t>0.001</w:t>
            </w:r>
          </w:p>
        </w:tc>
      </w:tr>
      <w:tr w:rsidR="00D91B24" w:rsidRPr="004E72CC" w14:paraId="707E4197"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bottom w:val="none" w:sz="0" w:space="0" w:color="auto"/>
            </w:tcBorders>
          </w:tcPr>
          <w:p w14:paraId="28248FE6"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Corticosteroids</w:t>
            </w:r>
          </w:p>
        </w:tc>
        <w:tc>
          <w:tcPr>
            <w:tcW w:w="2265" w:type="dxa"/>
            <w:tcBorders>
              <w:top w:val="none" w:sz="0" w:space="0" w:color="auto"/>
              <w:bottom w:val="none" w:sz="0" w:space="0" w:color="auto"/>
            </w:tcBorders>
          </w:tcPr>
          <w:p w14:paraId="1DB129CC"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3.21</w:t>
            </w:r>
          </w:p>
        </w:tc>
        <w:tc>
          <w:tcPr>
            <w:tcW w:w="2266" w:type="dxa"/>
            <w:tcBorders>
              <w:top w:val="none" w:sz="0" w:space="0" w:color="auto"/>
              <w:bottom w:val="none" w:sz="0" w:space="0" w:color="auto"/>
            </w:tcBorders>
          </w:tcPr>
          <w:p w14:paraId="309D3646"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1.52-6.80</w:t>
            </w:r>
          </w:p>
        </w:tc>
        <w:tc>
          <w:tcPr>
            <w:tcW w:w="2266" w:type="dxa"/>
            <w:tcBorders>
              <w:top w:val="none" w:sz="0" w:space="0" w:color="auto"/>
              <w:bottom w:val="none" w:sz="0" w:space="0" w:color="auto"/>
            </w:tcBorders>
          </w:tcPr>
          <w:p w14:paraId="1A37F9FE" w14:textId="77777777" w:rsidR="00D91B24" w:rsidRPr="00F75508"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0.002</w:t>
            </w:r>
          </w:p>
        </w:tc>
      </w:tr>
      <w:tr w:rsidR="00D91B24" w:rsidRPr="004E72CC" w14:paraId="658655CA" w14:textId="77777777" w:rsidTr="004232C9">
        <w:tc>
          <w:tcPr>
            <w:cnfStyle w:val="001000000000" w:firstRow="0" w:lastRow="0" w:firstColumn="1" w:lastColumn="0" w:oddVBand="0" w:evenVBand="0" w:oddHBand="0" w:evenHBand="0" w:firstRowFirstColumn="0" w:firstRowLastColumn="0" w:lastRowFirstColumn="0" w:lastRowLastColumn="0"/>
            <w:tcW w:w="3008" w:type="dxa"/>
          </w:tcPr>
          <w:p w14:paraId="36A7202A"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AZA/MTX</w:t>
            </w:r>
          </w:p>
        </w:tc>
        <w:tc>
          <w:tcPr>
            <w:tcW w:w="2265" w:type="dxa"/>
          </w:tcPr>
          <w:p w14:paraId="4489AAB9"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2.28</w:t>
            </w:r>
          </w:p>
        </w:tc>
        <w:tc>
          <w:tcPr>
            <w:tcW w:w="2266" w:type="dxa"/>
          </w:tcPr>
          <w:p w14:paraId="70674F46"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1.48-3.49</w:t>
            </w:r>
          </w:p>
        </w:tc>
        <w:tc>
          <w:tcPr>
            <w:tcW w:w="2266" w:type="dxa"/>
          </w:tcPr>
          <w:p w14:paraId="465928FD" w14:textId="761F6D00" w:rsidR="00D91B24" w:rsidRPr="00F75508"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&lt;</w:t>
            </w:r>
            <w:r w:rsidR="00691893">
              <w:rPr>
                <w:rStyle w:val="Strong"/>
                <w:rFonts w:ascii="Book Antiqua" w:hAnsi="Book Antiqua"/>
                <w:b w:val="0"/>
                <w:lang w:val="en-US"/>
              </w:rPr>
              <w:t xml:space="preserve"> </w:t>
            </w:r>
            <w:r w:rsidRPr="00F75508">
              <w:rPr>
                <w:rStyle w:val="Strong"/>
                <w:rFonts w:ascii="Book Antiqua" w:hAnsi="Book Antiqua"/>
                <w:b w:val="0"/>
                <w:lang w:val="en-US"/>
              </w:rPr>
              <w:t>0.001</w:t>
            </w:r>
          </w:p>
        </w:tc>
      </w:tr>
      <w:tr w:rsidR="00D91B24" w:rsidRPr="004E72CC" w14:paraId="0A9E851D"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bottom w:val="none" w:sz="0" w:space="0" w:color="auto"/>
            </w:tcBorders>
          </w:tcPr>
          <w:p w14:paraId="6D960517"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Anti-TNF (INF/ADA)</w:t>
            </w:r>
          </w:p>
        </w:tc>
        <w:tc>
          <w:tcPr>
            <w:tcW w:w="2265" w:type="dxa"/>
            <w:tcBorders>
              <w:top w:val="none" w:sz="0" w:space="0" w:color="auto"/>
              <w:bottom w:val="none" w:sz="0" w:space="0" w:color="auto"/>
            </w:tcBorders>
          </w:tcPr>
          <w:p w14:paraId="2F4E33F9"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2.32</w:t>
            </w:r>
          </w:p>
        </w:tc>
        <w:tc>
          <w:tcPr>
            <w:tcW w:w="2266" w:type="dxa"/>
            <w:tcBorders>
              <w:top w:val="none" w:sz="0" w:space="0" w:color="auto"/>
              <w:bottom w:val="none" w:sz="0" w:space="0" w:color="auto"/>
            </w:tcBorders>
          </w:tcPr>
          <w:p w14:paraId="662CB198" w14:textId="52E58378"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1.30</w:t>
            </w:r>
            <w:r w:rsidR="00691893">
              <w:rPr>
                <w:rStyle w:val="Strong"/>
                <w:rFonts w:ascii="Book Antiqua" w:hAnsi="Book Antiqua"/>
                <w:b w:val="0"/>
                <w:lang w:val="en-US"/>
              </w:rPr>
              <w:t>-</w:t>
            </w:r>
            <w:r w:rsidRPr="004E72CC">
              <w:rPr>
                <w:rStyle w:val="Strong"/>
                <w:rFonts w:ascii="Book Antiqua" w:hAnsi="Book Antiqua"/>
                <w:b w:val="0"/>
                <w:lang w:val="en-US"/>
              </w:rPr>
              <w:t>4.11</w:t>
            </w:r>
          </w:p>
        </w:tc>
        <w:tc>
          <w:tcPr>
            <w:tcW w:w="2266" w:type="dxa"/>
            <w:tcBorders>
              <w:top w:val="none" w:sz="0" w:space="0" w:color="auto"/>
              <w:bottom w:val="none" w:sz="0" w:space="0" w:color="auto"/>
            </w:tcBorders>
          </w:tcPr>
          <w:p w14:paraId="5BA601C3" w14:textId="77777777" w:rsidR="00D91B24" w:rsidRPr="00F75508"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0.004</w:t>
            </w:r>
          </w:p>
        </w:tc>
      </w:tr>
      <w:tr w:rsidR="00D91B24" w:rsidRPr="004E72CC" w14:paraId="72D64A38" w14:textId="77777777" w:rsidTr="004232C9">
        <w:tc>
          <w:tcPr>
            <w:cnfStyle w:val="001000000000" w:firstRow="0" w:lastRow="0" w:firstColumn="1" w:lastColumn="0" w:oddVBand="0" w:evenVBand="0" w:oddHBand="0" w:evenHBand="0" w:firstRowFirstColumn="0" w:firstRowLastColumn="0" w:lastRowFirstColumn="0" w:lastRowLastColumn="0"/>
            <w:tcW w:w="3008" w:type="dxa"/>
          </w:tcPr>
          <w:p w14:paraId="7E6552E4" w14:textId="68A4CCCC"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w:t>
            </w:r>
            <w:r w:rsidR="00F75508">
              <w:rPr>
                <w:rStyle w:val="Strong"/>
                <w:rFonts w:ascii="Book Antiqua" w:hAnsi="Book Antiqua" w:hint="eastAsia"/>
                <w:lang w:val="en-US" w:eastAsia="zh-CN"/>
              </w:rPr>
              <w:t xml:space="preserve">  </w:t>
            </w:r>
            <w:r w:rsidRPr="0047000C">
              <w:rPr>
                <w:rStyle w:val="Strong"/>
                <w:rFonts w:ascii="Book Antiqua" w:hAnsi="Book Antiqua"/>
                <w:lang w:val="en-US"/>
              </w:rPr>
              <w:t>Elevated CRP</w:t>
            </w:r>
          </w:p>
        </w:tc>
        <w:tc>
          <w:tcPr>
            <w:tcW w:w="2265" w:type="dxa"/>
          </w:tcPr>
          <w:p w14:paraId="1029FF39"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2.75</w:t>
            </w:r>
          </w:p>
        </w:tc>
        <w:tc>
          <w:tcPr>
            <w:tcW w:w="2266" w:type="dxa"/>
          </w:tcPr>
          <w:p w14:paraId="3630F411"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1.78-4.24</w:t>
            </w:r>
          </w:p>
        </w:tc>
        <w:tc>
          <w:tcPr>
            <w:tcW w:w="2266" w:type="dxa"/>
          </w:tcPr>
          <w:p w14:paraId="0F0FF929" w14:textId="2EA589FE" w:rsidR="00D91B24" w:rsidRPr="00F75508"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&lt;</w:t>
            </w:r>
            <w:r w:rsidR="00691893">
              <w:rPr>
                <w:rStyle w:val="Strong"/>
                <w:rFonts w:ascii="Book Antiqua" w:hAnsi="Book Antiqua"/>
                <w:b w:val="0"/>
                <w:lang w:val="en-US"/>
              </w:rPr>
              <w:t xml:space="preserve"> </w:t>
            </w:r>
            <w:r w:rsidRPr="00F75508">
              <w:rPr>
                <w:rStyle w:val="Strong"/>
                <w:rFonts w:ascii="Book Antiqua" w:hAnsi="Book Antiqua"/>
                <w:b w:val="0"/>
                <w:lang w:val="en-US"/>
              </w:rPr>
              <w:t>0.001</w:t>
            </w:r>
          </w:p>
        </w:tc>
      </w:tr>
      <w:tr w:rsidR="00D91B24" w:rsidRPr="004E72CC" w14:paraId="4CF8796A"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36914009" w14:textId="77777777" w:rsidR="00D91B24" w:rsidRPr="00F75508" w:rsidRDefault="00D91B24" w:rsidP="008A0A74">
            <w:pPr>
              <w:snapToGrid w:val="0"/>
              <w:spacing w:line="360" w:lineRule="auto"/>
              <w:jc w:val="both"/>
              <w:rPr>
                <w:rStyle w:val="Strong"/>
                <w:rFonts w:ascii="Book Antiqua" w:hAnsi="Book Antiqua"/>
                <w:b/>
                <w:lang w:val="en-US"/>
              </w:rPr>
            </w:pPr>
            <w:r w:rsidRPr="00F75508">
              <w:rPr>
                <w:rStyle w:val="Strong"/>
                <w:rFonts w:ascii="Book Antiqua" w:hAnsi="Book Antiqua"/>
                <w:lang w:val="en-US"/>
              </w:rPr>
              <w:t>Crohn’s disease</w:t>
            </w:r>
          </w:p>
        </w:tc>
        <w:tc>
          <w:tcPr>
            <w:tcW w:w="2265" w:type="dxa"/>
          </w:tcPr>
          <w:p w14:paraId="7D52786D"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i/>
                <w:lang w:val="en-US"/>
              </w:rPr>
            </w:pPr>
          </w:p>
        </w:tc>
        <w:tc>
          <w:tcPr>
            <w:tcW w:w="2266" w:type="dxa"/>
          </w:tcPr>
          <w:p w14:paraId="5FE2E1A9"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i/>
                <w:lang w:val="en-US"/>
              </w:rPr>
            </w:pPr>
          </w:p>
        </w:tc>
        <w:tc>
          <w:tcPr>
            <w:tcW w:w="2266" w:type="dxa"/>
          </w:tcPr>
          <w:p w14:paraId="1DF7F82C" w14:textId="77777777" w:rsidR="00D91B24" w:rsidRPr="00F75508"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i/>
                <w:lang w:val="en-US"/>
              </w:rPr>
            </w:pPr>
          </w:p>
        </w:tc>
      </w:tr>
      <w:tr w:rsidR="00D91B24" w:rsidRPr="004E72CC" w14:paraId="5226189D" w14:textId="77777777" w:rsidTr="004232C9">
        <w:tc>
          <w:tcPr>
            <w:cnfStyle w:val="001000000000" w:firstRow="0" w:lastRow="0" w:firstColumn="1" w:lastColumn="0" w:oddVBand="0" w:evenVBand="0" w:oddHBand="0" w:evenHBand="0" w:firstRowFirstColumn="0" w:firstRowLastColumn="0" w:lastRowFirstColumn="0" w:lastRowLastColumn="0"/>
            <w:tcW w:w="3008" w:type="dxa"/>
          </w:tcPr>
          <w:p w14:paraId="7356B1A5"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Sex (female) </w:t>
            </w:r>
          </w:p>
        </w:tc>
        <w:tc>
          <w:tcPr>
            <w:tcW w:w="2265" w:type="dxa"/>
          </w:tcPr>
          <w:p w14:paraId="5FE9F47C"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4.10</w:t>
            </w:r>
          </w:p>
        </w:tc>
        <w:tc>
          <w:tcPr>
            <w:tcW w:w="2266" w:type="dxa"/>
          </w:tcPr>
          <w:p w14:paraId="2D552877"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2.19-7.68</w:t>
            </w:r>
          </w:p>
        </w:tc>
        <w:tc>
          <w:tcPr>
            <w:tcW w:w="2266" w:type="dxa"/>
          </w:tcPr>
          <w:p w14:paraId="36FE3AE4" w14:textId="1FABABD1" w:rsidR="00D91B24" w:rsidRPr="00F75508"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&lt;</w:t>
            </w:r>
            <w:r w:rsidR="00691893">
              <w:rPr>
                <w:rStyle w:val="Strong"/>
                <w:rFonts w:ascii="Book Antiqua" w:hAnsi="Book Antiqua"/>
                <w:b w:val="0"/>
                <w:lang w:val="en-US"/>
              </w:rPr>
              <w:t xml:space="preserve"> </w:t>
            </w:r>
            <w:r w:rsidRPr="00F75508">
              <w:rPr>
                <w:rStyle w:val="Strong"/>
                <w:rFonts w:ascii="Book Antiqua" w:hAnsi="Book Antiqua"/>
                <w:b w:val="0"/>
                <w:lang w:val="en-US"/>
              </w:rPr>
              <w:t>0.001</w:t>
            </w:r>
          </w:p>
        </w:tc>
      </w:tr>
      <w:tr w:rsidR="00D91B24" w:rsidRPr="004E72CC" w14:paraId="10E150E2"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1A8B2C6F"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Corticosteroids</w:t>
            </w:r>
          </w:p>
        </w:tc>
        <w:tc>
          <w:tcPr>
            <w:tcW w:w="2265" w:type="dxa"/>
          </w:tcPr>
          <w:p w14:paraId="6834594A"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4.06</w:t>
            </w:r>
          </w:p>
        </w:tc>
        <w:tc>
          <w:tcPr>
            <w:tcW w:w="2266" w:type="dxa"/>
          </w:tcPr>
          <w:p w14:paraId="3B526A36"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1.27-12.96</w:t>
            </w:r>
          </w:p>
        </w:tc>
        <w:tc>
          <w:tcPr>
            <w:tcW w:w="2266" w:type="dxa"/>
          </w:tcPr>
          <w:p w14:paraId="63C17CE5" w14:textId="77777777" w:rsidR="00D91B24" w:rsidRPr="00F75508"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0.018</w:t>
            </w:r>
          </w:p>
        </w:tc>
      </w:tr>
      <w:tr w:rsidR="00D91B24" w:rsidRPr="004E72CC" w14:paraId="6385F222" w14:textId="77777777" w:rsidTr="004232C9">
        <w:tc>
          <w:tcPr>
            <w:cnfStyle w:val="001000000000" w:firstRow="0" w:lastRow="0" w:firstColumn="1" w:lastColumn="0" w:oddVBand="0" w:evenVBand="0" w:oddHBand="0" w:evenHBand="0" w:firstRowFirstColumn="0" w:firstRowLastColumn="0" w:lastRowFirstColumn="0" w:lastRowLastColumn="0"/>
            <w:tcW w:w="3008" w:type="dxa"/>
          </w:tcPr>
          <w:p w14:paraId="2EE8B2F6"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AZA/MTX</w:t>
            </w:r>
          </w:p>
        </w:tc>
        <w:tc>
          <w:tcPr>
            <w:tcW w:w="2265" w:type="dxa"/>
          </w:tcPr>
          <w:p w14:paraId="30265E6F"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2.30</w:t>
            </w:r>
          </w:p>
        </w:tc>
        <w:tc>
          <w:tcPr>
            <w:tcW w:w="2266" w:type="dxa"/>
          </w:tcPr>
          <w:p w14:paraId="4B01A4B6"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1.26-4.20</w:t>
            </w:r>
          </w:p>
        </w:tc>
        <w:tc>
          <w:tcPr>
            <w:tcW w:w="2266" w:type="dxa"/>
          </w:tcPr>
          <w:p w14:paraId="1918B289" w14:textId="77777777" w:rsidR="00D91B24" w:rsidRPr="00F75508"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0.006</w:t>
            </w:r>
          </w:p>
        </w:tc>
      </w:tr>
      <w:tr w:rsidR="00D91B24" w:rsidRPr="004E72CC" w14:paraId="4932683D"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24A6DD51"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Anti-TNF  (INF/ADA)</w:t>
            </w:r>
          </w:p>
        </w:tc>
        <w:tc>
          <w:tcPr>
            <w:tcW w:w="2265" w:type="dxa"/>
          </w:tcPr>
          <w:p w14:paraId="30853389"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2.34</w:t>
            </w:r>
          </w:p>
        </w:tc>
        <w:tc>
          <w:tcPr>
            <w:tcW w:w="2266" w:type="dxa"/>
          </w:tcPr>
          <w:p w14:paraId="0116D0B6"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1.20-4.53</w:t>
            </w:r>
          </w:p>
        </w:tc>
        <w:tc>
          <w:tcPr>
            <w:tcW w:w="2266" w:type="dxa"/>
          </w:tcPr>
          <w:p w14:paraId="63518399" w14:textId="77777777" w:rsidR="00D91B24" w:rsidRPr="00F75508"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0.012</w:t>
            </w:r>
          </w:p>
        </w:tc>
      </w:tr>
      <w:tr w:rsidR="00D91B24" w:rsidRPr="004E72CC" w14:paraId="3A31A331" w14:textId="77777777" w:rsidTr="004232C9">
        <w:tc>
          <w:tcPr>
            <w:cnfStyle w:val="001000000000" w:firstRow="0" w:lastRow="0" w:firstColumn="1" w:lastColumn="0" w:oddVBand="0" w:evenVBand="0" w:oddHBand="0" w:evenHBand="0" w:firstRowFirstColumn="0" w:firstRowLastColumn="0" w:lastRowFirstColumn="0" w:lastRowLastColumn="0"/>
            <w:tcW w:w="3008" w:type="dxa"/>
          </w:tcPr>
          <w:p w14:paraId="2DD5C16E"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Elevated CRP</w:t>
            </w:r>
          </w:p>
        </w:tc>
        <w:tc>
          <w:tcPr>
            <w:tcW w:w="2265" w:type="dxa"/>
          </w:tcPr>
          <w:p w14:paraId="7C6A678F"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3.05</w:t>
            </w:r>
          </w:p>
        </w:tc>
        <w:tc>
          <w:tcPr>
            <w:tcW w:w="2266" w:type="dxa"/>
          </w:tcPr>
          <w:p w14:paraId="1913C78C"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1.67-5.58</w:t>
            </w:r>
          </w:p>
        </w:tc>
        <w:tc>
          <w:tcPr>
            <w:tcW w:w="2266" w:type="dxa"/>
          </w:tcPr>
          <w:p w14:paraId="26DAFD3C" w14:textId="17EB42E6" w:rsidR="00D91B24" w:rsidRPr="00F75508"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&lt;</w:t>
            </w:r>
            <w:r w:rsidR="00691893">
              <w:rPr>
                <w:rStyle w:val="Strong"/>
                <w:rFonts w:ascii="Book Antiqua" w:hAnsi="Book Antiqua"/>
                <w:b w:val="0"/>
                <w:lang w:val="en-US"/>
              </w:rPr>
              <w:t xml:space="preserve"> </w:t>
            </w:r>
            <w:r w:rsidRPr="00F75508">
              <w:rPr>
                <w:rStyle w:val="Strong"/>
                <w:rFonts w:ascii="Book Antiqua" w:hAnsi="Book Antiqua"/>
                <w:b w:val="0"/>
                <w:lang w:val="en-US"/>
              </w:rPr>
              <w:t>0.001</w:t>
            </w:r>
          </w:p>
        </w:tc>
      </w:tr>
      <w:tr w:rsidR="00D91B24" w:rsidRPr="004E72CC" w14:paraId="2CDA6348"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bottom w:val="none" w:sz="0" w:space="0" w:color="auto"/>
            </w:tcBorders>
          </w:tcPr>
          <w:p w14:paraId="4D074B76" w14:textId="77777777" w:rsidR="00D91B24" w:rsidRPr="00F75508" w:rsidRDefault="00D91B24" w:rsidP="008A0A74">
            <w:pPr>
              <w:snapToGrid w:val="0"/>
              <w:spacing w:line="360" w:lineRule="auto"/>
              <w:jc w:val="both"/>
              <w:rPr>
                <w:rStyle w:val="Strong"/>
                <w:rFonts w:ascii="Book Antiqua" w:hAnsi="Book Antiqua"/>
                <w:b/>
                <w:lang w:val="en-US"/>
              </w:rPr>
            </w:pPr>
            <w:r w:rsidRPr="00F75508">
              <w:rPr>
                <w:rStyle w:val="Strong"/>
                <w:rFonts w:ascii="Book Antiqua" w:hAnsi="Book Antiqua"/>
                <w:lang w:val="en-US"/>
              </w:rPr>
              <w:t xml:space="preserve">Ulcerative colitis </w:t>
            </w:r>
          </w:p>
        </w:tc>
        <w:tc>
          <w:tcPr>
            <w:tcW w:w="2265" w:type="dxa"/>
            <w:tcBorders>
              <w:top w:val="none" w:sz="0" w:space="0" w:color="auto"/>
              <w:bottom w:val="none" w:sz="0" w:space="0" w:color="auto"/>
            </w:tcBorders>
          </w:tcPr>
          <w:p w14:paraId="2BE6D100"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lang w:val="en-US"/>
              </w:rPr>
            </w:pPr>
          </w:p>
        </w:tc>
        <w:tc>
          <w:tcPr>
            <w:tcW w:w="2266" w:type="dxa"/>
            <w:tcBorders>
              <w:top w:val="none" w:sz="0" w:space="0" w:color="auto"/>
              <w:bottom w:val="none" w:sz="0" w:space="0" w:color="auto"/>
            </w:tcBorders>
          </w:tcPr>
          <w:p w14:paraId="50ECAC63"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lang w:val="en-US"/>
              </w:rPr>
            </w:pPr>
          </w:p>
        </w:tc>
        <w:tc>
          <w:tcPr>
            <w:tcW w:w="2266" w:type="dxa"/>
            <w:tcBorders>
              <w:top w:val="none" w:sz="0" w:space="0" w:color="auto"/>
              <w:bottom w:val="none" w:sz="0" w:space="0" w:color="auto"/>
            </w:tcBorders>
          </w:tcPr>
          <w:p w14:paraId="229E456E" w14:textId="77777777" w:rsidR="00D91B24" w:rsidRPr="00F75508"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p>
        </w:tc>
      </w:tr>
      <w:tr w:rsidR="00D91B24" w:rsidRPr="004E72CC" w14:paraId="689B642F" w14:textId="77777777" w:rsidTr="004232C9">
        <w:tc>
          <w:tcPr>
            <w:cnfStyle w:val="001000000000" w:firstRow="0" w:lastRow="0" w:firstColumn="1" w:lastColumn="0" w:oddVBand="0" w:evenVBand="0" w:oddHBand="0" w:evenHBand="0" w:firstRowFirstColumn="0" w:firstRowLastColumn="0" w:lastRowFirstColumn="0" w:lastRowLastColumn="0"/>
            <w:tcW w:w="3008" w:type="dxa"/>
          </w:tcPr>
          <w:p w14:paraId="511F7E39"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Sex (female)</w:t>
            </w:r>
          </w:p>
        </w:tc>
        <w:tc>
          <w:tcPr>
            <w:tcW w:w="2265" w:type="dxa"/>
          </w:tcPr>
          <w:p w14:paraId="403A2BF8"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3.12</w:t>
            </w:r>
          </w:p>
        </w:tc>
        <w:tc>
          <w:tcPr>
            <w:tcW w:w="2266" w:type="dxa"/>
          </w:tcPr>
          <w:p w14:paraId="12B5AC14"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1.58-6.18</w:t>
            </w:r>
          </w:p>
        </w:tc>
        <w:tc>
          <w:tcPr>
            <w:tcW w:w="2266" w:type="dxa"/>
          </w:tcPr>
          <w:p w14:paraId="5E972CB7" w14:textId="77777777" w:rsidR="00D91B24" w:rsidRPr="00F75508"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0.001</w:t>
            </w:r>
          </w:p>
        </w:tc>
      </w:tr>
      <w:tr w:rsidR="00D91B24" w:rsidRPr="004E72CC" w14:paraId="7416B4A1"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bottom w:val="none" w:sz="0" w:space="0" w:color="auto"/>
            </w:tcBorders>
          </w:tcPr>
          <w:p w14:paraId="2C5F5B02"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Corticosteroids</w:t>
            </w:r>
          </w:p>
        </w:tc>
        <w:tc>
          <w:tcPr>
            <w:tcW w:w="2265" w:type="dxa"/>
            <w:tcBorders>
              <w:top w:val="none" w:sz="0" w:space="0" w:color="auto"/>
              <w:bottom w:val="none" w:sz="0" w:space="0" w:color="auto"/>
            </w:tcBorders>
          </w:tcPr>
          <w:p w14:paraId="61331FD6"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3.62</w:t>
            </w:r>
          </w:p>
        </w:tc>
        <w:tc>
          <w:tcPr>
            <w:tcW w:w="2266" w:type="dxa"/>
            <w:tcBorders>
              <w:top w:val="none" w:sz="0" w:space="0" w:color="auto"/>
              <w:bottom w:val="none" w:sz="0" w:space="0" w:color="auto"/>
            </w:tcBorders>
          </w:tcPr>
          <w:p w14:paraId="015932DB"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1.22-10.67</w:t>
            </w:r>
          </w:p>
        </w:tc>
        <w:tc>
          <w:tcPr>
            <w:tcW w:w="2266" w:type="dxa"/>
            <w:tcBorders>
              <w:top w:val="none" w:sz="0" w:space="0" w:color="auto"/>
              <w:bottom w:val="none" w:sz="0" w:space="0" w:color="auto"/>
            </w:tcBorders>
          </w:tcPr>
          <w:p w14:paraId="5600B46E" w14:textId="77777777" w:rsidR="00D91B24" w:rsidRPr="00F75508"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0.02</w:t>
            </w:r>
          </w:p>
        </w:tc>
      </w:tr>
      <w:tr w:rsidR="00D91B24" w:rsidRPr="004E72CC" w14:paraId="5657D31B" w14:textId="77777777" w:rsidTr="004232C9">
        <w:tc>
          <w:tcPr>
            <w:cnfStyle w:val="001000000000" w:firstRow="0" w:lastRow="0" w:firstColumn="1" w:lastColumn="0" w:oddVBand="0" w:evenVBand="0" w:oddHBand="0" w:evenHBand="0" w:firstRowFirstColumn="0" w:firstRowLastColumn="0" w:lastRowFirstColumn="0" w:lastRowLastColumn="0"/>
            <w:tcW w:w="3008" w:type="dxa"/>
          </w:tcPr>
          <w:p w14:paraId="261C7389"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Elevated CRP </w:t>
            </w:r>
          </w:p>
        </w:tc>
        <w:tc>
          <w:tcPr>
            <w:tcW w:w="2265" w:type="dxa"/>
          </w:tcPr>
          <w:p w14:paraId="2C8909BD"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2.03</w:t>
            </w:r>
          </w:p>
        </w:tc>
        <w:tc>
          <w:tcPr>
            <w:tcW w:w="2266" w:type="dxa"/>
          </w:tcPr>
          <w:p w14:paraId="20476FA1" w14:textId="77777777" w:rsidR="00D91B24" w:rsidRPr="004E72CC"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0.96-4.26</w:t>
            </w:r>
          </w:p>
        </w:tc>
        <w:tc>
          <w:tcPr>
            <w:tcW w:w="2266" w:type="dxa"/>
          </w:tcPr>
          <w:p w14:paraId="6F923067" w14:textId="77777777" w:rsidR="00D91B24" w:rsidRPr="00691893" w:rsidRDefault="00D91B24" w:rsidP="0067554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Strong"/>
                <w:rFonts w:ascii="Book Antiqua" w:hAnsi="Book Antiqua"/>
                <w:b w:val="0"/>
                <w:lang w:val="en-US"/>
              </w:rPr>
            </w:pPr>
            <w:r w:rsidRPr="00691893">
              <w:rPr>
                <w:rStyle w:val="Strong"/>
                <w:rFonts w:ascii="Book Antiqua" w:hAnsi="Book Antiqua"/>
                <w:b w:val="0"/>
                <w:lang w:val="en-US"/>
              </w:rPr>
              <w:t>0.062</w:t>
            </w:r>
          </w:p>
        </w:tc>
      </w:tr>
      <w:tr w:rsidR="00D91B24" w:rsidRPr="004E72CC" w14:paraId="7ABD361C" w14:textId="77777777" w:rsidTr="0042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bottom w:val="none" w:sz="0" w:space="0" w:color="auto"/>
            </w:tcBorders>
          </w:tcPr>
          <w:p w14:paraId="024A9E09" w14:textId="77777777" w:rsidR="00D91B24" w:rsidRPr="00F75508" w:rsidRDefault="00D91B24" w:rsidP="008A0A74">
            <w:pPr>
              <w:snapToGrid w:val="0"/>
              <w:spacing w:line="360" w:lineRule="auto"/>
              <w:jc w:val="both"/>
              <w:rPr>
                <w:rStyle w:val="Strong"/>
                <w:rFonts w:ascii="Book Antiqua" w:hAnsi="Book Antiqua"/>
                <w:lang w:val="en-US"/>
              </w:rPr>
            </w:pPr>
            <w:r w:rsidRPr="0047000C">
              <w:rPr>
                <w:rStyle w:val="Strong"/>
                <w:rFonts w:ascii="Book Antiqua" w:hAnsi="Book Antiqua"/>
                <w:lang w:val="en-US"/>
              </w:rPr>
              <w:t xml:space="preserve">   Disease extension</w:t>
            </w:r>
          </w:p>
        </w:tc>
        <w:tc>
          <w:tcPr>
            <w:tcW w:w="2265" w:type="dxa"/>
            <w:tcBorders>
              <w:top w:val="none" w:sz="0" w:space="0" w:color="auto"/>
              <w:bottom w:val="none" w:sz="0" w:space="0" w:color="auto"/>
            </w:tcBorders>
          </w:tcPr>
          <w:p w14:paraId="039D6FFA"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3.79</w:t>
            </w:r>
          </w:p>
        </w:tc>
        <w:tc>
          <w:tcPr>
            <w:tcW w:w="2266" w:type="dxa"/>
            <w:tcBorders>
              <w:top w:val="none" w:sz="0" w:space="0" w:color="auto"/>
              <w:bottom w:val="none" w:sz="0" w:space="0" w:color="auto"/>
            </w:tcBorders>
          </w:tcPr>
          <w:p w14:paraId="49DD7FD8" w14:textId="77777777" w:rsidR="00D91B24" w:rsidRPr="004E72CC"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4E72CC">
              <w:rPr>
                <w:rStyle w:val="Strong"/>
                <w:rFonts w:ascii="Book Antiqua" w:hAnsi="Book Antiqua"/>
                <w:b w:val="0"/>
                <w:lang w:val="en-US"/>
              </w:rPr>
              <w:t>1.51-9.55</w:t>
            </w:r>
          </w:p>
        </w:tc>
        <w:tc>
          <w:tcPr>
            <w:tcW w:w="2266" w:type="dxa"/>
            <w:tcBorders>
              <w:top w:val="none" w:sz="0" w:space="0" w:color="auto"/>
              <w:bottom w:val="none" w:sz="0" w:space="0" w:color="auto"/>
            </w:tcBorders>
          </w:tcPr>
          <w:p w14:paraId="517E70E1" w14:textId="77777777" w:rsidR="00D91B24" w:rsidRPr="00F75508" w:rsidRDefault="00D91B24" w:rsidP="0067554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Strong"/>
                <w:rFonts w:ascii="Book Antiqua" w:hAnsi="Book Antiqua"/>
                <w:b w:val="0"/>
                <w:lang w:val="en-US"/>
              </w:rPr>
            </w:pPr>
            <w:r w:rsidRPr="00F75508">
              <w:rPr>
                <w:rStyle w:val="Strong"/>
                <w:rFonts w:ascii="Book Antiqua" w:hAnsi="Book Antiqua"/>
                <w:b w:val="0"/>
                <w:lang w:val="en-US"/>
              </w:rPr>
              <w:t>0.005</w:t>
            </w:r>
          </w:p>
        </w:tc>
      </w:tr>
    </w:tbl>
    <w:p w14:paraId="572E04E1" w14:textId="6A443DFF" w:rsidR="00D91B24" w:rsidRPr="004E72CC" w:rsidRDefault="00D91B24" w:rsidP="008A0A74">
      <w:pPr>
        <w:snapToGrid w:val="0"/>
        <w:spacing w:line="360" w:lineRule="auto"/>
        <w:jc w:val="both"/>
        <w:rPr>
          <w:rFonts w:ascii="Book Antiqua" w:hAnsi="Book Antiqua" w:cs="Arial"/>
          <w:bCs/>
          <w:color w:val="000000" w:themeColor="text1"/>
          <w:lang w:val="en-US"/>
        </w:rPr>
      </w:pPr>
      <w:r w:rsidRPr="004E72CC">
        <w:rPr>
          <w:rFonts w:ascii="Book Antiqua" w:hAnsi="Book Antiqua" w:cs="Arial"/>
          <w:color w:val="000000" w:themeColor="text1"/>
          <w:lang w:val="en-US"/>
        </w:rPr>
        <w:t xml:space="preserve">IBD: </w:t>
      </w:r>
      <w:r w:rsidR="00437951">
        <w:rPr>
          <w:rFonts w:ascii="Book Antiqua" w:hAnsi="Book Antiqua" w:cs="Arial"/>
          <w:color w:val="000000" w:themeColor="text1"/>
          <w:lang w:val="en-US"/>
        </w:rPr>
        <w:t>I</w:t>
      </w:r>
      <w:r w:rsidRPr="004E72CC">
        <w:rPr>
          <w:rFonts w:ascii="Book Antiqua" w:hAnsi="Book Antiqua" w:cs="Arial"/>
          <w:color w:val="000000" w:themeColor="text1"/>
          <w:lang w:val="en-US"/>
        </w:rPr>
        <w:t xml:space="preserve">nflammatory bowel disease; E: </w:t>
      </w:r>
      <w:r w:rsidR="00691893">
        <w:rPr>
          <w:rFonts w:ascii="Book Antiqua" w:hAnsi="Book Antiqua" w:cs="Arial"/>
          <w:color w:val="000000" w:themeColor="text1"/>
          <w:lang w:val="en-US"/>
        </w:rPr>
        <w:t>D</w:t>
      </w:r>
      <w:r w:rsidRPr="004E72CC">
        <w:rPr>
          <w:rFonts w:ascii="Book Antiqua" w:hAnsi="Book Antiqua" w:cs="Arial"/>
          <w:color w:val="000000" w:themeColor="text1"/>
          <w:lang w:val="en-US"/>
        </w:rPr>
        <w:t xml:space="preserve">isease extension (for ulcerative colitis); E1: </w:t>
      </w:r>
      <w:r w:rsidR="00691893">
        <w:rPr>
          <w:rFonts w:ascii="Book Antiqua" w:hAnsi="Book Antiqua" w:cs="Arial"/>
          <w:color w:val="000000" w:themeColor="text1"/>
          <w:lang w:val="en-US"/>
        </w:rPr>
        <w:t>U</w:t>
      </w:r>
      <w:r w:rsidRPr="004E72CC">
        <w:rPr>
          <w:rFonts w:ascii="Book Antiqua" w:hAnsi="Book Antiqua" w:cs="Arial"/>
          <w:color w:val="000000" w:themeColor="text1"/>
          <w:lang w:val="en-US"/>
        </w:rPr>
        <w:t xml:space="preserve">lcerative proctitis; E2: </w:t>
      </w:r>
      <w:r w:rsidR="00691893">
        <w:rPr>
          <w:rFonts w:ascii="Book Antiqua" w:hAnsi="Book Antiqua" w:cs="Arial"/>
          <w:color w:val="000000" w:themeColor="text1"/>
          <w:lang w:val="en-US"/>
        </w:rPr>
        <w:t>L</w:t>
      </w:r>
      <w:r w:rsidRPr="004E72CC">
        <w:rPr>
          <w:rFonts w:ascii="Book Antiqua" w:hAnsi="Book Antiqua" w:cs="Arial"/>
          <w:color w:val="000000" w:themeColor="text1"/>
          <w:lang w:val="en-US"/>
        </w:rPr>
        <w:t xml:space="preserve">eft-sided ulcerative colitis; E3: </w:t>
      </w:r>
      <w:r w:rsidR="00691893">
        <w:rPr>
          <w:rFonts w:ascii="Book Antiqua" w:hAnsi="Book Antiqua" w:cs="Arial"/>
          <w:color w:val="000000" w:themeColor="text1"/>
          <w:lang w:val="en-US"/>
        </w:rPr>
        <w:t>E</w:t>
      </w:r>
      <w:r w:rsidRPr="004E72CC">
        <w:rPr>
          <w:rFonts w:ascii="Book Antiqua" w:hAnsi="Book Antiqua" w:cs="Arial"/>
          <w:color w:val="000000" w:themeColor="text1"/>
          <w:lang w:val="en-US"/>
        </w:rPr>
        <w:t>xtensive disease; AZA: Azathiopurine; MTX: Methotrexate; IFX: Infliximab; ADA: Adalimumab</w:t>
      </w:r>
      <w:r w:rsidR="00691893">
        <w:rPr>
          <w:rFonts w:ascii="Book Antiqua" w:hAnsi="Book Antiqua" w:cs="Arial"/>
          <w:color w:val="000000" w:themeColor="text1"/>
          <w:lang w:val="en-US"/>
        </w:rPr>
        <w:t>.</w:t>
      </w:r>
      <w:r w:rsidRPr="004E72CC">
        <w:rPr>
          <w:rFonts w:ascii="Book Antiqua" w:hAnsi="Book Antiqua" w:cs="Arial"/>
          <w:color w:val="000000" w:themeColor="text1"/>
          <w:lang w:val="en-US"/>
        </w:rPr>
        <w:t xml:space="preserve"> </w:t>
      </w:r>
    </w:p>
    <w:p w14:paraId="5BC8DB90" w14:textId="77777777" w:rsidR="00EF4395" w:rsidRPr="004E72CC" w:rsidRDefault="00EF4395" w:rsidP="008A0A74">
      <w:pPr>
        <w:snapToGrid w:val="0"/>
        <w:spacing w:line="360" w:lineRule="auto"/>
        <w:jc w:val="both"/>
        <w:rPr>
          <w:rFonts w:ascii="Book Antiqua" w:hAnsi="Book Antiqua" w:cs="Arial"/>
          <w:color w:val="000000" w:themeColor="text1"/>
          <w:lang w:val="en-US" w:eastAsia="zh-CN"/>
        </w:rPr>
      </w:pPr>
    </w:p>
    <w:p w14:paraId="0A118530" w14:textId="77777777" w:rsidR="00442E2E" w:rsidRPr="004E72CC" w:rsidRDefault="00442E2E" w:rsidP="008A0A74">
      <w:pPr>
        <w:snapToGrid w:val="0"/>
        <w:spacing w:line="360" w:lineRule="auto"/>
        <w:jc w:val="both"/>
        <w:rPr>
          <w:rFonts w:ascii="Book Antiqua" w:hAnsi="Book Antiqua" w:cs="Arial"/>
          <w:b/>
          <w:bCs/>
          <w:color w:val="000000" w:themeColor="text1"/>
          <w:lang w:val="en-US"/>
        </w:rPr>
      </w:pPr>
      <w:r w:rsidRPr="00F75508">
        <w:rPr>
          <w:rFonts w:ascii="Book Antiqua" w:hAnsi="Book Antiqua" w:cstheme="minorHAnsi"/>
          <w:noProof/>
          <w:color w:val="0070C0"/>
          <w:lang w:val="en-US" w:eastAsia="zh-CN"/>
        </w:rPr>
        <w:lastRenderedPageBreak/>
        <w:drawing>
          <wp:inline distT="0" distB="0" distL="0" distR="0" wp14:anchorId="57A89DCD" wp14:editId="7ABA9A1C">
            <wp:extent cx="5756910" cy="3296009"/>
            <wp:effectExtent l="0" t="0" r="1524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99966E" w14:textId="1A9A8FD4" w:rsidR="00437951" w:rsidRPr="00F75508" w:rsidRDefault="00442E2E" w:rsidP="00437951">
      <w:pPr>
        <w:snapToGrid w:val="0"/>
        <w:spacing w:line="360" w:lineRule="auto"/>
        <w:jc w:val="both"/>
        <w:rPr>
          <w:rFonts w:ascii="Book Antiqua" w:hAnsi="Book Antiqua" w:cs="Arial"/>
          <w:bCs/>
          <w:color w:val="000000" w:themeColor="text1"/>
          <w:lang w:val="en-US"/>
        </w:rPr>
      </w:pPr>
      <w:r w:rsidRPr="004E72CC">
        <w:rPr>
          <w:rFonts w:ascii="Book Antiqua" w:hAnsi="Book Antiqua" w:cs="Arial"/>
          <w:b/>
          <w:color w:val="000000" w:themeColor="text1"/>
          <w:lang w:val="en-US"/>
        </w:rPr>
        <w:t xml:space="preserve">Figure 1 Types of anemia seen in </w:t>
      </w:r>
      <w:r w:rsidR="00437951">
        <w:rPr>
          <w:rFonts w:ascii="Book Antiqua" w:hAnsi="Book Antiqua" w:cs="Arial"/>
          <w:b/>
          <w:color w:val="000000" w:themeColor="text1"/>
          <w:lang w:val="en-US"/>
        </w:rPr>
        <w:t>inflammatory bowel disease.</w:t>
      </w:r>
      <w:r w:rsidR="00437951" w:rsidRPr="00F75508">
        <w:rPr>
          <w:rFonts w:ascii="Book Antiqua" w:hAnsi="Book Antiqua" w:cs="Arial"/>
          <w:color w:val="000000" w:themeColor="text1"/>
          <w:lang w:val="en-US"/>
        </w:rPr>
        <w:t xml:space="preserve"> </w:t>
      </w:r>
      <w:r w:rsidR="00437951" w:rsidRPr="00F75508">
        <w:rPr>
          <w:rFonts w:ascii="Book Antiqua" w:hAnsi="Book Antiqua" w:cs="Arial"/>
          <w:bCs/>
          <w:color w:val="000000" w:themeColor="text1"/>
          <w:lang w:val="en-US"/>
        </w:rPr>
        <w:t xml:space="preserve">IBD: Inflammatory bowel disease; IDA: Iron deficiency anemia; CDA: Chronic disease anemia; UC: </w:t>
      </w:r>
      <w:r w:rsidR="000407FF">
        <w:rPr>
          <w:rFonts w:ascii="Book Antiqua" w:hAnsi="Book Antiqua" w:cs="Arial"/>
          <w:bCs/>
          <w:color w:val="000000" w:themeColor="text1"/>
          <w:lang w:val="en-US"/>
        </w:rPr>
        <w:t>U</w:t>
      </w:r>
      <w:r w:rsidR="00437951" w:rsidRPr="00F75508">
        <w:rPr>
          <w:rFonts w:ascii="Book Antiqua" w:hAnsi="Book Antiqua" w:cs="Arial"/>
          <w:bCs/>
          <w:color w:val="000000" w:themeColor="text1"/>
          <w:lang w:val="en-US"/>
        </w:rPr>
        <w:t>lcerative colitis</w:t>
      </w:r>
      <w:r w:rsidR="00437951">
        <w:rPr>
          <w:rFonts w:ascii="Book Antiqua" w:hAnsi="Book Antiqua" w:cs="Arial"/>
          <w:bCs/>
          <w:color w:val="000000" w:themeColor="text1"/>
          <w:lang w:val="en-US"/>
        </w:rPr>
        <w:t>.</w:t>
      </w:r>
    </w:p>
    <w:p w14:paraId="5D5C55CD" w14:textId="59A3CC20" w:rsidR="00650823" w:rsidRPr="007B7878" w:rsidRDefault="00437951" w:rsidP="008A0A74">
      <w:pPr>
        <w:snapToGrid w:val="0"/>
        <w:spacing w:line="360" w:lineRule="auto"/>
        <w:jc w:val="both"/>
        <w:rPr>
          <w:rFonts w:ascii="Book Antiqua" w:hAnsi="Book Antiqua" w:cs="Arial"/>
          <w:b/>
          <w:color w:val="000000" w:themeColor="text1"/>
          <w:lang w:val="en-US" w:eastAsia="zh-CN"/>
        </w:rPr>
      </w:pPr>
      <w:r w:rsidRPr="004E72CC">
        <w:rPr>
          <w:rFonts w:ascii="Book Antiqua" w:hAnsi="Book Antiqua" w:cs="Arial"/>
          <w:b/>
          <w:color w:val="000000" w:themeColor="text1"/>
          <w:lang w:val="en-US"/>
        </w:rPr>
        <w:t xml:space="preserve"> </w:t>
      </w:r>
    </w:p>
    <w:sectPr w:rsidR="00650823" w:rsidRPr="007B7878" w:rsidSect="00E878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96D3" w14:textId="77777777" w:rsidR="000506E4" w:rsidRDefault="000506E4" w:rsidP="005559AC">
      <w:r>
        <w:separator/>
      </w:r>
    </w:p>
  </w:endnote>
  <w:endnote w:type="continuationSeparator" w:id="0">
    <w:p w14:paraId="45012835" w14:textId="77777777" w:rsidR="000506E4" w:rsidRDefault="000506E4" w:rsidP="005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2FEA7" w14:textId="77777777" w:rsidR="000506E4" w:rsidRDefault="000506E4" w:rsidP="005559AC">
      <w:r>
        <w:separator/>
      </w:r>
    </w:p>
  </w:footnote>
  <w:footnote w:type="continuationSeparator" w:id="0">
    <w:p w14:paraId="4A301D28" w14:textId="77777777" w:rsidR="000506E4" w:rsidRDefault="000506E4" w:rsidP="00555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69A"/>
    <w:multiLevelType w:val="hybridMultilevel"/>
    <w:tmpl w:val="A2367E54"/>
    <w:lvl w:ilvl="0" w:tplc="EB1E5FC8">
      <w:start w:val="1"/>
      <w:numFmt w:val="bullet"/>
      <w:lvlText w:val="•"/>
      <w:lvlJc w:val="left"/>
      <w:pPr>
        <w:tabs>
          <w:tab w:val="num" w:pos="720"/>
        </w:tabs>
        <w:ind w:left="720" w:hanging="360"/>
      </w:pPr>
      <w:rPr>
        <w:rFonts w:ascii="Arial" w:hAnsi="Arial" w:hint="default"/>
      </w:rPr>
    </w:lvl>
    <w:lvl w:ilvl="1" w:tplc="0E7057D0" w:tentative="1">
      <w:start w:val="1"/>
      <w:numFmt w:val="bullet"/>
      <w:lvlText w:val="•"/>
      <w:lvlJc w:val="left"/>
      <w:pPr>
        <w:tabs>
          <w:tab w:val="num" w:pos="1440"/>
        </w:tabs>
        <w:ind w:left="1440" w:hanging="360"/>
      </w:pPr>
      <w:rPr>
        <w:rFonts w:ascii="Arial" w:hAnsi="Arial" w:hint="default"/>
      </w:rPr>
    </w:lvl>
    <w:lvl w:ilvl="2" w:tplc="2C6EEF3A" w:tentative="1">
      <w:start w:val="1"/>
      <w:numFmt w:val="bullet"/>
      <w:lvlText w:val="•"/>
      <w:lvlJc w:val="left"/>
      <w:pPr>
        <w:tabs>
          <w:tab w:val="num" w:pos="2160"/>
        </w:tabs>
        <w:ind w:left="2160" w:hanging="360"/>
      </w:pPr>
      <w:rPr>
        <w:rFonts w:ascii="Arial" w:hAnsi="Arial" w:hint="default"/>
      </w:rPr>
    </w:lvl>
    <w:lvl w:ilvl="3" w:tplc="13480A44" w:tentative="1">
      <w:start w:val="1"/>
      <w:numFmt w:val="bullet"/>
      <w:lvlText w:val="•"/>
      <w:lvlJc w:val="left"/>
      <w:pPr>
        <w:tabs>
          <w:tab w:val="num" w:pos="2880"/>
        </w:tabs>
        <w:ind w:left="2880" w:hanging="360"/>
      </w:pPr>
      <w:rPr>
        <w:rFonts w:ascii="Arial" w:hAnsi="Arial" w:hint="default"/>
      </w:rPr>
    </w:lvl>
    <w:lvl w:ilvl="4" w:tplc="389ABD18" w:tentative="1">
      <w:start w:val="1"/>
      <w:numFmt w:val="bullet"/>
      <w:lvlText w:val="•"/>
      <w:lvlJc w:val="left"/>
      <w:pPr>
        <w:tabs>
          <w:tab w:val="num" w:pos="3600"/>
        </w:tabs>
        <w:ind w:left="3600" w:hanging="360"/>
      </w:pPr>
      <w:rPr>
        <w:rFonts w:ascii="Arial" w:hAnsi="Arial" w:hint="default"/>
      </w:rPr>
    </w:lvl>
    <w:lvl w:ilvl="5" w:tplc="C3C4CCDA" w:tentative="1">
      <w:start w:val="1"/>
      <w:numFmt w:val="bullet"/>
      <w:lvlText w:val="•"/>
      <w:lvlJc w:val="left"/>
      <w:pPr>
        <w:tabs>
          <w:tab w:val="num" w:pos="4320"/>
        </w:tabs>
        <w:ind w:left="4320" w:hanging="360"/>
      </w:pPr>
      <w:rPr>
        <w:rFonts w:ascii="Arial" w:hAnsi="Arial" w:hint="default"/>
      </w:rPr>
    </w:lvl>
    <w:lvl w:ilvl="6" w:tplc="69E2781C" w:tentative="1">
      <w:start w:val="1"/>
      <w:numFmt w:val="bullet"/>
      <w:lvlText w:val="•"/>
      <w:lvlJc w:val="left"/>
      <w:pPr>
        <w:tabs>
          <w:tab w:val="num" w:pos="5040"/>
        </w:tabs>
        <w:ind w:left="5040" w:hanging="360"/>
      </w:pPr>
      <w:rPr>
        <w:rFonts w:ascii="Arial" w:hAnsi="Arial" w:hint="default"/>
      </w:rPr>
    </w:lvl>
    <w:lvl w:ilvl="7" w:tplc="3708AA54" w:tentative="1">
      <w:start w:val="1"/>
      <w:numFmt w:val="bullet"/>
      <w:lvlText w:val="•"/>
      <w:lvlJc w:val="left"/>
      <w:pPr>
        <w:tabs>
          <w:tab w:val="num" w:pos="5760"/>
        </w:tabs>
        <w:ind w:left="5760" w:hanging="360"/>
      </w:pPr>
      <w:rPr>
        <w:rFonts w:ascii="Arial" w:hAnsi="Arial" w:hint="default"/>
      </w:rPr>
    </w:lvl>
    <w:lvl w:ilvl="8" w:tplc="FA60DE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92AC4"/>
    <w:multiLevelType w:val="hybridMultilevel"/>
    <w:tmpl w:val="962EE838"/>
    <w:lvl w:ilvl="0" w:tplc="686A03BA">
      <w:start w:val="1"/>
      <w:numFmt w:val="bullet"/>
      <w:lvlText w:val="•"/>
      <w:lvlJc w:val="left"/>
      <w:pPr>
        <w:tabs>
          <w:tab w:val="num" w:pos="720"/>
        </w:tabs>
        <w:ind w:left="720" w:hanging="360"/>
      </w:pPr>
      <w:rPr>
        <w:rFonts w:ascii="Arial" w:hAnsi="Arial" w:hint="default"/>
      </w:rPr>
    </w:lvl>
    <w:lvl w:ilvl="1" w:tplc="4F9C94CA" w:tentative="1">
      <w:start w:val="1"/>
      <w:numFmt w:val="bullet"/>
      <w:lvlText w:val="•"/>
      <w:lvlJc w:val="left"/>
      <w:pPr>
        <w:tabs>
          <w:tab w:val="num" w:pos="1440"/>
        </w:tabs>
        <w:ind w:left="1440" w:hanging="360"/>
      </w:pPr>
      <w:rPr>
        <w:rFonts w:ascii="Arial" w:hAnsi="Arial" w:hint="default"/>
      </w:rPr>
    </w:lvl>
    <w:lvl w:ilvl="2" w:tplc="AAD2E5D8" w:tentative="1">
      <w:start w:val="1"/>
      <w:numFmt w:val="bullet"/>
      <w:lvlText w:val="•"/>
      <w:lvlJc w:val="left"/>
      <w:pPr>
        <w:tabs>
          <w:tab w:val="num" w:pos="2160"/>
        </w:tabs>
        <w:ind w:left="2160" w:hanging="360"/>
      </w:pPr>
      <w:rPr>
        <w:rFonts w:ascii="Arial" w:hAnsi="Arial" w:hint="default"/>
      </w:rPr>
    </w:lvl>
    <w:lvl w:ilvl="3" w:tplc="13E6B070" w:tentative="1">
      <w:start w:val="1"/>
      <w:numFmt w:val="bullet"/>
      <w:lvlText w:val="•"/>
      <w:lvlJc w:val="left"/>
      <w:pPr>
        <w:tabs>
          <w:tab w:val="num" w:pos="2880"/>
        </w:tabs>
        <w:ind w:left="2880" w:hanging="360"/>
      </w:pPr>
      <w:rPr>
        <w:rFonts w:ascii="Arial" w:hAnsi="Arial" w:hint="default"/>
      </w:rPr>
    </w:lvl>
    <w:lvl w:ilvl="4" w:tplc="5AE2294E" w:tentative="1">
      <w:start w:val="1"/>
      <w:numFmt w:val="bullet"/>
      <w:lvlText w:val="•"/>
      <w:lvlJc w:val="left"/>
      <w:pPr>
        <w:tabs>
          <w:tab w:val="num" w:pos="3600"/>
        </w:tabs>
        <w:ind w:left="3600" w:hanging="360"/>
      </w:pPr>
      <w:rPr>
        <w:rFonts w:ascii="Arial" w:hAnsi="Arial" w:hint="default"/>
      </w:rPr>
    </w:lvl>
    <w:lvl w:ilvl="5" w:tplc="0F823DB8" w:tentative="1">
      <w:start w:val="1"/>
      <w:numFmt w:val="bullet"/>
      <w:lvlText w:val="•"/>
      <w:lvlJc w:val="left"/>
      <w:pPr>
        <w:tabs>
          <w:tab w:val="num" w:pos="4320"/>
        </w:tabs>
        <w:ind w:left="4320" w:hanging="360"/>
      </w:pPr>
      <w:rPr>
        <w:rFonts w:ascii="Arial" w:hAnsi="Arial" w:hint="default"/>
      </w:rPr>
    </w:lvl>
    <w:lvl w:ilvl="6" w:tplc="1DA22446" w:tentative="1">
      <w:start w:val="1"/>
      <w:numFmt w:val="bullet"/>
      <w:lvlText w:val="•"/>
      <w:lvlJc w:val="left"/>
      <w:pPr>
        <w:tabs>
          <w:tab w:val="num" w:pos="5040"/>
        </w:tabs>
        <w:ind w:left="5040" w:hanging="360"/>
      </w:pPr>
      <w:rPr>
        <w:rFonts w:ascii="Arial" w:hAnsi="Arial" w:hint="default"/>
      </w:rPr>
    </w:lvl>
    <w:lvl w:ilvl="7" w:tplc="17509FD4" w:tentative="1">
      <w:start w:val="1"/>
      <w:numFmt w:val="bullet"/>
      <w:lvlText w:val="•"/>
      <w:lvlJc w:val="left"/>
      <w:pPr>
        <w:tabs>
          <w:tab w:val="num" w:pos="5760"/>
        </w:tabs>
        <w:ind w:left="5760" w:hanging="360"/>
      </w:pPr>
      <w:rPr>
        <w:rFonts w:ascii="Arial" w:hAnsi="Arial" w:hint="default"/>
      </w:rPr>
    </w:lvl>
    <w:lvl w:ilvl="8" w:tplc="090424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F1287"/>
    <w:multiLevelType w:val="hybridMultilevel"/>
    <w:tmpl w:val="E416D496"/>
    <w:lvl w:ilvl="0" w:tplc="102E0E4E">
      <w:start w:val="1"/>
      <w:numFmt w:val="bullet"/>
      <w:lvlText w:val="•"/>
      <w:lvlJc w:val="left"/>
      <w:pPr>
        <w:tabs>
          <w:tab w:val="num" w:pos="720"/>
        </w:tabs>
        <w:ind w:left="720" w:hanging="360"/>
      </w:pPr>
      <w:rPr>
        <w:rFonts w:ascii="Arial" w:hAnsi="Arial" w:hint="default"/>
      </w:rPr>
    </w:lvl>
    <w:lvl w:ilvl="1" w:tplc="46F450BA" w:tentative="1">
      <w:start w:val="1"/>
      <w:numFmt w:val="bullet"/>
      <w:lvlText w:val="•"/>
      <w:lvlJc w:val="left"/>
      <w:pPr>
        <w:tabs>
          <w:tab w:val="num" w:pos="1440"/>
        </w:tabs>
        <w:ind w:left="1440" w:hanging="360"/>
      </w:pPr>
      <w:rPr>
        <w:rFonts w:ascii="Arial" w:hAnsi="Arial" w:hint="default"/>
      </w:rPr>
    </w:lvl>
    <w:lvl w:ilvl="2" w:tplc="80F4B39C" w:tentative="1">
      <w:start w:val="1"/>
      <w:numFmt w:val="bullet"/>
      <w:lvlText w:val="•"/>
      <w:lvlJc w:val="left"/>
      <w:pPr>
        <w:tabs>
          <w:tab w:val="num" w:pos="2160"/>
        </w:tabs>
        <w:ind w:left="2160" w:hanging="360"/>
      </w:pPr>
      <w:rPr>
        <w:rFonts w:ascii="Arial" w:hAnsi="Arial" w:hint="default"/>
      </w:rPr>
    </w:lvl>
    <w:lvl w:ilvl="3" w:tplc="F4CE085C" w:tentative="1">
      <w:start w:val="1"/>
      <w:numFmt w:val="bullet"/>
      <w:lvlText w:val="•"/>
      <w:lvlJc w:val="left"/>
      <w:pPr>
        <w:tabs>
          <w:tab w:val="num" w:pos="2880"/>
        </w:tabs>
        <w:ind w:left="2880" w:hanging="360"/>
      </w:pPr>
      <w:rPr>
        <w:rFonts w:ascii="Arial" w:hAnsi="Arial" w:hint="default"/>
      </w:rPr>
    </w:lvl>
    <w:lvl w:ilvl="4" w:tplc="0CFEAFEA" w:tentative="1">
      <w:start w:val="1"/>
      <w:numFmt w:val="bullet"/>
      <w:lvlText w:val="•"/>
      <w:lvlJc w:val="left"/>
      <w:pPr>
        <w:tabs>
          <w:tab w:val="num" w:pos="3600"/>
        </w:tabs>
        <w:ind w:left="3600" w:hanging="360"/>
      </w:pPr>
      <w:rPr>
        <w:rFonts w:ascii="Arial" w:hAnsi="Arial" w:hint="default"/>
      </w:rPr>
    </w:lvl>
    <w:lvl w:ilvl="5" w:tplc="482C250A" w:tentative="1">
      <w:start w:val="1"/>
      <w:numFmt w:val="bullet"/>
      <w:lvlText w:val="•"/>
      <w:lvlJc w:val="left"/>
      <w:pPr>
        <w:tabs>
          <w:tab w:val="num" w:pos="4320"/>
        </w:tabs>
        <w:ind w:left="4320" w:hanging="360"/>
      </w:pPr>
      <w:rPr>
        <w:rFonts w:ascii="Arial" w:hAnsi="Arial" w:hint="default"/>
      </w:rPr>
    </w:lvl>
    <w:lvl w:ilvl="6" w:tplc="4BE87FF0" w:tentative="1">
      <w:start w:val="1"/>
      <w:numFmt w:val="bullet"/>
      <w:lvlText w:val="•"/>
      <w:lvlJc w:val="left"/>
      <w:pPr>
        <w:tabs>
          <w:tab w:val="num" w:pos="5040"/>
        </w:tabs>
        <w:ind w:left="5040" w:hanging="360"/>
      </w:pPr>
      <w:rPr>
        <w:rFonts w:ascii="Arial" w:hAnsi="Arial" w:hint="default"/>
      </w:rPr>
    </w:lvl>
    <w:lvl w:ilvl="7" w:tplc="AF68B5E8" w:tentative="1">
      <w:start w:val="1"/>
      <w:numFmt w:val="bullet"/>
      <w:lvlText w:val="•"/>
      <w:lvlJc w:val="left"/>
      <w:pPr>
        <w:tabs>
          <w:tab w:val="num" w:pos="5760"/>
        </w:tabs>
        <w:ind w:left="5760" w:hanging="360"/>
      </w:pPr>
      <w:rPr>
        <w:rFonts w:ascii="Arial" w:hAnsi="Arial" w:hint="default"/>
      </w:rPr>
    </w:lvl>
    <w:lvl w:ilvl="8" w:tplc="015EA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AD290C"/>
    <w:multiLevelType w:val="hybridMultilevel"/>
    <w:tmpl w:val="DF6A6E0A"/>
    <w:lvl w:ilvl="0" w:tplc="FB80FA8E">
      <w:start w:val="1"/>
      <w:numFmt w:val="bullet"/>
      <w:lvlText w:val="•"/>
      <w:lvlJc w:val="left"/>
      <w:pPr>
        <w:tabs>
          <w:tab w:val="num" w:pos="720"/>
        </w:tabs>
        <w:ind w:left="720" w:hanging="360"/>
      </w:pPr>
      <w:rPr>
        <w:rFonts w:ascii="Arial" w:hAnsi="Arial" w:hint="default"/>
      </w:rPr>
    </w:lvl>
    <w:lvl w:ilvl="1" w:tplc="E04205B2" w:tentative="1">
      <w:start w:val="1"/>
      <w:numFmt w:val="bullet"/>
      <w:lvlText w:val="•"/>
      <w:lvlJc w:val="left"/>
      <w:pPr>
        <w:tabs>
          <w:tab w:val="num" w:pos="1440"/>
        </w:tabs>
        <w:ind w:left="1440" w:hanging="360"/>
      </w:pPr>
      <w:rPr>
        <w:rFonts w:ascii="Arial" w:hAnsi="Arial" w:hint="default"/>
      </w:rPr>
    </w:lvl>
    <w:lvl w:ilvl="2" w:tplc="D4AC7C22" w:tentative="1">
      <w:start w:val="1"/>
      <w:numFmt w:val="bullet"/>
      <w:lvlText w:val="•"/>
      <w:lvlJc w:val="left"/>
      <w:pPr>
        <w:tabs>
          <w:tab w:val="num" w:pos="2160"/>
        </w:tabs>
        <w:ind w:left="2160" w:hanging="360"/>
      </w:pPr>
      <w:rPr>
        <w:rFonts w:ascii="Arial" w:hAnsi="Arial" w:hint="default"/>
      </w:rPr>
    </w:lvl>
    <w:lvl w:ilvl="3" w:tplc="C90443D6" w:tentative="1">
      <w:start w:val="1"/>
      <w:numFmt w:val="bullet"/>
      <w:lvlText w:val="•"/>
      <w:lvlJc w:val="left"/>
      <w:pPr>
        <w:tabs>
          <w:tab w:val="num" w:pos="2880"/>
        </w:tabs>
        <w:ind w:left="2880" w:hanging="360"/>
      </w:pPr>
      <w:rPr>
        <w:rFonts w:ascii="Arial" w:hAnsi="Arial" w:hint="default"/>
      </w:rPr>
    </w:lvl>
    <w:lvl w:ilvl="4" w:tplc="D472B586" w:tentative="1">
      <w:start w:val="1"/>
      <w:numFmt w:val="bullet"/>
      <w:lvlText w:val="•"/>
      <w:lvlJc w:val="left"/>
      <w:pPr>
        <w:tabs>
          <w:tab w:val="num" w:pos="3600"/>
        </w:tabs>
        <w:ind w:left="3600" w:hanging="360"/>
      </w:pPr>
      <w:rPr>
        <w:rFonts w:ascii="Arial" w:hAnsi="Arial" w:hint="default"/>
      </w:rPr>
    </w:lvl>
    <w:lvl w:ilvl="5" w:tplc="50006D06" w:tentative="1">
      <w:start w:val="1"/>
      <w:numFmt w:val="bullet"/>
      <w:lvlText w:val="•"/>
      <w:lvlJc w:val="left"/>
      <w:pPr>
        <w:tabs>
          <w:tab w:val="num" w:pos="4320"/>
        </w:tabs>
        <w:ind w:left="4320" w:hanging="360"/>
      </w:pPr>
      <w:rPr>
        <w:rFonts w:ascii="Arial" w:hAnsi="Arial" w:hint="default"/>
      </w:rPr>
    </w:lvl>
    <w:lvl w:ilvl="6" w:tplc="EC9A4FAA" w:tentative="1">
      <w:start w:val="1"/>
      <w:numFmt w:val="bullet"/>
      <w:lvlText w:val="•"/>
      <w:lvlJc w:val="left"/>
      <w:pPr>
        <w:tabs>
          <w:tab w:val="num" w:pos="5040"/>
        </w:tabs>
        <w:ind w:left="5040" w:hanging="360"/>
      </w:pPr>
      <w:rPr>
        <w:rFonts w:ascii="Arial" w:hAnsi="Arial" w:hint="default"/>
      </w:rPr>
    </w:lvl>
    <w:lvl w:ilvl="7" w:tplc="C74428C2" w:tentative="1">
      <w:start w:val="1"/>
      <w:numFmt w:val="bullet"/>
      <w:lvlText w:val="•"/>
      <w:lvlJc w:val="left"/>
      <w:pPr>
        <w:tabs>
          <w:tab w:val="num" w:pos="5760"/>
        </w:tabs>
        <w:ind w:left="5760" w:hanging="360"/>
      </w:pPr>
      <w:rPr>
        <w:rFonts w:ascii="Arial" w:hAnsi="Arial" w:hint="default"/>
      </w:rPr>
    </w:lvl>
    <w:lvl w:ilvl="8" w:tplc="DF8A65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F078CC"/>
    <w:multiLevelType w:val="hybridMultilevel"/>
    <w:tmpl w:val="1514FEBC"/>
    <w:lvl w:ilvl="0" w:tplc="F91C699C">
      <w:start w:val="1"/>
      <w:numFmt w:val="bullet"/>
      <w:lvlText w:val="•"/>
      <w:lvlJc w:val="left"/>
      <w:pPr>
        <w:tabs>
          <w:tab w:val="num" w:pos="720"/>
        </w:tabs>
        <w:ind w:left="720" w:hanging="360"/>
      </w:pPr>
      <w:rPr>
        <w:rFonts w:ascii="Arial" w:hAnsi="Arial" w:hint="default"/>
      </w:rPr>
    </w:lvl>
    <w:lvl w:ilvl="1" w:tplc="0E1CB482" w:tentative="1">
      <w:start w:val="1"/>
      <w:numFmt w:val="bullet"/>
      <w:lvlText w:val="•"/>
      <w:lvlJc w:val="left"/>
      <w:pPr>
        <w:tabs>
          <w:tab w:val="num" w:pos="1440"/>
        </w:tabs>
        <w:ind w:left="1440" w:hanging="360"/>
      </w:pPr>
      <w:rPr>
        <w:rFonts w:ascii="Arial" w:hAnsi="Arial" w:hint="default"/>
      </w:rPr>
    </w:lvl>
    <w:lvl w:ilvl="2" w:tplc="923A4328" w:tentative="1">
      <w:start w:val="1"/>
      <w:numFmt w:val="bullet"/>
      <w:lvlText w:val="•"/>
      <w:lvlJc w:val="left"/>
      <w:pPr>
        <w:tabs>
          <w:tab w:val="num" w:pos="2160"/>
        </w:tabs>
        <w:ind w:left="2160" w:hanging="360"/>
      </w:pPr>
      <w:rPr>
        <w:rFonts w:ascii="Arial" w:hAnsi="Arial" w:hint="default"/>
      </w:rPr>
    </w:lvl>
    <w:lvl w:ilvl="3" w:tplc="B4662E06" w:tentative="1">
      <w:start w:val="1"/>
      <w:numFmt w:val="bullet"/>
      <w:lvlText w:val="•"/>
      <w:lvlJc w:val="left"/>
      <w:pPr>
        <w:tabs>
          <w:tab w:val="num" w:pos="2880"/>
        </w:tabs>
        <w:ind w:left="2880" w:hanging="360"/>
      </w:pPr>
      <w:rPr>
        <w:rFonts w:ascii="Arial" w:hAnsi="Arial" w:hint="default"/>
      </w:rPr>
    </w:lvl>
    <w:lvl w:ilvl="4" w:tplc="06D6B678" w:tentative="1">
      <w:start w:val="1"/>
      <w:numFmt w:val="bullet"/>
      <w:lvlText w:val="•"/>
      <w:lvlJc w:val="left"/>
      <w:pPr>
        <w:tabs>
          <w:tab w:val="num" w:pos="3600"/>
        </w:tabs>
        <w:ind w:left="3600" w:hanging="360"/>
      </w:pPr>
      <w:rPr>
        <w:rFonts w:ascii="Arial" w:hAnsi="Arial" w:hint="default"/>
      </w:rPr>
    </w:lvl>
    <w:lvl w:ilvl="5" w:tplc="A7088DF8" w:tentative="1">
      <w:start w:val="1"/>
      <w:numFmt w:val="bullet"/>
      <w:lvlText w:val="•"/>
      <w:lvlJc w:val="left"/>
      <w:pPr>
        <w:tabs>
          <w:tab w:val="num" w:pos="4320"/>
        </w:tabs>
        <w:ind w:left="4320" w:hanging="360"/>
      </w:pPr>
      <w:rPr>
        <w:rFonts w:ascii="Arial" w:hAnsi="Arial" w:hint="default"/>
      </w:rPr>
    </w:lvl>
    <w:lvl w:ilvl="6" w:tplc="09C8A8DC" w:tentative="1">
      <w:start w:val="1"/>
      <w:numFmt w:val="bullet"/>
      <w:lvlText w:val="•"/>
      <w:lvlJc w:val="left"/>
      <w:pPr>
        <w:tabs>
          <w:tab w:val="num" w:pos="5040"/>
        </w:tabs>
        <w:ind w:left="5040" w:hanging="360"/>
      </w:pPr>
      <w:rPr>
        <w:rFonts w:ascii="Arial" w:hAnsi="Arial" w:hint="default"/>
      </w:rPr>
    </w:lvl>
    <w:lvl w:ilvl="7" w:tplc="9D904BBC" w:tentative="1">
      <w:start w:val="1"/>
      <w:numFmt w:val="bullet"/>
      <w:lvlText w:val="•"/>
      <w:lvlJc w:val="left"/>
      <w:pPr>
        <w:tabs>
          <w:tab w:val="num" w:pos="5760"/>
        </w:tabs>
        <w:ind w:left="5760" w:hanging="360"/>
      </w:pPr>
      <w:rPr>
        <w:rFonts w:ascii="Arial" w:hAnsi="Arial" w:hint="default"/>
      </w:rPr>
    </w:lvl>
    <w:lvl w:ilvl="8" w:tplc="046056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A10233"/>
    <w:multiLevelType w:val="hybridMultilevel"/>
    <w:tmpl w:val="0E841B1C"/>
    <w:lvl w:ilvl="0" w:tplc="4BE02FF0">
      <w:start w:val="1"/>
      <w:numFmt w:val="bullet"/>
      <w:lvlText w:val="•"/>
      <w:lvlJc w:val="left"/>
      <w:pPr>
        <w:tabs>
          <w:tab w:val="num" w:pos="720"/>
        </w:tabs>
        <w:ind w:left="720" w:hanging="360"/>
      </w:pPr>
      <w:rPr>
        <w:rFonts w:ascii="Arial" w:hAnsi="Arial" w:hint="default"/>
      </w:rPr>
    </w:lvl>
    <w:lvl w:ilvl="1" w:tplc="665AEDD2" w:tentative="1">
      <w:start w:val="1"/>
      <w:numFmt w:val="bullet"/>
      <w:lvlText w:val="•"/>
      <w:lvlJc w:val="left"/>
      <w:pPr>
        <w:tabs>
          <w:tab w:val="num" w:pos="1440"/>
        </w:tabs>
        <w:ind w:left="1440" w:hanging="360"/>
      </w:pPr>
      <w:rPr>
        <w:rFonts w:ascii="Arial" w:hAnsi="Arial" w:hint="default"/>
      </w:rPr>
    </w:lvl>
    <w:lvl w:ilvl="2" w:tplc="1CCC2B4C" w:tentative="1">
      <w:start w:val="1"/>
      <w:numFmt w:val="bullet"/>
      <w:lvlText w:val="•"/>
      <w:lvlJc w:val="left"/>
      <w:pPr>
        <w:tabs>
          <w:tab w:val="num" w:pos="2160"/>
        </w:tabs>
        <w:ind w:left="2160" w:hanging="360"/>
      </w:pPr>
      <w:rPr>
        <w:rFonts w:ascii="Arial" w:hAnsi="Arial" w:hint="default"/>
      </w:rPr>
    </w:lvl>
    <w:lvl w:ilvl="3" w:tplc="672ED83C" w:tentative="1">
      <w:start w:val="1"/>
      <w:numFmt w:val="bullet"/>
      <w:lvlText w:val="•"/>
      <w:lvlJc w:val="left"/>
      <w:pPr>
        <w:tabs>
          <w:tab w:val="num" w:pos="2880"/>
        </w:tabs>
        <w:ind w:left="2880" w:hanging="360"/>
      </w:pPr>
      <w:rPr>
        <w:rFonts w:ascii="Arial" w:hAnsi="Arial" w:hint="default"/>
      </w:rPr>
    </w:lvl>
    <w:lvl w:ilvl="4" w:tplc="2B84D5EE" w:tentative="1">
      <w:start w:val="1"/>
      <w:numFmt w:val="bullet"/>
      <w:lvlText w:val="•"/>
      <w:lvlJc w:val="left"/>
      <w:pPr>
        <w:tabs>
          <w:tab w:val="num" w:pos="3600"/>
        </w:tabs>
        <w:ind w:left="3600" w:hanging="360"/>
      </w:pPr>
      <w:rPr>
        <w:rFonts w:ascii="Arial" w:hAnsi="Arial" w:hint="default"/>
      </w:rPr>
    </w:lvl>
    <w:lvl w:ilvl="5" w:tplc="9404078E" w:tentative="1">
      <w:start w:val="1"/>
      <w:numFmt w:val="bullet"/>
      <w:lvlText w:val="•"/>
      <w:lvlJc w:val="left"/>
      <w:pPr>
        <w:tabs>
          <w:tab w:val="num" w:pos="4320"/>
        </w:tabs>
        <w:ind w:left="4320" w:hanging="360"/>
      </w:pPr>
      <w:rPr>
        <w:rFonts w:ascii="Arial" w:hAnsi="Arial" w:hint="default"/>
      </w:rPr>
    </w:lvl>
    <w:lvl w:ilvl="6" w:tplc="2D14C546" w:tentative="1">
      <w:start w:val="1"/>
      <w:numFmt w:val="bullet"/>
      <w:lvlText w:val="•"/>
      <w:lvlJc w:val="left"/>
      <w:pPr>
        <w:tabs>
          <w:tab w:val="num" w:pos="5040"/>
        </w:tabs>
        <w:ind w:left="5040" w:hanging="360"/>
      </w:pPr>
      <w:rPr>
        <w:rFonts w:ascii="Arial" w:hAnsi="Arial" w:hint="default"/>
      </w:rPr>
    </w:lvl>
    <w:lvl w:ilvl="7" w:tplc="832A7140" w:tentative="1">
      <w:start w:val="1"/>
      <w:numFmt w:val="bullet"/>
      <w:lvlText w:val="•"/>
      <w:lvlJc w:val="left"/>
      <w:pPr>
        <w:tabs>
          <w:tab w:val="num" w:pos="5760"/>
        </w:tabs>
        <w:ind w:left="5760" w:hanging="360"/>
      </w:pPr>
      <w:rPr>
        <w:rFonts w:ascii="Arial" w:hAnsi="Arial" w:hint="default"/>
      </w:rPr>
    </w:lvl>
    <w:lvl w:ilvl="8" w:tplc="3528D1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F11F1D"/>
    <w:multiLevelType w:val="hybridMultilevel"/>
    <w:tmpl w:val="90EAE77E"/>
    <w:lvl w:ilvl="0" w:tplc="92CABDD6">
      <w:start w:val="1"/>
      <w:numFmt w:val="bullet"/>
      <w:lvlText w:val="•"/>
      <w:lvlJc w:val="left"/>
      <w:pPr>
        <w:tabs>
          <w:tab w:val="num" w:pos="720"/>
        </w:tabs>
        <w:ind w:left="720" w:hanging="360"/>
      </w:pPr>
      <w:rPr>
        <w:rFonts w:ascii="Arial" w:hAnsi="Arial" w:hint="default"/>
      </w:rPr>
    </w:lvl>
    <w:lvl w:ilvl="1" w:tplc="404C2438" w:tentative="1">
      <w:start w:val="1"/>
      <w:numFmt w:val="bullet"/>
      <w:lvlText w:val="•"/>
      <w:lvlJc w:val="left"/>
      <w:pPr>
        <w:tabs>
          <w:tab w:val="num" w:pos="1440"/>
        </w:tabs>
        <w:ind w:left="1440" w:hanging="360"/>
      </w:pPr>
      <w:rPr>
        <w:rFonts w:ascii="Arial" w:hAnsi="Arial" w:hint="default"/>
      </w:rPr>
    </w:lvl>
    <w:lvl w:ilvl="2" w:tplc="F6804310" w:tentative="1">
      <w:start w:val="1"/>
      <w:numFmt w:val="bullet"/>
      <w:lvlText w:val="•"/>
      <w:lvlJc w:val="left"/>
      <w:pPr>
        <w:tabs>
          <w:tab w:val="num" w:pos="2160"/>
        </w:tabs>
        <w:ind w:left="2160" w:hanging="360"/>
      </w:pPr>
      <w:rPr>
        <w:rFonts w:ascii="Arial" w:hAnsi="Arial" w:hint="default"/>
      </w:rPr>
    </w:lvl>
    <w:lvl w:ilvl="3" w:tplc="3F1C79EC" w:tentative="1">
      <w:start w:val="1"/>
      <w:numFmt w:val="bullet"/>
      <w:lvlText w:val="•"/>
      <w:lvlJc w:val="left"/>
      <w:pPr>
        <w:tabs>
          <w:tab w:val="num" w:pos="2880"/>
        </w:tabs>
        <w:ind w:left="2880" w:hanging="360"/>
      </w:pPr>
      <w:rPr>
        <w:rFonts w:ascii="Arial" w:hAnsi="Arial" w:hint="default"/>
      </w:rPr>
    </w:lvl>
    <w:lvl w:ilvl="4" w:tplc="BD166FB4" w:tentative="1">
      <w:start w:val="1"/>
      <w:numFmt w:val="bullet"/>
      <w:lvlText w:val="•"/>
      <w:lvlJc w:val="left"/>
      <w:pPr>
        <w:tabs>
          <w:tab w:val="num" w:pos="3600"/>
        </w:tabs>
        <w:ind w:left="3600" w:hanging="360"/>
      </w:pPr>
      <w:rPr>
        <w:rFonts w:ascii="Arial" w:hAnsi="Arial" w:hint="default"/>
      </w:rPr>
    </w:lvl>
    <w:lvl w:ilvl="5" w:tplc="D7DA52BC" w:tentative="1">
      <w:start w:val="1"/>
      <w:numFmt w:val="bullet"/>
      <w:lvlText w:val="•"/>
      <w:lvlJc w:val="left"/>
      <w:pPr>
        <w:tabs>
          <w:tab w:val="num" w:pos="4320"/>
        </w:tabs>
        <w:ind w:left="4320" w:hanging="360"/>
      </w:pPr>
      <w:rPr>
        <w:rFonts w:ascii="Arial" w:hAnsi="Arial" w:hint="default"/>
      </w:rPr>
    </w:lvl>
    <w:lvl w:ilvl="6" w:tplc="619ACA76" w:tentative="1">
      <w:start w:val="1"/>
      <w:numFmt w:val="bullet"/>
      <w:lvlText w:val="•"/>
      <w:lvlJc w:val="left"/>
      <w:pPr>
        <w:tabs>
          <w:tab w:val="num" w:pos="5040"/>
        </w:tabs>
        <w:ind w:left="5040" w:hanging="360"/>
      </w:pPr>
      <w:rPr>
        <w:rFonts w:ascii="Arial" w:hAnsi="Arial" w:hint="default"/>
      </w:rPr>
    </w:lvl>
    <w:lvl w:ilvl="7" w:tplc="98EABB02" w:tentative="1">
      <w:start w:val="1"/>
      <w:numFmt w:val="bullet"/>
      <w:lvlText w:val="•"/>
      <w:lvlJc w:val="left"/>
      <w:pPr>
        <w:tabs>
          <w:tab w:val="num" w:pos="5760"/>
        </w:tabs>
        <w:ind w:left="5760" w:hanging="360"/>
      </w:pPr>
      <w:rPr>
        <w:rFonts w:ascii="Arial" w:hAnsi="Arial" w:hint="default"/>
      </w:rPr>
    </w:lvl>
    <w:lvl w:ilvl="8" w:tplc="C26ADC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690DDF"/>
    <w:multiLevelType w:val="hybridMultilevel"/>
    <w:tmpl w:val="A8CAE67E"/>
    <w:lvl w:ilvl="0" w:tplc="FA44B95A">
      <w:start w:val="1"/>
      <w:numFmt w:val="bullet"/>
      <w:lvlText w:val="•"/>
      <w:lvlJc w:val="left"/>
      <w:pPr>
        <w:tabs>
          <w:tab w:val="num" w:pos="720"/>
        </w:tabs>
        <w:ind w:left="720" w:hanging="360"/>
      </w:pPr>
      <w:rPr>
        <w:rFonts w:ascii="Arial" w:hAnsi="Arial" w:hint="default"/>
      </w:rPr>
    </w:lvl>
    <w:lvl w:ilvl="1" w:tplc="6602F07C" w:tentative="1">
      <w:start w:val="1"/>
      <w:numFmt w:val="bullet"/>
      <w:lvlText w:val="•"/>
      <w:lvlJc w:val="left"/>
      <w:pPr>
        <w:tabs>
          <w:tab w:val="num" w:pos="1440"/>
        </w:tabs>
        <w:ind w:left="1440" w:hanging="360"/>
      </w:pPr>
      <w:rPr>
        <w:rFonts w:ascii="Arial" w:hAnsi="Arial" w:hint="default"/>
      </w:rPr>
    </w:lvl>
    <w:lvl w:ilvl="2" w:tplc="6EBA5C50" w:tentative="1">
      <w:start w:val="1"/>
      <w:numFmt w:val="bullet"/>
      <w:lvlText w:val="•"/>
      <w:lvlJc w:val="left"/>
      <w:pPr>
        <w:tabs>
          <w:tab w:val="num" w:pos="2160"/>
        </w:tabs>
        <w:ind w:left="2160" w:hanging="360"/>
      </w:pPr>
      <w:rPr>
        <w:rFonts w:ascii="Arial" w:hAnsi="Arial" w:hint="default"/>
      </w:rPr>
    </w:lvl>
    <w:lvl w:ilvl="3" w:tplc="D2E41C20" w:tentative="1">
      <w:start w:val="1"/>
      <w:numFmt w:val="bullet"/>
      <w:lvlText w:val="•"/>
      <w:lvlJc w:val="left"/>
      <w:pPr>
        <w:tabs>
          <w:tab w:val="num" w:pos="2880"/>
        </w:tabs>
        <w:ind w:left="2880" w:hanging="360"/>
      </w:pPr>
      <w:rPr>
        <w:rFonts w:ascii="Arial" w:hAnsi="Arial" w:hint="default"/>
      </w:rPr>
    </w:lvl>
    <w:lvl w:ilvl="4" w:tplc="5DC84B0A" w:tentative="1">
      <w:start w:val="1"/>
      <w:numFmt w:val="bullet"/>
      <w:lvlText w:val="•"/>
      <w:lvlJc w:val="left"/>
      <w:pPr>
        <w:tabs>
          <w:tab w:val="num" w:pos="3600"/>
        </w:tabs>
        <w:ind w:left="3600" w:hanging="360"/>
      </w:pPr>
      <w:rPr>
        <w:rFonts w:ascii="Arial" w:hAnsi="Arial" w:hint="default"/>
      </w:rPr>
    </w:lvl>
    <w:lvl w:ilvl="5" w:tplc="55F2866E" w:tentative="1">
      <w:start w:val="1"/>
      <w:numFmt w:val="bullet"/>
      <w:lvlText w:val="•"/>
      <w:lvlJc w:val="left"/>
      <w:pPr>
        <w:tabs>
          <w:tab w:val="num" w:pos="4320"/>
        </w:tabs>
        <w:ind w:left="4320" w:hanging="360"/>
      </w:pPr>
      <w:rPr>
        <w:rFonts w:ascii="Arial" w:hAnsi="Arial" w:hint="default"/>
      </w:rPr>
    </w:lvl>
    <w:lvl w:ilvl="6" w:tplc="A90CE35A" w:tentative="1">
      <w:start w:val="1"/>
      <w:numFmt w:val="bullet"/>
      <w:lvlText w:val="•"/>
      <w:lvlJc w:val="left"/>
      <w:pPr>
        <w:tabs>
          <w:tab w:val="num" w:pos="5040"/>
        </w:tabs>
        <w:ind w:left="5040" w:hanging="360"/>
      </w:pPr>
      <w:rPr>
        <w:rFonts w:ascii="Arial" w:hAnsi="Arial" w:hint="default"/>
      </w:rPr>
    </w:lvl>
    <w:lvl w:ilvl="7" w:tplc="860C1FFE" w:tentative="1">
      <w:start w:val="1"/>
      <w:numFmt w:val="bullet"/>
      <w:lvlText w:val="•"/>
      <w:lvlJc w:val="left"/>
      <w:pPr>
        <w:tabs>
          <w:tab w:val="num" w:pos="5760"/>
        </w:tabs>
        <w:ind w:left="5760" w:hanging="360"/>
      </w:pPr>
      <w:rPr>
        <w:rFonts w:ascii="Arial" w:hAnsi="Arial" w:hint="default"/>
      </w:rPr>
    </w:lvl>
    <w:lvl w:ilvl="8" w:tplc="D06C51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2A148A"/>
    <w:multiLevelType w:val="hybridMultilevel"/>
    <w:tmpl w:val="F96EADF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A9486A"/>
    <w:multiLevelType w:val="hybridMultilevel"/>
    <w:tmpl w:val="8F30C8FE"/>
    <w:lvl w:ilvl="0" w:tplc="470C2D12">
      <w:start w:val="1"/>
      <w:numFmt w:val="bullet"/>
      <w:lvlText w:val="•"/>
      <w:lvlJc w:val="left"/>
      <w:pPr>
        <w:tabs>
          <w:tab w:val="num" w:pos="720"/>
        </w:tabs>
        <w:ind w:left="720" w:hanging="360"/>
      </w:pPr>
      <w:rPr>
        <w:rFonts w:ascii="Arial" w:hAnsi="Arial" w:hint="default"/>
      </w:rPr>
    </w:lvl>
    <w:lvl w:ilvl="1" w:tplc="7E422E36" w:tentative="1">
      <w:start w:val="1"/>
      <w:numFmt w:val="bullet"/>
      <w:lvlText w:val="•"/>
      <w:lvlJc w:val="left"/>
      <w:pPr>
        <w:tabs>
          <w:tab w:val="num" w:pos="1440"/>
        </w:tabs>
        <w:ind w:left="1440" w:hanging="360"/>
      </w:pPr>
      <w:rPr>
        <w:rFonts w:ascii="Arial" w:hAnsi="Arial" w:hint="default"/>
      </w:rPr>
    </w:lvl>
    <w:lvl w:ilvl="2" w:tplc="4F18A742" w:tentative="1">
      <w:start w:val="1"/>
      <w:numFmt w:val="bullet"/>
      <w:lvlText w:val="•"/>
      <w:lvlJc w:val="left"/>
      <w:pPr>
        <w:tabs>
          <w:tab w:val="num" w:pos="2160"/>
        </w:tabs>
        <w:ind w:left="2160" w:hanging="360"/>
      </w:pPr>
      <w:rPr>
        <w:rFonts w:ascii="Arial" w:hAnsi="Arial" w:hint="default"/>
      </w:rPr>
    </w:lvl>
    <w:lvl w:ilvl="3" w:tplc="246C9F92" w:tentative="1">
      <w:start w:val="1"/>
      <w:numFmt w:val="bullet"/>
      <w:lvlText w:val="•"/>
      <w:lvlJc w:val="left"/>
      <w:pPr>
        <w:tabs>
          <w:tab w:val="num" w:pos="2880"/>
        </w:tabs>
        <w:ind w:left="2880" w:hanging="360"/>
      </w:pPr>
      <w:rPr>
        <w:rFonts w:ascii="Arial" w:hAnsi="Arial" w:hint="default"/>
      </w:rPr>
    </w:lvl>
    <w:lvl w:ilvl="4" w:tplc="403CC412" w:tentative="1">
      <w:start w:val="1"/>
      <w:numFmt w:val="bullet"/>
      <w:lvlText w:val="•"/>
      <w:lvlJc w:val="left"/>
      <w:pPr>
        <w:tabs>
          <w:tab w:val="num" w:pos="3600"/>
        </w:tabs>
        <w:ind w:left="3600" w:hanging="360"/>
      </w:pPr>
      <w:rPr>
        <w:rFonts w:ascii="Arial" w:hAnsi="Arial" w:hint="default"/>
      </w:rPr>
    </w:lvl>
    <w:lvl w:ilvl="5" w:tplc="5FF6B7CC" w:tentative="1">
      <w:start w:val="1"/>
      <w:numFmt w:val="bullet"/>
      <w:lvlText w:val="•"/>
      <w:lvlJc w:val="left"/>
      <w:pPr>
        <w:tabs>
          <w:tab w:val="num" w:pos="4320"/>
        </w:tabs>
        <w:ind w:left="4320" w:hanging="360"/>
      </w:pPr>
      <w:rPr>
        <w:rFonts w:ascii="Arial" w:hAnsi="Arial" w:hint="default"/>
      </w:rPr>
    </w:lvl>
    <w:lvl w:ilvl="6" w:tplc="968E401C" w:tentative="1">
      <w:start w:val="1"/>
      <w:numFmt w:val="bullet"/>
      <w:lvlText w:val="•"/>
      <w:lvlJc w:val="left"/>
      <w:pPr>
        <w:tabs>
          <w:tab w:val="num" w:pos="5040"/>
        </w:tabs>
        <w:ind w:left="5040" w:hanging="360"/>
      </w:pPr>
      <w:rPr>
        <w:rFonts w:ascii="Arial" w:hAnsi="Arial" w:hint="default"/>
      </w:rPr>
    </w:lvl>
    <w:lvl w:ilvl="7" w:tplc="F754FFDC" w:tentative="1">
      <w:start w:val="1"/>
      <w:numFmt w:val="bullet"/>
      <w:lvlText w:val="•"/>
      <w:lvlJc w:val="left"/>
      <w:pPr>
        <w:tabs>
          <w:tab w:val="num" w:pos="5760"/>
        </w:tabs>
        <w:ind w:left="5760" w:hanging="360"/>
      </w:pPr>
      <w:rPr>
        <w:rFonts w:ascii="Arial" w:hAnsi="Arial" w:hint="default"/>
      </w:rPr>
    </w:lvl>
    <w:lvl w:ilvl="8" w:tplc="2C088D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C52FA9"/>
    <w:multiLevelType w:val="hybridMultilevel"/>
    <w:tmpl w:val="664CCB62"/>
    <w:lvl w:ilvl="0" w:tplc="FAB0F0E2">
      <w:start w:val="1"/>
      <w:numFmt w:val="bullet"/>
      <w:lvlText w:val="•"/>
      <w:lvlJc w:val="left"/>
      <w:pPr>
        <w:tabs>
          <w:tab w:val="num" w:pos="720"/>
        </w:tabs>
        <w:ind w:left="720" w:hanging="360"/>
      </w:pPr>
      <w:rPr>
        <w:rFonts w:ascii="Arial" w:hAnsi="Arial" w:hint="default"/>
      </w:rPr>
    </w:lvl>
    <w:lvl w:ilvl="1" w:tplc="D2802B80" w:tentative="1">
      <w:start w:val="1"/>
      <w:numFmt w:val="bullet"/>
      <w:lvlText w:val="•"/>
      <w:lvlJc w:val="left"/>
      <w:pPr>
        <w:tabs>
          <w:tab w:val="num" w:pos="1440"/>
        </w:tabs>
        <w:ind w:left="1440" w:hanging="360"/>
      </w:pPr>
      <w:rPr>
        <w:rFonts w:ascii="Arial" w:hAnsi="Arial" w:hint="default"/>
      </w:rPr>
    </w:lvl>
    <w:lvl w:ilvl="2" w:tplc="3F0AC20C" w:tentative="1">
      <w:start w:val="1"/>
      <w:numFmt w:val="bullet"/>
      <w:lvlText w:val="•"/>
      <w:lvlJc w:val="left"/>
      <w:pPr>
        <w:tabs>
          <w:tab w:val="num" w:pos="2160"/>
        </w:tabs>
        <w:ind w:left="2160" w:hanging="360"/>
      </w:pPr>
      <w:rPr>
        <w:rFonts w:ascii="Arial" w:hAnsi="Arial" w:hint="default"/>
      </w:rPr>
    </w:lvl>
    <w:lvl w:ilvl="3" w:tplc="FDCE5562" w:tentative="1">
      <w:start w:val="1"/>
      <w:numFmt w:val="bullet"/>
      <w:lvlText w:val="•"/>
      <w:lvlJc w:val="left"/>
      <w:pPr>
        <w:tabs>
          <w:tab w:val="num" w:pos="2880"/>
        </w:tabs>
        <w:ind w:left="2880" w:hanging="360"/>
      </w:pPr>
      <w:rPr>
        <w:rFonts w:ascii="Arial" w:hAnsi="Arial" w:hint="default"/>
      </w:rPr>
    </w:lvl>
    <w:lvl w:ilvl="4" w:tplc="222A1422" w:tentative="1">
      <w:start w:val="1"/>
      <w:numFmt w:val="bullet"/>
      <w:lvlText w:val="•"/>
      <w:lvlJc w:val="left"/>
      <w:pPr>
        <w:tabs>
          <w:tab w:val="num" w:pos="3600"/>
        </w:tabs>
        <w:ind w:left="3600" w:hanging="360"/>
      </w:pPr>
      <w:rPr>
        <w:rFonts w:ascii="Arial" w:hAnsi="Arial" w:hint="default"/>
      </w:rPr>
    </w:lvl>
    <w:lvl w:ilvl="5" w:tplc="D44E6CBC" w:tentative="1">
      <w:start w:val="1"/>
      <w:numFmt w:val="bullet"/>
      <w:lvlText w:val="•"/>
      <w:lvlJc w:val="left"/>
      <w:pPr>
        <w:tabs>
          <w:tab w:val="num" w:pos="4320"/>
        </w:tabs>
        <w:ind w:left="4320" w:hanging="360"/>
      </w:pPr>
      <w:rPr>
        <w:rFonts w:ascii="Arial" w:hAnsi="Arial" w:hint="default"/>
      </w:rPr>
    </w:lvl>
    <w:lvl w:ilvl="6" w:tplc="D9400352" w:tentative="1">
      <w:start w:val="1"/>
      <w:numFmt w:val="bullet"/>
      <w:lvlText w:val="•"/>
      <w:lvlJc w:val="left"/>
      <w:pPr>
        <w:tabs>
          <w:tab w:val="num" w:pos="5040"/>
        </w:tabs>
        <w:ind w:left="5040" w:hanging="360"/>
      </w:pPr>
      <w:rPr>
        <w:rFonts w:ascii="Arial" w:hAnsi="Arial" w:hint="default"/>
      </w:rPr>
    </w:lvl>
    <w:lvl w:ilvl="7" w:tplc="D1181218" w:tentative="1">
      <w:start w:val="1"/>
      <w:numFmt w:val="bullet"/>
      <w:lvlText w:val="•"/>
      <w:lvlJc w:val="left"/>
      <w:pPr>
        <w:tabs>
          <w:tab w:val="num" w:pos="5760"/>
        </w:tabs>
        <w:ind w:left="5760" w:hanging="360"/>
      </w:pPr>
      <w:rPr>
        <w:rFonts w:ascii="Arial" w:hAnsi="Arial" w:hint="default"/>
      </w:rPr>
    </w:lvl>
    <w:lvl w:ilvl="8" w:tplc="A61053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0F07BD"/>
    <w:multiLevelType w:val="hybridMultilevel"/>
    <w:tmpl w:val="FAAC6458"/>
    <w:lvl w:ilvl="0" w:tplc="E3886112">
      <w:start w:val="1"/>
      <w:numFmt w:val="bullet"/>
      <w:lvlText w:val="•"/>
      <w:lvlJc w:val="left"/>
      <w:pPr>
        <w:tabs>
          <w:tab w:val="num" w:pos="720"/>
        </w:tabs>
        <w:ind w:left="720" w:hanging="360"/>
      </w:pPr>
      <w:rPr>
        <w:rFonts w:ascii="Arial" w:hAnsi="Arial" w:hint="default"/>
      </w:rPr>
    </w:lvl>
    <w:lvl w:ilvl="1" w:tplc="4434ED2C" w:tentative="1">
      <w:start w:val="1"/>
      <w:numFmt w:val="bullet"/>
      <w:lvlText w:val="•"/>
      <w:lvlJc w:val="left"/>
      <w:pPr>
        <w:tabs>
          <w:tab w:val="num" w:pos="1440"/>
        </w:tabs>
        <w:ind w:left="1440" w:hanging="360"/>
      </w:pPr>
      <w:rPr>
        <w:rFonts w:ascii="Arial" w:hAnsi="Arial" w:hint="default"/>
      </w:rPr>
    </w:lvl>
    <w:lvl w:ilvl="2" w:tplc="47641F1E" w:tentative="1">
      <w:start w:val="1"/>
      <w:numFmt w:val="bullet"/>
      <w:lvlText w:val="•"/>
      <w:lvlJc w:val="left"/>
      <w:pPr>
        <w:tabs>
          <w:tab w:val="num" w:pos="2160"/>
        </w:tabs>
        <w:ind w:left="2160" w:hanging="360"/>
      </w:pPr>
      <w:rPr>
        <w:rFonts w:ascii="Arial" w:hAnsi="Arial" w:hint="default"/>
      </w:rPr>
    </w:lvl>
    <w:lvl w:ilvl="3" w:tplc="0C06BEE6" w:tentative="1">
      <w:start w:val="1"/>
      <w:numFmt w:val="bullet"/>
      <w:lvlText w:val="•"/>
      <w:lvlJc w:val="left"/>
      <w:pPr>
        <w:tabs>
          <w:tab w:val="num" w:pos="2880"/>
        </w:tabs>
        <w:ind w:left="2880" w:hanging="360"/>
      </w:pPr>
      <w:rPr>
        <w:rFonts w:ascii="Arial" w:hAnsi="Arial" w:hint="default"/>
      </w:rPr>
    </w:lvl>
    <w:lvl w:ilvl="4" w:tplc="0DAA8120" w:tentative="1">
      <w:start w:val="1"/>
      <w:numFmt w:val="bullet"/>
      <w:lvlText w:val="•"/>
      <w:lvlJc w:val="left"/>
      <w:pPr>
        <w:tabs>
          <w:tab w:val="num" w:pos="3600"/>
        </w:tabs>
        <w:ind w:left="3600" w:hanging="360"/>
      </w:pPr>
      <w:rPr>
        <w:rFonts w:ascii="Arial" w:hAnsi="Arial" w:hint="default"/>
      </w:rPr>
    </w:lvl>
    <w:lvl w:ilvl="5" w:tplc="51CA2862" w:tentative="1">
      <w:start w:val="1"/>
      <w:numFmt w:val="bullet"/>
      <w:lvlText w:val="•"/>
      <w:lvlJc w:val="left"/>
      <w:pPr>
        <w:tabs>
          <w:tab w:val="num" w:pos="4320"/>
        </w:tabs>
        <w:ind w:left="4320" w:hanging="360"/>
      </w:pPr>
      <w:rPr>
        <w:rFonts w:ascii="Arial" w:hAnsi="Arial" w:hint="default"/>
      </w:rPr>
    </w:lvl>
    <w:lvl w:ilvl="6" w:tplc="C16CE71E" w:tentative="1">
      <w:start w:val="1"/>
      <w:numFmt w:val="bullet"/>
      <w:lvlText w:val="•"/>
      <w:lvlJc w:val="left"/>
      <w:pPr>
        <w:tabs>
          <w:tab w:val="num" w:pos="5040"/>
        </w:tabs>
        <w:ind w:left="5040" w:hanging="360"/>
      </w:pPr>
      <w:rPr>
        <w:rFonts w:ascii="Arial" w:hAnsi="Arial" w:hint="default"/>
      </w:rPr>
    </w:lvl>
    <w:lvl w:ilvl="7" w:tplc="22CA0210" w:tentative="1">
      <w:start w:val="1"/>
      <w:numFmt w:val="bullet"/>
      <w:lvlText w:val="•"/>
      <w:lvlJc w:val="left"/>
      <w:pPr>
        <w:tabs>
          <w:tab w:val="num" w:pos="5760"/>
        </w:tabs>
        <w:ind w:left="5760" w:hanging="360"/>
      </w:pPr>
      <w:rPr>
        <w:rFonts w:ascii="Arial" w:hAnsi="Arial" w:hint="default"/>
      </w:rPr>
    </w:lvl>
    <w:lvl w:ilvl="8" w:tplc="83BE96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837C5C"/>
    <w:multiLevelType w:val="hybridMultilevel"/>
    <w:tmpl w:val="4A4469AA"/>
    <w:lvl w:ilvl="0" w:tplc="F9C23060">
      <w:start w:val="1"/>
      <w:numFmt w:val="bullet"/>
      <w:lvlText w:val="•"/>
      <w:lvlJc w:val="left"/>
      <w:pPr>
        <w:tabs>
          <w:tab w:val="num" w:pos="720"/>
        </w:tabs>
        <w:ind w:left="720" w:hanging="360"/>
      </w:pPr>
      <w:rPr>
        <w:rFonts w:ascii="Arial" w:hAnsi="Arial" w:hint="default"/>
      </w:rPr>
    </w:lvl>
    <w:lvl w:ilvl="1" w:tplc="57F4B328" w:tentative="1">
      <w:start w:val="1"/>
      <w:numFmt w:val="bullet"/>
      <w:lvlText w:val="•"/>
      <w:lvlJc w:val="left"/>
      <w:pPr>
        <w:tabs>
          <w:tab w:val="num" w:pos="1440"/>
        </w:tabs>
        <w:ind w:left="1440" w:hanging="360"/>
      </w:pPr>
      <w:rPr>
        <w:rFonts w:ascii="Arial" w:hAnsi="Arial" w:hint="default"/>
      </w:rPr>
    </w:lvl>
    <w:lvl w:ilvl="2" w:tplc="97482E08" w:tentative="1">
      <w:start w:val="1"/>
      <w:numFmt w:val="bullet"/>
      <w:lvlText w:val="•"/>
      <w:lvlJc w:val="left"/>
      <w:pPr>
        <w:tabs>
          <w:tab w:val="num" w:pos="2160"/>
        </w:tabs>
        <w:ind w:left="2160" w:hanging="360"/>
      </w:pPr>
      <w:rPr>
        <w:rFonts w:ascii="Arial" w:hAnsi="Arial" w:hint="default"/>
      </w:rPr>
    </w:lvl>
    <w:lvl w:ilvl="3" w:tplc="39D646CA" w:tentative="1">
      <w:start w:val="1"/>
      <w:numFmt w:val="bullet"/>
      <w:lvlText w:val="•"/>
      <w:lvlJc w:val="left"/>
      <w:pPr>
        <w:tabs>
          <w:tab w:val="num" w:pos="2880"/>
        </w:tabs>
        <w:ind w:left="2880" w:hanging="360"/>
      </w:pPr>
      <w:rPr>
        <w:rFonts w:ascii="Arial" w:hAnsi="Arial" w:hint="default"/>
      </w:rPr>
    </w:lvl>
    <w:lvl w:ilvl="4" w:tplc="2D1ACE62" w:tentative="1">
      <w:start w:val="1"/>
      <w:numFmt w:val="bullet"/>
      <w:lvlText w:val="•"/>
      <w:lvlJc w:val="left"/>
      <w:pPr>
        <w:tabs>
          <w:tab w:val="num" w:pos="3600"/>
        </w:tabs>
        <w:ind w:left="3600" w:hanging="360"/>
      </w:pPr>
      <w:rPr>
        <w:rFonts w:ascii="Arial" w:hAnsi="Arial" w:hint="default"/>
      </w:rPr>
    </w:lvl>
    <w:lvl w:ilvl="5" w:tplc="FD181B4C" w:tentative="1">
      <w:start w:val="1"/>
      <w:numFmt w:val="bullet"/>
      <w:lvlText w:val="•"/>
      <w:lvlJc w:val="left"/>
      <w:pPr>
        <w:tabs>
          <w:tab w:val="num" w:pos="4320"/>
        </w:tabs>
        <w:ind w:left="4320" w:hanging="360"/>
      </w:pPr>
      <w:rPr>
        <w:rFonts w:ascii="Arial" w:hAnsi="Arial" w:hint="default"/>
      </w:rPr>
    </w:lvl>
    <w:lvl w:ilvl="6" w:tplc="7F487A1E" w:tentative="1">
      <w:start w:val="1"/>
      <w:numFmt w:val="bullet"/>
      <w:lvlText w:val="•"/>
      <w:lvlJc w:val="left"/>
      <w:pPr>
        <w:tabs>
          <w:tab w:val="num" w:pos="5040"/>
        </w:tabs>
        <w:ind w:left="5040" w:hanging="360"/>
      </w:pPr>
      <w:rPr>
        <w:rFonts w:ascii="Arial" w:hAnsi="Arial" w:hint="default"/>
      </w:rPr>
    </w:lvl>
    <w:lvl w:ilvl="7" w:tplc="678A71C6" w:tentative="1">
      <w:start w:val="1"/>
      <w:numFmt w:val="bullet"/>
      <w:lvlText w:val="•"/>
      <w:lvlJc w:val="left"/>
      <w:pPr>
        <w:tabs>
          <w:tab w:val="num" w:pos="5760"/>
        </w:tabs>
        <w:ind w:left="5760" w:hanging="360"/>
      </w:pPr>
      <w:rPr>
        <w:rFonts w:ascii="Arial" w:hAnsi="Arial" w:hint="default"/>
      </w:rPr>
    </w:lvl>
    <w:lvl w:ilvl="8" w:tplc="12744D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376647"/>
    <w:multiLevelType w:val="hybridMultilevel"/>
    <w:tmpl w:val="091003F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E56E3F"/>
    <w:multiLevelType w:val="hybridMultilevel"/>
    <w:tmpl w:val="5AF6FE04"/>
    <w:lvl w:ilvl="0" w:tplc="95C2DAB4">
      <w:start w:val="1"/>
      <w:numFmt w:val="bullet"/>
      <w:lvlText w:val="•"/>
      <w:lvlJc w:val="left"/>
      <w:pPr>
        <w:tabs>
          <w:tab w:val="num" w:pos="720"/>
        </w:tabs>
        <w:ind w:left="720" w:hanging="360"/>
      </w:pPr>
      <w:rPr>
        <w:rFonts w:ascii="Arial" w:hAnsi="Arial" w:hint="default"/>
      </w:rPr>
    </w:lvl>
    <w:lvl w:ilvl="1" w:tplc="DD081F10" w:tentative="1">
      <w:start w:val="1"/>
      <w:numFmt w:val="bullet"/>
      <w:lvlText w:val="•"/>
      <w:lvlJc w:val="left"/>
      <w:pPr>
        <w:tabs>
          <w:tab w:val="num" w:pos="1440"/>
        </w:tabs>
        <w:ind w:left="1440" w:hanging="360"/>
      </w:pPr>
      <w:rPr>
        <w:rFonts w:ascii="Arial" w:hAnsi="Arial" w:hint="default"/>
      </w:rPr>
    </w:lvl>
    <w:lvl w:ilvl="2" w:tplc="0E927012" w:tentative="1">
      <w:start w:val="1"/>
      <w:numFmt w:val="bullet"/>
      <w:lvlText w:val="•"/>
      <w:lvlJc w:val="left"/>
      <w:pPr>
        <w:tabs>
          <w:tab w:val="num" w:pos="2160"/>
        </w:tabs>
        <w:ind w:left="2160" w:hanging="360"/>
      </w:pPr>
      <w:rPr>
        <w:rFonts w:ascii="Arial" w:hAnsi="Arial" w:hint="default"/>
      </w:rPr>
    </w:lvl>
    <w:lvl w:ilvl="3" w:tplc="C1BC02B2" w:tentative="1">
      <w:start w:val="1"/>
      <w:numFmt w:val="bullet"/>
      <w:lvlText w:val="•"/>
      <w:lvlJc w:val="left"/>
      <w:pPr>
        <w:tabs>
          <w:tab w:val="num" w:pos="2880"/>
        </w:tabs>
        <w:ind w:left="2880" w:hanging="360"/>
      </w:pPr>
      <w:rPr>
        <w:rFonts w:ascii="Arial" w:hAnsi="Arial" w:hint="default"/>
      </w:rPr>
    </w:lvl>
    <w:lvl w:ilvl="4" w:tplc="D074AE52" w:tentative="1">
      <w:start w:val="1"/>
      <w:numFmt w:val="bullet"/>
      <w:lvlText w:val="•"/>
      <w:lvlJc w:val="left"/>
      <w:pPr>
        <w:tabs>
          <w:tab w:val="num" w:pos="3600"/>
        </w:tabs>
        <w:ind w:left="3600" w:hanging="360"/>
      </w:pPr>
      <w:rPr>
        <w:rFonts w:ascii="Arial" w:hAnsi="Arial" w:hint="default"/>
      </w:rPr>
    </w:lvl>
    <w:lvl w:ilvl="5" w:tplc="FBD25E1C" w:tentative="1">
      <w:start w:val="1"/>
      <w:numFmt w:val="bullet"/>
      <w:lvlText w:val="•"/>
      <w:lvlJc w:val="left"/>
      <w:pPr>
        <w:tabs>
          <w:tab w:val="num" w:pos="4320"/>
        </w:tabs>
        <w:ind w:left="4320" w:hanging="360"/>
      </w:pPr>
      <w:rPr>
        <w:rFonts w:ascii="Arial" w:hAnsi="Arial" w:hint="default"/>
      </w:rPr>
    </w:lvl>
    <w:lvl w:ilvl="6" w:tplc="B16ADE56" w:tentative="1">
      <w:start w:val="1"/>
      <w:numFmt w:val="bullet"/>
      <w:lvlText w:val="•"/>
      <w:lvlJc w:val="left"/>
      <w:pPr>
        <w:tabs>
          <w:tab w:val="num" w:pos="5040"/>
        </w:tabs>
        <w:ind w:left="5040" w:hanging="360"/>
      </w:pPr>
      <w:rPr>
        <w:rFonts w:ascii="Arial" w:hAnsi="Arial" w:hint="default"/>
      </w:rPr>
    </w:lvl>
    <w:lvl w:ilvl="7" w:tplc="154667A6" w:tentative="1">
      <w:start w:val="1"/>
      <w:numFmt w:val="bullet"/>
      <w:lvlText w:val="•"/>
      <w:lvlJc w:val="left"/>
      <w:pPr>
        <w:tabs>
          <w:tab w:val="num" w:pos="5760"/>
        </w:tabs>
        <w:ind w:left="5760" w:hanging="360"/>
      </w:pPr>
      <w:rPr>
        <w:rFonts w:ascii="Arial" w:hAnsi="Arial" w:hint="default"/>
      </w:rPr>
    </w:lvl>
    <w:lvl w:ilvl="8" w:tplc="A4BC5A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2D5343"/>
    <w:multiLevelType w:val="hybridMultilevel"/>
    <w:tmpl w:val="DBE0BBDC"/>
    <w:lvl w:ilvl="0" w:tplc="688AE97A">
      <w:start w:val="1"/>
      <w:numFmt w:val="bullet"/>
      <w:lvlText w:val="•"/>
      <w:lvlJc w:val="left"/>
      <w:pPr>
        <w:tabs>
          <w:tab w:val="num" w:pos="720"/>
        </w:tabs>
        <w:ind w:left="720" w:hanging="360"/>
      </w:pPr>
      <w:rPr>
        <w:rFonts w:ascii="Arial" w:hAnsi="Arial" w:hint="default"/>
      </w:rPr>
    </w:lvl>
    <w:lvl w:ilvl="1" w:tplc="AAC6F99E" w:tentative="1">
      <w:start w:val="1"/>
      <w:numFmt w:val="bullet"/>
      <w:lvlText w:val="•"/>
      <w:lvlJc w:val="left"/>
      <w:pPr>
        <w:tabs>
          <w:tab w:val="num" w:pos="1440"/>
        </w:tabs>
        <w:ind w:left="1440" w:hanging="360"/>
      </w:pPr>
      <w:rPr>
        <w:rFonts w:ascii="Arial" w:hAnsi="Arial" w:hint="default"/>
      </w:rPr>
    </w:lvl>
    <w:lvl w:ilvl="2" w:tplc="D0DC0146" w:tentative="1">
      <w:start w:val="1"/>
      <w:numFmt w:val="bullet"/>
      <w:lvlText w:val="•"/>
      <w:lvlJc w:val="left"/>
      <w:pPr>
        <w:tabs>
          <w:tab w:val="num" w:pos="2160"/>
        </w:tabs>
        <w:ind w:left="2160" w:hanging="360"/>
      </w:pPr>
      <w:rPr>
        <w:rFonts w:ascii="Arial" w:hAnsi="Arial" w:hint="default"/>
      </w:rPr>
    </w:lvl>
    <w:lvl w:ilvl="3" w:tplc="26DE81B8" w:tentative="1">
      <w:start w:val="1"/>
      <w:numFmt w:val="bullet"/>
      <w:lvlText w:val="•"/>
      <w:lvlJc w:val="left"/>
      <w:pPr>
        <w:tabs>
          <w:tab w:val="num" w:pos="2880"/>
        </w:tabs>
        <w:ind w:left="2880" w:hanging="360"/>
      </w:pPr>
      <w:rPr>
        <w:rFonts w:ascii="Arial" w:hAnsi="Arial" w:hint="default"/>
      </w:rPr>
    </w:lvl>
    <w:lvl w:ilvl="4" w:tplc="0C6A7FB8" w:tentative="1">
      <w:start w:val="1"/>
      <w:numFmt w:val="bullet"/>
      <w:lvlText w:val="•"/>
      <w:lvlJc w:val="left"/>
      <w:pPr>
        <w:tabs>
          <w:tab w:val="num" w:pos="3600"/>
        </w:tabs>
        <w:ind w:left="3600" w:hanging="360"/>
      </w:pPr>
      <w:rPr>
        <w:rFonts w:ascii="Arial" w:hAnsi="Arial" w:hint="default"/>
      </w:rPr>
    </w:lvl>
    <w:lvl w:ilvl="5" w:tplc="30A81290" w:tentative="1">
      <w:start w:val="1"/>
      <w:numFmt w:val="bullet"/>
      <w:lvlText w:val="•"/>
      <w:lvlJc w:val="left"/>
      <w:pPr>
        <w:tabs>
          <w:tab w:val="num" w:pos="4320"/>
        </w:tabs>
        <w:ind w:left="4320" w:hanging="360"/>
      </w:pPr>
      <w:rPr>
        <w:rFonts w:ascii="Arial" w:hAnsi="Arial" w:hint="default"/>
      </w:rPr>
    </w:lvl>
    <w:lvl w:ilvl="6" w:tplc="6BFABA16" w:tentative="1">
      <w:start w:val="1"/>
      <w:numFmt w:val="bullet"/>
      <w:lvlText w:val="•"/>
      <w:lvlJc w:val="left"/>
      <w:pPr>
        <w:tabs>
          <w:tab w:val="num" w:pos="5040"/>
        </w:tabs>
        <w:ind w:left="5040" w:hanging="360"/>
      </w:pPr>
      <w:rPr>
        <w:rFonts w:ascii="Arial" w:hAnsi="Arial" w:hint="default"/>
      </w:rPr>
    </w:lvl>
    <w:lvl w:ilvl="7" w:tplc="5EB23AE2" w:tentative="1">
      <w:start w:val="1"/>
      <w:numFmt w:val="bullet"/>
      <w:lvlText w:val="•"/>
      <w:lvlJc w:val="left"/>
      <w:pPr>
        <w:tabs>
          <w:tab w:val="num" w:pos="5760"/>
        </w:tabs>
        <w:ind w:left="5760" w:hanging="360"/>
      </w:pPr>
      <w:rPr>
        <w:rFonts w:ascii="Arial" w:hAnsi="Arial" w:hint="default"/>
      </w:rPr>
    </w:lvl>
    <w:lvl w:ilvl="8" w:tplc="5C602C0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5"/>
  </w:num>
  <w:num w:numId="3">
    <w:abstractNumId w:val="2"/>
  </w:num>
  <w:num w:numId="4">
    <w:abstractNumId w:val="1"/>
  </w:num>
  <w:num w:numId="5">
    <w:abstractNumId w:val="0"/>
  </w:num>
  <w:num w:numId="6">
    <w:abstractNumId w:val="13"/>
  </w:num>
  <w:num w:numId="7">
    <w:abstractNumId w:val="8"/>
  </w:num>
  <w:num w:numId="8">
    <w:abstractNumId w:val="10"/>
  </w:num>
  <w:num w:numId="9">
    <w:abstractNumId w:val="14"/>
  </w:num>
  <w:num w:numId="10">
    <w:abstractNumId w:val="11"/>
  </w:num>
  <w:num w:numId="11">
    <w:abstractNumId w:val="6"/>
  </w:num>
  <w:num w:numId="12">
    <w:abstractNumId w:val="3"/>
  </w:num>
  <w:num w:numId="13">
    <w:abstractNumId w:val="7"/>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3C"/>
    <w:rsid w:val="00004A12"/>
    <w:rsid w:val="00006144"/>
    <w:rsid w:val="0000724C"/>
    <w:rsid w:val="000115D8"/>
    <w:rsid w:val="00011880"/>
    <w:rsid w:val="000122D9"/>
    <w:rsid w:val="0001455C"/>
    <w:rsid w:val="00014B2E"/>
    <w:rsid w:val="00015EB8"/>
    <w:rsid w:val="0002216A"/>
    <w:rsid w:val="00022722"/>
    <w:rsid w:val="00023502"/>
    <w:rsid w:val="00033C21"/>
    <w:rsid w:val="00034CE2"/>
    <w:rsid w:val="00040645"/>
    <w:rsid w:val="000407FF"/>
    <w:rsid w:val="00040DB7"/>
    <w:rsid w:val="00045A09"/>
    <w:rsid w:val="00047B78"/>
    <w:rsid w:val="000505CB"/>
    <w:rsid w:val="000506E4"/>
    <w:rsid w:val="000578CC"/>
    <w:rsid w:val="000619E5"/>
    <w:rsid w:val="00063C90"/>
    <w:rsid w:val="0006687A"/>
    <w:rsid w:val="0007006A"/>
    <w:rsid w:val="000706AF"/>
    <w:rsid w:val="00070CF4"/>
    <w:rsid w:val="00070F03"/>
    <w:rsid w:val="00073191"/>
    <w:rsid w:val="00074920"/>
    <w:rsid w:val="00080F8E"/>
    <w:rsid w:val="00081151"/>
    <w:rsid w:val="0008212B"/>
    <w:rsid w:val="00082728"/>
    <w:rsid w:val="00083E7C"/>
    <w:rsid w:val="000853A4"/>
    <w:rsid w:val="00087AC5"/>
    <w:rsid w:val="00090002"/>
    <w:rsid w:val="00092B2F"/>
    <w:rsid w:val="000A5099"/>
    <w:rsid w:val="000A59CE"/>
    <w:rsid w:val="000B0631"/>
    <w:rsid w:val="000B1B1F"/>
    <w:rsid w:val="000B2292"/>
    <w:rsid w:val="000B4AAC"/>
    <w:rsid w:val="000C150D"/>
    <w:rsid w:val="000C4B1C"/>
    <w:rsid w:val="000C5414"/>
    <w:rsid w:val="000D0F74"/>
    <w:rsid w:val="000D213C"/>
    <w:rsid w:val="000D6DCC"/>
    <w:rsid w:val="000E7F6A"/>
    <w:rsid w:val="000F2A68"/>
    <w:rsid w:val="000F2D62"/>
    <w:rsid w:val="000F475A"/>
    <w:rsid w:val="000F5D38"/>
    <w:rsid w:val="000F6ED8"/>
    <w:rsid w:val="00100645"/>
    <w:rsid w:val="001018C0"/>
    <w:rsid w:val="0010197A"/>
    <w:rsid w:val="00103790"/>
    <w:rsid w:val="00103BDA"/>
    <w:rsid w:val="0010411A"/>
    <w:rsid w:val="00105869"/>
    <w:rsid w:val="00110D22"/>
    <w:rsid w:val="001146D0"/>
    <w:rsid w:val="001168DF"/>
    <w:rsid w:val="00124F51"/>
    <w:rsid w:val="00133EBC"/>
    <w:rsid w:val="00142C69"/>
    <w:rsid w:val="00145E3B"/>
    <w:rsid w:val="00146C5C"/>
    <w:rsid w:val="001510AD"/>
    <w:rsid w:val="001514F2"/>
    <w:rsid w:val="0015192B"/>
    <w:rsid w:val="00151F21"/>
    <w:rsid w:val="00152988"/>
    <w:rsid w:val="00153BD4"/>
    <w:rsid w:val="001548F3"/>
    <w:rsid w:val="00155CF4"/>
    <w:rsid w:val="0016231C"/>
    <w:rsid w:val="0016364A"/>
    <w:rsid w:val="0017131F"/>
    <w:rsid w:val="00174673"/>
    <w:rsid w:val="00175777"/>
    <w:rsid w:val="00177A2A"/>
    <w:rsid w:val="00180225"/>
    <w:rsid w:val="00180E94"/>
    <w:rsid w:val="001812A7"/>
    <w:rsid w:val="00182C05"/>
    <w:rsid w:val="00182C25"/>
    <w:rsid w:val="00190783"/>
    <w:rsid w:val="00190E69"/>
    <w:rsid w:val="00195D02"/>
    <w:rsid w:val="001965B1"/>
    <w:rsid w:val="00196EE1"/>
    <w:rsid w:val="001979AE"/>
    <w:rsid w:val="001A0A4E"/>
    <w:rsid w:val="001A0F46"/>
    <w:rsid w:val="001A71A6"/>
    <w:rsid w:val="001A7F47"/>
    <w:rsid w:val="001B1167"/>
    <w:rsid w:val="001B11B3"/>
    <w:rsid w:val="001B125D"/>
    <w:rsid w:val="001B3965"/>
    <w:rsid w:val="001C1EB7"/>
    <w:rsid w:val="001C3628"/>
    <w:rsid w:val="001C43B2"/>
    <w:rsid w:val="001D7C0D"/>
    <w:rsid w:val="001D7CD4"/>
    <w:rsid w:val="001E0A8D"/>
    <w:rsid w:val="001E1626"/>
    <w:rsid w:val="001E2F00"/>
    <w:rsid w:val="001E4959"/>
    <w:rsid w:val="001E6E31"/>
    <w:rsid w:val="001F019E"/>
    <w:rsid w:val="001F2F63"/>
    <w:rsid w:val="002039D0"/>
    <w:rsid w:val="00204FC9"/>
    <w:rsid w:val="0020653B"/>
    <w:rsid w:val="00207EA8"/>
    <w:rsid w:val="00210F5B"/>
    <w:rsid w:val="00213442"/>
    <w:rsid w:val="00214337"/>
    <w:rsid w:val="00215B54"/>
    <w:rsid w:val="002202AF"/>
    <w:rsid w:val="0022051E"/>
    <w:rsid w:val="00221E3F"/>
    <w:rsid w:val="002240E0"/>
    <w:rsid w:val="00225B3F"/>
    <w:rsid w:val="00231354"/>
    <w:rsid w:val="00240E50"/>
    <w:rsid w:val="002433EC"/>
    <w:rsid w:val="002472D5"/>
    <w:rsid w:val="00260782"/>
    <w:rsid w:val="00264113"/>
    <w:rsid w:val="0026426D"/>
    <w:rsid w:val="0027531D"/>
    <w:rsid w:val="00275486"/>
    <w:rsid w:val="002775CB"/>
    <w:rsid w:val="00284C7B"/>
    <w:rsid w:val="0029058D"/>
    <w:rsid w:val="00291334"/>
    <w:rsid w:val="0029284E"/>
    <w:rsid w:val="00296A0D"/>
    <w:rsid w:val="00297454"/>
    <w:rsid w:val="002A1946"/>
    <w:rsid w:val="002A2564"/>
    <w:rsid w:val="002A2C46"/>
    <w:rsid w:val="002A341F"/>
    <w:rsid w:val="002A4213"/>
    <w:rsid w:val="002A4F69"/>
    <w:rsid w:val="002A525D"/>
    <w:rsid w:val="002A73E4"/>
    <w:rsid w:val="002A7569"/>
    <w:rsid w:val="002B269F"/>
    <w:rsid w:val="002B3446"/>
    <w:rsid w:val="002C26D3"/>
    <w:rsid w:val="002C3A57"/>
    <w:rsid w:val="002C7A26"/>
    <w:rsid w:val="002D4E7D"/>
    <w:rsid w:val="002D56E6"/>
    <w:rsid w:val="002D6FEF"/>
    <w:rsid w:val="002E69D2"/>
    <w:rsid w:val="002F0A8E"/>
    <w:rsid w:val="00300954"/>
    <w:rsid w:val="003037E1"/>
    <w:rsid w:val="003069F0"/>
    <w:rsid w:val="003071CA"/>
    <w:rsid w:val="00311B1B"/>
    <w:rsid w:val="00320447"/>
    <w:rsid w:val="00322F54"/>
    <w:rsid w:val="00323134"/>
    <w:rsid w:val="00331D40"/>
    <w:rsid w:val="00331DD8"/>
    <w:rsid w:val="003332E2"/>
    <w:rsid w:val="00340423"/>
    <w:rsid w:val="00343AFF"/>
    <w:rsid w:val="00344222"/>
    <w:rsid w:val="003600BD"/>
    <w:rsid w:val="003614E4"/>
    <w:rsid w:val="00362B7E"/>
    <w:rsid w:val="00362E6F"/>
    <w:rsid w:val="00367422"/>
    <w:rsid w:val="00367E21"/>
    <w:rsid w:val="00371998"/>
    <w:rsid w:val="00372B5B"/>
    <w:rsid w:val="00376999"/>
    <w:rsid w:val="00380A92"/>
    <w:rsid w:val="003822A6"/>
    <w:rsid w:val="003856EA"/>
    <w:rsid w:val="0039004A"/>
    <w:rsid w:val="00390102"/>
    <w:rsid w:val="00396221"/>
    <w:rsid w:val="003A1793"/>
    <w:rsid w:val="003A22B6"/>
    <w:rsid w:val="003A3363"/>
    <w:rsid w:val="003A4B10"/>
    <w:rsid w:val="003B082E"/>
    <w:rsid w:val="003B5133"/>
    <w:rsid w:val="003C13AC"/>
    <w:rsid w:val="003C5F6C"/>
    <w:rsid w:val="003D0D49"/>
    <w:rsid w:val="003D1C09"/>
    <w:rsid w:val="003D325B"/>
    <w:rsid w:val="003D59F4"/>
    <w:rsid w:val="003D6729"/>
    <w:rsid w:val="003D783F"/>
    <w:rsid w:val="003D7BDB"/>
    <w:rsid w:val="003D7C22"/>
    <w:rsid w:val="003E00C7"/>
    <w:rsid w:val="003E1C9E"/>
    <w:rsid w:val="003F18B8"/>
    <w:rsid w:val="003F4025"/>
    <w:rsid w:val="003F589C"/>
    <w:rsid w:val="00400652"/>
    <w:rsid w:val="00401C83"/>
    <w:rsid w:val="004052C3"/>
    <w:rsid w:val="00406576"/>
    <w:rsid w:val="00415F28"/>
    <w:rsid w:val="004160C2"/>
    <w:rsid w:val="0041790C"/>
    <w:rsid w:val="00421D7D"/>
    <w:rsid w:val="004232C9"/>
    <w:rsid w:val="00426BFB"/>
    <w:rsid w:val="00427A7E"/>
    <w:rsid w:val="00437951"/>
    <w:rsid w:val="00442149"/>
    <w:rsid w:val="00442E2E"/>
    <w:rsid w:val="004561B8"/>
    <w:rsid w:val="00462119"/>
    <w:rsid w:val="004621DD"/>
    <w:rsid w:val="0046654A"/>
    <w:rsid w:val="0047000C"/>
    <w:rsid w:val="00470DC1"/>
    <w:rsid w:val="004713C4"/>
    <w:rsid w:val="0048201A"/>
    <w:rsid w:val="0048415B"/>
    <w:rsid w:val="00484FB2"/>
    <w:rsid w:val="004864AC"/>
    <w:rsid w:val="00490D7F"/>
    <w:rsid w:val="00496583"/>
    <w:rsid w:val="00497793"/>
    <w:rsid w:val="004979CA"/>
    <w:rsid w:val="004A2B96"/>
    <w:rsid w:val="004A3A41"/>
    <w:rsid w:val="004A5132"/>
    <w:rsid w:val="004A53C1"/>
    <w:rsid w:val="004A56CE"/>
    <w:rsid w:val="004A6840"/>
    <w:rsid w:val="004A75D1"/>
    <w:rsid w:val="004B4315"/>
    <w:rsid w:val="004B4881"/>
    <w:rsid w:val="004B60A0"/>
    <w:rsid w:val="004C0138"/>
    <w:rsid w:val="004D06F5"/>
    <w:rsid w:val="004D2892"/>
    <w:rsid w:val="004E2077"/>
    <w:rsid w:val="004E2DCF"/>
    <w:rsid w:val="004E72CC"/>
    <w:rsid w:val="004E79A0"/>
    <w:rsid w:val="004F27B8"/>
    <w:rsid w:val="00500EE8"/>
    <w:rsid w:val="0050605A"/>
    <w:rsid w:val="00510977"/>
    <w:rsid w:val="00515646"/>
    <w:rsid w:val="00516238"/>
    <w:rsid w:val="0052200D"/>
    <w:rsid w:val="00530122"/>
    <w:rsid w:val="0053105F"/>
    <w:rsid w:val="0054308E"/>
    <w:rsid w:val="00546843"/>
    <w:rsid w:val="00547B7C"/>
    <w:rsid w:val="00550988"/>
    <w:rsid w:val="005509B0"/>
    <w:rsid w:val="00555509"/>
    <w:rsid w:val="005559AC"/>
    <w:rsid w:val="00556613"/>
    <w:rsid w:val="0056133B"/>
    <w:rsid w:val="00570564"/>
    <w:rsid w:val="0057171E"/>
    <w:rsid w:val="005742D9"/>
    <w:rsid w:val="00575D04"/>
    <w:rsid w:val="00576838"/>
    <w:rsid w:val="00583714"/>
    <w:rsid w:val="0058386F"/>
    <w:rsid w:val="00584DC5"/>
    <w:rsid w:val="00585A1C"/>
    <w:rsid w:val="0058697A"/>
    <w:rsid w:val="00593BFE"/>
    <w:rsid w:val="00594FB4"/>
    <w:rsid w:val="005A29A7"/>
    <w:rsid w:val="005A3250"/>
    <w:rsid w:val="005A451C"/>
    <w:rsid w:val="005A45B6"/>
    <w:rsid w:val="005A7764"/>
    <w:rsid w:val="005B0D5E"/>
    <w:rsid w:val="005B1D6A"/>
    <w:rsid w:val="005B2253"/>
    <w:rsid w:val="005C72CA"/>
    <w:rsid w:val="005D2AB2"/>
    <w:rsid w:val="005D58FE"/>
    <w:rsid w:val="005D7B76"/>
    <w:rsid w:val="005E16B8"/>
    <w:rsid w:val="005E4058"/>
    <w:rsid w:val="005E4A4E"/>
    <w:rsid w:val="005E4B80"/>
    <w:rsid w:val="005F0585"/>
    <w:rsid w:val="005F0AC3"/>
    <w:rsid w:val="005F1D55"/>
    <w:rsid w:val="005F4725"/>
    <w:rsid w:val="005F61F2"/>
    <w:rsid w:val="00600959"/>
    <w:rsid w:val="006015A8"/>
    <w:rsid w:val="006031A1"/>
    <w:rsid w:val="006051F0"/>
    <w:rsid w:val="00607A4C"/>
    <w:rsid w:val="00607ADB"/>
    <w:rsid w:val="00610430"/>
    <w:rsid w:val="00612518"/>
    <w:rsid w:val="00615F00"/>
    <w:rsid w:val="00616FD2"/>
    <w:rsid w:val="00617B96"/>
    <w:rsid w:val="0062046F"/>
    <w:rsid w:val="0062380F"/>
    <w:rsid w:val="00625B60"/>
    <w:rsid w:val="0063030C"/>
    <w:rsid w:val="006353DC"/>
    <w:rsid w:val="006356BF"/>
    <w:rsid w:val="00637BD4"/>
    <w:rsid w:val="00647C19"/>
    <w:rsid w:val="00650823"/>
    <w:rsid w:val="00654362"/>
    <w:rsid w:val="00654A1A"/>
    <w:rsid w:val="00654FC0"/>
    <w:rsid w:val="00664AA3"/>
    <w:rsid w:val="00673F01"/>
    <w:rsid w:val="006744C4"/>
    <w:rsid w:val="00675545"/>
    <w:rsid w:val="00681232"/>
    <w:rsid w:val="00681960"/>
    <w:rsid w:val="00684392"/>
    <w:rsid w:val="00686B17"/>
    <w:rsid w:val="00691893"/>
    <w:rsid w:val="00696308"/>
    <w:rsid w:val="006974BB"/>
    <w:rsid w:val="006A63DD"/>
    <w:rsid w:val="006A6933"/>
    <w:rsid w:val="006B1705"/>
    <w:rsid w:val="006B212C"/>
    <w:rsid w:val="006B2AE9"/>
    <w:rsid w:val="006B4D94"/>
    <w:rsid w:val="006B574B"/>
    <w:rsid w:val="006C02CF"/>
    <w:rsid w:val="006D202B"/>
    <w:rsid w:val="006D47A7"/>
    <w:rsid w:val="006D6D78"/>
    <w:rsid w:val="006E1A1C"/>
    <w:rsid w:val="006E2002"/>
    <w:rsid w:val="006E4E3F"/>
    <w:rsid w:val="006E5D8D"/>
    <w:rsid w:val="006E60E1"/>
    <w:rsid w:val="006F2DC0"/>
    <w:rsid w:val="006F68AE"/>
    <w:rsid w:val="006F6C4C"/>
    <w:rsid w:val="006F74DE"/>
    <w:rsid w:val="006F7B28"/>
    <w:rsid w:val="006F7CA0"/>
    <w:rsid w:val="00700FBB"/>
    <w:rsid w:val="00703C4E"/>
    <w:rsid w:val="00703CFE"/>
    <w:rsid w:val="00705157"/>
    <w:rsid w:val="00706577"/>
    <w:rsid w:val="007074AC"/>
    <w:rsid w:val="00712C2D"/>
    <w:rsid w:val="00713E1C"/>
    <w:rsid w:val="0071434B"/>
    <w:rsid w:val="00727E91"/>
    <w:rsid w:val="00730EDF"/>
    <w:rsid w:val="0073205F"/>
    <w:rsid w:val="00736524"/>
    <w:rsid w:val="0074475B"/>
    <w:rsid w:val="0074673C"/>
    <w:rsid w:val="0075578E"/>
    <w:rsid w:val="00756ED8"/>
    <w:rsid w:val="007603ED"/>
    <w:rsid w:val="0076234F"/>
    <w:rsid w:val="007627EC"/>
    <w:rsid w:val="00764ADB"/>
    <w:rsid w:val="00770CD0"/>
    <w:rsid w:val="0077587D"/>
    <w:rsid w:val="007820E5"/>
    <w:rsid w:val="00782574"/>
    <w:rsid w:val="00785C40"/>
    <w:rsid w:val="0079373D"/>
    <w:rsid w:val="00795028"/>
    <w:rsid w:val="00795C2F"/>
    <w:rsid w:val="007A1785"/>
    <w:rsid w:val="007A2AD6"/>
    <w:rsid w:val="007A346C"/>
    <w:rsid w:val="007A3542"/>
    <w:rsid w:val="007A35D5"/>
    <w:rsid w:val="007A723E"/>
    <w:rsid w:val="007B0F38"/>
    <w:rsid w:val="007B4072"/>
    <w:rsid w:val="007B4DEB"/>
    <w:rsid w:val="007B7878"/>
    <w:rsid w:val="007C0305"/>
    <w:rsid w:val="007C078E"/>
    <w:rsid w:val="007C67F5"/>
    <w:rsid w:val="007D041B"/>
    <w:rsid w:val="007D78F7"/>
    <w:rsid w:val="007D795B"/>
    <w:rsid w:val="007D7CD8"/>
    <w:rsid w:val="007E1FD5"/>
    <w:rsid w:val="007E2E3F"/>
    <w:rsid w:val="007E4C14"/>
    <w:rsid w:val="007E7448"/>
    <w:rsid w:val="00800CEA"/>
    <w:rsid w:val="00803CCF"/>
    <w:rsid w:val="0081196F"/>
    <w:rsid w:val="008143BE"/>
    <w:rsid w:val="00814738"/>
    <w:rsid w:val="008153F6"/>
    <w:rsid w:val="008323A6"/>
    <w:rsid w:val="00834236"/>
    <w:rsid w:val="008344A0"/>
    <w:rsid w:val="00834823"/>
    <w:rsid w:val="00837AA6"/>
    <w:rsid w:val="00841238"/>
    <w:rsid w:val="00841ED8"/>
    <w:rsid w:val="00843E3F"/>
    <w:rsid w:val="008516AF"/>
    <w:rsid w:val="008570A6"/>
    <w:rsid w:val="00857C0D"/>
    <w:rsid w:val="00857EBF"/>
    <w:rsid w:val="00861689"/>
    <w:rsid w:val="008639B8"/>
    <w:rsid w:val="00867343"/>
    <w:rsid w:val="008675D0"/>
    <w:rsid w:val="008736C9"/>
    <w:rsid w:val="00873F97"/>
    <w:rsid w:val="00875133"/>
    <w:rsid w:val="00880798"/>
    <w:rsid w:val="008864BC"/>
    <w:rsid w:val="00890C8C"/>
    <w:rsid w:val="00891D14"/>
    <w:rsid w:val="0089310E"/>
    <w:rsid w:val="008949AA"/>
    <w:rsid w:val="00894DC5"/>
    <w:rsid w:val="008A0951"/>
    <w:rsid w:val="008A0A74"/>
    <w:rsid w:val="008A1C7F"/>
    <w:rsid w:val="008A2A0C"/>
    <w:rsid w:val="008A2FF8"/>
    <w:rsid w:val="008A79A0"/>
    <w:rsid w:val="008B076F"/>
    <w:rsid w:val="008B241D"/>
    <w:rsid w:val="008B3690"/>
    <w:rsid w:val="008B38BF"/>
    <w:rsid w:val="008B7245"/>
    <w:rsid w:val="008C07F0"/>
    <w:rsid w:val="008C1D42"/>
    <w:rsid w:val="008C38A9"/>
    <w:rsid w:val="008C4AE0"/>
    <w:rsid w:val="008C5C06"/>
    <w:rsid w:val="008C6066"/>
    <w:rsid w:val="008C65B4"/>
    <w:rsid w:val="008D28CF"/>
    <w:rsid w:val="008D3C1C"/>
    <w:rsid w:val="008E01A0"/>
    <w:rsid w:val="008E081E"/>
    <w:rsid w:val="008E2079"/>
    <w:rsid w:val="008E748A"/>
    <w:rsid w:val="008F12DD"/>
    <w:rsid w:val="008F5F28"/>
    <w:rsid w:val="008F7DF0"/>
    <w:rsid w:val="00905704"/>
    <w:rsid w:val="009212B2"/>
    <w:rsid w:val="00921513"/>
    <w:rsid w:val="009239A4"/>
    <w:rsid w:val="009343D8"/>
    <w:rsid w:val="00935A21"/>
    <w:rsid w:val="00940CEB"/>
    <w:rsid w:val="00942DE0"/>
    <w:rsid w:val="009456EF"/>
    <w:rsid w:val="00946C26"/>
    <w:rsid w:val="009507B6"/>
    <w:rsid w:val="00951A64"/>
    <w:rsid w:val="0095439A"/>
    <w:rsid w:val="00955743"/>
    <w:rsid w:val="00955905"/>
    <w:rsid w:val="00957305"/>
    <w:rsid w:val="009575D0"/>
    <w:rsid w:val="00957CAD"/>
    <w:rsid w:val="009607CB"/>
    <w:rsid w:val="00963689"/>
    <w:rsid w:val="00965468"/>
    <w:rsid w:val="00970A96"/>
    <w:rsid w:val="00971608"/>
    <w:rsid w:val="00976DC7"/>
    <w:rsid w:val="009874C3"/>
    <w:rsid w:val="00987B45"/>
    <w:rsid w:val="00990A29"/>
    <w:rsid w:val="009944CA"/>
    <w:rsid w:val="00997105"/>
    <w:rsid w:val="00997308"/>
    <w:rsid w:val="00997D58"/>
    <w:rsid w:val="009A50E2"/>
    <w:rsid w:val="009B5D94"/>
    <w:rsid w:val="009B6BA7"/>
    <w:rsid w:val="009C0983"/>
    <w:rsid w:val="009C0EB0"/>
    <w:rsid w:val="009C1701"/>
    <w:rsid w:val="009C28ED"/>
    <w:rsid w:val="009C5CCF"/>
    <w:rsid w:val="009D50C3"/>
    <w:rsid w:val="009D5EFC"/>
    <w:rsid w:val="009D7E12"/>
    <w:rsid w:val="009E2D5B"/>
    <w:rsid w:val="009E2F0F"/>
    <w:rsid w:val="009E41CD"/>
    <w:rsid w:val="009E54FA"/>
    <w:rsid w:val="009E5914"/>
    <w:rsid w:val="009F0C8C"/>
    <w:rsid w:val="009F1C31"/>
    <w:rsid w:val="009F1C95"/>
    <w:rsid w:val="00A009ED"/>
    <w:rsid w:val="00A0404D"/>
    <w:rsid w:val="00A109D4"/>
    <w:rsid w:val="00A11D6F"/>
    <w:rsid w:val="00A12D33"/>
    <w:rsid w:val="00A13E16"/>
    <w:rsid w:val="00A2273F"/>
    <w:rsid w:val="00A260B1"/>
    <w:rsid w:val="00A27789"/>
    <w:rsid w:val="00A31D5D"/>
    <w:rsid w:val="00A3238F"/>
    <w:rsid w:val="00A356CF"/>
    <w:rsid w:val="00A365E8"/>
    <w:rsid w:val="00A36ECA"/>
    <w:rsid w:val="00A415E0"/>
    <w:rsid w:val="00A41F1A"/>
    <w:rsid w:val="00A42518"/>
    <w:rsid w:val="00A4449F"/>
    <w:rsid w:val="00A45492"/>
    <w:rsid w:val="00A466D2"/>
    <w:rsid w:val="00A46745"/>
    <w:rsid w:val="00A53F1A"/>
    <w:rsid w:val="00A55216"/>
    <w:rsid w:val="00A55674"/>
    <w:rsid w:val="00A61961"/>
    <w:rsid w:val="00A63C86"/>
    <w:rsid w:val="00A66B27"/>
    <w:rsid w:val="00A71644"/>
    <w:rsid w:val="00A72AF4"/>
    <w:rsid w:val="00A74EEA"/>
    <w:rsid w:val="00A75544"/>
    <w:rsid w:val="00A76662"/>
    <w:rsid w:val="00A77816"/>
    <w:rsid w:val="00A8158A"/>
    <w:rsid w:val="00A836E7"/>
    <w:rsid w:val="00A84BD4"/>
    <w:rsid w:val="00A86D18"/>
    <w:rsid w:val="00A911F7"/>
    <w:rsid w:val="00A9261A"/>
    <w:rsid w:val="00A93E5B"/>
    <w:rsid w:val="00A93F2E"/>
    <w:rsid w:val="00A95E1E"/>
    <w:rsid w:val="00A966C3"/>
    <w:rsid w:val="00A967D0"/>
    <w:rsid w:val="00AA2563"/>
    <w:rsid w:val="00AA53DB"/>
    <w:rsid w:val="00AA741E"/>
    <w:rsid w:val="00AB05DA"/>
    <w:rsid w:val="00AB22FA"/>
    <w:rsid w:val="00AB34BC"/>
    <w:rsid w:val="00AB5FD0"/>
    <w:rsid w:val="00AB741D"/>
    <w:rsid w:val="00AC2A65"/>
    <w:rsid w:val="00AC34A8"/>
    <w:rsid w:val="00AC34F2"/>
    <w:rsid w:val="00AD1CDF"/>
    <w:rsid w:val="00AD3E0B"/>
    <w:rsid w:val="00AD3EAF"/>
    <w:rsid w:val="00AD448E"/>
    <w:rsid w:val="00AD5E7B"/>
    <w:rsid w:val="00AD661D"/>
    <w:rsid w:val="00AE13AF"/>
    <w:rsid w:val="00AE1906"/>
    <w:rsid w:val="00AE580C"/>
    <w:rsid w:val="00AE596D"/>
    <w:rsid w:val="00AE716C"/>
    <w:rsid w:val="00AF01DC"/>
    <w:rsid w:val="00AF03D1"/>
    <w:rsid w:val="00AF18B4"/>
    <w:rsid w:val="00AF65FC"/>
    <w:rsid w:val="00B008FB"/>
    <w:rsid w:val="00B0646B"/>
    <w:rsid w:val="00B10589"/>
    <w:rsid w:val="00B13CBB"/>
    <w:rsid w:val="00B15DAE"/>
    <w:rsid w:val="00B271E7"/>
    <w:rsid w:val="00B31FB2"/>
    <w:rsid w:val="00B331DD"/>
    <w:rsid w:val="00B342FC"/>
    <w:rsid w:val="00B354F1"/>
    <w:rsid w:val="00B369CE"/>
    <w:rsid w:val="00B40B74"/>
    <w:rsid w:val="00B425FD"/>
    <w:rsid w:val="00B458F2"/>
    <w:rsid w:val="00B524CE"/>
    <w:rsid w:val="00B52DEC"/>
    <w:rsid w:val="00B56C3E"/>
    <w:rsid w:val="00B642F9"/>
    <w:rsid w:val="00B65446"/>
    <w:rsid w:val="00B668E1"/>
    <w:rsid w:val="00B67B32"/>
    <w:rsid w:val="00B72E63"/>
    <w:rsid w:val="00B7358E"/>
    <w:rsid w:val="00B74AE6"/>
    <w:rsid w:val="00B8017A"/>
    <w:rsid w:val="00B84B95"/>
    <w:rsid w:val="00B91EF0"/>
    <w:rsid w:val="00B973A3"/>
    <w:rsid w:val="00B9790B"/>
    <w:rsid w:val="00BA2A9F"/>
    <w:rsid w:val="00BA3D27"/>
    <w:rsid w:val="00BB5FAC"/>
    <w:rsid w:val="00BC66FF"/>
    <w:rsid w:val="00BC7E93"/>
    <w:rsid w:val="00BD0751"/>
    <w:rsid w:val="00BD63FB"/>
    <w:rsid w:val="00BE0A84"/>
    <w:rsid w:val="00BE2BA4"/>
    <w:rsid w:val="00BE4D80"/>
    <w:rsid w:val="00BE6360"/>
    <w:rsid w:val="00BE68BD"/>
    <w:rsid w:val="00BE7882"/>
    <w:rsid w:val="00BF2E96"/>
    <w:rsid w:val="00BF35B7"/>
    <w:rsid w:val="00C02115"/>
    <w:rsid w:val="00C0613B"/>
    <w:rsid w:val="00C0707B"/>
    <w:rsid w:val="00C23DAF"/>
    <w:rsid w:val="00C24269"/>
    <w:rsid w:val="00C27C86"/>
    <w:rsid w:val="00C30F52"/>
    <w:rsid w:val="00C454C2"/>
    <w:rsid w:val="00C45C4E"/>
    <w:rsid w:val="00C50306"/>
    <w:rsid w:val="00C50FCB"/>
    <w:rsid w:val="00C61139"/>
    <w:rsid w:val="00C6345A"/>
    <w:rsid w:val="00C64803"/>
    <w:rsid w:val="00C82C0A"/>
    <w:rsid w:val="00C85909"/>
    <w:rsid w:val="00C874F2"/>
    <w:rsid w:val="00C91430"/>
    <w:rsid w:val="00CA23F1"/>
    <w:rsid w:val="00CA76C5"/>
    <w:rsid w:val="00CB166D"/>
    <w:rsid w:val="00CB2547"/>
    <w:rsid w:val="00CC0494"/>
    <w:rsid w:val="00CC2A0F"/>
    <w:rsid w:val="00CC4201"/>
    <w:rsid w:val="00CD048D"/>
    <w:rsid w:val="00CD2DB2"/>
    <w:rsid w:val="00CD5AE4"/>
    <w:rsid w:val="00CE2FEC"/>
    <w:rsid w:val="00CE3625"/>
    <w:rsid w:val="00CF040F"/>
    <w:rsid w:val="00CF2BB6"/>
    <w:rsid w:val="00CF3481"/>
    <w:rsid w:val="00D022F3"/>
    <w:rsid w:val="00D06AB7"/>
    <w:rsid w:val="00D07339"/>
    <w:rsid w:val="00D10874"/>
    <w:rsid w:val="00D15257"/>
    <w:rsid w:val="00D165D8"/>
    <w:rsid w:val="00D16828"/>
    <w:rsid w:val="00D171ED"/>
    <w:rsid w:val="00D25DA0"/>
    <w:rsid w:val="00D3053B"/>
    <w:rsid w:val="00D31402"/>
    <w:rsid w:val="00D321A7"/>
    <w:rsid w:val="00D34A8F"/>
    <w:rsid w:val="00D36CD5"/>
    <w:rsid w:val="00D401D1"/>
    <w:rsid w:val="00D4186E"/>
    <w:rsid w:val="00D42EE6"/>
    <w:rsid w:val="00D43B9B"/>
    <w:rsid w:val="00D53414"/>
    <w:rsid w:val="00D5641E"/>
    <w:rsid w:val="00D57B2D"/>
    <w:rsid w:val="00D60FB1"/>
    <w:rsid w:val="00D62486"/>
    <w:rsid w:val="00D647A3"/>
    <w:rsid w:val="00D65DCC"/>
    <w:rsid w:val="00D66A86"/>
    <w:rsid w:val="00D74B9B"/>
    <w:rsid w:val="00D82E4C"/>
    <w:rsid w:val="00D86549"/>
    <w:rsid w:val="00D910AB"/>
    <w:rsid w:val="00D91120"/>
    <w:rsid w:val="00D91A34"/>
    <w:rsid w:val="00D91B24"/>
    <w:rsid w:val="00D9418F"/>
    <w:rsid w:val="00D9462B"/>
    <w:rsid w:val="00D95D73"/>
    <w:rsid w:val="00DA3271"/>
    <w:rsid w:val="00DA5EF3"/>
    <w:rsid w:val="00DA69F4"/>
    <w:rsid w:val="00DB0FFE"/>
    <w:rsid w:val="00DB4722"/>
    <w:rsid w:val="00DC1990"/>
    <w:rsid w:val="00DC2B61"/>
    <w:rsid w:val="00DC5072"/>
    <w:rsid w:val="00DC600F"/>
    <w:rsid w:val="00DC6808"/>
    <w:rsid w:val="00DC6BF9"/>
    <w:rsid w:val="00DD0693"/>
    <w:rsid w:val="00DD0F78"/>
    <w:rsid w:val="00DD587A"/>
    <w:rsid w:val="00DE0C21"/>
    <w:rsid w:val="00DE2FD2"/>
    <w:rsid w:val="00DE49FF"/>
    <w:rsid w:val="00DE5C28"/>
    <w:rsid w:val="00DE713F"/>
    <w:rsid w:val="00DF14B8"/>
    <w:rsid w:val="00DF1D1A"/>
    <w:rsid w:val="00DF5338"/>
    <w:rsid w:val="00E02ADE"/>
    <w:rsid w:val="00E03672"/>
    <w:rsid w:val="00E0581D"/>
    <w:rsid w:val="00E06485"/>
    <w:rsid w:val="00E06761"/>
    <w:rsid w:val="00E0787C"/>
    <w:rsid w:val="00E16DD5"/>
    <w:rsid w:val="00E217F9"/>
    <w:rsid w:val="00E23C7E"/>
    <w:rsid w:val="00E25D33"/>
    <w:rsid w:val="00E37DB1"/>
    <w:rsid w:val="00E41042"/>
    <w:rsid w:val="00E46922"/>
    <w:rsid w:val="00E4793F"/>
    <w:rsid w:val="00E507CA"/>
    <w:rsid w:val="00E509E6"/>
    <w:rsid w:val="00E53FD6"/>
    <w:rsid w:val="00E627AA"/>
    <w:rsid w:val="00E657CF"/>
    <w:rsid w:val="00E67A2E"/>
    <w:rsid w:val="00E713EC"/>
    <w:rsid w:val="00E74E82"/>
    <w:rsid w:val="00E80473"/>
    <w:rsid w:val="00E85010"/>
    <w:rsid w:val="00E878D6"/>
    <w:rsid w:val="00E87FFD"/>
    <w:rsid w:val="00EA545C"/>
    <w:rsid w:val="00EA6102"/>
    <w:rsid w:val="00EA68E1"/>
    <w:rsid w:val="00EA6D0F"/>
    <w:rsid w:val="00EB3F3A"/>
    <w:rsid w:val="00EB4627"/>
    <w:rsid w:val="00EB4BC2"/>
    <w:rsid w:val="00EB53A5"/>
    <w:rsid w:val="00EC1FE5"/>
    <w:rsid w:val="00EC525C"/>
    <w:rsid w:val="00ED1741"/>
    <w:rsid w:val="00ED41FC"/>
    <w:rsid w:val="00ED4B55"/>
    <w:rsid w:val="00ED718F"/>
    <w:rsid w:val="00EE1B0E"/>
    <w:rsid w:val="00EE3B56"/>
    <w:rsid w:val="00EE4487"/>
    <w:rsid w:val="00EF2DB8"/>
    <w:rsid w:val="00EF335C"/>
    <w:rsid w:val="00EF4395"/>
    <w:rsid w:val="00EF61E8"/>
    <w:rsid w:val="00EF65A5"/>
    <w:rsid w:val="00F00845"/>
    <w:rsid w:val="00F008E5"/>
    <w:rsid w:val="00F02BDA"/>
    <w:rsid w:val="00F11CF9"/>
    <w:rsid w:val="00F14CC5"/>
    <w:rsid w:val="00F157CD"/>
    <w:rsid w:val="00F21D52"/>
    <w:rsid w:val="00F23425"/>
    <w:rsid w:val="00F31234"/>
    <w:rsid w:val="00F31FEB"/>
    <w:rsid w:val="00F325D9"/>
    <w:rsid w:val="00F32920"/>
    <w:rsid w:val="00F3367B"/>
    <w:rsid w:val="00F33877"/>
    <w:rsid w:val="00F42DE8"/>
    <w:rsid w:val="00F53015"/>
    <w:rsid w:val="00F53D21"/>
    <w:rsid w:val="00F64BC1"/>
    <w:rsid w:val="00F67DB3"/>
    <w:rsid w:val="00F72507"/>
    <w:rsid w:val="00F75508"/>
    <w:rsid w:val="00F80D1C"/>
    <w:rsid w:val="00F81445"/>
    <w:rsid w:val="00F81B25"/>
    <w:rsid w:val="00F94BDF"/>
    <w:rsid w:val="00FA0F29"/>
    <w:rsid w:val="00FA1DC6"/>
    <w:rsid w:val="00FB00D6"/>
    <w:rsid w:val="00FB22A9"/>
    <w:rsid w:val="00FB2C54"/>
    <w:rsid w:val="00FC4961"/>
    <w:rsid w:val="00FD2F80"/>
    <w:rsid w:val="00FD5AAA"/>
    <w:rsid w:val="00FD6455"/>
    <w:rsid w:val="00FE2DD6"/>
    <w:rsid w:val="00FE2E09"/>
    <w:rsid w:val="00FF2123"/>
    <w:rsid w:val="00FF48C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BCF5"/>
  <w15:docId w15:val="{C9C4795D-49D0-46E3-88B2-239D9E6C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2BA4"/>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C0"/>
    <w:pPr>
      <w:ind w:left="720"/>
      <w:contextualSpacing/>
    </w:pPr>
    <w:rPr>
      <w:rFonts w:ascii="Times New Roman" w:hAnsi="Times New Roman" w:cs="Times New Roman"/>
      <w:lang w:eastAsia="tr-TR"/>
    </w:rPr>
  </w:style>
  <w:style w:type="paragraph" w:styleId="NormalWeb">
    <w:name w:val="Normal (Web)"/>
    <w:basedOn w:val="Normal"/>
    <w:uiPriority w:val="99"/>
    <w:semiHidden/>
    <w:unhideWhenUsed/>
    <w:rsid w:val="00785C40"/>
    <w:pPr>
      <w:spacing w:before="100" w:beforeAutospacing="1" w:after="100" w:afterAutospacing="1"/>
    </w:pPr>
    <w:rPr>
      <w:rFonts w:ascii="Times New Roman" w:hAnsi="Times New Roman" w:cs="Times New Roman"/>
      <w:lang w:eastAsia="tr-TR"/>
    </w:rPr>
  </w:style>
  <w:style w:type="paragraph" w:customStyle="1" w:styleId="xmsonormal">
    <w:name w:val="x_msonormal"/>
    <w:basedOn w:val="Normal"/>
    <w:rsid w:val="00EF335C"/>
    <w:pPr>
      <w:spacing w:before="100" w:beforeAutospacing="1" w:after="100" w:afterAutospacing="1"/>
    </w:pPr>
    <w:rPr>
      <w:rFonts w:ascii="Times New Roman" w:eastAsia="Times New Roman" w:hAnsi="Times New Roman" w:cs="Times New Roman"/>
      <w:lang w:eastAsia="tr-TR"/>
    </w:rPr>
  </w:style>
  <w:style w:type="table" w:styleId="TableGrid">
    <w:name w:val="Table Grid"/>
    <w:basedOn w:val="TableNormal"/>
    <w:uiPriority w:val="39"/>
    <w:rsid w:val="001006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0645"/>
    <w:rPr>
      <w:b/>
      <w:bCs/>
    </w:rPr>
  </w:style>
  <w:style w:type="paragraph" w:styleId="Header">
    <w:name w:val="header"/>
    <w:basedOn w:val="Normal"/>
    <w:link w:val="HeaderChar"/>
    <w:uiPriority w:val="99"/>
    <w:unhideWhenUsed/>
    <w:rsid w:val="005559AC"/>
    <w:pPr>
      <w:tabs>
        <w:tab w:val="center" w:pos="4536"/>
        <w:tab w:val="right" w:pos="9072"/>
      </w:tabs>
    </w:pPr>
  </w:style>
  <w:style w:type="character" w:customStyle="1" w:styleId="HeaderChar">
    <w:name w:val="Header Char"/>
    <w:basedOn w:val="DefaultParagraphFont"/>
    <w:link w:val="Header"/>
    <w:uiPriority w:val="99"/>
    <w:rsid w:val="005559AC"/>
  </w:style>
  <w:style w:type="paragraph" w:styleId="Footer">
    <w:name w:val="footer"/>
    <w:basedOn w:val="Normal"/>
    <w:link w:val="FooterChar"/>
    <w:uiPriority w:val="99"/>
    <w:unhideWhenUsed/>
    <w:rsid w:val="005559AC"/>
    <w:pPr>
      <w:tabs>
        <w:tab w:val="center" w:pos="4536"/>
        <w:tab w:val="right" w:pos="9072"/>
      </w:tabs>
    </w:pPr>
  </w:style>
  <w:style w:type="character" w:customStyle="1" w:styleId="FooterChar">
    <w:name w:val="Footer Char"/>
    <w:basedOn w:val="DefaultParagraphFont"/>
    <w:link w:val="Footer"/>
    <w:uiPriority w:val="99"/>
    <w:rsid w:val="005559AC"/>
  </w:style>
  <w:style w:type="character" w:customStyle="1" w:styleId="Heading1Char">
    <w:name w:val="Heading 1 Char"/>
    <w:basedOn w:val="DefaultParagraphFont"/>
    <w:link w:val="Heading1"/>
    <w:uiPriority w:val="9"/>
    <w:rsid w:val="00BE2BA4"/>
    <w:rPr>
      <w:rFonts w:ascii="Times New Roman" w:eastAsia="Times New Roman" w:hAnsi="Times New Roman" w:cs="Times New Roman"/>
      <w:b/>
      <w:bCs/>
      <w:kern w:val="36"/>
      <w:sz w:val="48"/>
      <w:szCs w:val="48"/>
      <w:lang w:eastAsia="tr-TR"/>
    </w:rPr>
  </w:style>
  <w:style w:type="character" w:styleId="Hyperlink">
    <w:name w:val="Hyperlink"/>
    <w:basedOn w:val="DefaultParagraphFont"/>
    <w:unhideWhenUsed/>
    <w:rsid w:val="00A356CF"/>
    <w:rPr>
      <w:color w:val="0000FF"/>
      <w:u w:val="single"/>
    </w:rPr>
  </w:style>
  <w:style w:type="character" w:customStyle="1" w:styleId="apple-converted-space">
    <w:name w:val="apple-converted-space"/>
    <w:basedOn w:val="DefaultParagraphFont"/>
    <w:rsid w:val="00A356CF"/>
  </w:style>
  <w:style w:type="paragraph" w:styleId="BalloonText">
    <w:name w:val="Balloon Text"/>
    <w:basedOn w:val="Normal"/>
    <w:link w:val="BalloonTextChar"/>
    <w:uiPriority w:val="99"/>
    <w:semiHidden/>
    <w:unhideWhenUsed/>
    <w:rsid w:val="00C6345A"/>
    <w:rPr>
      <w:rFonts w:ascii="Tahoma" w:hAnsi="Tahoma" w:cs="Tahoma"/>
      <w:sz w:val="16"/>
      <w:szCs w:val="16"/>
    </w:rPr>
  </w:style>
  <w:style w:type="character" w:customStyle="1" w:styleId="BalloonTextChar">
    <w:name w:val="Balloon Text Char"/>
    <w:basedOn w:val="DefaultParagraphFont"/>
    <w:link w:val="BalloonText"/>
    <w:uiPriority w:val="99"/>
    <w:semiHidden/>
    <w:rsid w:val="00C6345A"/>
    <w:rPr>
      <w:rFonts w:ascii="Tahoma" w:hAnsi="Tahoma" w:cs="Tahoma"/>
      <w:sz w:val="16"/>
      <w:szCs w:val="16"/>
    </w:rPr>
  </w:style>
  <w:style w:type="character" w:customStyle="1" w:styleId="highlight">
    <w:name w:val="highlight"/>
    <w:basedOn w:val="DefaultParagraphFont"/>
    <w:rsid w:val="00B008FB"/>
  </w:style>
  <w:style w:type="paragraph" w:customStyle="1" w:styleId="paragraph">
    <w:name w:val="paragraph"/>
    <w:basedOn w:val="Normal"/>
    <w:rsid w:val="00A9261A"/>
    <w:rPr>
      <w:rFonts w:ascii="Times New Roman" w:eastAsia="Times New Roman" w:hAnsi="Times New Roman" w:cs="Times New Roman"/>
      <w:lang w:eastAsia="tr-TR"/>
    </w:rPr>
  </w:style>
  <w:style w:type="table" w:customStyle="1" w:styleId="TabloKlavuzuAk1">
    <w:name w:val="Tablo Kılavuzu Açık1"/>
    <w:basedOn w:val="TableNormal"/>
    <w:uiPriority w:val="40"/>
    <w:rsid w:val="000C4B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21">
    <w:name w:val="Düz Tablo 21"/>
    <w:basedOn w:val="TableNormal"/>
    <w:uiPriority w:val="42"/>
    <w:rsid w:val="00A425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11">
    <w:name w:val="Düz Tablo 11"/>
    <w:basedOn w:val="TableNormal"/>
    <w:uiPriority w:val="41"/>
    <w:rsid w:val="00A109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BB5FAC"/>
  </w:style>
  <w:style w:type="character" w:customStyle="1" w:styleId="spellingerror">
    <w:name w:val="spellingerror"/>
    <w:basedOn w:val="DefaultParagraphFont"/>
    <w:rsid w:val="00BB5FAC"/>
  </w:style>
  <w:style w:type="character" w:customStyle="1" w:styleId="eop">
    <w:name w:val="eop"/>
    <w:basedOn w:val="DefaultParagraphFont"/>
    <w:rsid w:val="00BB5FAC"/>
  </w:style>
  <w:style w:type="paragraph" w:customStyle="1" w:styleId="1">
    <w:name w:val="正文1"/>
    <w:uiPriority w:val="99"/>
    <w:rsid w:val="00FB22A9"/>
    <w:pPr>
      <w:spacing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FB22A9"/>
    <w:rPr>
      <w:sz w:val="21"/>
      <w:szCs w:val="21"/>
    </w:rPr>
  </w:style>
  <w:style w:type="paragraph" w:styleId="CommentText">
    <w:name w:val="annotation text"/>
    <w:basedOn w:val="Normal"/>
    <w:link w:val="CommentTextChar"/>
    <w:uiPriority w:val="99"/>
    <w:unhideWhenUsed/>
    <w:rsid w:val="00FB22A9"/>
  </w:style>
  <w:style w:type="character" w:customStyle="1" w:styleId="CommentTextChar">
    <w:name w:val="Comment Text Char"/>
    <w:basedOn w:val="DefaultParagraphFont"/>
    <w:link w:val="CommentText"/>
    <w:uiPriority w:val="99"/>
    <w:rsid w:val="00FB22A9"/>
  </w:style>
  <w:style w:type="paragraph" w:styleId="CommentSubject">
    <w:name w:val="annotation subject"/>
    <w:basedOn w:val="CommentText"/>
    <w:next w:val="CommentText"/>
    <w:link w:val="CommentSubjectChar"/>
    <w:uiPriority w:val="99"/>
    <w:semiHidden/>
    <w:unhideWhenUsed/>
    <w:rsid w:val="00FB22A9"/>
    <w:rPr>
      <w:b/>
      <w:bCs/>
    </w:rPr>
  </w:style>
  <w:style w:type="character" w:customStyle="1" w:styleId="CommentSubjectChar">
    <w:name w:val="Comment Subject Char"/>
    <w:basedOn w:val="CommentTextChar"/>
    <w:link w:val="CommentSubject"/>
    <w:uiPriority w:val="99"/>
    <w:semiHidden/>
    <w:rsid w:val="00FB22A9"/>
    <w:rPr>
      <w:b/>
      <w:bCs/>
    </w:rPr>
  </w:style>
  <w:style w:type="table" w:customStyle="1" w:styleId="TabloKlavuzuAk2">
    <w:name w:val="Tablo Kılavuzu Açık2"/>
    <w:basedOn w:val="TableNormal"/>
    <w:uiPriority w:val="40"/>
    <w:rsid w:val="006E1A1C"/>
    <w:rPr>
      <w:rFonts w:ascii="Calibri" w:eastAsia="Calibri" w:hAnsi="Calibri" w:cs="Times New Roman"/>
      <w:sz w:val="20"/>
      <w:szCs w:val="20"/>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6E1A1C"/>
    <w:rPr>
      <w:rFonts w:ascii="Calibri" w:eastAsia="Calibri" w:hAnsi="Calibri" w:cs="Times New Roman"/>
      <w:sz w:val="20"/>
      <w:szCs w:val="20"/>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uiPriority w:val="41"/>
    <w:rsid w:val="006E1A1C"/>
    <w:rPr>
      <w:rFonts w:ascii="Calibri" w:eastAsia="Calibri" w:hAnsi="Calibri" w:cs="Times New Roman"/>
      <w:sz w:val="20"/>
      <w:szCs w:val="20"/>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390">
      <w:bodyDiv w:val="1"/>
      <w:marLeft w:val="0"/>
      <w:marRight w:val="0"/>
      <w:marTop w:val="0"/>
      <w:marBottom w:val="0"/>
      <w:divBdr>
        <w:top w:val="none" w:sz="0" w:space="0" w:color="auto"/>
        <w:left w:val="none" w:sz="0" w:space="0" w:color="auto"/>
        <w:bottom w:val="none" w:sz="0" w:space="0" w:color="auto"/>
        <w:right w:val="none" w:sz="0" w:space="0" w:color="auto"/>
      </w:divBdr>
    </w:div>
    <w:div w:id="49618619">
      <w:bodyDiv w:val="1"/>
      <w:marLeft w:val="0"/>
      <w:marRight w:val="0"/>
      <w:marTop w:val="0"/>
      <w:marBottom w:val="0"/>
      <w:divBdr>
        <w:top w:val="none" w:sz="0" w:space="0" w:color="auto"/>
        <w:left w:val="none" w:sz="0" w:space="0" w:color="auto"/>
        <w:bottom w:val="none" w:sz="0" w:space="0" w:color="auto"/>
        <w:right w:val="none" w:sz="0" w:space="0" w:color="auto"/>
      </w:divBdr>
    </w:div>
    <w:div w:id="61635793">
      <w:bodyDiv w:val="1"/>
      <w:marLeft w:val="0"/>
      <w:marRight w:val="0"/>
      <w:marTop w:val="0"/>
      <w:marBottom w:val="0"/>
      <w:divBdr>
        <w:top w:val="none" w:sz="0" w:space="0" w:color="auto"/>
        <w:left w:val="none" w:sz="0" w:space="0" w:color="auto"/>
        <w:bottom w:val="none" w:sz="0" w:space="0" w:color="auto"/>
        <w:right w:val="none" w:sz="0" w:space="0" w:color="auto"/>
      </w:divBdr>
    </w:div>
    <w:div w:id="79954263">
      <w:bodyDiv w:val="1"/>
      <w:marLeft w:val="0"/>
      <w:marRight w:val="0"/>
      <w:marTop w:val="0"/>
      <w:marBottom w:val="0"/>
      <w:divBdr>
        <w:top w:val="none" w:sz="0" w:space="0" w:color="auto"/>
        <w:left w:val="none" w:sz="0" w:space="0" w:color="auto"/>
        <w:bottom w:val="none" w:sz="0" w:space="0" w:color="auto"/>
        <w:right w:val="none" w:sz="0" w:space="0" w:color="auto"/>
      </w:divBdr>
      <w:divsChild>
        <w:div w:id="74713496">
          <w:marLeft w:val="360"/>
          <w:marRight w:val="0"/>
          <w:marTop w:val="200"/>
          <w:marBottom w:val="0"/>
          <w:divBdr>
            <w:top w:val="none" w:sz="0" w:space="0" w:color="auto"/>
            <w:left w:val="none" w:sz="0" w:space="0" w:color="auto"/>
            <w:bottom w:val="none" w:sz="0" w:space="0" w:color="auto"/>
            <w:right w:val="none" w:sz="0" w:space="0" w:color="auto"/>
          </w:divBdr>
        </w:div>
      </w:divsChild>
    </w:div>
    <w:div w:id="109125703">
      <w:bodyDiv w:val="1"/>
      <w:marLeft w:val="0"/>
      <w:marRight w:val="0"/>
      <w:marTop w:val="0"/>
      <w:marBottom w:val="0"/>
      <w:divBdr>
        <w:top w:val="none" w:sz="0" w:space="0" w:color="auto"/>
        <w:left w:val="none" w:sz="0" w:space="0" w:color="auto"/>
        <w:bottom w:val="none" w:sz="0" w:space="0" w:color="auto"/>
        <w:right w:val="none" w:sz="0" w:space="0" w:color="auto"/>
      </w:divBdr>
    </w:div>
    <w:div w:id="112754627">
      <w:bodyDiv w:val="1"/>
      <w:marLeft w:val="0"/>
      <w:marRight w:val="0"/>
      <w:marTop w:val="0"/>
      <w:marBottom w:val="0"/>
      <w:divBdr>
        <w:top w:val="none" w:sz="0" w:space="0" w:color="auto"/>
        <w:left w:val="none" w:sz="0" w:space="0" w:color="auto"/>
        <w:bottom w:val="none" w:sz="0" w:space="0" w:color="auto"/>
        <w:right w:val="none" w:sz="0" w:space="0" w:color="auto"/>
      </w:divBdr>
    </w:div>
    <w:div w:id="123273704">
      <w:bodyDiv w:val="1"/>
      <w:marLeft w:val="0"/>
      <w:marRight w:val="0"/>
      <w:marTop w:val="0"/>
      <w:marBottom w:val="0"/>
      <w:divBdr>
        <w:top w:val="none" w:sz="0" w:space="0" w:color="auto"/>
        <w:left w:val="none" w:sz="0" w:space="0" w:color="auto"/>
        <w:bottom w:val="none" w:sz="0" w:space="0" w:color="auto"/>
        <w:right w:val="none" w:sz="0" w:space="0" w:color="auto"/>
      </w:divBdr>
    </w:div>
    <w:div w:id="128520880">
      <w:bodyDiv w:val="1"/>
      <w:marLeft w:val="0"/>
      <w:marRight w:val="0"/>
      <w:marTop w:val="0"/>
      <w:marBottom w:val="0"/>
      <w:divBdr>
        <w:top w:val="none" w:sz="0" w:space="0" w:color="auto"/>
        <w:left w:val="none" w:sz="0" w:space="0" w:color="auto"/>
        <w:bottom w:val="none" w:sz="0" w:space="0" w:color="auto"/>
        <w:right w:val="none" w:sz="0" w:space="0" w:color="auto"/>
      </w:divBdr>
    </w:div>
    <w:div w:id="150683814">
      <w:bodyDiv w:val="1"/>
      <w:marLeft w:val="0"/>
      <w:marRight w:val="0"/>
      <w:marTop w:val="0"/>
      <w:marBottom w:val="0"/>
      <w:divBdr>
        <w:top w:val="none" w:sz="0" w:space="0" w:color="auto"/>
        <w:left w:val="none" w:sz="0" w:space="0" w:color="auto"/>
        <w:bottom w:val="none" w:sz="0" w:space="0" w:color="auto"/>
        <w:right w:val="none" w:sz="0" w:space="0" w:color="auto"/>
      </w:divBdr>
    </w:div>
    <w:div w:id="203564378">
      <w:bodyDiv w:val="1"/>
      <w:marLeft w:val="0"/>
      <w:marRight w:val="0"/>
      <w:marTop w:val="0"/>
      <w:marBottom w:val="0"/>
      <w:divBdr>
        <w:top w:val="none" w:sz="0" w:space="0" w:color="auto"/>
        <w:left w:val="none" w:sz="0" w:space="0" w:color="auto"/>
        <w:bottom w:val="none" w:sz="0" w:space="0" w:color="auto"/>
        <w:right w:val="none" w:sz="0" w:space="0" w:color="auto"/>
      </w:divBdr>
    </w:div>
    <w:div w:id="230889154">
      <w:bodyDiv w:val="1"/>
      <w:marLeft w:val="0"/>
      <w:marRight w:val="0"/>
      <w:marTop w:val="0"/>
      <w:marBottom w:val="0"/>
      <w:divBdr>
        <w:top w:val="none" w:sz="0" w:space="0" w:color="auto"/>
        <w:left w:val="none" w:sz="0" w:space="0" w:color="auto"/>
        <w:bottom w:val="none" w:sz="0" w:space="0" w:color="auto"/>
        <w:right w:val="none" w:sz="0" w:space="0" w:color="auto"/>
      </w:divBdr>
    </w:div>
    <w:div w:id="254944559">
      <w:bodyDiv w:val="1"/>
      <w:marLeft w:val="0"/>
      <w:marRight w:val="0"/>
      <w:marTop w:val="0"/>
      <w:marBottom w:val="0"/>
      <w:divBdr>
        <w:top w:val="none" w:sz="0" w:space="0" w:color="auto"/>
        <w:left w:val="none" w:sz="0" w:space="0" w:color="auto"/>
        <w:bottom w:val="none" w:sz="0" w:space="0" w:color="auto"/>
        <w:right w:val="none" w:sz="0" w:space="0" w:color="auto"/>
      </w:divBdr>
    </w:div>
    <w:div w:id="314267295">
      <w:bodyDiv w:val="1"/>
      <w:marLeft w:val="0"/>
      <w:marRight w:val="0"/>
      <w:marTop w:val="0"/>
      <w:marBottom w:val="0"/>
      <w:divBdr>
        <w:top w:val="none" w:sz="0" w:space="0" w:color="auto"/>
        <w:left w:val="none" w:sz="0" w:space="0" w:color="auto"/>
        <w:bottom w:val="none" w:sz="0" w:space="0" w:color="auto"/>
        <w:right w:val="none" w:sz="0" w:space="0" w:color="auto"/>
      </w:divBdr>
    </w:div>
    <w:div w:id="345013728">
      <w:bodyDiv w:val="1"/>
      <w:marLeft w:val="0"/>
      <w:marRight w:val="0"/>
      <w:marTop w:val="0"/>
      <w:marBottom w:val="0"/>
      <w:divBdr>
        <w:top w:val="none" w:sz="0" w:space="0" w:color="auto"/>
        <w:left w:val="none" w:sz="0" w:space="0" w:color="auto"/>
        <w:bottom w:val="none" w:sz="0" w:space="0" w:color="auto"/>
        <w:right w:val="none" w:sz="0" w:space="0" w:color="auto"/>
      </w:divBdr>
    </w:div>
    <w:div w:id="358359516">
      <w:bodyDiv w:val="1"/>
      <w:marLeft w:val="0"/>
      <w:marRight w:val="0"/>
      <w:marTop w:val="0"/>
      <w:marBottom w:val="0"/>
      <w:divBdr>
        <w:top w:val="none" w:sz="0" w:space="0" w:color="auto"/>
        <w:left w:val="none" w:sz="0" w:space="0" w:color="auto"/>
        <w:bottom w:val="none" w:sz="0" w:space="0" w:color="auto"/>
        <w:right w:val="none" w:sz="0" w:space="0" w:color="auto"/>
      </w:divBdr>
    </w:div>
    <w:div w:id="369844924">
      <w:bodyDiv w:val="1"/>
      <w:marLeft w:val="0"/>
      <w:marRight w:val="0"/>
      <w:marTop w:val="0"/>
      <w:marBottom w:val="0"/>
      <w:divBdr>
        <w:top w:val="none" w:sz="0" w:space="0" w:color="auto"/>
        <w:left w:val="none" w:sz="0" w:space="0" w:color="auto"/>
        <w:bottom w:val="none" w:sz="0" w:space="0" w:color="auto"/>
        <w:right w:val="none" w:sz="0" w:space="0" w:color="auto"/>
      </w:divBdr>
    </w:div>
    <w:div w:id="408161488">
      <w:bodyDiv w:val="1"/>
      <w:marLeft w:val="0"/>
      <w:marRight w:val="0"/>
      <w:marTop w:val="0"/>
      <w:marBottom w:val="0"/>
      <w:divBdr>
        <w:top w:val="none" w:sz="0" w:space="0" w:color="auto"/>
        <w:left w:val="none" w:sz="0" w:space="0" w:color="auto"/>
        <w:bottom w:val="none" w:sz="0" w:space="0" w:color="auto"/>
        <w:right w:val="none" w:sz="0" w:space="0" w:color="auto"/>
      </w:divBdr>
      <w:divsChild>
        <w:div w:id="1918057110">
          <w:marLeft w:val="360"/>
          <w:marRight w:val="0"/>
          <w:marTop w:val="200"/>
          <w:marBottom w:val="0"/>
          <w:divBdr>
            <w:top w:val="none" w:sz="0" w:space="0" w:color="auto"/>
            <w:left w:val="none" w:sz="0" w:space="0" w:color="auto"/>
            <w:bottom w:val="none" w:sz="0" w:space="0" w:color="auto"/>
            <w:right w:val="none" w:sz="0" w:space="0" w:color="auto"/>
          </w:divBdr>
        </w:div>
      </w:divsChild>
    </w:div>
    <w:div w:id="414209193">
      <w:bodyDiv w:val="1"/>
      <w:marLeft w:val="0"/>
      <w:marRight w:val="0"/>
      <w:marTop w:val="0"/>
      <w:marBottom w:val="0"/>
      <w:divBdr>
        <w:top w:val="none" w:sz="0" w:space="0" w:color="auto"/>
        <w:left w:val="none" w:sz="0" w:space="0" w:color="auto"/>
        <w:bottom w:val="none" w:sz="0" w:space="0" w:color="auto"/>
        <w:right w:val="none" w:sz="0" w:space="0" w:color="auto"/>
      </w:divBdr>
    </w:div>
    <w:div w:id="418521518">
      <w:bodyDiv w:val="1"/>
      <w:marLeft w:val="0"/>
      <w:marRight w:val="0"/>
      <w:marTop w:val="0"/>
      <w:marBottom w:val="0"/>
      <w:divBdr>
        <w:top w:val="none" w:sz="0" w:space="0" w:color="auto"/>
        <w:left w:val="none" w:sz="0" w:space="0" w:color="auto"/>
        <w:bottom w:val="none" w:sz="0" w:space="0" w:color="auto"/>
        <w:right w:val="none" w:sz="0" w:space="0" w:color="auto"/>
      </w:divBdr>
    </w:div>
    <w:div w:id="427578900">
      <w:bodyDiv w:val="1"/>
      <w:marLeft w:val="0"/>
      <w:marRight w:val="0"/>
      <w:marTop w:val="0"/>
      <w:marBottom w:val="0"/>
      <w:divBdr>
        <w:top w:val="none" w:sz="0" w:space="0" w:color="auto"/>
        <w:left w:val="none" w:sz="0" w:space="0" w:color="auto"/>
        <w:bottom w:val="none" w:sz="0" w:space="0" w:color="auto"/>
        <w:right w:val="none" w:sz="0" w:space="0" w:color="auto"/>
      </w:divBdr>
    </w:div>
    <w:div w:id="460029869">
      <w:bodyDiv w:val="1"/>
      <w:marLeft w:val="0"/>
      <w:marRight w:val="0"/>
      <w:marTop w:val="0"/>
      <w:marBottom w:val="0"/>
      <w:divBdr>
        <w:top w:val="none" w:sz="0" w:space="0" w:color="auto"/>
        <w:left w:val="none" w:sz="0" w:space="0" w:color="auto"/>
        <w:bottom w:val="none" w:sz="0" w:space="0" w:color="auto"/>
        <w:right w:val="none" w:sz="0" w:space="0" w:color="auto"/>
      </w:divBdr>
      <w:divsChild>
        <w:div w:id="771121159">
          <w:marLeft w:val="360"/>
          <w:marRight w:val="0"/>
          <w:marTop w:val="200"/>
          <w:marBottom w:val="0"/>
          <w:divBdr>
            <w:top w:val="none" w:sz="0" w:space="0" w:color="auto"/>
            <w:left w:val="none" w:sz="0" w:space="0" w:color="auto"/>
            <w:bottom w:val="none" w:sz="0" w:space="0" w:color="auto"/>
            <w:right w:val="none" w:sz="0" w:space="0" w:color="auto"/>
          </w:divBdr>
        </w:div>
        <w:div w:id="197471713">
          <w:marLeft w:val="360"/>
          <w:marRight w:val="0"/>
          <w:marTop w:val="200"/>
          <w:marBottom w:val="0"/>
          <w:divBdr>
            <w:top w:val="none" w:sz="0" w:space="0" w:color="auto"/>
            <w:left w:val="none" w:sz="0" w:space="0" w:color="auto"/>
            <w:bottom w:val="none" w:sz="0" w:space="0" w:color="auto"/>
            <w:right w:val="none" w:sz="0" w:space="0" w:color="auto"/>
          </w:divBdr>
        </w:div>
        <w:div w:id="1017544176">
          <w:marLeft w:val="360"/>
          <w:marRight w:val="0"/>
          <w:marTop w:val="200"/>
          <w:marBottom w:val="0"/>
          <w:divBdr>
            <w:top w:val="none" w:sz="0" w:space="0" w:color="auto"/>
            <w:left w:val="none" w:sz="0" w:space="0" w:color="auto"/>
            <w:bottom w:val="none" w:sz="0" w:space="0" w:color="auto"/>
            <w:right w:val="none" w:sz="0" w:space="0" w:color="auto"/>
          </w:divBdr>
        </w:div>
      </w:divsChild>
    </w:div>
    <w:div w:id="475951663">
      <w:bodyDiv w:val="1"/>
      <w:marLeft w:val="0"/>
      <w:marRight w:val="0"/>
      <w:marTop w:val="0"/>
      <w:marBottom w:val="0"/>
      <w:divBdr>
        <w:top w:val="none" w:sz="0" w:space="0" w:color="auto"/>
        <w:left w:val="none" w:sz="0" w:space="0" w:color="auto"/>
        <w:bottom w:val="none" w:sz="0" w:space="0" w:color="auto"/>
        <w:right w:val="none" w:sz="0" w:space="0" w:color="auto"/>
      </w:divBdr>
    </w:div>
    <w:div w:id="476655361">
      <w:bodyDiv w:val="1"/>
      <w:marLeft w:val="0"/>
      <w:marRight w:val="0"/>
      <w:marTop w:val="0"/>
      <w:marBottom w:val="0"/>
      <w:divBdr>
        <w:top w:val="none" w:sz="0" w:space="0" w:color="auto"/>
        <w:left w:val="none" w:sz="0" w:space="0" w:color="auto"/>
        <w:bottom w:val="none" w:sz="0" w:space="0" w:color="auto"/>
        <w:right w:val="none" w:sz="0" w:space="0" w:color="auto"/>
      </w:divBdr>
    </w:div>
    <w:div w:id="481393679">
      <w:bodyDiv w:val="1"/>
      <w:marLeft w:val="0"/>
      <w:marRight w:val="0"/>
      <w:marTop w:val="0"/>
      <w:marBottom w:val="0"/>
      <w:divBdr>
        <w:top w:val="none" w:sz="0" w:space="0" w:color="auto"/>
        <w:left w:val="none" w:sz="0" w:space="0" w:color="auto"/>
        <w:bottom w:val="none" w:sz="0" w:space="0" w:color="auto"/>
        <w:right w:val="none" w:sz="0" w:space="0" w:color="auto"/>
      </w:divBdr>
    </w:div>
    <w:div w:id="522599379">
      <w:bodyDiv w:val="1"/>
      <w:marLeft w:val="0"/>
      <w:marRight w:val="0"/>
      <w:marTop w:val="0"/>
      <w:marBottom w:val="0"/>
      <w:divBdr>
        <w:top w:val="none" w:sz="0" w:space="0" w:color="auto"/>
        <w:left w:val="none" w:sz="0" w:space="0" w:color="auto"/>
        <w:bottom w:val="none" w:sz="0" w:space="0" w:color="auto"/>
        <w:right w:val="none" w:sz="0" w:space="0" w:color="auto"/>
      </w:divBdr>
    </w:div>
    <w:div w:id="525414025">
      <w:bodyDiv w:val="1"/>
      <w:marLeft w:val="0"/>
      <w:marRight w:val="0"/>
      <w:marTop w:val="0"/>
      <w:marBottom w:val="0"/>
      <w:divBdr>
        <w:top w:val="none" w:sz="0" w:space="0" w:color="auto"/>
        <w:left w:val="none" w:sz="0" w:space="0" w:color="auto"/>
        <w:bottom w:val="none" w:sz="0" w:space="0" w:color="auto"/>
        <w:right w:val="none" w:sz="0" w:space="0" w:color="auto"/>
      </w:divBdr>
    </w:div>
    <w:div w:id="562451138">
      <w:bodyDiv w:val="1"/>
      <w:marLeft w:val="0"/>
      <w:marRight w:val="0"/>
      <w:marTop w:val="0"/>
      <w:marBottom w:val="0"/>
      <w:divBdr>
        <w:top w:val="none" w:sz="0" w:space="0" w:color="auto"/>
        <w:left w:val="none" w:sz="0" w:space="0" w:color="auto"/>
        <w:bottom w:val="none" w:sz="0" w:space="0" w:color="auto"/>
        <w:right w:val="none" w:sz="0" w:space="0" w:color="auto"/>
      </w:divBdr>
    </w:div>
    <w:div w:id="588082714">
      <w:bodyDiv w:val="1"/>
      <w:marLeft w:val="0"/>
      <w:marRight w:val="0"/>
      <w:marTop w:val="0"/>
      <w:marBottom w:val="0"/>
      <w:divBdr>
        <w:top w:val="none" w:sz="0" w:space="0" w:color="auto"/>
        <w:left w:val="none" w:sz="0" w:space="0" w:color="auto"/>
        <w:bottom w:val="none" w:sz="0" w:space="0" w:color="auto"/>
        <w:right w:val="none" w:sz="0" w:space="0" w:color="auto"/>
      </w:divBdr>
      <w:divsChild>
        <w:div w:id="1639608101">
          <w:marLeft w:val="360"/>
          <w:marRight w:val="0"/>
          <w:marTop w:val="200"/>
          <w:marBottom w:val="0"/>
          <w:divBdr>
            <w:top w:val="none" w:sz="0" w:space="0" w:color="auto"/>
            <w:left w:val="none" w:sz="0" w:space="0" w:color="auto"/>
            <w:bottom w:val="none" w:sz="0" w:space="0" w:color="auto"/>
            <w:right w:val="none" w:sz="0" w:space="0" w:color="auto"/>
          </w:divBdr>
        </w:div>
        <w:div w:id="1165434677">
          <w:marLeft w:val="360"/>
          <w:marRight w:val="0"/>
          <w:marTop w:val="200"/>
          <w:marBottom w:val="0"/>
          <w:divBdr>
            <w:top w:val="none" w:sz="0" w:space="0" w:color="auto"/>
            <w:left w:val="none" w:sz="0" w:space="0" w:color="auto"/>
            <w:bottom w:val="none" w:sz="0" w:space="0" w:color="auto"/>
            <w:right w:val="none" w:sz="0" w:space="0" w:color="auto"/>
          </w:divBdr>
        </w:div>
        <w:div w:id="584922970">
          <w:marLeft w:val="360"/>
          <w:marRight w:val="0"/>
          <w:marTop w:val="200"/>
          <w:marBottom w:val="0"/>
          <w:divBdr>
            <w:top w:val="none" w:sz="0" w:space="0" w:color="auto"/>
            <w:left w:val="none" w:sz="0" w:space="0" w:color="auto"/>
            <w:bottom w:val="none" w:sz="0" w:space="0" w:color="auto"/>
            <w:right w:val="none" w:sz="0" w:space="0" w:color="auto"/>
          </w:divBdr>
        </w:div>
      </w:divsChild>
    </w:div>
    <w:div w:id="592974920">
      <w:bodyDiv w:val="1"/>
      <w:marLeft w:val="0"/>
      <w:marRight w:val="0"/>
      <w:marTop w:val="0"/>
      <w:marBottom w:val="0"/>
      <w:divBdr>
        <w:top w:val="none" w:sz="0" w:space="0" w:color="auto"/>
        <w:left w:val="none" w:sz="0" w:space="0" w:color="auto"/>
        <w:bottom w:val="none" w:sz="0" w:space="0" w:color="auto"/>
        <w:right w:val="none" w:sz="0" w:space="0" w:color="auto"/>
      </w:divBdr>
    </w:div>
    <w:div w:id="634602804">
      <w:bodyDiv w:val="1"/>
      <w:marLeft w:val="0"/>
      <w:marRight w:val="0"/>
      <w:marTop w:val="0"/>
      <w:marBottom w:val="0"/>
      <w:divBdr>
        <w:top w:val="none" w:sz="0" w:space="0" w:color="auto"/>
        <w:left w:val="none" w:sz="0" w:space="0" w:color="auto"/>
        <w:bottom w:val="none" w:sz="0" w:space="0" w:color="auto"/>
        <w:right w:val="none" w:sz="0" w:space="0" w:color="auto"/>
      </w:divBdr>
    </w:div>
    <w:div w:id="638193375">
      <w:bodyDiv w:val="1"/>
      <w:marLeft w:val="0"/>
      <w:marRight w:val="0"/>
      <w:marTop w:val="0"/>
      <w:marBottom w:val="0"/>
      <w:divBdr>
        <w:top w:val="none" w:sz="0" w:space="0" w:color="auto"/>
        <w:left w:val="none" w:sz="0" w:space="0" w:color="auto"/>
        <w:bottom w:val="none" w:sz="0" w:space="0" w:color="auto"/>
        <w:right w:val="none" w:sz="0" w:space="0" w:color="auto"/>
      </w:divBdr>
    </w:div>
    <w:div w:id="653946758">
      <w:bodyDiv w:val="1"/>
      <w:marLeft w:val="0"/>
      <w:marRight w:val="0"/>
      <w:marTop w:val="0"/>
      <w:marBottom w:val="0"/>
      <w:divBdr>
        <w:top w:val="none" w:sz="0" w:space="0" w:color="auto"/>
        <w:left w:val="none" w:sz="0" w:space="0" w:color="auto"/>
        <w:bottom w:val="none" w:sz="0" w:space="0" w:color="auto"/>
        <w:right w:val="none" w:sz="0" w:space="0" w:color="auto"/>
      </w:divBdr>
    </w:div>
    <w:div w:id="659314015">
      <w:bodyDiv w:val="1"/>
      <w:marLeft w:val="0"/>
      <w:marRight w:val="0"/>
      <w:marTop w:val="0"/>
      <w:marBottom w:val="0"/>
      <w:divBdr>
        <w:top w:val="none" w:sz="0" w:space="0" w:color="auto"/>
        <w:left w:val="none" w:sz="0" w:space="0" w:color="auto"/>
        <w:bottom w:val="none" w:sz="0" w:space="0" w:color="auto"/>
        <w:right w:val="none" w:sz="0" w:space="0" w:color="auto"/>
      </w:divBdr>
    </w:div>
    <w:div w:id="693307995">
      <w:bodyDiv w:val="1"/>
      <w:marLeft w:val="0"/>
      <w:marRight w:val="0"/>
      <w:marTop w:val="0"/>
      <w:marBottom w:val="0"/>
      <w:divBdr>
        <w:top w:val="none" w:sz="0" w:space="0" w:color="auto"/>
        <w:left w:val="none" w:sz="0" w:space="0" w:color="auto"/>
        <w:bottom w:val="none" w:sz="0" w:space="0" w:color="auto"/>
        <w:right w:val="none" w:sz="0" w:space="0" w:color="auto"/>
      </w:divBdr>
    </w:div>
    <w:div w:id="721636847">
      <w:bodyDiv w:val="1"/>
      <w:marLeft w:val="0"/>
      <w:marRight w:val="0"/>
      <w:marTop w:val="0"/>
      <w:marBottom w:val="0"/>
      <w:divBdr>
        <w:top w:val="none" w:sz="0" w:space="0" w:color="auto"/>
        <w:left w:val="none" w:sz="0" w:space="0" w:color="auto"/>
        <w:bottom w:val="none" w:sz="0" w:space="0" w:color="auto"/>
        <w:right w:val="none" w:sz="0" w:space="0" w:color="auto"/>
      </w:divBdr>
    </w:div>
    <w:div w:id="751775611">
      <w:bodyDiv w:val="1"/>
      <w:marLeft w:val="0"/>
      <w:marRight w:val="0"/>
      <w:marTop w:val="0"/>
      <w:marBottom w:val="0"/>
      <w:divBdr>
        <w:top w:val="none" w:sz="0" w:space="0" w:color="auto"/>
        <w:left w:val="none" w:sz="0" w:space="0" w:color="auto"/>
        <w:bottom w:val="none" w:sz="0" w:space="0" w:color="auto"/>
        <w:right w:val="none" w:sz="0" w:space="0" w:color="auto"/>
      </w:divBdr>
    </w:div>
    <w:div w:id="766538240">
      <w:bodyDiv w:val="1"/>
      <w:marLeft w:val="0"/>
      <w:marRight w:val="0"/>
      <w:marTop w:val="0"/>
      <w:marBottom w:val="0"/>
      <w:divBdr>
        <w:top w:val="none" w:sz="0" w:space="0" w:color="auto"/>
        <w:left w:val="none" w:sz="0" w:space="0" w:color="auto"/>
        <w:bottom w:val="none" w:sz="0" w:space="0" w:color="auto"/>
        <w:right w:val="none" w:sz="0" w:space="0" w:color="auto"/>
      </w:divBdr>
    </w:div>
    <w:div w:id="768502645">
      <w:bodyDiv w:val="1"/>
      <w:marLeft w:val="0"/>
      <w:marRight w:val="0"/>
      <w:marTop w:val="0"/>
      <w:marBottom w:val="0"/>
      <w:divBdr>
        <w:top w:val="none" w:sz="0" w:space="0" w:color="auto"/>
        <w:left w:val="none" w:sz="0" w:space="0" w:color="auto"/>
        <w:bottom w:val="none" w:sz="0" w:space="0" w:color="auto"/>
        <w:right w:val="none" w:sz="0" w:space="0" w:color="auto"/>
      </w:divBdr>
    </w:div>
    <w:div w:id="784539649">
      <w:bodyDiv w:val="1"/>
      <w:marLeft w:val="0"/>
      <w:marRight w:val="0"/>
      <w:marTop w:val="0"/>
      <w:marBottom w:val="0"/>
      <w:divBdr>
        <w:top w:val="none" w:sz="0" w:space="0" w:color="auto"/>
        <w:left w:val="none" w:sz="0" w:space="0" w:color="auto"/>
        <w:bottom w:val="none" w:sz="0" w:space="0" w:color="auto"/>
        <w:right w:val="none" w:sz="0" w:space="0" w:color="auto"/>
      </w:divBdr>
      <w:divsChild>
        <w:div w:id="367225928">
          <w:marLeft w:val="360"/>
          <w:marRight w:val="0"/>
          <w:marTop w:val="200"/>
          <w:marBottom w:val="0"/>
          <w:divBdr>
            <w:top w:val="none" w:sz="0" w:space="0" w:color="auto"/>
            <w:left w:val="none" w:sz="0" w:space="0" w:color="auto"/>
            <w:bottom w:val="none" w:sz="0" w:space="0" w:color="auto"/>
            <w:right w:val="none" w:sz="0" w:space="0" w:color="auto"/>
          </w:divBdr>
        </w:div>
      </w:divsChild>
    </w:div>
    <w:div w:id="799147612">
      <w:bodyDiv w:val="1"/>
      <w:marLeft w:val="0"/>
      <w:marRight w:val="0"/>
      <w:marTop w:val="0"/>
      <w:marBottom w:val="0"/>
      <w:divBdr>
        <w:top w:val="none" w:sz="0" w:space="0" w:color="auto"/>
        <w:left w:val="none" w:sz="0" w:space="0" w:color="auto"/>
        <w:bottom w:val="none" w:sz="0" w:space="0" w:color="auto"/>
        <w:right w:val="none" w:sz="0" w:space="0" w:color="auto"/>
      </w:divBdr>
    </w:div>
    <w:div w:id="866792008">
      <w:bodyDiv w:val="1"/>
      <w:marLeft w:val="0"/>
      <w:marRight w:val="0"/>
      <w:marTop w:val="0"/>
      <w:marBottom w:val="0"/>
      <w:divBdr>
        <w:top w:val="none" w:sz="0" w:space="0" w:color="auto"/>
        <w:left w:val="none" w:sz="0" w:space="0" w:color="auto"/>
        <w:bottom w:val="none" w:sz="0" w:space="0" w:color="auto"/>
        <w:right w:val="none" w:sz="0" w:space="0" w:color="auto"/>
      </w:divBdr>
    </w:div>
    <w:div w:id="877931709">
      <w:bodyDiv w:val="1"/>
      <w:marLeft w:val="0"/>
      <w:marRight w:val="0"/>
      <w:marTop w:val="0"/>
      <w:marBottom w:val="0"/>
      <w:divBdr>
        <w:top w:val="none" w:sz="0" w:space="0" w:color="auto"/>
        <w:left w:val="none" w:sz="0" w:space="0" w:color="auto"/>
        <w:bottom w:val="none" w:sz="0" w:space="0" w:color="auto"/>
        <w:right w:val="none" w:sz="0" w:space="0" w:color="auto"/>
      </w:divBdr>
    </w:div>
    <w:div w:id="900138320">
      <w:bodyDiv w:val="1"/>
      <w:marLeft w:val="0"/>
      <w:marRight w:val="0"/>
      <w:marTop w:val="0"/>
      <w:marBottom w:val="0"/>
      <w:divBdr>
        <w:top w:val="none" w:sz="0" w:space="0" w:color="auto"/>
        <w:left w:val="none" w:sz="0" w:space="0" w:color="auto"/>
        <w:bottom w:val="none" w:sz="0" w:space="0" w:color="auto"/>
        <w:right w:val="none" w:sz="0" w:space="0" w:color="auto"/>
      </w:divBdr>
    </w:div>
    <w:div w:id="980311763">
      <w:bodyDiv w:val="1"/>
      <w:marLeft w:val="0"/>
      <w:marRight w:val="0"/>
      <w:marTop w:val="0"/>
      <w:marBottom w:val="0"/>
      <w:divBdr>
        <w:top w:val="none" w:sz="0" w:space="0" w:color="auto"/>
        <w:left w:val="none" w:sz="0" w:space="0" w:color="auto"/>
        <w:bottom w:val="none" w:sz="0" w:space="0" w:color="auto"/>
        <w:right w:val="none" w:sz="0" w:space="0" w:color="auto"/>
      </w:divBdr>
    </w:div>
    <w:div w:id="1011030151">
      <w:bodyDiv w:val="1"/>
      <w:marLeft w:val="0"/>
      <w:marRight w:val="0"/>
      <w:marTop w:val="0"/>
      <w:marBottom w:val="0"/>
      <w:divBdr>
        <w:top w:val="none" w:sz="0" w:space="0" w:color="auto"/>
        <w:left w:val="none" w:sz="0" w:space="0" w:color="auto"/>
        <w:bottom w:val="none" w:sz="0" w:space="0" w:color="auto"/>
        <w:right w:val="none" w:sz="0" w:space="0" w:color="auto"/>
      </w:divBdr>
    </w:div>
    <w:div w:id="1016998907">
      <w:bodyDiv w:val="1"/>
      <w:marLeft w:val="0"/>
      <w:marRight w:val="0"/>
      <w:marTop w:val="0"/>
      <w:marBottom w:val="0"/>
      <w:divBdr>
        <w:top w:val="none" w:sz="0" w:space="0" w:color="auto"/>
        <w:left w:val="none" w:sz="0" w:space="0" w:color="auto"/>
        <w:bottom w:val="none" w:sz="0" w:space="0" w:color="auto"/>
        <w:right w:val="none" w:sz="0" w:space="0" w:color="auto"/>
      </w:divBdr>
    </w:div>
    <w:div w:id="1026515653">
      <w:bodyDiv w:val="1"/>
      <w:marLeft w:val="0"/>
      <w:marRight w:val="0"/>
      <w:marTop w:val="0"/>
      <w:marBottom w:val="0"/>
      <w:divBdr>
        <w:top w:val="none" w:sz="0" w:space="0" w:color="auto"/>
        <w:left w:val="none" w:sz="0" w:space="0" w:color="auto"/>
        <w:bottom w:val="none" w:sz="0" w:space="0" w:color="auto"/>
        <w:right w:val="none" w:sz="0" w:space="0" w:color="auto"/>
      </w:divBdr>
    </w:div>
    <w:div w:id="1041634218">
      <w:bodyDiv w:val="1"/>
      <w:marLeft w:val="0"/>
      <w:marRight w:val="0"/>
      <w:marTop w:val="0"/>
      <w:marBottom w:val="0"/>
      <w:divBdr>
        <w:top w:val="none" w:sz="0" w:space="0" w:color="auto"/>
        <w:left w:val="none" w:sz="0" w:space="0" w:color="auto"/>
        <w:bottom w:val="none" w:sz="0" w:space="0" w:color="auto"/>
        <w:right w:val="none" w:sz="0" w:space="0" w:color="auto"/>
      </w:divBdr>
    </w:div>
    <w:div w:id="1092433344">
      <w:bodyDiv w:val="1"/>
      <w:marLeft w:val="0"/>
      <w:marRight w:val="0"/>
      <w:marTop w:val="0"/>
      <w:marBottom w:val="0"/>
      <w:divBdr>
        <w:top w:val="none" w:sz="0" w:space="0" w:color="auto"/>
        <w:left w:val="none" w:sz="0" w:space="0" w:color="auto"/>
        <w:bottom w:val="none" w:sz="0" w:space="0" w:color="auto"/>
        <w:right w:val="none" w:sz="0" w:space="0" w:color="auto"/>
      </w:divBdr>
    </w:div>
    <w:div w:id="1099570766">
      <w:bodyDiv w:val="1"/>
      <w:marLeft w:val="0"/>
      <w:marRight w:val="0"/>
      <w:marTop w:val="0"/>
      <w:marBottom w:val="0"/>
      <w:divBdr>
        <w:top w:val="none" w:sz="0" w:space="0" w:color="auto"/>
        <w:left w:val="none" w:sz="0" w:space="0" w:color="auto"/>
        <w:bottom w:val="none" w:sz="0" w:space="0" w:color="auto"/>
        <w:right w:val="none" w:sz="0" w:space="0" w:color="auto"/>
      </w:divBdr>
      <w:divsChild>
        <w:div w:id="734360335">
          <w:marLeft w:val="360"/>
          <w:marRight w:val="0"/>
          <w:marTop w:val="200"/>
          <w:marBottom w:val="0"/>
          <w:divBdr>
            <w:top w:val="none" w:sz="0" w:space="0" w:color="auto"/>
            <w:left w:val="none" w:sz="0" w:space="0" w:color="auto"/>
            <w:bottom w:val="none" w:sz="0" w:space="0" w:color="auto"/>
            <w:right w:val="none" w:sz="0" w:space="0" w:color="auto"/>
          </w:divBdr>
        </w:div>
        <w:div w:id="1389912196">
          <w:marLeft w:val="360"/>
          <w:marRight w:val="0"/>
          <w:marTop w:val="200"/>
          <w:marBottom w:val="0"/>
          <w:divBdr>
            <w:top w:val="none" w:sz="0" w:space="0" w:color="auto"/>
            <w:left w:val="none" w:sz="0" w:space="0" w:color="auto"/>
            <w:bottom w:val="none" w:sz="0" w:space="0" w:color="auto"/>
            <w:right w:val="none" w:sz="0" w:space="0" w:color="auto"/>
          </w:divBdr>
        </w:div>
        <w:div w:id="903763692">
          <w:marLeft w:val="360"/>
          <w:marRight w:val="0"/>
          <w:marTop w:val="200"/>
          <w:marBottom w:val="0"/>
          <w:divBdr>
            <w:top w:val="none" w:sz="0" w:space="0" w:color="auto"/>
            <w:left w:val="none" w:sz="0" w:space="0" w:color="auto"/>
            <w:bottom w:val="none" w:sz="0" w:space="0" w:color="auto"/>
            <w:right w:val="none" w:sz="0" w:space="0" w:color="auto"/>
          </w:divBdr>
        </w:div>
      </w:divsChild>
    </w:div>
    <w:div w:id="1117026148">
      <w:bodyDiv w:val="1"/>
      <w:marLeft w:val="0"/>
      <w:marRight w:val="0"/>
      <w:marTop w:val="0"/>
      <w:marBottom w:val="0"/>
      <w:divBdr>
        <w:top w:val="none" w:sz="0" w:space="0" w:color="auto"/>
        <w:left w:val="none" w:sz="0" w:space="0" w:color="auto"/>
        <w:bottom w:val="none" w:sz="0" w:space="0" w:color="auto"/>
        <w:right w:val="none" w:sz="0" w:space="0" w:color="auto"/>
      </w:divBdr>
    </w:div>
    <w:div w:id="1122458855">
      <w:bodyDiv w:val="1"/>
      <w:marLeft w:val="0"/>
      <w:marRight w:val="0"/>
      <w:marTop w:val="0"/>
      <w:marBottom w:val="0"/>
      <w:divBdr>
        <w:top w:val="none" w:sz="0" w:space="0" w:color="auto"/>
        <w:left w:val="none" w:sz="0" w:space="0" w:color="auto"/>
        <w:bottom w:val="none" w:sz="0" w:space="0" w:color="auto"/>
        <w:right w:val="none" w:sz="0" w:space="0" w:color="auto"/>
      </w:divBdr>
    </w:div>
    <w:div w:id="1140999314">
      <w:bodyDiv w:val="1"/>
      <w:marLeft w:val="0"/>
      <w:marRight w:val="0"/>
      <w:marTop w:val="0"/>
      <w:marBottom w:val="0"/>
      <w:divBdr>
        <w:top w:val="none" w:sz="0" w:space="0" w:color="auto"/>
        <w:left w:val="none" w:sz="0" w:space="0" w:color="auto"/>
        <w:bottom w:val="none" w:sz="0" w:space="0" w:color="auto"/>
        <w:right w:val="none" w:sz="0" w:space="0" w:color="auto"/>
      </w:divBdr>
    </w:div>
    <w:div w:id="1241062133">
      <w:bodyDiv w:val="1"/>
      <w:marLeft w:val="0"/>
      <w:marRight w:val="0"/>
      <w:marTop w:val="0"/>
      <w:marBottom w:val="0"/>
      <w:divBdr>
        <w:top w:val="none" w:sz="0" w:space="0" w:color="auto"/>
        <w:left w:val="none" w:sz="0" w:space="0" w:color="auto"/>
        <w:bottom w:val="none" w:sz="0" w:space="0" w:color="auto"/>
        <w:right w:val="none" w:sz="0" w:space="0" w:color="auto"/>
      </w:divBdr>
    </w:div>
    <w:div w:id="1279332436">
      <w:bodyDiv w:val="1"/>
      <w:marLeft w:val="0"/>
      <w:marRight w:val="0"/>
      <w:marTop w:val="0"/>
      <w:marBottom w:val="0"/>
      <w:divBdr>
        <w:top w:val="none" w:sz="0" w:space="0" w:color="auto"/>
        <w:left w:val="none" w:sz="0" w:space="0" w:color="auto"/>
        <w:bottom w:val="none" w:sz="0" w:space="0" w:color="auto"/>
        <w:right w:val="none" w:sz="0" w:space="0" w:color="auto"/>
      </w:divBdr>
      <w:divsChild>
        <w:div w:id="1663776884">
          <w:marLeft w:val="360"/>
          <w:marRight w:val="0"/>
          <w:marTop w:val="200"/>
          <w:marBottom w:val="0"/>
          <w:divBdr>
            <w:top w:val="none" w:sz="0" w:space="0" w:color="auto"/>
            <w:left w:val="none" w:sz="0" w:space="0" w:color="auto"/>
            <w:bottom w:val="none" w:sz="0" w:space="0" w:color="auto"/>
            <w:right w:val="none" w:sz="0" w:space="0" w:color="auto"/>
          </w:divBdr>
        </w:div>
        <w:div w:id="621502952">
          <w:marLeft w:val="360"/>
          <w:marRight w:val="0"/>
          <w:marTop w:val="200"/>
          <w:marBottom w:val="0"/>
          <w:divBdr>
            <w:top w:val="none" w:sz="0" w:space="0" w:color="auto"/>
            <w:left w:val="none" w:sz="0" w:space="0" w:color="auto"/>
            <w:bottom w:val="none" w:sz="0" w:space="0" w:color="auto"/>
            <w:right w:val="none" w:sz="0" w:space="0" w:color="auto"/>
          </w:divBdr>
        </w:div>
        <w:div w:id="171266665">
          <w:marLeft w:val="360"/>
          <w:marRight w:val="0"/>
          <w:marTop w:val="200"/>
          <w:marBottom w:val="0"/>
          <w:divBdr>
            <w:top w:val="none" w:sz="0" w:space="0" w:color="auto"/>
            <w:left w:val="none" w:sz="0" w:space="0" w:color="auto"/>
            <w:bottom w:val="none" w:sz="0" w:space="0" w:color="auto"/>
            <w:right w:val="none" w:sz="0" w:space="0" w:color="auto"/>
          </w:divBdr>
        </w:div>
        <w:div w:id="885874066">
          <w:marLeft w:val="360"/>
          <w:marRight w:val="0"/>
          <w:marTop w:val="200"/>
          <w:marBottom w:val="0"/>
          <w:divBdr>
            <w:top w:val="none" w:sz="0" w:space="0" w:color="auto"/>
            <w:left w:val="none" w:sz="0" w:space="0" w:color="auto"/>
            <w:bottom w:val="none" w:sz="0" w:space="0" w:color="auto"/>
            <w:right w:val="none" w:sz="0" w:space="0" w:color="auto"/>
          </w:divBdr>
        </w:div>
      </w:divsChild>
    </w:div>
    <w:div w:id="1436903211">
      <w:bodyDiv w:val="1"/>
      <w:marLeft w:val="0"/>
      <w:marRight w:val="0"/>
      <w:marTop w:val="0"/>
      <w:marBottom w:val="0"/>
      <w:divBdr>
        <w:top w:val="none" w:sz="0" w:space="0" w:color="auto"/>
        <w:left w:val="none" w:sz="0" w:space="0" w:color="auto"/>
        <w:bottom w:val="none" w:sz="0" w:space="0" w:color="auto"/>
        <w:right w:val="none" w:sz="0" w:space="0" w:color="auto"/>
      </w:divBdr>
    </w:div>
    <w:div w:id="1459494789">
      <w:bodyDiv w:val="1"/>
      <w:marLeft w:val="0"/>
      <w:marRight w:val="0"/>
      <w:marTop w:val="0"/>
      <w:marBottom w:val="0"/>
      <w:divBdr>
        <w:top w:val="none" w:sz="0" w:space="0" w:color="auto"/>
        <w:left w:val="none" w:sz="0" w:space="0" w:color="auto"/>
        <w:bottom w:val="none" w:sz="0" w:space="0" w:color="auto"/>
        <w:right w:val="none" w:sz="0" w:space="0" w:color="auto"/>
      </w:divBdr>
    </w:div>
    <w:div w:id="1488017222">
      <w:bodyDiv w:val="1"/>
      <w:marLeft w:val="0"/>
      <w:marRight w:val="0"/>
      <w:marTop w:val="0"/>
      <w:marBottom w:val="0"/>
      <w:divBdr>
        <w:top w:val="none" w:sz="0" w:space="0" w:color="auto"/>
        <w:left w:val="none" w:sz="0" w:space="0" w:color="auto"/>
        <w:bottom w:val="none" w:sz="0" w:space="0" w:color="auto"/>
        <w:right w:val="none" w:sz="0" w:space="0" w:color="auto"/>
      </w:divBdr>
    </w:div>
    <w:div w:id="1502894931">
      <w:bodyDiv w:val="1"/>
      <w:marLeft w:val="0"/>
      <w:marRight w:val="0"/>
      <w:marTop w:val="0"/>
      <w:marBottom w:val="0"/>
      <w:divBdr>
        <w:top w:val="none" w:sz="0" w:space="0" w:color="auto"/>
        <w:left w:val="none" w:sz="0" w:space="0" w:color="auto"/>
        <w:bottom w:val="none" w:sz="0" w:space="0" w:color="auto"/>
        <w:right w:val="none" w:sz="0" w:space="0" w:color="auto"/>
      </w:divBdr>
    </w:div>
    <w:div w:id="1518034054">
      <w:bodyDiv w:val="1"/>
      <w:marLeft w:val="0"/>
      <w:marRight w:val="0"/>
      <w:marTop w:val="0"/>
      <w:marBottom w:val="0"/>
      <w:divBdr>
        <w:top w:val="none" w:sz="0" w:space="0" w:color="auto"/>
        <w:left w:val="none" w:sz="0" w:space="0" w:color="auto"/>
        <w:bottom w:val="none" w:sz="0" w:space="0" w:color="auto"/>
        <w:right w:val="none" w:sz="0" w:space="0" w:color="auto"/>
      </w:divBdr>
    </w:div>
    <w:div w:id="1608269206">
      <w:bodyDiv w:val="1"/>
      <w:marLeft w:val="0"/>
      <w:marRight w:val="0"/>
      <w:marTop w:val="0"/>
      <w:marBottom w:val="0"/>
      <w:divBdr>
        <w:top w:val="none" w:sz="0" w:space="0" w:color="auto"/>
        <w:left w:val="none" w:sz="0" w:space="0" w:color="auto"/>
        <w:bottom w:val="none" w:sz="0" w:space="0" w:color="auto"/>
        <w:right w:val="none" w:sz="0" w:space="0" w:color="auto"/>
      </w:divBdr>
    </w:div>
    <w:div w:id="1638484431">
      <w:bodyDiv w:val="1"/>
      <w:marLeft w:val="0"/>
      <w:marRight w:val="0"/>
      <w:marTop w:val="0"/>
      <w:marBottom w:val="0"/>
      <w:divBdr>
        <w:top w:val="none" w:sz="0" w:space="0" w:color="auto"/>
        <w:left w:val="none" w:sz="0" w:space="0" w:color="auto"/>
        <w:bottom w:val="none" w:sz="0" w:space="0" w:color="auto"/>
        <w:right w:val="none" w:sz="0" w:space="0" w:color="auto"/>
      </w:divBdr>
      <w:divsChild>
        <w:div w:id="179202288">
          <w:marLeft w:val="360"/>
          <w:marRight w:val="0"/>
          <w:marTop w:val="200"/>
          <w:marBottom w:val="0"/>
          <w:divBdr>
            <w:top w:val="none" w:sz="0" w:space="0" w:color="auto"/>
            <w:left w:val="none" w:sz="0" w:space="0" w:color="auto"/>
            <w:bottom w:val="none" w:sz="0" w:space="0" w:color="auto"/>
            <w:right w:val="none" w:sz="0" w:space="0" w:color="auto"/>
          </w:divBdr>
        </w:div>
      </w:divsChild>
    </w:div>
    <w:div w:id="1669291524">
      <w:bodyDiv w:val="1"/>
      <w:marLeft w:val="0"/>
      <w:marRight w:val="0"/>
      <w:marTop w:val="0"/>
      <w:marBottom w:val="0"/>
      <w:divBdr>
        <w:top w:val="none" w:sz="0" w:space="0" w:color="auto"/>
        <w:left w:val="none" w:sz="0" w:space="0" w:color="auto"/>
        <w:bottom w:val="none" w:sz="0" w:space="0" w:color="auto"/>
        <w:right w:val="none" w:sz="0" w:space="0" w:color="auto"/>
      </w:divBdr>
      <w:divsChild>
        <w:div w:id="369110010">
          <w:marLeft w:val="360"/>
          <w:marRight w:val="0"/>
          <w:marTop w:val="200"/>
          <w:marBottom w:val="0"/>
          <w:divBdr>
            <w:top w:val="none" w:sz="0" w:space="0" w:color="auto"/>
            <w:left w:val="none" w:sz="0" w:space="0" w:color="auto"/>
            <w:bottom w:val="none" w:sz="0" w:space="0" w:color="auto"/>
            <w:right w:val="none" w:sz="0" w:space="0" w:color="auto"/>
          </w:divBdr>
        </w:div>
        <w:div w:id="1452745769">
          <w:marLeft w:val="360"/>
          <w:marRight w:val="0"/>
          <w:marTop w:val="200"/>
          <w:marBottom w:val="0"/>
          <w:divBdr>
            <w:top w:val="none" w:sz="0" w:space="0" w:color="auto"/>
            <w:left w:val="none" w:sz="0" w:space="0" w:color="auto"/>
            <w:bottom w:val="none" w:sz="0" w:space="0" w:color="auto"/>
            <w:right w:val="none" w:sz="0" w:space="0" w:color="auto"/>
          </w:divBdr>
        </w:div>
        <w:div w:id="174543427">
          <w:marLeft w:val="360"/>
          <w:marRight w:val="0"/>
          <w:marTop w:val="200"/>
          <w:marBottom w:val="0"/>
          <w:divBdr>
            <w:top w:val="none" w:sz="0" w:space="0" w:color="auto"/>
            <w:left w:val="none" w:sz="0" w:space="0" w:color="auto"/>
            <w:bottom w:val="none" w:sz="0" w:space="0" w:color="auto"/>
            <w:right w:val="none" w:sz="0" w:space="0" w:color="auto"/>
          </w:divBdr>
        </w:div>
      </w:divsChild>
    </w:div>
    <w:div w:id="1678657092">
      <w:bodyDiv w:val="1"/>
      <w:marLeft w:val="0"/>
      <w:marRight w:val="0"/>
      <w:marTop w:val="0"/>
      <w:marBottom w:val="0"/>
      <w:divBdr>
        <w:top w:val="none" w:sz="0" w:space="0" w:color="auto"/>
        <w:left w:val="none" w:sz="0" w:space="0" w:color="auto"/>
        <w:bottom w:val="none" w:sz="0" w:space="0" w:color="auto"/>
        <w:right w:val="none" w:sz="0" w:space="0" w:color="auto"/>
      </w:divBdr>
      <w:divsChild>
        <w:div w:id="1974676762">
          <w:marLeft w:val="360"/>
          <w:marRight w:val="0"/>
          <w:marTop w:val="200"/>
          <w:marBottom w:val="0"/>
          <w:divBdr>
            <w:top w:val="none" w:sz="0" w:space="0" w:color="auto"/>
            <w:left w:val="none" w:sz="0" w:space="0" w:color="auto"/>
            <w:bottom w:val="none" w:sz="0" w:space="0" w:color="auto"/>
            <w:right w:val="none" w:sz="0" w:space="0" w:color="auto"/>
          </w:divBdr>
        </w:div>
        <w:div w:id="558785131">
          <w:marLeft w:val="360"/>
          <w:marRight w:val="0"/>
          <w:marTop w:val="200"/>
          <w:marBottom w:val="0"/>
          <w:divBdr>
            <w:top w:val="none" w:sz="0" w:space="0" w:color="auto"/>
            <w:left w:val="none" w:sz="0" w:space="0" w:color="auto"/>
            <w:bottom w:val="none" w:sz="0" w:space="0" w:color="auto"/>
            <w:right w:val="none" w:sz="0" w:space="0" w:color="auto"/>
          </w:divBdr>
        </w:div>
        <w:div w:id="2058820099">
          <w:marLeft w:val="360"/>
          <w:marRight w:val="0"/>
          <w:marTop w:val="200"/>
          <w:marBottom w:val="0"/>
          <w:divBdr>
            <w:top w:val="none" w:sz="0" w:space="0" w:color="auto"/>
            <w:left w:val="none" w:sz="0" w:space="0" w:color="auto"/>
            <w:bottom w:val="none" w:sz="0" w:space="0" w:color="auto"/>
            <w:right w:val="none" w:sz="0" w:space="0" w:color="auto"/>
          </w:divBdr>
        </w:div>
        <w:div w:id="1116409211">
          <w:marLeft w:val="360"/>
          <w:marRight w:val="0"/>
          <w:marTop w:val="200"/>
          <w:marBottom w:val="0"/>
          <w:divBdr>
            <w:top w:val="none" w:sz="0" w:space="0" w:color="auto"/>
            <w:left w:val="none" w:sz="0" w:space="0" w:color="auto"/>
            <w:bottom w:val="none" w:sz="0" w:space="0" w:color="auto"/>
            <w:right w:val="none" w:sz="0" w:space="0" w:color="auto"/>
          </w:divBdr>
        </w:div>
        <w:div w:id="1912226862">
          <w:marLeft w:val="360"/>
          <w:marRight w:val="0"/>
          <w:marTop w:val="200"/>
          <w:marBottom w:val="0"/>
          <w:divBdr>
            <w:top w:val="none" w:sz="0" w:space="0" w:color="auto"/>
            <w:left w:val="none" w:sz="0" w:space="0" w:color="auto"/>
            <w:bottom w:val="none" w:sz="0" w:space="0" w:color="auto"/>
            <w:right w:val="none" w:sz="0" w:space="0" w:color="auto"/>
          </w:divBdr>
        </w:div>
        <w:div w:id="2056155200">
          <w:marLeft w:val="360"/>
          <w:marRight w:val="0"/>
          <w:marTop w:val="200"/>
          <w:marBottom w:val="0"/>
          <w:divBdr>
            <w:top w:val="none" w:sz="0" w:space="0" w:color="auto"/>
            <w:left w:val="none" w:sz="0" w:space="0" w:color="auto"/>
            <w:bottom w:val="none" w:sz="0" w:space="0" w:color="auto"/>
            <w:right w:val="none" w:sz="0" w:space="0" w:color="auto"/>
          </w:divBdr>
        </w:div>
      </w:divsChild>
    </w:div>
    <w:div w:id="1693533028">
      <w:bodyDiv w:val="1"/>
      <w:marLeft w:val="0"/>
      <w:marRight w:val="0"/>
      <w:marTop w:val="0"/>
      <w:marBottom w:val="0"/>
      <w:divBdr>
        <w:top w:val="none" w:sz="0" w:space="0" w:color="auto"/>
        <w:left w:val="none" w:sz="0" w:space="0" w:color="auto"/>
        <w:bottom w:val="none" w:sz="0" w:space="0" w:color="auto"/>
        <w:right w:val="none" w:sz="0" w:space="0" w:color="auto"/>
      </w:divBdr>
    </w:div>
    <w:div w:id="1717774897">
      <w:bodyDiv w:val="1"/>
      <w:marLeft w:val="0"/>
      <w:marRight w:val="0"/>
      <w:marTop w:val="0"/>
      <w:marBottom w:val="0"/>
      <w:divBdr>
        <w:top w:val="none" w:sz="0" w:space="0" w:color="auto"/>
        <w:left w:val="none" w:sz="0" w:space="0" w:color="auto"/>
        <w:bottom w:val="none" w:sz="0" w:space="0" w:color="auto"/>
        <w:right w:val="none" w:sz="0" w:space="0" w:color="auto"/>
      </w:divBdr>
    </w:div>
    <w:div w:id="1717776296">
      <w:bodyDiv w:val="1"/>
      <w:marLeft w:val="0"/>
      <w:marRight w:val="0"/>
      <w:marTop w:val="0"/>
      <w:marBottom w:val="0"/>
      <w:divBdr>
        <w:top w:val="none" w:sz="0" w:space="0" w:color="auto"/>
        <w:left w:val="none" w:sz="0" w:space="0" w:color="auto"/>
        <w:bottom w:val="none" w:sz="0" w:space="0" w:color="auto"/>
        <w:right w:val="none" w:sz="0" w:space="0" w:color="auto"/>
      </w:divBdr>
    </w:div>
    <w:div w:id="1727100601">
      <w:bodyDiv w:val="1"/>
      <w:marLeft w:val="0"/>
      <w:marRight w:val="0"/>
      <w:marTop w:val="0"/>
      <w:marBottom w:val="0"/>
      <w:divBdr>
        <w:top w:val="none" w:sz="0" w:space="0" w:color="auto"/>
        <w:left w:val="none" w:sz="0" w:space="0" w:color="auto"/>
        <w:bottom w:val="none" w:sz="0" w:space="0" w:color="auto"/>
        <w:right w:val="none" w:sz="0" w:space="0" w:color="auto"/>
      </w:divBdr>
    </w:div>
    <w:div w:id="1734355175">
      <w:bodyDiv w:val="1"/>
      <w:marLeft w:val="0"/>
      <w:marRight w:val="0"/>
      <w:marTop w:val="0"/>
      <w:marBottom w:val="0"/>
      <w:divBdr>
        <w:top w:val="none" w:sz="0" w:space="0" w:color="auto"/>
        <w:left w:val="none" w:sz="0" w:space="0" w:color="auto"/>
        <w:bottom w:val="none" w:sz="0" w:space="0" w:color="auto"/>
        <w:right w:val="none" w:sz="0" w:space="0" w:color="auto"/>
      </w:divBdr>
    </w:div>
    <w:div w:id="1810635869">
      <w:bodyDiv w:val="1"/>
      <w:marLeft w:val="0"/>
      <w:marRight w:val="0"/>
      <w:marTop w:val="0"/>
      <w:marBottom w:val="0"/>
      <w:divBdr>
        <w:top w:val="none" w:sz="0" w:space="0" w:color="auto"/>
        <w:left w:val="none" w:sz="0" w:space="0" w:color="auto"/>
        <w:bottom w:val="none" w:sz="0" w:space="0" w:color="auto"/>
        <w:right w:val="none" w:sz="0" w:space="0" w:color="auto"/>
      </w:divBdr>
      <w:divsChild>
        <w:div w:id="721557852">
          <w:marLeft w:val="0"/>
          <w:marRight w:val="0"/>
          <w:marTop w:val="234"/>
          <w:marBottom w:val="0"/>
          <w:divBdr>
            <w:top w:val="none" w:sz="0" w:space="0" w:color="auto"/>
            <w:left w:val="none" w:sz="0" w:space="0" w:color="auto"/>
            <w:bottom w:val="none" w:sz="0" w:space="0" w:color="auto"/>
            <w:right w:val="none" w:sz="0" w:space="0" w:color="auto"/>
          </w:divBdr>
          <w:divsChild>
            <w:div w:id="1667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9176">
      <w:bodyDiv w:val="1"/>
      <w:marLeft w:val="0"/>
      <w:marRight w:val="0"/>
      <w:marTop w:val="0"/>
      <w:marBottom w:val="0"/>
      <w:divBdr>
        <w:top w:val="none" w:sz="0" w:space="0" w:color="auto"/>
        <w:left w:val="none" w:sz="0" w:space="0" w:color="auto"/>
        <w:bottom w:val="none" w:sz="0" w:space="0" w:color="auto"/>
        <w:right w:val="none" w:sz="0" w:space="0" w:color="auto"/>
      </w:divBdr>
    </w:div>
    <w:div w:id="1845434858">
      <w:bodyDiv w:val="1"/>
      <w:marLeft w:val="0"/>
      <w:marRight w:val="0"/>
      <w:marTop w:val="0"/>
      <w:marBottom w:val="0"/>
      <w:divBdr>
        <w:top w:val="none" w:sz="0" w:space="0" w:color="auto"/>
        <w:left w:val="none" w:sz="0" w:space="0" w:color="auto"/>
        <w:bottom w:val="none" w:sz="0" w:space="0" w:color="auto"/>
        <w:right w:val="none" w:sz="0" w:space="0" w:color="auto"/>
      </w:divBdr>
    </w:div>
    <w:div w:id="1859346630">
      <w:bodyDiv w:val="1"/>
      <w:marLeft w:val="0"/>
      <w:marRight w:val="0"/>
      <w:marTop w:val="0"/>
      <w:marBottom w:val="0"/>
      <w:divBdr>
        <w:top w:val="none" w:sz="0" w:space="0" w:color="auto"/>
        <w:left w:val="none" w:sz="0" w:space="0" w:color="auto"/>
        <w:bottom w:val="none" w:sz="0" w:space="0" w:color="auto"/>
        <w:right w:val="none" w:sz="0" w:space="0" w:color="auto"/>
      </w:divBdr>
    </w:div>
    <w:div w:id="1936328597">
      <w:bodyDiv w:val="1"/>
      <w:marLeft w:val="0"/>
      <w:marRight w:val="0"/>
      <w:marTop w:val="0"/>
      <w:marBottom w:val="0"/>
      <w:divBdr>
        <w:top w:val="none" w:sz="0" w:space="0" w:color="auto"/>
        <w:left w:val="none" w:sz="0" w:space="0" w:color="auto"/>
        <w:bottom w:val="none" w:sz="0" w:space="0" w:color="auto"/>
        <w:right w:val="none" w:sz="0" w:space="0" w:color="auto"/>
      </w:divBdr>
    </w:div>
    <w:div w:id="1946887796">
      <w:bodyDiv w:val="1"/>
      <w:marLeft w:val="0"/>
      <w:marRight w:val="0"/>
      <w:marTop w:val="0"/>
      <w:marBottom w:val="0"/>
      <w:divBdr>
        <w:top w:val="none" w:sz="0" w:space="0" w:color="auto"/>
        <w:left w:val="none" w:sz="0" w:space="0" w:color="auto"/>
        <w:bottom w:val="none" w:sz="0" w:space="0" w:color="auto"/>
        <w:right w:val="none" w:sz="0" w:space="0" w:color="auto"/>
      </w:divBdr>
      <w:divsChild>
        <w:div w:id="1895655504">
          <w:marLeft w:val="360"/>
          <w:marRight w:val="0"/>
          <w:marTop w:val="200"/>
          <w:marBottom w:val="0"/>
          <w:divBdr>
            <w:top w:val="none" w:sz="0" w:space="0" w:color="auto"/>
            <w:left w:val="none" w:sz="0" w:space="0" w:color="auto"/>
            <w:bottom w:val="none" w:sz="0" w:space="0" w:color="auto"/>
            <w:right w:val="none" w:sz="0" w:space="0" w:color="auto"/>
          </w:divBdr>
        </w:div>
        <w:div w:id="1196891310">
          <w:marLeft w:val="360"/>
          <w:marRight w:val="0"/>
          <w:marTop w:val="200"/>
          <w:marBottom w:val="0"/>
          <w:divBdr>
            <w:top w:val="none" w:sz="0" w:space="0" w:color="auto"/>
            <w:left w:val="none" w:sz="0" w:space="0" w:color="auto"/>
            <w:bottom w:val="none" w:sz="0" w:space="0" w:color="auto"/>
            <w:right w:val="none" w:sz="0" w:space="0" w:color="auto"/>
          </w:divBdr>
        </w:div>
        <w:div w:id="1842816053">
          <w:marLeft w:val="360"/>
          <w:marRight w:val="0"/>
          <w:marTop w:val="200"/>
          <w:marBottom w:val="0"/>
          <w:divBdr>
            <w:top w:val="none" w:sz="0" w:space="0" w:color="auto"/>
            <w:left w:val="none" w:sz="0" w:space="0" w:color="auto"/>
            <w:bottom w:val="none" w:sz="0" w:space="0" w:color="auto"/>
            <w:right w:val="none" w:sz="0" w:space="0" w:color="auto"/>
          </w:divBdr>
        </w:div>
        <w:div w:id="1607695626">
          <w:marLeft w:val="360"/>
          <w:marRight w:val="0"/>
          <w:marTop w:val="200"/>
          <w:marBottom w:val="0"/>
          <w:divBdr>
            <w:top w:val="none" w:sz="0" w:space="0" w:color="auto"/>
            <w:left w:val="none" w:sz="0" w:space="0" w:color="auto"/>
            <w:bottom w:val="none" w:sz="0" w:space="0" w:color="auto"/>
            <w:right w:val="none" w:sz="0" w:space="0" w:color="auto"/>
          </w:divBdr>
        </w:div>
        <w:div w:id="1393500595">
          <w:marLeft w:val="360"/>
          <w:marRight w:val="0"/>
          <w:marTop w:val="200"/>
          <w:marBottom w:val="0"/>
          <w:divBdr>
            <w:top w:val="none" w:sz="0" w:space="0" w:color="auto"/>
            <w:left w:val="none" w:sz="0" w:space="0" w:color="auto"/>
            <w:bottom w:val="none" w:sz="0" w:space="0" w:color="auto"/>
            <w:right w:val="none" w:sz="0" w:space="0" w:color="auto"/>
          </w:divBdr>
        </w:div>
      </w:divsChild>
    </w:div>
    <w:div w:id="1954554325">
      <w:bodyDiv w:val="1"/>
      <w:marLeft w:val="0"/>
      <w:marRight w:val="0"/>
      <w:marTop w:val="0"/>
      <w:marBottom w:val="0"/>
      <w:divBdr>
        <w:top w:val="none" w:sz="0" w:space="0" w:color="auto"/>
        <w:left w:val="none" w:sz="0" w:space="0" w:color="auto"/>
        <w:bottom w:val="none" w:sz="0" w:space="0" w:color="auto"/>
        <w:right w:val="none" w:sz="0" w:space="0" w:color="auto"/>
      </w:divBdr>
    </w:div>
    <w:div w:id="1988242558">
      <w:bodyDiv w:val="1"/>
      <w:marLeft w:val="0"/>
      <w:marRight w:val="0"/>
      <w:marTop w:val="0"/>
      <w:marBottom w:val="0"/>
      <w:divBdr>
        <w:top w:val="none" w:sz="0" w:space="0" w:color="auto"/>
        <w:left w:val="none" w:sz="0" w:space="0" w:color="auto"/>
        <w:bottom w:val="none" w:sz="0" w:space="0" w:color="auto"/>
        <w:right w:val="none" w:sz="0" w:space="0" w:color="auto"/>
      </w:divBdr>
    </w:div>
    <w:div w:id="1991901743">
      <w:bodyDiv w:val="1"/>
      <w:marLeft w:val="0"/>
      <w:marRight w:val="0"/>
      <w:marTop w:val="0"/>
      <w:marBottom w:val="0"/>
      <w:divBdr>
        <w:top w:val="none" w:sz="0" w:space="0" w:color="auto"/>
        <w:left w:val="none" w:sz="0" w:space="0" w:color="auto"/>
        <w:bottom w:val="none" w:sz="0" w:space="0" w:color="auto"/>
        <w:right w:val="none" w:sz="0" w:space="0" w:color="auto"/>
      </w:divBdr>
    </w:div>
    <w:div w:id="1993605474">
      <w:bodyDiv w:val="1"/>
      <w:marLeft w:val="0"/>
      <w:marRight w:val="0"/>
      <w:marTop w:val="0"/>
      <w:marBottom w:val="0"/>
      <w:divBdr>
        <w:top w:val="none" w:sz="0" w:space="0" w:color="auto"/>
        <w:left w:val="none" w:sz="0" w:space="0" w:color="auto"/>
        <w:bottom w:val="none" w:sz="0" w:space="0" w:color="auto"/>
        <w:right w:val="none" w:sz="0" w:space="0" w:color="auto"/>
      </w:divBdr>
      <w:divsChild>
        <w:div w:id="1813867527">
          <w:marLeft w:val="360"/>
          <w:marRight w:val="0"/>
          <w:marTop w:val="200"/>
          <w:marBottom w:val="0"/>
          <w:divBdr>
            <w:top w:val="none" w:sz="0" w:space="0" w:color="auto"/>
            <w:left w:val="none" w:sz="0" w:space="0" w:color="auto"/>
            <w:bottom w:val="none" w:sz="0" w:space="0" w:color="auto"/>
            <w:right w:val="none" w:sz="0" w:space="0" w:color="auto"/>
          </w:divBdr>
        </w:div>
        <w:div w:id="858199441">
          <w:marLeft w:val="360"/>
          <w:marRight w:val="0"/>
          <w:marTop w:val="200"/>
          <w:marBottom w:val="0"/>
          <w:divBdr>
            <w:top w:val="none" w:sz="0" w:space="0" w:color="auto"/>
            <w:left w:val="none" w:sz="0" w:space="0" w:color="auto"/>
            <w:bottom w:val="none" w:sz="0" w:space="0" w:color="auto"/>
            <w:right w:val="none" w:sz="0" w:space="0" w:color="auto"/>
          </w:divBdr>
        </w:div>
      </w:divsChild>
    </w:div>
    <w:div w:id="2001035965">
      <w:bodyDiv w:val="1"/>
      <w:marLeft w:val="0"/>
      <w:marRight w:val="0"/>
      <w:marTop w:val="0"/>
      <w:marBottom w:val="0"/>
      <w:divBdr>
        <w:top w:val="none" w:sz="0" w:space="0" w:color="auto"/>
        <w:left w:val="none" w:sz="0" w:space="0" w:color="auto"/>
        <w:bottom w:val="none" w:sz="0" w:space="0" w:color="auto"/>
        <w:right w:val="none" w:sz="0" w:space="0" w:color="auto"/>
      </w:divBdr>
    </w:div>
    <w:div w:id="201989123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 w:id="214068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770492983697098E-2"/>
          <c:y val="0.151532225559044"/>
          <c:w val="0.88171327965392199"/>
          <c:h val="0.58970502245258305"/>
        </c:manualLayout>
      </c:layout>
      <c:barChart>
        <c:barDir val="col"/>
        <c:grouping val="clustered"/>
        <c:varyColors val="0"/>
        <c:ser>
          <c:idx val="0"/>
          <c:order val="0"/>
          <c:tx>
            <c:strRef>
              <c:f>Sayfa1!$B$1</c:f>
              <c:strCache>
                <c:ptCount val="1"/>
                <c:pt idx="0">
                  <c:v>IBD</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Sayfa1!$A$2:$A$7</c:f>
              <c:strCache>
                <c:ptCount val="6"/>
                <c:pt idx="0">
                  <c:v>ANEMIA</c:v>
                </c:pt>
                <c:pt idx="1">
                  <c:v>IDA</c:v>
                </c:pt>
                <c:pt idx="2">
                  <c:v>CDA</c:v>
                </c:pt>
                <c:pt idx="3">
                  <c:v>MIXED ANEMIA (IDA+CDA)</c:v>
                </c:pt>
                <c:pt idx="4">
                  <c:v>B12 / FOLIC ACID ANEMIA</c:v>
                </c:pt>
                <c:pt idx="5">
                  <c:v>other</c:v>
                </c:pt>
              </c:strCache>
            </c:strRef>
          </c:cat>
          <c:val>
            <c:numRef>
              <c:f>Sayfa1!$B$2:$B$7</c:f>
              <c:numCache>
                <c:formatCode>General</c:formatCode>
                <c:ptCount val="6"/>
                <c:pt idx="0">
                  <c:v>51.6</c:v>
                </c:pt>
                <c:pt idx="1">
                  <c:v>29.9</c:v>
                </c:pt>
                <c:pt idx="2">
                  <c:v>8</c:v>
                </c:pt>
                <c:pt idx="3">
                  <c:v>3.4</c:v>
                </c:pt>
                <c:pt idx="4">
                  <c:v>14</c:v>
                </c:pt>
                <c:pt idx="5">
                  <c:v>15.3</c:v>
                </c:pt>
              </c:numCache>
            </c:numRef>
          </c:val>
          <c:extLst xmlns:c16r2="http://schemas.microsoft.com/office/drawing/2015/06/chart">
            <c:ext xmlns:c16="http://schemas.microsoft.com/office/drawing/2014/chart" uri="{C3380CC4-5D6E-409C-BE32-E72D297353CC}">
              <c16:uniqueId val="{00000000-5B7A-4032-B236-223CFE8EFAFB}"/>
            </c:ext>
          </c:extLst>
        </c:ser>
        <c:ser>
          <c:idx val="1"/>
          <c:order val="1"/>
          <c:tx>
            <c:strRef>
              <c:f>Sayfa1!$C$1</c:f>
              <c:strCache>
                <c:ptCount val="1"/>
                <c:pt idx="0">
                  <c:v>Crohn's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Sayfa1!$A$2:$A$7</c:f>
              <c:strCache>
                <c:ptCount val="6"/>
                <c:pt idx="0">
                  <c:v>ANEMIA</c:v>
                </c:pt>
                <c:pt idx="1">
                  <c:v>IDA</c:v>
                </c:pt>
                <c:pt idx="2">
                  <c:v>CDA</c:v>
                </c:pt>
                <c:pt idx="3">
                  <c:v>MIXED ANEMIA (IDA+CDA)</c:v>
                </c:pt>
                <c:pt idx="4">
                  <c:v>B12 / FOLIC ACID ANEMIA</c:v>
                </c:pt>
                <c:pt idx="5">
                  <c:v>other</c:v>
                </c:pt>
              </c:strCache>
            </c:strRef>
          </c:cat>
          <c:val>
            <c:numRef>
              <c:f>Sayfa1!$C$2:$C$7</c:f>
              <c:numCache>
                <c:formatCode>General</c:formatCode>
                <c:ptCount val="6"/>
                <c:pt idx="0">
                  <c:v>57.6</c:v>
                </c:pt>
                <c:pt idx="1">
                  <c:v>32.700000000000003</c:v>
                </c:pt>
                <c:pt idx="2">
                  <c:v>12.1</c:v>
                </c:pt>
                <c:pt idx="3">
                  <c:v>5.0999999999999996</c:v>
                </c:pt>
                <c:pt idx="4">
                  <c:v>19.399999999999999</c:v>
                </c:pt>
                <c:pt idx="5">
                  <c:v>15.2</c:v>
                </c:pt>
              </c:numCache>
            </c:numRef>
          </c:val>
          <c:extLst xmlns:c16r2="http://schemas.microsoft.com/office/drawing/2015/06/chart">
            <c:ext xmlns:c16="http://schemas.microsoft.com/office/drawing/2014/chart" uri="{C3380CC4-5D6E-409C-BE32-E72D297353CC}">
              <c16:uniqueId val="{00000001-5B7A-4032-B236-223CFE8EFAFB}"/>
            </c:ext>
          </c:extLst>
        </c:ser>
        <c:ser>
          <c:idx val="2"/>
          <c:order val="2"/>
          <c:tx>
            <c:strRef>
              <c:f>Sayfa1!$D$1</c:f>
              <c:strCache>
                <c:ptCount val="1"/>
                <c:pt idx="0">
                  <c:v>UC</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Sayfa1!$A$2:$A$7</c:f>
              <c:strCache>
                <c:ptCount val="6"/>
                <c:pt idx="0">
                  <c:v>ANEMIA</c:v>
                </c:pt>
                <c:pt idx="1">
                  <c:v>IDA</c:v>
                </c:pt>
                <c:pt idx="2">
                  <c:v>CDA</c:v>
                </c:pt>
                <c:pt idx="3">
                  <c:v>MIXED ANEMIA (IDA+CDA)</c:v>
                </c:pt>
                <c:pt idx="4">
                  <c:v>B12 / FOLIC ACID ANEMIA</c:v>
                </c:pt>
                <c:pt idx="5">
                  <c:v>other</c:v>
                </c:pt>
              </c:strCache>
            </c:strRef>
          </c:cat>
          <c:val>
            <c:numRef>
              <c:f>Sayfa1!$D$2:$D$7</c:f>
              <c:numCache>
                <c:formatCode>General</c:formatCode>
                <c:ptCount val="6"/>
                <c:pt idx="0">
                  <c:v>44.2</c:v>
                </c:pt>
                <c:pt idx="1">
                  <c:v>26.9</c:v>
                </c:pt>
                <c:pt idx="2">
                  <c:v>2.9</c:v>
                </c:pt>
                <c:pt idx="3">
                  <c:v>1.4</c:v>
                </c:pt>
                <c:pt idx="4">
                  <c:v>7.2</c:v>
                </c:pt>
                <c:pt idx="5">
                  <c:v>15.4</c:v>
                </c:pt>
              </c:numCache>
            </c:numRef>
          </c:val>
          <c:extLst xmlns:c16r2="http://schemas.microsoft.com/office/drawing/2015/06/chart">
            <c:ext xmlns:c16="http://schemas.microsoft.com/office/drawing/2014/chart" uri="{C3380CC4-5D6E-409C-BE32-E72D297353CC}">
              <c16:uniqueId val="{00000002-5B7A-4032-B236-223CFE8EFAFB}"/>
            </c:ext>
          </c:extLst>
        </c:ser>
        <c:dLbls>
          <c:dLblPos val="inEnd"/>
          <c:showLegendKey val="0"/>
          <c:showVal val="1"/>
          <c:showCatName val="0"/>
          <c:showSerName val="0"/>
          <c:showPercent val="0"/>
          <c:showBubbleSize val="0"/>
        </c:dLbls>
        <c:gapWidth val="65"/>
        <c:axId val="698013312"/>
        <c:axId val="698016840"/>
      </c:barChart>
      <c:dateAx>
        <c:axId val="698013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698016840"/>
        <c:crosses val="autoZero"/>
        <c:auto val="0"/>
        <c:lblOffset val="100"/>
        <c:baseTimeUnit val="days"/>
      </c:dateAx>
      <c:valAx>
        <c:axId val="6980168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tr-TR"/>
                  <a:t>percent</a:t>
                </a:r>
              </a:p>
            </c:rich>
          </c:tx>
          <c:overlay val="0"/>
          <c:spPr>
            <a:noFill/>
            <a:ln>
              <a:noFill/>
            </a:ln>
            <a:effectLst/>
          </c:spPr>
        </c:title>
        <c:numFmt formatCode="General" sourceLinked="1"/>
        <c:majorTickMark val="none"/>
        <c:minorTickMark val="none"/>
        <c:tickLblPos val="nextTo"/>
        <c:crossAx val="6980133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A6B977-6678-4FEA-B998-D9985E9C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9072</Words>
  <Characters>51716</Characters>
  <Application>Microsoft Office Word</Application>
  <DocSecurity>0</DocSecurity>
  <Lines>430</Lines>
  <Paragraphs>121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göksel bengi</dc:creator>
  <cp:lastModifiedBy>Na Ma</cp:lastModifiedBy>
  <cp:revision>2</cp:revision>
  <dcterms:created xsi:type="dcterms:W3CDTF">2018-08-24T02:21:00Z</dcterms:created>
  <dcterms:modified xsi:type="dcterms:W3CDTF">2018-08-24T02:21:00Z</dcterms:modified>
</cp:coreProperties>
</file>