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D" w:rsidRPr="00FF11A6" w:rsidRDefault="002947BD" w:rsidP="002947BD">
      <w:pPr>
        <w:spacing w:line="360" w:lineRule="auto"/>
        <w:rPr>
          <w:rFonts w:ascii="Book Antiqua" w:hAnsi="Book Antiqua"/>
          <w:b/>
        </w:rPr>
      </w:pPr>
      <w:r w:rsidRPr="00FF11A6">
        <w:rPr>
          <w:rFonts w:ascii="Book Antiqua" w:hAnsi="Book Antiqua"/>
          <w:b/>
        </w:rPr>
        <w:t>Figure 1:</w:t>
      </w:r>
      <w:r w:rsidRPr="00FF11A6">
        <w:rPr>
          <w:rFonts w:asciiTheme="minorHAnsi" w:hAnsi="Calibri" w:cstheme="minorBidi"/>
          <w:b/>
          <w:color w:val="000000" w:themeColor="text1"/>
          <w:kern w:val="24"/>
          <w:sz w:val="20"/>
          <w:szCs w:val="20"/>
        </w:rPr>
        <w:t xml:space="preserve"> </w:t>
      </w:r>
      <w:r w:rsidRPr="00FF11A6">
        <w:rPr>
          <w:rFonts w:ascii="Book Antiqua" w:hAnsi="Book Antiqua"/>
          <w:b/>
        </w:rPr>
        <w:t>Flow diagram summarizing the literature search, screening, and review</w:t>
      </w: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  <w:r w:rsidRPr="007226D8">
        <w:rPr>
          <w:noProof/>
        </w:rPr>
        <w:t xml:space="preserve"> </w:t>
      </w: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  <w:r w:rsidRPr="007226D8">
        <w:rPr>
          <w:rFonts w:ascii="Book Antiqua" w:hAnsi="Book Antiqu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49BC5" wp14:editId="14C8C7F5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4572000" cy="4286885"/>
                <wp:effectExtent l="0" t="0" r="25400" b="3111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D5F8A7-F154-9B40-BE89-F72B34F7C2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286885"/>
                          <a:chOff x="2543756" y="0"/>
                          <a:chExt cx="8373994" cy="618725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583371" y="300898"/>
                            <a:ext cx="2166425" cy="861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Records Identified through database search (n=1217)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569644" y="1859520"/>
                            <a:ext cx="2166425" cy="8633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Number of records screened (n=1165)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583257" y="3166353"/>
                            <a:ext cx="2166424" cy="1322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Number of abstracts/full text articles assessed for eligibility (n=1165)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3583371" y="5155135"/>
                            <a:ext cx="2166425" cy="10321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Number of records included in final synthesis (n=11)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 rot="16200000">
                            <a:off x="2115996" y="5295266"/>
                            <a:ext cx="1319753" cy="4642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Inclusion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 rot="16200000">
                            <a:off x="2217003" y="3611342"/>
                            <a:ext cx="1139296" cy="4642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 rot="16200000">
                            <a:off x="2204394" y="2011630"/>
                            <a:ext cx="1142959" cy="4642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/>
                        <wps:cNvSpPr/>
                        <wps:spPr>
                          <a:xfrm rot="16200000">
                            <a:off x="2044094" y="499663"/>
                            <a:ext cx="1463559" cy="4642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45662" y="2646142"/>
                            <a:ext cx="3672088" cy="30462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Number of records excluded: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Basic science: 366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Animal studies: 381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Cadaveric: 37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Letter to editor/commentary: 45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Review articles: 113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Not diabetic foot ulcers: 88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Did not use autologous PRP: 36</w:t>
                              </w:r>
                            </w:p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Diagnostic studies: 87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5662" y="262833"/>
                            <a:ext cx="3672088" cy="9233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BD" w:rsidRPr="00FF11A6" w:rsidRDefault="002947BD" w:rsidP="002947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F11A6">
                                <w:rPr>
                                  <w:rFonts w:ascii="Book Antiqua" w:hAnsi="Book Antiqu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Number of duplicate records removed (n=52)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Straight Arrow Connector 14"/>
                        <wps:cNvCnPr>
                          <a:stCxn id="4" idx="3"/>
                          <a:endCxn id="13" idx="1"/>
                        </wps:cNvCnPr>
                        <wps:spPr>
                          <a:xfrm flipV="1">
                            <a:off x="5749796" y="724499"/>
                            <a:ext cx="1495866" cy="72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5749795" y="3778556"/>
                            <a:ext cx="1495867" cy="72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pt;margin-top:2.35pt;width:5in;height:337.55pt;z-index:251659264;mso-width-relative:margin;mso-height-relative:margin" coordorigin="2543756" coordsize="8373994,6187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">
                <v:rect id="Rectangle 4" o:spid="_x0000_s1027" style="position:absolute;left:3583371;top:300898;width:2166425;height:86176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q8swwAA&#10;ANoAAAAPAAAAZHJzL2Rvd25yZXYueG1sRI9BawIxFITvhf6H8ApepGYrUmRrFCmoi2BBrQdvj81z&#10;s3TzEjZR139vBKHHYWa+YSazzjbiQm2oHSv4GGQgiEuna64U/O4X72MQISJrbByTghsFmE1fXyaY&#10;a3flLV12sRIJwiFHBSZGn0sZSkMWw8B54uSdXGsxJtlWUrd4TXDbyGGWfUqLNacFg56+DZV/u7NV&#10;sFiZ/lyuNwdfhJ+THRZ+ueofleq9dfMvEJG6+B9+tgutYASPK+kG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sq8swwAAANoAAAAPAAAAAAAAAAAAAAAAAJcCAABkcnMvZG93&#10;bnJldi54bWxQSwUGAAAAAAQABAD1AAAAhwMAAAAA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Records Identified through database search (n=1217)</w:t>
                        </w:r>
                      </w:p>
                    </w:txbxContent>
                  </v:textbox>
                </v:rect>
                <v:rect id="Rectangle 5" o:spid="_x0000_s1028" style="position:absolute;left:3569644;top:1859520;width:2166425;height:8633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gq3wwAA&#10;ANoAAAAPAAAAZHJzL2Rvd25yZXYueG1sRI9BawIxFITvhf6H8ApepGYrWGRrFCmoi2BBrQdvj81z&#10;s3TzEjZR139vBKHHYWa+YSazzjbiQm2oHSv4GGQgiEuna64U/O4X72MQISJrbByTghsFmE1fXyaY&#10;a3flLV12sRIJwiFHBSZGn0sZSkMWw8B54uSdXGsxJtlWUrd4TXDbyGGWfUqLNacFg56+DZV/u7NV&#10;sFiZ/lyuNwdfhJ+THRZ+ueofleq9dfMvEJG6+B9+tgutYASPK+kG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/gq3wwAAANoAAAAPAAAAAAAAAAAAAAAAAJcCAABkcnMvZG93&#10;bnJldi54bWxQSwUGAAAAAAQABAD1AAAAhwMAAAAA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Number of records screened (n=1165)</w:t>
                        </w:r>
                      </w:p>
                    </w:txbxContent>
                  </v:textbox>
                </v:rect>
                <v:rect id="Rectangle 6" o:spid="_x0000_s1029" style="position:absolute;left:3583257;top:3166353;width:2166424;height:1322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JTAxAAA&#10;ANoAAAAPAAAAZHJzL2Rvd25yZXYueG1sRI9PawIxFMTvBb9DeIIX0Ww9SFmNIoK6CC3UPwdvj81z&#10;s7h5CZtU129vCoUeh5n5DTNfdrYRd2pD7VjB+zgDQVw6XXOl4HTcjD5AhIissXFMCp4UYLnovc0x&#10;1+7B33Q/xEokCIccFZgYfS5lKA1ZDGPniZN3da3FmGRbSd3iI8FtIydZNpUWa04LBj2tDZW3w49V&#10;sNmZ4UruP8++CF9XOyn8dje8KDXod6sZiEhd/A//tQutYAq/V9IN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yUwMQAAADaAAAADwAAAAAAAAAAAAAAAACXAgAAZHJzL2Rv&#10;d25yZXYueG1sUEsFBgAAAAAEAAQA9QAAAIgDAAAAAA=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Number of abstracts/full text articles assessed for eligibility (n=1165)</w:t>
                        </w:r>
                      </w:p>
                    </w:txbxContent>
                  </v:textbox>
                </v:rect>
                <v:rect id="Rectangle 7" o:spid="_x0000_s1030" style="position:absolute;left:3583371;top:5155135;width:2166425;height:10321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DFbxAAA&#10;ANoAAAAPAAAAZHJzL2Rvd25yZXYueG1sRI9BawIxFITvhf6H8ApepGbrwcrWKFJQF8GCWg/eHpvn&#10;ZunmJWyirv/eCEKPw8x8w0xmnW3EhdpQO1bwMchAEJdO11wp+N0v3scgQkTW2DgmBTcKMJu+vkww&#10;1+7KW7rsYiUShEOOCkyMPpcylIYshoHzxMk7udZiTLKtpG7xmuC2kcMsG0mLNacFg56+DZV/u7NV&#10;sFiZ/lyuNwdfhJ+THRZ+ueofleq9dfMvEJG6+B9+tgut4BMeV9INkN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AxW8QAAADaAAAADwAAAAAAAAAAAAAAAACXAgAAZHJzL2Rv&#10;d25yZXYueG1sUEsFBgAAAAAEAAQA9QAAAIgDAAAAAA=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Number of records included in final synthesis (n=11)</w:t>
                        </w:r>
                      </w:p>
                    </w:txbxContent>
                  </v:textbox>
                </v:rect>
                <v:rect id="Rectangle 8" o:spid="_x0000_s1031" style="position:absolute;left:2115996;top:5295266;width:1319753;height:464233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dLuvwAA&#10;ANoAAAAPAAAAZHJzL2Rvd25yZXYueG1sRE/Pa8IwFL4P/B/CE3ab6TxUqUbZBNlgB7F68PjWPJti&#10;81KSzLb//XIQPH58v9fbwbbiTj40jhW8zzIQxJXTDdcKzqf92xJEiMgaW8ekYKQA283kZY2Fdj0f&#10;6V7GWqQQDgUqMDF2hZShMmQxzFxHnLir8xZjgr6W2mOfwm0r51mWS4sNpwaDHe0MVbfyzypYfB0s&#10;nQ2Nu/xkf+JF+9vn9Vep1+nwsQIRaYhP8cP9rRWkrelKugF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eh0u6/AAAA2gAAAA8AAAAAAAAAAAAAAAAAlwIAAGRycy9kb3ducmV2&#10;LnhtbFBLBQYAAAAABAAEAPUAAACDAwAAAAA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Inclusion</w:t>
                        </w:r>
                      </w:p>
                    </w:txbxContent>
                  </v:textbox>
                </v:rect>
                <v:rect id="Rectangle 9" o:spid="_x0000_s1032" style="position:absolute;left:2217003;top:3611342;width:1139296;height:464234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Xd1wgAA&#10;ANoAAAAPAAAAZHJzL2Rvd25yZXYueG1sRI9LiwIxEITvwv6H0At704x78DFrFFeQFTyIj4PH3kk7&#10;GZx0hiTq+O+NIHgsquorajJrbS2u5EPlWEG/l4EgLpyuuFRw2C+7IxAhImusHZOCOwWYTT86E8y1&#10;u/GWrrtYigThkKMCE2OTSxkKQxZDzzXEyTs5bzEm6UupPd4S3NbyO8sG0mLFacFgQwtDxXl3sQqG&#10;fxtLB0P3xWBv1/Go/fn39K/U12c7/wERqY3v8Ku90grG8LySbo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td3XCAAAA2gAAAA8AAAAAAAAAAAAAAAAAlwIAAGRycy9kb3du&#10;cmV2LnhtbFBLBQYAAAAABAAEAPUAAACGAwAAAAA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Eligibility</w:t>
                        </w:r>
                      </w:p>
                    </w:txbxContent>
                  </v:textbox>
                </v:rect>
                <v:rect id="Rectangle 10" o:spid="_x0000_s1033" style="position:absolute;left:2204394;top:2011630;width:1142959;height:464233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UqgwwAA&#10;ANsAAAAPAAAAZHJzL2Rvd25yZXYueG1sRI9BawIxEIXvBf9DGMFbzerBlq1RVJAKHkrVQ4/jZtws&#10;biZLkur6751DobcZ3pv3vpkve9+qG8XUBDYwGRegiKtgG64NnI7b13dQKSNbbAOTgQclWC4GL3Ms&#10;bbjzN90OuVYSwqlEAy7nrtQ6VY48pnHoiEW7hOgxyxprbSPeJdy3eloUM+2xYWlw2NHGUXU9/HoD&#10;b59fnk6OHpvZ0e/zj43X9eVszGjYrz5AZerzv/nvemcFX+jlFxlAL5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9UqgwwAAANsAAAAPAAAAAAAAAAAAAAAAAJcCAABkcnMvZG93&#10;bnJldi54bWxQSwUGAAAAAAQABAD1AAAAhwMAAAAA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Screening</w:t>
                        </w:r>
                      </w:p>
                    </w:txbxContent>
                  </v:textbox>
                </v:rect>
                <v:rect id="Rectangle 11" o:spid="_x0000_s1034" style="position:absolute;left:2044094;top:499663;width:1463559;height:464233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e87wAAA&#10;ANsAAAAPAAAAZHJzL2Rvd25yZXYueG1sRE9Ni8IwEL0L+x/CCHvTVA8q1SirsOzCHkTrweNsMzbF&#10;ZlKSqPXfG0HwNo/3OYtVZxtxJR9qxwpGwwwEcel0zZWCQ/E9mIEIEVlj45gU3CnAavnRW2Cu3Y13&#10;dN3HSqQQDjkqMDG2uZShNGQxDF1LnLiT8xZjgr6S2uMthdtGjrNsIi3WnBoMtrQxVJ73F6tg+rO1&#10;dDB030wK+xeP2p/Xp3+lPvvd1xxEpC6+xS/3r07zR/D8JR0gl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ue87wAAAANsAAAAPAAAAAAAAAAAAAAAAAJcCAABkcnMvZG93bnJl&#10;di54bWxQSwUGAAAAAAQABAD1AAAAhAMAAAAA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Identification</w:t>
                        </w:r>
                      </w:p>
                    </w:txbxContent>
                  </v:textbox>
                </v:rect>
                <v:rect id="Rectangle 12" o:spid="_x0000_s1035" style="position:absolute;left:7245662;top:2646142;width:3672088;height:30462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LitwgAA&#10;ANsAAAAPAAAAZHJzL2Rvd25yZXYueG1sRE9NawIxEL0X/A9hhF5Es+5BytYoUlCXgkLVHrwNm3Gz&#10;dDMJm1S3/94IQm/zeJ8zX/a2FVfqQuNYwXSSgSCunG64VnA6rsdvIEJE1tg6JgV/FGC5GLzMsdDu&#10;xl90PcRapBAOBSowMfpCylAZshgmzhMn7uI6izHBrpa6w1sKt63Ms2wmLTacGgx6+jBU/Rx+rYL1&#10;1oxW8nP37cuwv9i89Jvt6KzU67BfvYOI1Md/8dNd6jQ/h8cv6QC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EuK3CAAAA2wAAAA8AAAAAAAAAAAAAAAAAlwIAAGRycy9kb3du&#10;cmV2LnhtbFBLBQYAAAAABAAEAPUAAACGAwAAAAA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Number of records excluded: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Basic science: 366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Animal studies: 381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Cadaveric: 37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Letter to editor/commentary: 45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Review articles: 113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Not diabetic foot ulcers: 88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Did not use autologous PRP: 36</w:t>
                        </w:r>
                      </w:p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Diagnostic studies: 87</w:t>
                        </w:r>
                      </w:p>
                    </w:txbxContent>
                  </v:textbox>
                </v:rect>
                <v:rect id="Rectangle 13" o:spid="_x0000_s1036" style="position:absolute;left:7245662;top:262833;width:3672088;height:9233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B02wgAA&#10;ANsAAAAPAAAAZHJzL2Rvd25yZXYueG1sRE9NawIxEL0X+h/CFLxIzVahyNYoUlAXwYJaD96GzbhZ&#10;upmETdT13xtB6G0e73Mms8424kJtqB0r+BhkIIhLp2uuFPzuF+9jECEia2wck4IbBZhNX18mmGt3&#10;5S1ddrESKYRDjgpMjD6XMpSGLIaB88SJO7nWYkywraRu8ZrCbSOHWfYpLdacGgx6+jZU/u3OVsFi&#10;Zfpzud4cfBF+TnZY+OWqf1Sq99bNv0BE6uK/+OkudJo/gscv6QA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IHTbCAAAA2wAAAA8AAAAAAAAAAAAAAAAAlwIAAGRycy9kb3du&#10;cmV2LnhtbFBLBQYAAAAABAAEAPUAAACGAwAAAAA=&#10;" filled="f" strokecolor="black [3213]" strokeweight="2pt">
                  <v:textbox>
                    <w:txbxContent>
                      <w:p w:rsidR="002947BD" w:rsidRPr="00FF11A6" w:rsidRDefault="002947BD" w:rsidP="002947B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F11A6">
                          <w:rPr>
                            <w:rFonts w:ascii="Book Antiqua" w:hAnsi="Book Antiqu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Number of duplicate records removed (n=52)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4" o:spid="_x0000_s1037" type="#_x0000_t32" style="position:absolute;left:5749796;top:724499;width:1495866;height:728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FHcsEAAADbAAAADwAAAGRycy9kb3ducmV2LnhtbERPS4vCMBC+C/6HMMLeNPWBul2jLILP&#10;m1VYvQ3NbFu2mZQmq/XfG0HwNh/fc2aLxpTiSrUrLCvo9yIQxKnVBWcKTsdVdwrCeWSNpWVScCcH&#10;i3m7NcNY2xsf6Jr4TIQQdjEqyL2vYildmpNB17MVceB+bW3QB1hnUtd4C+GmlIMoGkuDBYeGHCta&#10;5pT+Jf9GwUT+bKJpuh30P4en82WZ2N1+bZX66DTfXyA8Nf4tfrm3OswfwfOXcICc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EUdywQAAANsAAAAPAAAAAAAAAAAAAAAA&#10;AKECAABkcnMvZG93bnJldi54bWxQSwUGAAAAAAQABAD5AAAAjwMAAAAA&#10;" strokecolor="black [3213]">
                  <v:stroke endarrow="block"/>
                </v:shape>
                <v:shape id="Straight Arrow Connector 15" o:spid="_x0000_s1038" type="#_x0000_t32" style="position:absolute;left:5749795;top:3778556;width:1495867;height:728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</v:group>
            </w:pict>
          </mc:Fallback>
        </mc:AlternateContent>
      </w: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jc w:val="center"/>
        <w:rPr>
          <w:rFonts w:ascii="Book Antiqua" w:hAnsi="Book Antiqua"/>
          <w:b/>
          <w:sz w:val="14"/>
          <w:szCs w:val="14"/>
        </w:rPr>
        <w:sectPr w:rsidR="002947BD" w:rsidSect="00C67C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469" w:tblpY="2521"/>
        <w:tblW w:w="1349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758"/>
        <w:gridCol w:w="964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29"/>
        <w:gridCol w:w="28"/>
      </w:tblGrid>
      <w:tr w:rsidR="002947BD" w:rsidRPr="00CE7D65" w:rsidTr="00A14E2C">
        <w:trPr>
          <w:trHeight w:val="510"/>
        </w:trPr>
        <w:tc>
          <w:tcPr>
            <w:tcW w:w="10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lastRenderedPageBreak/>
              <w:t>Study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Mohamm-adi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[6]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Ahmed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[7]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>Perez-</w:t>
            </w: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Zabala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2016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[8]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Saad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2011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[9]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Kakagia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2007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[10]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Driver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2006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[11]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Li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2015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[12]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Saldalam-acchia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2004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[13]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Motolese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>2015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[14]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Shan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2013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[15]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Kontopo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-dis </w:t>
            </w:r>
          </w:p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CE7D65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CE7D65">
              <w:rPr>
                <w:rFonts w:ascii="Book Antiqua" w:hAnsi="Book Antiqua"/>
                <w:b/>
                <w:sz w:val="14"/>
                <w:szCs w:val="14"/>
              </w:rPr>
              <w:t>2016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[16]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Weighted mean, </w:t>
            </w:r>
            <w:proofErr w:type="gram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SD</w:t>
            </w:r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[</w:t>
            </w:r>
            <w:proofErr w:type="gramEnd"/>
            <w:r w:rsidRPr="00CE7D65">
              <w:rPr>
                <w:rFonts w:ascii="Book Antiqua" w:hAnsi="Book Antiqua"/>
                <w:b/>
                <w:sz w:val="14"/>
                <w:szCs w:val="14"/>
                <w:vertAlign w:val="superscript"/>
              </w:rPr>
              <w:t>6]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P-value (PRP </w:t>
            </w:r>
            <w:proofErr w:type="spellStart"/>
            <w:r w:rsidRPr="00CE7D65">
              <w:rPr>
                <w:rFonts w:ascii="Book Antiqua" w:hAnsi="Book Antiqua"/>
                <w:b/>
                <w:sz w:val="14"/>
                <w:szCs w:val="14"/>
              </w:rPr>
              <w:t>vs</w:t>
            </w:r>
            <w:proofErr w:type="spellEnd"/>
            <w:r w:rsidRPr="00CE7D65">
              <w:rPr>
                <w:rFonts w:ascii="Book Antiqua" w:hAnsi="Book Antiqua"/>
                <w:b/>
                <w:sz w:val="14"/>
                <w:szCs w:val="14"/>
              </w:rPr>
              <w:t xml:space="preserve"> Control)</w:t>
            </w:r>
          </w:p>
        </w:tc>
      </w:tr>
      <w:tr w:rsidR="002947BD" w:rsidRPr="00CE7D65" w:rsidTr="00A14E2C">
        <w:trPr>
          <w:trHeight w:val="264"/>
        </w:trPr>
        <w:tc>
          <w:tcPr>
            <w:tcW w:w="1048" w:type="dxa"/>
            <w:gridSpan w:val="2"/>
            <w:tcBorders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Type of Study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CS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RDBP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RP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RU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gridSpan w:val="2"/>
            <w:tcBorders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</w:tr>
      <w:tr w:rsidR="002947BD" w:rsidRPr="00CE7D65" w:rsidTr="00A14E2C">
        <w:trPr>
          <w:trHeight w:val="264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Level of evidence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IV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III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</w:tr>
      <w:tr w:rsidR="002947BD" w:rsidRPr="00CE7D65" w:rsidTr="00A14E2C">
        <w:trPr>
          <w:gridAfter w:val="1"/>
          <w:wAfter w:w="28" w:type="dxa"/>
          <w:trHeight w:val="246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No. </w:t>
            </w:r>
            <w:proofErr w:type="gramStart"/>
            <w:r w:rsidRPr="00CE7D65">
              <w:rPr>
                <w:rFonts w:ascii="Book Antiqua" w:hAnsi="Book Antiqua"/>
                <w:sz w:val="14"/>
                <w:szCs w:val="14"/>
              </w:rPr>
              <w:t>patients</w:t>
            </w:r>
            <w:proofErr w:type="gramEnd"/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70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59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72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29.3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25.4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0.104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58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25.2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20.0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46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Age (mean, SD)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53.8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10.6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43.2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18.2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65.5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2.1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57.0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12.0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58.3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61.4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13.1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61.1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52.3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11.3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66.5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10.8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65.0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58.4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7.2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0.678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49.8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15.4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55.9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8.1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64.1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58.1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7.8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58.7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5.9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64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Female gender (%)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12 (17.1)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8 (28.6)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0 (0.0)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3 (15.8)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22 (37.3)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4 (57.1)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11 (73.3)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13 (61.9)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14 (19.4)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29.7%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0.407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10 (35.7)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5 (23.8)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20 (34.5)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4 (57.1)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35.1%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64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Duration of diabetes, years (mean, SD)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16.2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7.9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23.5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13.4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7.5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16.3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7.9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38.2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6.7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14.1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11.6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0.048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19.7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11.0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6.9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64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Duration of ulcer, weeks (mean, SD)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19.6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4.7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12.5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28.3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19.0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8.0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4.28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10.1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12.0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13.0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8.4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&lt;0.001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11.5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3.3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5.8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64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HbA1c (mean, SD)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6.2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0.7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7.0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0.5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9.4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3.3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8.1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7.8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9.8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3.1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9.5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9.1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2.2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7.9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1.3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&lt;0.001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6.9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0.6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8.1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9.8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8.8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8.7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1.2</w:t>
            </w:r>
          </w:p>
        </w:tc>
        <w:tc>
          <w:tcPr>
            <w:tcW w:w="9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2947BD" w:rsidRPr="00CE7D65" w:rsidTr="00A14E2C">
        <w:trPr>
          <w:gridAfter w:val="1"/>
          <w:wAfter w:w="28" w:type="dxa"/>
          <w:trHeight w:val="264"/>
        </w:trPr>
        <w:tc>
          <w:tcPr>
            <w:tcW w:w="134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Ulcer area, cm2 (mean, SD)</w:t>
            </w:r>
          </w:p>
        </w:tc>
      </w:tr>
      <w:tr w:rsidR="002947BD" w:rsidRPr="00CE7D65" w:rsidTr="00A14E2C">
        <w:trPr>
          <w:trHeight w:val="246"/>
        </w:trPr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PRP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6.11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4.37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6.24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0.9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10.25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28.4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13.6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3.4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4.5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4.1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27.3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CE7D65">
              <w:rPr>
                <w:rFonts w:ascii="Book Antiqua" w:hAnsi="Book Antiqua"/>
                <w:sz w:val="16"/>
                <w:szCs w:val="16"/>
              </w:rPr>
              <w:t>15</w:t>
            </w:r>
            <w:r w:rsidRPr="00CE7D65">
              <w:rPr>
                <w:rFonts w:ascii="Book Antiqua" w:hAnsi="Book Antiqua"/>
                <w:sz w:val="14"/>
                <w:szCs w:val="14"/>
              </w:rPr>
              <w:t>.6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13.92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14.0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32.3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4.1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3.9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7.7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9.3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&lt;0.001</w:t>
            </w:r>
          </w:p>
        </w:tc>
      </w:tr>
      <w:tr w:rsidR="002947BD" w:rsidRPr="00CE7D65" w:rsidTr="00A14E2C">
        <w:trPr>
          <w:trHeight w:val="264"/>
        </w:trPr>
        <w:tc>
          <w:tcPr>
            <w:tcW w:w="290" w:type="dxa"/>
            <w:tcBorders>
              <w:top w:val="nil"/>
              <w:left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Control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5.72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0.8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3.6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4.0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2.9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17.0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8.9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>N/A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E7D65">
              <w:rPr>
                <w:rFonts w:ascii="Book Antiqua" w:hAnsi="Book Antiqua"/>
                <w:sz w:val="14"/>
                <w:szCs w:val="14"/>
              </w:rPr>
              <w:t xml:space="preserve">4.6 </w:t>
            </w:r>
            <w:r w:rsidRPr="00CE7D65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CE7D65">
              <w:rPr>
                <w:rFonts w:ascii="Book Antiqua" w:hAnsi="Book Antiqua"/>
                <w:sz w:val="14"/>
                <w:szCs w:val="14"/>
              </w:rPr>
              <w:t xml:space="preserve"> 6.6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right w:val="nil"/>
            </w:tcBorders>
            <w:vAlign w:val="center"/>
          </w:tcPr>
          <w:p w:rsidR="002947BD" w:rsidRPr="00CE7D65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  <w:r w:rsidRPr="000A4049">
        <w:rPr>
          <w:rFonts w:ascii="Book Antiqua" w:hAnsi="Book Antiqua"/>
          <w:b/>
        </w:rPr>
        <w:t>Table 1</w:t>
      </w:r>
      <w:r>
        <w:rPr>
          <w:rFonts w:ascii="Book Antiqua" w:hAnsi="Book Antiqua"/>
        </w:rPr>
        <w:t xml:space="preserve"> </w:t>
      </w:r>
      <w:r w:rsidRPr="000A4049">
        <w:rPr>
          <w:rFonts w:ascii="Book Antiqua" w:hAnsi="Book Antiqua"/>
          <w:b/>
        </w:rPr>
        <w:t>Study Demographics</w:t>
      </w:r>
      <w:bookmarkStart w:id="0" w:name="_GoBack"/>
      <w:bookmarkEnd w:id="0"/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</w:pPr>
    </w:p>
    <w:p w:rsidR="002947BD" w:rsidRDefault="002947BD" w:rsidP="002947BD">
      <w:pPr>
        <w:spacing w:line="360" w:lineRule="auto"/>
        <w:rPr>
          <w:rFonts w:ascii="Book Antiqua" w:hAnsi="Book Antiqua"/>
        </w:rPr>
        <w:sectPr w:rsidR="002947BD" w:rsidSect="00CE7D65"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5"/>
        </w:sectPr>
      </w:pPr>
      <w:r w:rsidRPr="00FF11A6">
        <w:rPr>
          <w:rFonts w:ascii="Book Antiqua" w:hAnsi="Book Antiqua"/>
        </w:rPr>
        <w:t xml:space="preserve">N/A: Not applicable, PU: Prospective uncontrolled, RP: Randomized prospective, CS: Case series, RDBP: Randomized </w:t>
      </w:r>
      <w:proofErr w:type="gramStart"/>
      <w:r w:rsidRPr="00FF11A6">
        <w:rPr>
          <w:rFonts w:ascii="Book Antiqua" w:hAnsi="Book Antiqua"/>
        </w:rPr>
        <w:t>double</w:t>
      </w:r>
      <w:proofErr w:type="gramEnd"/>
      <w:r w:rsidRPr="00FF11A6">
        <w:rPr>
          <w:rFonts w:ascii="Book Antiqua" w:hAnsi="Book Antiqua"/>
        </w:rPr>
        <w:t>-blind prospective, RU: Retrospective uncontrolled, NR: Not recorded, PRP: Platelet-rich plasma</w:t>
      </w:r>
    </w:p>
    <w:p w:rsidR="002947BD" w:rsidRPr="00BC6526" w:rsidRDefault="002947BD" w:rsidP="002947BD">
      <w:pPr>
        <w:spacing w:line="360" w:lineRule="auto"/>
        <w:rPr>
          <w:rFonts w:ascii="Book Antiqua" w:hAnsi="Book Antiqua"/>
          <w:b/>
        </w:rPr>
      </w:pPr>
      <w:r w:rsidRPr="00BC6526">
        <w:rPr>
          <w:rFonts w:ascii="Book Antiqua" w:hAnsi="Book Antiqua"/>
          <w:b/>
        </w:rPr>
        <w:t xml:space="preserve">Table 2 PRP </w:t>
      </w:r>
      <w:proofErr w:type="gramStart"/>
      <w:r w:rsidRPr="00BC6526">
        <w:rPr>
          <w:rFonts w:ascii="Book Antiqua" w:hAnsi="Book Antiqua"/>
          <w:b/>
        </w:rPr>
        <w:t>Preparation</w:t>
      </w:r>
      <w:proofErr w:type="gramEnd"/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tbl>
      <w:tblPr>
        <w:tblStyle w:val="TableGrid"/>
        <w:tblpPr w:leftFromText="180" w:rightFromText="180" w:vertAnchor="page" w:horzAnchor="page" w:tblpX="829" w:tblpY="2161"/>
        <w:tblW w:w="12968" w:type="dxa"/>
        <w:tblLayout w:type="fixed"/>
        <w:tblLook w:val="04A0" w:firstRow="1" w:lastRow="0" w:firstColumn="1" w:lastColumn="0" w:noHBand="0" w:noVBand="1"/>
      </w:tblPr>
      <w:tblGrid>
        <w:gridCol w:w="1138"/>
        <w:gridCol w:w="1084"/>
        <w:gridCol w:w="1029"/>
        <w:gridCol w:w="1110"/>
        <w:gridCol w:w="1019"/>
        <w:gridCol w:w="1018"/>
        <w:gridCol w:w="1025"/>
        <w:gridCol w:w="1108"/>
        <w:gridCol w:w="1090"/>
        <w:gridCol w:w="1151"/>
        <w:gridCol w:w="1045"/>
        <w:gridCol w:w="1151"/>
      </w:tblGrid>
      <w:tr w:rsidR="002947BD" w:rsidRPr="00A83E6E" w:rsidTr="00A14E2C">
        <w:trPr>
          <w:trHeight w:val="469"/>
        </w:trPr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Study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Mohammadi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Ahmed</w:t>
            </w:r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Perez-</w:t>
            </w: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Zabala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2016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Saad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2011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Kakagia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2007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Driver</w:t>
            </w:r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2006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Li</w:t>
            </w:r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2015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Saldalamac</w:t>
            </w:r>
            <w:proofErr w:type="spellEnd"/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-chia </w:t>
            </w:r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2004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Motolese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>2015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A83E6E">
              <w:rPr>
                <w:rFonts w:ascii="Book Antiqua" w:hAnsi="Book Antiqua"/>
                <w:b/>
                <w:sz w:val="14"/>
                <w:szCs w:val="14"/>
              </w:rPr>
              <w:t>Shan</w:t>
            </w:r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 xml:space="preserve"> 2013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b/>
                <w:sz w:val="14"/>
                <w:szCs w:val="14"/>
              </w:rPr>
              <w:t>Kontopodis</w:t>
            </w:r>
            <w:proofErr w:type="spellEnd"/>
          </w:p>
          <w:p w:rsidR="002947BD" w:rsidRPr="00A83E6E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A83E6E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A83E6E">
              <w:rPr>
                <w:rFonts w:ascii="Book Antiqua" w:hAnsi="Book Antiqua"/>
                <w:b/>
                <w:sz w:val="14"/>
                <w:szCs w:val="14"/>
              </w:rPr>
              <w:t>2016</w:t>
            </w:r>
          </w:p>
        </w:tc>
      </w:tr>
      <w:tr w:rsidR="002947BD" w:rsidRPr="00A83E6E" w:rsidTr="00A14E2C">
        <w:trPr>
          <w:trHeight w:val="469"/>
        </w:trPr>
        <w:tc>
          <w:tcPr>
            <w:tcW w:w="1138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spinning approach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Double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Double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Double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Single</w:t>
            </w:r>
          </w:p>
        </w:tc>
      </w:tr>
      <w:tr w:rsidR="002947BD" w:rsidRPr="00A83E6E" w:rsidTr="00A14E2C">
        <w:trPr>
          <w:trHeight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Duration of spin (min)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5 and 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4 and 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A83E6E" w:rsidTr="00A14E2C">
        <w:trPr>
          <w:trHeight w:val="64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Company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Arya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Mabna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Tashkhis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Co, Iran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Biomet Biologics, Warsaw, IN, USA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Cytomedix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>, Rockville, MD, USA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Thermogenesis, Rancho Cordova, CA, USA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Haemonetics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Corp, Braintree, MA, USA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RegenLab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, Le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Montsur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>-Lausanne, Switzerland</w:t>
            </w:r>
          </w:p>
        </w:tc>
      </w:tr>
      <w:tr w:rsidR="002947BD" w:rsidRPr="00A83E6E" w:rsidTr="00A14E2C">
        <w:trPr>
          <w:trHeight w:val="48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activator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CaCl</w:t>
            </w:r>
            <w:r w:rsidRPr="00A83E6E">
              <w:rPr>
                <w:rFonts w:ascii="Book Antiqua" w:hAnsi="Book Antiqu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Thrombin, CaCl</w:t>
            </w:r>
            <w:r w:rsidRPr="00A83E6E">
              <w:rPr>
                <w:rFonts w:ascii="Book Antiqua" w:hAnsi="Book Antiqu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CaCl</w:t>
            </w:r>
            <w:r w:rsidRPr="00A83E6E">
              <w:rPr>
                <w:rFonts w:ascii="Book Antiqua" w:hAnsi="Book Antiqu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Thrombin, CaCl</w:t>
            </w:r>
            <w:r w:rsidRPr="00A83E6E">
              <w:rPr>
                <w:rFonts w:ascii="Book Antiqua" w:hAnsi="Book Antiqu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Thrombin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Thrombin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 xml:space="preserve">Thrombin, calcium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gluconate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Thrombin, CaCl</w:t>
            </w:r>
            <w:r w:rsidRPr="00A83E6E">
              <w:rPr>
                <w:rFonts w:ascii="Book Antiqua" w:hAnsi="Book Antiqu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 xml:space="preserve">Thrombin, calcium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gluconate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A83E6E" w:rsidTr="00A14E2C">
        <w:trPr>
          <w:trHeight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amount applied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2 mL/cm</w:t>
            </w:r>
            <w:r w:rsidRPr="00A83E6E">
              <w:rPr>
                <w:rFonts w:ascii="Book Antiqua" w:hAnsi="Book Antiqu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7 mL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3 mL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5 mL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A83E6E" w:rsidTr="00A14E2C">
        <w:trPr>
          <w:trHeight w:val="34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Platelet concentration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1.0-1.2x10</w:t>
            </w:r>
            <w:r w:rsidRPr="00A83E6E">
              <w:rPr>
                <w:rFonts w:ascii="Book Antiqua" w:hAnsi="Book Antiqua"/>
                <w:sz w:val="14"/>
                <w:szCs w:val="14"/>
                <w:vertAlign w:val="superscript"/>
              </w:rPr>
              <w:t>6</w:t>
            </w:r>
            <w:r w:rsidRPr="00A83E6E">
              <w:rPr>
                <w:rFonts w:ascii="Book Antiqua" w:hAnsi="Book Antiqua"/>
                <w:sz w:val="14"/>
                <w:szCs w:val="14"/>
              </w:rPr>
              <w:t>/</w:t>
            </w:r>
            <w:r w:rsidRPr="00A83E6E">
              <w:rPr>
                <w:rFonts w:ascii="Book Antiqua" w:hAnsi="Book Antiqua"/>
                <w:sz w:val="14"/>
                <w:szCs w:val="14"/>
              </w:rPr>
              <w:sym w:font="Symbol" w:char="F06D"/>
            </w:r>
            <w:r w:rsidRPr="00A83E6E">
              <w:rPr>
                <w:rFonts w:ascii="Book Antiqua" w:hAnsi="Book Antiqua"/>
                <w:sz w:val="14"/>
                <w:szCs w:val="14"/>
              </w:rPr>
              <w:t>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1.6-1.7 x baseline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A83E6E" w:rsidTr="00A14E2C">
        <w:trPr>
          <w:trHeight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WBC concentration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Undetectable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A83E6E" w:rsidTr="00A14E2C">
        <w:trPr>
          <w:trHeight w:val="2723"/>
        </w:trPr>
        <w:tc>
          <w:tcPr>
            <w:tcW w:w="1138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application method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ulcers after irrigation and debridement every week covered with non-absorbing wet dressing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ulcers after irrigation with 0.9% saline twice weekly covered with non-absorbing dressing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ulcers after irrigation twice weekly covered with foam dressings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ulcers within half an hour after preparation followed by Vaseline gauze and dressing changed every 3-4 days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ulcers covered with vapor-permeable film (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Tegaderm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>, 3M)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 xml:space="preserve">PRP gel applied on </w:t>
            </w:r>
            <w:proofErr w:type="gramStart"/>
            <w:r w:rsidRPr="00A83E6E">
              <w:rPr>
                <w:rFonts w:ascii="Book Antiqua" w:hAnsi="Book Antiqua"/>
                <w:sz w:val="14"/>
                <w:szCs w:val="14"/>
              </w:rPr>
              <w:t>ulcer  with</w:t>
            </w:r>
            <w:proofErr w:type="gramEnd"/>
            <w:r w:rsidRPr="00A83E6E">
              <w:rPr>
                <w:rFonts w:ascii="Book Antiqua" w:hAnsi="Book Antiqua"/>
                <w:sz w:val="14"/>
                <w:szCs w:val="14"/>
              </w:rPr>
              <w:t xml:space="preserve"> contact layer dressing covered with non-absorbent foam dressing changed every 3-4 days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 xml:space="preserve">PRP gel applied on ulcer after irrigation and debridement covered with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Suile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dressing changed every 3 days. PRP gel reapplied up to 5 times in 12 week period if wound area reduction rate &lt;80%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Weekly topical application of PRP gel with covered with standard dressing changed weekly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5 mL of PRP gel applied on ulcers once a week for total of 10 weeks covered with non-adherent dressing and bandage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 xml:space="preserve">PRP gel applied on </w:t>
            </w:r>
            <w:proofErr w:type="spellStart"/>
            <w:r w:rsidRPr="00A83E6E">
              <w:rPr>
                <w:rFonts w:ascii="Book Antiqua" w:hAnsi="Book Antiqua"/>
                <w:sz w:val="14"/>
                <w:szCs w:val="14"/>
              </w:rPr>
              <w:t>ulces</w:t>
            </w:r>
            <w:proofErr w:type="spellEnd"/>
            <w:r w:rsidRPr="00A83E6E">
              <w:rPr>
                <w:rFonts w:ascii="Book Antiqua" w:hAnsi="Book Antiqua"/>
                <w:sz w:val="14"/>
                <w:szCs w:val="14"/>
              </w:rPr>
              <w:t xml:space="preserve"> twice per week covered with occlusive dressing changed every 72 hours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A83E6E" w:rsidRDefault="002947BD" w:rsidP="00A14E2C">
            <w:pPr>
              <w:rPr>
                <w:rFonts w:ascii="Book Antiqua" w:hAnsi="Book Antiqua"/>
                <w:sz w:val="14"/>
                <w:szCs w:val="14"/>
              </w:rPr>
            </w:pPr>
            <w:r w:rsidRPr="00A83E6E">
              <w:rPr>
                <w:rFonts w:ascii="Book Antiqua" w:hAnsi="Book Antiqua"/>
                <w:sz w:val="14"/>
                <w:szCs w:val="14"/>
              </w:rPr>
              <w:t>PRP gel applied on ulcer twice weekly after irrigation and debridement covered with standard dressings</w:t>
            </w:r>
          </w:p>
        </w:tc>
      </w:tr>
    </w:tbl>
    <w:p w:rsidR="002947BD" w:rsidRDefault="002947BD" w:rsidP="002947B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D15A" wp14:editId="5B8B513F">
                <wp:simplePos x="0" y="0"/>
                <wp:positionH relativeFrom="column">
                  <wp:posOffset>-7901305</wp:posOffset>
                </wp:positionH>
                <wp:positionV relativeFrom="paragraph">
                  <wp:posOffset>4020820</wp:posOffset>
                </wp:positionV>
                <wp:extent cx="316674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BD" w:rsidRPr="00A83E6E" w:rsidRDefault="002947BD" w:rsidP="002947B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NR: Not recorded, PRP: </w:t>
                            </w:r>
                            <w:r w:rsidRPr="00FC61D9">
                              <w:rPr>
                                <w:rFonts w:ascii="Book Antiqua" w:hAnsi="Book Antiqua"/>
                              </w:rPr>
                              <w:t>Platelet-rich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9" type="#_x0000_t202" style="position:absolute;margin-left:-622.1pt;margin-top:316.6pt;width:249.3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" filled="f" stroked="f">
                <v:textbox>
                  <w:txbxContent>
                    <w:p w:rsidR="002947BD" w:rsidRPr="00A83E6E" w:rsidRDefault="002947BD" w:rsidP="002947B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NR: Not recorded, PRP: </w:t>
                      </w:r>
                      <w:r w:rsidRPr="00FC61D9">
                        <w:rPr>
                          <w:rFonts w:ascii="Book Antiqua" w:hAnsi="Book Antiqua"/>
                        </w:rPr>
                        <w:t>Platelet-rich plasma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7BD" w:rsidRDefault="002947BD" w:rsidP="002947BD">
      <w:pPr>
        <w:spacing w:line="360" w:lineRule="auto"/>
        <w:rPr>
          <w:rFonts w:ascii="Book Antiqua" w:hAnsi="Book Antiqua"/>
        </w:rPr>
        <w:sectPr w:rsidR="002947BD" w:rsidSect="00A83E6E"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6"/>
        </w:sectPr>
      </w:pPr>
    </w:p>
    <w:p w:rsidR="002947BD" w:rsidRPr="00A83E6E" w:rsidRDefault="002947BD" w:rsidP="002947BD">
      <w:pPr>
        <w:spacing w:line="360" w:lineRule="auto"/>
        <w:rPr>
          <w:rFonts w:ascii="Book Antiqua" w:hAnsi="Book Antiqua"/>
          <w:b/>
        </w:rPr>
      </w:pPr>
      <w:r w:rsidRPr="00A83E6E">
        <w:rPr>
          <w:rFonts w:ascii="Book Antiqua" w:hAnsi="Book Antiqua"/>
          <w:b/>
        </w:rPr>
        <w:t>Table 3 PRP Group Individual Study Outcome Measures</w:t>
      </w:r>
    </w:p>
    <w:tbl>
      <w:tblPr>
        <w:tblStyle w:val="TableGrid"/>
        <w:tblpPr w:leftFromText="180" w:rightFromText="180" w:vertAnchor="page" w:horzAnchor="page" w:tblpX="829" w:tblpY="2161"/>
        <w:tblW w:w="13321" w:type="dxa"/>
        <w:tblLayout w:type="fixed"/>
        <w:tblLook w:val="04A0" w:firstRow="1" w:lastRow="0" w:firstColumn="1" w:lastColumn="0" w:noHBand="0" w:noVBand="1"/>
      </w:tblPr>
      <w:tblGrid>
        <w:gridCol w:w="1097"/>
        <w:gridCol w:w="837"/>
        <w:gridCol w:w="933"/>
        <w:gridCol w:w="1025"/>
        <w:gridCol w:w="1025"/>
        <w:gridCol w:w="1025"/>
        <w:gridCol w:w="1025"/>
        <w:gridCol w:w="1025"/>
        <w:gridCol w:w="1127"/>
        <w:gridCol w:w="1025"/>
        <w:gridCol w:w="1025"/>
        <w:gridCol w:w="1025"/>
        <w:gridCol w:w="1127"/>
      </w:tblGrid>
      <w:tr w:rsidR="002947BD" w:rsidRPr="00EC531D" w:rsidTr="00A14E2C">
        <w:trPr>
          <w:trHeight w:val="759"/>
        </w:trPr>
        <w:tc>
          <w:tcPr>
            <w:tcW w:w="19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>Study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Moham-madi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Ahmed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2017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>Perez-</w:t>
            </w: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Zabala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2016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Saad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2011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Kakagia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2007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Driver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2006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Li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2015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Saldalama-cchia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2004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Motolese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>2015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Shan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2013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b/>
                <w:sz w:val="14"/>
                <w:szCs w:val="14"/>
              </w:rPr>
              <w:t>Kontopodis</w:t>
            </w:r>
            <w:proofErr w:type="spellEnd"/>
            <w:r w:rsidRPr="00EC531D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</w:p>
          <w:p w:rsidR="002947BD" w:rsidRPr="00EC531D" w:rsidRDefault="002947BD" w:rsidP="00A14E2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proofErr w:type="gramStart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>et</w:t>
            </w:r>
            <w:proofErr w:type="gramEnd"/>
            <w:r w:rsidRPr="00EC531D">
              <w:rPr>
                <w:rFonts w:ascii="Book Antiqua" w:hAnsi="Book Antiqua"/>
                <w:b/>
                <w:i/>
                <w:sz w:val="14"/>
                <w:szCs w:val="14"/>
              </w:rPr>
              <w:t xml:space="preserve"> al. </w:t>
            </w:r>
            <w:r w:rsidRPr="00EC531D">
              <w:rPr>
                <w:rFonts w:ascii="Book Antiqua" w:hAnsi="Book Antiqua"/>
                <w:b/>
                <w:sz w:val="14"/>
                <w:szCs w:val="14"/>
              </w:rPr>
              <w:t>2016</w:t>
            </w:r>
          </w:p>
        </w:tc>
      </w:tr>
      <w:tr w:rsidR="002947BD" w:rsidRPr="00EC531D" w:rsidTr="00A14E2C">
        <w:trPr>
          <w:trHeight w:val="518"/>
        </w:trPr>
        <w:tc>
          <w:tcPr>
            <w:tcW w:w="109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Ulcer area, cm</w:t>
            </w:r>
            <w:r w:rsidRPr="00EC531D">
              <w:rPr>
                <w:rFonts w:ascii="Book Antiqua" w:hAnsi="Book Antiqua"/>
                <w:sz w:val="14"/>
                <w:szCs w:val="14"/>
                <w:vertAlign w:val="superscript"/>
              </w:rPr>
              <w:t>2</w:t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(mean, SD)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Baseline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6.11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4.37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6.24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0.9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10.3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28.4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13.6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3.4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4.5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4.1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27.3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15.6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13.9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14.0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32.3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4.1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3.9</w:t>
            </w:r>
          </w:p>
        </w:tc>
      </w:tr>
      <w:tr w:rsidR="002947BD" w:rsidRPr="00EC531D" w:rsidTr="00A14E2C">
        <w:trPr>
          <w:trHeight w:val="229"/>
        </w:trPr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Final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1.44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8.0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7.5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31"/>
        </w:trPr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Ulcer healed (n,%)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8 weeks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23 (82.1)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2 (11.8)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29"/>
        </w:trPr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12 weeks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24 (85.7)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13 (68.4)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50 (84.8)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15 (71.4)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59"/>
        </w:trPr>
        <w:tc>
          <w:tcPr>
            <w:tcW w:w="10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EC531D">
              <w:rPr>
                <w:rFonts w:ascii="Book Antiqua" w:hAnsi="Book Antiqua"/>
                <w:sz w:val="14"/>
                <w:szCs w:val="14"/>
              </w:rPr>
              <w:t>Resvech</w:t>
            </w:r>
            <w:proofErr w:type="spellEnd"/>
            <w:r w:rsidRPr="00EC531D">
              <w:rPr>
                <w:rFonts w:ascii="Book Antiqua" w:hAnsi="Book Antiqua"/>
                <w:sz w:val="14"/>
                <w:szCs w:val="14"/>
              </w:rPr>
              <w:t xml:space="preserve"> 2.0 measurement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Baseline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13.5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29"/>
        </w:trPr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Final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6.0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87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% </w:t>
            </w:r>
            <w:proofErr w:type="gramStart"/>
            <w:r w:rsidRPr="00EC531D">
              <w:rPr>
                <w:rFonts w:ascii="Book Antiqua" w:hAnsi="Book Antiqua"/>
                <w:sz w:val="14"/>
                <w:szCs w:val="14"/>
              </w:rPr>
              <w:t>wound</w:t>
            </w:r>
            <w:proofErr w:type="gramEnd"/>
            <w:r w:rsidRPr="00EC531D">
              <w:rPr>
                <w:rFonts w:ascii="Book Antiqua" w:hAnsi="Book Antiqua"/>
                <w:sz w:val="14"/>
                <w:szCs w:val="14"/>
              </w:rPr>
              <w:t xml:space="preserve"> length decrease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14.3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7.1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5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% </w:t>
            </w:r>
            <w:proofErr w:type="gramStart"/>
            <w:r w:rsidRPr="00EC531D">
              <w:rPr>
                <w:rFonts w:ascii="Book Antiqua" w:hAnsi="Book Antiqua"/>
                <w:sz w:val="14"/>
                <w:szCs w:val="14"/>
              </w:rPr>
              <w:t>wound</w:t>
            </w:r>
            <w:proofErr w:type="gramEnd"/>
            <w:r w:rsidRPr="00EC531D">
              <w:rPr>
                <w:rFonts w:ascii="Book Antiqua" w:hAnsi="Book Antiqua"/>
                <w:sz w:val="14"/>
                <w:szCs w:val="14"/>
              </w:rPr>
              <w:t xml:space="preserve"> width decrease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17.4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8.0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25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% </w:t>
            </w:r>
            <w:proofErr w:type="gramStart"/>
            <w:r w:rsidRPr="00EC531D">
              <w:rPr>
                <w:rFonts w:ascii="Book Antiqua" w:hAnsi="Book Antiqua"/>
                <w:sz w:val="14"/>
                <w:szCs w:val="14"/>
              </w:rPr>
              <w:t>wound</w:t>
            </w:r>
            <w:proofErr w:type="gramEnd"/>
            <w:r w:rsidRPr="00EC531D">
              <w:rPr>
                <w:rFonts w:ascii="Book Antiqua" w:hAnsi="Book Antiqua"/>
                <w:sz w:val="14"/>
                <w:szCs w:val="14"/>
              </w:rPr>
              <w:t xml:space="preserve"> depth decrease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34.9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9.9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</w:tr>
      <w:tr w:rsidR="002947BD" w:rsidRPr="00EC531D" w:rsidTr="00A14E2C">
        <w:trPr>
          <w:trHeight w:val="75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Time to &gt;90% ulcer area healing, weeks (mean, SD)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8.7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3.9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7.0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2.8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6.4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12.7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7.17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5.66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11.0 </w:t>
            </w:r>
            <w:r w:rsidRPr="00EC531D">
              <w:rPr>
                <w:rFonts w:ascii="Book Antiqua" w:hAnsi="Book Antiqua"/>
                <w:sz w:val="14"/>
                <w:szCs w:val="14"/>
              </w:rPr>
              <w:sym w:font="Symbol" w:char="F0B1"/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4.0</w:t>
            </w:r>
          </w:p>
        </w:tc>
      </w:tr>
      <w:tr w:rsidR="002947BD" w:rsidRPr="00EC531D" w:rsidTr="00A14E2C">
        <w:trPr>
          <w:trHeight w:val="518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Healing rate per week, cm</w:t>
            </w:r>
            <w:r w:rsidRPr="00EC531D">
              <w:rPr>
                <w:rFonts w:ascii="Book Antiqua" w:hAnsi="Book Antiqua"/>
                <w:sz w:val="14"/>
                <w:szCs w:val="14"/>
                <w:vertAlign w:val="superscript"/>
              </w:rPr>
              <w:t>2</w:t>
            </w:r>
            <w:r w:rsidRPr="00EC531D">
              <w:rPr>
                <w:rFonts w:ascii="Book Antiqua" w:hAnsi="Book Antiqua"/>
                <w:sz w:val="14"/>
                <w:szCs w:val="14"/>
              </w:rPr>
              <w:t xml:space="preserve"> (mean)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1.46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0.53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0.80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NR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1.10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1.95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0.37</w:t>
            </w:r>
          </w:p>
        </w:tc>
      </w:tr>
      <w:tr w:rsidR="002947BD" w:rsidRPr="00EC531D" w:rsidTr="00A14E2C">
        <w:trPr>
          <w:trHeight w:val="518"/>
        </w:trPr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 xml:space="preserve">Adverse effects 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2 – wound infections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1 – contact dermatitis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5 – wound infections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2947BD" w:rsidRPr="00EC531D" w:rsidRDefault="002947BD" w:rsidP="00A14E2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EC531D">
              <w:rPr>
                <w:rFonts w:ascii="Book Antiqua" w:hAnsi="Book Antiqua"/>
                <w:sz w:val="14"/>
                <w:szCs w:val="14"/>
              </w:rPr>
              <w:t>0</w:t>
            </w:r>
          </w:p>
        </w:tc>
      </w:tr>
    </w:tbl>
    <w:p w:rsidR="002947BD" w:rsidRDefault="002947BD" w:rsidP="002947B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NR: Not recorded</w:t>
      </w:r>
    </w:p>
    <w:p w:rsidR="002947BD" w:rsidRDefault="002947BD" w:rsidP="002947BD">
      <w:pPr>
        <w:spacing w:line="360" w:lineRule="auto"/>
        <w:rPr>
          <w:rFonts w:ascii="Book Antiqua" w:hAnsi="Book Antiqua"/>
        </w:rPr>
        <w:sectPr w:rsidR="002947BD" w:rsidSect="00EC531D"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7"/>
        </w:sectPr>
      </w:pPr>
    </w:p>
    <w:p w:rsidR="002947BD" w:rsidRPr="00EC531D" w:rsidRDefault="002947BD" w:rsidP="002947BD">
      <w:pPr>
        <w:spacing w:line="360" w:lineRule="auto"/>
        <w:rPr>
          <w:rFonts w:ascii="Book Antiqua" w:hAnsi="Book Antiqua"/>
          <w:b/>
        </w:rPr>
      </w:pPr>
      <w:r w:rsidRPr="00EC531D">
        <w:rPr>
          <w:rFonts w:ascii="Book Antiqua" w:hAnsi="Book Antiqua"/>
          <w:b/>
        </w:rPr>
        <w:t>Table 4 Average Study Outcome Measures Included in Best Evidence Synthesis</w:t>
      </w:r>
    </w:p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</w:p>
    <w:tbl>
      <w:tblPr>
        <w:tblW w:w="7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985"/>
        <w:gridCol w:w="1985"/>
        <w:gridCol w:w="1985"/>
      </w:tblGrid>
      <w:tr w:rsidR="002947BD" w:rsidRPr="00EC531D" w:rsidTr="00A14E2C">
        <w:trPr>
          <w:trHeight w:val="1123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EC531D">
              <w:rPr>
                <w:rFonts w:ascii="Book Antiqua" w:hAnsi="Book Antiqua"/>
                <w:b/>
              </w:rPr>
              <w:t>Time to &gt;90% ulcer area healing, weeks (mean, SD)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EC531D">
              <w:rPr>
                <w:rFonts w:ascii="Book Antiqua" w:hAnsi="Book Antiqua"/>
                <w:b/>
              </w:rPr>
              <w:t>Healing rate per week, cm</w:t>
            </w:r>
            <w:r w:rsidRPr="00EC531D">
              <w:rPr>
                <w:rFonts w:ascii="Book Antiqua" w:hAnsi="Book Antiqua"/>
                <w:b/>
                <w:vertAlign w:val="superscript"/>
              </w:rPr>
              <w:t>2</w:t>
            </w:r>
            <w:r w:rsidRPr="00EC531D">
              <w:rPr>
                <w:rFonts w:ascii="Book Antiqua" w:hAnsi="Book Antiqua"/>
                <w:b/>
              </w:rPr>
              <w:t xml:space="preserve"> (mean)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EC531D">
              <w:rPr>
                <w:rFonts w:ascii="Book Antiqua" w:hAnsi="Book Antiqua"/>
                <w:b/>
                <w:color w:val="000000"/>
              </w:rPr>
              <w:t>Adverse effects</w:t>
            </w:r>
          </w:p>
        </w:tc>
      </w:tr>
      <w:tr w:rsidR="002947BD" w:rsidRPr="00EC531D" w:rsidTr="00A14E2C">
        <w:trPr>
          <w:trHeight w:val="49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PRP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7.8 ± 2.7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0.68 ± 0.56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8 (2.5%)</w:t>
            </w:r>
          </w:p>
        </w:tc>
      </w:tr>
      <w:tr w:rsidR="002947BD" w:rsidRPr="00EC531D" w:rsidTr="00A14E2C">
        <w:trPr>
          <w:trHeight w:val="490"/>
        </w:trPr>
        <w:tc>
          <w:tcPr>
            <w:tcW w:w="15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Control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8.3 ± 3.7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0.39 ± 0.09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</w:rPr>
              <w:t>15 (10.5%)</w:t>
            </w:r>
          </w:p>
        </w:tc>
      </w:tr>
      <w:tr w:rsidR="002947BD" w:rsidRPr="00EC531D" w:rsidTr="00A14E2C">
        <w:trPr>
          <w:trHeight w:val="49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P-value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0.115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&lt; 0.001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7BD" w:rsidRPr="00EC531D" w:rsidRDefault="002947BD" w:rsidP="00A14E2C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EC531D">
              <w:rPr>
                <w:rFonts w:ascii="Book Antiqua" w:hAnsi="Book Antiqua"/>
                <w:color w:val="000000"/>
              </w:rPr>
              <w:t>&lt; 0.001</w:t>
            </w:r>
          </w:p>
        </w:tc>
      </w:tr>
    </w:tbl>
    <w:p w:rsidR="002947BD" w:rsidRPr="00FC61D9" w:rsidRDefault="002947BD" w:rsidP="002947B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PRP: Platelet-rich plasma</w:t>
      </w:r>
    </w:p>
    <w:p w:rsidR="00A00F3D" w:rsidRDefault="00A00F3D"/>
    <w:sectPr w:rsidR="00A00F3D" w:rsidSect="00A00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D"/>
    <w:rsid w:val="002947BD"/>
    <w:rsid w:val="00A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64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D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7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47BD"/>
  </w:style>
  <w:style w:type="character" w:customStyle="1" w:styleId="CommentTextChar">
    <w:name w:val="Comment Text Char"/>
    <w:basedOn w:val="DefaultParagraphFont"/>
    <w:link w:val="CommentText"/>
    <w:uiPriority w:val="99"/>
    <w:rsid w:val="002947BD"/>
    <w:rPr>
      <w:rFonts w:ascii="Times New Roman" w:eastAsia="Times New Roman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2947B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47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BD"/>
    <w:rPr>
      <w:rFonts w:ascii="Lucida Grande" w:eastAsia="Times New Roman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D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7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47BD"/>
  </w:style>
  <w:style w:type="character" w:customStyle="1" w:styleId="CommentTextChar">
    <w:name w:val="Comment Text Char"/>
    <w:basedOn w:val="DefaultParagraphFont"/>
    <w:link w:val="CommentText"/>
    <w:uiPriority w:val="99"/>
    <w:rsid w:val="002947BD"/>
    <w:rPr>
      <w:rFonts w:ascii="Times New Roman" w:eastAsia="Times New Roman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2947B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47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BD"/>
    <w:rPr>
      <w:rFonts w:ascii="Lucida Grande" w:eastAsia="Times New Roman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5177</Characters>
  <Application>Microsoft Macintosh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Ruff</dc:creator>
  <cp:keywords/>
  <dc:description/>
  <cp:lastModifiedBy>Eric Ruff</cp:lastModifiedBy>
  <cp:revision>1</cp:revision>
  <dcterms:created xsi:type="dcterms:W3CDTF">2018-06-15T18:49:00Z</dcterms:created>
  <dcterms:modified xsi:type="dcterms:W3CDTF">2018-06-15T18:52:00Z</dcterms:modified>
</cp:coreProperties>
</file>